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rPr>
      </w:pPr>
      <w:r>
        <w:rPr>
          <w:rFonts w:hint="eastAsia"/>
        </w:rPr>
      </w:r>
      <w:r/>
    </w:p>
    <w:p>
      <w:pPr>
        <w:jc w:val="center"/>
        <w:rPr>
          <w:rFonts w:ascii="宋体" w:hAnsi="宋体"/>
          <w:b/>
          <w:sz w:val="84"/>
          <w:szCs w:val="84"/>
        </w:rPr>
      </w:pPr>
      <w:r>
        <w:rPr>
          <w:rFonts w:ascii="宋体" w:hAnsi="宋体"/>
          <w:b/>
          <w:sz w:val="84"/>
          <w:szCs w:val="84"/>
        </w:rPr>
      </w:r>
      <w:r/>
    </w:p>
    <w:p>
      <w:pPr>
        <w:jc w:val="center"/>
        <w:rPr>
          <w:rFonts w:ascii="宋体" w:hAnsi="宋体"/>
          <w:b/>
          <w:sz w:val="84"/>
          <w:szCs w:val="84"/>
        </w:rPr>
      </w:pPr>
      <w:r>
        <w:rPr>
          <w:rFonts w:hint="eastAsia" w:ascii="宋体" w:hAnsi="宋体"/>
          <w:b/>
          <w:sz w:val="84"/>
          <w:szCs w:val="84"/>
        </w:rPr>
        <w:t xml:space="preserve">竞 争 性 磋 商</w:t>
      </w:r>
      <w:r/>
    </w:p>
    <w:p>
      <w:pPr>
        <w:jc w:val="center"/>
        <w:rPr>
          <w:rFonts w:ascii="宋体" w:hAnsi="宋体"/>
          <w:b/>
          <w:sz w:val="84"/>
          <w:szCs w:val="84"/>
        </w:rPr>
      </w:pPr>
      <w:r>
        <w:rPr>
          <w:rFonts w:hint="eastAsia" w:ascii="宋体" w:hAnsi="宋体"/>
          <w:b/>
          <w:sz w:val="84"/>
          <w:szCs w:val="84"/>
        </w:rPr>
        <w:t xml:space="preserve">采 购 文 件</w:t>
      </w:r>
      <w:r/>
    </w:p>
    <w:p>
      <w:pPr>
        <w:jc w:val="center"/>
        <w:spacing w:before="75" w:after="75"/>
        <w:widowControl/>
        <w:rPr>
          <w:rFonts w:ascii="宋体" w:hAnsi="宋体" w:cs="宋体"/>
          <w:b/>
          <w:sz w:val="72"/>
        </w:rPr>
      </w:pPr>
      <w:r>
        <w:rPr>
          <w:rFonts w:ascii="宋体" w:hAnsi="宋体" w:cs="宋体"/>
          <w:b/>
          <w:sz w:val="72"/>
        </w:rPr>
      </w:r>
      <w:r/>
    </w:p>
    <w:p>
      <w:pPr>
        <w:jc w:val="center"/>
        <w:spacing w:before="75" w:after="75"/>
        <w:widowControl/>
        <w:rPr>
          <w:rFonts w:ascii="宋体" w:hAnsi="宋体" w:cs="sans-serif"/>
          <w:sz w:val="24"/>
        </w:rPr>
      </w:pPr>
      <w:r>
        <w:rPr>
          <w:rFonts w:ascii="宋体" w:hAnsi="宋体" w:cs="sans-serif"/>
          <w:sz w:val="24"/>
        </w:rPr>
        <mc:AlternateContent>
          <mc:Choice Requires="wpg">
            <w:drawing>
              <wp:inline xmlns:wp="http://schemas.openxmlformats.org/drawingml/2006/wordprocessingDrawing" distT="0" distB="0" distL="0" distR="0">
                <wp:extent cx="1752600" cy="175260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1"/>
                        <a:stretch/>
                      </pic:blipFill>
                      <pic:spPr bwMode="auto">
                        <a:xfrm>
                          <a:off x="0" y="0"/>
                          <a:ext cx="1752599" cy="17525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38.0pt;height:138.0pt;mso-wrap-distance-left:0.0pt;mso-wrap-distance-top:0.0pt;mso-wrap-distance-right:0.0pt;mso-wrap-distance-bottom:0.0pt;" stroked="f">
                <v:path textboxrect="0,0,0,0"/>
                <v:imagedata r:id="rId11" o:title=""/>
              </v:shape>
            </w:pict>
          </mc:Fallback>
        </mc:AlternateContent>
      </w:r>
      <w:r/>
    </w:p>
    <w:p>
      <w:pPr>
        <w:jc w:val="center"/>
        <w:spacing w:before="75" w:after="75"/>
        <w:widowControl/>
        <w:rPr>
          <w:rFonts w:ascii="宋体" w:hAnsi="宋体" w:cs="sans-serif"/>
          <w:sz w:val="24"/>
        </w:rPr>
      </w:pPr>
      <w:r>
        <w:rPr>
          <w:rFonts w:ascii="宋体" w:hAnsi="宋体" w:cs="sans-serif"/>
          <w:sz w:val="24"/>
        </w:rPr>
      </w:r>
      <w:r/>
    </w:p>
    <w:p>
      <w:pPr>
        <w:ind w:left="1275"/>
        <w:jc w:val="left"/>
        <w:spacing w:before="75" w:after="75"/>
        <w:widowControl/>
        <w:rPr>
          <w:rFonts w:hint="eastAsia" w:ascii="宋体" w:hAnsi="宋体" w:eastAsia="宋体" w:cs="宋体"/>
          <w:b/>
          <w:sz w:val="30"/>
          <w:lang w:eastAsia="zh-CN"/>
        </w:rPr>
      </w:pPr>
      <w:r>
        <w:rPr>
          <w:rFonts w:hint="eastAsia" w:ascii="宋体" w:hAnsi="宋体" w:cs="宋体"/>
          <w:b/>
          <w:sz w:val="30"/>
        </w:rPr>
        <w:t xml:space="preserve">采购编号：</w:t>
      </w:r>
      <w:r>
        <w:rPr>
          <w:rFonts w:hint="eastAsia" w:ascii="宋体" w:hAnsi="宋体" w:cs="宋体"/>
          <w:b/>
          <w:sz w:val="30"/>
          <w:u w:val="single"/>
          <w:lang w:eastAsia="zh-CN"/>
        </w:rPr>
        <w:t xml:space="preserve">JSZC-320500-SZRF-C2026-0010</w:t>
      </w:r>
      <w:r/>
    </w:p>
    <w:p>
      <w:pPr>
        <w:ind w:left="1275"/>
        <w:jc w:val="left"/>
        <w:spacing w:before="75" w:after="75"/>
        <w:widowControl/>
        <w:rPr>
          <w:rFonts w:hint="eastAsia" w:ascii="宋体" w:hAnsi="宋体" w:eastAsia="宋体" w:cs="sans-serif"/>
          <w:sz w:val="24"/>
          <w:lang w:eastAsia="zh-CN"/>
        </w:rPr>
      </w:pPr>
      <w:r>
        <w:rPr>
          <w:rFonts w:hint="eastAsia" w:ascii="宋体" w:hAnsi="宋体" w:cs="宋体"/>
          <w:b/>
          <w:sz w:val="30"/>
        </w:rPr>
        <w:t xml:space="preserve">项目名称：</w:t>
      </w:r>
      <w:r>
        <w:rPr>
          <w:rFonts w:hint="eastAsia" w:ascii="宋体" w:hAnsi="宋体" w:cs="宋体"/>
          <w:b/>
          <w:sz w:val="30"/>
          <w:u w:val="single"/>
          <w:lang w:eastAsia="zh-CN"/>
        </w:rPr>
        <w:t xml:space="preserve">2026年TOCC大屏、精密空调、UPS主机等维保</w:t>
      </w:r>
      <w:r/>
    </w:p>
    <w:p>
      <w:pPr>
        <w:ind w:left="1275"/>
        <w:jc w:val="left"/>
        <w:spacing w:before="75" w:after="75"/>
        <w:widowControl/>
        <w:rPr>
          <w:rFonts w:hint="eastAsia" w:ascii="宋体" w:hAnsi="宋体" w:eastAsia="宋体" w:cs="sans-serif"/>
          <w:sz w:val="24"/>
          <w:lang w:eastAsia="zh-CN"/>
        </w:rPr>
      </w:pPr>
      <w:r>
        <w:rPr>
          <w:rFonts w:hint="eastAsia" w:ascii="宋体" w:hAnsi="宋体" w:cs="宋体"/>
          <w:b/>
          <w:sz w:val="30"/>
        </w:rPr>
        <w:t xml:space="preserve">采 购 人：</w:t>
      </w:r>
      <w:r>
        <w:rPr>
          <w:rFonts w:hint="eastAsia" w:ascii="宋体" w:hAnsi="宋体" w:cs="宋体"/>
          <w:b/>
          <w:sz w:val="30"/>
          <w:u w:val="single"/>
          <w:lang w:eastAsia="zh-CN"/>
        </w:rPr>
        <w:t xml:space="preserve">苏州市交通运输应急指挥中心</w:t>
      </w:r>
      <w:r/>
    </w:p>
    <w:p>
      <w:pPr>
        <w:ind w:left="1275"/>
        <w:jc w:val="left"/>
        <w:spacing w:before="75" w:after="75"/>
        <w:widowControl/>
        <w:rPr>
          <w:rFonts w:ascii="宋体" w:hAnsi="宋体" w:cs="宋体"/>
          <w:b/>
          <w:sz w:val="30"/>
        </w:rPr>
      </w:pPr>
      <w:r>
        <w:rPr>
          <w:rFonts w:hint="eastAsia" w:ascii="宋体" w:hAnsi="宋体" w:cs="宋体"/>
          <w:b/>
          <w:sz w:val="30"/>
        </w:rPr>
        <w:t xml:space="preserve">采购代理机构：</w:t>
      </w:r>
      <w:r>
        <w:rPr>
          <w:rFonts w:hint="eastAsia" w:ascii="宋体" w:hAnsi="宋体" w:cs="宋体"/>
          <w:b/>
          <w:sz w:val="30"/>
          <w:u w:val="single"/>
        </w:rPr>
        <w:t xml:space="preserve">苏州市润芳招投标咨询服务有限公司</w:t>
      </w:r>
      <w:r/>
    </w:p>
    <w:p>
      <w:pPr>
        <w:ind w:left="1275"/>
        <w:jc w:val="left"/>
        <w:spacing w:before="75" w:after="75"/>
        <w:widowControl/>
        <w:rPr>
          <w:rFonts w:ascii="宋体" w:hAnsi="宋体" w:cs="sans-serif"/>
          <w:sz w:val="24"/>
        </w:rPr>
      </w:pPr>
      <w:r>
        <w:rPr>
          <w:rFonts w:hint="eastAsia" w:ascii="宋体" w:hAnsi="宋体" w:cs="宋体"/>
          <w:b/>
          <w:sz w:val="30"/>
        </w:rPr>
        <w:t xml:space="preserve">采购类别：</w:t>
      </w:r>
      <w:r>
        <w:rPr>
          <w:rFonts w:hint="eastAsia" w:ascii="宋体" w:hAnsi="宋体" w:cs="宋体"/>
          <w:b/>
          <w:sz w:val="30"/>
          <w:u w:val="single"/>
        </w:rPr>
        <w:t xml:space="preserve"> 服务类</w:t>
      </w:r>
      <w:r/>
    </w:p>
    <w:p>
      <w:pPr>
        <w:jc w:val="left"/>
        <w:spacing w:before="75" w:after="75"/>
        <w:widowControl/>
        <w:rPr>
          <w:rFonts w:ascii="宋体" w:hAnsi="宋体" w:cs="sans-serif"/>
          <w:sz w:val="24"/>
        </w:rPr>
      </w:pPr>
      <w:r>
        <w:rPr>
          <w:rFonts w:ascii="宋体" w:hAnsi="宋体" w:cs="sans-serif"/>
          <w:sz w:val="24"/>
        </w:rPr>
        <w:t xml:space="preserve"> </w:t>
      </w:r>
      <w:r/>
    </w:p>
    <w:p>
      <w:pPr>
        <w:jc w:val="center"/>
        <w:spacing w:before="75" w:after="75"/>
        <w:widowControl/>
        <w:rPr>
          <w:rFonts w:ascii="宋体" w:hAnsi="宋体" w:cs="宋体"/>
          <w:b/>
          <w:sz w:val="28"/>
          <w:highlight w:val="none"/>
        </w:rPr>
      </w:pPr>
      <w:r>
        <w:rPr>
          <w:rFonts w:ascii="宋体" w:hAnsi="宋体" w:cs="宋体"/>
          <w:b/>
          <w:sz w:val="28"/>
          <w:highlight w:val="none"/>
        </w:rPr>
        <w:t xml:space="preserve">202</w:t>
      </w:r>
      <w:r>
        <w:rPr>
          <w:rFonts w:hint="eastAsia" w:ascii="宋体" w:hAnsi="宋体" w:cs="宋体"/>
          <w:b/>
          <w:sz w:val="28"/>
          <w:highlight w:val="none"/>
          <w:lang w:val="en-US" w:eastAsia="zh-CN"/>
        </w:rPr>
        <w:t xml:space="preserve">6</w:t>
      </w:r>
      <w:r>
        <w:rPr>
          <w:rFonts w:ascii="宋体" w:hAnsi="宋体" w:cs="宋体"/>
          <w:b/>
          <w:sz w:val="28"/>
          <w:highlight w:val="none"/>
        </w:rPr>
        <w:t xml:space="preserve">年</w:t>
      </w:r>
      <w:r>
        <w:rPr>
          <w:rFonts w:hint="eastAsia" w:ascii="宋体" w:hAnsi="宋体" w:cs="宋体"/>
          <w:b/>
          <w:sz w:val="28"/>
          <w:highlight w:val="none"/>
          <w:lang w:val="en-US" w:eastAsia="zh-CN"/>
        </w:rPr>
        <w:t xml:space="preserve">8</w:t>
      </w:r>
      <w:r>
        <w:rPr>
          <w:rFonts w:hint="eastAsia" w:ascii="宋体" w:hAnsi="宋体" w:cs="宋体"/>
          <w:b/>
          <w:sz w:val="28"/>
          <w:highlight w:val="none"/>
        </w:rPr>
        <w:t xml:space="preserve">月</w:t>
      </w:r>
      <w:r/>
    </w:p>
    <w:p>
      <w:r>
        <w:br w:type="page" w:clear="all"/>
      </w:r>
      <w:r/>
    </w:p>
    <w:p>
      <w:pPr>
        <w:jc w:val="center"/>
        <w:tabs>
          <w:tab w:val="left" w:pos="315" w:leader="none"/>
          <w:tab w:val="center" w:pos="4153" w:leader="none"/>
        </w:tabs>
        <w:rPr>
          <w:rFonts w:ascii="黑体" w:eastAsia="黑体"/>
          <w:b/>
          <w:sz w:val="52"/>
          <w:szCs w:val="52"/>
        </w:rPr>
      </w:pPr>
      <w:r>
        <w:rPr>
          <w:rFonts w:hint="eastAsia" w:ascii="黑体" w:eastAsia="黑体"/>
          <w:b/>
          <w:sz w:val="52"/>
          <w:szCs w:val="52"/>
        </w:rPr>
        <w:t xml:space="preserve">目    录</w:t>
      </w:r>
      <w:r/>
    </w:p>
    <w:p>
      <w:pPr>
        <w:jc w:val="center"/>
        <w:tabs>
          <w:tab w:val="left" w:pos="315" w:leader="none"/>
          <w:tab w:val="center" w:pos="4153" w:leader="none"/>
        </w:tabs>
        <w:rPr>
          <w:rFonts w:ascii="黑体" w:eastAsia="黑体"/>
          <w:b/>
          <w:sz w:val="52"/>
          <w:szCs w:val="52"/>
        </w:rPr>
      </w:pPr>
      <w:r>
        <w:rPr>
          <w:rFonts w:ascii="黑体" w:eastAsia="黑体"/>
          <w:b/>
          <w:sz w:val="52"/>
          <w:szCs w:val="52"/>
        </w:rPr>
      </w:r>
      <w:r/>
    </w:p>
    <w:p>
      <w:pPr>
        <w:pStyle w:val="721"/>
        <w:tabs>
          <w:tab w:val="right" w:pos="9854" w:leader="dot"/>
        </w:tabs>
        <w:rPr>
          <w:rFonts w:cs="Times New Roman"/>
          <w:b w:val="0"/>
          <w:bCs w:val="0"/>
          <w:caps w:val="0"/>
          <w:sz w:val="32"/>
          <w:szCs w:val="32"/>
        </w:rPr>
      </w:pPr>
      <w:r>
        <w:rPr>
          <w:sz w:val="32"/>
          <w:szCs w:val="32"/>
        </w:rPr>
        <w:fldChar w:fldCharType="begin"/>
      </w:r>
      <w:r>
        <w:rPr>
          <w:rFonts w:hint="eastAsia"/>
          <w:sz w:val="32"/>
          <w:szCs w:val="32"/>
        </w:rPr>
        <w:instrText xml:space="preserve">TOC \o "1-2" \h \z \u</w:instrText>
      </w:r>
      <w:r>
        <w:rPr>
          <w:sz w:val="32"/>
          <w:szCs w:val="32"/>
        </w:rPr>
        <w:fldChar w:fldCharType="separate"/>
      </w:r>
      <w:r>
        <w:fldChar w:fldCharType="begin"/>
      </w:r>
      <w:r>
        <w:instrText xml:space="preserve"> HYPERLINK \l "_Toc73000673" \o "#_Toc73000673" </w:instrText>
      </w:r>
      <w:r>
        <w:fldChar w:fldCharType="separate"/>
      </w:r>
      <w:r>
        <w:rPr>
          <w:rStyle w:val="739"/>
          <w:rFonts w:hint="eastAsia"/>
          <w:b w:val="0"/>
          <w:sz w:val="32"/>
          <w:szCs w:val="32"/>
        </w:rPr>
        <w:t xml:space="preserve">第一章磋商邀请函</w:t>
      </w:r>
      <w:r>
        <w:rPr>
          <w:rStyle w:val="739"/>
          <w:rFonts w:hint="eastAsia"/>
          <w:b w:val="0"/>
          <w:sz w:val="32"/>
          <w:szCs w:val="32"/>
        </w:rPr>
        <w:fldChar w:fldCharType="end"/>
      </w:r>
      <w:r/>
    </w:p>
    <w:p>
      <w:pPr>
        <w:pStyle w:val="721"/>
        <w:tabs>
          <w:tab w:val="right" w:pos="9854" w:leader="dot"/>
        </w:tabs>
        <w:rPr>
          <w:rFonts w:cs="Times New Roman"/>
          <w:b w:val="0"/>
          <w:bCs w:val="0"/>
          <w:caps w:val="0"/>
          <w:sz w:val="32"/>
          <w:szCs w:val="32"/>
        </w:rPr>
      </w:pPr>
      <w:r>
        <w:fldChar w:fldCharType="begin"/>
      </w:r>
      <w:r>
        <w:instrText xml:space="preserve"> HYPERLINK \l "_Toc73000674" \o "#_Toc73000674" </w:instrText>
      </w:r>
      <w:r>
        <w:fldChar w:fldCharType="separate"/>
      </w:r>
      <w:r>
        <w:rPr>
          <w:rStyle w:val="739"/>
          <w:rFonts w:hint="eastAsia"/>
          <w:b w:val="0"/>
          <w:sz w:val="32"/>
          <w:szCs w:val="32"/>
        </w:rPr>
        <w:t xml:space="preserve">第二章磋商须知</w:t>
      </w:r>
      <w:r>
        <w:rPr>
          <w:rStyle w:val="739"/>
          <w:rFonts w:hint="eastAsia"/>
          <w:b w:val="0"/>
          <w:sz w:val="32"/>
          <w:szCs w:val="32"/>
        </w:rPr>
        <w:fldChar w:fldCharType="end"/>
      </w:r>
      <w:r/>
    </w:p>
    <w:p>
      <w:pPr>
        <w:pStyle w:val="721"/>
        <w:tabs>
          <w:tab w:val="right" w:pos="9854" w:leader="dot"/>
        </w:tabs>
        <w:rPr>
          <w:rFonts w:cs="Times New Roman"/>
          <w:b w:val="0"/>
          <w:bCs w:val="0"/>
          <w:caps w:val="0"/>
          <w:sz w:val="32"/>
          <w:szCs w:val="32"/>
        </w:rPr>
      </w:pPr>
      <w:r>
        <w:fldChar w:fldCharType="begin"/>
      </w:r>
      <w:r>
        <w:instrText xml:space="preserve"> HYPERLINK \l "_Toc73000675" \o "#_Toc73000675" </w:instrText>
      </w:r>
      <w:r>
        <w:fldChar w:fldCharType="separate"/>
      </w:r>
      <w:r>
        <w:rPr>
          <w:rStyle w:val="739"/>
          <w:rFonts w:hint="eastAsia"/>
          <w:b w:val="0"/>
          <w:sz w:val="32"/>
          <w:szCs w:val="32"/>
        </w:rPr>
        <w:t xml:space="preserve">第三章响应文件格式</w:t>
      </w:r>
      <w:r>
        <w:rPr>
          <w:rStyle w:val="739"/>
          <w:rFonts w:hint="eastAsia"/>
          <w:b w:val="0"/>
          <w:sz w:val="32"/>
          <w:szCs w:val="32"/>
        </w:rPr>
        <w:fldChar w:fldCharType="end"/>
      </w:r>
      <w:r/>
    </w:p>
    <w:p>
      <w:pPr>
        <w:pStyle w:val="721"/>
        <w:tabs>
          <w:tab w:val="right" w:pos="9854" w:leader="dot"/>
        </w:tabs>
        <w:rPr>
          <w:rFonts w:cs="Times New Roman"/>
          <w:b w:val="0"/>
          <w:bCs w:val="0"/>
          <w:caps w:val="0"/>
          <w:sz w:val="32"/>
          <w:szCs w:val="32"/>
        </w:rPr>
      </w:pPr>
      <w:r>
        <w:fldChar w:fldCharType="begin"/>
      </w:r>
      <w:r>
        <w:instrText xml:space="preserve"> HYPERLINK \l "_Toc73000676" \o "#_Toc73000676" </w:instrText>
      </w:r>
      <w:r>
        <w:fldChar w:fldCharType="separate"/>
      </w:r>
      <w:r>
        <w:rPr>
          <w:rStyle w:val="739"/>
          <w:rFonts w:hint="eastAsia"/>
          <w:b w:val="0"/>
          <w:sz w:val="32"/>
          <w:szCs w:val="32"/>
        </w:rPr>
        <w:t xml:space="preserve">第四章采购内容</w:t>
      </w:r>
      <w:r>
        <w:rPr>
          <w:rStyle w:val="739"/>
          <w:rFonts w:hint="eastAsia"/>
          <w:b w:val="0"/>
          <w:sz w:val="32"/>
          <w:szCs w:val="32"/>
        </w:rPr>
        <w:fldChar w:fldCharType="end"/>
      </w:r>
      <w:r/>
    </w:p>
    <w:p>
      <w:pPr>
        <w:pStyle w:val="728"/>
        <w:ind w:left="0"/>
        <w:tabs>
          <w:tab w:val="right" w:pos="9854" w:leader="dot"/>
        </w:tabs>
        <w:rPr>
          <w:rFonts w:cs="Times New Roman"/>
          <w:smallCaps w:val="0"/>
          <w:sz w:val="32"/>
          <w:szCs w:val="32"/>
        </w:rPr>
      </w:pPr>
      <w:r>
        <w:fldChar w:fldCharType="begin"/>
      </w:r>
      <w:r>
        <w:instrText xml:space="preserve"> HYPERLINK \l "_Toc73000677" \o "#_Toc73000677" </w:instrText>
      </w:r>
      <w:r>
        <w:fldChar w:fldCharType="separate"/>
      </w:r>
      <w:r>
        <w:rPr>
          <w:rStyle w:val="739"/>
          <w:rFonts w:hint="eastAsia"/>
          <w:sz w:val="32"/>
          <w:szCs w:val="32"/>
        </w:rPr>
        <w:t xml:space="preserve">第五章合同及主要条款</w:t>
      </w:r>
      <w:r>
        <w:rPr>
          <w:rStyle w:val="739"/>
          <w:rFonts w:hint="eastAsia"/>
          <w:sz w:val="32"/>
          <w:szCs w:val="32"/>
        </w:rPr>
        <w:fldChar w:fldCharType="end"/>
      </w:r>
      <w:r/>
    </w:p>
    <w:p>
      <w:pPr>
        <w:pStyle w:val="721"/>
        <w:tabs>
          <w:tab w:val="right" w:pos="9854" w:leader="dot"/>
        </w:tabs>
        <w:rPr>
          <w:rFonts w:cs="Times New Roman"/>
          <w:b w:val="0"/>
          <w:bCs w:val="0"/>
          <w:caps w:val="0"/>
          <w:sz w:val="32"/>
          <w:szCs w:val="32"/>
        </w:rPr>
      </w:pPr>
      <w:r>
        <w:fldChar w:fldCharType="begin"/>
      </w:r>
      <w:r>
        <w:instrText xml:space="preserve"> HYPERLINK \l "_Toc73000678" \o "#_Toc73000678" </w:instrText>
      </w:r>
      <w:r>
        <w:fldChar w:fldCharType="separate"/>
      </w:r>
      <w:r>
        <w:rPr>
          <w:rStyle w:val="739"/>
          <w:rFonts w:hint="eastAsia"/>
          <w:b w:val="0"/>
          <w:sz w:val="32"/>
          <w:szCs w:val="32"/>
        </w:rPr>
        <w:t xml:space="preserve">第六章评审办法和评分标准</w:t>
      </w:r>
      <w:r>
        <w:rPr>
          <w:rStyle w:val="739"/>
          <w:rFonts w:hint="eastAsia"/>
          <w:b w:val="0"/>
          <w:sz w:val="32"/>
          <w:szCs w:val="32"/>
        </w:rPr>
        <w:fldChar w:fldCharType="end"/>
      </w:r>
      <w:r>
        <w:rPr>
          <w:sz w:val="32"/>
          <w:szCs w:val="32"/>
        </w:rPr>
        <w:fldChar w:fldCharType="end"/>
      </w:r>
      <w:r/>
    </w:p>
    <w:p>
      <w:r/>
      <w:r/>
    </w:p>
    <w:p>
      <w:pPr>
        <w:jc w:val="center"/>
        <w:widowControl/>
        <w:rPr>
          <w:rFonts w:ascii="宋体" w:hAnsi="宋体"/>
        </w:rPr>
      </w:pPr>
      <w:r>
        <w:br w:type="page" w:clear="all"/>
      </w:r>
      <w:bookmarkStart w:id="0" w:name="_Toc17003"/>
      <w:r/>
      <w:bookmarkStart w:id="1" w:name="_Toc16121"/>
      <w:r/>
      <w:bookmarkStart w:id="2" w:name="_Toc15681"/>
      <w:r/>
      <w:bookmarkStart w:id="3" w:name="_Toc12642"/>
      <w:r>
        <w:rPr>
          <w:rFonts w:ascii="宋体" w:hAnsi="宋体"/>
          <w:b/>
          <w:spacing w:val="20"/>
          <w:sz w:val="30"/>
        </w:rPr>
        <w:t xml:space="preserve">前 附 表</w:t>
      </w:r>
      <w:bookmarkEnd w:id="0"/>
      <w:r/>
      <w:bookmarkEnd w:id="1"/>
      <w:r/>
      <w:bookmarkEnd w:id="2"/>
      <w:r/>
      <w:bookmarkEnd w:id="3"/>
      <w:r/>
      <w:r/>
    </w:p>
    <w:tbl>
      <w:tblPr>
        <w:tblStyle w:val="704"/>
        <w:tblW w:w="9945" w:type="dxa"/>
        <w:tblInd w:w="-712" w:type="dxa"/>
        <w:tblLayout w:type="fixed"/>
        <w:tblCellMar>
          <w:left w:w="0" w:type="dxa"/>
          <w:top w:w="0" w:type="dxa"/>
          <w:right w:w="0" w:type="dxa"/>
          <w:bottom w:w="0" w:type="dxa"/>
        </w:tblCellMar>
        <w:tblLook w:val="04A0" w:firstRow="1" w:lastRow="0" w:firstColumn="1" w:lastColumn="0" w:noHBand="0" w:noVBand="1"/>
      </w:tblPr>
      <w:tblGrid>
        <w:gridCol w:w="688"/>
        <w:gridCol w:w="2026"/>
        <w:gridCol w:w="7231"/>
      </w:tblGrid>
      <w:tr>
        <w:trPr>
          <w:trHeight w:val="27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textDirection w:val="lrTb"/>
            <w:noWrap/>
          </w:tcPr>
          <w:p>
            <w:pPr>
              <w:jc w:val="center"/>
              <w:rPr>
                <w:rFonts w:ascii="宋体" w:hAnsi="宋体"/>
                <w:szCs w:val="21"/>
              </w:rPr>
            </w:pPr>
            <w:r>
              <w:rPr>
                <w:rFonts w:hint="eastAsia" w:ascii="宋体" w:hAnsi="宋体"/>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6" w:type="dxa"/>
            <w:vAlign w:val="center"/>
            <w:textDirection w:val="lrTb"/>
            <w:noWrap/>
          </w:tcPr>
          <w:p>
            <w:pPr>
              <w:jc w:val="center"/>
              <w:rPr>
                <w:rFonts w:ascii="宋体" w:hAnsi="宋体"/>
                <w:szCs w:val="21"/>
              </w:rPr>
            </w:pPr>
            <w:r>
              <w:rPr>
                <w:rFonts w:hint="eastAsia" w:ascii="宋体" w:hAnsi="宋体"/>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1" w:type="dxa"/>
            <w:vAlign w:val="center"/>
            <w:textDirection w:val="lrTb"/>
            <w:noWrap/>
          </w:tcPr>
          <w:p>
            <w:pPr>
              <w:jc w:val="center"/>
              <w:rPr>
                <w:rFonts w:ascii="宋体" w:hAnsi="宋体"/>
                <w:szCs w:val="21"/>
              </w:rPr>
            </w:pPr>
            <w:r>
              <w:rPr>
                <w:rFonts w:hint="eastAsia" w:ascii="宋体" w:hAnsi="宋体"/>
                <w:szCs w:val="21"/>
              </w:rPr>
              <w:t xml:space="preserve">内               容</w:t>
            </w:r>
            <w:r/>
          </w:p>
        </w:tc>
      </w:tr>
      <w:tr>
        <w:trPr>
          <w:trHeight w:val="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textDirection w:val="lrTb"/>
            <w:noWrap/>
          </w:tcPr>
          <w:p>
            <w:pPr>
              <w:jc w:val="center"/>
              <w:rPr>
                <w:rFonts w:ascii="宋体" w:hAnsi="宋体"/>
                <w:szCs w:val="21"/>
              </w:rPr>
            </w:pPr>
            <w:r>
              <w:rPr>
                <w:rFonts w:hint="eastAsia"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6" w:type="dxa"/>
            <w:vAlign w:val="center"/>
            <w:textDirection w:val="lrTb"/>
            <w:noWrap/>
          </w:tcPr>
          <w:p>
            <w:pPr>
              <w:jc w:val="center"/>
              <w:rPr>
                <w:rFonts w:ascii="宋体" w:hAnsi="宋体"/>
                <w:szCs w:val="21"/>
              </w:rPr>
            </w:pPr>
            <w:r>
              <w:rPr>
                <w:rFonts w:hint="eastAsia" w:ascii="宋体" w:hAnsi="宋体"/>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1" w:type="dxa"/>
            <w:vAlign w:val="center"/>
            <w:textDirection w:val="lrTb"/>
            <w:noWrap/>
          </w:tcPr>
          <w:p>
            <w:pPr>
              <w:jc w:val="left"/>
              <w:rPr>
                <w:rFonts w:hint="eastAsia" w:ascii="宋体" w:hAnsi="宋体" w:eastAsia="宋体"/>
                <w:szCs w:val="21"/>
                <w:lang w:eastAsia="zh-CN"/>
              </w:rPr>
            </w:pPr>
            <w:r>
              <w:rPr>
                <w:rFonts w:hint="eastAsia" w:ascii="宋体" w:hAnsi="宋体"/>
                <w:szCs w:val="21"/>
                <w:lang w:eastAsia="zh-CN"/>
              </w:rPr>
              <w:t xml:space="preserve">JSZC-320500-SZRF-C2026-0010</w:t>
            </w:r>
            <w:r/>
          </w:p>
        </w:tc>
      </w:tr>
      <w:tr>
        <w:trPr>
          <w:trHeight w:val="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textDirection w:val="lrTb"/>
            <w:noWrap/>
          </w:tcPr>
          <w:p>
            <w:pPr>
              <w:jc w:val="center"/>
              <w:rPr>
                <w:rFonts w:ascii="宋体" w:hAnsi="宋体"/>
                <w:szCs w:val="21"/>
              </w:rPr>
            </w:pPr>
            <w:r>
              <w:rPr>
                <w:rFonts w:hint="eastAsia"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6" w:type="dxa"/>
            <w:vAlign w:val="center"/>
            <w:textDirection w:val="lrTb"/>
            <w:noWrap/>
          </w:tcPr>
          <w:p>
            <w:pPr>
              <w:jc w:val="center"/>
              <w:rPr>
                <w:rFonts w:ascii="宋体" w:hAnsi="宋体"/>
                <w:szCs w:val="21"/>
              </w:rPr>
            </w:pPr>
            <w:r>
              <w:rPr>
                <w:rFonts w:hint="eastAsia" w:ascii="宋体" w:hAnsi="宋体"/>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1" w:type="dxa"/>
            <w:vAlign w:val="center"/>
            <w:textDirection w:val="lrTb"/>
            <w:noWrap/>
          </w:tcPr>
          <w:p>
            <w:pPr>
              <w:rPr>
                <w:rFonts w:hint="eastAsia" w:ascii="宋体" w:hAnsi="宋体" w:eastAsia="宋体"/>
                <w:szCs w:val="21"/>
                <w:lang w:eastAsia="zh-CN"/>
              </w:rPr>
            </w:pPr>
            <w:r>
              <w:rPr>
                <w:rFonts w:hint="eastAsia" w:ascii="宋体" w:hAnsi="宋体"/>
                <w:szCs w:val="21"/>
                <w:lang w:eastAsia="zh-CN"/>
              </w:rPr>
              <w:t xml:space="preserve">2026年TOCC大屏、精密空调、UPS主机等维保</w:t>
            </w:r>
            <w:r/>
          </w:p>
        </w:tc>
      </w:tr>
      <w:tr>
        <w:trPr>
          <w:trHeight w:val="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textDirection w:val="lrTb"/>
            <w:noWrap/>
          </w:tcPr>
          <w:p>
            <w:pPr>
              <w:jc w:val="center"/>
              <w:tabs>
                <w:tab w:val="left" w:pos="252" w:leader="none"/>
              </w:tabs>
              <w:rPr>
                <w:rFonts w:ascii="宋体" w:hAnsi="宋体"/>
                <w:szCs w:val="21"/>
              </w:rPr>
            </w:pPr>
            <w:r>
              <w:rPr>
                <w:rFonts w:hint="eastAsia" w:ascii="宋体" w:hAnsi="宋体"/>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6" w:type="dxa"/>
            <w:vAlign w:val="center"/>
            <w:textDirection w:val="lrTb"/>
            <w:noWrap/>
          </w:tcPr>
          <w:p>
            <w:pPr>
              <w:jc w:val="center"/>
              <w:rPr>
                <w:rFonts w:ascii="宋体" w:hAnsi="宋体"/>
                <w:szCs w:val="21"/>
              </w:rPr>
            </w:pPr>
            <w:r>
              <w:rPr>
                <w:rFonts w:hint="eastAsia" w:ascii="宋体" w:hAnsi="宋体"/>
                <w:szCs w:val="21"/>
              </w:rPr>
              <w:t xml:space="preserve">采购代理机构</w:t>
            </w:r>
            <w:r/>
          </w:p>
          <w:p>
            <w:pPr>
              <w:jc w:val="center"/>
              <w:rPr>
                <w:rFonts w:ascii="宋体" w:hAnsi="宋体"/>
                <w:szCs w:val="21"/>
              </w:rPr>
            </w:pPr>
            <w:r>
              <w:rPr>
                <w:rFonts w:hint="eastAsia" w:ascii="宋体" w:hAnsi="宋体"/>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1" w:type="dxa"/>
            <w:vAlign w:val="center"/>
            <w:textDirection w:val="lrTb"/>
            <w:noWrap/>
          </w:tcPr>
          <w:p>
            <w:pPr>
              <w:jc w:val="left"/>
              <w:rPr>
                <w:rFonts w:ascii="宋体" w:hAnsi="宋体"/>
                <w:szCs w:val="21"/>
              </w:rPr>
            </w:pPr>
            <w:r>
              <w:rPr>
                <w:rFonts w:hint="eastAsia" w:ascii="宋体" w:hAnsi="宋体"/>
                <w:szCs w:val="21"/>
              </w:rPr>
              <w:t xml:space="preserve">名称：苏州市润芳招投标咨询服务有限公司</w:t>
            </w:r>
            <w:r/>
          </w:p>
          <w:p>
            <w:pPr>
              <w:jc w:val="left"/>
              <w:rPr>
                <w:rFonts w:ascii="宋体" w:hAnsi="宋体"/>
                <w:szCs w:val="21"/>
              </w:rPr>
            </w:pPr>
            <w:r>
              <w:rPr>
                <w:rFonts w:hint="eastAsia" w:ascii="宋体" w:hAnsi="宋体"/>
                <w:szCs w:val="21"/>
              </w:rPr>
              <w:t xml:space="preserve">地址：苏州市姑苏区西环路883号204室</w:t>
            </w:r>
            <w:r/>
          </w:p>
          <w:p>
            <w:pPr>
              <w:jc w:val="left"/>
              <w:rPr>
                <w:rFonts w:ascii="宋体" w:hAnsi="宋体"/>
                <w:szCs w:val="21"/>
              </w:rPr>
            </w:pPr>
            <w:r>
              <w:rPr>
                <w:rFonts w:hint="eastAsia" w:ascii="宋体" w:hAnsi="宋体"/>
                <w:szCs w:val="21"/>
              </w:rPr>
              <w:t xml:space="preserve">联系人:王思恬</w:t>
            </w:r>
            <w:r/>
          </w:p>
          <w:p>
            <w:pPr>
              <w:pStyle w:val="734"/>
              <w:ind w:left="0" w:firstLine="0"/>
              <w:rPr>
                <w:rFonts w:ascii="宋体" w:hAnsi="宋体"/>
              </w:rPr>
            </w:pPr>
            <w:r>
              <w:rPr>
                <w:rFonts w:hint="eastAsia" w:ascii="宋体" w:hAnsi="宋体"/>
                <w:szCs w:val="21"/>
              </w:rPr>
              <w:t xml:space="preserve">联系电话：0512-65115979</w:t>
            </w:r>
            <w:r/>
          </w:p>
        </w:tc>
      </w:tr>
      <w:tr>
        <w:trPr>
          <w:trHeight w:val="24"/>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textDirection w:val="lrTb"/>
            <w:noWrap/>
          </w:tcPr>
          <w:p>
            <w:pPr>
              <w:jc w:val="center"/>
              <w:rPr>
                <w:rFonts w:ascii="宋体" w:hAnsi="宋体"/>
                <w:szCs w:val="21"/>
              </w:rPr>
            </w:pPr>
            <w:r>
              <w:rPr>
                <w:rFonts w:hint="eastAsia" w:ascii="宋体" w:hAnsi="宋体"/>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6" w:type="dxa"/>
            <w:vAlign w:val="center"/>
            <w:textDirection w:val="lrTb"/>
            <w:noWrap/>
          </w:tcPr>
          <w:p>
            <w:pPr>
              <w:jc w:val="center"/>
              <w:rPr>
                <w:rFonts w:ascii="宋体" w:hAnsi="宋体"/>
                <w:szCs w:val="21"/>
                <w:highlight w:val="none"/>
              </w:rPr>
            </w:pPr>
            <w:r>
              <w:rPr>
                <w:rFonts w:hint="eastAsia" w:ascii="宋体" w:hAnsi="宋体"/>
                <w:szCs w:val="21"/>
                <w:highlight w:val="none"/>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1" w:type="dxa"/>
            <w:vAlign w:val="center"/>
            <w:textDirection w:val="lrTb"/>
            <w:noWrap/>
          </w:tcPr>
          <w:p>
            <w:pPr>
              <w:jc w:val="left"/>
              <w:rPr>
                <w:rFonts w:hint="eastAsia" w:ascii="宋体" w:hAnsi="宋体" w:eastAsia="宋体"/>
                <w:szCs w:val="21"/>
                <w:highlight w:val="none"/>
                <w:lang w:eastAsia="zh-CN"/>
              </w:rPr>
            </w:pPr>
            <w:r>
              <w:rPr>
                <w:rFonts w:hint="eastAsia" w:ascii="宋体" w:hAnsi="宋体"/>
                <w:szCs w:val="21"/>
                <w:highlight w:val="none"/>
              </w:rPr>
              <w:t xml:space="preserve">名称：</w:t>
            </w:r>
            <w:r>
              <w:rPr>
                <w:rFonts w:hint="eastAsia" w:ascii="宋体" w:hAnsi="宋体"/>
                <w:szCs w:val="21"/>
                <w:highlight w:val="none"/>
                <w:lang w:eastAsia="zh-CN"/>
              </w:rPr>
              <w:t xml:space="preserve">苏州市交通运输应急指挥中心</w:t>
            </w:r>
            <w:r/>
          </w:p>
          <w:p>
            <w:pPr>
              <w:jc w:val="left"/>
              <w:rPr>
                <w:rFonts w:ascii="宋体" w:hAnsi="宋体"/>
                <w:szCs w:val="21"/>
                <w:highlight w:val="none"/>
              </w:rPr>
            </w:pPr>
            <w:r>
              <w:rPr>
                <w:rFonts w:hint="eastAsia" w:ascii="宋体" w:hAnsi="宋体"/>
                <w:szCs w:val="21"/>
                <w:highlight w:val="none"/>
              </w:rPr>
              <w:t xml:space="preserve">地址：</w:t>
            </w:r>
            <w:r>
              <w:rPr>
                <w:rFonts w:hint="eastAsia" w:ascii="宋体" w:hAnsi="宋体"/>
                <w:sz w:val="21"/>
                <w:szCs w:val="21"/>
                <w:highlight w:val="none"/>
              </w:rPr>
              <w:t xml:space="preserve">苏州市姑苏区南环东路1号</w:t>
            </w:r>
            <w:r/>
          </w:p>
          <w:p>
            <w:pPr>
              <w:jc w:val="left"/>
              <w:rPr>
                <w:rFonts w:hint="eastAsia" w:ascii="宋体" w:hAnsi="宋体" w:eastAsia="宋体"/>
                <w:szCs w:val="21"/>
                <w:highlight w:val="none"/>
                <w:lang w:val="en-US" w:eastAsia="zh-CN"/>
              </w:rPr>
            </w:pPr>
            <w:r>
              <w:rPr>
                <w:rFonts w:hint="eastAsia" w:ascii="宋体" w:hAnsi="宋体"/>
                <w:szCs w:val="21"/>
                <w:highlight w:val="none"/>
              </w:rPr>
              <w:t xml:space="preserve">联系人：</w:t>
            </w:r>
            <w:r>
              <w:rPr>
                <w:rFonts w:hint="eastAsia" w:ascii="宋体" w:hAnsi="宋体"/>
                <w:color w:val="000000" w:themeColor="text1"/>
                <w:szCs w:val="21"/>
                <w:highlight w:val="none"/>
                <w14:textFill>
                  <w14:solidFill>
                    <w14:schemeClr w14:val="tx1"/>
                  </w14:solidFill>
                </w14:textFill>
              </w:rPr>
              <w:t xml:space="preserve">王</w:t>
            </w:r>
            <w:r>
              <w:rPr>
                <w:rFonts w:hint="eastAsia" w:ascii="宋体" w:hAnsi="宋体"/>
                <w:color w:val="000000" w:themeColor="text1"/>
                <w:szCs w:val="21"/>
                <w:highlight w:val="none"/>
                <w:lang w:val="en-US" w:eastAsia="zh-CN"/>
                <w14:textFill>
                  <w14:solidFill>
                    <w14:schemeClr w14:val="tx1"/>
                  </w14:solidFill>
                </w14:textFill>
              </w:rPr>
              <w:t xml:space="preserve">子悦</w:t>
            </w:r>
            <w:r/>
          </w:p>
          <w:p>
            <w:pPr>
              <w:jc w:val="left"/>
              <w:rPr>
                <w:rFonts w:hint="default" w:ascii="宋体" w:hAnsi="宋体" w:eastAsia="宋体"/>
                <w:szCs w:val="21"/>
                <w:highlight w:val="none"/>
                <w:lang w:val="en-US" w:eastAsia="zh-CN"/>
              </w:rPr>
            </w:pPr>
            <w:r>
              <w:rPr>
                <w:rFonts w:hint="eastAsia" w:ascii="宋体" w:hAnsi="宋体"/>
                <w:szCs w:val="21"/>
                <w:highlight w:val="none"/>
              </w:rPr>
              <w:t xml:space="preserve">联系电话：</w:t>
            </w:r>
            <w:r>
              <w:rPr>
                <w:rFonts w:ascii="宋体" w:hAnsi="宋体"/>
                <w:szCs w:val="21"/>
                <w:highlight w:val="none"/>
              </w:rPr>
              <w:t xml:space="preserve">0512</w:t>
            </w:r>
            <w:r>
              <w:rPr>
                <w:rFonts w:hint="eastAsia" w:ascii="宋体" w:hAnsi="宋体"/>
                <w:szCs w:val="21"/>
                <w:highlight w:val="none"/>
                <w:lang w:val="en-US" w:eastAsia="zh-CN"/>
              </w:rPr>
              <w:t xml:space="preserve">-65820320</w:t>
            </w:r>
            <w:r/>
          </w:p>
        </w:tc>
      </w:tr>
      <w:tr>
        <w:trPr>
          <w:trHeight w:val="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textDirection w:val="lrTb"/>
            <w:noWrap/>
          </w:tcPr>
          <w:p>
            <w:pPr>
              <w:jc w:val="center"/>
              <w:rPr>
                <w:rFonts w:ascii="宋体" w:hAnsi="宋体"/>
                <w:szCs w:val="21"/>
              </w:rPr>
            </w:pPr>
            <w:r>
              <w:rPr>
                <w:rFonts w:hint="eastAsia" w:ascii="宋体" w:hAnsi="宋体"/>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6" w:type="dxa"/>
            <w:vAlign w:val="center"/>
            <w:textDirection w:val="lrTb"/>
            <w:noWrap/>
          </w:tcPr>
          <w:p>
            <w:pPr>
              <w:jc w:val="center"/>
              <w:rPr>
                <w:rFonts w:ascii="宋体" w:hAnsi="宋体" w:cs="宋体"/>
                <w:szCs w:val="21"/>
              </w:rPr>
            </w:pPr>
            <w:r>
              <w:rPr>
                <w:rFonts w:hint="eastAsia" w:ascii="宋体" w:hAnsi="宋体" w:cs="宋体"/>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1" w:type="dxa"/>
            <w:vAlign w:val="center"/>
            <w:textDirection w:val="lrTb"/>
            <w:noWrap/>
          </w:tcPr>
          <w:p>
            <w:pPr>
              <w:jc w:val="left"/>
              <w:rPr>
                <w:rFonts w:ascii="宋体" w:hAnsi="宋体" w:cs="宋体"/>
                <w:szCs w:val="21"/>
              </w:rPr>
            </w:pPr>
            <w:r>
              <w:rPr>
                <w:rFonts w:hint="eastAsia" w:ascii="宋体" w:hAnsi="宋体" w:cs="宋体"/>
                <w:szCs w:val="21"/>
              </w:rPr>
              <w:t xml:space="preserve">详见采购文件第二章</w:t>
            </w:r>
            <w:r/>
          </w:p>
        </w:tc>
      </w:tr>
      <w:tr>
        <w:trPr>
          <w:trHeight w:val="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textDirection w:val="lrTb"/>
            <w:noWrap/>
          </w:tcPr>
          <w:p>
            <w:pPr>
              <w:jc w:val="center"/>
              <w:rPr>
                <w:rFonts w:ascii="宋体" w:hAnsi="宋体"/>
                <w:szCs w:val="21"/>
              </w:rPr>
            </w:pPr>
            <w:r>
              <w:rPr>
                <w:rFonts w:hint="eastAsia" w:ascii="宋体" w:hAnsi="宋体"/>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6" w:type="dxa"/>
            <w:vAlign w:val="center"/>
            <w:textDirection w:val="lrTb"/>
            <w:noWrap/>
          </w:tcPr>
          <w:p>
            <w:pPr>
              <w:jc w:val="center"/>
              <w:rPr>
                <w:rFonts w:ascii="宋体" w:hAnsi="宋体" w:cs="宋体"/>
                <w:szCs w:val="21"/>
              </w:rPr>
            </w:pPr>
            <w:r>
              <w:rPr>
                <w:rFonts w:hint="eastAsia" w:ascii="宋体" w:hAnsi="宋体" w:cs="宋体"/>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1" w:type="dxa"/>
            <w:vAlign w:val="center"/>
            <w:textDirection w:val="lrTb"/>
            <w:noWrap/>
          </w:tcPr>
          <w:p>
            <w:pPr>
              <w:jc w:val="left"/>
              <w:rPr>
                <w:rFonts w:ascii="宋体" w:hAnsi="宋体" w:cs="宋体"/>
                <w:szCs w:val="21"/>
              </w:rPr>
            </w:pPr>
            <w:r>
              <w:rPr>
                <w:rFonts w:hint="eastAsia" w:ascii="宋体" w:hAnsi="宋体" w:cs="宋体"/>
                <w:szCs w:val="21"/>
              </w:rPr>
              <w:t xml:space="preserve">本项目不收取磋商保证金</w:t>
            </w:r>
            <w:r/>
          </w:p>
        </w:tc>
      </w:tr>
      <w:tr>
        <w:trPr>
          <w:trHeight w:val="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textDirection w:val="lrTb"/>
            <w:noWrap/>
          </w:tcPr>
          <w:p>
            <w:pPr>
              <w:jc w:val="center"/>
              <w:rPr>
                <w:rFonts w:ascii="宋体" w:hAnsi="宋体"/>
                <w:szCs w:val="21"/>
              </w:rPr>
            </w:pPr>
            <w:r>
              <w:rPr>
                <w:rFonts w:hint="eastAsia" w:ascii="宋体" w:hAnsi="宋体"/>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6" w:type="dxa"/>
            <w:vAlign w:val="center"/>
            <w:textDirection w:val="lrTb"/>
            <w:noWrap/>
          </w:tcPr>
          <w:p>
            <w:pPr>
              <w:jc w:val="center"/>
              <w:rPr>
                <w:rFonts w:ascii="宋体" w:hAnsi="宋体"/>
                <w:szCs w:val="21"/>
              </w:rPr>
            </w:pPr>
            <w:r>
              <w:rPr>
                <w:rFonts w:hint="eastAsia" w:ascii="宋体" w:hAnsi="宋体"/>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1" w:type="dxa"/>
            <w:vAlign w:val="center"/>
            <w:textDirection w:val="lrTb"/>
            <w:noWrap/>
          </w:tcPr>
          <w:p>
            <w:pPr>
              <w:jc w:val="left"/>
              <w:rPr>
                <w:rFonts w:ascii="宋体" w:hAnsi="宋体"/>
                <w:szCs w:val="21"/>
              </w:rPr>
            </w:pPr>
            <w:r>
              <w:rPr>
                <w:rFonts w:hint="eastAsia" w:ascii="宋体" w:hAnsi="宋体"/>
                <w:szCs w:val="21"/>
              </w:rPr>
              <w:t xml:space="preserve">响应文件提交截止之日起六十天（日历日）</w:t>
            </w:r>
            <w:r/>
          </w:p>
        </w:tc>
      </w:tr>
      <w:tr>
        <w:trPr>
          <w:trHeight w:val="5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textDirection w:val="lrTb"/>
            <w:noWrap/>
          </w:tcPr>
          <w:p>
            <w:pPr>
              <w:jc w:val="center"/>
              <w:rPr>
                <w:rFonts w:ascii="宋体" w:hAnsi="宋体"/>
                <w:szCs w:val="21"/>
              </w:rPr>
            </w:pPr>
            <w:r>
              <w:rPr>
                <w:rFonts w:hint="eastAsia" w:ascii="宋体" w:hAnsi="宋体"/>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6" w:type="dxa"/>
            <w:vAlign w:val="center"/>
            <w:textDirection w:val="lrTb"/>
            <w:noWrap/>
          </w:tcPr>
          <w:p>
            <w:pPr>
              <w:jc w:val="center"/>
              <w:rPr>
                <w:rFonts w:ascii="宋体" w:hAnsi="宋体"/>
                <w:szCs w:val="21"/>
              </w:rPr>
            </w:pPr>
            <w:r>
              <w:rPr>
                <w:rFonts w:hint="eastAsia" w:ascii="宋体" w:hAnsi="宋体"/>
                <w:szCs w:val="21"/>
              </w:rPr>
              <w:t xml:space="preserve">获取采购文件</w:t>
            </w:r>
            <w:r/>
          </w:p>
          <w:p>
            <w:pPr>
              <w:jc w:val="center"/>
              <w:rPr>
                <w:rFonts w:ascii="宋体" w:hAnsi="宋体"/>
                <w:szCs w:val="21"/>
              </w:rPr>
            </w:pPr>
            <w:r>
              <w:rPr>
                <w:rFonts w:hint="eastAsia" w:ascii="宋体" w:hAnsi="宋体"/>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1" w:type="dxa"/>
            <w:vAlign w:val="center"/>
            <w:textDirection w:val="lrTb"/>
            <w:noWrap/>
          </w:tcPr>
          <w:p>
            <w:pPr>
              <w:jc w:val="left"/>
              <w:rPr>
                <w:rFonts w:ascii="宋体" w:hAnsi="宋体" w:cs="仿宋"/>
                <w:szCs w:val="21"/>
              </w:rPr>
            </w:pPr>
            <w:r>
              <w:rPr>
                <w:rFonts w:hint="eastAsia" w:ascii="宋体" w:hAnsi="宋体"/>
                <w:szCs w:val="21"/>
              </w:rPr>
              <w:t xml:space="preserve">自公告发布之日起5个工作日</w:t>
            </w:r>
            <w:r/>
          </w:p>
        </w:tc>
      </w:tr>
      <w:tr>
        <w:trPr>
          <w:trHeight w:val="79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textDirection w:val="lrTb"/>
            <w:noWrap/>
          </w:tcPr>
          <w:p>
            <w:pPr>
              <w:jc w:val="center"/>
              <w:rPr>
                <w:rFonts w:ascii="宋体" w:hAnsi="宋体"/>
                <w:szCs w:val="21"/>
              </w:rPr>
            </w:pPr>
            <w:r>
              <w:rPr>
                <w:rFonts w:ascii="宋体" w:hAnsi="宋体"/>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6" w:type="dxa"/>
            <w:vAlign w:val="center"/>
            <w:textDirection w:val="lrTb"/>
            <w:noWrap/>
          </w:tcPr>
          <w:p>
            <w:pPr>
              <w:jc w:val="center"/>
              <w:rPr>
                <w:rFonts w:ascii="宋体" w:hAnsi="宋体"/>
                <w:szCs w:val="21"/>
              </w:rPr>
            </w:pPr>
            <w:r>
              <w:rPr>
                <w:rFonts w:hint="eastAsia" w:ascii="宋体" w:hAnsi="宋体"/>
                <w:szCs w:val="21"/>
              </w:rPr>
              <w:t xml:space="preserve">响应文件网上</w:t>
            </w:r>
            <w:r/>
          </w:p>
          <w:p>
            <w:pPr>
              <w:jc w:val="center"/>
              <w:rPr>
                <w:rFonts w:ascii="宋体" w:hAnsi="宋体"/>
                <w:szCs w:val="21"/>
              </w:rPr>
            </w:pPr>
            <w:r>
              <w:rPr>
                <w:rFonts w:hint="eastAsia" w:ascii="宋体" w:hAnsi="宋体"/>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1" w:type="dxa"/>
            <w:vAlign w:val="center"/>
            <w:textDirection w:val="lrTb"/>
            <w:noWrap/>
          </w:tcPr>
          <w:p>
            <w:pPr>
              <w:jc w:val="left"/>
              <w:rPr>
                <w:rFonts w:ascii="宋体" w:hAnsi="宋体"/>
                <w:szCs w:val="21"/>
              </w:rPr>
            </w:pPr>
            <w:r>
              <w:rPr>
                <w:rFonts w:hint="eastAsia" w:ascii="宋体" w:hAnsi="宋体" w:cs="宋体"/>
                <w:szCs w:val="21"/>
              </w:rPr>
              <w:t xml:space="preserve">202</w:t>
            </w:r>
            <w:r>
              <w:rPr>
                <w:rFonts w:hint="eastAsia" w:ascii="宋体" w:hAnsi="宋体" w:cs="宋体"/>
                <w:szCs w:val="21"/>
                <w:highlight w:val="white"/>
                <w:lang w:val="en-US" w:eastAsia="zh-CN"/>
              </w:rPr>
              <w:t xml:space="preserve">6</w:t>
            </w:r>
            <w:r>
              <w:rPr>
                <w:rFonts w:hint="eastAsia" w:ascii="宋体" w:hAnsi="宋体" w:cs="宋体"/>
                <w:szCs w:val="21"/>
                <w:highlight w:val="white"/>
              </w:rPr>
              <w:t xml:space="preserve">年</w:t>
            </w:r>
            <w:r>
              <w:rPr>
                <w:rFonts w:hint="eastAsia" w:ascii="宋体" w:hAnsi="宋体" w:cs="宋体"/>
                <w:szCs w:val="21"/>
                <w:highlight w:val="white"/>
              </w:rPr>
              <w:t xml:space="preserve">9</w:t>
            </w:r>
            <w:r>
              <w:rPr>
                <w:rFonts w:hint="eastAsia" w:ascii="宋体" w:hAnsi="宋体" w:cs="宋体"/>
                <w:szCs w:val="21"/>
                <w:highlight w:val="white"/>
              </w:rPr>
              <w:t xml:space="preserve">月</w:t>
            </w:r>
            <w:r>
              <w:rPr>
                <w:rFonts w:hint="eastAsia" w:ascii="宋体" w:hAnsi="宋体" w:cs="宋体"/>
                <w:szCs w:val="21"/>
                <w:highlight w:val="white"/>
              </w:rPr>
              <w:t xml:space="preserve">7日</w:t>
            </w:r>
            <w:r>
              <w:rPr>
                <w:rFonts w:ascii="宋体" w:hAnsi="宋体" w:cs="宋体"/>
                <w:szCs w:val="21"/>
                <w:highlight w:val="white"/>
              </w:rPr>
              <w:t xml:space="preserve">1</w:t>
            </w:r>
            <w:r>
              <w:rPr>
                <w:rFonts w:ascii="宋体" w:hAnsi="宋体" w:cs="宋体"/>
                <w:szCs w:val="21"/>
              </w:rPr>
              <w:t xml:space="preserve">3</w:t>
            </w:r>
            <w:r>
              <w:rPr>
                <w:rFonts w:hint="eastAsia" w:ascii="宋体" w:hAnsi="宋体" w:cs="宋体"/>
                <w:szCs w:val="21"/>
              </w:rPr>
              <w:t xml:space="preserve">点</w:t>
            </w:r>
            <w:r>
              <w:rPr>
                <w:rFonts w:ascii="宋体" w:hAnsi="宋体" w:cs="宋体"/>
                <w:szCs w:val="21"/>
              </w:rPr>
              <w:t xml:space="preserve">30</w:t>
            </w:r>
            <w:r>
              <w:rPr>
                <w:rFonts w:hint="eastAsia" w:ascii="宋体" w:hAnsi="宋体" w:cs="宋体"/>
                <w:szCs w:val="21"/>
              </w:rPr>
              <w:t xml:space="preserve">分</w:t>
            </w:r>
            <w:r>
              <w:rPr>
                <w:rFonts w:hint="eastAsia" w:ascii="宋体" w:hAnsi="宋体"/>
                <w:szCs w:val="21"/>
              </w:rPr>
              <w:t xml:space="preserve">（北京时间）</w:t>
            </w:r>
            <w:r/>
          </w:p>
          <w:p>
            <w:pPr>
              <w:jc w:val="left"/>
              <w:rPr>
                <w:rFonts w:ascii="宋体" w:hAnsi="宋体"/>
                <w:szCs w:val="21"/>
              </w:rPr>
            </w:pPr>
            <w:r>
              <w:rPr>
                <w:rFonts w:hint="eastAsia" w:ascii="宋体" w:hAnsi="宋体"/>
                <w:szCs w:val="21"/>
              </w:rPr>
              <w:t xml:space="preserve">响应文件必须在截止时间前完成提交（上传），逾期提交（上传）的响应文件恕不接受。</w:t>
            </w:r>
            <w:r/>
          </w:p>
        </w:tc>
      </w:tr>
      <w:tr>
        <w:trPr>
          <w:trHeight w:val="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textDirection w:val="lrTb"/>
            <w:noWrap/>
          </w:tcPr>
          <w:p>
            <w:pPr>
              <w:jc w:val="center"/>
              <w:rPr>
                <w:rFonts w:ascii="宋体" w:hAnsi="宋体"/>
                <w:szCs w:val="21"/>
              </w:rPr>
            </w:pPr>
            <w:r>
              <w:rPr>
                <w:rFonts w:hint="eastAsia" w:ascii="宋体" w:hAnsi="宋体"/>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6" w:type="dxa"/>
            <w:vAlign w:val="center"/>
            <w:textDirection w:val="lrTb"/>
            <w:noWrap/>
          </w:tcPr>
          <w:p>
            <w:pPr>
              <w:jc w:val="center"/>
              <w:rPr>
                <w:rFonts w:ascii="宋体" w:hAnsi="宋体"/>
                <w:szCs w:val="21"/>
              </w:rPr>
            </w:pPr>
            <w:r>
              <w:rPr>
                <w:rFonts w:hint="eastAsia" w:ascii="宋体" w:hAnsi="宋体"/>
                <w:szCs w:val="21"/>
              </w:rPr>
              <w:t xml:space="preserve">开启时间</w:t>
            </w:r>
            <w:r/>
          </w:p>
          <w:p>
            <w:pPr>
              <w:jc w:val="center"/>
              <w:rPr>
                <w:rFonts w:ascii="宋体" w:hAnsi="宋体"/>
                <w:szCs w:val="21"/>
              </w:rPr>
            </w:pPr>
            <w:r>
              <w:rPr>
                <w:rFonts w:hint="eastAsia" w:ascii="宋体" w:hAnsi="宋体"/>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1" w:type="dxa"/>
            <w:vAlign w:val="center"/>
            <w:textDirection w:val="lrTb"/>
            <w:noWrap/>
          </w:tcPr>
          <w:p>
            <w:pPr>
              <w:jc w:val="left"/>
              <w:rPr>
                <w:rFonts w:ascii="宋体" w:hAnsi="宋体"/>
                <w:szCs w:val="21"/>
              </w:rPr>
            </w:pPr>
            <w:r>
              <w:rPr>
                <w:rFonts w:hint="eastAsia" w:ascii="宋体" w:hAnsi="宋体" w:cs="宋体"/>
                <w:szCs w:val="21"/>
              </w:rPr>
              <w:t xml:space="preserve">202</w:t>
            </w:r>
            <w:r>
              <w:rPr>
                <w:rFonts w:hint="eastAsia" w:ascii="宋体" w:hAnsi="宋体" w:cs="宋体"/>
                <w:szCs w:val="21"/>
                <w:lang w:val="en-US" w:eastAsia="zh-CN"/>
              </w:rPr>
              <w:t xml:space="preserve">6</w:t>
            </w:r>
            <w:r>
              <w:rPr>
                <w:rFonts w:hint="eastAsia" w:ascii="宋体" w:hAnsi="宋体" w:cs="宋体"/>
                <w:szCs w:val="21"/>
              </w:rPr>
              <w:t xml:space="preserve">年</w:t>
            </w:r>
            <w:r>
              <w:rPr>
                <w:rFonts w:hint="eastAsia" w:ascii="宋体" w:hAnsi="宋体" w:cs="宋体"/>
                <w:szCs w:val="21"/>
                <w:highlight w:val="white"/>
              </w:rPr>
            </w:r>
            <w:r>
              <w:rPr>
                <w:rFonts w:hint="eastAsia" w:ascii="宋体" w:hAnsi="宋体" w:cs="宋体"/>
                <w:szCs w:val="21"/>
                <w:highlight w:val="white"/>
              </w:rPr>
              <w:t xml:space="preserve">9</w:t>
            </w:r>
            <w:r>
              <w:rPr>
                <w:rFonts w:hint="eastAsia" w:ascii="宋体" w:hAnsi="宋体" w:cs="宋体"/>
                <w:szCs w:val="21"/>
                <w:highlight w:val="white"/>
              </w:rPr>
              <w:t xml:space="preserve">月</w:t>
            </w:r>
            <w:r>
              <w:rPr>
                <w:rFonts w:hint="eastAsia" w:ascii="宋体" w:hAnsi="宋体" w:cs="宋体"/>
                <w:szCs w:val="21"/>
                <w:highlight w:val="white"/>
              </w:rPr>
              <w:t xml:space="preserve">7日</w:t>
            </w:r>
            <w:r/>
            <w:r>
              <w:rPr>
                <w:rFonts w:hint="eastAsia" w:ascii="宋体" w:hAnsi="宋体" w:cs="宋体"/>
                <w:szCs w:val="21"/>
              </w:rPr>
            </w:r>
            <w:r>
              <w:rPr>
                <w:rFonts w:ascii="宋体" w:hAnsi="宋体" w:cs="宋体"/>
                <w:szCs w:val="21"/>
              </w:rPr>
              <w:t xml:space="preserve">13</w:t>
            </w:r>
            <w:r>
              <w:rPr>
                <w:rFonts w:hint="eastAsia" w:ascii="宋体" w:hAnsi="宋体" w:cs="宋体"/>
                <w:szCs w:val="21"/>
              </w:rPr>
              <w:t xml:space="preserve">点</w:t>
            </w:r>
            <w:r>
              <w:rPr>
                <w:rFonts w:ascii="宋体" w:hAnsi="宋体" w:cs="宋体"/>
                <w:szCs w:val="21"/>
              </w:rPr>
              <w:t xml:space="preserve">30</w:t>
            </w:r>
            <w:r>
              <w:rPr>
                <w:rFonts w:hint="eastAsia" w:ascii="宋体" w:hAnsi="宋体" w:cs="宋体"/>
                <w:szCs w:val="21"/>
              </w:rPr>
              <w:t xml:space="preserve">分</w:t>
            </w:r>
            <w:r>
              <w:rPr>
                <w:rFonts w:hint="eastAsia" w:ascii="宋体" w:hAnsi="宋体"/>
                <w:szCs w:val="21"/>
              </w:rPr>
              <w:t xml:space="preserve">（北京时间）</w:t>
            </w:r>
            <w:r/>
          </w:p>
          <w:p>
            <w:pPr>
              <w:jc w:val="left"/>
              <w:rPr>
                <w:rFonts w:ascii="宋体" w:hAnsi="宋体"/>
                <w:szCs w:val="21"/>
              </w:rPr>
            </w:pPr>
            <w:r>
              <w:rPr>
                <w:rFonts w:hint="eastAsia" w:ascii="宋体" w:hAnsi="宋体"/>
                <w:szCs w:val="21"/>
              </w:rPr>
              <w:t xml:space="preserve">“苏采云”系统（网址：</w:t>
            </w:r>
            <w:r>
              <w:fldChar w:fldCharType="begin"/>
            </w:r>
            <w:r>
              <w:instrText xml:space="preserve"> HYPERLINK "http://jszfcg.jsczt.cn/" \o "http://jszfcg.jsczt.cn/" </w:instrText>
            </w:r>
            <w:r>
              <w:fldChar w:fldCharType="separate"/>
            </w:r>
            <w:r>
              <w:rPr>
                <w:rFonts w:hint="eastAsia" w:ascii="宋体" w:hAnsi="宋体"/>
                <w:szCs w:val="21"/>
              </w:rPr>
              <w:t xml:space="preserve">http://jszfcg.jsczt.cn/</w:t>
            </w:r>
            <w:r>
              <w:rPr>
                <w:rFonts w:hint="eastAsia" w:ascii="宋体" w:hAnsi="宋体"/>
                <w:szCs w:val="21"/>
              </w:rPr>
              <w:fldChar w:fldCharType="end"/>
            </w:r>
            <w:r>
              <w:rPr>
                <w:rFonts w:hint="eastAsia" w:ascii="宋体" w:hAnsi="宋体"/>
                <w:szCs w:val="21"/>
              </w:rPr>
              <w:t xml:space="preserve">）</w:t>
            </w:r>
            <w:r/>
          </w:p>
          <w:p>
            <w:pPr>
              <w:jc w:val="left"/>
              <w:rPr>
                <w:rFonts w:ascii="宋体" w:hAnsi="宋体"/>
                <w:szCs w:val="21"/>
              </w:rPr>
            </w:pPr>
            <w:r>
              <w:rPr>
                <w:rFonts w:hint="eastAsia" w:ascii="宋体" w:hAnsi="宋体"/>
                <w:b/>
                <w:szCs w:val="21"/>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p>
        </w:tc>
      </w:tr>
      <w:tr>
        <w:trPr>
          <w:trHeight w:val="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textDirection w:val="lrTb"/>
            <w:noWrap/>
          </w:tcPr>
          <w:p>
            <w:pPr>
              <w:jc w:val="center"/>
              <w:rPr>
                <w:rFonts w:ascii="宋体" w:hAnsi="宋体"/>
                <w:szCs w:val="21"/>
              </w:rPr>
            </w:pPr>
            <w:r>
              <w:rPr>
                <w:rFonts w:ascii="宋体" w:hAnsi="宋体"/>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6" w:type="dxa"/>
            <w:vAlign w:val="center"/>
            <w:textDirection w:val="lrTb"/>
            <w:noWrap/>
          </w:tcPr>
          <w:p>
            <w:pPr>
              <w:jc w:val="center"/>
              <w:rPr>
                <w:rFonts w:ascii="宋体" w:hAnsi="宋体"/>
                <w:szCs w:val="21"/>
              </w:rPr>
            </w:pPr>
            <w:r>
              <w:rPr>
                <w:rFonts w:hint="eastAsia" w:ascii="宋体" w:hAnsi="宋体"/>
                <w:szCs w:val="21"/>
              </w:rPr>
              <w:t xml:space="preserve">评审时间</w:t>
            </w:r>
            <w:r/>
          </w:p>
          <w:p>
            <w:pPr>
              <w:jc w:val="center"/>
              <w:rPr>
                <w:rFonts w:ascii="宋体" w:hAnsi="宋体"/>
                <w:szCs w:val="21"/>
              </w:rPr>
            </w:pPr>
            <w:r>
              <w:rPr>
                <w:rFonts w:hint="eastAsia" w:ascii="宋体" w:hAnsi="宋体"/>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1" w:type="dxa"/>
            <w:vAlign w:val="center"/>
            <w:textDirection w:val="lrTb"/>
            <w:noWrap/>
          </w:tcPr>
          <w:p>
            <w:pPr>
              <w:jc w:val="left"/>
              <w:rPr>
                <w:rFonts w:ascii="宋体" w:hAnsi="宋体"/>
                <w:szCs w:val="21"/>
              </w:rPr>
            </w:pPr>
            <w:r>
              <w:rPr>
                <w:rFonts w:hint="eastAsia" w:ascii="宋体" w:hAnsi="宋体" w:cs="宋体"/>
                <w:szCs w:val="21"/>
              </w:rPr>
              <w:t xml:space="preserve">202</w:t>
            </w:r>
            <w:r>
              <w:rPr>
                <w:rFonts w:hint="eastAsia" w:ascii="宋体" w:hAnsi="宋体" w:cs="宋体"/>
                <w:szCs w:val="21"/>
                <w:lang w:val="en-US" w:eastAsia="zh-CN"/>
              </w:rPr>
              <w:t xml:space="preserve">6</w:t>
            </w:r>
            <w:r>
              <w:rPr>
                <w:rFonts w:hint="eastAsia" w:ascii="宋体" w:hAnsi="宋体" w:cs="宋体"/>
                <w:szCs w:val="21"/>
              </w:rPr>
              <w:t xml:space="preserve">年</w:t>
            </w:r>
            <w:r>
              <w:rPr>
                <w:rFonts w:hint="eastAsia" w:ascii="宋体" w:hAnsi="宋体" w:cs="宋体"/>
                <w:szCs w:val="21"/>
                <w:highlight w:val="white"/>
              </w:rPr>
            </w:r>
            <w:r>
              <w:rPr>
                <w:rFonts w:hint="eastAsia" w:ascii="宋体" w:hAnsi="宋体" w:cs="宋体"/>
                <w:szCs w:val="21"/>
                <w:highlight w:val="white"/>
              </w:rPr>
              <w:t xml:space="preserve">9</w:t>
            </w:r>
            <w:r>
              <w:rPr>
                <w:rFonts w:hint="eastAsia" w:ascii="宋体" w:hAnsi="宋体" w:cs="宋体"/>
                <w:szCs w:val="21"/>
                <w:highlight w:val="white"/>
              </w:rPr>
              <w:t xml:space="preserve">月</w:t>
            </w:r>
            <w:r>
              <w:rPr>
                <w:rFonts w:hint="eastAsia" w:ascii="宋体" w:hAnsi="宋体" w:cs="宋体"/>
                <w:szCs w:val="21"/>
                <w:highlight w:val="white"/>
              </w:rPr>
              <w:t xml:space="preserve">7日</w:t>
            </w:r>
            <w:r/>
            <w:r>
              <w:rPr>
                <w:rFonts w:hint="eastAsia" w:ascii="宋体" w:hAnsi="宋体" w:cs="宋体"/>
                <w:szCs w:val="21"/>
              </w:rPr>
            </w:r>
            <w:r>
              <w:rPr>
                <w:rFonts w:ascii="宋体" w:hAnsi="宋体" w:cs="宋体"/>
                <w:szCs w:val="21"/>
              </w:rPr>
              <w:t xml:space="preserve">13</w:t>
            </w:r>
            <w:r>
              <w:rPr>
                <w:rFonts w:hint="eastAsia" w:ascii="宋体" w:hAnsi="宋体" w:cs="宋体"/>
                <w:szCs w:val="21"/>
              </w:rPr>
              <w:t xml:space="preserve">点</w:t>
            </w:r>
            <w:r>
              <w:rPr>
                <w:rFonts w:ascii="宋体" w:hAnsi="宋体" w:cs="宋体"/>
                <w:szCs w:val="21"/>
              </w:rPr>
              <w:t xml:space="preserve">30</w:t>
            </w:r>
            <w:r>
              <w:rPr>
                <w:rFonts w:hint="eastAsia" w:ascii="宋体" w:hAnsi="宋体" w:cs="宋体"/>
                <w:szCs w:val="21"/>
              </w:rPr>
              <w:t xml:space="preserve">分</w:t>
            </w:r>
            <w:r>
              <w:rPr>
                <w:rFonts w:hint="eastAsia" w:ascii="宋体" w:hAnsi="宋体"/>
                <w:szCs w:val="21"/>
              </w:rPr>
              <w:t xml:space="preserve">（北京时间）</w:t>
            </w:r>
            <w:r/>
          </w:p>
          <w:p>
            <w:pPr>
              <w:jc w:val="left"/>
              <w:rPr>
                <w:rFonts w:ascii="宋体" w:hAnsi="宋体"/>
                <w:szCs w:val="21"/>
              </w:rPr>
            </w:pPr>
            <w:r>
              <w:rPr>
                <w:rFonts w:hint="eastAsia" w:ascii="宋体" w:hAnsi="宋体"/>
                <w:szCs w:val="21"/>
              </w:rPr>
              <w:t xml:space="preserve">苏州市高新区邓尉路105号狮山科技馆</w:t>
            </w:r>
            <w:r/>
          </w:p>
        </w:tc>
      </w:tr>
      <w:tr>
        <w:trPr>
          <w:trHeight w:val="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textDirection w:val="lrTb"/>
            <w:noWrap/>
          </w:tcPr>
          <w:p>
            <w:pPr>
              <w:jc w:val="center"/>
              <w:rPr>
                <w:rFonts w:ascii="宋体" w:hAnsi="宋体"/>
                <w:szCs w:val="21"/>
              </w:rPr>
            </w:pPr>
            <w:r>
              <w:rPr>
                <w:rFonts w:ascii="宋体" w:hAnsi="宋体"/>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6" w:type="dxa"/>
            <w:vAlign w:val="center"/>
            <w:textDirection w:val="lrTb"/>
            <w:noWrap/>
          </w:tcPr>
          <w:p>
            <w:pPr>
              <w:jc w:val="center"/>
              <w:rPr>
                <w:rFonts w:ascii="宋体" w:hAnsi="宋体"/>
                <w:szCs w:val="21"/>
              </w:rPr>
            </w:pPr>
            <w:r>
              <w:rPr>
                <w:rFonts w:hint="eastAsia" w:ascii="宋体" w:hAnsi="宋体"/>
                <w:szCs w:val="21"/>
              </w:rPr>
              <w:t xml:space="preserve">磋商响应</w:t>
            </w:r>
            <w:r/>
          </w:p>
          <w:p>
            <w:pPr>
              <w:jc w:val="center"/>
              <w:rPr>
                <w:rFonts w:ascii="宋体" w:hAnsi="宋体"/>
                <w:szCs w:val="21"/>
              </w:rPr>
            </w:pPr>
            <w:r>
              <w:rPr>
                <w:rFonts w:hint="eastAsia" w:ascii="宋体" w:hAnsi="宋体"/>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1" w:type="dxa"/>
            <w:vAlign w:val="center"/>
            <w:textDirection w:val="lrTb"/>
            <w:noWrap/>
          </w:tcPr>
          <w:p>
            <w:pPr>
              <w:rPr>
                <w:rFonts w:ascii="宋体" w:hAnsi="宋体"/>
                <w:szCs w:val="21"/>
              </w:rPr>
            </w:pPr>
            <w:r>
              <w:rPr>
                <w:rFonts w:hint="eastAsia" w:ascii="宋体" w:hAnsi="宋体"/>
                <w:szCs w:val="21"/>
              </w:rPr>
              <w:t xml:space="preserve">本项目采用电子响应文件，供应商按照采购文件要求制作上传电子响应文件，供应商无需提供纸质响应文件。</w:t>
            </w:r>
            <w:r/>
          </w:p>
        </w:tc>
      </w:tr>
      <w:tr>
        <w:trPr>
          <w:trHeight w:val="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textDirection w:val="lrTb"/>
            <w:noWrap/>
          </w:tcPr>
          <w:p>
            <w:pPr>
              <w:jc w:val="center"/>
              <w:rPr>
                <w:rFonts w:ascii="宋体" w:hAnsi="宋体"/>
                <w:szCs w:val="21"/>
              </w:rPr>
            </w:pPr>
            <w:r>
              <w:rPr>
                <w:rFonts w:ascii="宋体" w:hAnsi="宋体"/>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6" w:type="dxa"/>
            <w:vAlign w:val="center"/>
            <w:textDirection w:val="lrTb"/>
            <w:noWrap/>
          </w:tcPr>
          <w:p>
            <w:pPr>
              <w:jc w:val="center"/>
              <w:rPr>
                <w:rFonts w:ascii="宋体" w:hAnsi="宋体"/>
                <w:szCs w:val="21"/>
              </w:rPr>
            </w:pPr>
            <w:r>
              <w:rPr>
                <w:rFonts w:hint="eastAsia" w:ascii="宋体" w:hAnsi="宋体"/>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1" w:type="dxa"/>
            <w:vAlign w:val="center"/>
            <w:textDirection w:val="lrTb"/>
            <w:noWrap/>
          </w:tcPr>
          <w:p>
            <w:pPr>
              <w:jc w:val="left"/>
              <w:rPr>
                <w:rFonts w:ascii="宋体" w:hAnsi="宋体"/>
                <w:szCs w:val="21"/>
              </w:rPr>
            </w:pPr>
            <w:r>
              <w:rPr>
                <w:rFonts w:hint="eastAsia" w:ascii="宋体" w:hAnsi="宋体"/>
                <w:szCs w:val="21"/>
              </w:rPr>
              <w:t xml:space="preserve">人民币  </w:t>
            </w:r>
            <w:r/>
          </w:p>
        </w:tc>
      </w:tr>
      <w:tr>
        <w:trPr>
          <w:trHeight w:val="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textDirection w:val="lrTb"/>
            <w:noWrap/>
          </w:tcPr>
          <w:p>
            <w:pPr>
              <w:jc w:val="center"/>
              <w:rPr>
                <w:rFonts w:ascii="宋体" w:hAnsi="宋体"/>
                <w:szCs w:val="21"/>
                <w:highlight w:val="none"/>
              </w:rPr>
            </w:pPr>
            <w:r>
              <w:rPr>
                <w:rFonts w:ascii="宋体" w:hAnsi="宋体"/>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6" w:type="dxa"/>
            <w:vAlign w:val="center"/>
            <w:textDirection w:val="lrTb"/>
            <w:noWrap/>
          </w:tcPr>
          <w:p>
            <w:pPr>
              <w:jc w:val="center"/>
              <w:rPr>
                <w:rFonts w:ascii="宋体" w:hAnsi="宋体"/>
                <w:szCs w:val="21"/>
                <w:highlight w:val="none"/>
              </w:rPr>
            </w:pPr>
            <w:r>
              <w:rPr>
                <w:rFonts w:hint="eastAsia" w:ascii="宋体" w:hAnsi="宋体" w:cs="宋体"/>
                <w:szCs w:val="21"/>
                <w:highlight w:val="none"/>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1" w:type="dxa"/>
            <w:vAlign w:val="center"/>
            <w:textDirection w:val="lrTb"/>
            <w:noWrap/>
          </w:tcPr>
          <w:p>
            <w:pPr>
              <w:jc w:val="left"/>
              <w:rPr>
                <w:rFonts w:ascii="宋体" w:hAnsi="宋体"/>
                <w:szCs w:val="21"/>
                <w:highlight w:val="none"/>
              </w:rPr>
            </w:pPr>
            <w:r>
              <w:rPr>
                <w:rFonts w:hint="eastAsia" w:ascii="宋体" w:hAnsi="宋体"/>
                <w:szCs w:val="21"/>
                <w:highlight w:val="none"/>
              </w:rPr>
              <w:t xml:space="preserve">无</w:t>
            </w:r>
            <w:r/>
          </w:p>
        </w:tc>
      </w:tr>
      <w:tr>
        <w:trPr>
          <w:trHeight w:val="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textDirection w:val="lrTb"/>
            <w:noWrap/>
          </w:tcPr>
          <w:p>
            <w:pPr>
              <w:jc w:val="center"/>
              <w:rPr>
                <w:rFonts w:ascii="宋体" w:hAnsi="宋体"/>
                <w:szCs w:val="21"/>
              </w:rPr>
            </w:pPr>
            <w:r>
              <w:rPr>
                <w:rFonts w:ascii="宋体" w:hAnsi="宋体"/>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6" w:type="dxa"/>
            <w:vAlign w:val="center"/>
            <w:textDirection w:val="lrTb"/>
            <w:noWrap/>
          </w:tcPr>
          <w:p>
            <w:pPr>
              <w:jc w:val="center"/>
              <w:rPr>
                <w:rFonts w:ascii="宋体" w:hAnsi="宋体"/>
                <w:szCs w:val="21"/>
              </w:rPr>
            </w:pPr>
            <w:r>
              <w:rPr>
                <w:rFonts w:hint="eastAsia" w:ascii="宋体" w:hAnsi="宋体"/>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1" w:type="dxa"/>
            <w:vAlign w:val="center"/>
            <w:textDirection w:val="lrTb"/>
            <w:noWrap/>
          </w:tcPr>
          <w:p>
            <w:pPr>
              <w:pStyle w:val="934"/>
              <w:ind w:firstLine="420"/>
              <w:spacing w:line="240" w:lineRule="auto"/>
              <w:rPr>
                <w:rFonts w:cs="宋体"/>
                <w:sz w:val="21"/>
                <w:szCs w:val="21"/>
              </w:rPr>
            </w:pPr>
            <w:r>
              <w:rPr>
                <w:rFonts w:hint="eastAsia" w:cs="宋体"/>
                <w:sz w:val="21"/>
                <w:szCs w:val="21"/>
              </w:rPr>
              <w:t xml:space="preserve">确定出成交单位后，采购代理机构在法定时间内向成交单位发出成交通知书。成交通知书将成为合同的组成部分。</w:t>
            </w:r>
            <w:r/>
          </w:p>
          <w:p>
            <w:pPr>
              <w:pStyle w:val="934"/>
              <w:ind w:firstLine="422"/>
              <w:spacing w:line="240" w:lineRule="auto"/>
              <w:rPr>
                <w:rFonts w:cs="宋体"/>
                <w:sz w:val="21"/>
                <w:szCs w:val="21"/>
              </w:rPr>
            </w:pPr>
            <w:r>
              <w:rPr>
                <w:rFonts w:hint="eastAsia" w:cs="宋体"/>
                <w:b/>
                <w:sz w:val="21"/>
                <w:szCs w:val="21"/>
              </w:rPr>
              <w:t xml:space="preserve">请成交单位在成交结果公告届满之日起30日内,使用CA证书登录“苏采云”系统及时下载成交通知书。</w:t>
            </w:r>
            <w:r/>
          </w:p>
        </w:tc>
      </w:tr>
    </w:tbl>
    <w:p>
      <w:r/>
      <w:r/>
    </w:p>
    <w:p>
      <w:pPr>
        <w:jc w:val="left"/>
        <w:widowControl/>
        <w:rPr>
          <w:rFonts w:ascii="宋体" w:hAnsi="宋体" w:cs="宋体"/>
          <w:b/>
          <w:sz w:val="43"/>
        </w:rPr>
      </w:pPr>
      <w:r>
        <w:rPr>
          <w:rFonts w:ascii="宋体" w:hAnsi="宋体" w:cs="宋体"/>
          <w:b/>
          <w:sz w:val="43"/>
        </w:rPr>
        <w:br w:type="page" w:clear="all"/>
      </w:r>
      <w:r/>
    </w:p>
    <w:p>
      <w:pPr>
        <w:pStyle w:val="722"/>
        <w:ind w:left="0" w:firstLine="0"/>
        <w:jc w:val="center"/>
        <w:spacing w:line="480" w:lineRule="auto"/>
        <w:rPr>
          <w:b/>
          <w:sz w:val="44"/>
          <w:szCs w:val="44"/>
        </w:rPr>
      </w:pPr>
      <w:r>
        <w:rPr>
          <w:rFonts w:hint="eastAsia"/>
          <w:b/>
          <w:sz w:val="44"/>
          <w:szCs w:val="44"/>
        </w:rPr>
        <w:t xml:space="preserve">第一章磋商邀请函</w:t>
      </w:r>
      <w:r/>
    </w:p>
    <w:p>
      <w:pPr>
        <w:ind w:firstLine="420"/>
        <w:spacing w:line="360" w:lineRule="auto"/>
        <w:rPr>
          <w:rFonts w:ascii="宋体" w:hAnsi="宋体" w:cs="宋体"/>
          <w:bCs/>
          <w:szCs w:val="21"/>
          <w:lang w:val="zh-CN"/>
        </w:rPr>
      </w:pPr>
      <w:r/>
      <w:bookmarkStart w:id="4" w:name="_Toc16571"/>
      <w:r/>
      <w:bookmarkStart w:id="5" w:name="_Toc3644"/>
      <w:r>
        <w:rPr>
          <w:rFonts w:hint="eastAsia" w:ascii="宋体" w:hAnsi="宋体" w:cs="宋体"/>
          <w:bCs/>
          <w:szCs w:val="21"/>
          <w:lang w:val="zh-CN"/>
        </w:rPr>
        <w:t xml:space="preserve">项目概况：</w:t>
      </w:r>
      <w:r>
        <w:rPr>
          <w:rFonts w:hint="eastAsia" w:ascii="宋体" w:hAnsi="宋体" w:cs="宋体"/>
          <w:bCs/>
          <w:szCs w:val="21"/>
          <w:u w:val="single"/>
          <w:lang w:val="zh-CN"/>
        </w:rPr>
        <w:t xml:space="preserve">2026年TOCC大屏、精密空调、UPS主机等维保</w:t>
      </w:r>
      <w:r>
        <w:rPr>
          <w:rFonts w:hint="eastAsia" w:ascii="宋体" w:hAnsi="宋体" w:cs="宋体"/>
          <w:bCs/>
          <w:szCs w:val="21"/>
          <w:lang w:val="zh-CN"/>
        </w:rPr>
        <w:t xml:space="preserve">的潜在供应商应在 </w:t>
      </w:r>
      <w:r>
        <w:rPr>
          <w:rFonts w:hint="eastAsia" w:ascii="宋体" w:hAnsi="宋体" w:cs="宋体"/>
          <w:bCs/>
          <w:szCs w:val="21"/>
          <w:u w:val="single"/>
          <w:lang w:val="zh-CN"/>
        </w:rPr>
        <w:t xml:space="preserve">“苏采云”系统（网址：http://jszfcg.jsczt.cn/） </w:t>
      </w:r>
      <w:r>
        <w:rPr>
          <w:rFonts w:hint="eastAsia" w:ascii="宋体" w:hAnsi="宋体" w:cs="宋体"/>
          <w:bCs/>
          <w:szCs w:val="21"/>
          <w:lang w:val="zh-CN"/>
        </w:rPr>
        <w:t xml:space="preserve">获取采购文件，并</w:t>
      </w:r>
      <w:r>
        <w:rPr>
          <w:rFonts w:hint="eastAsia" w:ascii="宋体" w:hAnsi="宋体" w:cs="宋体"/>
          <w:bCs/>
          <w:szCs w:val="21"/>
          <w:u w:val="single"/>
          <w:lang w:val="zh-CN"/>
        </w:rPr>
        <w:t xml:space="preserve">于</w:t>
      </w:r>
      <w:r>
        <w:rPr>
          <w:rFonts w:hint="eastAsia" w:ascii="宋体" w:hAnsi="宋体" w:cs="宋体"/>
          <w:szCs w:val="21"/>
          <w:u w:val="single"/>
        </w:rPr>
        <w:t xml:space="preserve">2026年9月7日</w:t>
      </w:r>
      <w:r>
        <w:rPr>
          <w:rFonts w:hint="eastAsia" w:ascii="宋体" w:hAnsi="宋体" w:cs="宋体"/>
          <w:bCs/>
          <w:szCs w:val="21"/>
          <w:highlight w:val="none"/>
          <w:u w:val="single"/>
        </w:rPr>
        <w:t xml:space="preserve">1</w:t>
      </w:r>
      <w:r>
        <w:rPr>
          <w:rFonts w:hint="eastAsia" w:ascii="宋体" w:hAnsi="宋体" w:cs="宋体"/>
          <w:bCs/>
          <w:szCs w:val="21"/>
          <w:u w:val="single"/>
        </w:rPr>
        <w:t xml:space="preserve">3</w:t>
      </w:r>
      <w:r>
        <w:rPr>
          <w:rFonts w:hint="eastAsia" w:ascii="宋体" w:hAnsi="宋体" w:cs="宋体"/>
          <w:bCs/>
          <w:szCs w:val="21"/>
          <w:u w:val="single"/>
          <w:lang w:val="zh-CN"/>
        </w:rPr>
        <w:t xml:space="preserve">点</w:t>
      </w:r>
      <w:r>
        <w:rPr>
          <w:rFonts w:hint="eastAsia" w:ascii="宋体" w:hAnsi="宋体" w:cs="宋体"/>
          <w:bCs/>
          <w:szCs w:val="21"/>
          <w:u w:val="single"/>
        </w:rPr>
        <w:t xml:space="preserve">30</w:t>
      </w:r>
      <w:r>
        <w:rPr>
          <w:rFonts w:hint="eastAsia" w:ascii="宋体" w:hAnsi="宋体" w:cs="宋体"/>
          <w:bCs/>
          <w:szCs w:val="21"/>
          <w:u w:val="single"/>
          <w:lang w:val="zh-CN"/>
        </w:rPr>
        <w:t xml:space="preserve"> 分（北京时间）</w:t>
      </w:r>
      <w:r>
        <w:rPr>
          <w:rFonts w:hint="eastAsia" w:ascii="宋体" w:hAnsi="宋体" w:cs="宋体"/>
          <w:bCs/>
          <w:szCs w:val="21"/>
          <w:lang w:val="zh-CN"/>
        </w:rPr>
        <w:t xml:space="preserve">前递交响应文件。</w:t>
      </w:r>
      <w:bookmarkEnd w:id="4"/>
      <w:r/>
      <w:bookmarkEnd w:id="5"/>
      <w:r/>
      <w:r/>
    </w:p>
    <w:p>
      <w:pPr>
        <w:pStyle w:val="707"/>
        <w:ind w:left="0" w:firstLine="422"/>
        <w:spacing w:line="360" w:lineRule="auto"/>
        <w:rPr>
          <w:rFonts w:ascii="宋体" w:hAnsi="宋体" w:cs="宋体"/>
          <w:b/>
          <w:bCs/>
          <w:sz w:val="21"/>
          <w:szCs w:val="21"/>
        </w:rPr>
      </w:pPr>
      <w:r>
        <w:rPr>
          <w:rFonts w:hint="eastAsia" w:ascii="宋体" w:hAnsi="宋体" w:cs="宋体"/>
          <w:b/>
          <w:bCs/>
          <w:sz w:val="21"/>
          <w:szCs w:val="21"/>
        </w:rPr>
        <w:t xml:space="preserve">一、项目基本情况 </w:t>
      </w:r>
      <w:r/>
    </w:p>
    <w:p>
      <w:pPr>
        <w:pStyle w:val="707"/>
        <w:ind w:left="0" w:firstLine="420"/>
        <w:spacing w:line="360" w:lineRule="auto"/>
        <w:rPr>
          <w:rFonts w:hint="eastAsia" w:ascii="宋体" w:hAnsi="宋体" w:eastAsia="宋体" w:cs="宋体"/>
          <w:bCs/>
          <w:sz w:val="21"/>
          <w:szCs w:val="21"/>
          <w:lang w:eastAsia="zh-CN"/>
        </w:rPr>
      </w:pPr>
      <w:r>
        <w:rPr>
          <w:rFonts w:hint="eastAsia" w:ascii="宋体" w:hAnsi="宋体" w:cs="宋体"/>
          <w:bCs/>
          <w:sz w:val="21"/>
          <w:szCs w:val="21"/>
        </w:rPr>
        <w:t xml:space="preserve">1、项目编号：</w:t>
      </w:r>
      <w:r>
        <w:rPr>
          <w:rFonts w:hint="eastAsia" w:ascii="宋体" w:hAnsi="宋体"/>
          <w:sz w:val="21"/>
          <w:szCs w:val="21"/>
          <w:lang w:eastAsia="zh-CN"/>
        </w:rPr>
        <w:t xml:space="preserve">JSZC-320500-SZRF-C2026-0010</w:t>
      </w:r>
      <w:r/>
    </w:p>
    <w:p>
      <w:pPr>
        <w:pStyle w:val="707"/>
        <w:ind w:left="0" w:firstLine="420"/>
        <w:spacing w:line="360" w:lineRule="auto"/>
        <w:rPr>
          <w:rFonts w:hint="eastAsia" w:ascii="宋体" w:hAnsi="宋体" w:eastAsia="宋体" w:cs="宋体"/>
          <w:bCs/>
          <w:sz w:val="21"/>
          <w:szCs w:val="21"/>
          <w:lang w:eastAsia="zh-CN"/>
        </w:rPr>
      </w:pPr>
      <w:r>
        <w:rPr>
          <w:rFonts w:hint="eastAsia" w:ascii="宋体" w:hAnsi="宋体" w:cs="宋体"/>
          <w:bCs/>
          <w:sz w:val="21"/>
          <w:szCs w:val="21"/>
        </w:rPr>
        <w:t xml:space="preserve">2、项目名称：</w:t>
      </w:r>
      <w:r>
        <w:rPr>
          <w:rFonts w:hint="eastAsia" w:ascii="宋体" w:hAnsi="宋体"/>
          <w:sz w:val="21"/>
          <w:szCs w:val="21"/>
          <w:lang w:eastAsia="zh-CN"/>
        </w:rPr>
        <w:t xml:space="preserve">2026年TOCC大屏、精密空调、UPS主机等维保</w:t>
      </w:r>
      <w:r/>
    </w:p>
    <w:p>
      <w:pPr>
        <w:pStyle w:val="707"/>
        <w:ind w:left="0" w:firstLine="420"/>
        <w:spacing w:line="360" w:lineRule="auto"/>
        <w:rPr>
          <w:rFonts w:ascii="宋体" w:hAnsi="宋体" w:cs="宋体"/>
          <w:bCs/>
          <w:sz w:val="21"/>
          <w:szCs w:val="21"/>
        </w:rPr>
      </w:pPr>
      <w:r>
        <w:rPr>
          <w:rFonts w:hint="eastAsia" w:ascii="宋体" w:hAnsi="宋体" w:cs="宋体"/>
          <w:bCs/>
          <w:sz w:val="21"/>
          <w:szCs w:val="21"/>
        </w:rPr>
        <w:t xml:space="preserve">3、采购方式：竞争性磋商</w:t>
      </w:r>
      <w:r/>
    </w:p>
    <w:p>
      <w:pPr>
        <w:pStyle w:val="707"/>
        <w:ind w:left="0" w:firstLine="420"/>
        <w:spacing w:line="360" w:lineRule="auto"/>
        <w:rPr>
          <w:rFonts w:ascii="宋体" w:hAnsi="宋体" w:cs="宋体"/>
          <w:bCs/>
          <w:sz w:val="21"/>
          <w:szCs w:val="21"/>
          <w:highlight w:val="none"/>
          <w:lang w:val="en-US"/>
        </w:rPr>
      </w:pPr>
      <w:r>
        <w:rPr>
          <w:rFonts w:hint="eastAsia" w:ascii="宋体" w:hAnsi="宋体" w:cs="宋体"/>
          <w:bCs/>
          <w:sz w:val="21"/>
          <w:szCs w:val="21"/>
        </w:rPr>
        <w:t xml:space="preserve">4、预算金额：</w:t>
      </w:r>
      <w:r>
        <w:rPr>
          <w:rFonts w:hint="eastAsia" w:ascii="宋体" w:hAnsi="宋体" w:cs="宋体"/>
          <w:bCs/>
          <w:sz w:val="21"/>
          <w:szCs w:val="21"/>
          <w:highlight w:val="none"/>
          <w:lang w:val="en-US"/>
        </w:rPr>
        <w:t xml:space="preserve">人民币壹佰叁拾万元整（¥1300000.00)</w:t>
      </w:r>
      <w:r/>
    </w:p>
    <w:p>
      <w:pPr>
        <w:pStyle w:val="707"/>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5、最高限价：</w:t>
      </w:r>
      <w:r>
        <w:rPr>
          <w:rFonts w:hint="eastAsia" w:ascii="宋体" w:hAnsi="宋体" w:cs="宋体"/>
          <w:bCs/>
          <w:sz w:val="21"/>
          <w:szCs w:val="21"/>
          <w:highlight w:val="none"/>
          <w:lang w:val="en-US"/>
        </w:rPr>
        <w:t xml:space="preserve">人民币壹佰贰拾玖万捌仟元整（¥1298000.00)</w:t>
      </w:r>
      <w:r/>
    </w:p>
    <w:p>
      <w:pPr>
        <w:pStyle w:val="707"/>
        <w:ind w:left="0" w:firstLine="420"/>
        <w:spacing w:line="360" w:lineRule="auto"/>
        <w:rPr>
          <w:rFonts w:hint="eastAsia" w:ascii="宋体" w:hAnsi="宋体" w:cs="宋体"/>
          <w:bCs/>
          <w:sz w:val="21"/>
          <w:szCs w:val="21"/>
          <w:highlight w:val="none"/>
          <w:lang w:val="en-US"/>
        </w:rPr>
      </w:pPr>
      <w:r>
        <w:rPr>
          <w:rFonts w:hint="eastAsia" w:ascii="宋体" w:hAnsi="宋体" w:cs="宋体"/>
          <w:bCs/>
          <w:sz w:val="21"/>
          <w:szCs w:val="21"/>
          <w:highlight w:val="none"/>
          <w:lang w:val="en-US"/>
        </w:rPr>
        <w:t xml:space="preserve">6、合同履行期限：服务期12个月，</w:t>
      </w:r>
      <w:r>
        <w:rPr>
          <w:rFonts w:hint="eastAsia" w:ascii="宋体" w:hAnsi="宋体" w:cs="宋体"/>
          <w:bCs/>
          <w:sz w:val="21"/>
          <w:szCs w:val="21"/>
          <w:highlight w:val="none"/>
          <w:lang w:val="en-US" w:eastAsia="zh-CN"/>
        </w:rPr>
        <w:t xml:space="preserve">详细</w:t>
      </w:r>
      <w:r>
        <w:rPr>
          <w:rFonts w:hint="eastAsia" w:ascii="宋体" w:hAnsi="宋体" w:cs="宋体"/>
          <w:bCs/>
          <w:sz w:val="21"/>
          <w:szCs w:val="21"/>
          <w:highlight w:val="none"/>
          <w:lang w:val="en-US"/>
        </w:rPr>
        <w:t xml:space="preserve">时间以合同约定为准。</w:t>
      </w:r>
      <w:r/>
    </w:p>
    <w:p>
      <w:pPr>
        <w:pStyle w:val="707"/>
        <w:ind w:left="0" w:firstLine="420"/>
        <w:spacing w:line="360" w:lineRule="auto"/>
        <w:rPr>
          <w:rFonts w:hint="eastAsia" w:ascii="宋体" w:hAnsi="宋体" w:eastAsia="宋体" w:cs="宋体"/>
          <w:bCs/>
          <w:sz w:val="21"/>
          <w:szCs w:val="21"/>
          <w:lang w:val="en-US" w:eastAsia="zh-CN"/>
        </w:rPr>
      </w:pPr>
      <w:r>
        <w:rPr>
          <w:rFonts w:hint="eastAsia" w:ascii="宋体" w:hAnsi="宋体" w:cs="宋体"/>
          <w:bCs/>
          <w:sz w:val="21"/>
          <w:szCs w:val="21"/>
        </w:rPr>
        <w:t xml:space="preserve">7、采购需求：详见采购文件第四章</w:t>
      </w:r>
      <w:r>
        <w:rPr>
          <w:rFonts w:hint="eastAsia" w:ascii="宋体" w:hAnsi="宋体" w:cs="宋体"/>
          <w:bCs/>
          <w:sz w:val="21"/>
          <w:szCs w:val="21"/>
          <w:lang w:eastAsia="zh-CN"/>
        </w:rPr>
        <w:t xml:space="preserve">。</w:t>
      </w:r>
      <w:r/>
    </w:p>
    <w:p>
      <w:pPr>
        <w:pStyle w:val="707"/>
        <w:ind w:left="0" w:firstLine="422"/>
        <w:spacing w:line="360" w:lineRule="auto"/>
        <w:rPr>
          <w:rFonts w:ascii="宋体" w:hAnsi="宋体" w:cs="宋体"/>
          <w:b/>
          <w:bCs/>
          <w:sz w:val="21"/>
          <w:szCs w:val="21"/>
        </w:rPr>
      </w:pPr>
      <w:r>
        <w:rPr>
          <w:rFonts w:hint="eastAsia" w:ascii="宋体" w:hAnsi="宋体" w:cs="宋体"/>
          <w:b/>
          <w:bCs/>
          <w:sz w:val="21"/>
          <w:szCs w:val="21"/>
        </w:rPr>
        <w:t xml:space="preserve">二、供应商的资格要求 </w:t>
      </w:r>
      <w:r/>
    </w:p>
    <w:p>
      <w:pPr>
        <w:pStyle w:val="707"/>
        <w:ind w:left="0" w:firstLine="420"/>
        <w:spacing w:line="360" w:lineRule="auto"/>
        <w:rPr>
          <w:rFonts w:ascii="宋体" w:hAnsi="宋体" w:cs="宋体"/>
          <w:bCs/>
          <w:sz w:val="21"/>
          <w:szCs w:val="21"/>
        </w:rPr>
      </w:pPr>
      <w:r>
        <w:rPr>
          <w:rFonts w:hint="eastAsia" w:ascii="宋体" w:hAnsi="宋体" w:cs="宋体"/>
          <w:bCs/>
          <w:sz w:val="21"/>
          <w:szCs w:val="21"/>
        </w:rPr>
        <w:t xml:space="preserve">1、满足《中华人民共和国政府采购法》第二十二条规定，供应商应当具备下列条件：</w:t>
      </w:r>
      <w:r/>
    </w:p>
    <w:p>
      <w:pPr>
        <w:pStyle w:val="707"/>
        <w:ind w:left="0" w:firstLine="420"/>
        <w:spacing w:line="360" w:lineRule="auto"/>
        <w:rPr>
          <w:rFonts w:ascii="宋体" w:hAnsi="宋体" w:cs="宋体"/>
          <w:bCs/>
          <w:sz w:val="21"/>
          <w:szCs w:val="21"/>
        </w:rPr>
      </w:pPr>
      <w:r>
        <w:rPr>
          <w:rFonts w:hint="eastAsia" w:ascii="宋体" w:hAnsi="宋体" w:cs="宋体"/>
          <w:bCs/>
          <w:sz w:val="21"/>
          <w:szCs w:val="21"/>
        </w:rPr>
        <w:t xml:space="preserve">（1）具有独立承担民事责任的能力；</w:t>
      </w:r>
      <w:r/>
    </w:p>
    <w:p>
      <w:pPr>
        <w:pStyle w:val="707"/>
        <w:ind w:left="0" w:firstLine="420"/>
        <w:spacing w:line="360" w:lineRule="auto"/>
        <w:rPr>
          <w:rFonts w:ascii="宋体" w:hAnsi="宋体" w:cs="宋体"/>
          <w:bCs/>
          <w:sz w:val="21"/>
          <w:szCs w:val="21"/>
        </w:rPr>
      </w:pPr>
      <w:r>
        <w:rPr>
          <w:rFonts w:hint="eastAsia" w:ascii="宋体" w:hAnsi="宋体" w:cs="宋体"/>
          <w:bCs/>
          <w:sz w:val="21"/>
          <w:szCs w:val="21"/>
        </w:rPr>
        <w:t xml:space="preserve">（2）具有良好的商业信誉和健全的财务会计制度；</w:t>
      </w:r>
      <w:r/>
    </w:p>
    <w:p>
      <w:pPr>
        <w:pStyle w:val="707"/>
        <w:ind w:left="0" w:firstLine="420"/>
        <w:spacing w:line="360" w:lineRule="auto"/>
        <w:rPr>
          <w:rFonts w:ascii="宋体" w:hAnsi="宋体" w:cs="宋体"/>
          <w:bCs/>
          <w:sz w:val="21"/>
          <w:szCs w:val="21"/>
        </w:rPr>
      </w:pPr>
      <w:r>
        <w:rPr>
          <w:rFonts w:hint="eastAsia" w:ascii="宋体" w:hAnsi="宋体" w:cs="宋体"/>
          <w:bCs/>
          <w:sz w:val="21"/>
          <w:szCs w:val="21"/>
        </w:rPr>
        <w:t xml:space="preserve">（3）具有履行合同所必需的设备和专业技术能力；</w:t>
      </w:r>
      <w:r/>
    </w:p>
    <w:p>
      <w:pPr>
        <w:pStyle w:val="707"/>
        <w:ind w:left="0" w:firstLine="420"/>
        <w:spacing w:line="360" w:lineRule="auto"/>
        <w:rPr>
          <w:rFonts w:ascii="宋体" w:hAnsi="宋体" w:cs="宋体"/>
          <w:bCs/>
          <w:sz w:val="21"/>
          <w:szCs w:val="21"/>
        </w:rPr>
      </w:pPr>
      <w:r>
        <w:rPr>
          <w:rFonts w:hint="eastAsia" w:ascii="宋体" w:hAnsi="宋体" w:cs="宋体"/>
          <w:bCs/>
          <w:sz w:val="21"/>
          <w:szCs w:val="21"/>
        </w:rPr>
        <w:t xml:space="preserve">（4）有依法缴纳税收和社会保障资金的良好记录；</w:t>
      </w:r>
      <w:r/>
    </w:p>
    <w:p>
      <w:pPr>
        <w:pStyle w:val="707"/>
        <w:ind w:left="0" w:firstLine="420"/>
        <w:spacing w:line="360" w:lineRule="auto"/>
        <w:rPr>
          <w:rFonts w:ascii="宋体" w:hAnsi="宋体" w:cs="宋体"/>
          <w:bCs/>
          <w:sz w:val="21"/>
          <w:szCs w:val="21"/>
        </w:rPr>
      </w:pPr>
      <w:r>
        <w:rPr>
          <w:rFonts w:hint="eastAsia" w:ascii="宋体" w:hAnsi="宋体" w:cs="宋体"/>
          <w:bCs/>
          <w:sz w:val="21"/>
          <w:szCs w:val="21"/>
        </w:rPr>
        <w:t xml:space="preserve">（5）参加政府采购活动前三年内，在经营活动中没有重大违法记录；</w:t>
      </w:r>
      <w:r/>
    </w:p>
    <w:p>
      <w:pPr>
        <w:pStyle w:val="707"/>
        <w:ind w:left="0" w:firstLine="420"/>
        <w:spacing w:line="360" w:lineRule="auto"/>
        <w:rPr>
          <w:rFonts w:ascii="宋体" w:hAnsi="宋体" w:cs="宋体"/>
          <w:bCs/>
          <w:sz w:val="21"/>
          <w:szCs w:val="21"/>
          <w:highlight w:val="none"/>
        </w:rPr>
      </w:pPr>
      <w:r>
        <w:rPr>
          <w:rFonts w:hint="eastAsia" w:ascii="宋体" w:hAnsi="宋体" w:cs="宋体"/>
          <w:bCs/>
          <w:sz w:val="21"/>
          <w:szCs w:val="21"/>
        </w:rPr>
        <w:t xml:space="preserve">（6）法律、行政法规规定的其他条件</w:t>
      </w:r>
      <w:r>
        <w:rPr>
          <w:rFonts w:hint="eastAsia" w:ascii="宋体" w:hAnsi="宋体" w:cs="宋体"/>
          <w:bCs/>
          <w:sz w:val="21"/>
          <w:szCs w:val="21"/>
          <w:highlight w:val="none"/>
        </w:rPr>
        <w:t xml:space="preserve">。 </w:t>
      </w:r>
      <w:r/>
    </w:p>
    <w:p>
      <w:pPr>
        <w:pStyle w:val="707"/>
        <w:ind w:left="0" w:firstLine="420"/>
        <w:spacing w:line="360" w:lineRule="auto"/>
        <w:rPr>
          <w:rFonts w:ascii="仿宋" w:hAnsi="仿宋" w:eastAsia="仿宋"/>
          <w:b/>
          <w:bCs/>
          <w:color w:val="333333"/>
          <w:sz w:val="28"/>
          <w:szCs w:val="28"/>
          <w:highlight w:val="none"/>
          <w:shd w:val="clear" w:color="auto" w:fill="ffffff"/>
        </w:rPr>
      </w:pPr>
      <w:r>
        <w:rPr>
          <w:rFonts w:hint="eastAsia" w:ascii="宋体" w:hAnsi="宋体" w:cs="宋体"/>
          <w:bCs/>
          <w:sz w:val="21"/>
          <w:szCs w:val="21"/>
          <w:highlight w:val="none"/>
        </w:rPr>
        <w:t xml:space="preserve">2、落实政府采购政策需满足的资格要求：</w:t>
      </w:r>
      <w:r>
        <w:rPr>
          <w:rFonts w:hint="eastAsia" w:ascii="宋体" w:hAnsi="宋体" w:cs="宋体"/>
          <w:b/>
          <w:bCs/>
          <w:sz w:val="21"/>
          <w:szCs w:val="21"/>
        </w:rPr>
        <w:t xml:space="preserve">本项目专门面向中小企业采购，供应商必须提供《中小企业声明函》或《残疾人福利性单位声明函》或由</w:t>
      </w:r>
      <w:r>
        <w:rPr>
          <w:rFonts w:hint="eastAsia" w:ascii="宋体" w:hAnsi="宋体" w:cs="宋体"/>
          <w:b/>
          <w:bCs/>
          <w:sz w:val="21"/>
          <w:szCs w:val="21"/>
          <w:highlight w:val="none"/>
        </w:rPr>
        <w:t xml:space="preserve">省级以上监狱管理局、戒毒管理局（含新疆生产建设兵团）出具的属于监狱企业的证明文件。所属行业为其他未列明行业。</w:t>
      </w:r>
      <w:r/>
    </w:p>
    <w:p>
      <w:pPr>
        <w:pStyle w:val="707"/>
        <w:ind w:left="0" w:firstLine="420"/>
        <w:spacing w:line="360" w:lineRule="auto"/>
        <w:rPr>
          <w:rFonts w:hint="eastAsia" w:ascii="宋体" w:hAnsi="宋体" w:eastAsia="宋体" w:cs="宋体"/>
          <w:bCs/>
          <w:sz w:val="21"/>
          <w:szCs w:val="21"/>
          <w:highlight w:val="none"/>
          <w:lang w:val="en-US" w:eastAsia="zh-CN"/>
        </w:rPr>
      </w:pPr>
      <w:r>
        <w:rPr>
          <w:rFonts w:hint="eastAsia" w:ascii="宋体" w:hAnsi="宋体" w:cs="宋体"/>
          <w:bCs/>
          <w:sz w:val="21"/>
          <w:szCs w:val="21"/>
          <w:highlight w:val="none"/>
        </w:rPr>
        <w:t xml:space="preserve">3、本项目的特定资格要求：</w:t>
      </w:r>
      <w:r>
        <w:rPr>
          <w:rFonts w:hint="eastAsia" w:ascii="宋体" w:hAnsi="宋体" w:cs="宋体"/>
          <w:bCs/>
          <w:sz w:val="21"/>
          <w:szCs w:val="21"/>
          <w:highlight w:val="none"/>
          <w:lang w:val="en-US" w:eastAsia="zh-CN"/>
        </w:rPr>
        <w:t xml:space="preserve">无</w:t>
      </w:r>
      <w:r/>
    </w:p>
    <w:p>
      <w:pPr>
        <w:pStyle w:val="707"/>
        <w:ind w:left="0" w:firstLine="420"/>
        <w:spacing w:line="360" w:lineRule="auto"/>
        <w:rPr>
          <w:rFonts w:ascii="宋体" w:hAnsi="宋体" w:cs="宋体"/>
          <w:bCs/>
          <w:sz w:val="21"/>
          <w:szCs w:val="21"/>
        </w:rPr>
      </w:pPr>
      <w:r>
        <w:rPr>
          <w:rFonts w:hint="eastAsia" w:ascii="宋体" w:hAnsi="宋体" w:cs="宋体"/>
          <w:bCs/>
          <w:sz w:val="21"/>
          <w:szCs w:val="21"/>
        </w:rPr>
        <w:t xml:space="preserve">4、联合体及转包、分包：本项目不接受联合体，不得转包、分包本项目。</w:t>
      </w:r>
      <w:r/>
    </w:p>
    <w:p>
      <w:pPr>
        <w:pStyle w:val="707"/>
        <w:ind w:left="0" w:firstLine="422"/>
        <w:spacing w:line="360" w:lineRule="auto"/>
        <w:rPr>
          <w:rFonts w:ascii="宋体" w:hAnsi="宋体" w:cs="宋体"/>
          <w:b/>
          <w:bCs/>
          <w:sz w:val="21"/>
          <w:szCs w:val="21"/>
        </w:rPr>
      </w:pPr>
      <w:r>
        <w:rPr>
          <w:rFonts w:hint="eastAsia" w:ascii="宋体" w:hAnsi="宋体" w:cs="宋体"/>
          <w:b/>
          <w:bCs/>
          <w:sz w:val="21"/>
          <w:szCs w:val="21"/>
        </w:rPr>
        <w:t xml:space="preserve">三、获取采购文件 </w:t>
      </w:r>
      <w:r/>
    </w:p>
    <w:p>
      <w:pPr>
        <w:pStyle w:val="707"/>
        <w:ind w:left="0" w:firstLine="420"/>
        <w:spacing w:line="360" w:lineRule="auto"/>
        <w:rPr>
          <w:rFonts w:ascii="宋体" w:hAnsi="宋体" w:cs="宋体"/>
          <w:bCs/>
          <w:sz w:val="21"/>
          <w:szCs w:val="21"/>
        </w:rPr>
      </w:pPr>
      <w:r>
        <w:rPr>
          <w:rFonts w:hint="eastAsia" w:ascii="宋体" w:hAnsi="宋体" w:cs="宋体"/>
          <w:bCs/>
          <w:sz w:val="21"/>
          <w:szCs w:val="21"/>
        </w:rPr>
        <w:t xml:space="preserve">1、时间：自公告发布之日起5个工作日</w:t>
      </w:r>
      <w:r/>
    </w:p>
    <w:p>
      <w:pPr>
        <w:pStyle w:val="707"/>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2、地点：“苏采云”系统自行下载采购文件</w:t>
      </w:r>
      <w:r/>
    </w:p>
    <w:p>
      <w:pPr>
        <w:pStyle w:val="707"/>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3、方式：</w:t>
      </w:r>
      <w:r/>
    </w:p>
    <w:p>
      <w:pPr>
        <w:pStyle w:val="707"/>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（1）CA证书办理</w:t>
      </w:r>
      <w:r/>
    </w:p>
    <w:p>
      <w:pPr>
        <w:pStyle w:val="707"/>
        <w:ind w:left="0" w:firstLine="420"/>
        <w:spacing w:line="360" w:lineRule="auto"/>
        <w:rPr>
          <w:rFonts w:hint="eastAsia" w:ascii="宋体" w:hAnsi="宋体" w:cs="宋体"/>
          <w:b/>
          <w:bCs/>
          <w:sz w:val="21"/>
          <w:szCs w:val="21"/>
        </w:rPr>
      </w:pPr>
      <w:r>
        <w:rPr>
          <w:rFonts w:hint="eastAsia" w:ascii="宋体" w:hAnsi="宋体" w:cs="宋体"/>
          <w:bCs/>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s="宋体"/>
          <w:bCs/>
          <w:sz w:val="21"/>
          <w:szCs w:val="21"/>
        </w:rPr>
        <w:t xml:space="preserve">—</w:t>
      </w:r>
      <w:r>
        <w:rPr>
          <w:rFonts w:hint="eastAsia" w:ascii="宋体" w:hAnsi="宋体" w:cs="宋体"/>
          <w:bCs/>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sz w:val="21"/>
          <w:szCs w:val="21"/>
        </w:rPr>
        <w:t xml:space="preserve">苏州现场办理地址：</w:t>
      </w:r>
      <w:r>
        <w:rPr>
          <w:rFonts w:ascii="宋体" w:hAnsi="宋体" w:cs="宋体"/>
          <w:b/>
          <w:sz w:val="21"/>
          <w:szCs w:val="21"/>
        </w:rPr>
        <w:t xml:space="preserve">苏州市高新区邓尉路105号狮山科技馆一楼服务大厅</w:t>
      </w:r>
      <w:r>
        <w:rPr>
          <w:rFonts w:hint="eastAsia" w:ascii="宋体" w:hAnsi="宋体" w:cs="宋体"/>
          <w:b/>
          <w:sz w:val="21"/>
          <w:szCs w:val="21"/>
        </w:rPr>
        <w:t xml:space="preserve">，咨询电话：</w:t>
      </w:r>
      <w:r>
        <w:rPr>
          <w:rFonts w:ascii="宋体" w:hAnsi="宋体" w:cs="宋体"/>
          <w:b/>
          <w:sz w:val="21"/>
          <w:szCs w:val="21"/>
        </w:rPr>
        <w:t xml:space="preserve">0512 6573 7699</w:t>
      </w:r>
      <w:r>
        <w:rPr>
          <w:rFonts w:hint="eastAsia" w:ascii="宋体" w:hAnsi="宋体" w:cs="宋体"/>
          <w:b/>
          <w:sz w:val="21"/>
          <w:szCs w:val="21"/>
        </w:rPr>
        <w:t xml:space="preserve">。</w:t>
      </w:r>
      <w:r/>
    </w:p>
    <w:p>
      <w:pPr>
        <w:pStyle w:val="707"/>
        <w:ind w:left="0" w:firstLine="420"/>
        <w:spacing w:line="360" w:lineRule="auto"/>
        <w:rPr>
          <w:rFonts w:hint="eastAsia" w:ascii="宋体" w:hAnsi="宋体"/>
          <w:b/>
          <w:sz w:val="21"/>
          <w:szCs w:val="21"/>
        </w:rPr>
      </w:pPr>
      <w:r>
        <w:rPr>
          <w:rFonts w:hint="eastAsia" w:ascii="宋体" w:hAnsi="宋体"/>
          <w:sz w:val="21"/>
          <w:szCs w:val="21"/>
        </w:rPr>
        <w:t xml:space="preserve">（2）参与采购活动</w:t>
      </w:r>
      <w:r/>
    </w:p>
    <w:p>
      <w:pPr>
        <w:pStyle w:val="707"/>
        <w:ind w:left="0" w:firstLine="420"/>
        <w:spacing w:line="360" w:lineRule="auto"/>
        <w:rPr>
          <w:rFonts w:hint="eastAsia" w:ascii="宋体" w:hAnsi="宋体"/>
          <w:sz w:val="21"/>
          <w:szCs w:val="21"/>
        </w:rPr>
      </w:pPr>
      <w:r>
        <w:rPr>
          <w:rFonts w:hint="eastAsia" w:ascii="宋体" w:hAnsi="宋体"/>
          <w:sz w:val="21"/>
          <w:szCs w:val="21"/>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707"/>
        <w:ind w:left="0" w:firstLine="420"/>
        <w:spacing w:line="360" w:lineRule="auto"/>
        <w:rPr>
          <w:rFonts w:hint="eastAsia" w:ascii="宋体" w:hAnsi="宋体"/>
          <w:sz w:val="21"/>
          <w:szCs w:val="21"/>
        </w:rPr>
      </w:pPr>
      <w:r>
        <w:rPr>
          <w:rFonts w:hint="eastAsia" w:ascii="宋体" w:hAnsi="宋体"/>
          <w:sz w:val="21"/>
          <w:szCs w:val="21"/>
        </w:rPr>
        <w:t xml:space="preserve">（3）电子投标准备</w:t>
      </w:r>
      <w:r/>
    </w:p>
    <w:p>
      <w:pPr>
        <w:pStyle w:val="707"/>
        <w:ind w:left="0" w:firstLine="420"/>
        <w:spacing w:line="360" w:lineRule="auto"/>
        <w:rPr>
          <w:rFonts w:hint="eastAsia" w:ascii="宋体" w:hAnsi="宋体"/>
          <w:sz w:val="21"/>
          <w:szCs w:val="21"/>
        </w:rPr>
      </w:pPr>
      <w:r>
        <w:rPr>
          <w:rFonts w:hint="eastAsia" w:ascii="宋体" w:hAnsi="宋体"/>
          <w:sz w:val="21"/>
          <w:szCs w:val="21"/>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707"/>
        <w:ind w:left="0" w:firstLine="420"/>
        <w:spacing w:line="360" w:lineRule="auto"/>
        <w:rPr>
          <w:rFonts w:hint="eastAsia" w:ascii="宋体" w:hAnsi="宋体"/>
          <w:sz w:val="21"/>
          <w:szCs w:val="21"/>
        </w:rPr>
      </w:pPr>
      <w:r>
        <w:rPr>
          <w:rFonts w:hint="eastAsia" w:ascii="宋体" w:hAnsi="宋体"/>
          <w:sz w:val="21"/>
          <w:szCs w:val="21"/>
        </w:rPr>
        <w:t xml:space="preserve">在系统操作过程中如有疑问，请按以下方式联系：</w:t>
      </w:r>
      <w:r/>
    </w:p>
    <w:p>
      <w:pPr>
        <w:pStyle w:val="707"/>
        <w:ind w:left="0" w:firstLine="420"/>
        <w:spacing w:line="360" w:lineRule="auto"/>
        <w:rPr>
          <w:rFonts w:hint="eastAsia" w:ascii="宋体" w:hAnsi="宋体"/>
          <w:sz w:val="21"/>
          <w:szCs w:val="21"/>
        </w:rPr>
      </w:pPr>
      <w:r>
        <w:rPr>
          <w:rFonts w:hint="eastAsia" w:ascii="宋体" w:hAnsi="宋体"/>
          <w:sz w:val="21"/>
          <w:szCs w:val="21"/>
        </w:rPr>
        <w:t xml:space="preserve">注册咨询：0512-69820854；</w:t>
      </w:r>
      <w:r/>
    </w:p>
    <w:p>
      <w:pPr>
        <w:pStyle w:val="707"/>
        <w:ind w:left="0" w:firstLine="420"/>
        <w:spacing w:line="360" w:lineRule="auto"/>
        <w:rPr>
          <w:rFonts w:hint="eastAsia"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707"/>
        <w:ind w:left="0" w:firstLine="420"/>
        <w:spacing w:line="360" w:lineRule="auto"/>
        <w:rPr>
          <w:rFonts w:hint="eastAsia" w:ascii="宋体" w:hAnsi="宋体"/>
          <w:sz w:val="21"/>
          <w:szCs w:val="21"/>
        </w:rPr>
      </w:pPr>
      <w:r>
        <w:rPr>
          <w:rFonts w:hint="eastAsia" w:ascii="宋体" w:hAnsi="宋体"/>
          <w:sz w:val="21"/>
          <w:szCs w:val="21"/>
        </w:rPr>
        <w:t xml:space="preserve">签章使用问题：025-83633811、025-83633812、15380932027、15371015030；</w:t>
      </w:r>
      <w:r/>
    </w:p>
    <w:p>
      <w:pPr>
        <w:pStyle w:val="707"/>
        <w:ind w:left="0" w:firstLine="420"/>
        <w:spacing w:line="360" w:lineRule="auto"/>
        <w:rPr>
          <w:rFonts w:hint="eastAsia" w:ascii="宋体" w:hAnsi="宋体"/>
          <w:sz w:val="21"/>
          <w:szCs w:val="21"/>
        </w:rPr>
      </w:pPr>
      <w:r>
        <w:rPr>
          <w:rFonts w:hint="eastAsia" w:ascii="宋体" w:hAnsi="宋体"/>
          <w:sz w:val="21"/>
          <w:szCs w:val="21"/>
        </w:rPr>
        <w:t xml:space="preserve">系统使用指导与咨询：联系电话：13914088964、0512-69820854；智能客服：登录苏采云系统后，联系系统右下方智能客服图标进行咨询。</w:t>
      </w:r>
      <w:r/>
    </w:p>
    <w:p>
      <w:pPr>
        <w:pStyle w:val="707"/>
        <w:ind w:left="0" w:firstLine="420"/>
        <w:spacing w:line="360" w:lineRule="auto"/>
        <w:rPr>
          <w:rFonts w:hint="eastAsia" w:ascii="宋体" w:hAnsi="宋体" w:cs="宋体"/>
          <w:bCs/>
          <w:sz w:val="21"/>
          <w:szCs w:val="21"/>
        </w:rPr>
      </w:pPr>
      <w:r>
        <w:rPr>
          <w:rFonts w:hint="eastAsia" w:ascii="宋体" w:hAnsi="宋体"/>
          <w:sz w:val="21"/>
          <w:szCs w:val="21"/>
        </w:rPr>
        <w:t xml:space="preserve">4、售价：免费</w:t>
      </w:r>
      <w:r/>
    </w:p>
    <w:p>
      <w:pPr>
        <w:pStyle w:val="707"/>
        <w:ind w:left="0" w:firstLine="422"/>
        <w:spacing w:line="360" w:lineRule="auto"/>
        <w:rPr>
          <w:rFonts w:ascii="宋体" w:hAnsi="宋体" w:cs="宋体"/>
          <w:b/>
          <w:bCs/>
          <w:sz w:val="21"/>
          <w:szCs w:val="21"/>
        </w:rPr>
      </w:pPr>
      <w:r>
        <w:rPr>
          <w:rFonts w:hint="eastAsia" w:ascii="宋体" w:hAnsi="宋体" w:cs="宋体"/>
          <w:b/>
          <w:bCs/>
          <w:sz w:val="21"/>
          <w:szCs w:val="21"/>
        </w:rPr>
        <w:t xml:space="preserve">四、响应文件提交</w:t>
      </w:r>
      <w:r/>
    </w:p>
    <w:p>
      <w:pPr>
        <w:pStyle w:val="707"/>
        <w:ind w:left="0" w:firstLine="420"/>
        <w:spacing w:line="360" w:lineRule="auto"/>
        <w:rPr>
          <w:rFonts w:ascii="宋体" w:hAnsi="宋体" w:cs="宋体"/>
          <w:bCs/>
          <w:sz w:val="21"/>
          <w:szCs w:val="21"/>
        </w:rPr>
      </w:pPr>
      <w:r>
        <w:rPr>
          <w:rFonts w:hint="eastAsia" w:ascii="宋体" w:hAnsi="宋体" w:cs="宋体"/>
          <w:bCs/>
          <w:sz w:val="21"/>
          <w:szCs w:val="21"/>
        </w:rPr>
        <w:t xml:space="preserve">1、递交响应文件截止时间：</w:t>
      </w:r>
      <w:r>
        <w:rPr>
          <w:rFonts w:hint="eastAsia" w:ascii="宋体" w:hAnsi="宋体" w:cs="宋体"/>
          <w:bCs/>
          <w:sz w:val="21"/>
          <w:szCs w:val="21"/>
          <w:highlight w:val="none"/>
          <w:u w:val="single"/>
        </w:rPr>
        <w:t xml:space="preserve">2026年</w:t>
      </w:r>
      <w:r>
        <w:rPr>
          <w:rFonts w:hint="eastAsia" w:ascii="宋体" w:hAnsi="宋体" w:cs="宋体"/>
          <w:szCs w:val="21"/>
          <w:u w:val="single"/>
        </w:rPr>
        <w:t xml:space="preserve">9月7日</w:t>
      </w:r>
      <w:r/>
      <w:r>
        <w:rPr>
          <w:rFonts w:hint="eastAsia" w:ascii="宋体" w:hAnsi="宋体" w:cs="宋体"/>
          <w:bCs/>
          <w:sz w:val="21"/>
          <w:szCs w:val="21"/>
          <w:highlight w:val="none"/>
          <w:u w:val="single"/>
        </w:rPr>
      </w:r>
      <w:r>
        <w:rPr>
          <w:rFonts w:hint="eastAsia" w:ascii="宋体" w:hAnsi="宋体" w:cs="宋体"/>
          <w:bCs/>
          <w:sz w:val="21"/>
          <w:szCs w:val="21"/>
          <w:highlight w:val="none"/>
          <w:u w:val="single"/>
          <w:lang w:val="en-US"/>
        </w:rPr>
        <w:t xml:space="preserve">1</w:t>
      </w:r>
      <w:r>
        <w:rPr>
          <w:rFonts w:hint="eastAsia" w:ascii="宋体" w:hAnsi="宋体" w:cs="宋体"/>
          <w:bCs/>
          <w:sz w:val="21"/>
          <w:szCs w:val="21"/>
          <w:u w:val="single"/>
          <w:lang w:val="en-US"/>
        </w:rPr>
        <w:t xml:space="preserve">3</w:t>
      </w:r>
      <w:r>
        <w:rPr>
          <w:rFonts w:hint="eastAsia" w:ascii="宋体" w:hAnsi="宋体" w:cs="宋体"/>
          <w:bCs/>
          <w:sz w:val="21"/>
          <w:szCs w:val="21"/>
          <w:u w:val="single"/>
        </w:rPr>
        <w:t xml:space="preserve">点 </w:t>
      </w:r>
      <w:r>
        <w:rPr>
          <w:rFonts w:hint="eastAsia" w:ascii="宋体" w:hAnsi="宋体" w:cs="宋体"/>
          <w:bCs/>
          <w:sz w:val="21"/>
          <w:szCs w:val="21"/>
          <w:u w:val="single"/>
          <w:lang w:val="en-US"/>
        </w:rPr>
        <w:t xml:space="preserve">30</w:t>
      </w:r>
      <w:r>
        <w:rPr>
          <w:rFonts w:hint="eastAsia" w:ascii="宋体" w:hAnsi="宋体" w:cs="宋体"/>
          <w:bCs/>
          <w:sz w:val="21"/>
          <w:szCs w:val="21"/>
          <w:u w:val="single"/>
        </w:rPr>
        <w:t xml:space="preserve"> 分</w:t>
      </w:r>
      <w:r>
        <w:rPr>
          <w:rFonts w:hint="eastAsia" w:ascii="宋体" w:hAnsi="宋体" w:cs="宋体"/>
          <w:bCs/>
          <w:sz w:val="21"/>
          <w:szCs w:val="21"/>
        </w:rPr>
        <w:t xml:space="preserve">（北京时间）；</w:t>
      </w:r>
      <w:r/>
    </w:p>
    <w:p>
      <w:pPr>
        <w:pStyle w:val="707"/>
        <w:ind w:left="0" w:firstLine="420"/>
        <w:spacing w:line="360" w:lineRule="auto"/>
        <w:rPr>
          <w:rFonts w:ascii="宋体" w:hAnsi="宋体" w:cs="宋体"/>
          <w:bCs/>
          <w:sz w:val="21"/>
          <w:szCs w:val="21"/>
        </w:rPr>
      </w:pPr>
      <w:r>
        <w:rPr>
          <w:rFonts w:hint="eastAsia" w:ascii="宋体" w:hAnsi="宋体" w:cs="宋体"/>
          <w:bCs/>
          <w:sz w:val="21"/>
          <w:szCs w:val="21"/>
        </w:rPr>
        <w:t xml:space="preserve">2、地点：</w:t>
      </w:r>
      <w:r>
        <w:rPr>
          <w:rFonts w:hint="eastAsia" w:ascii="宋体" w:hAnsi="宋体" w:cs="宋体"/>
          <w:b/>
          <w:bCs/>
          <w:sz w:val="21"/>
          <w:szCs w:val="21"/>
        </w:rPr>
        <w:t xml:space="preserve">“苏采云”系统（网址：http://jszfcg.jsczt.cn/）</w:t>
      </w:r>
      <w:r>
        <w:rPr>
          <w:rFonts w:hint="eastAsia" w:ascii="宋体" w:hAnsi="宋体" w:cs="宋体"/>
          <w:bCs/>
          <w:sz w:val="21"/>
          <w:szCs w:val="21"/>
        </w:rPr>
        <w:t xml:space="preserve">。响应文件网上递交，不需要现场参加采购活动，无需提供纸质响应文件。</w:t>
      </w:r>
      <w:r/>
    </w:p>
    <w:p>
      <w:pPr>
        <w:pStyle w:val="707"/>
        <w:ind w:left="0" w:firstLine="420"/>
        <w:spacing w:line="360" w:lineRule="auto"/>
        <w:rPr>
          <w:rFonts w:ascii="宋体" w:hAnsi="宋体" w:cs="宋体"/>
          <w:b/>
          <w:bCs/>
          <w:sz w:val="21"/>
          <w:szCs w:val="21"/>
        </w:rPr>
      </w:pPr>
      <w:r>
        <w:rPr>
          <w:rFonts w:hint="eastAsia" w:ascii="宋体" w:hAnsi="宋体" w:cs="宋体"/>
          <w:bCs/>
          <w:sz w:val="21"/>
          <w:szCs w:val="21"/>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 w:val="21"/>
          <w:szCs w:val="21"/>
        </w:rPr>
        <w:t xml:space="preserve">供应商应充分考虑到网络环境、网络带宽等风险因素，如因供应商自身原因造成的电子响应文件上传不成功由供应商自行承担全部责任。</w:t>
      </w:r>
      <w:r/>
    </w:p>
    <w:p>
      <w:pPr>
        <w:pStyle w:val="707"/>
        <w:ind w:left="0" w:firstLine="422"/>
        <w:spacing w:line="360" w:lineRule="auto"/>
        <w:rPr>
          <w:rFonts w:ascii="宋体" w:hAnsi="宋体" w:cs="宋体"/>
          <w:b/>
          <w:bCs/>
          <w:sz w:val="21"/>
          <w:szCs w:val="21"/>
        </w:rPr>
      </w:pPr>
      <w:r>
        <w:rPr>
          <w:rFonts w:hint="eastAsia" w:ascii="宋体" w:hAnsi="宋体" w:cs="宋体"/>
          <w:b/>
          <w:bCs/>
          <w:sz w:val="21"/>
          <w:szCs w:val="21"/>
        </w:rPr>
        <w:t xml:space="preserve">五、开启</w:t>
      </w:r>
      <w:r/>
    </w:p>
    <w:p>
      <w:pPr>
        <w:pStyle w:val="707"/>
        <w:ind w:left="0" w:firstLine="420"/>
        <w:spacing w:line="360" w:lineRule="auto"/>
        <w:rPr>
          <w:rFonts w:ascii="宋体" w:hAnsi="宋体" w:cs="宋体"/>
          <w:bCs/>
          <w:sz w:val="21"/>
          <w:szCs w:val="21"/>
        </w:rPr>
      </w:pPr>
      <w:r>
        <w:rPr>
          <w:rFonts w:hint="eastAsia" w:ascii="宋体" w:hAnsi="宋体" w:cs="宋体"/>
          <w:bCs/>
          <w:sz w:val="21"/>
          <w:szCs w:val="21"/>
        </w:rPr>
        <w:t xml:space="preserve">1、时间：</w:t>
      </w:r>
      <w:r>
        <w:rPr>
          <w:rFonts w:hint="eastAsia" w:ascii="宋体" w:hAnsi="宋体" w:cs="宋体"/>
          <w:bCs/>
          <w:sz w:val="21"/>
          <w:szCs w:val="21"/>
          <w:highlight w:val="none"/>
          <w:u w:val="single"/>
        </w:rPr>
        <w:t xml:space="preserve">2026年</w:t>
      </w:r>
      <w:r>
        <w:rPr>
          <w:rFonts w:hint="eastAsia" w:ascii="宋体" w:hAnsi="宋体" w:cs="宋体"/>
          <w:szCs w:val="21"/>
          <w:u w:val="single"/>
        </w:rPr>
        <w:t xml:space="preserve">9月7日</w:t>
      </w:r>
      <w:r/>
      <w:r>
        <w:rPr>
          <w:rFonts w:hint="eastAsia" w:ascii="宋体" w:hAnsi="宋体" w:cs="宋体"/>
          <w:bCs/>
          <w:sz w:val="21"/>
          <w:szCs w:val="21"/>
          <w:highlight w:val="none"/>
          <w:u w:val="single"/>
        </w:rPr>
      </w:r>
      <w:r>
        <w:rPr>
          <w:rFonts w:hint="eastAsia" w:ascii="宋体" w:hAnsi="宋体" w:cs="宋体"/>
          <w:bCs/>
          <w:sz w:val="21"/>
          <w:szCs w:val="21"/>
          <w:u w:val="single"/>
          <w:lang w:val="en-US"/>
        </w:rPr>
        <w:t xml:space="preserve">13</w:t>
      </w:r>
      <w:r>
        <w:rPr>
          <w:rFonts w:hint="eastAsia" w:ascii="宋体" w:hAnsi="宋体" w:cs="宋体"/>
          <w:bCs/>
          <w:sz w:val="21"/>
          <w:szCs w:val="21"/>
          <w:u w:val="single"/>
        </w:rPr>
        <w:t xml:space="preserve">点 </w:t>
      </w:r>
      <w:r>
        <w:rPr>
          <w:rFonts w:hint="eastAsia" w:ascii="宋体" w:hAnsi="宋体" w:cs="宋体"/>
          <w:bCs/>
          <w:sz w:val="21"/>
          <w:szCs w:val="21"/>
          <w:u w:val="single"/>
          <w:lang w:val="en-US"/>
        </w:rPr>
        <w:t xml:space="preserve">30</w:t>
      </w:r>
      <w:r>
        <w:rPr>
          <w:rFonts w:hint="eastAsia" w:ascii="宋体" w:hAnsi="宋体" w:cs="宋体"/>
          <w:bCs/>
          <w:sz w:val="21"/>
          <w:szCs w:val="21"/>
          <w:u w:val="single"/>
        </w:rPr>
        <w:t xml:space="preserve"> 分</w:t>
      </w:r>
      <w:r>
        <w:rPr>
          <w:rFonts w:hint="eastAsia" w:ascii="宋体" w:hAnsi="宋体" w:cs="宋体"/>
          <w:bCs/>
          <w:sz w:val="21"/>
          <w:szCs w:val="21"/>
        </w:rPr>
        <w:t xml:space="preserve">（北京时间）；</w:t>
      </w:r>
      <w:r/>
    </w:p>
    <w:p>
      <w:pPr>
        <w:pStyle w:val="707"/>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2、地点：“苏采云”系统（网址：http://jszfcg.jsczt.cn/）</w:t>
      </w:r>
      <w:r/>
    </w:p>
    <w:p>
      <w:pPr>
        <w:pStyle w:val="707"/>
        <w:ind w:left="0" w:firstLine="420"/>
        <w:spacing w:line="360" w:lineRule="auto"/>
        <w:rPr>
          <w:rFonts w:ascii="宋体" w:hAnsi="宋体"/>
          <w:b/>
          <w:sz w:val="21"/>
          <w:szCs w:val="21"/>
        </w:rPr>
      </w:pPr>
      <w:r>
        <w:rPr>
          <w:rFonts w:ascii="宋体" w:hAnsi="宋体" w:cs="宋体"/>
          <w:bCs/>
          <w:sz w:val="21"/>
          <w:szCs w:val="21"/>
        </w:rPr>
        <w:t xml:space="preserve">3</w:t>
      </w:r>
      <w:r>
        <w:rPr>
          <w:rFonts w:hint="eastAsia" w:ascii="宋体" w:hAnsi="宋体" w:cs="宋体"/>
          <w:bCs/>
          <w:sz w:val="21"/>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 w:val="21"/>
          <w:szCs w:val="21"/>
        </w:rPr>
        <w:t xml:space="preserve">本项目为不见面磋商项目，</w:t>
      </w:r>
      <w:r>
        <w:rPr>
          <w:rFonts w:hint="eastAsia" w:ascii="宋体" w:hAnsi="宋体"/>
          <w:b/>
          <w:sz w:val="21"/>
          <w:szCs w:val="21"/>
        </w:rPr>
        <w:t xml:space="preserve">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p>
      <w:pPr>
        <w:pStyle w:val="707"/>
        <w:ind w:left="0" w:firstLine="422"/>
        <w:spacing w:line="360" w:lineRule="auto"/>
        <w:rPr>
          <w:rFonts w:ascii="宋体" w:hAnsi="宋体" w:cs="宋体"/>
          <w:b/>
          <w:bCs/>
          <w:sz w:val="21"/>
          <w:szCs w:val="21"/>
        </w:rPr>
      </w:pPr>
      <w:r>
        <w:rPr>
          <w:rFonts w:hint="eastAsia" w:ascii="宋体" w:hAnsi="宋体" w:cs="宋体"/>
          <w:b/>
          <w:bCs/>
          <w:sz w:val="21"/>
          <w:szCs w:val="21"/>
        </w:rPr>
        <w:t xml:space="preserve">请供应商确保电脑、系统及其他设备（视频输入输出设备等）无误，且开启直至项目结束始终保持系统在线状态。</w:t>
      </w:r>
      <w:r/>
    </w:p>
    <w:p>
      <w:pPr>
        <w:pStyle w:val="707"/>
        <w:ind w:left="0" w:firstLine="422"/>
        <w:spacing w:line="360" w:lineRule="auto"/>
        <w:rPr>
          <w:rFonts w:ascii="宋体" w:hAnsi="宋体" w:cs="宋体"/>
          <w:b/>
          <w:bCs/>
          <w:sz w:val="21"/>
          <w:szCs w:val="21"/>
        </w:rPr>
      </w:pPr>
      <w:r>
        <w:rPr>
          <w:rFonts w:hint="eastAsia" w:ascii="宋体" w:hAnsi="宋体" w:cs="宋体"/>
          <w:b/>
          <w:bCs/>
          <w:sz w:val="21"/>
          <w:szCs w:val="21"/>
        </w:rPr>
        <w:t xml:space="preserve">六、公告期限</w:t>
      </w:r>
      <w:r/>
    </w:p>
    <w:p>
      <w:pPr>
        <w:pStyle w:val="707"/>
        <w:ind w:left="0" w:firstLine="420"/>
        <w:spacing w:line="360" w:lineRule="auto"/>
        <w:rPr>
          <w:rFonts w:ascii="宋体" w:hAnsi="宋体" w:cs="宋体"/>
          <w:bCs/>
          <w:sz w:val="21"/>
          <w:szCs w:val="21"/>
        </w:rPr>
      </w:pPr>
      <w:r>
        <w:rPr>
          <w:rFonts w:hint="eastAsia" w:ascii="宋体" w:hAnsi="宋体" w:cs="宋体"/>
          <w:bCs/>
          <w:sz w:val="21"/>
          <w:szCs w:val="21"/>
        </w:rPr>
        <w:t xml:space="preserve">自本公告发布之日起 </w:t>
      </w:r>
      <w:r>
        <w:rPr>
          <w:rFonts w:ascii="宋体" w:hAnsi="宋体" w:cs="宋体"/>
          <w:bCs/>
          <w:sz w:val="21"/>
          <w:szCs w:val="21"/>
        </w:rPr>
        <w:t xml:space="preserve">3</w:t>
      </w:r>
      <w:r>
        <w:rPr>
          <w:rFonts w:hint="eastAsia" w:ascii="宋体" w:hAnsi="宋体" w:cs="宋体"/>
          <w:bCs/>
          <w:sz w:val="21"/>
          <w:szCs w:val="21"/>
        </w:rPr>
        <w:t xml:space="preserve">个工作日</w:t>
      </w:r>
      <w:r/>
    </w:p>
    <w:p>
      <w:pPr>
        <w:pStyle w:val="707"/>
        <w:ind w:left="0" w:firstLine="422"/>
        <w:spacing w:line="360" w:lineRule="auto"/>
        <w:rPr>
          <w:rFonts w:ascii="宋体" w:hAnsi="宋体" w:cs="宋体"/>
          <w:b/>
          <w:bCs/>
          <w:sz w:val="21"/>
          <w:szCs w:val="21"/>
        </w:rPr>
      </w:pPr>
      <w:r>
        <w:rPr>
          <w:rFonts w:hint="eastAsia" w:ascii="宋体" w:hAnsi="宋体" w:cs="宋体"/>
          <w:b/>
          <w:bCs/>
          <w:sz w:val="21"/>
          <w:szCs w:val="21"/>
        </w:rPr>
        <w:t xml:space="preserve">七、其他补充事宜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Style w:val="704"/>
        <w:tblW w:w="86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11"/>
      </w:tblGrid>
      <w:tr>
        <w:trPr>
          <w:jc w:val="center"/>
          <w:trHeight w:val="2424"/>
        </w:trPr>
        <w:tc>
          <w:tcPr>
            <w:tcW w:w="8611" w:type="dxa"/>
            <w:textDirection w:val="lrTb"/>
            <w:noWrap w:val="false"/>
          </w:tcPr>
          <w:p>
            <w:pPr>
              <w:pStyle w:val="734"/>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734"/>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734"/>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734"/>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r/>
      <w:r/>
    </w:p>
    <w:p>
      <w:pPr>
        <w:pStyle w:val="707"/>
        <w:ind w:left="0" w:firstLine="422"/>
        <w:spacing w:line="360" w:lineRule="auto"/>
        <w:rPr>
          <w:rFonts w:ascii="宋体" w:hAnsi="宋体" w:cs="宋体"/>
          <w:b/>
          <w:bCs/>
          <w:sz w:val="21"/>
          <w:szCs w:val="21"/>
        </w:rPr>
      </w:pPr>
      <w:r>
        <w:rPr>
          <w:rFonts w:hint="eastAsia" w:ascii="宋体" w:hAnsi="宋体" w:cs="宋体"/>
          <w:b/>
          <w:bCs/>
          <w:sz w:val="21"/>
          <w:szCs w:val="21"/>
        </w:rPr>
        <w:t xml:space="preserve">八、对本次征集提出询问，请按以下方式联系</w:t>
      </w:r>
      <w:r/>
    </w:p>
    <w:p>
      <w:pPr>
        <w:pStyle w:val="707"/>
        <w:ind w:left="0" w:firstLine="420"/>
        <w:spacing w:line="360" w:lineRule="auto"/>
        <w:rPr>
          <w:rFonts w:ascii="宋体" w:hAnsi="宋体" w:cs="宋体"/>
          <w:bCs/>
          <w:sz w:val="21"/>
          <w:szCs w:val="21"/>
        </w:rPr>
      </w:pPr>
      <w:r>
        <w:rPr>
          <w:rFonts w:hint="eastAsia" w:ascii="宋体" w:hAnsi="宋体" w:cs="宋体"/>
          <w:bCs/>
          <w:sz w:val="21"/>
          <w:szCs w:val="21"/>
        </w:rPr>
        <w:t xml:space="preserve">1.采购人信息 </w:t>
      </w:r>
      <w:r/>
    </w:p>
    <w:p>
      <w:pPr>
        <w:pStyle w:val="707"/>
        <w:ind w:left="0" w:firstLine="420"/>
        <w:spacing w:line="360" w:lineRule="auto"/>
        <w:rPr>
          <w:rFonts w:hint="eastAsia" w:ascii="宋体" w:hAnsi="宋体" w:eastAsia="宋体"/>
          <w:sz w:val="21"/>
          <w:szCs w:val="21"/>
          <w:lang w:eastAsia="zh-CN"/>
        </w:rPr>
      </w:pPr>
      <w:r>
        <w:rPr>
          <w:rFonts w:hint="eastAsia" w:ascii="宋体" w:hAnsi="宋体"/>
          <w:sz w:val="21"/>
          <w:szCs w:val="21"/>
        </w:rPr>
        <w:t xml:space="preserve">名称：</w:t>
      </w:r>
      <w:r>
        <w:rPr>
          <w:rFonts w:hint="eastAsia" w:ascii="宋体" w:hAnsi="宋体"/>
          <w:sz w:val="21"/>
          <w:szCs w:val="21"/>
          <w:lang w:eastAsia="zh-CN"/>
        </w:rPr>
        <w:t xml:space="preserve">苏州市交通运输应急指挥中心</w:t>
      </w:r>
      <w:r/>
    </w:p>
    <w:p>
      <w:pPr>
        <w:pStyle w:val="707"/>
        <w:ind w:left="0" w:firstLine="420"/>
        <w:spacing w:line="360" w:lineRule="auto"/>
        <w:rPr>
          <w:rFonts w:hint="eastAsia" w:ascii="宋体" w:hAnsi="宋体" w:eastAsia="宋体"/>
          <w:sz w:val="21"/>
          <w:szCs w:val="21"/>
          <w:lang w:eastAsia="zh-CN"/>
        </w:rPr>
      </w:pPr>
      <w:r>
        <w:rPr>
          <w:rFonts w:hint="eastAsia" w:ascii="宋体" w:hAnsi="宋体"/>
          <w:sz w:val="21"/>
          <w:szCs w:val="21"/>
        </w:rPr>
        <w:t xml:space="preserve">地址：</w:t>
      </w:r>
      <w:r>
        <w:rPr>
          <w:rFonts w:hint="eastAsia" w:ascii="宋体" w:hAnsi="宋体"/>
          <w:sz w:val="21"/>
          <w:szCs w:val="21"/>
          <w:lang w:eastAsia="zh-CN"/>
        </w:rPr>
        <w:t xml:space="preserve">苏州市姑苏区南环东路1号</w:t>
      </w:r>
      <w:r/>
    </w:p>
    <w:p>
      <w:pPr>
        <w:pStyle w:val="707"/>
        <w:ind w:left="0" w:firstLine="420"/>
        <w:spacing w:line="360" w:lineRule="auto"/>
        <w:rPr>
          <w:rFonts w:hint="eastAsia" w:ascii="宋体" w:hAnsi="宋体" w:eastAsia="宋体"/>
          <w:sz w:val="21"/>
          <w:szCs w:val="21"/>
          <w:highlight w:val="none"/>
          <w:lang w:val="en-US" w:eastAsia="zh-CN"/>
        </w:rPr>
      </w:pPr>
      <w:r>
        <w:rPr>
          <w:rFonts w:hint="eastAsia" w:ascii="宋体" w:hAnsi="宋体"/>
          <w:sz w:val="21"/>
          <w:szCs w:val="21"/>
        </w:rPr>
        <w:t xml:space="preserve">联系人</w:t>
      </w:r>
      <w:r>
        <w:rPr>
          <w:rFonts w:hint="eastAsia" w:ascii="宋体" w:hAnsi="宋体"/>
          <w:sz w:val="21"/>
          <w:szCs w:val="21"/>
          <w:highlight w:val="none"/>
        </w:rPr>
        <w:t xml:space="preserve">：</w:t>
      </w:r>
      <w:r>
        <w:rPr>
          <w:rFonts w:hint="eastAsia" w:ascii="宋体" w:hAnsi="宋体"/>
          <w:sz w:val="21"/>
          <w:szCs w:val="21"/>
          <w:highlight w:val="none"/>
          <w:lang w:val="en-US" w:eastAsia="zh-CN"/>
        </w:rPr>
        <w:t xml:space="preserve">王子悦</w:t>
      </w:r>
      <w:r/>
    </w:p>
    <w:p>
      <w:pPr>
        <w:pStyle w:val="707"/>
        <w:ind w:left="0" w:firstLine="420"/>
        <w:spacing w:line="360" w:lineRule="auto"/>
        <w:rPr>
          <w:rFonts w:hint="eastAsia" w:ascii="宋体" w:hAnsi="宋体"/>
          <w:sz w:val="21"/>
          <w:szCs w:val="21"/>
          <w:highlight w:val="none"/>
          <w:lang w:val="en-US" w:eastAsia="zh-CN"/>
        </w:rPr>
      </w:pPr>
      <w:r>
        <w:rPr>
          <w:rFonts w:hint="eastAsia" w:ascii="宋体" w:hAnsi="宋体"/>
          <w:sz w:val="21"/>
          <w:szCs w:val="21"/>
          <w:highlight w:val="none"/>
        </w:rPr>
        <w:t xml:space="preserve">联系方式：</w:t>
      </w:r>
      <w:r>
        <w:rPr>
          <w:rFonts w:hint="eastAsia" w:ascii="宋体" w:hAnsi="宋体"/>
          <w:sz w:val="21"/>
          <w:szCs w:val="21"/>
          <w:highlight w:val="none"/>
          <w:lang w:eastAsia="zh-CN"/>
        </w:rPr>
        <w:t xml:space="preserve">0512-</w:t>
      </w:r>
      <w:r>
        <w:rPr>
          <w:rFonts w:hint="eastAsia" w:ascii="宋体" w:hAnsi="宋体"/>
          <w:sz w:val="21"/>
          <w:szCs w:val="21"/>
          <w:highlight w:val="none"/>
          <w:lang w:val="en-US" w:eastAsia="zh-CN"/>
        </w:rPr>
        <w:t xml:space="preserve">65820320</w:t>
      </w:r>
      <w:r/>
    </w:p>
    <w:p>
      <w:pPr>
        <w:pStyle w:val="707"/>
        <w:ind w:left="0" w:firstLine="420"/>
        <w:spacing w:line="360" w:lineRule="auto"/>
        <w:rPr>
          <w:rFonts w:ascii="宋体" w:hAnsi="宋体" w:cs="宋体"/>
          <w:bCs/>
          <w:sz w:val="21"/>
          <w:szCs w:val="21"/>
        </w:rPr>
      </w:pPr>
      <w:r>
        <w:rPr>
          <w:rFonts w:hint="eastAsia" w:ascii="宋体" w:hAnsi="宋体" w:cs="宋体"/>
          <w:bCs/>
          <w:sz w:val="21"/>
          <w:szCs w:val="21"/>
        </w:rPr>
        <w:t xml:space="preserve">2.采购代理机构信息 </w:t>
      </w:r>
      <w:r/>
    </w:p>
    <w:p>
      <w:pPr>
        <w:pStyle w:val="707"/>
        <w:ind w:left="0" w:firstLine="420"/>
        <w:spacing w:line="360" w:lineRule="auto"/>
        <w:rPr>
          <w:rFonts w:ascii="宋体" w:hAnsi="宋体" w:cs="宋体"/>
          <w:bCs/>
          <w:sz w:val="21"/>
          <w:szCs w:val="21"/>
        </w:rPr>
      </w:pPr>
      <w:r>
        <w:rPr>
          <w:rFonts w:hint="eastAsia" w:ascii="宋体" w:hAnsi="宋体" w:cs="宋体"/>
          <w:bCs/>
          <w:sz w:val="21"/>
          <w:szCs w:val="21"/>
        </w:rPr>
        <w:t xml:space="preserve">名称：苏州市润芳招投标咨询服务有限公司</w:t>
      </w:r>
      <w:r/>
    </w:p>
    <w:p>
      <w:pPr>
        <w:pStyle w:val="707"/>
        <w:ind w:left="0" w:firstLine="420"/>
        <w:spacing w:line="360" w:lineRule="auto"/>
        <w:rPr>
          <w:rFonts w:ascii="宋体" w:hAnsi="宋体" w:cs="宋体"/>
          <w:bCs/>
          <w:sz w:val="21"/>
          <w:szCs w:val="21"/>
        </w:rPr>
      </w:pPr>
      <w:r>
        <w:rPr>
          <w:rFonts w:hint="eastAsia" w:ascii="宋体" w:hAnsi="宋体" w:cs="宋体"/>
          <w:bCs/>
          <w:sz w:val="21"/>
          <w:szCs w:val="21"/>
        </w:rPr>
        <w:t xml:space="preserve">地址：苏州市姑苏区西环路883号204室</w:t>
      </w:r>
      <w:r/>
    </w:p>
    <w:p>
      <w:pPr>
        <w:pStyle w:val="707"/>
        <w:ind w:left="0" w:firstLine="420"/>
        <w:spacing w:line="360" w:lineRule="auto"/>
        <w:rPr>
          <w:rFonts w:ascii="宋体" w:hAnsi="宋体" w:cs="宋体"/>
          <w:bCs/>
          <w:sz w:val="21"/>
          <w:szCs w:val="21"/>
        </w:rPr>
      </w:pPr>
      <w:r>
        <w:rPr>
          <w:rFonts w:hint="eastAsia" w:ascii="宋体" w:hAnsi="宋体" w:cs="宋体"/>
          <w:bCs/>
          <w:sz w:val="21"/>
          <w:szCs w:val="21"/>
        </w:rPr>
        <w:t xml:space="preserve">联系方式：0512-65115979</w:t>
      </w:r>
      <w:r/>
    </w:p>
    <w:p>
      <w:pPr>
        <w:pStyle w:val="707"/>
        <w:ind w:left="0" w:firstLine="420"/>
        <w:spacing w:line="360" w:lineRule="auto"/>
        <w:rPr>
          <w:rFonts w:ascii="宋体" w:hAnsi="宋体" w:cs="宋体"/>
          <w:bCs/>
          <w:sz w:val="21"/>
          <w:szCs w:val="21"/>
        </w:rPr>
      </w:pPr>
      <w:r>
        <w:rPr>
          <w:rFonts w:hint="eastAsia" w:ascii="宋体" w:hAnsi="宋体" w:cs="宋体"/>
          <w:bCs/>
          <w:sz w:val="21"/>
          <w:szCs w:val="21"/>
        </w:rPr>
        <w:t xml:space="preserve">3.项目联系方式</w:t>
      </w:r>
      <w:r/>
    </w:p>
    <w:p>
      <w:pPr>
        <w:pStyle w:val="707"/>
        <w:ind w:left="0" w:firstLine="420"/>
        <w:spacing w:line="360" w:lineRule="auto"/>
        <w:rPr>
          <w:rFonts w:hint="default" w:ascii="宋体" w:hAnsi="宋体" w:eastAsia="宋体" w:cs="宋体"/>
          <w:bCs/>
          <w:sz w:val="21"/>
          <w:szCs w:val="21"/>
          <w:lang w:val="en-US" w:eastAsia="zh-CN"/>
        </w:rPr>
      </w:pPr>
      <w:r>
        <w:rPr>
          <w:rFonts w:hint="eastAsia" w:ascii="宋体" w:hAnsi="宋体" w:cs="宋体"/>
          <w:bCs/>
          <w:sz w:val="21"/>
          <w:szCs w:val="21"/>
        </w:rPr>
        <w:t xml:space="preserve">项目联系人：</w:t>
      </w:r>
      <w:r>
        <w:rPr>
          <w:rFonts w:hint="eastAsia" w:ascii="宋体" w:hAnsi="宋体"/>
          <w:sz w:val="21"/>
          <w:szCs w:val="21"/>
          <w:lang w:val="en-US"/>
        </w:rPr>
        <w:t xml:space="preserve">陈超、</w:t>
      </w:r>
      <w:r>
        <w:rPr>
          <w:rFonts w:hint="eastAsia" w:ascii="宋体" w:hAnsi="宋体" w:cs="宋体"/>
          <w:bCs/>
          <w:sz w:val="21"/>
          <w:szCs w:val="21"/>
        </w:rPr>
        <w:t xml:space="preserve">王思恬、</w:t>
      </w:r>
      <w:r>
        <w:rPr>
          <w:rFonts w:hint="eastAsia" w:ascii="宋体" w:hAnsi="宋体"/>
          <w:sz w:val="21"/>
          <w:szCs w:val="21"/>
          <w:lang w:val="en-US"/>
        </w:rPr>
        <w:t xml:space="preserve">宁杰星、孙阳</w:t>
      </w:r>
      <w:r>
        <w:rPr>
          <w:rFonts w:hint="eastAsia" w:ascii="宋体" w:hAnsi="宋体"/>
          <w:sz w:val="21"/>
          <w:szCs w:val="21"/>
          <w:lang w:val="en-US" w:eastAsia="zh-CN"/>
        </w:rPr>
        <w:t xml:space="preserve">、张国珍</w:t>
      </w:r>
      <w:r/>
    </w:p>
    <w:p>
      <w:pPr>
        <w:pStyle w:val="707"/>
        <w:ind w:left="0" w:firstLine="420"/>
        <w:spacing w:line="360" w:lineRule="auto"/>
      </w:pPr>
      <w:r>
        <w:rPr>
          <w:rFonts w:hint="eastAsia" w:ascii="宋体" w:hAnsi="宋体" w:cs="宋体"/>
          <w:bCs/>
          <w:sz w:val="21"/>
          <w:szCs w:val="21"/>
        </w:rPr>
        <w:t xml:space="preserve">电话：0512-65115979</w:t>
      </w:r>
      <w:r/>
    </w:p>
    <w:p>
      <w:r>
        <w:br w:type="page" w:clear="all"/>
      </w:r>
      <w:r/>
    </w:p>
    <w:p>
      <w:pPr>
        <w:jc w:val="center"/>
        <w:spacing w:before="75" w:after="75"/>
        <w:widowControl/>
        <w:rPr>
          <w:rFonts w:ascii="sans-serif" w:hAnsi="sans-serif" w:eastAsia="sans-serif" w:cs="sans-serif"/>
          <w:sz w:val="24"/>
        </w:rPr>
      </w:pPr>
      <w:r>
        <w:rPr>
          <w:rFonts w:hint="eastAsia" w:ascii="宋体" w:hAnsi="宋体" w:cs="宋体"/>
          <w:b/>
          <w:sz w:val="43"/>
        </w:rPr>
        <w:t xml:space="preserve">第二章  磋商须知</w:t>
      </w:r>
      <w:r/>
    </w:p>
    <w:p>
      <w:pPr>
        <w:jc w:val="center"/>
        <w:spacing w:before="75" w:after="75" w:line="435" w:lineRule="atLeast"/>
        <w:widowControl/>
        <w:rPr>
          <w:rFonts w:ascii="宋体" w:hAnsi="宋体" w:cs="宋体"/>
          <w:b/>
          <w:sz w:val="31"/>
        </w:rPr>
      </w:pPr>
      <w:r>
        <w:rPr>
          <w:rFonts w:ascii="宋体" w:hAnsi="宋体" w:cs="宋体"/>
          <w:b/>
          <w:sz w:val="31"/>
        </w:rPr>
      </w:r>
      <w:r/>
    </w:p>
    <w:p>
      <w:pPr>
        <w:ind w:firstLine="482"/>
        <w:jc w:val="left"/>
        <w:spacing w:line="360" w:lineRule="auto"/>
        <w:rPr>
          <w:rFonts w:ascii="宋体" w:hAnsi="宋体"/>
          <w:sz w:val="21"/>
          <w:szCs w:val="21"/>
        </w:rPr>
        <w:outlineLvl w:val="0"/>
      </w:pPr>
      <w:r>
        <w:rPr>
          <w:rFonts w:hint="eastAsia" w:ascii="宋体" w:hAnsi="宋体"/>
          <w:b/>
          <w:sz w:val="21"/>
          <w:szCs w:val="21"/>
        </w:rPr>
        <w:t xml:space="preserve">一、响应文件的组成及要求</w:t>
      </w:r>
      <w:r/>
    </w:p>
    <w:p>
      <w:pPr>
        <w:pStyle w:val="707"/>
        <w:ind w:left="0" w:firstLine="422"/>
        <w:spacing w:line="360" w:lineRule="auto"/>
        <w:rPr>
          <w:rFonts w:ascii="宋体" w:hAnsi="宋体" w:cs="宋体"/>
          <w:b/>
          <w:sz w:val="21"/>
          <w:szCs w:val="21"/>
        </w:rPr>
      </w:pPr>
      <w:r>
        <w:rPr>
          <w:rFonts w:hint="eastAsia" w:ascii="宋体" w:hAnsi="宋体" w:cs="宋体"/>
          <w:b/>
          <w:sz w:val="21"/>
          <w:szCs w:val="21"/>
        </w:rPr>
        <w:t xml:space="preserve">1、封面</w:t>
      </w:r>
      <w:r/>
    </w:p>
    <w:p>
      <w:pPr>
        <w:pStyle w:val="707"/>
        <w:ind w:left="0" w:firstLine="422"/>
        <w:spacing w:line="360" w:lineRule="auto"/>
        <w:rPr>
          <w:rFonts w:ascii="宋体" w:hAnsi="宋体" w:cs="宋体"/>
          <w:b/>
          <w:sz w:val="21"/>
          <w:szCs w:val="21"/>
        </w:rPr>
      </w:pPr>
      <w:r>
        <w:rPr>
          <w:rFonts w:hint="eastAsia" w:ascii="宋体" w:hAnsi="宋体" w:cs="宋体"/>
          <w:b/>
          <w:sz w:val="21"/>
          <w:szCs w:val="21"/>
        </w:rPr>
        <w:t xml:space="preserve">2、开标一览表</w:t>
      </w:r>
      <w:r/>
    </w:p>
    <w:p>
      <w:pPr>
        <w:pStyle w:val="707"/>
        <w:ind w:left="0" w:firstLine="422"/>
        <w:spacing w:line="360" w:lineRule="auto"/>
        <w:rPr>
          <w:rFonts w:ascii="宋体" w:hAnsi="宋体" w:cs="宋体"/>
          <w:b/>
          <w:sz w:val="21"/>
          <w:szCs w:val="21"/>
        </w:rPr>
      </w:pPr>
      <w:r>
        <w:rPr>
          <w:rFonts w:hint="eastAsia" w:ascii="宋体" w:hAnsi="宋体" w:cs="宋体"/>
          <w:b/>
          <w:sz w:val="21"/>
          <w:szCs w:val="21"/>
        </w:rPr>
        <w:t xml:space="preserve">3、资格审查响应文件</w:t>
      </w:r>
      <w:r/>
    </w:p>
    <w:p>
      <w:pPr>
        <w:pStyle w:val="707"/>
        <w:ind w:left="0" w:firstLine="420"/>
        <w:spacing w:line="360" w:lineRule="auto"/>
        <w:rPr>
          <w:rFonts w:ascii="宋体" w:hAnsi="宋体" w:cs="宋体"/>
          <w:bCs/>
          <w:sz w:val="21"/>
          <w:szCs w:val="21"/>
        </w:rPr>
      </w:pPr>
      <w:r>
        <w:rPr>
          <w:rFonts w:hint="eastAsia" w:ascii="宋体" w:hAnsi="宋体" w:cs="宋体"/>
          <w:bCs/>
          <w:sz w:val="21"/>
          <w:szCs w:val="21"/>
        </w:rPr>
        <w:t xml:space="preserve">3.1关于资格文件的声明函（格式见第三章）；</w:t>
      </w:r>
      <w:r/>
    </w:p>
    <w:p>
      <w:pPr>
        <w:pStyle w:val="707"/>
        <w:ind w:left="0" w:firstLine="420"/>
        <w:spacing w:line="360" w:lineRule="auto"/>
        <w:rPr>
          <w:rFonts w:ascii="宋体" w:hAnsi="宋体" w:cs="宋体"/>
          <w:bCs/>
          <w:sz w:val="21"/>
          <w:szCs w:val="21"/>
        </w:rPr>
      </w:pPr>
      <w:r>
        <w:rPr>
          <w:rFonts w:hint="eastAsia" w:ascii="宋体" w:hAnsi="宋体" w:cs="宋体"/>
          <w:bCs/>
          <w:sz w:val="21"/>
          <w:szCs w:val="21"/>
        </w:rPr>
        <w:t xml:space="preserve">3.2磋商响应单位基本情况表（格式见第三章）；</w:t>
      </w:r>
      <w:r/>
    </w:p>
    <w:p>
      <w:pPr>
        <w:pStyle w:val="707"/>
        <w:ind w:left="0" w:firstLine="420"/>
        <w:spacing w:line="360" w:lineRule="auto"/>
        <w:rPr>
          <w:rFonts w:ascii="宋体" w:hAnsi="宋体" w:cs="宋体"/>
          <w:bCs/>
          <w:sz w:val="21"/>
          <w:szCs w:val="21"/>
        </w:rPr>
      </w:pPr>
      <w:r>
        <w:rPr>
          <w:rFonts w:hint="eastAsia" w:ascii="宋体" w:hAnsi="宋体" w:cs="宋体"/>
          <w:bCs/>
          <w:sz w:val="21"/>
          <w:szCs w:val="21"/>
        </w:rPr>
        <w:t xml:space="preserve">3.3磋商响应单位法定代表人身份证复印件；</w:t>
      </w:r>
      <w:r/>
    </w:p>
    <w:p>
      <w:pPr>
        <w:pStyle w:val="707"/>
        <w:ind w:left="0" w:firstLine="420"/>
        <w:spacing w:line="360" w:lineRule="auto"/>
        <w:rPr>
          <w:rFonts w:ascii="宋体" w:hAnsi="宋体" w:cs="宋体"/>
          <w:bCs/>
          <w:sz w:val="21"/>
          <w:szCs w:val="21"/>
        </w:rPr>
      </w:pPr>
      <w:r>
        <w:rPr>
          <w:rFonts w:hint="eastAsia" w:ascii="宋体" w:hAnsi="宋体" w:cs="宋体"/>
          <w:bCs/>
          <w:sz w:val="21"/>
          <w:szCs w:val="21"/>
        </w:rPr>
        <w:t xml:space="preserve">3.4法定代表人授权委托书（如有授权，格式见第三章）；</w:t>
      </w:r>
      <w:r/>
    </w:p>
    <w:p>
      <w:pPr>
        <w:pStyle w:val="707"/>
        <w:ind w:left="0" w:firstLine="420"/>
        <w:spacing w:line="360" w:lineRule="auto"/>
        <w:rPr>
          <w:rFonts w:ascii="宋体" w:hAnsi="宋体" w:cs="宋体"/>
          <w:bCs/>
          <w:sz w:val="21"/>
          <w:szCs w:val="21"/>
        </w:rPr>
      </w:pPr>
      <w:r>
        <w:rPr>
          <w:rFonts w:hint="eastAsia" w:ascii="宋体" w:hAnsi="宋体" w:cs="宋体"/>
          <w:bCs/>
          <w:sz w:val="21"/>
          <w:szCs w:val="21"/>
        </w:rPr>
        <w:t xml:space="preserve">3.5磋商响应单位授权代理人身份证复印件（如有授权）；</w:t>
      </w:r>
      <w:r/>
    </w:p>
    <w:p>
      <w:pPr>
        <w:pStyle w:val="707"/>
        <w:ind w:left="0" w:firstLine="420"/>
        <w:spacing w:line="360" w:lineRule="auto"/>
        <w:rPr>
          <w:rFonts w:ascii="宋体" w:hAnsi="宋体" w:cs="宋体"/>
          <w:bCs/>
          <w:sz w:val="21"/>
          <w:szCs w:val="21"/>
        </w:rPr>
      </w:pPr>
      <w:r>
        <w:rPr>
          <w:rFonts w:hint="eastAsia" w:ascii="宋体" w:hAnsi="宋体" w:cs="宋体"/>
          <w:bCs/>
          <w:sz w:val="21"/>
          <w:szCs w:val="21"/>
        </w:rPr>
        <w:t xml:space="preserve">3.6合格供应商的基本条件</w:t>
      </w:r>
      <w:r/>
    </w:p>
    <w:p>
      <w:pPr>
        <w:pStyle w:val="707"/>
        <w:ind w:left="0" w:firstLine="420"/>
        <w:spacing w:line="360" w:lineRule="auto"/>
        <w:rPr>
          <w:rFonts w:ascii="宋体" w:hAnsi="宋体" w:cs="宋体"/>
          <w:bCs/>
          <w:sz w:val="21"/>
          <w:szCs w:val="21"/>
        </w:rPr>
      </w:pPr>
      <w:r>
        <w:rPr>
          <w:rFonts w:hint="eastAsia" w:ascii="宋体" w:hAnsi="宋体" w:cs="宋体"/>
          <w:bCs/>
          <w:sz w:val="21"/>
          <w:szCs w:val="21"/>
        </w:rPr>
        <w:t xml:space="preserve">3.6.1具有独立承担民事责任的能力证明。包括法人或者其他组织的营业执照等证明文件，自然人的身份证明；</w:t>
      </w:r>
      <w:r/>
    </w:p>
    <w:p>
      <w:pPr>
        <w:pStyle w:val="707"/>
        <w:ind w:left="0" w:firstLine="420"/>
        <w:spacing w:line="360" w:lineRule="auto"/>
        <w:rPr>
          <w:rFonts w:ascii="宋体" w:hAnsi="宋体" w:cs="宋体"/>
          <w:bCs/>
          <w:sz w:val="21"/>
          <w:szCs w:val="21"/>
        </w:rPr>
      </w:pPr>
      <w:r>
        <w:rPr>
          <w:rFonts w:hint="eastAsia" w:ascii="宋体" w:hAnsi="宋体" w:cs="宋体"/>
          <w:bCs/>
          <w:sz w:val="21"/>
          <w:szCs w:val="21"/>
        </w:rPr>
        <w:t xml:space="preserve">3.6.2具有良好的商业信誉和健全的财务会计制度证明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707"/>
        <w:ind w:left="0" w:firstLine="420"/>
        <w:spacing w:line="360" w:lineRule="auto"/>
        <w:rPr>
          <w:rFonts w:ascii="宋体" w:hAnsi="宋体" w:cs="宋体"/>
          <w:bCs/>
          <w:sz w:val="21"/>
          <w:szCs w:val="21"/>
        </w:rPr>
      </w:pPr>
      <w:r>
        <w:rPr>
          <w:rFonts w:hint="eastAsia" w:ascii="宋体" w:hAnsi="宋体" w:cs="宋体"/>
          <w:bCs/>
          <w:sz w:val="21"/>
          <w:szCs w:val="21"/>
        </w:rPr>
        <w:t xml:space="preserve">3.6.3履行合同所必需的设备和专业技术能力的证明材料或承诺；</w:t>
      </w:r>
      <w:r/>
    </w:p>
    <w:p>
      <w:pPr>
        <w:pStyle w:val="707"/>
        <w:ind w:left="0" w:firstLine="420"/>
        <w:spacing w:line="360" w:lineRule="auto"/>
        <w:rPr>
          <w:rFonts w:ascii="宋体" w:hAnsi="宋体" w:cs="宋体"/>
          <w:bCs/>
          <w:sz w:val="21"/>
          <w:szCs w:val="21"/>
        </w:rPr>
      </w:pPr>
      <w:r>
        <w:rPr>
          <w:rFonts w:hint="eastAsia" w:ascii="宋体" w:hAnsi="宋体" w:cs="宋体"/>
          <w:bCs/>
          <w:sz w:val="21"/>
          <w:szCs w:val="21"/>
        </w:rPr>
        <w:t xml:space="preserve">3.6.4有依法缴纳税收和社会保障资金的良好记录</w:t>
      </w:r>
      <w:r>
        <w:rPr>
          <w:rFonts w:hint="eastAsia" w:ascii="宋体" w:hAnsi="宋体" w:cs="宋体"/>
          <w:b/>
          <w:bCs/>
          <w:sz w:val="21"/>
          <w:szCs w:val="21"/>
        </w:rPr>
        <w:t xml:space="preserve">（</w:t>
      </w:r>
      <w:r>
        <w:rPr>
          <w:rFonts w:hint="eastAsia" w:ascii="宋体" w:hAnsi="宋体"/>
          <w:b/>
          <w:sz w:val="21"/>
          <w:szCs w:val="21"/>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cs="宋体"/>
          <w:b/>
          <w:bCs/>
          <w:sz w:val="21"/>
          <w:szCs w:val="21"/>
        </w:rPr>
        <w:t xml:space="preserve">）</w:t>
      </w:r>
      <w:r>
        <w:rPr>
          <w:rFonts w:hint="eastAsia" w:ascii="宋体" w:hAnsi="宋体" w:cs="宋体"/>
          <w:bCs/>
          <w:sz w:val="21"/>
          <w:szCs w:val="21"/>
        </w:rPr>
        <w:t xml:space="preserve">；</w:t>
      </w:r>
      <w:r/>
    </w:p>
    <w:p>
      <w:pPr>
        <w:pStyle w:val="707"/>
        <w:ind w:left="0" w:firstLine="420"/>
        <w:spacing w:line="360" w:lineRule="auto"/>
        <w:rPr>
          <w:rFonts w:ascii="宋体" w:hAnsi="宋体" w:cs="宋体"/>
          <w:bCs/>
          <w:sz w:val="21"/>
          <w:szCs w:val="21"/>
        </w:rPr>
      </w:pPr>
      <w:r>
        <w:rPr>
          <w:rFonts w:hint="eastAsia" w:ascii="宋体" w:hAnsi="宋体" w:cs="宋体"/>
          <w:bCs/>
          <w:sz w:val="21"/>
          <w:szCs w:val="21"/>
        </w:rPr>
        <w:t xml:space="preserve">3.6.5参加政府采购活动前三年内在经营活动中没有重大违法记录的书面声明函；</w:t>
      </w:r>
      <w:r/>
    </w:p>
    <w:p>
      <w:pPr>
        <w:pStyle w:val="707"/>
        <w:ind w:left="0" w:firstLine="420"/>
        <w:spacing w:line="360" w:lineRule="auto"/>
        <w:rPr>
          <w:rFonts w:hint="eastAsia" w:eastAsia="宋体"/>
          <w:sz w:val="21"/>
          <w:szCs w:val="21"/>
          <w:lang w:eastAsia="zh-CN"/>
        </w:rPr>
      </w:pPr>
      <w:r>
        <w:rPr>
          <w:rFonts w:hint="eastAsia" w:ascii="宋体" w:hAnsi="宋体" w:cs="宋体"/>
          <w:bCs/>
          <w:sz w:val="21"/>
          <w:szCs w:val="21"/>
        </w:rPr>
        <w:t xml:space="preserve">3.</w:t>
      </w:r>
      <w:r>
        <w:rPr>
          <w:rFonts w:ascii="宋体" w:hAnsi="宋体" w:cs="宋体"/>
          <w:bCs/>
          <w:sz w:val="21"/>
          <w:szCs w:val="21"/>
        </w:rPr>
        <w:t xml:space="preserve">7</w:t>
      </w:r>
      <w:r>
        <w:rPr>
          <w:rFonts w:hint="eastAsia" w:ascii="宋体" w:hAnsi="宋体" w:cs="宋体"/>
          <w:bCs/>
          <w:sz w:val="21"/>
          <w:szCs w:val="21"/>
        </w:rPr>
        <w:t xml:space="preserve">其它有关资格证明的文件；</w:t>
      </w:r>
      <w:r>
        <w:rPr>
          <w:rFonts w:hint="eastAsia" w:ascii="宋体" w:hAnsi="宋体" w:cs="宋体"/>
          <w:b/>
          <w:bCs/>
          <w:sz w:val="21"/>
          <w:szCs w:val="21"/>
        </w:rPr>
        <w:t xml:space="preserve">本项目专门面向中小企业采购</w:t>
      </w:r>
      <w:r>
        <w:rPr>
          <w:rFonts w:hint="eastAsia" w:ascii="宋体" w:hAnsi="宋体" w:cs="宋体"/>
          <w:b/>
          <w:bCs/>
          <w:sz w:val="21"/>
          <w:szCs w:val="21"/>
          <w:lang w:eastAsia="zh-CN"/>
        </w:rPr>
        <w:t xml:space="preserve">，</w:t>
      </w:r>
      <w:r>
        <w:rPr>
          <w:rFonts w:hint="eastAsia" w:ascii="宋体" w:hAnsi="宋体" w:cs="宋体"/>
          <w:b/>
          <w:bCs/>
          <w:sz w:val="21"/>
          <w:szCs w:val="21"/>
          <w:lang w:val="en-US" w:eastAsia="zh-CN"/>
        </w:rPr>
        <w:t xml:space="preserve">供应商必须提供</w:t>
      </w:r>
      <w:r>
        <w:rPr>
          <w:rFonts w:hint="eastAsia" w:ascii="宋体" w:hAnsi="宋体" w:cs="宋体"/>
          <w:b/>
          <w:bCs/>
          <w:sz w:val="21"/>
          <w:szCs w:val="21"/>
        </w:rPr>
        <w:t xml:space="preserve">《中小企业声明函》或《残疾人福利性单位声明函》或由省级以上监狱管理局、戒毒管理局（含新疆生产建设兵团）出具的属于监狱企业的证明文件</w:t>
      </w:r>
      <w:r>
        <w:rPr>
          <w:rFonts w:hint="eastAsia" w:ascii="宋体" w:hAnsi="宋体" w:cs="宋体"/>
          <w:b/>
          <w:bCs/>
          <w:sz w:val="21"/>
          <w:szCs w:val="21"/>
          <w:lang w:eastAsia="zh-CN"/>
        </w:rPr>
        <w:t xml:space="preserve">。</w:t>
      </w:r>
      <w:r/>
    </w:p>
    <w:p>
      <w:pPr>
        <w:pStyle w:val="707"/>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3.8 本项目特定资格证明材料：</w:t>
      </w:r>
      <w:r>
        <w:rPr>
          <w:rFonts w:hint="eastAsia" w:ascii="宋体" w:hAnsi="宋体" w:cs="宋体"/>
          <w:bCs/>
          <w:sz w:val="21"/>
          <w:szCs w:val="21"/>
          <w:lang w:eastAsia="zh-CN"/>
        </w:rPr>
        <w:t xml:space="preserve">（</w:t>
      </w:r>
      <w:r>
        <w:rPr>
          <w:rFonts w:hint="eastAsia" w:ascii="宋体" w:hAnsi="宋体" w:cs="宋体"/>
          <w:bCs/>
          <w:sz w:val="21"/>
          <w:szCs w:val="21"/>
          <w:lang w:val="en-US" w:eastAsia="zh-CN"/>
        </w:rPr>
        <w:t xml:space="preserve">如有</w:t>
      </w:r>
      <w:r>
        <w:rPr>
          <w:rFonts w:hint="eastAsia" w:ascii="宋体" w:hAnsi="宋体" w:cs="宋体"/>
          <w:bCs/>
          <w:sz w:val="21"/>
          <w:szCs w:val="21"/>
          <w:lang w:eastAsia="zh-CN"/>
        </w:rPr>
        <w:t xml:space="preserve">）</w:t>
      </w:r>
      <w:r/>
    </w:p>
    <w:p>
      <w:pPr>
        <w:pStyle w:val="707"/>
        <w:ind w:left="0" w:firstLine="422"/>
        <w:spacing w:line="360" w:lineRule="auto"/>
        <w:rPr>
          <w:rFonts w:ascii="宋体" w:hAnsi="宋体" w:cs="宋体"/>
          <w:b/>
          <w:sz w:val="21"/>
          <w:szCs w:val="21"/>
        </w:rPr>
      </w:pPr>
      <w:r>
        <w:rPr>
          <w:rFonts w:hint="eastAsia" w:ascii="宋体" w:hAnsi="宋体" w:cs="宋体"/>
          <w:b/>
          <w:sz w:val="21"/>
          <w:szCs w:val="21"/>
        </w:rPr>
        <w:t xml:space="preserve">4、符合性审查响应文件</w:t>
      </w:r>
      <w:r/>
    </w:p>
    <w:p>
      <w:pPr>
        <w:pStyle w:val="707"/>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.1</w:t>
      </w:r>
      <w:r>
        <w:rPr>
          <w:rFonts w:hint="eastAsia" w:ascii="宋体" w:hAnsi="宋体" w:cs="宋体"/>
          <w:sz w:val="21"/>
          <w:szCs w:val="21"/>
        </w:rPr>
        <w:t xml:space="preserve">磋商响应函（格式见第三章）；</w:t>
      </w:r>
      <w:r/>
    </w:p>
    <w:p>
      <w:pPr>
        <w:pStyle w:val="707"/>
        <w:ind w:left="0" w:firstLine="420"/>
        <w:spacing w:line="360" w:lineRule="auto"/>
        <w:rPr>
          <w:rFonts w:ascii="宋体" w:hAnsi="宋体" w:cs="宋体"/>
          <w:sz w:val="21"/>
          <w:szCs w:val="21"/>
        </w:rPr>
      </w:pPr>
      <w:r>
        <w:rPr>
          <w:rFonts w:hint="eastAsia" w:ascii="宋体" w:hAnsi="宋体" w:cs="宋体"/>
          <w:sz w:val="21"/>
          <w:szCs w:val="21"/>
        </w:rPr>
        <w:t xml:space="preserve">4.2磋商报价分析表（格式见第三章）；</w:t>
      </w:r>
      <w:r/>
    </w:p>
    <w:p>
      <w:pPr>
        <w:pStyle w:val="707"/>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3</w:t>
      </w:r>
      <w:r>
        <w:rPr>
          <w:rFonts w:hint="eastAsia" w:ascii="宋体" w:hAnsi="宋体" w:cs="宋体"/>
          <w:sz w:val="21"/>
          <w:szCs w:val="21"/>
        </w:rPr>
        <w:t xml:space="preserve">偏离表（格式见第三章）；</w:t>
      </w:r>
      <w:r/>
    </w:p>
    <w:p>
      <w:pPr>
        <w:pStyle w:val="707"/>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.4</w:t>
      </w:r>
      <w:r>
        <w:rPr>
          <w:rFonts w:hint="eastAsia" w:ascii="宋体" w:hAnsi="宋体" w:cs="宋体"/>
          <w:sz w:val="21"/>
          <w:szCs w:val="21"/>
        </w:rPr>
        <w:t xml:space="preserve">项目服务人员配置表（格式见第三章）；</w:t>
      </w:r>
      <w:r/>
    </w:p>
    <w:p>
      <w:pPr>
        <w:pStyle w:val="707"/>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5</w:t>
      </w:r>
      <w:r>
        <w:rPr>
          <w:rFonts w:hint="eastAsia" w:ascii="宋体" w:hAnsi="宋体" w:cs="宋体"/>
          <w:sz w:val="21"/>
          <w:szCs w:val="21"/>
        </w:rPr>
        <w:t xml:space="preserve">其他有关符合性证明的文件；</w:t>
      </w:r>
      <w:r/>
    </w:p>
    <w:p>
      <w:pPr>
        <w:pStyle w:val="707"/>
        <w:ind w:left="0" w:firstLine="422"/>
        <w:spacing w:line="360" w:lineRule="auto"/>
        <w:rPr>
          <w:rFonts w:ascii="宋体" w:hAnsi="宋体" w:cs="宋体"/>
          <w:sz w:val="21"/>
          <w:szCs w:val="21"/>
        </w:rPr>
      </w:pPr>
      <w:r>
        <w:rPr>
          <w:rFonts w:hint="eastAsia" w:ascii="宋体" w:hAnsi="宋体" w:cs="宋体"/>
          <w:b/>
          <w:sz w:val="21"/>
          <w:szCs w:val="21"/>
        </w:rPr>
        <w:t xml:space="preserve">5、综合评审响应文件</w:t>
      </w:r>
      <w:r/>
    </w:p>
    <w:p>
      <w:pPr>
        <w:pStyle w:val="707"/>
        <w:ind w:left="0" w:firstLine="420"/>
        <w:spacing w:line="360" w:lineRule="auto"/>
        <w:rPr>
          <w:rFonts w:ascii="宋体" w:hAnsi="宋体" w:cs="宋体"/>
          <w:sz w:val="21"/>
          <w:szCs w:val="21"/>
        </w:rPr>
      </w:pPr>
      <w:r>
        <w:rPr>
          <w:rFonts w:hint="eastAsia" w:ascii="宋体" w:hAnsi="宋体" w:cs="宋体"/>
          <w:sz w:val="21"/>
          <w:szCs w:val="21"/>
        </w:rPr>
        <w:t xml:space="preserve">5.1</w:t>
      </w:r>
      <w:r>
        <w:rPr>
          <w:rFonts w:hint="eastAsia" w:ascii="宋体" w:hAnsi="宋体" w:cs="宋体"/>
          <w:b/>
          <w:bCs/>
          <w:sz w:val="21"/>
          <w:szCs w:val="21"/>
        </w:rPr>
        <w:t xml:space="preserve">技术方案</w:t>
      </w:r>
      <w:r/>
    </w:p>
    <w:p>
      <w:pPr>
        <w:pStyle w:val="707"/>
        <w:ind w:left="0" w:firstLine="420"/>
        <w:spacing w:line="360" w:lineRule="auto"/>
        <w:rPr>
          <w:rFonts w:ascii="宋体" w:hAnsi="宋体" w:cs="宋体"/>
          <w:sz w:val="21"/>
          <w:szCs w:val="21"/>
        </w:rPr>
      </w:pPr>
      <w:r>
        <w:rPr>
          <w:rFonts w:hint="eastAsia" w:ascii="宋体" w:hAnsi="宋体" w:cs="宋体"/>
          <w:sz w:val="21"/>
          <w:szCs w:val="21"/>
        </w:rPr>
        <w:t xml:space="preserve">5.2</w:t>
      </w:r>
      <w:r>
        <w:rPr>
          <w:rFonts w:hint="eastAsia" w:ascii="宋体" w:hAnsi="宋体" w:cs="宋体"/>
          <w:b/>
          <w:bCs/>
          <w:sz w:val="21"/>
          <w:szCs w:val="21"/>
        </w:rPr>
        <w:t xml:space="preserve">项目组成员</w:t>
      </w:r>
      <w:r/>
    </w:p>
    <w:p>
      <w:pPr>
        <w:pStyle w:val="707"/>
        <w:ind w:left="0" w:firstLine="420"/>
        <w:spacing w:line="360" w:lineRule="auto"/>
        <w:rPr>
          <w:rFonts w:ascii="宋体" w:hAnsi="宋体" w:cs="宋体"/>
          <w:sz w:val="21"/>
          <w:szCs w:val="21"/>
        </w:rPr>
      </w:pPr>
      <w:r>
        <w:rPr>
          <w:rFonts w:hint="eastAsia" w:ascii="宋体" w:hAnsi="宋体" w:cs="宋体"/>
          <w:sz w:val="21"/>
          <w:szCs w:val="21"/>
        </w:rPr>
        <w:t xml:space="preserve">5.3</w:t>
      </w:r>
      <w:r>
        <w:rPr>
          <w:rFonts w:hint="eastAsia" w:ascii="宋体" w:hAnsi="宋体" w:cs="宋体"/>
          <w:b/>
          <w:bCs/>
          <w:sz w:val="21"/>
          <w:szCs w:val="21"/>
        </w:rPr>
        <w:t xml:space="preserve">投标单位综合实力</w:t>
      </w:r>
      <w:r/>
    </w:p>
    <w:p>
      <w:pPr>
        <w:pStyle w:val="707"/>
        <w:ind w:left="0" w:firstLine="420"/>
        <w:spacing w:line="360" w:lineRule="auto"/>
        <w:rPr>
          <w:rFonts w:ascii="宋体" w:hAnsi="宋体" w:cs="宋体"/>
          <w:sz w:val="21"/>
          <w:szCs w:val="21"/>
        </w:rPr>
      </w:pPr>
      <w:r>
        <w:rPr>
          <w:rFonts w:hint="eastAsia" w:ascii="宋体" w:hAnsi="宋体" w:cs="宋体"/>
          <w:sz w:val="21"/>
          <w:szCs w:val="21"/>
        </w:rPr>
        <w:t xml:space="preserve">5.4</w:t>
      </w:r>
      <w:r>
        <w:rPr>
          <w:rFonts w:hint="eastAsia" w:ascii="宋体" w:hAnsi="宋体"/>
          <w:b/>
          <w:sz w:val="21"/>
          <w:szCs w:val="21"/>
        </w:rPr>
        <w:t xml:space="preserve">类似项目业绩</w:t>
      </w:r>
      <w:r/>
    </w:p>
    <w:p>
      <w:pPr>
        <w:pStyle w:val="707"/>
        <w:ind w:left="0" w:firstLine="420"/>
        <w:spacing w:line="360" w:lineRule="auto"/>
        <w:rPr>
          <w:rFonts w:ascii="宋体" w:hAnsi="宋体" w:cs="宋体"/>
          <w:sz w:val="21"/>
          <w:szCs w:val="21"/>
        </w:rPr>
      </w:pPr>
      <w:r>
        <w:rPr>
          <w:rFonts w:hint="eastAsia" w:ascii="宋体" w:hAnsi="宋体" w:cs="宋体"/>
          <w:sz w:val="21"/>
          <w:szCs w:val="21"/>
        </w:rPr>
        <w:t xml:space="preserve">5.5与本次采购相关的其他证明材料；</w:t>
      </w:r>
      <w:r/>
    </w:p>
    <w:p>
      <w:pPr>
        <w:pStyle w:val="707"/>
        <w:ind w:left="0" w:firstLine="420"/>
        <w:spacing w:line="360" w:lineRule="auto"/>
        <w:rPr>
          <w:rFonts w:ascii="宋体" w:hAnsi="宋体" w:cs="宋体"/>
          <w:sz w:val="21"/>
          <w:szCs w:val="21"/>
        </w:rPr>
      </w:pPr>
      <w:r>
        <w:rPr>
          <w:rFonts w:hint="eastAsia" w:ascii="宋体" w:hAnsi="宋体" w:cs="宋体"/>
          <w:sz w:val="21"/>
          <w:szCs w:val="21"/>
        </w:rPr>
        <w:t xml:space="preserve">6、对属于《节能产品政府采购品目清单》政府强制采购产品的，需提供该产品有效期内的认证等相关证明材料（如有）。</w:t>
      </w:r>
      <w:r/>
    </w:p>
    <w:p>
      <w:pPr>
        <w:pStyle w:val="707"/>
        <w:ind w:left="0" w:firstLine="422"/>
        <w:spacing w:line="360" w:lineRule="auto"/>
        <w:rPr>
          <w:rFonts w:ascii="宋体" w:hAnsi="宋体" w:cs="宋体"/>
          <w:b/>
          <w:bCs/>
          <w:sz w:val="21"/>
          <w:szCs w:val="21"/>
        </w:rPr>
      </w:pPr>
      <w:r>
        <w:rPr>
          <w:rFonts w:hint="eastAsia" w:ascii="宋体" w:hAnsi="宋体" w:cs="宋体"/>
          <w:b/>
          <w:sz w:val="21"/>
          <w:szCs w:val="21"/>
        </w:rPr>
        <w:t xml:space="preserve">注：</w:t>
      </w:r>
      <w:r>
        <w:rPr>
          <w:rFonts w:hint="eastAsia" w:ascii="宋体" w:hAnsi="宋体" w:cs="宋体"/>
          <w:b/>
          <w:bCs/>
          <w:sz w:val="21"/>
          <w:szCs w:val="21"/>
        </w:rPr>
        <w:t xml:space="preserve">（1）以上3.1</w:t>
      </w:r>
      <w:r>
        <w:rPr>
          <w:rFonts w:ascii="宋体" w:hAnsi="宋体" w:cs="宋体"/>
          <w:b/>
          <w:bCs/>
          <w:sz w:val="21"/>
          <w:szCs w:val="21"/>
        </w:rPr>
        <w:t xml:space="preserve">-</w:t>
      </w:r>
      <w:r>
        <w:rPr>
          <w:rFonts w:hint="eastAsia" w:ascii="宋体" w:hAnsi="宋体" w:cs="宋体"/>
          <w:b/>
          <w:bCs/>
          <w:sz w:val="21"/>
          <w:szCs w:val="21"/>
        </w:rPr>
        <w:t xml:space="preserve">3.7为资格审查要求提供的材料，是作为对供应商资格审查、质疑身份认定的依据，响应供应商必须提供并加盖电子公章。否则，磋商响应文件将被认定为不符合资格审查要求。</w:t>
      </w:r>
      <w:r/>
    </w:p>
    <w:p>
      <w:pPr>
        <w:pStyle w:val="707"/>
        <w:ind w:left="0" w:firstLine="843"/>
        <w:spacing w:line="360" w:lineRule="auto"/>
        <w:rPr>
          <w:rFonts w:ascii="宋体" w:hAnsi="宋体"/>
          <w:sz w:val="21"/>
          <w:szCs w:val="21"/>
        </w:rPr>
      </w:pPr>
      <w:r>
        <w:rPr>
          <w:rFonts w:hint="eastAsia" w:ascii="宋体" w:hAnsi="宋体" w:cs="宋体"/>
          <w:b/>
          <w:bCs/>
          <w:sz w:val="21"/>
          <w:szCs w:val="21"/>
        </w:rPr>
        <w:t xml:space="preserve">（2）以上4.1-4.</w:t>
      </w:r>
      <w:r>
        <w:rPr>
          <w:rFonts w:ascii="宋体" w:hAnsi="宋体" w:cs="宋体"/>
          <w:b/>
          <w:bCs/>
          <w:sz w:val="21"/>
          <w:szCs w:val="21"/>
        </w:rPr>
        <w:t xml:space="preserve">5</w:t>
      </w:r>
      <w:r>
        <w:rPr>
          <w:rFonts w:hint="eastAsia" w:ascii="宋体" w:hAnsi="宋体" w:cs="宋体"/>
          <w:b/>
          <w:bCs/>
          <w:sz w:val="21"/>
          <w:szCs w:val="21"/>
        </w:rPr>
        <w:t xml:space="preserve">为符合性审查须提供的资料，响应供应商必须提供并加盖电子公章。否则，磋商响应文件将被认定为未实质性响应。</w:t>
      </w:r>
      <w:r/>
    </w:p>
    <w:p>
      <w:pPr>
        <w:pStyle w:val="707"/>
        <w:ind w:left="0" w:firstLine="843"/>
        <w:spacing w:line="360" w:lineRule="auto"/>
        <w:rPr>
          <w:rFonts w:ascii="宋体" w:hAnsi="宋体" w:cs="宋体"/>
          <w:b/>
          <w:bCs/>
          <w:sz w:val="21"/>
          <w:szCs w:val="21"/>
        </w:rPr>
      </w:pPr>
      <w:r>
        <w:rPr>
          <w:rFonts w:hint="eastAsia" w:ascii="宋体" w:hAnsi="宋体" w:cs="宋体"/>
          <w:b/>
          <w:bCs/>
          <w:sz w:val="21"/>
          <w:szCs w:val="21"/>
        </w:rPr>
        <w:t xml:space="preserve">（3）制作电子响应文件时必须与投标文件制作软件目录一一对应，将相关资料上传至相应模块。</w:t>
      </w:r>
      <w:r/>
    </w:p>
    <w:p>
      <w:pPr>
        <w:pStyle w:val="707"/>
        <w:ind w:left="0" w:firstLine="843"/>
        <w:spacing w:line="360" w:lineRule="auto"/>
        <w:rPr>
          <w:rFonts w:ascii="宋体" w:hAnsi="宋体"/>
          <w:sz w:val="21"/>
          <w:szCs w:val="21"/>
        </w:rPr>
      </w:pPr>
      <w:r>
        <w:rPr>
          <w:rFonts w:hint="eastAsia" w:ascii="宋体" w:hAnsi="宋体"/>
          <w:b/>
          <w:sz w:val="21"/>
          <w:szCs w:val="21"/>
        </w:rPr>
        <w:t xml:space="preserve">（</w:t>
      </w:r>
      <w:r>
        <w:rPr>
          <w:rFonts w:hint="eastAsia" w:ascii="宋体" w:hAnsi="宋体"/>
          <w:b/>
          <w:sz w:val="21"/>
          <w:szCs w:val="21"/>
          <w:lang w:val="en-US"/>
        </w:rPr>
        <w:t xml:space="preserve">4）</w:t>
      </w:r>
      <w:r>
        <w:rPr>
          <w:rFonts w:hint="eastAsia" w:ascii="宋体" w:hAnsi="宋体"/>
          <w:b/>
          <w:sz w:val="21"/>
          <w:szCs w:val="21"/>
        </w:rPr>
        <w:t xml:space="preserve">磋商响应文件编制要求：</w:t>
      </w:r>
      <w:r>
        <w:rPr>
          <w:rFonts w:hint="eastAsia" w:ascii="宋体" w:hAnsi="宋体" w:cs="宋体"/>
          <w:bCs/>
          <w:sz w:val="21"/>
          <w:szCs w:val="21"/>
        </w:rPr>
        <w:t xml:space="preserve">本项目采用电子招投标形式，请供应商按照《苏采云系统供应商操作手册》进行制作、上传电子响应文件。</w:t>
      </w:r>
      <w:r>
        <w:rPr>
          <w:rFonts w:hint="eastAsia" w:ascii="宋体" w:hAnsi="宋体" w:cs="宋体"/>
          <w:b/>
          <w:bCs/>
          <w:sz w:val="21"/>
          <w:szCs w:val="21"/>
        </w:rPr>
        <w:t xml:space="preserve">电子响应文件制作完成后请于响应文件递交截止时间前成功上传至“苏采云”系统，否则视为放弃参加该采购项目。</w:t>
      </w:r>
      <w:r>
        <w:rPr>
          <w:rFonts w:hint="eastAsia" w:ascii="宋体" w:hAnsi="宋体" w:cs="宋体"/>
          <w:bCs/>
          <w:sz w:val="21"/>
          <w:szCs w:val="21"/>
        </w:rPr>
        <w:t xml:space="preserve">供应商应充分考虑到网络环境、网络带宽等风险因素，如因供应商自身原因造成的电子响应文件上传不成功由供应商自行承担全部责任。</w:t>
      </w:r>
      <w:r/>
    </w:p>
    <w:p>
      <w:pPr>
        <w:pStyle w:val="707"/>
        <w:ind w:left="0" w:firstLine="843"/>
        <w:spacing w:line="360" w:lineRule="auto"/>
        <w:rPr>
          <w:rFonts w:ascii="宋体" w:hAnsi="宋体"/>
          <w:b/>
          <w:sz w:val="21"/>
          <w:szCs w:val="21"/>
        </w:rPr>
      </w:pPr>
      <w:r>
        <w:rPr>
          <w:rFonts w:hint="eastAsia" w:ascii="宋体" w:hAnsi="宋体"/>
          <w:b/>
          <w:sz w:val="21"/>
          <w:szCs w:val="21"/>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p>
    <w:p>
      <w:pPr>
        <w:ind w:firstLine="482"/>
        <w:jc w:val="left"/>
        <w:spacing w:line="360" w:lineRule="auto"/>
        <w:rPr>
          <w:rFonts w:ascii="宋体" w:hAnsi="宋体"/>
          <w:b/>
          <w:sz w:val="21"/>
          <w:szCs w:val="21"/>
        </w:rPr>
      </w:pPr>
      <w:r>
        <w:rPr>
          <w:rFonts w:hint="eastAsia" w:ascii="宋体" w:hAnsi="宋体"/>
          <w:b/>
          <w:sz w:val="21"/>
          <w:szCs w:val="21"/>
        </w:rPr>
        <w:t xml:space="preserve">二、磋商程序 </w:t>
      </w:r>
      <w:r/>
    </w:p>
    <w:p>
      <w:pPr>
        <w:pStyle w:val="707"/>
        <w:ind w:left="0" w:firstLine="420"/>
        <w:spacing w:line="360" w:lineRule="auto"/>
        <w:rPr>
          <w:rFonts w:ascii="宋体" w:hAnsi="宋体" w:cs="宋体"/>
          <w:sz w:val="21"/>
          <w:szCs w:val="21"/>
        </w:rPr>
      </w:pPr>
      <w:r>
        <w:rPr>
          <w:rFonts w:hint="eastAsia" w:ascii="宋体" w:hAnsi="宋体" w:cs="宋体"/>
          <w:sz w:val="21"/>
          <w:szCs w:val="21"/>
        </w:rPr>
        <w:t xml:space="preserve">1、采购代理机构按本须知规定的时间、地点主持磋商采购活动。</w:t>
      </w:r>
      <w:r/>
    </w:p>
    <w:p>
      <w:pPr>
        <w:pStyle w:val="707"/>
        <w:ind w:left="0" w:firstLine="420"/>
        <w:spacing w:line="360" w:lineRule="auto"/>
        <w:rPr>
          <w:rFonts w:ascii="宋体" w:hAnsi="宋体" w:cs="宋体"/>
          <w:sz w:val="21"/>
          <w:szCs w:val="21"/>
        </w:rPr>
      </w:pPr>
      <w:r>
        <w:rPr>
          <w:rFonts w:hint="eastAsia" w:ascii="宋体" w:hAnsi="宋体" w:cs="宋体"/>
          <w:sz w:val="21"/>
          <w:szCs w:val="21"/>
        </w:rPr>
        <w:t xml:space="preserve">2、供应商通过“苏采云”系统在线参与磋商活动。供应商应当按照《苏采云系统供应商操作手册》规定在 “苏采云”系统规定的时间内对响应文件进行解密。</w:t>
      </w:r>
      <w:r/>
    </w:p>
    <w:p>
      <w:pPr>
        <w:pStyle w:val="707"/>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、在磋商响应文件网上递交截止时间止成功解密的磋商供应商少于三家，则本次采购失败。</w:t>
      </w:r>
      <w:r/>
    </w:p>
    <w:p>
      <w:pPr>
        <w:pStyle w:val="707"/>
        <w:ind w:left="0" w:firstLine="420"/>
        <w:spacing w:line="360" w:lineRule="auto"/>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、由磋商小组审查供应商解密的响应文件。</w:t>
      </w:r>
      <w:r/>
    </w:p>
    <w:p>
      <w:pPr>
        <w:pStyle w:val="707"/>
        <w:ind w:left="0" w:firstLine="420"/>
        <w:spacing w:line="360" w:lineRule="auto"/>
        <w:rPr>
          <w:rFonts w:ascii="宋体" w:hAnsi="宋体" w:cs="宋体"/>
          <w:sz w:val="21"/>
          <w:szCs w:val="21"/>
        </w:rPr>
      </w:pPr>
      <w:r>
        <w:rPr>
          <w:rFonts w:hint="eastAsia" w:ascii="宋体" w:hAnsi="宋体" w:cs="宋体"/>
          <w:sz w:val="21"/>
          <w:szCs w:val="21"/>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707"/>
        <w:ind w:left="0" w:firstLine="420"/>
        <w:spacing w:line="360" w:lineRule="auto"/>
        <w:rPr>
          <w:rFonts w:ascii="宋体" w:hAnsi="宋体" w:cs="宋体"/>
          <w:sz w:val="21"/>
          <w:szCs w:val="21"/>
        </w:rPr>
      </w:pPr>
      <w:r>
        <w:rPr>
          <w:rFonts w:hint="eastAsia" w:ascii="宋体" w:hAnsi="宋体" w:cs="宋体"/>
          <w:sz w:val="21"/>
          <w:szCs w:val="21"/>
        </w:rPr>
        <w:t xml:space="preserve">6、磋商小组要求供应商澄清、说明或者更正响应文件应当以书面形式做出。供应商的澄清、说明或者更正应当由其单位加盖电子公章。</w:t>
      </w:r>
      <w:r/>
    </w:p>
    <w:p>
      <w:pPr>
        <w:pStyle w:val="934"/>
        <w:ind w:firstLine="482"/>
        <w:rPr>
          <w:rFonts w:cs="宋体"/>
          <w:b/>
          <w:sz w:val="21"/>
          <w:szCs w:val="21"/>
        </w:rPr>
      </w:pPr>
      <w:r>
        <w:rPr>
          <w:rFonts w:hint="eastAsia" w:cs="宋体"/>
          <w:b/>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cs="宋体"/>
          <w:sz w:val="21"/>
          <w:szCs w:val="21"/>
        </w:rPr>
        <w:t xml:space="preserve">(</w:t>
      </w:r>
      <w:r>
        <w:rPr>
          <w:rFonts w:hint="eastAsia" w:cs="宋体"/>
          <w:b/>
          <w:sz w:val="21"/>
          <w:szCs w:val="21"/>
        </w:rPr>
        <w:t xml:space="preserve">此处规定时间的计算以系统中的倒计时间为准，供应商应随时保持系统在线，如因供应商自身原因未在规定时间内提交澄清确认资料的，导致的不利后果由供应商自行承担。</w:t>
      </w:r>
      <w:r/>
    </w:p>
    <w:p>
      <w:pPr>
        <w:pStyle w:val="707"/>
        <w:ind w:left="0" w:firstLine="420"/>
        <w:spacing w:line="360" w:lineRule="auto"/>
        <w:rPr>
          <w:rFonts w:ascii="宋体" w:hAnsi="宋体" w:cs="宋体"/>
          <w:sz w:val="21"/>
          <w:szCs w:val="21"/>
        </w:rPr>
      </w:pPr>
      <w:r>
        <w:rPr>
          <w:rFonts w:ascii="宋体" w:hAnsi="宋体" w:cs="宋体"/>
          <w:sz w:val="21"/>
          <w:szCs w:val="21"/>
        </w:rPr>
        <w:t xml:space="preserve">7</w:t>
      </w:r>
      <w:r>
        <w:rPr>
          <w:rFonts w:hint="eastAsia" w:ascii="宋体" w:hAnsi="宋体" w:cs="宋体"/>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sz w:val="21"/>
          <w:szCs w:val="21"/>
        </w:rPr>
        <w:t xml:space="preserve">磋商小组通过“苏采云”系统向供应商发布“磋商函”，供应商应当按照要求在</w:t>
      </w:r>
      <w:r>
        <w:rPr>
          <w:rFonts w:hint="eastAsia" w:ascii="宋体" w:hAnsi="宋体" w:cs="宋体"/>
          <w:b/>
          <w:sz w:val="21"/>
          <w:szCs w:val="21"/>
          <w:lang w:val="en-US"/>
        </w:rPr>
        <w:t xml:space="preserve">“苏采云”系统</w:t>
      </w:r>
      <w:r>
        <w:rPr>
          <w:rFonts w:hint="eastAsia" w:ascii="宋体" w:hAnsi="宋体" w:cs="宋体"/>
          <w:b/>
          <w:sz w:val="21"/>
          <w:szCs w:val="21"/>
        </w:rPr>
        <w:t xml:space="preserve">提交“磋商响应函”并加盖CA电子公章。</w:t>
      </w:r>
      <w:r/>
    </w:p>
    <w:p>
      <w:pPr>
        <w:pStyle w:val="707"/>
        <w:ind w:left="0" w:firstLine="420"/>
        <w:spacing w:line="360" w:lineRule="auto"/>
        <w:rPr>
          <w:rFonts w:ascii="宋体" w:hAnsi="宋体" w:cs="宋体"/>
          <w:sz w:val="21"/>
          <w:szCs w:val="21"/>
        </w:rPr>
      </w:pPr>
      <w:r>
        <w:rPr>
          <w:rFonts w:hint="eastAsia" w:ascii="宋体" w:hAnsi="宋体" w:cs="宋体"/>
          <w:sz w:val="21"/>
          <w:szCs w:val="21"/>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707"/>
        <w:ind w:left="0" w:firstLine="420"/>
        <w:spacing w:line="360" w:lineRule="auto"/>
        <w:rPr>
          <w:rFonts w:ascii="宋体" w:hAnsi="宋体" w:cs="宋体"/>
          <w:b/>
          <w:sz w:val="21"/>
          <w:szCs w:val="21"/>
        </w:rPr>
      </w:pPr>
      <w:r>
        <w:rPr>
          <w:rFonts w:ascii="宋体" w:hAnsi="宋体" w:cs="宋体"/>
          <w:sz w:val="21"/>
          <w:szCs w:val="21"/>
        </w:rPr>
        <w:t xml:space="preserve">9</w:t>
      </w:r>
      <w:r>
        <w:rPr>
          <w:rFonts w:hint="eastAsia" w:ascii="宋体" w:hAnsi="宋体" w:cs="宋体"/>
          <w:sz w:val="21"/>
          <w:szCs w:val="21"/>
        </w:rPr>
        <w:t xml:space="preserve">、</w:t>
      </w:r>
      <w:r>
        <w:rPr>
          <w:rFonts w:hint="eastAsia" w:ascii="宋体" w:hAnsi="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p>
    <w:p>
      <w:pPr>
        <w:pStyle w:val="707"/>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1</w:t>
      </w:r>
      <w:r>
        <w:rPr>
          <w:rFonts w:ascii="宋体" w:hAnsi="宋体" w:cs="宋体"/>
          <w:b/>
          <w:sz w:val="21"/>
          <w:szCs w:val="21"/>
          <w:lang w:val="en-US"/>
        </w:rPr>
        <w:t xml:space="preserve">0</w:t>
      </w:r>
      <w:r>
        <w:rPr>
          <w:rFonts w:hint="eastAsia" w:ascii="宋体" w:hAnsi="宋体" w:cs="宋体"/>
          <w:b/>
          <w:sz w:val="21"/>
          <w:szCs w:val="21"/>
          <w:lang w:val="en-US"/>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sz w:val="21"/>
          <w:szCs w:val="21"/>
        </w:rPr>
        <w:t xml:space="preserve">（此处规定时间的计算以系统中的倒计时间为准，系统中的线上最后报价只有一次机会，提交后无法撤回，请供应商慎重提交）</w:t>
      </w:r>
      <w:r/>
    </w:p>
    <w:p>
      <w:pPr>
        <w:pStyle w:val="707"/>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已提交响应文件的供应商，在提交最后报价之前，可以根据磋商情况退出磋商，并在“苏采云”系统中提交“退出磋商函”并加盖CA电子公章。</w:t>
      </w:r>
      <w:r/>
    </w:p>
    <w:p>
      <w:pPr>
        <w:pStyle w:val="707"/>
        <w:ind w:left="0" w:firstLine="422"/>
        <w:spacing w:line="360" w:lineRule="auto"/>
        <w:rPr>
          <w:sz w:val="21"/>
          <w:szCs w:val="21"/>
        </w:rPr>
      </w:pPr>
      <w:r>
        <w:rPr>
          <w:rFonts w:hint="eastAsia" w:ascii="宋体" w:hAnsi="宋体" w:cs="宋体"/>
          <w:b/>
          <w:sz w:val="21"/>
          <w:szCs w:val="21"/>
        </w:rPr>
        <w:t xml:space="preserve">*进入项目评审流程后，建议各供应商法定代表人或授权委托人始终保持通讯顺畅，时刻关注不见面开标大厅，不离开不见面开标大厅。</w:t>
      </w:r>
      <w:r/>
    </w:p>
    <w:p>
      <w:pPr>
        <w:pStyle w:val="934"/>
        <w:ind w:left="0" w:firstLine="422"/>
        <w:spacing w:line="360" w:lineRule="auto"/>
        <w:rPr>
          <w:rFonts w:ascii="宋体" w:hAnsi="宋体" w:cs="宋体"/>
          <w:b/>
          <w:color w:val="000000" w:themeColor="text1"/>
          <w:sz w:val="21"/>
          <w:szCs w:val="21"/>
          <w14:textFill>
            <w14:solidFill>
              <w14:schemeClr w14:val="tx1"/>
            </w14:solidFill>
          </w14:textFill>
        </w:rPr>
      </w:pPr>
      <w:r/>
      <w:bookmarkStart w:id="6" w:name="OLE_LINK20"/>
      <w:r>
        <w:rPr>
          <w:rFonts w:ascii="宋体" w:hAnsi="宋体" w:cs="宋体"/>
          <w:b/>
          <w:color w:val="000000" w:themeColor="text1"/>
          <w:sz w:val="21"/>
          <w:szCs w:val="21"/>
          <w14:textFill>
            <w14:solidFill>
              <w14:schemeClr w14:val="tx1"/>
            </w14:solidFill>
          </w14:textFill>
        </w:rPr>
        <w:t xml:space="preserve">11</w:t>
      </w:r>
      <w:r>
        <w:rPr>
          <w:rFonts w:hint="eastAsia" w:ascii="宋体" w:hAnsi="宋体" w:cs="宋体"/>
          <w:b/>
          <w:color w:val="000000" w:themeColor="text1"/>
          <w:sz w:val="21"/>
          <w:szCs w:val="21"/>
          <w14:textFill>
            <w14:solidFill>
              <w14:schemeClr w14:val="tx1"/>
            </w14:solidFill>
          </w14:textFill>
        </w:rPr>
        <w:t xml:space="preserve">、异常低价响应审查</w:t>
      </w:r>
      <w:r/>
    </w:p>
    <w:p>
      <w:pPr>
        <w:pStyle w:val="934"/>
        <w:ind w:left="0" w:firstLine="422"/>
        <w:spacing w:line="360" w:lineRule="auto"/>
        <w:rPr>
          <w:rFonts w:ascii="宋体" w:hAnsi="宋体" w:cs="宋体"/>
          <w:b/>
          <w:color w:val="000000" w:themeColor="text1"/>
          <w:sz w:val="21"/>
          <w:szCs w:val="21"/>
          <w:lang w:val="en-US"/>
          <w14:textFill>
            <w14:solidFill>
              <w14:schemeClr w14:val="tx1"/>
            </w14:solidFill>
          </w14:textFill>
        </w:rPr>
      </w:pPr>
      <w:r/>
      <w:bookmarkStart w:id="7" w:name="OLE_LINK36"/>
      <w:r>
        <w:rPr>
          <w:rFonts w:ascii="宋体" w:hAnsi="宋体" w:cs="宋体"/>
          <w:b/>
          <w:color w:val="000000" w:themeColor="text1"/>
          <w:sz w:val="21"/>
          <w:szCs w:val="21"/>
          <w:lang w:val="en-US"/>
          <w14:textFill>
            <w14:solidFill>
              <w14:schemeClr w14:val="tx1"/>
            </w14:solidFill>
          </w14:textFill>
        </w:rPr>
        <w:t xml:space="preserve">11.</w:t>
      </w:r>
      <w:bookmarkEnd w:id="7"/>
      <w:r>
        <w:rPr>
          <w:rFonts w:ascii="宋体" w:hAnsi="宋体" w:cs="宋体"/>
          <w:b/>
          <w:color w:val="000000" w:themeColor="text1"/>
          <w:sz w:val="21"/>
          <w:szCs w:val="21"/>
          <w:lang w:val="en-US"/>
          <w14:textFill>
            <w14:solidFill>
              <w14:schemeClr w14:val="tx1"/>
            </w14:solidFill>
          </w14:textFill>
        </w:rPr>
        <w:t xml:space="preserve">1</w:t>
      </w:r>
      <w:r>
        <w:rPr>
          <w:rFonts w:hint="eastAsia" w:ascii="宋体" w:hAnsi="宋体" w:cs="宋体"/>
          <w:b/>
          <w:color w:val="000000" w:themeColor="text1"/>
          <w:sz w:val="21"/>
          <w:szCs w:val="21"/>
          <w:lang w:val="en-US"/>
          <w14:textFill>
            <w14:solidFill>
              <w14:schemeClr w14:val="tx1"/>
            </w14:solidFill>
          </w14:textFill>
        </w:rPr>
        <w:t xml:space="preserve">评审过程中出现下列情形之一的，磋商小组应当启动异常低价响应审查程序：</w:t>
      </w:r>
      <w:r/>
    </w:p>
    <w:p>
      <w:pPr>
        <w:pStyle w:val="934"/>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（1）响应报价低于全部通过符合性审查供应商响应报价平均值</w:t>
      </w:r>
      <w:r>
        <w:rPr>
          <w:rFonts w:hint="eastAsia" w:cs="宋体"/>
          <w:b/>
          <w:color w:val="000000" w:themeColor="text1"/>
          <w:sz w:val="21"/>
          <w:szCs w:val="21"/>
          <w:lang w:val="en-US" w:eastAsia="zh-CN"/>
          <w14:textFill>
            <w14:solidFill>
              <w14:schemeClr w14:val="tx1"/>
            </w14:solidFill>
          </w14:textFill>
        </w:rPr>
        <w:t xml:space="preserve">65</w:t>
      </w:r>
      <w:r>
        <w:rPr>
          <w:rFonts w:hint="eastAsia" w:ascii="宋体" w:hAnsi="宋体" w:cs="宋体"/>
          <w:b/>
          <w:color w:val="000000" w:themeColor="text1"/>
          <w:sz w:val="21"/>
          <w:szCs w:val="21"/>
          <w:lang w:val="en-US"/>
          <w14:textFill>
            <w14:solidFill>
              <w14:schemeClr w14:val="tx1"/>
            </w14:solidFill>
          </w14:textFill>
        </w:rPr>
        <w:t xml:space="preserve">%的，即响应报价&lt;全部通过符合性审查供应商响应报价平均值×</w:t>
      </w:r>
      <w:r>
        <w:rPr>
          <w:rFonts w:hint="eastAsia" w:cs="宋体"/>
          <w:b/>
          <w:color w:val="000000" w:themeColor="text1"/>
          <w:sz w:val="21"/>
          <w:szCs w:val="21"/>
          <w:lang w:val="en-US" w:eastAsia="zh-CN"/>
          <w14:textFill>
            <w14:solidFill>
              <w14:schemeClr w14:val="tx1"/>
            </w14:solidFill>
          </w14:textFill>
        </w:rPr>
        <w:t xml:space="preserve">65</w:t>
      </w:r>
      <w:r>
        <w:rPr>
          <w:rFonts w:hint="eastAsia" w:ascii="宋体" w:hAnsi="宋体" w:cs="宋体"/>
          <w:b/>
          <w:color w:val="000000" w:themeColor="text1"/>
          <w:sz w:val="21"/>
          <w:szCs w:val="21"/>
          <w:lang w:val="en-US"/>
          <w14:textFill>
            <w14:solidFill>
              <w14:schemeClr w14:val="tx1"/>
            </w14:solidFill>
          </w14:textFill>
        </w:rPr>
        <w:t xml:space="preserve">%；</w:t>
      </w:r>
      <w:r/>
    </w:p>
    <w:p>
      <w:pPr>
        <w:pStyle w:val="934"/>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（2）响应报价低于通过符合性审查的次低报价供应商响应报价</w:t>
      </w:r>
      <w:r>
        <w:rPr>
          <w:rFonts w:hint="eastAsia" w:cs="宋体"/>
          <w:b/>
          <w:color w:val="000000" w:themeColor="text1"/>
          <w:sz w:val="21"/>
          <w:szCs w:val="21"/>
          <w:lang w:val="en-US" w:eastAsia="zh-CN"/>
          <w14:textFill>
            <w14:solidFill>
              <w14:schemeClr w14:val="tx1"/>
            </w14:solidFill>
          </w14:textFill>
        </w:rPr>
        <w:t xml:space="preserve">65</w:t>
      </w:r>
      <w:r>
        <w:rPr>
          <w:rFonts w:hint="eastAsia" w:ascii="宋体" w:hAnsi="宋体" w:cs="宋体"/>
          <w:b/>
          <w:color w:val="000000" w:themeColor="text1"/>
          <w:sz w:val="21"/>
          <w:szCs w:val="21"/>
          <w:lang w:val="en-US"/>
          <w14:textFill>
            <w14:solidFill>
              <w14:schemeClr w14:val="tx1"/>
            </w14:solidFill>
          </w14:textFill>
        </w:rPr>
        <w:t xml:space="preserve">%的，即响应报价&lt;通过符合性审查的次低报价供应商响应报价×</w:t>
      </w:r>
      <w:r>
        <w:rPr>
          <w:rFonts w:hint="eastAsia" w:cs="宋体"/>
          <w:b/>
          <w:color w:val="000000" w:themeColor="text1"/>
          <w:sz w:val="21"/>
          <w:szCs w:val="21"/>
          <w:lang w:val="en-US" w:eastAsia="zh-CN"/>
          <w14:textFill>
            <w14:solidFill>
              <w14:schemeClr w14:val="tx1"/>
            </w14:solidFill>
          </w14:textFill>
        </w:rPr>
        <w:t xml:space="preserve">65</w:t>
      </w:r>
      <w:r>
        <w:rPr>
          <w:rFonts w:hint="eastAsia" w:ascii="宋体" w:hAnsi="宋体" w:cs="宋体"/>
          <w:b/>
          <w:color w:val="000000" w:themeColor="text1"/>
          <w:sz w:val="21"/>
          <w:szCs w:val="21"/>
          <w:lang w:val="en-US"/>
          <w14:textFill>
            <w14:solidFill>
              <w14:schemeClr w14:val="tx1"/>
            </w14:solidFill>
          </w14:textFill>
        </w:rPr>
        <w:t xml:space="preserve">%；</w:t>
      </w:r>
      <w:r/>
    </w:p>
    <w:p>
      <w:pPr>
        <w:pStyle w:val="934"/>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w:t>
      </w:r>
      <w:r>
        <w:rPr>
          <w:rFonts w:ascii="宋体" w:hAnsi="宋体" w:cs="宋体"/>
          <w:b/>
          <w:color w:val="000000" w:themeColor="text1"/>
          <w:sz w:val="21"/>
          <w:szCs w:val="21"/>
          <w:lang w:val="en-US"/>
          <w14:textFill>
            <w14:solidFill>
              <w14:schemeClr w14:val="tx1"/>
            </w14:solidFill>
          </w14:textFill>
        </w:rPr>
        <w:t xml:space="preserve">3</w:t>
      </w:r>
      <w:r>
        <w:rPr>
          <w:rFonts w:hint="eastAsia" w:ascii="宋体" w:hAnsi="宋体" w:cs="宋体"/>
          <w:b/>
          <w:color w:val="000000" w:themeColor="text1"/>
          <w:sz w:val="21"/>
          <w:szCs w:val="21"/>
          <w:lang w:val="en-US"/>
          <w14:textFill>
            <w14:solidFill>
              <w14:schemeClr w14:val="tx1"/>
            </w14:solidFill>
          </w14:textFill>
        </w:rPr>
        <w:t xml:space="preserve">）</w:t>
      </w:r>
      <w:bookmarkStart w:id="8" w:name="OLE_LINK28"/>
      <w:r/>
      <w:bookmarkStart w:id="9" w:name="OLE_LINK27"/>
      <w:r>
        <w:rPr>
          <w:rFonts w:hint="eastAsia" w:ascii="宋体" w:hAnsi="宋体" w:cs="宋体"/>
          <w:b/>
          <w:color w:val="000000" w:themeColor="text1"/>
          <w:sz w:val="21"/>
          <w:szCs w:val="21"/>
          <w:lang w:val="en-US"/>
          <w14:textFill>
            <w14:solidFill>
              <w14:schemeClr w14:val="tx1"/>
            </w14:solidFill>
          </w14:textFill>
        </w:rPr>
        <w:t xml:space="preserve">响应报价</w:t>
      </w:r>
      <w:bookmarkEnd w:id="8"/>
      <w:r/>
      <w:bookmarkEnd w:id="9"/>
      <w:r>
        <w:rPr>
          <w:rFonts w:hint="eastAsia" w:ascii="宋体" w:hAnsi="宋体" w:cs="宋体"/>
          <w:b/>
          <w:color w:val="000000" w:themeColor="text1"/>
          <w:sz w:val="21"/>
          <w:szCs w:val="21"/>
          <w:lang w:val="en-US"/>
          <w14:textFill>
            <w14:solidFill>
              <w14:schemeClr w14:val="tx1"/>
            </w14:solidFill>
          </w14:textFill>
        </w:rPr>
        <w:t xml:space="preserve">低于采购项目最高限价</w:t>
      </w:r>
      <w:r>
        <w:rPr>
          <w:rFonts w:hint="eastAsia" w:cs="宋体"/>
          <w:b/>
          <w:color w:val="000000" w:themeColor="text1"/>
          <w:sz w:val="21"/>
          <w:szCs w:val="21"/>
          <w:lang w:val="en-US" w:eastAsia="zh-CN"/>
          <w14:textFill>
            <w14:solidFill>
              <w14:schemeClr w14:val="tx1"/>
            </w14:solidFill>
          </w14:textFill>
        </w:rPr>
        <w:t xml:space="preserve">65</w:t>
      </w:r>
      <w:r>
        <w:rPr>
          <w:rFonts w:hint="eastAsia" w:ascii="宋体" w:hAnsi="宋体" w:cs="宋体"/>
          <w:b/>
          <w:color w:val="000000" w:themeColor="text1"/>
          <w:sz w:val="21"/>
          <w:szCs w:val="21"/>
          <w:lang w:val="en-US"/>
          <w14:textFill>
            <w14:solidFill>
              <w14:schemeClr w14:val="tx1"/>
            </w14:solidFill>
          </w14:textFill>
        </w:rPr>
        <w:t xml:space="preserve">%的，即响应报价&lt;采购项目最高限价×</w:t>
      </w:r>
      <w:r>
        <w:rPr>
          <w:rFonts w:hint="eastAsia" w:cs="宋体"/>
          <w:b/>
          <w:color w:val="000000" w:themeColor="text1"/>
          <w:sz w:val="21"/>
          <w:szCs w:val="21"/>
          <w:lang w:val="en-US" w:eastAsia="zh-CN"/>
          <w14:textFill>
            <w14:solidFill>
              <w14:schemeClr w14:val="tx1"/>
            </w14:solidFill>
          </w14:textFill>
        </w:rPr>
        <w:t xml:space="preserve">65</w:t>
      </w:r>
      <w:r>
        <w:rPr>
          <w:rFonts w:hint="eastAsia" w:ascii="宋体" w:hAnsi="宋体" w:cs="宋体"/>
          <w:b/>
          <w:color w:val="000000" w:themeColor="text1"/>
          <w:sz w:val="21"/>
          <w:szCs w:val="21"/>
          <w:lang w:val="en-US"/>
          <w14:textFill>
            <w14:solidFill>
              <w14:schemeClr w14:val="tx1"/>
            </w14:solidFill>
          </w14:textFill>
        </w:rPr>
        <w:t xml:space="preserve">%；</w:t>
      </w:r>
      <w:r/>
    </w:p>
    <w:p>
      <w:pPr>
        <w:pStyle w:val="934"/>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w:t>
      </w:r>
      <w:r>
        <w:rPr>
          <w:rFonts w:ascii="宋体" w:hAnsi="宋体" w:cs="宋体"/>
          <w:b/>
          <w:color w:val="000000" w:themeColor="text1"/>
          <w:sz w:val="21"/>
          <w:szCs w:val="21"/>
          <w:lang w:val="en-US"/>
          <w14:textFill>
            <w14:solidFill>
              <w14:schemeClr w14:val="tx1"/>
            </w14:solidFill>
          </w14:textFill>
        </w:rPr>
        <w:t xml:space="preserve">4</w:t>
      </w:r>
      <w:r>
        <w:rPr>
          <w:rFonts w:hint="eastAsia" w:ascii="宋体" w:hAnsi="宋体" w:cs="宋体"/>
          <w:b/>
          <w:color w:val="000000" w:themeColor="text1"/>
          <w:sz w:val="21"/>
          <w:szCs w:val="21"/>
          <w:lang w:val="en-US"/>
          <w14:textFill>
            <w14:solidFill>
              <w14:schemeClr w14:val="tx1"/>
            </w14:solidFill>
          </w14:textFill>
        </w:rPr>
        <w:t xml:space="preserve">）</w:t>
      </w:r>
      <w:bookmarkStart w:id="10" w:name="OLE_LINK3"/>
      <w:r/>
      <w:bookmarkStart w:id="11" w:name="OLE_LINK4"/>
      <w:r>
        <w:rPr>
          <w:rFonts w:hint="eastAsia" w:ascii="宋体" w:hAnsi="宋体" w:cs="宋体"/>
          <w:b/>
          <w:color w:val="000000" w:themeColor="text1"/>
          <w:sz w:val="21"/>
          <w:szCs w:val="21"/>
          <w:lang w:val="en-US"/>
          <w14:textFill>
            <w14:solidFill>
              <w14:schemeClr w14:val="tx1"/>
            </w14:solidFill>
          </w14:textFill>
        </w:rPr>
        <w:t xml:space="preserve">磋商小组基于专业判断，认为供应商报价过低，有可能影响产品质量或者不能诚信履约的其他情形。</w:t>
      </w:r>
      <w:bookmarkEnd w:id="6"/>
      <w:r/>
      <w:bookmarkEnd w:id="10"/>
      <w:r/>
      <w:bookmarkEnd w:id="11"/>
      <w:r/>
      <w:r/>
    </w:p>
    <w:p>
      <w:pPr>
        <w:pStyle w:val="707"/>
        <w:ind w:left="0" w:firstLine="422"/>
        <w:spacing w:line="360" w:lineRule="auto"/>
        <w:rPr>
          <w:rFonts w:ascii="宋体" w:hAnsi="宋体"/>
          <w:b/>
          <w:color w:val="000000" w:themeColor="text1"/>
          <w:sz w:val="21"/>
          <w:szCs w:val="21"/>
          <w14:textFill>
            <w14:solidFill>
              <w14:schemeClr w14:val="tx1"/>
            </w14:solidFill>
          </w14:textFill>
        </w:rPr>
      </w:pPr>
      <w:r>
        <w:rPr>
          <w:rFonts w:ascii="宋体" w:hAnsi="宋体" w:cs="宋体"/>
          <w:b/>
          <w:color w:val="000000" w:themeColor="text1"/>
          <w:sz w:val="21"/>
          <w:szCs w:val="21"/>
          <w:lang w:val="en-US"/>
          <w14:textFill>
            <w14:solidFill>
              <w14:schemeClr w14:val="tx1"/>
            </w14:solidFill>
          </w14:textFill>
        </w:rPr>
        <w:t xml:space="preserve">11.</w:t>
      </w:r>
      <w:r>
        <w:rPr>
          <w:rFonts w:hint="eastAsia" w:ascii="宋体" w:hAnsi="宋体"/>
          <w:b/>
          <w:color w:val="000000" w:themeColor="text1"/>
          <w:sz w:val="21"/>
          <w:szCs w:val="21"/>
          <w14:textFill>
            <w14:solidFill>
              <w14:schemeClr w14:val="tx1"/>
            </w14:solidFill>
          </w14:textFill>
        </w:rPr>
        <w:t xml:space="preserve">2启动异常低价响应审查后，</w:t>
      </w:r>
      <w:bookmarkStart w:id="12" w:name="OLE_LINK44"/>
      <w:r/>
      <w:bookmarkStart w:id="13" w:name="OLE_LINK37"/>
      <w:r>
        <w:rPr>
          <w:rFonts w:hint="eastAsia" w:ascii="宋体" w:hAnsi="宋体"/>
          <w:b/>
          <w:color w:val="000000" w:themeColor="text1"/>
          <w:sz w:val="21"/>
          <w:szCs w:val="21"/>
          <w14:textFill>
            <w14:solidFill>
              <w14:schemeClr w14:val="tx1"/>
            </w14:solidFill>
          </w14:textFill>
        </w:rPr>
        <w:t xml:space="preserve">磋商小组</w:t>
      </w:r>
      <w:bookmarkEnd w:id="12"/>
      <w:r/>
      <w:bookmarkEnd w:id="13"/>
      <w:r>
        <w:rPr>
          <w:rFonts w:hint="eastAsia" w:ascii="宋体" w:hAnsi="宋体"/>
          <w:b/>
          <w:color w:val="000000" w:themeColor="text1"/>
          <w:sz w:val="21"/>
          <w:szCs w:val="21"/>
          <w14:textFill>
            <w14:solidFill>
              <w14:schemeClr w14:val="tx1"/>
            </w14:solidFill>
          </w14:textFill>
        </w:rPr>
        <w:t xml:space="preserve">应当要求相关供应商在评审现场合理的时间内对响应价格作出解释，提供项目具体成本测算等与报价合理性相关的书面说明及相关证明材料，包括但不限于原材料成本、人工成本、制造费用等，给予相关供应商的合理时间一般不少于30分钟。其中，属于</w:t>
      </w:r>
      <w:r>
        <w:rPr>
          <w:rFonts w:ascii="宋体" w:hAnsi="宋体"/>
          <w:b/>
          <w:color w:val="000000" w:themeColor="text1"/>
          <w:sz w:val="21"/>
          <w:szCs w:val="21"/>
          <w14:textFill>
            <w14:solidFill>
              <w14:schemeClr w14:val="tx1"/>
            </w14:solidFill>
          </w14:textFill>
        </w:rPr>
        <w:t xml:space="preserve">11</w:t>
      </w:r>
      <w:r>
        <w:rPr>
          <w:rFonts w:hint="eastAsia" w:ascii="宋体" w:hAnsi="宋体"/>
          <w:b/>
          <w:color w:val="000000" w:themeColor="text1"/>
          <w:sz w:val="21"/>
          <w:szCs w:val="21"/>
          <w14:textFill>
            <w14:solidFill>
              <w14:schemeClr w14:val="tx1"/>
            </w14:solidFill>
          </w14:textFill>
        </w:rPr>
        <w:t xml:space="preserve">.1第（3）项情形，供应商已随响应文件一并提交相关书面说明及必要的证明材料的，在评审现场可不再重复提交。</w:t>
      </w:r>
      <w:r/>
    </w:p>
    <w:p>
      <w:pPr>
        <w:pStyle w:val="707"/>
        <w:ind w:left="0" w:firstLine="422"/>
        <w:spacing w:line="360" w:lineRule="auto"/>
        <w:rPr>
          <w:rFonts w:ascii="宋体" w:hAnsi="宋体"/>
          <w:b/>
          <w:color w:val="000000" w:themeColor="text1"/>
          <w:sz w:val="21"/>
          <w:szCs w:val="21"/>
          <w14:textFill>
            <w14:solidFill>
              <w14:schemeClr w14:val="tx1"/>
            </w14:solidFill>
          </w14:textFill>
        </w:rPr>
      </w:pPr>
      <w:r>
        <w:rPr>
          <w:rFonts w:ascii="宋体" w:hAnsi="宋体" w:cs="宋体"/>
          <w:b/>
          <w:color w:val="000000" w:themeColor="text1"/>
          <w:sz w:val="21"/>
          <w:szCs w:val="21"/>
          <w:lang w:val="en-US"/>
          <w14:textFill>
            <w14:solidFill>
              <w14:schemeClr w14:val="tx1"/>
            </w14:solidFill>
          </w14:textFill>
        </w:rPr>
        <w:t xml:space="preserve">11.</w:t>
      </w:r>
      <w:r>
        <w:rPr>
          <w:rFonts w:hint="eastAsia" w:ascii="宋体" w:hAnsi="宋体"/>
          <w:b/>
          <w:color w:val="000000" w:themeColor="text1"/>
          <w:sz w:val="21"/>
          <w:szCs w:val="21"/>
          <w14:textFill>
            <w14:solidFill>
              <w14:schemeClr w14:val="tx1"/>
            </w14:solidFill>
          </w14:textFill>
        </w:rPr>
        <w:t xml:space="preserve">3</w:t>
      </w:r>
      <w:bookmarkStart w:id="14" w:name="OLE_LINK47"/>
      <w:r/>
      <w:bookmarkStart w:id="15" w:name="OLE_LINK45"/>
      <w:r/>
      <w:bookmarkStart w:id="16" w:name="OLE_LINK46"/>
      <w:r>
        <w:rPr>
          <w:rFonts w:hint="eastAsia" w:ascii="宋体" w:hAnsi="宋体"/>
          <w:b/>
          <w:color w:val="000000" w:themeColor="text1"/>
          <w:sz w:val="21"/>
          <w:szCs w:val="21"/>
          <w14:textFill>
            <w14:solidFill>
              <w14:schemeClr w14:val="tx1"/>
            </w14:solidFill>
          </w14:textFill>
        </w:rPr>
        <w:t xml:space="preserve">磋商小组</w:t>
      </w:r>
      <w:bookmarkEnd w:id="14"/>
      <w:r/>
      <w:bookmarkEnd w:id="15"/>
      <w:r/>
      <w:bookmarkEnd w:id="16"/>
      <w:r>
        <w:rPr>
          <w:rFonts w:hint="eastAsia" w:ascii="宋体" w:hAnsi="宋体"/>
          <w:b/>
          <w:color w:val="000000" w:themeColor="text1"/>
          <w:sz w:val="21"/>
          <w:szCs w:val="21"/>
          <w14:textFill>
            <w14:solidFill>
              <w14:schemeClr w14:val="tx1"/>
            </w14:solidFill>
          </w14:textFill>
        </w:rPr>
        <w:t xml:space="preserve">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pStyle w:val="707"/>
        <w:ind w:left="0" w:firstLine="422"/>
        <w:spacing w:line="360" w:lineRule="auto"/>
        <w:rPr>
          <w:rFonts w:ascii="宋体" w:hAnsi="宋体"/>
          <w:b/>
          <w:color w:val="000000" w:themeColor="text1"/>
          <w:sz w:val="21"/>
          <w:szCs w:val="21"/>
          <w14:textFill>
            <w14:solidFill>
              <w14:schemeClr w14:val="tx1"/>
            </w14:solidFill>
          </w14:textFill>
        </w:rPr>
      </w:pPr>
      <w:r>
        <w:rPr>
          <w:rFonts w:ascii="宋体" w:hAnsi="宋体" w:cs="宋体"/>
          <w:b/>
          <w:color w:val="000000" w:themeColor="text1"/>
          <w:sz w:val="21"/>
          <w:szCs w:val="21"/>
          <w:lang w:val="en-US"/>
          <w14:textFill>
            <w14:solidFill>
              <w14:schemeClr w14:val="tx1"/>
            </w14:solidFill>
          </w14:textFill>
        </w:rPr>
        <w:t xml:space="preserve">11.</w:t>
      </w:r>
      <w:r>
        <w:rPr>
          <w:rFonts w:hint="eastAsia" w:ascii="宋体" w:hAnsi="宋体"/>
          <w:b/>
          <w:color w:val="000000" w:themeColor="text1"/>
          <w:sz w:val="21"/>
          <w:szCs w:val="21"/>
          <w14:textFill>
            <w14:solidFill>
              <w14:schemeClr w14:val="tx1"/>
            </w14:solidFill>
          </w14:textFill>
        </w:rPr>
        <w:t xml:space="preserve">4采购人、采购代理机构应当为磋商小组在评审现场及时获取同类项目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pStyle w:val="707"/>
        <w:ind w:left="0" w:firstLine="422"/>
        <w:spacing w:line="360" w:lineRule="auto"/>
        <w:rPr>
          <w:rFonts w:ascii="宋体" w:hAnsi="宋体"/>
          <w:b/>
          <w:color w:val="000000" w:themeColor="text1"/>
          <w:sz w:val="21"/>
          <w:szCs w:val="21"/>
          <w14:textFill>
            <w14:solidFill>
              <w14:schemeClr w14:val="tx1"/>
            </w14:solidFill>
          </w14:textFill>
        </w:rPr>
      </w:pPr>
      <w:r>
        <w:rPr>
          <w:rFonts w:hint="eastAsia" w:ascii="宋体" w:hAnsi="宋体"/>
          <w:b/>
          <w:color w:val="000000" w:themeColor="text1"/>
          <w:sz w:val="21"/>
          <w:szCs w:val="21"/>
          <w14:textFill>
            <w14:solidFill>
              <w14:schemeClr w14:val="tx1"/>
            </w14:solidFill>
          </w14:textFill>
        </w:rPr>
        <w:t xml:space="preserve">异常低价响应审查的启动原因、审查意见和审查结果应当在评审报告中记录，并随供应商提供的相关书面说明及证明材料，以及磋商小组有关互联网浏览、查询历史一并归档。</w:t>
      </w:r>
      <w:r/>
    </w:p>
    <w:p>
      <w:pPr>
        <w:pStyle w:val="70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2</w:t>
      </w:r>
      <w:r>
        <w:rPr>
          <w:rFonts w:hint="eastAsia" w:ascii="宋体" w:hAnsi="宋体" w:cs="宋体"/>
          <w:sz w:val="21"/>
          <w:szCs w:val="21"/>
        </w:rPr>
        <w:t xml:space="preserve">、经磋商确定最终采购需求和提交最后报价的供应商后，由磋商小组采用综合评分法对提交最后报价的供应商的响应文件和最后报价进行综合评分。</w:t>
      </w:r>
      <w:r/>
    </w:p>
    <w:p>
      <w:pPr>
        <w:pStyle w:val="934"/>
        <w:ind w:left="0" w:firstLine="422"/>
        <w:spacing w:line="360" w:lineRule="auto"/>
        <w:rPr>
          <w:rFonts w:ascii="宋体" w:hAnsi="宋体" w:cs="宋体"/>
          <w:b/>
          <w:color w:val="auto"/>
          <w:sz w:val="21"/>
          <w:szCs w:val="21"/>
          <w:lang w:val="en-US"/>
        </w:rPr>
      </w:pPr>
      <w:r>
        <w:rPr>
          <w:rFonts w:hint="eastAsia" w:ascii="宋体" w:hAnsi="宋体" w:cs="宋体"/>
          <w:b/>
          <w:color w:val="auto"/>
          <w:sz w:val="21"/>
          <w:szCs w:val="21"/>
        </w:rPr>
        <w:t xml:space="preserve">*</w:t>
      </w:r>
      <w:r>
        <w:rPr>
          <w:rFonts w:hint="eastAsia" w:ascii="宋体" w:hAnsi="宋体" w:cs="宋体"/>
          <w:b/>
          <w:color w:val="auto"/>
          <w:sz w:val="21"/>
          <w:szCs w:val="21"/>
          <w:lang w:val="en-US"/>
        </w:rPr>
        <w:t xml:space="preserve">磋商小组成员在打分过程中不应当出现打分畸高畸低的情形，若出现磋商小组成员在主观分打分上和磋商小组总的平均分相比有明显畸高或畸低情形（偏离度达到±30%）的，需要现场由该磋商小组成员对本人的打分做出情况说明。</w:t>
      </w:r>
      <w:r/>
    </w:p>
    <w:p>
      <w:pPr>
        <w:pStyle w:val="70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3</w:t>
      </w:r>
      <w:r>
        <w:rPr>
          <w:rFonts w:hint="eastAsia" w:ascii="宋体" w:hAnsi="宋体" w:cs="宋体"/>
          <w:sz w:val="21"/>
          <w:szCs w:val="21"/>
        </w:rPr>
        <w:t xml:space="preserve">、磋商小组根据磋商成交原则确定成交供应商，并将结果通知所有参加磋商的供应商。</w:t>
      </w:r>
      <w:r/>
    </w:p>
    <w:p>
      <w:pPr>
        <w:pStyle w:val="70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4</w:t>
      </w:r>
      <w:r>
        <w:rPr>
          <w:rFonts w:hint="eastAsia" w:ascii="宋体" w:hAnsi="宋体" w:cs="宋体"/>
          <w:sz w:val="21"/>
          <w:szCs w:val="21"/>
        </w:rPr>
        <w:t xml:space="preserve">、如磋商过程中出现本采购文件未尽事宜，由磋商小组根据政府采购有关法律、法规讨论决定。</w:t>
      </w:r>
      <w:r/>
    </w:p>
    <w:p>
      <w:pPr>
        <w:ind w:firstLine="482"/>
        <w:jc w:val="left"/>
        <w:spacing w:line="360" w:lineRule="auto"/>
        <w:rPr>
          <w:rFonts w:ascii="宋体" w:hAnsi="宋体"/>
          <w:b/>
          <w:sz w:val="21"/>
          <w:szCs w:val="21"/>
        </w:rPr>
        <w:outlineLvl w:val="0"/>
      </w:pPr>
      <w:r>
        <w:rPr>
          <w:rFonts w:hint="eastAsia" w:ascii="宋体" w:hAnsi="宋体"/>
          <w:b/>
          <w:sz w:val="21"/>
          <w:szCs w:val="21"/>
        </w:rPr>
        <w:t xml:space="preserve">三</w:t>
      </w:r>
      <w:r>
        <w:rPr>
          <w:rFonts w:ascii="宋体" w:hAnsi="宋体"/>
          <w:b/>
          <w:sz w:val="21"/>
          <w:szCs w:val="21"/>
        </w:rPr>
        <w:t xml:space="preserve">、综合说明</w:t>
      </w:r>
      <w:r/>
    </w:p>
    <w:p>
      <w:pPr>
        <w:pStyle w:val="707"/>
        <w:ind w:left="0" w:firstLine="420"/>
        <w:spacing w:line="360" w:lineRule="auto"/>
        <w:rPr>
          <w:rFonts w:ascii="宋体" w:hAnsi="宋体" w:cs="宋体"/>
          <w:sz w:val="21"/>
          <w:szCs w:val="21"/>
        </w:rPr>
      </w:pPr>
      <w:r>
        <w:rPr>
          <w:rFonts w:hint="eastAsia" w:ascii="宋体" w:hAnsi="宋体" w:cs="宋体"/>
          <w:sz w:val="21"/>
          <w:szCs w:val="21"/>
        </w:rPr>
        <w:t xml:space="preserve">1、本次竞争性磋商不分采购标段，各供应商须对全部内容进行响应并报价，只响应其中部分内容或只报其中部分内容的，视为非实质性响应，并不得出现选择性报价。</w:t>
      </w:r>
      <w:r/>
    </w:p>
    <w:p>
      <w:pPr>
        <w:pStyle w:val="707"/>
        <w:ind w:left="0" w:firstLine="420"/>
        <w:spacing w:line="360" w:lineRule="auto"/>
        <w:rPr>
          <w:rFonts w:ascii="宋体" w:hAnsi="宋体" w:cs="宋体"/>
          <w:sz w:val="21"/>
          <w:szCs w:val="21"/>
        </w:rPr>
      </w:pPr>
      <w:r/>
      <w:bookmarkStart w:id="17" w:name="_Hlk37405555"/>
      <w:r>
        <w:rPr>
          <w:rFonts w:hint="eastAsia" w:ascii="宋体" w:hAnsi="宋体" w:cs="宋体"/>
          <w:sz w:val="21"/>
          <w:szCs w:val="21"/>
        </w:rPr>
        <w:t xml:space="preserve">2、响应单位须具备完成本项目的能力。因此各响应单位可在磋商前自行进行调研，了解项目情况及详细需求，但响应单位不得因此使招标单位承担有关的责任和蒙受损失。响应单位应承担前期调研的责任和风险。响应单位中标后，不得以不了解项目情况及详细需求为理由而向采购单位提出任何索赔的要求，对此采购单位不再承担任何责任。</w:t>
      </w:r>
      <w:bookmarkEnd w:id="17"/>
      <w:r/>
      <w:r/>
    </w:p>
    <w:p>
      <w:pPr>
        <w:pStyle w:val="707"/>
        <w:ind w:left="0" w:firstLine="420"/>
        <w:spacing w:line="360" w:lineRule="auto"/>
        <w:rPr>
          <w:rFonts w:ascii="宋体" w:hAnsi="宋体" w:cs="宋体"/>
          <w:sz w:val="21"/>
          <w:szCs w:val="21"/>
        </w:rPr>
      </w:pPr>
      <w:r>
        <w:rPr>
          <w:rFonts w:hint="eastAsia" w:ascii="宋体" w:hAnsi="宋体" w:cs="宋体"/>
          <w:sz w:val="21"/>
          <w:szCs w:val="21"/>
        </w:rPr>
        <w:t xml:space="preserve">3、供应商必须承诺磋商采购文件提出的全部要求，如果以其中某些条款不响应时，必须在文件中列出。</w:t>
      </w:r>
      <w:r/>
    </w:p>
    <w:p>
      <w:pPr>
        <w:pStyle w:val="707"/>
        <w:ind w:left="0" w:firstLine="420"/>
        <w:spacing w:line="360" w:lineRule="auto"/>
        <w:rPr>
          <w:rFonts w:hint="eastAsia" w:ascii="宋体" w:hAnsi="宋体" w:cs="宋体"/>
          <w:sz w:val="21"/>
          <w:szCs w:val="21"/>
          <w:highlight w:val="none"/>
        </w:rPr>
      </w:pPr>
      <w:r>
        <w:rPr>
          <w:rFonts w:hint="eastAsia" w:ascii="宋体" w:hAnsi="宋体" w:cs="宋体"/>
          <w:sz w:val="21"/>
          <w:szCs w:val="21"/>
        </w:rPr>
        <w:t xml:space="preserve">4、成交</w:t>
      </w:r>
      <w:r>
        <w:rPr>
          <w:rFonts w:ascii="宋体" w:hAnsi="宋体" w:cs="宋体"/>
          <w:sz w:val="21"/>
          <w:szCs w:val="21"/>
        </w:rPr>
        <w:t xml:space="preserve">服务费：</w:t>
      </w:r>
      <w:r>
        <w:rPr>
          <w:rFonts w:hint="eastAsia" w:ascii="宋体" w:hAnsi="宋体" w:cs="宋体"/>
          <w:sz w:val="21"/>
          <w:szCs w:val="21"/>
        </w:rPr>
        <w:t xml:space="preserve">按苏财购告</w:t>
      </w:r>
      <w:r>
        <w:rPr>
          <w:rFonts w:hint="eastAsia" w:ascii="宋体" w:hAnsi="宋体" w:cs="宋体"/>
          <w:sz w:val="21"/>
          <w:szCs w:val="21"/>
          <w:highlight w:val="none"/>
        </w:rPr>
        <w:t xml:space="preserve">【2016】31号规定的收费标准收取。依据《关于进一步规范政府采购活动相关费用管理的通知》（苏财规〔2026〕1号）相关规定，本项目收取招标代理服务费的要求如下：</w:t>
      </w:r>
      <w:r/>
    </w:p>
    <w:p>
      <w:pPr>
        <w:pStyle w:val="707"/>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1.支付主体：本项目招标代理服务费由中标（成交）供应商支付。 </w:t>
      </w:r>
      <w:r/>
    </w:p>
    <w:p>
      <w:pPr>
        <w:pStyle w:val="707"/>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2.支付原因：结合本项目实际情况，采购预算中已包含该项代理服务费，投标报价应当包含代理服务费，但无需单独列明。</w:t>
      </w:r>
      <w:r/>
    </w:p>
    <w:p>
      <w:pPr>
        <w:pStyle w:val="707"/>
        <w:ind w:left="0" w:firstLine="420"/>
        <w:spacing w:line="360" w:lineRule="auto"/>
        <w:rPr>
          <w:rFonts w:ascii="宋体" w:hAnsi="宋体" w:cs="宋体"/>
          <w:sz w:val="21"/>
          <w:szCs w:val="21"/>
        </w:rPr>
      </w:pPr>
      <w:r>
        <w:rPr>
          <w:rFonts w:hint="eastAsia" w:ascii="宋体" w:hAnsi="宋体" w:cs="宋体"/>
          <w:sz w:val="21"/>
          <w:szCs w:val="21"/>
          <w:lang w:val="en-US" w:eastAsia="zh-CN"/>
        </w:rPr>
        <w:t xml:space="preserve">3.</w:t>
      </w:r>
      <w:r>
        <w:rPr>
          <w:rFonts w:hint="eastAsia" w:ascii="宋体" w:hAnsi="宋体" w:cs="宋体"/>
          <w:sz w:val="21"/>
          <w:szCs w:val="21"/>
        </w:rPr>
        <w:t xml:space="preserve">收费标准：预算金额100万以下部分费率为预算金额的1.5%；预算金额100万-500万部分费率为预算金额的1.1%。成交服务费的收取按差额定率累进法计算。</w:t>
      </w:r>
      <w:r/>
    </w:p>
    <w:p>
      <w:pPr>
        <w:pStyle w:val="707"/>
        <w:ind w:left="0" w:firstLine="420"/>
        <w:spacing w:line="360" w:lineRule="auto"/>
        <w:rPr>
          <w:rFonts w:ascii="宋体" w:hAnsi="宋体" w:cs="宋体"/>
          <w:sz w:val="21"/>
          <w:szCs w:val="21"/>
        </w:rPr>
      </w:pPr>
      <w:r>
        <w:rPr>
          <w:rFonts w:ascii="宋体" w:hAnsi="宋体" w:cs="宋体"/>
          <w:sz w:val="21"/>
          <w:szCs w:val="21"/>
        </w:rPr>
        <w:t xml:space="preserve">服务费账号：1102020209004028955</w:t>
      </w:r>
      <w:r/>
    </w:p>
    <w:p>
      <w:pPr>
        <w:pStyle w:val="707"/>
        <w:ind w:left="0" w:firstLine="420"/>
        <w:spacing w:line="360" w:lineRule="auto"/>
        <w:rPr>
          <w:rFonts w:ascii="宋体" w:hAnsi="宋体" w:cs="宋体"/>
          <w:sz w:val="21"/>
          <w:szCs w:val="21"/>
        </w:rPr>
      </w:pPr>
      <w:r>
        <w:rPr>
          <w:rFonts w:ascii="宋体" w:hAnsi="宋体" w:cs="宋体"/>
          <w:sz w:val="21"/>
          <w:szCs w:val="21"/>
        </w:rPr>
        <w:t xml:space="preserve">账户名：苏州市润芳招投标咨询服务有限公司</w:t>
      </w:r>
      <w:r/>
    </w:p>
    <w:p>
      <w:pPr>
        <w:pStyle w:val="707"/>
        <w:ind w:left="0" w:firstLine="420"/>
        <w:spacing w:line="360" w:lineRule="auto"/>
        <w:rPr>
          <w:rFonts w:ascii="宋体" w:hAnsi="宋体" w:cs="宋体"/>
          <w:sz w:val="21"/>
          <w:szCs w:val="21"/>
        </w:rPr>
      </w:pPr>
      <w:r>
        <w:rPr>
          <w:rFonts w:ascii="宋体" w:hAnsi="宋体" w:cs="宋体"/>
          <w:sz w:val="21"/>
          <w:szCs w:val="21"/>
        </w:rPr>
        <w:t xml:space="preserve">开户行：苏州市工商银行道前支行</w:t>
      </w:r>
      <w:r/>
    </w:p>
    <w:p>
      <w:pPr>
        <w:pStyle w:val="707"/>
        <w:ind w:left="0" w:firstLine="420"/>
        <w:spacing w:line="360" w:lineRule="auto"/>
        <w:rPr>
          <w:rFonts w:ascii="宋体" w:hAnsi="宋体" w:cs="宋体"/>
          <w:sz w:val="21"/>
          <w:szCs w:val="21"/>
        </w:rPr>
      </w:pPr>
      <w:r>
        <w:rPr>
          <w:rFonts w:hint="eastAsia" w:ascii="宋体" w:hAnsi="宋体" w:cs="宋体"/>
          <w:sz w:val="21"/>
          <w:szCs w:val="21"/>
        </w:rPr>
        <w:t xml:space="preserve">5、磋商说明：</w:t>
      </w:r>
      <w:r/>
    </w:p>
    <w:p>
      <w:pPr>
        <w:pStyle w:val="707"/>
        <w:ind w:left="0" w:firstLine="420"/>
        <w:spacing w:line="360" w:lineRule="auto"/>
        <w:rPr>
          <w:rFonts w:ascii="宋体" w:hAnsi="宋体" w:cs="宋体"/>
          <w:sz w:val="21"/>
          <w:szCs w:val="21"/>
        </w:rPr>
      </w:pPr>
      <w:r>
        <w:rPr>
          <w:rFonts w:hint="eastAsia" w:ascii="宋体" w:hAnsi="宋体" w:cs="宋体"/>
          <w:sz w:val="21"/>
          <w:szCs w:val="21"/>
        </w:rPr>
        <w:t xml:space="preserve">（1）不符合供应商资格要求的响应文件将被认定为无效响应；</w:t>
      </w:r>
      <w:r/>
    </w:p>
    <w:p>
      <w:pPr>
        <w:pStyle w:val="707"/>
        <w:ind w:left="0" w:firstLine="420"/>
        <w:spacing w:line="360" w:lineRule="auto"/>
        <w:rPr>
          <w:rFonts w:ascii="宋体" w:hAnsi="宋体" w:cs="宋体"/>
          <w:sz w:val="21"/>
          <w:szCs w:val="21"/>
        </w:rPr>
      </w:pPr>
      <w:r>
        <w:rPr>
          <w:rFonts w:hint="eastAsia" w:ascii="宋体" w:hAnsi="宋体" w:cs="宋体"/>
          <w:sz w:val="21"/>
          <w:szCs w:val="21"/>
        </w:rPr>
        <w:t xml:space="preserve">（2）在机器码检查中，出现不同供应商响应文件机器码一致情形的，响应文件将被认定为无效响应。</w:t>
      </w:r>
      <w:r/>
    </w:p>
    <w:p>
      <w:pPr>
        <w:pStyle w:val="70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3</w:t>
      </w:r>
      <w:r>
        <w:rPr>
          <w:rFonts w:hint="eastAsia" w:ascii="宋体" w:hAnsi="宋体" w:cs="宋体"/>
          <w:sz w:val="21"/>
          <w:szCs w:val="21"/>
        </w:rPr>
        <w:t xml:space="preserve">）最终报价超过采购预算或最高限价的不能成交；</w:t>
      </w:r>
      <w:r/>
    </w:p>
    <w:p>
      <w:pPr>
        <w:pStyle w:val="70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4</w:t>
      </w:r>
      <w:r>
        <w:rPr>
          <w:rFonts w:hint="eastAsia" w:ascii="宋体" w:hAnsi="宋体" w:cs="宋体"/>
          <w:sz w:val="21"/>
          <w:szCs w:val="21"/>
        </w:rPr>
        <w:t xml:space="preserve">）不实质性响应采购文件的不能成交。</w:t>
      </w:r>
      <w:r/>
    </w:p>
    <w:p>
      <w:pPr>
        <w:pStyle w:val="707"/>
        <w:ind w:left="0" w:firstLine="420"/>
        <w:spacing w:line="360" w:lineRule="auto"/>
        <w:rPr>
          <w:rFonts w:ascii="宋体" w:hAnsi="宋体" w:cs="宋体"/>
          <w:sz w:val="21"/>
          <w:szCs w:val="21"/>
        </w:rPr>
      </w:pPr>
      <w:r>
        <w:rPr>
          <w:rFonts w:hint="eastAsia" w:ascii="宋体" w:hAnsi="宋体" w:cs="宋体"/>
          <w:sz w:val="21"/>
          <w:szCs w:val="21"/>
        </w:rPr>
        <w:t xml:space="preserve">6、</w:t>
      </w:r>
      <w:r>
        <w:rPr>
          <w:rFonts w:ascii="宋体" w:hAnsi="宋体" w:cs="宋体"/>
          <w:sz w:val="21"/>
          <w:szCs w:val="21"/>
        </w:rPr>
        <w:t xml:space="preserve">凡涉及</w:t>
      </w:r>
      <w:r>
        <w:rPr>
          <w:rFonts w:hint="eastAsia" w:ascii="宋体" w:hAnsi="宋体" w:cs="宋体"/>
          <w:sz w:val="21"/>
          <w:szCs w:val="21"/>
        </w:rPr>
        <w:t xml:space="preserve">磋商采购文件</w:t>
      </w:r>
      <w:r>
        <w:rPr>
          <w:rFonts w:ascii="宋体" w:hAnsi="宋体" w:cs="宋体"/>
          <w:sz w:val="21"/>
          <w:szCs w:val="21"/>
        </w:rPr>
        <w:t xml:space="preserve">的补充说明和修改，均以</w:t>
      </w:r>
      <w:r>
        <w:rPr>
          <w:rFonts w:hint="eastAsia" w:ascii="宋体" w:hAnsi="宋体" w:cs="宋体"/>
          <w:sz w:val="21"/>
          <w:szCs w:val="21"/>
        </w:rPr>
        <w:t xml:space="preserve">苏州政府采购网上发布的</w:t>
      </w:r>
      <w:r>
        <w:rPr>
          <w:rFonts w:ascii="宋体" w:hAnsi="宋体" w:cs="宋体"/>
          <w:sz w:val="21"/>
          <w:szCs w:val="21"/>
        </w:rPr>
        <w:t xml:space="preserve">通知为准。</w:t>
      </w:r>
      <w:r/>
    </w:p>
    <w:p>
      <w:pPr>
        <w:ind w:firstLine="482"/>
        <w:jc w:val="left"/>
        <w:spacing w:line="360" w:lineRule="auto"/>
        <w:rPr>
          <w:rFonts w:ascii="宋体" w:hAnsi="宋体"/>
          <w:b/>
          <w:sz w:val="21"/>
          <w:szCs w:val="21"/>
        </w:rPr>
      </w:pPr>
      <w:r>
        <w:rPr>
          <w:rFonts w:hint="eastAsia" w:ascii="宋体" w:hAnsi="宋体"/>
          <w:b/>
          <w:sz w:val="21"/>
          <w:szCs w:val="21"/>
        </w:rPr>
        <w:t xml:space="preserve">四、质疑事项</w:t>
      </w:r>
      <w:r/>
    </w:p>
    <w:p>
      <w:pPr>
        <w:pStyle w:val="707"/>
        <w:ind w:left="0" w:firstLine="420"/>
        <w:spacing w:line="360" w:lineRule="auto"/>
        <w:rPr>
          <w:rFonts w:hint="eastAsia" w:ascii="宋体" w:hAnsi="宋体" w:cs="宋体"/>
          <w:sz w:val="21"/>
          <w:szCs w:val="21"/>
        </w:rPr>
      </w:pPr>
      <w:r>
        <w:rPr>
          <w:rFonts w:hint="eastAsia" w:ascii="宋体" w:hAnsi="宋体" w:cs="宋体"/>
          <w:sz w:val="21"/>
          <w:szCs w:val="21"/>
        </w:rPr>
        <w:t xml:space="preserve">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707"/>
        <w:ind w:left="0" w:firstLine="420"/>
        <w:spacing w:line="360" w:lineRule="auto"/>
        <w:rPr>
          <w:rFonts w:hint="eastAsia" w:ascii="宋体" w:hAnsi="宋体" w:cs="宋体"/>
          <w:sz w:val="21"/>
          <w:szCs w:val="21"/>
        </w:rPr>
      </w:pPr>
      <w:r>
        <w:rPr>
          <w:rFonts w:hint="eastAsia" w:ascii="宋体" w:hAnsi="宋体" w:cs="宋体"/>
          <w:sz w:val="21"/>
          <w:szCs w:val="21"/>
        </w:rPr>
        <w:t xml:space="preserve">2、本次采购文件要求供应商在法定质疑期内一次性提出针对同一采购程序环节的质疑，否则不予受理。</w:t>
      </w:r>
      <w:r/>
    </w:p>
    <w:p>
      <w:pPr>
        <w:pStyle w:val="707"/>
        <w:ind w:left="0" w:firstLine="420"/>
        <w:spacing w:line="360" w:lineRule="auto"/>
        <w:rPr>
          <w:rFonts w:hint="eastAsia" w:ascii="宋体" w:hAnsi="宋体" w:cs="宋体"/>
          <w:sz w:val="21"/>
          <w:szCs w:val="21"/>
        </w:rPr>
      </w:pPr>
      <w:r>
        <w:rPr>
          <w:rFonts w:hint="eastAsia" w:ascii="宋体" w:hAnsi="宋体" w:cs="宋体"/>
          <w:sz w:val="21"/>
          <w:szCs w:val="21"/>
        </w:rPr>
        <w:t xml:space="preserve">3、供应商提出质疑应当提交质疑函和必要的证明材料，质疑函应当包括下列内容：</w:t>
      </w:r>
      <w:r/>
    </w:p>
    <w:p>
      <w:pPr>
        <w:pStyle w:val="707"/>
        <w:ind w:left="0" w:firstLine="420"/>
        <w:spacing w:line="360" w:lineRule="auto"/>
        <w:rPr>
          <w:rFonts w:hint="eastAsia" w:ascii="宋体" w:hAnsi="宋体" w:cs="宋体"/>
          <w:sz w:val="21"/>
          <w:szCs w:val="21"/>
        </w:rPr>
      </w:pPr>
      <w:r>
        <w:rPr>
          <w:rFonts w:hint="eastAsia" w:ascii="宋体" w:hAnsi="宋体" w:cs="宋体"/>
          <w:sz w:val="21"/>
          <w:szCs w:val="21"/>
        </w:rPr>
        <w:t xml:space="preserve">（1）供应商的姓名或者名称（以提供的营业执照副本复印件为准）、地址、邮编、联系人及联系电话；</w:t>
      </w:r>
      <w:r/>
    </w:p>
    <w:p>
      <w:pPr>
        <w:pStyle w:val="707"/>
        <w:ind w:left="0" w:firstLine="420"/>
        <w:spacing w:line="360" w:lineRule="auto"/>
        <w:rPr>
          <w:rFonts w:hint="eastAsia" w:ascii="宋体" w:hAnsi="宋体" w:cs="宋体"/>
          <w:sz w:val="21"/>
          <w:szCs w:val="21"/>
        </w:rPr>
      </w:pPr>
      <w:r>
        <w:rPr>
          <w:rFonts w:hint="eastAsia" w:ascii="宋体" w:hAnsi="宋体" w:cs="宋体"/>
          <w:sz w:val="21"/>
          <w:szCs w:val="21"/>
        </w:rPr>
        <w:t xml:space="preserve">（2）质疑项目的名称、编号；</w:t>
      </w:r>
      <w:r/>
    </w:p>
    <w:p>
      <w:pPr>
        <w:pStyle w:val="707"/>
        <w:ind w:left="0" w:firstLine="420"/>
        <w:spacing w:line="360" w:lineRule="auto"/>
        <w:rPr>
          <w:rFonts w:hint="eastAsia" w:ascii="宋体" w:hAnsi="宋体" w:cs="宋体"/>
          <w:sz w:val="21"/>
          <w:szCs w:val="21"/>
        </w:rPr>
      </w:pPr>
      <w:r>
        <w:rPr>
          <w:rFonts w:hint="eastAsia" w:ascii="宋体" w:hAnsi="宋体" w:cs="宋体"/>
          <w:sz w:val="21"/>
          <w:szCs w:val="21"/>
        </w:rPr>
        <w:t xml:space="preserve">（3）具体、明确的质疑事项和与质疑事项相关的请求；</w:t>
      </w:r>
      <w:r/>
    </w:p>
    <w:p>
      <w:pPr>
        <w:pStyle w:val="707"/>
        <w:ind w:left="0" w:firstLine="420"/>
        <w:spacing w:line="360" w:lineRule="auto"/>
        <w:rPr>
          <w:rFonts w:hint="eastAsia" w:ascii="宋体" w:hAnsi="宋体" w:cs="宋体"/>
          <w:sz w:val="21"/>
          <w:szCs w:val="21"/>
        </w:rPr>
      </w:pPr>
      <w:r>
        <w:rPr>
          <w:rFonts w:hint="eastAsia" w:ascii="宋体" w:hAnsi="宋体" w:cs="宋体"/>
          <w:sz w:val="21"/>
          <w:szCs w:val="21"/>
        </w:rPr>
        <w:t xml:space="preserve">（4）事实依据；</w:t>
      </w:r>
      <w:r/>
    </w:p>
    <w:p>
      <w:pPr>
        <w:pStyle w:val="707"/>
        <w:ind w:left="0" w:firstLine="420"/>
        <w:spacing w:line="360" w:lineRule="auto"/>
        <w:rPr>
          <w:rFonts w:hint="eastAsia" w:ascii="宋体" w:hAnsi="宋体" w:cs="宋体"/>
          <w:sz w:val="21"/>
          <w:szCs w:val="21"/>
        </w:rPr>
      </w:pPr>
      <w:r>
        <w:rPr>
          <w:rFonts w:hint="eastAsia" w:ascii="宋体" w:hAnsi="宋体" w:cs="宋体"/>
          <w:sz w:val="21"/>
          <w:szCs w:val="21"/>
        </w:rPr>
        <w:t xml:space="preserve">（5）必要的法律依据；</w:t>
      </w:r>
      <w:r/>
    </w:p>
    <w:p>
      <w:pPr>
        <w:pStyle w:val="707"/>
        <w:ind w:left="0" w:firstLine="420"/>
        <w:spacing w:line="360" w:lineRule="auto"/>
        <w:rPr>
          <w:rFonts w:hint="eastAsia" w:ascii="宋体" w:hAnsi="宋体" w:cs="宋体"/>
          <w:sz w:val="21"/>
          <w:szCs w:val="21"/>
        </w:rPr>
      </w:pPr>
      <w:r>
        <w:rPr>
          <w:rFonts w:hint="eastAsia" w:ascii="宋体" w:hAnsi="宋体" w:cs="宋体"/>
          <w:sz w:val="21"/>
          <w:szCs w:val="21"/>
        </w:rPr>
        <w:t xml:space="preserve">（6）提出质疑的日期。</w:t>
      </w:r>
      <w:r/>
    </w:p>
    <w:p>
      <w:pPr>
        <w:pStyle w:val="707"/>
        <w:ind w:left="0" w:firstLine="420"/>
        <w:spacing w:line="360" w:lineRule="auto"/>
        <w:rPr>
          <w:rFonts w:hint="eastAsia" w:ascii="宋体" w:hAnsi="宋体" w:cs="宋体"/>
          <w:sz w:val="21"/>
          <w:szCs w:val="21"/>
        </w:rPr>
      </w:pPr>
      <w:r>
        <w:rPr>
          <w:rFonts w:hint="eastAsia" w:ascii="宋体" w:hAnsi="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pStyle w:val="707"/>
        <w:ind w:left="0" w:firstLine="420"/>
        <w:keepLines w:val="0"/>
        <w:keepNext w:val="0"/>
        <w:pageBreakBefore w:val="0"/>
        <w:spacing w:line="360" w:lineRule="auto"/>
        <w:widowControl/>
        <w:rPr>
          <w:rFonts w:hint="eastAsia" w:ascii="宋体" w:hAnsi="宋体" w:cs="宋体"/>
          <w:sz w:val="21"/>
          <w:szCs w:val="21"/>
        </w:rPr>
      </w:pPr>
      <w:r>
        <w:rPr>
          <w:rFonts w:hint="eastAsia" w:ascii="宋体" w:hAnsi="宋体" w:cs="宋体"/>
          <w:sz w:val="21"/>
          <w:szCs w:val="21"/>
        </w:rPr>
        <w:t xml:space="preserve">供应商提交的质疑函必须按照《政府采购供应商质疑函范本》要求的格式和内容进行填写，质疑函范本下载网址详见链接：https://czju.suzhou.gov.cn/zfcg/html/content/20180305093615738.shtml。</w:t>
      </w:r>
      <w:r/>
    </w:p>
    <w:p>
      <w:pPr>
        <w:pStyle w:val="707"/>
        <w:ind w:left="0" w:firstLine="420"/>
        <w:spacing w:line="360" w:lineRule="auto"/>
        <w:rPr>
          <w:rFonts w:hint="eastAsia" w:ascii="宋体" w:hAnsi="宋体" w:cs="宋体"/>
          <w:sz w:val="21"/>
          <w:szCs w:val="21"/>
        </w:rPr>
      </w:pPr>
      <w:r>
        <w:rPr>
          <w:rFonts w:hint="eastAsia" w:ascii="宋体" w:hAnsi="宋体" w:cs="宋体"/>
          <w:sz w:val="21"/>
          <w:szCs w:val="21"/>
        </w:rPr>
        <w:t xml:space="preserve">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投标供应商确认函》）与质疑函一起递交，否则不予受理。</w:t>
      </w:r>
      <w:r/>
    </w:p>
    <w:p>
      <w:pPr>
        <w:pStyle w:val="707"/>
        <w:ind w:left="0" w:firstLine="420"/>
        <w:spacing w:line="360" w:lineRule="auto"/>
        <w:rPr>
          <w:rFonts w:hint="eastAsia" w:ascii="宋体" w:hAnsi="宋体" w:cs="宋体"/>
          <w:sz w:val="21"/>
          <w:szCs w:val="21"/>
        </w:rPr>
      </w:pPr>
      <w:r>
        <w:rPr>
          <w:rFonts w:hint="eastAsia" w:ascii="宋体" w:hAnsi="宋体" w:cs="宋体"/>
          <w:sz w:val="21"/>
          <w:szCs w:val="21"/>
        </w:rPr>
        <w:t xml:space="preserve">5、接收质疑函的方式：书面形式（当场送达或邮寄方式）</w:t>
      </w:r>
      <w:r/>
    </w:p>
    <w:p>
      <w:pPr>
        <w:pStyle w:val="707"/>
        <w:ind w:left="0" w:firstLine="420"/>
        <w:spacing w:line="360" w:lineRule="auto"/>
        <w:rPr>
          <w:rFonts w:hint="eastAsia" w:ascii="宋体" w:hAnsi="宋体" w:cs="宋体"/>
          <w:sz w:val="21"/>
          <w:szCs w:val="21"/>
          <w:lang w:eastAsia="zh-CN"/>
        </w:rPr>
      </w:pPr>
      <w:r>
        <w:rPr>
          <w:rFonts w:hint="eastAsia" w:ascii="宋体" w:hAnsi="宋体" w:cs="宋体"/>
          <w:sz w:val="21"/>
          <w:szCs w:val="21"/>
        </w:rPr>
        <w:t xml:space="preserve">质疑联系部门：</w:t>
      </w:r>
      <w:r>
        <w:rPr>
          <w:rFonts w:hint="eastAsia" w:ascii="宋体" w:hAnsi="宋体" w:cs="宋体"/>
          <w:sz w:val="21"/>
          <w:szCs w:val="21"/>
          <w:lang w:val="en-US" w:eastAsia="zh-CN"/>
        </w:rPr>
        <w:t xml:space="preserve">王思恬</w:t>
      </w:r>
      <w:r/>
    </w:p>
    <w:p>
      <w:pPr>
        <w:pStyle w:val="707"/>
        <w:ind w:left="0" w:firstLine="420"/>
        <w:spacing w:line="360" w:lineRule="auto"/>
        <w:rPr>
          <w:rFonts w:hint="eastAsia" w:ascii="宋体" w:hAnsi="宋体" w:cs="宋体"/>
          <w:sz w:val="21"/>
          <w:szCs w:val="21"/>
        </w:rPr>
      </w:pPr>
      <w:r>
        <w:rPr>
          <w:rFonts w:hint="eastAsia" w:ascii="宋体" w:hAnsi="宋体" w:cs="宋体"/>
          <w:sz w:val="21"/>
          <w:szCs w:val="21"/>
        </w:rPr>
        <w:t xml:space="preserve">联系电话：（0512）65115979（TEL/FAX） 65115979</w:t>
      </w:r>
      <w:r/>
    </w:p>
    <w:p>
      <w:pPr>
        <w:pStyle w:val="707"/>
        <w:ind w:left="0" w:firstLine="420"/>
        <w:spacing w:line="360" w:lineRule="auto"/>
        <w:rPr>
          <w:rFonts w:hint="eastAsia" w:ascii="宋体" w:hAnsi="宋体" w:cs="宋体"/>
          <w:sz w:val="21"/>
          <w:szCs w:val="21"/>
        </w:rPr>
      </w:pPr>
      <w:r>
        <w:rPr>
          <w:rFonts w:hint="eastAsia" w:ascii="宋体" w:hAnsi="宋体" w:cs="宋体"/>
          <w:sz w:val="21"/>
          <w:szCs w:val="21"/>
        </w:rPr>
        <w:t xml:space="preserve">通讯地址：苏州市西环路883号蓝文化创意产业园204室</w:t>
      </w:r>
      <w:r/>
    </w:p>
    <w:p>
      <w:pPr>
        <w:pStyle w:val="707"/>
        <w:ind w:left="0" w:firstLine="422"/>
        <w:spacing w:line="360" w:lineRule="auto"/>
        <w:rPr>
          <w:rFonts w:ascii="宋体" w:hAnsi="宋体" w:cs="宋体"/>
          <w:b/>
          <w:sz w:val="21"/>
          <w:szCs w:val="21"/>
        </w:rPr>
      </w:pPr>
      <w:r>
        <w:rPr>
          <w:rFonts w:hint="eastAsia" w:ascii="宋体" w:hAnsi="宋体" w:cs="宋体"/>
          <w:b/>
          <w:sz w:val="21"/>
          <w:szCs w:val="21"/>
        </w:rPr>
        <w:t xml:space="preserve">五</w:t>
      </w:r>
      <w:r>
        <w:rPr>
          <w:rFonts w:ascii="宋体" w:hAnsi="宋体" w:cs="宋体"/>
          <w:b/>
          <w:sz w:val="21"/>
          <w:szCs w:val="21"/>
        </w:rPr>
        <w:t xml:space="preserve">、项目的终止</w:t>
      </w:r>
      <w:r/>
    </w:p>
    <w:p>
      <w:pPr>
        <w:pStyle w:val="707"/>
        <w:ind w:left="0" w:firstLine="420"/>
        <w:spacing w:line="360" w:lineRule="auto"/>
        <w:rPr>
          <w:rFonts w:ascii="宋体" w:hAnsi="宋体" w:cs="宋体"/>
          <w:sz w:val="21"/>
          <w:szCs w:val="21"/>
        </w:rPr>
      </w:pPr>
      <w:r>
        <w:rPr>
          <w:rFonts w:ascii="宋体" w:hAnsi="宋体" w:cs="宋体"/>
          <w:sz w:val="21"/>
          <w:szCs w:val="21"/>
        </w:rPr>
        <w:t xml:space="preserve">出现下列情形之一的，将终止竞争性磋商采购活动：</w:t>
      </w:r>
      <w:r/>
    </w:p>
    <w:p>
      <w:pPr>
        <w:pStyle w:val="707"/>
        <w:ind w:left="0" w:firstLine="420"/>
        <w:spacing w:line="360" w:lineRule="auto"/>
        <w:rPr>
          <w:rFonts w:ascii="宋体" w:hAnsi="宋体" w:cs="宋体"/>
          <w:sz w:val="21"/>
          <w:szCs w:val="21"/>
        </w:rPr>
      </w:pPr>
      <w:r>
        <w:rPr>
          <w:rFonts w:ascii="宋体" w:hAnsi="宋体" w:cs="宋体"/>
          <w:sz w:val="21"/>
          <w:szCs w:val="21"/>
        </w:rPr>
        <w:t xml:space="preserve">1、因情况变化，不再符合规定的竞争性磋商采购方式适用情形的；</w:t>
      </w:r>
      <w:r/>
    </w:p>
    <w:p>
      <w:pPr>
        <w:pStyle w:val="707"/>
        <w:ind w:left="0" w:firstLine="420"/>
        <w:spacing w:line="360" w:lineRule="auto"/>
        <w:rPr>
          <w:rFonts w:ascii="宋体" w:hAnsi="宋体" w:cs="宋体"/>
          <w:sz w:val="21"/>
          <w:szCs w:val="21"/>
        </w:rPr>
      </w:pPr>
      <w:r>
        <w:rPr>
          <w:rFonts w:ascii="宋体" w:hAnsi="宋体" w:cs="宋体"/>
          <w:sz w:val="21"/>
          <w:szCs w:val="21"/>
        </w:rPr>
        <w:t xml:space="preserve">2、出现影响采购公正的违法、违规行为的；</w:t>
      </w:r>
      <w:r/>
    </w:p>
    <w:p>
      <w:pPr>
        <w:pStyle w:val="707"/>
        <w:ind w:left="0" w:firstLine="420"/>
        <w:spacing w:line="360" w:lineRule="auto"/>
        <w:rPr>
          <w:rFonts w:ascii="宋体" w:hAnsi="宋体" w:cs="宋体"/>
          <w:sz w:val="21"/>
          <w:szCs w:val="21"/>
        </w:rPr>
      </w:pPr>
      <w:r>
        <w:rPr>
          <w:rFonts w:ascii="宋体" w:hAnsi="宋体" w:cs="宋体"/>
          <w:sz w:val="21"/>
          <w:szCs w:val="21"/>
        </w:rPr>
        <w:t xml:space="preserve">3、在采购活动中因重大变故，采购任务取消的。</w:t>
      </w:r>
      <w:r/>
    </w:p>
    <w:p>
      <w:pPr>
        <w:pStyle w:val="707"/>
        <w:ind w:left="0" w:firstLine="422"/>
        <w:spacing w:line="360" w:lineRule="auto"/>
        <w:rPr>
          <w:rFonts w:ascii="宋体" w:hAnsi="宋体"/>
          <w:sz w:val="21"/>
          <w:szCs w:val="21"/>
        </w:rPr>
      </w:pPr>
      <w:r>
        <w:rPr>
          <w:rFonts w:hint="eastAsia" w:ascii="宋体" w:hAnsi="宋体" w:cs="宋体"/>
          <w:b/>
          <w:sz w:val="21"/>
          <w:szCs w:val="21"/>
        </w:rPr>
        <w:t xml:space="preserve">注：采用竞争性磋商采购方式采购的政府购买服务项目，在采购过程中符合要求的供应商只有2家的，竞争性磋商采购活动可以继续进行。</w:t>
      </w:r>
      <w:r/>
    </w:p>
    <w:p>
      <w:pPr>
        <w:rPr>
          <w:sz w:val="21"/>
          <w:szCs w:val="21"/>
          <w:lang w:val="zh-CN"/>
        </w:rPr>
      </w:pPr>
      <w:r>
        <w:rPr>
          <w:sz w:val="21"/>
          <w:szCs w:val="21"/>
          <w:lang w:val="zh-CN"/>
        </w:rPr>
      </w:r>
      <w:r/>
    </w:p>
    <w:p>
      <w:pPr>
        <w:ind w:firstLine="482"/>
        <w:jc w:val="left"/>
        <w:spacing w:line="360" w:lineRule="auto"/>
        <w:tabs>
          <w:tab w:val="left" w:pos="567" w:leader="none"/>
        </w:tabs>
        <w:rPr>
          <w:rFonts w:ascii="宋体" w:hAnsi="宋体"/>
          <w:b/>
          <w:sz w:val="21"/>
          <w:szCs w:val="21"/>
        </w:rPr>
      </w:pPr>
      <w:r>
        <w:rPr>
          <w:rFonts w:hint="eastAsia" w:ascii="宋体" w:hAnsi="宋体"/>
          <w:b/>
          <w:sz w:val="21"/>
          <w:szCs w:val="21"/>
        </w:rPr>
        <w:t xml:space="preserve">六、政府采购相关政策</w:t>
      </w:r>
      <w:r/>
    </w:p>
    <w:p>
      <w:pPr>
        <w:ind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1、小、微企业</w:t>
      </w:r>
      <w:r/>
    </w:p>
    <w:p>
      <w:pPr>
        <w:ind w:firstLine="420"/>
        <w:spacing w:line="360" w:lineRule="auto"/>
        <w:tabs>
          <w:tab w:val="left" w:pos="567" w:leader="none"/>
        </w:tabs>
        <w:rPr>
          <w:rFonts w:ascii="宋体" w:hAnsi="宋体"/>
          <w:sz w:val="21"/>
          <w:szCs w:val="21"/>
        </w:rPr>
      </w:pPr>
      <w:r>
        <w:rPr>
          <w:rFonts w:hint="eastAsia" w:ascii="宋体" w:hAnsi="宋体"/>
          <w:sz w:val="21"/>
          <w:szCs w:val="21"/>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szCs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szCs w:val="21"/>
        </w:rPr>
        <w:t xml:space="preserve">服务类项目中供应商若使用退休人员，将不享受相关扶持政策。</w:t>
      </w:r>
      <w:r/>
    </w:p>
    <w:p>
      <w:pPr>
        <w:ind w:firstLine="422"/>
        <w:spacing w:line="360" w:lineRule="auto"/>
        <w:tabs>
          <w:tab w:val="left" w:pos="567" w:leader="none"/>
        </w:tabs>
        <w:rPr>
          <w:rFonts w:ascii="宋体" w:hAnsi="宋体" w:cs="宋体"/>
          <w:b/>
          <w:bCs/>
          <w:sz w:val="21"/>
          <w:szCs w:val="21"/>
        </w:rPr>
      </w:pPr>
      <w:r>
        <w:rPr>
          <w:rFonts w:hint="eastAsia" w:ascii="宋体" w:hAnsi="宋体" w:cs="宋体"/>
          <w:b/>
          <w:bCs/>
          <w:sz w:val="21"/>
          <w:szCs w:val="21"/>
        </w:rPr>
        <w:t xml:space="preserve">根据《政府采购促进中小企业发展管理办法》（财库〔2020〕46号）及《中小企业划型标准规定》（工信部联企业〔2011〕300号），本采购项目对应的中小企业划分标准所</w:t>
      </w:r>
      <w:r>
        <w:rPr>
          <w:rFonts w:hint="eastAsia" w:ascii="宋体" w:hAnsi="宋体" w:cs="宋体"/>
          <w:b/>
          <w:bCs/>
          <w:sz w:val="21"/>
          <w:szCs w:val="21"/>
          <w:highlight w:val="none"/>
        </w:rPr>
        <w:t xml:space="preserve">属行业为：其他未列明行业。</w:t>
      </w:r>
      <w:r/>
    </w:p>
    <w:p>
      <w:pPr>
        <w:ind w:firstLine="420"/>
        <w:spacing w:line="360" w:lineRule="auto"/>
        <w:tabs>
          <w:tab w:val="left" w:pos="567" w:leader="none"/>
        </w:tabs>
        <w:rPr>
          <w:rFonts w:ascii="宋体" w:hAnsi="宋体"/>
          <w:sz w:val="21"/>
          <w:szCs w:val="21"/>
        </w:rPr>
      </w:pPr>
      <w:r>
        <w:rPr>
          <w:rFonts w:hint="eastAsia" w:ascii="宋体" w:hAnsi="宋体"/>
          <w:sz w:val="21"/>
          <w:szCs w:val="21"/>
        </w:rPr>
        <w:t xml:space="preserve">2、残疾人福利性单位</w:t>
      </w:r>
      <w:r/>
    </w:p>
    <w:p>
      <w:pPr>
        <w:ind w:firstLine="420"/>
        <w:spacing w:line="360" w:lineRule="auto"/>
        <w:tabs>
          <w:tab w:val="left" w:pos="567" w:leader="none"/>
        </w:tabs>
        <w:rPr>
          <w:rFonts w:ascii="宋体" w:hAnsi="宋体"/>
          <w:sz w:val="21"/>
          <w:szCs w:val="21"/>
        </w:rPr>
      </w:pPr>
      <w:r>
        <w:rPr>
          <w:rFonts w:hint="eastAsia" w:ascii="宋体" w:hAnsi="宋体"/>
          <w:sz w:val="21"/>
          <w:szCs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tabs>
          <w:tab w:val="left" w:pos="567" w:leader="none"/>
        </w:tabs>
        <w:rPr>
          <w:rFonts w:ascii="宋体" w:hAnsi="宋体"/>
          <w:sz w:val="21"/>
          <w:szCs w:val="21"/>
        </w:rPr>
      </w:pPr>
      <w:r>
        <w:rPr>
          <w:rFonts w:hint="eastAsia" w:ascii="宋体" w:hAnsi="宋体"/>
          <w:sz w:val="21"/>
          <w:szCs w:val="21"/>
        </w:rPr>
        <w:t xml:space="preserve">3、监狱企业</w:t>
      </w:r>
      <w:r/>
    </w:p>
    <w:p>
      <w:pPr>
        <w:ind w:firstLine="420"/>
        <w:spacing w:line="360" w:lineRule="auto"/>
        <w:tabs>
          <w:tab w:val="left" w:pos="567" w:leader="none"/>
        </w:tabs>
        <w:rPr>
          <w:rFonts w:ascii="宋体" w:hAnsi="宋体"/>
          <w:sz w:val="21"/>
          <w:szCs w:val="21"/>
        </w:rPr>
      </w:pPr>
      <w:r>
        <w:rPr>
          <w:rFonts w:hint="eastAsia" w:ascii="宋体" w:hAnsi="宋体"/>
          <w:sz w:val="21"/>
          <w:szCs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4、绿色采购</w:t>
      </w:r>
      <w:r/>
    </w:p>
    <w:p>
      <w:pPr>
        <w:ind w:firstLine="420"/>
        <w:spacing w:line="360" w:lineRule="auto"/>
        <w:tabs>
          <w:tab w:val="left" w:pos="567" w:leader="none"/>
        </w:tabs>
        <w:rPr>
          <w:rFonts w:ascii="宋体" w:hAnsi="宋体"/>
          <w:sz w:val="21"/>
          <w:szCs w:val="21"/>
        </w:rPr>
      </w:pPr>
      <w:r>
        <w:rPr>
          <w:rFonts w:hint="eastAsia" w:ascii="宋体" w:hAnsi="宋体"/>
          <w:sz w:val="21"/>
          <w:szCs w:val="21"/>
        </w:rPr>
        <w:t xml:space="preserve">（1）根据《关于调整优化节能产品、环境标志产品政府采购执行机制的通知》（财库〔</w:t>
      </w:r>
      <w:r>
        <w:rPr>
          <w:rFonts w:ascii="宋体" w:hAnsi="宋体"/>
          <w:sz w:val="21"/>
          <w:szCs w:val="21"/>
        </w:rPr>
        <w:t xml:space="preserve">2019</w:t>
      </w: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号）等相关文件的规定，</w:t>
      </w:r>
      <w:r>
        <w:rPr>
          <w:rFonts w:hint="eastAsia" w:ascii="宋体" w:hAnsi="宋体"/>
          <w:b/>
          <w:sz w:val="21"/>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sz w:val="21"/>
          <w:szCs w:val="21"/>
        </w:rPr>
      </w:pPr>
      <w:r>
        <w:rPr>
          <w:rFonts w:hint="eastAsia" w:ascii="宋体" w:hAnsi="宋体"/>
          <w:sz w:val="21"/>
          <w:szCs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tabs>
          <w:tab w:val="left" w:pos="420" w:leader="none"/>
        </w:tabs>
        <w:rPr>
          <w:rFonts w:ascii="宋体" w:hAnsi="宋体" w:cs="宋体"/>
          <w:sz w:val="21"/>
          <w:szCs w:val="21"/>
        </w:rPr>
      </w:pPr>
      <w:r>
        <w:rPr>
          <w:rFonts w:hint="eastAsia" w:ascii="宋体" w:hAnsi="宋体"/>
          <w:sz w:val="21"/>
          <w:szCs w:val="21"/>
        </w:rPr>
        <w:t xml:space="preserve">（3）为助力打好污染防治攻坚战，推广使用绿色包装，根据财政部办公厅、</w:t>
      </w:r>
      <w:r>
        <w:rPr>
          <w:rFonts w:hint="eastAsia" w:ascii="宋体" w:hAnsi="宋体" w:cs="宋体"/>
          <w:sz w:val="21"/>
          <w:szCs w:val="21"/>
        </w:rPr>
        <w:t xml:space="preserve">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60" w:lineRule="auto"/>
        <w:tabs>
          <w:tab w:val="left" w:pos="420" w:leader="none"/>
        </w:tabs>
        <w:rPr>
          <w:rFonts w:ascii="宋体" w:hAnsi="宋体" w:cs="宋体"/>
          <w:sz w:val="21"/>
          <w:szCs w:val="21"/>
        </w:rPr>
      </w:pPr>
      <w:r>
        <w:rPr>
          <w:rFonts w:hint="eastAsia" w:ascii="宋体" w:hAnsi="宋体" w:cs="宋体"/>
          <w:sz w:val="21"/>
          <w:szCs w:val="21"/>
        </w:rPr>
        <w:t xml:space="preserve">（二）关于对参与供应商信用记录的政府采购要求</w:t>
      </w:r>
      <w:r/>
    </w:p>
    <w:p>
      <w:pPr>
        <w:ind w:firstLine="420"/>
        <w:spacing w:line="360" w:lineRule="auto"/>
        <w:tabs>
          <w:tab w:val="left" w:pos="420" w:leader="none"/>
        </w:tabs>
        <w:rPr>
          <w:rFonts w:ascii="宋体" w:hAnsi="宋体" w:cs="宋体"/>
          <w:sz w:val="21"/>
          <w:szCs w:val="21"/>
        </w:rPr>
      </w:pPr>
      <w:r>
        <w:rPr>
          <w:rFonts w:hint="eastAsia" w:ascii="宋体" w:hAnsi="宋体" w:cs="宋体"/>
          <w:sz w:val="21"/>
          <w:szCs w:val="21"/>
        </w:rPr>
        <w:t xml:space="preserve">1、采购代理机构会在接收响应文件截止时间后，登录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评审小组。</w:t>
      </w:r>
      <w:r/>
    </w:p>
    <w:p>
      <w:pPr>
        <w:ind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3、供应商若在经营活动中受到罚款的，请携带相关地方、部门对较大数额认定标准的证明材料，与响应文件一并提交。若无法提供，则可能承担响应无效等相应不利后果。</w:t>
      </w:r>
      <w:r/>
    </w:p>
    <w:p>
      <w:pPr>
        <w:ind w:firstLine="420"/>
        <w:spacing w:line="360" w:lineRule="auto"/>
        <w:tabs>
          <w:tab w:val="left" w:pos="420" w:leader="none"/>
        </w:tabs>
        <w:rPr>
          <w:rFonts w:ascii="宋体" w:hAnsi="宋体" w:cs="宋体"/>
          <w:sz w:val="21"/>
          <w:szCs w:val="21"/>
        </w:rPr>
      </w:pPr>
      <w:r>
        <w:rPr>
          <w:rFonts w:hint="eastAsia" w:ascii="宋体" w:hAnsi="宋体" w:cs="宋体"/>
          <w:sz w:val="21"/>
          <w:szCs w:val="21"/>
        </w:rPr>
        <w:t xml:space="preserve">4、对存在失信信息的供应商，由失信供应商进行确认。同时，采购代理机构工作人员应根据评审小组确认的失信信息，登陆到相关来源网站页面进行复核并打印，作为证据留存。</w:t>
      </w:r>
      <w:r/>
    </w:p>
    <w:p>
      <w:pPr>
        <w:pStyle w:val="707"/>
        <w:ind w:left="0" w:firstLine="422"/>
        <w:spacing w:line="360" w:lineRule="auto"/>
        <w:rPr>
          <w:rFonts w:ascii="宋体" w:hAnsi="宋体" w:cs="宋体"/>
          <w:b/>
          <w:sz w:val="21"/>
          <w:szCs w:val="21"/>
        </w:rPr>
      </w:pPr>
      <w:r>
        <w:rPr>
          <w:rFonts w:hint="eastAsia" w:ascii="宋体" w:hAnsi="宋体" w:cs="宋体"/>
          <w:b/>
          <w:bCs/>
          <w:sz w:val="21"/>
          <w:szCs w:val="21"/>
        </w:rPr>
        <w:t xml:space="preserve">七、</w:t>
      </w:r>
      <w:r>
        <w:rPr>
          <w:rFonts w:hint="eastAsia" w:ascii="宋体" w:hAnsi="宋体" w:cs="宋体"/>
          <w:b/>
          <w:sz w:val="21"/>
          <w:szCs w:val="21"/>
        </w:rPr>
        <w:t xml:space="preserve">综合说明及其它要求：</w:t>
      </w:r>
      <w:r/>
    </w:p>
    <w:p>
      <w:pPr>
        <w:pStyle w:val="707"/>
        <w:ind w:left="0" w:firstLine="420"/>
        <w:spacing w:line="360" w:lineRule="auto"/>
        <w:rPr>
          <w:rFonts w:ascii="宋体" w:hAnsi="宋体" w:cs="宋体"/>
          <w:sz w:val="21"/>
          <w:szCs w:val="21"/>
        </w:rPr>
      </w:pPr>
      <w:r>
        <w:rPr>
          <w:rFonts w:hint="eastAsia" w:ascii="宋体" w:hAnsi="宋体" w:cs="宋体"/>
          <w:sz w:val="21"/>
          <w:szCs w:val="21"/>
        </w:rPr>
        <w:t xml:space="preserve">1、磋商供应商需明确详细的服务方案。</w:t>
      </w:r>
      <w:r/>
    </w:p>
    <w:p>
      <w:pPr>
        <w:pStyle w:val="707"/>
        <w:ind w:left="0" w:firstLine="420"/>
        <w:spacing w:line="360" w:lineRule="auto"/>
        <w:rPr>
          <w:rFonts w:ascii="宋体" w:hAnsi="宋体" w:cs="宋体"/>
          <w:sz w:val="21"/>
          <w:szCs w:val="21"/>
        </w:rPr>
      </w:pPr>
      <w:r>
        <w:rPr>
          <w:rFonts w:hint="eastAsia" w:ascii="宋体" w:hAnsi="宋体" w:cs="宋体"/>
          <w:sz w:val="21"/>
          <w:szCs w:val="21"/>
        </w:rPr>
        <w:t xml:space="preserve">2、磋商供应商必须承诺文件中提出的全部要求，如果其中某些条款不响应时，应在文件中逐条列出，未列出的视同响应。</w:t>
      </w:r>
      <w:r/>
    </w:p>
    <w:p>
      <w:pPr>
        <w:pStyle w:val="707"/>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磋商说明：</w:t>
      </w:r>
      <w:r/>
    </w:p>
    <w:p>
      <w:pPr>
        <w:pStyle w:val="707"/>
        <w:ind w:left="0" w:firstLine="420"/>
        <w:spacing w:line="360" w:lineRule="auto"/>
        <w:rPr>
          <w:rFonts w:ascii="宋体" w:hAnsi="宋体" w:cs="宋体"/>
          <w:sz w:val="21"/>
          <w:szCs w:val="21"/>
        </w:rPr>
      </w:pPr>
      <w:r>
        <w:rPr>
          <w:rFonts w:hint="eastAsia" w:ascii="宋体" w:hAnsi="宋体" w:cs="宋体"/>
          <w:sz w:val="21"/>
          <w:szCs w:val="21"/>
        </w:rPr>
        <w:t xml:space="preserve">（1）不符合供应商资格要求的响应文件将被认定为无效响应；</w:t>
      </w:r>
      <w:r/>
    </w:p>
    <w:p>
      <w:pPr>
        <w:ind w:left="0" w:firstLine="422"/>
        <w:spacing w:line="360" w:lineRule="auto"/>
        <w:tabs>
          <w:tab w:val="left" w:pos="420" w:leader="none"/>
        </w:tabs>
        <w:rPr>
          <w:rFonts w:ascii="宋体" w:hAnsi="宋体" w:cs="宋体"/>
          <w:b/>
          <w:bCs/>
          <w:color w:val="ff0000"/>
          <w:sz w:val="21"/>
          <w:szCs w:val="21"/>
        </w:rPr>
      </w:pPr>
      <w:r>
        <w:rPr>
          <w:rFonts w:hint="eastAsia" w:ascii="宋体" w:hAnsi="宋体" w:cs="宋体"/>
          <w:b/>
          <w:bCs/>
          <w:color w:val="ff0000"/>
          <w:sz w:val="21"/>
          <w:szCs w:val="21"/>
        </w:rPr>
        <w:t xml:space="preserve">（</w:t>
      </w:r>
      <w:r>
        <w:rPr>
          <w:rFonts w:ascii="宋体" w:hAnsi="宋体" w:cs="宋体"/>
          <w:b/>
          <w:bCs/>
          <w:color w:val="ff0000"/>
          <w:sz w:val="21"/>
          <w:szCs w:val="21"/>
        </w:rPr>
        <w:t xml:space="preserve">2</w:t>
      </w:r>
      <w:r>
        <w:rPr>
          <w:rFonts w:hint="eastAsia" w:ascii="宋体" w:hAnsi="宋体" w:cs="宋体"/>
          <w:b/>
          <w:bCs/>
          <w:color w:val="ff0000"/>
          <w:sz w:val="21"/>
          <w:szCs w:val="21"/>
        </w:rPr>
        <w:t xml:space="preserve">）在机器码检查中，出现不同供应商响应文件机器码一致情形的，响应文件将被认定为无效响应；</w:t>
      </w:r>
      <w:r/>
    </w:p>
    <w:p>
      <w:pPr>
        <w:pStyle w:val="70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）最终报价超过采购预算或最高限价的不能成交；</w:t>
      </w:r>
      <w:r/>
    </w:p>
    <w:p>
      <w:pPr>
        <w:pStyle w:val="70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）不实质性响应采购文件的不能成交。</w:t>
      </w:r>
      <w:r/>
    </w:p>
    <w:p>
      <w:pPr>
        <w:pStyle w:val="707"/>
        <w:ind w:left="0" w:firstLine="420"/>
        <w:spacing w:line="360" w:lineRule="auto"/>
        <w:rPr>
          <w:sz w:val="21"/>
          <w:szCs w:val="21"/>
        </w:rPr>
      </w:pPr>
      <w:r>
        <w:rPr>
          <w:rFonts w:ascii="宋体" w:hAnsi="宋体" w:cs="宋体"/>
          <w:sz w:val="21"/>
          <w:szCs w:val="21"/>
        </w:rPr>
        <w:t xml:space="preserve">4</w:t>
      </w:r>
      <w:r>
        <w:rPr>
          <w:rFonts w:hint="eastAsia" w:ascii="宋体" w:hAnsi="宋体" w:cs="宋体"/>
          <w:sz w:val="21"/>
          <w:szCs w:val="21"/>
        </w:rPr>
        <w:t xml:space="preserve">、凡涉及采购文件的补充说明和修改，均以苏州市政府采购网最后发布的内容为准。</w:t>
      </w:r>
      <w:r/>
    </w:p>
    <w:p>
      <w:pPr>
        <w:ind w:firstLine="422"/>
        <w:spacing w:line="360" w:lineRule="auto"/>
        <w:tabs>
          <w:tab w:val="left" w:pos="420" w:leader="none"/>
        </w:tabs>
        <w:rPr>
          <w:rFonts w:ascii="宋体" w:hAnsi="宋体" w:cs="宋体"/>
          <w:b/>
          <w:bCs/>
          <w:sz w:val="24"/>
          <w:szCs w:val="24"/>
        </w:rPr>
      </w:pPr>
      <w:r>
        <w:rPr>
          <w:rFonts w:hint="eastAsia" w:ascii="宋体" w:hAnsi="宋体" w:cs="宋体"/>
          <w:b/>
          <w:bCs/>
          <w:sz w:val="21"/>
          <w:szCs w:val="21"/>
        </w:rPr>
        <w:t xml:space="preserve">八、凡涉及采购文件的补充说明和修改，均以网上发布的通知为准。</w:t>
      </w:r>
      <w:r/>
    </w:p>
    <w:p>
      <w:r/>
      <w:r/>
    </w:p>
    <w:p>
      <w:r>
        <w:br w:type="page" w:clear="all"/>
      </w:r>
      <w:r/>
    </w:p>
    <w:p>
      <w:pPr>
        <w:pStyle w:val="722"/>
        <w:ind w:left="0" w:firstLine="0"/>
        <w:jc w:val="center"/>
        <w:rPr>
          <w:rFonts w:ascii="宋体" w:hAnsi="宋体" w:cs="宋体"/>
          <w:b/>
          <w:sz w:val="44"/>
          <w:szCs w:val="44"/>
          <w:lang w:val="zh-CN"/>
        </w:rPr>
      </w:pPr>
      <w:r/>
      <w:bookmarkStart w:id="18" w:name="_Toc68611036"/>
      <w:r/>
      <w:bookmarkStart w:id="19" w:name="_Toc73000675"/>
      <w:r/>
      <w:bookmarkStart w:id="20" w:name="_Toc14106"/>
      <w:r>
        <w:rPr>
          <w:rFonts w:hint="eastAsia"/>
          <w:b/>
          <w:sz w:val="44"/>
          <w:szCs w:val="44"/>
        </w:rPr>
        <w:t xml:space="preserve">第三章</w:t>
      </w:r>
      <w:bookmarkStart w:id="21" w:name="投标文件格式"/>
      <w:r/>
      <w:bookmarkEnd w:id="21"/>
      <w:r>
        <w:rPr>
          <w:rFonts w:hint="eastAsia"/>
          <w:b/>
          <w:sz w:val="44"/>
          <w:szCs w:val="44"/>
        </w:rPr>
        <w:t xml:space="preserve">响应文件格式</w:t>
      </w:r>
      <w:bookmarkEnd w:id="18"/>
      <w:r/>
      <w:bookmarkEnd w:id="19"/>
      <w:r/>
      <w:bookmarkEnd w:id="20"/>
      <w:r/>
      <w:r/>
    </w:p>
    <w:p>
      <w:pPr>
        <w:jc w:val="left"/>
        <w:spacing w:line="440" w:lineRule="exact"/>
        <w:rPr>
          <w:rFonts w:ascii="宋体" w:hAnsi="宋体"/>
          <w:b/>
          <w:szCs w:val="21"/>
        </w:rPr>
      </w:pPr>
      <w:r>
        <w:rPr>
          <w:rFonts w:ascii="宋体" w:hAnsi="宋体"/>
          <w:b/>
          <w:szCs w:val="21"/>
        </w:rPr>
        <w:t xml:space="preserve">说明：</w:t>
      </w:r>
      <w:r/>
    </w:p>
    <w:p>
      <w:pPr>
        <w:pStyle w:val="934"/>
        <w:ind w:firstLine="420"/>
        <w:rPr>
          <w:sz w:val="21"/>
          <w:szCs w:val="21"/>
        </w:rPr>
      </w:pPr>
      <w:r>
        <w:rPr>
          <w:sz w:val="21"/>
          <w:szCs w:val="21"/>
        </w:rPr>
        <w:t xml:space="preserve">对本章所有的格式，</w:t>
      </w:r>
      <w:r>
        <w:rPr>
          <w:rFonts w:hint="eastAsia"/>
          <w:sz w:val="21"/>
          <w:szCs w:val="21"/>
        </w:rPr>
        <w:t xml:space="preserve">供应商</w:t>
      </w:r>
      <w:r>
        <w:rPr>
          <w:sz w:val="21"/>
          <w:szCs w:val="21"/>
        </w:rPr>
        <w:t xml:space="preserve">可根据自身情况进行补充和修改，但补充和修改不得造成与本格式内容有实质性的违背。</w:t>
      </w:r>
      <w:r/>
    </w:p>
    <w:p>
      <w:pPr>
        <w:rPr>
          <w:rFonts w:ascii="宋体" w:hAnsi="宋体"/>
          <w:b/>
          <w:szCs w:val="21"/>
        </w:rPr>
      </w:pPr>
      <w:r>
        <w:rPr>
          <w:rFonts w:ascii="宋体" w:hAnsi="宋体"/>
          <w:b/>
          <w:szCs w:val="21"/>
        </w:rPr>
      </w:r>
      <w:r/>
    </w:p>
    <w:p>
      <w:pPr>
        <w:rPr>
          <w:rFonts w:ascii="宋体" w:hAnsi="宋体"/>
          <w:b/>
          <w:szCs w:val="21"/>
        </w:rPr>
      </w:pPr>
      <w:r>
        <w:rPr>
          <w:rFonts w:ascii="宋体" w:hAnsi="宋体"/>
          <w:b/>
          <w:szCs w:val="21"/>
        </w:rPr>
      </w:r>
      <w:r/>
    </w:p>
    <w:p>
      <w:pPr>
        <w:pStyle w:val="722"/>
        <w:ind w:left="0" w:firstLine="0"/>
        <w:spacing w:before="0" w:after="0" w:line="360" w:lineRule="auto"/>
        <w:rPr>
          <w:rFonts w:ascii="宋体" w:hAnsi="宋体"/>
          <w:b/>
          <w:sz w:val="21"/>
          <w:szCs w:val="21"/>
        </w:rPr>
      </w:pPr>
      <w:r>
        <w:rPr>
          <w:rFonts w:ascii="宋体" w:hAnsi="宋体"/>
          <w:b/>
          <w:sz w:val="21"/>
          <w:szCs w:val="21"/>
        </w:rPr>
        <w:t xml:space="preserve">附件</w:t>
      </w:r>
      <w:r>
        <w:rPr>
          <w:rFonts w:hint="eastAsia" w:ascii="宋体" w:hAnsi="宋体"/>
          <w:b/>
          <w:sz w:val="21"/>
          <w:szCs w:val="21"/>
        </w:rPr>
        <w:t xml:space="preserve">1.开标一览表</w:t>
      </w:r>
      <w:r/>
    </w:p>
    <w:p>
      <w:pPr>
        <w:spacing w:line="360" w:lineRule="auto"/>
        <w:rPr>
          <w:rFonts w:ascii="宋体" w:hAnsi="宋体"/>
          <w:szCs w:val="21"/>
        </w:rPr>
      </w:pPr>
      <w:r>
        <w:rPr>
          <w:rFonts w:ascii="宋体" w:hAnsi="宋体"/>
          <w:szCs w:val="21"/>
        </w:rPr>
      </w:r>
      <w:r/>
    </w:p>
    <w:p>
      <w:pPr>
        <w:jc w:val="center"/>
        <w:spacing w:line="360" w:lineRule="auto"/>
        <w:rPr>
          <w:rFonts w:ascii="宋体" w:hAnsi="宋体"/>
          <w:b/>
          <w:szCs w:val="21"/>
        </w:rPr>
      </w:pPr>
      <w:r>
        <w:rPr>
          <w:rFonts w:hint="eastAsia" w:ascii="宋体" w:hAnsi="宋体"/>
          <w:b/>
          <w:szCs w:val="21"/>
        </w:rPr>
        <w:t xml:space="preserve">开标一览表（总报价）</w:t>
      </w:r>
      <w:r/>
    </w:p>
    <w:p>
      <w:pPr>
        <w:pStyle w:val="928"/>
      </w:pPr>
      <w:r/>
      <w:r/>
    </w:p>
    <w:p>
      <w:pPr>
        <w:pStyle w:val="928"/>
      </w:pPr>
      <w:r/>
      <w:r/>
    </w:p>
    <w:p>
      <w:pPr>
        <w:spacing w:line="360" w:lineRule="auto"/>
        <w:rPr>
          <w:rFonts w:ascii="宋体" w:hAnsi="宋体" w:cs="宋体"/>
          <w:sz w:val="24"/>
        </w:rPr>
      </w:pPr>
      <w:r>
        <w:rPr>
          <w:rFonts w:hint="eastAsia" w:ascii="宋体" w:hAnsi="宋体" w:cs="宋体"/>
          <w:sz w:val="24"/>
        </w:rPr>
        <w:t xml:space="preserve">项目名称：          </w:t>
      </w:r>
      <w:r/>
    </w:p>
    <w:p>
      <w:pPr>
        <w:spacing w:line="360" w:lineRule="auto"/>
        <w:rPr>
          <w:rFonts w:ascii="宋体" w:hAnsi="宋体" w:cs="宋体"/>
          <w:sz w:val="24"/>
        </w:rPr>
      </w:pPr>
      <w:r>
        <w:rPr>
          <w:rFonts w:hint="eastAsia" w:ascii="宋体" w:hAnsi="宋体" w:cs="宋体"/>
          <w:sz w:val="24"/>
        </w:rPr>
        <w:t xml:space="preserve">采购编号：                                       报价单位：人民币</w:t>
      </w:r>
      <w:r>
        <w:rPr>
          <w:rFonts w:hint="eastAsia" w:ascii="宋体" w:hAnsi="宋体" w:cs="宋体"/>
          <w:b/>
          <w:sz w:val="24"/>
        </w:rPr>
        <w:t xml:space="preserve">万元</w:t>
      </w:r>
      <w:r/>
    </w:p>
    <w:tbl>
      <w:tblPr>
        <w:tblStyle w:val="704"/>
        <w:tblW w:w="94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993"/>
        <w:gridCol w:w="1670"/>
        <w:gridCol w:w="2270"/>
        <w:gridCol w:w="1276"/>
        <w:gridCol w:w="2444"/>
      </w:tblGrid>
      <w:tr>
        <w:trPr>
          <w:cantSplit/>
          <w:jc w:val="center"/>
          <w:trHeight w:val="567"/>
        </w:trPr>
        <w:tc>
          <w:tcPr>
            <w:tcBorders>
              <w:top w:val="single" w:color="auto" w:sz="4" w:space="0"/>
              <w:left w:val="single" w:color="auto" w:sz="4" w:space="0"/>
              <w:bottom w:val="single" w:color="auto" w:sz="4" w:space="0"/>
              <w:right w:val="single" w:color="auto" w:sz="4" w:space="0"/>
            </w:tcBorders>
            <w:tcW w:w="816" w:type="dxa"/>
            <w:vAlign w:val="center"/>
            <w:textDirection w:val="lrTb"/>
            <w:noWrap/>
          </w:tcPr>
          <w:p>
            <w:pPr>
              <w:jc w:val="center"/>
              <w:rPr>
                <w:rFonts w:ascii="宋体" w:hAnsi="宋体" w:cs="宋体"/>
                <w:sz w:val="24"/>
              </w:rPr>
            </w:pPr>
            <w:r>
              <w:rPr>
                <w:rFonts w:hint="eastAsia" w:ascii="宋体" w:hAnsi="宋体" w:cs="宋体"/>
                <w:sz w:val="24"/>
              </w:rPr>
              <w:t xml:space="preserve">序号</w:t>
            </w:r>
            <w:r/>
          </w:p>
        </w:tc>
        <w:tc>
          <w:tcPr>
            <w:gridSpan w:val="2"/>
            <w:tcBorders>
              <w:top w:val="single" w:color="auto" w:sz="4" w:space="0"/>
              <w:left w:val="single" w:color="auto" w:sz="4" w:space="0"/>
              <w:bottom w:val="single" w:color="auto" w:sz="4" w:space="0"/>
              <w:right w:val="single" w:color="auto" w:sz="4" w:space="0"/>
            </w:tcBorders>
            <w:tcW w:w="2663" w:type="dxa"/>
            <w:vAlign w:val="center"/>
            <w:textDirection w:val="lrTb"/>
            <w:noWrap/>
          </w:tcPr>
          <w:p>
            <w:pPr>
              <w:jc w:val="center"/>
              <w:rPr>
                <w:rFonts w:ascii="宋体" w:hAnsi="宋体" w:cs="宋体"/>
                <w:sz w:val="24"/>
              </w:rPr>
            </w:pPr>
            <w:r>
              <w:rPr>
                <w:rFonts w:hint="eastAsia" w:ascii="宋体" w:hAnsi="宋体" w:cs="宋体"/>
                <w:sz w:val="24"/>
              </w:rPr>
              <w:t xml:space="preserve">项目名称</w:t>
            </w:r>
            <w:r/>
          </w:p>
        </w:tc>
        <w:tc>
          <w:tcPr>
            <w:tcBorders>
              <w:top w:val="single" w:color="auto" w:sz="4" w:space="0"/>
              <w:left w:val="single" w:color="auto" w:sz="4" w:space="0"/>
              <w:bottom w:val="single" w:color="auto" w:sz="4" w:space="0"/>
              <w:right w:val="single" w:color="auto" w:sz="4" w:space="0"/>
            </w:tcBorders>
            <w:tcW w:w="2270" w:type="dxa"/>
            <w:vAlign w:val="center"/>
            <w:textDirection w:val="lrTb"/>
            <w:noWrap/>
          </w:tcPr>
          <w:p>
            <w:pPr>
              <w:jc w:val="center"/>
              <w:rPr>
                <w:rFonts w:ascii="宋体" w:hAnsi="宋体" w:cs="宋体"/>
                <w:sz w:val="24"/>
              </w:rPr>
            </w:pPr>
            <w:r>
              <w:rPr>
                <w:rFonts w:hint="eastAsia" w:ascii="宋体" w:hAnsi="宋体" w:cs="宋体"/>
                <w:sz w:val="24"/>
              </w:rPr>
              <w:t xml:space="preserve">响应报价（万元）</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rPr>
                <w:rFonts w:ascii="宋体" w:hAnsi="宋体" w:cs="宋体"/>
                <w:sz w:val="24"/>
              </w:rPr>
            </w:pPr>
            <w:r>
              <w:rPr>
                <w:rFonts w:hint="eastAsia" w:ascii="宋体" w:hAnsi="宋体" w:cs="宋体"/>
                <w:sz w:val="24"/>
              </w:rPr>
              <w:t xml:space="preserve">服务时间</w:t>
            </w:r>
            <w:r/>
          </w:p>
        </w:tc>
        <w:tc>
          <w:tcPr>
            <w:tcBorders>
              <w:top w:val="single" w:color="auto" w:sz="4" w:space="0"/>
              <w:left w:val="single" w:color="auto" w:sz="4" w:space="0"/>
              <w:bottom w:val="single" w:color="auto" w:sz="4" w:space="0"/>
              <w:right w:val="single" w:color="auto" w:sz="4" w:space="0"/>
            </w:tcBorders>
            <w:tcW w:w="2444" w:type="dxa"/>
            <w:vAlign w:val="center"/>
            <w:textDirection w:val="lrTb"/>
            <w:noWrap/>
          </w:tcPr>
          <w:p>
            <w:pPr>
              <w:jc w:val="center"/>
              <w:rPr>
                <w:rFonts w:ascii="宋体" w:hAnsi="宋体" w:cs="宋体"/>
                <w:sz w:val="24"/>
              </w:rPr>
            </w:pPr>
            <w:r>
              <w:rPr>
                <w:rFonts w:hint="eastAsia" w:ascii="宋体" w:hAnsi="宋体" w:cs="宋体"/>
                <w:sz w:val="24"/>
              </w:rPr>
              <w:t xml:space="preserve">备注</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816" w:type="dxa"/>
            <w:vAlign w:val="center"/>
            <w:textDirection w:val="lrTb"/>
            <w:noWrap/>
          </w:tcPr>
          <w:p>
            <w:pPr>
              <w:jc w:val="center"/>
              <w:spacing w:line="320" w:lineRule="exact"/>
              <w:rPr>
                <w:rFonts w:ascii="宋体" w:hAnsi="宋体" w:cs="宋体"/>
                <w:sz w:val="24"/>
              </w:rPr>
            </w:pPr>
            <w:r>
              <w:rPr>
                <w:rFonts w:hint="eastAsia" w:ascii="宋体" w:hAnsi="宋体" w:cs="宋体"/>
                <w:sz w:val="24"/>
              </w:rPr>
              <w:t xml:space="preserve">1</w:t>
            </w:r>
            <w:r/>
          </w:p>
        </w:tc>
        <w:tc>
          <w:tcPr>
            <w:gridSpan w:val="2"/>
            <w:tcBorders>
              <w:top w:val="single" w:color="auto" w:sz="4" w:space="0"/>
              <w:left w:val="single" w:color="auto" w:sz="4" w:space="0"/>
              <w:bottom w:val="single" w:color="auto" w:sz="4" w:space="0"/>
              <w:right w:val="single" w:color="auto" w:sz="4" w:space="0"/>
            </w:tcBorders>
            <w:tcW w:w="2663" w:type="dxa"/>
            <w:vAlign w:val="center"/>
            <w:textDirection w:val="lrTb"/>
            <w:noWrap/>
          </w:tcPr>
          <w:p>
            <w:pPr>
              <w:spacing w:line="320" w:lineRule="exact"/>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2270" w:type="dxa"/>
            <w:vAlign w:val="center"/>
            <w:textDirection w:val="lrTb"/>
            <w:noWrap/>
          </w:tcPr>
          <w:p>
            <w:pPr>
              <w:jc w:val="center"/>
              <w:spacing w:line="320" w:lineRule="exact"/>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spacing w:line="320" w:lineRule="exact"/>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2444" w:type="dxa"/>
            <w:vAlign w:val="center"/>
            <w:textDirection w:val="lrTb"/>
            <w:noWrap/>
          </w:tcPr>
          <w:p>
            <w:pPr>
              <w:jc w:val="center"/>
              <w:spacing w:line="320" w:lineRule="exact"/>
              <w:rPr>
                <w:rFonts w:ascii="宋体" w:hAnsi="宋体" w:cs="宋体"/>
                <w:sz w:val="24"/>
              </w:rPr>
            </w:pPr>
            <w:r>
              <w:rPr>
                <w:rFonts w:ascii="宋体" w:hAnsi="宋体" w:cs="宋体"/>
                <w:sz w:val="24"/>
              </w:rPr>
            </w:r>
            <w:r/>
          </w:p>
        </w:tc>
      </w:tr>
      <w:tr>
        <w:trPr>
          <w:cantSplit/>
          <w:jc w:val="center"/>
          <w:trHeight w:val="567"/>
        </w:trPr>
        <w:tc>
          <w:tcPr>
            <w:gridSpan w:val="6"/>
            <w:tcBorders>
              <w:top w:val="none" w:color="000000" w:sz="4" w:space="0"/>
              <w:left w:val="single" w:color="auto" w:sz="4" w:space="0"/>
              <w:bottom w:val="single" w:color="auto" w:sz="4" w:space="0"/>
              <w:right w:val="single" w:color="auto" w:sz="4" w:space="0"/>
            </w:tcBorders>
            <w:tcW w:w="9469" w:type="dxa"/>
            <w:vAlign w:val="center"/>
            <w:textDirection w:val="lrTb"/>
            <w:noWrap/>
          </w:tcPr>
          <w:p>
            <w:pPr>
              <w:spacing w:line="400" w:lineRule="exact"/>
              <w:rPr>
                <w:rFonts w:ascii="宋体" w:hAnsi="宋体" w:cs="宋体"/>
                <w:sz w:val="24"/>
              </w:rPr>
            </w:pPr>
            <w:r>
              <w:rPr>
                <w:rFonts w:hint="eastAsia" w:ascii="宋体" w:hAnsi="宋体" w:cs="宋体"/>
                <w:sz w:val="24"/>
              </w:rPr>
              <w:t xml:space="preserve">响应总报价（人民币大写）：                    ￥：</w:t>
            </w:r>
            <w:r/>
          </w:p>
        </w:tc>
      </w:tr>
      <w:tr>
        <w:trPr>
          <w:cantSplit/>
          <w:jc w:val="center"/>
          <w:trHeight w:val="567"/>
        </w:trPr>
        <w:tc>
          <w:tcPr>
            <w:gridSpan w:val="2"/>
            <w:tcBorders>
              <w:top w:val="single" w:color="auto" w:sz="4" w:space="0"/>
              <w:left w:val="single" w:color="auto" w:sz="4" w:space="0"/>
              <w:bottom w:val="single" w:color="auto" w:sz="4" w:space="0"/>
              <w:right w:val="single" w:color="auto" w:sz="4" w:space="0"/>
            </w:tcBorders>
            <w:tcW w:w="1809" w:type="dxa"/>
            <w:vAlign w:val="center"/>
            <w:textDirection w:val="lrTb"/>
            <w:noWrap/>
          </w:tcPr>
          <w:p>
            <w:pPr>
              <w:jc w:val="center"/>
              <w:spacing w:line="400" w:lineRule="exact"/>
              <w:rPr>
                <w:rFonts w:ascii="宋体" w:hAnsi="宋体" w:cs="宋体"/>
                <w:sz w:val="24"/>
              </w:rPr>
            </w:pPr>
            <w:r>
              <w:rPr>
                <w:rFonts w:hint="eastAsia" w:ascii="宋体" w:hAnsi="宋体" w:cs="宋体"/>
                <w:sz w:val="24"/>
              </w:rPr>
              <w:t xml:space="preserve">…</w:t>
            </w:r>
            <w:r/>
          </w:p>
        </w:tc>
        <w:tc>
          <w:tcPr>
            <w:gridSpan w:val="4"/>
            <w:tcBorders>
              <w:top w:val="single" w:color="auto" w:sz="4" w:space="0"/>
              <w:left w:val="single" w:color="auto" w:sz="4" w:space="0"/>
              <w:bottom w:val="single" w:color="auto" w:sz="4" w:space="0"/>
              <w:right w:val="single" w:color="auto" w:sz="4" w:space="0"/>
            </w:tcBorders>
            <w:tcW w:w="7660" w:type="dxa"/>
            <w:vAlign w:val="center"/>
            <w:textDirection w:val="lrTb"/>
            <w:noWrap/>
          </w:tcPr>
          <w:p>
            <w:pPr>
              <w:spacing w:line="400" w:lineRule="exact"/>
              <w:rPr>
                <w:rFonts w:ascii="宋体" w:hAnsi="宋体" w:cs="宋体"/>
                <w:sz w:val="24"/>
              </w:rPr>
            </w:pPr>
            <w:r>
              <w:rPr>
                <w:rFonts w:ascii="宋体" w:hAnsi="宋体" w:cs="宋体"/>
                <w:sz w:val="24"/>
              </w:rPr>
            </w:r>
            <w:r/>
          </w:p>
        </w:tc>
      </w:tr>
    </w:tbl>
    <w:p>
      <w:pPr>
        <w:ind w:firstLine="240"/>
        <w:spacing w:line="360" w:lineRule="auto"/>
        <w:rPr>
          <w:rFonts w:ascii="宋体" w:hAnsi="宋体" w:cs="宋体"/>
          <w:sz w:val="24"/>
        </w:rPr>
      </w:pPr>
      <w:r>
        <w:rPr>
          <w:rFonts w:hint="eastAsia" w:ascii="宋体" w:hAnsi="宋体" w:cs="宋体"/>
          <w:sz w:val="24"/>
          <w:lang w:val="zh-CN"/>
        </w:rPr>
        <w:t xml:space="preserve">乙方签章：</w:t>
      </w:r>
      <w:r/>
    </w:p>
    <w:p>
      <w:pPr>
        <w:ind w:firstLine="210"/>
        <w:spacing w:line="360" w:lineRule="auto"/>
        <w:rPr>
          <w:rFonts w:ascii="宋体" w:hAnsi="宋体" w:cs="宋体"/>
          <w:sz w:val="24"/>
        </w:rPr>
      </w:pPr>
      <w:r>
        <w:rPr>
          <w:rFonts w:hint="eastAsia" w:ascii="宋体" w:hAnsi="宋体" w:cs="宋体"/>
          <w:sz w:val="24"/>
          <w:lang w:val="zh-CN"/>
        </w:rPr>
        <w:t xml:space="preserve">法定代表人或代理人：（签字或盖章）</w:t>
      </w:r>
      <w:r/>
    </w:p>
    <w:p>
      <w:pPr>
        <w:ind w:firstLine="210"/>
        <w:spacing w:line="360" w:lineRule="auto"/>
        <w:rPr>
          <w:rFonts w:ascii="宋体" w:hAnsi="宋体" w:cs="宋体"/>
          <w:sz w:val="24"/>
        </w:rPr>
      </w:pPr>
      <w:r>
        <w:rPr>
          <w:rFonts w:hint="eastAsia" w:ascii="宋体" w:hAnsi="宋体" w:cs="宋体"/>
          <w:sz w:val="24"/>
          <w:lang w:val="zh-CN"/>
        </w:rPr>
        <w:t xml:space="preserve">日期：年月日 </w:t>
      </w:r>
      <w:r/>
    </w:p>
    <w:p>
      <w:pPr>
        <w:ind w:right="300" w:firstLine="2310"/>
        <w:jc w:val="left"/>
        <w:spacing w:line="360" w:lineRule="auto"/>
        <w:rPr>
          <w:rFonts w:ascii="宋体" w:hAnsi="宋体" w:cs="宋体"/>
          <w:szCs w:val="21"/>
          <w:lang w:val="zh-CN"/>
        </w:rPr>
      </w:pPr>
      <w:r>
        <w:rPr>
          <w:rFonts w:ascii="宋体" w:hAnsi="宋体" w:cs="宋体"/>
          <w:szCs w:val="21"/>
          <w:lang w:val="zh-CN"/>
        </w:rPr>
      </w:r>
      <w:r/>
    </w:p>
    <w:p>
      <w:pPr>
        <w:ind w:right="-200"/>
        <w:jc w:val="right"/>
        <w:spacing w:line="360" w:lineRule="auto"/>
        <w:rPr>
          <w:rFonts w:ascii="宋体" w:hAnsi="宋体"/>
          <w:b/>
          <w:szCs w:val="21"/>
        </w:rPr>
      </w:pPr>
      <w:r>
        <w:rPr>
          <w:rFonts w:ascii="宋体" w:hAnsi="宋体"/>
          <w:b/>
          <w:szCs w:val="21"/>
        </w:rPr>
      </w:r>
      <w:r/>
    </w:p>
    <w:p>
      <w:pPr>
        <w:ind w:right="40"/>
        <w:spacing w:line="360" w:lineRule="auto"/>
        <w:rPr>
          <w:rFonts w:ascii="宋体" w:cs="宋体"/>
          <w:sz w:val="22"/>
          <w:lang w:val="zh-CN"/>
        </w:rPr>
      </w:pPr>
      <w:r>
        <w:rPr>
          <w:rFonts w:ascii="宋体" w:cs="宋体"/>
          <w:sz w:val="22"/>
          <w:lang w:val="zh-CN"/>
        </w:rPr>
      </w:r>
      <w:r/>
    </w:p>
    <w:p>
      <w:pPr>
        <w:ind w:right="40"/>
        <w:jc w:val="center"/>
        <w:spacing w:line="360" w:lineRule="auto"/>
        <w:rPr>
          <w:rFonts w:ascii="宋体" w:cs="宋体"/>
          <w:sz w:val="22"/>
          <w:lang w:val="zh-CN"/>
        </w:rPr>
      </w:pPr>
      <w:r>
        <w:rPr>
          <w:rFonts w:ascii="宋体" w:cs="宋体"/>
          <w:sz w:val="22"/>
          <w:lang w:val="zh-CN"/>
        </w:rPr>
      </w:r>
      <w:r/>
    </w:p>
    <w:p>
      <w:pPr>
        <w:jc w:val="left"/>
        <w:spacing w:line="360" w:lineRule="auto"/>
      </w:pPr>
      <w:r/>
      <w:r/>
    </w:p>
    <w:p>
      <w:pPr>
        <w:rPr>
          <w:rFonts w:ascii="宋体" w:hAnsi="宋体"/>
          <w:b/>
          <w:szCs w:val="21"/>
        </w:rPr>
      </w:pPr>
      <w:r>
        <w:rPr>
          <w:rFonts w:hint="eastAsia" w:ascii="宋体" w:hAnsi="宋体"/>
          <w:b/>
          <w:szCs w:val="21"/>
        </w:rPr>
        <w:br w:type="page" w:clear="all"/>
      </w:r>
      <w:r/>
    </w:p>
    <w:p>
      <w:pPr>
        <w:pStyle w:val="722"/>
        <w:ind w:left="0" w:firstLine="0"/>
        <w:spacing w:before="0" w:after="0" w:line="360" w:lineRule="auto"/>
        <w:rPr>
          <w:rFonts w:ascii="宋体" w:hAnsi="宋体"/>
          <w:sz w:val="21"/>
          <w:szCs w:val="21"/>
        </w:rPr>
      </w:pPr>
      <w:r>
        <w:rPr>
          <w:rFonts w:ascii="宋体" w:hAnsi="宋体"/>
          <w:b/>
          <w:sz w:val="21"/>
          <w:szCs w:val="21"/>
        </w:rPr>
        <w:t xml:space="preserve">附件</w:t>
      </w:r>
      <w:r>
        <w:rPr>
          <w:rFonts w:hint="eastAsia" w:ascii="宋体" w:hAnsi="宋体"/>
          <w:b/>
          <w:sz w:val="21"/>
          <w:szCs w:val="21"/>
        </w:rPr>
        <w:t xml:space="preserve">2.</w:t>
      </w:r>
      <w:r>
        <w:rPr>
          <w:rFonts w:ascii="宋体" w:hAnsi="宋体"/>
          <w:b/>
          <w:sz w:val="21"/>
          <w:szCs w:val="21"/>
        </w:rPr>
        <w:t xml:space="preserve">关于资格文件的声明函</w:t>
      </w:r>
      <w:r/>
    </w:p>
    <w:p>
      <w:pPr>
        <w:ind w:firstLine="420"/>
        <w:jc w:val="center"/>
        <w:rPr>
          <w:rFonts w:ascii="宋体" w:hAnsi="宋体"/>
          <w:b/>
          <w:szCs w:val="21"/>
        </w:rPr>
      </w:pPr>
      <w:r>
        <w:rPr>
          <w:rFonts w:ascii="宋体" w:hAnsi="宋体"/>
          <w:b/>
          <w:szCs w:val="21"/>
        </w:rPr>
      </w:r>
      <w:r/>
    </w:p>
    <w:p>
      <w:pPr>
        <w:ind w:firstLine="420"/>
        <w:jc w:val="center"/>
        <w:rPr>
          <w:rFonts w:ascii="宋体" w:hAnsi="宋体"/>
          <w:b/>
          <w:szCs w:val="21"/>
        </w:rPr>
      </w:pPr>
      <w:r>
        <w:rPr>
          <w:rFonts w:ascii="宋体" w:hAnsi="宋体"/>
          <w:b/>
          <w:szCs w:val="21"/>
        </w:rPr>
        <w:t xml:space="preserve">关于资格文件的声明函</w:t>
      </w:r>
      <w:r/>
    </w:p>
    <w:p>
      <w:pPr>
        <w:ind w:firstLine="420"/>
        <w:jc w:val="center"/>
        <w:rPr>
          <w:rFonts w:ascii="宋体" w:hAnsi="宋体"/>
          <w:szCs w:val="21"/>
        </w:rPr>
      </w:pPr>
      <w:r>
        <w:rPr>
          <w:rFonts w:ascii="宋体" w:hAnsi="宋体"/>
          <w:szCs w:val="21"/>
        </w:rPr>
      </w:r>
      <w:r/>
    </w:p>
    <w:p>
      <w:pPr>
        <w:jc w:val="left"/>
        <w:spacing w:line="360" w:lineRule="auto"/>
        <w:rPr>
          <w:rFonts w:ascii="宋体" w:hAnsi="宋体"/>
          <w:szCs w:val="21"/>
        </w:rPr>
      </w:pPr>
      <w:r>
        <w:rPr>
          <w:rFonts w:hint="eastAsia" w:ascii="宋体" w:hAnsi="宋体"/>
          <w:szCs w:val="21"/>
          <w:u w:val="single"/>
        </w:rPr>
        <w:t xml:space="preserve">苏州市润芳招投标咨询服务有限公司</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本公司愿就由贵</w:t>
      </w:r>
      <w:r>
        <w:rPr>
          <w:rFonts w:hint="eastAsia" w:ascii="宋体" w:hAnsi="宋体"/>
          <w:szCs w:val="21"/>
        </w:rPr>
        <w:t xml:space="preserve">中心</w:t>
      </w:r>
      <w:r>
        <w:rPr>
          <w:rFonts w:ascii="宋体" w:hAnsi="宋体"/>
          <w:szCs w:val="21"/>
        </w:rPr>
        <w:t xml:space="preserve">组织实施的编号为</w:t>
      </w:r>
      <w:r>
        <w:rPr>
          <w:rFonts w:hint="eastAsia" w:ascii="宋体" w:hAnsi="宋体"/>
          <w:szCs w:val="21"/>
          <w:u w:val="single"/>
          <w:lang w:val="en-US" w:eastAsia="zh-CN"/>
        </w:rPr>
        <w:t xml:space="preserve">         </w:t>
      </w:r>
      <w:r>
        <w:rPr>
          <w:rFonts w:ascii="宋体" w:hAnsi="宋体"/>
          <w:szCs w:val="21"/>
        </w:rPr>
        <w:t xml:space="preserve">号（</w:t>
      </w:r>
      <w:r>
        <w:rPr>
          <w:rFonts w:hint="eastAsia" w:ascii="宋体" w:hAnsi="宋体"/>
          <w:szCs w:val="21"/>
        </w:rPr>
        <w:t xml:space="preserve">项目</w:t>
      </w:r>
      <w:r>
        <w:rPr>
          <w:rFonts w:ascii="宋体" w:hAnsi="宋体"/>
          <w:szCs w:val="21"/>
        </w:rPr>
        <w:t xml:space="preserve">编号）的</w:t>
      </w:r>
      <w:r>
        <w:rPr>
          <w:rFonts w:hint="eastAsia" w:ascii="宋体" w:hAnsi="宋体"/>
          <w:szCs w:val="21"/>
        </w:rPr>
        <w:t xml:space="preserve">磋商采购</w:t>
      </w:r>
      <w:r>
        <w:rPr>
          <w:rFonts w:ascii="宋体" w:hAnsi="宋体"/>
          <w:szCs w:val="21"/>
        </w:rPr>
        <w:t xml:space="preserve">活动进行</w:t>
      </w:r>
      <w:r>
        <w:rPr>
          <w:rFonts w:hint="eastAsia" w:ascii="宋体" w:hAnsi="宋体"/>
          <w:szCs w:val="21"/>
        </w:rPr>
        <w:t xml:space="preserve">响应</w:t>
      </w:r>
      <w:r>
        <w:rPr>
          <w:rFonts w:ascii="宋体" w:hAnsi="宋体"/>
          <w:szCs w:val="21"/>
        </w:rPr>
        <w:t xml:space="preserve">。本公司所提交的</w:t>
      </w:r>
      <w:r>
        <w:rPr>
          <w:rFonts w:hint="eastAsia" w:ascii="宋体" w:hAnsi="宋体"/>
          <w:szCs w:val="21"/>
        </w:rPr>
        <w:t xml:space="preserve">响应</w:t>
      </w:r>
      <w:r>
        <w:rPr>
          <w:rFonts w:ascii="宋体" w:hAnsi="宋体"/>
          <w:szCs w:val="21"/>
        </w:rPr>
        <w:t xml:space="preserve">文件中所有关于</w:t>
      </w:r>
      <w:r>
        <w:rPr>
          <w:rFonts w:hint="eastAsia" w:ascii="宋体" w:hAnsi="宋体"/>
          <w:szCs w:val="21"/>
        </w:rPr>
        <w:t xml:space="preserve">磋商</w:t>
      </w:r>
      <w:r>
        <w:rPr>
          <w:rFonts w:ascii="宋体" w:hAnsi="宋体"/>
          <w:szCs w:val="21"/>
        </w:rPr>
        <w:t xml:space="preserve">资格的文件、证明和陈述均是真实的、准确的。若与真实情况不符，本公司愿意承担由此而产生的一切后果。</w:t>
      </w:r>
      <w:r/>
    </w:p>
    <w:p>
      <w:pPr>
        <w:ind w:firstLine="420"/>
        <w:jc w:val="left"/>
        <w:spacing w:line="360" w:lineRule="auto"/>
        <w:rPr>
          <w:rFonts w:ascii="宋体" w:hAnsi="宋体"/>
          <w:szCs w:val="21"/>
        </w:rPr>
      </w:pPr>
      <w:r>
        <w:rPr>
          <w:rFonts w:ascii="宋体" w:hAnsi="宋体"/>
          <w:szCs w:val="21"/>
        </w:rPr>
      </w:r>
      <w:r/>
    </w:p>
    <w:p>
      <w:pPr>
        <w:ind w:firstLine="420"/>
        <w:jc w:val="left"/>
        <w:spacing w:line="360" w:lineRule="auto"/>
        <w:rPr>
          <w:rFonts w:ascii="宋体" w:hAnsi="宋体"/>
          <w:szCs w:val="21"/>
        </w:rPr>
      </w:pPr>
      <w:r>
        <w:rPr>
          <w:rFonts w:ascii="宋体" w:hAnsi="宋体"/>
          <w:szCs w:val="21"/>
        </w:rPr>
      </w:r>
      <w:r/>
    </w:p>
    <w:p>
      <w:pPr>
        <w:ind w:right="-200"/>
        <w:jc w:val="center"/>
        <w:spacing w:line="360" w:lineRule="auto"/>
        <w:rPr>
          <w:rFonts w:ascii="宋体" w:hAnsi="宋体" w:cs="宋体"/>
          <w:szCs w:val="21"/>
          <w:lang w:val="zh-CN"/>
        </w:rPr>
      </w:pPr>
      <w:r>
        <w:rPr>
          <w:rFonts w:hint="eastAsia" w:ascii="宋体" w:hAnsi="宋体" w:cs="宋体"/>
          <w:szCs w:val="21"/>
        </w:rPr>
        <w:t xml:space="preserve">供应商名称</w:t>
      </w:r>
      <w:r>
        <w:rPr>
          <w:rFonts w:ascii="宋体" w:hAnsi="宋体"/>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年月   日</w:t>
      </w:r>
      <w:r/>
    </w:p>
    <w:p>
      <w:pPr>
        <w:rPr>
          <w:rFonts w:ascii="Times New Roman" w:hAnsi="Times New Roman"/>
          <w:b/>
        </w:rPr>
        <w:outlineLvl w:val="0"/>
      </w:pPr>
      <w:r>
        <w:rPr>
          <w:rFonts w:ascii="Times New Roman" w:hAnsi="Times New Roman"/>
          <w:b/>
        </w:rPr>
        <w:br w:type="page" w:clear="all"/>
      </w:r>
      <w:r>
        <w:rPr>
          <w:rFonts w:ascii="Times New Roman" w:hAnsi="Times New Roman"/>
          <w:b/>
        </w:rPr>
        <w:t xml:space="preserve">附件</w:t>
      </w:r>
      <w:r>
        <w:rPr>
          <w:rFonts w:hint="eastAsia" w:ascii="Times New Roman" w:hAnsi="Times New Roman"/>
          <w:b/>
        </w:rPr>
        <w:t xml:space="preserve">3.磋商响应单位</w:t>
      </w:r>
      <w:r>
        <w:rPr>
          <w:rFonts w:ascii="Times New Roman" w:hAnsi="Times New Roman"/>
          <w:b/>
        </w:rPr>
        <w:t xml:space="preserve">基本情况表</w:t>
      </w:r>
      <w:r/>
    </w:p>
    <w:p>
      <w:pPr>
        <w:jc w:val="left"/>
        <w:spacing w:line="360" w:lineRule="auto"/>
        <w:rPr>
          <w:rFonts w:ascii="Times New Roman" w:hAnsi="Times New Roman"/>
        </w:rPr>
      </w:pPr>
      <w:r>
        <w:rPr>
          <w:rFonts w:ascii="Times New Roman" w:hAnsi="Times New Roman"/>
        </w:rPr>
      </w:r>
      <w:r/>
    </w:p>
    <w:tbl>
      <w:tblPr>
        <w:tblStyle w:val="704"/>
        <w:tblW w:w="9073" w:type="dxa"/>
        <w:jc w:val="center"/>
        <w:tblLayout w:type="fixed"/>
        <w:tblCellMar>
          <w:left w:w="0" w:type="dxa"/>
          <w:top w:w="0" w:type="dxa"/>
          <w:right w:w="0" w:type="dxa"/>
          <w:bottom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rPr>
                <w:rFonts w:ascii="Times New Roman" w:hAnsi="Times New Roman"/>
              </w:rPr>
            </w:pPr>
            <w:r>
              <w:rPr>
                <w:rFonts w:ascii="Times New Roman" w:hAnsi="Times New Roman"/>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tcPr>
          <w:p>
            <w:pPr>
              <w:jc w:val="center"/>
              <w:spacing w:line="360" w:lineRule="auto"/>
              <w:rPr>
                <w:rFonts w:ascii="Times New Roman" w:hAnsi="Times New Roman"/>
              </w:rPr>
            </w:pPr>
            <w:r>
              <w:rPr>
                <w:rFonts w:ascii="Times New Roman" w:hAnsi="Times New Roman"/>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tcPr>
          <w:p>
            <w:pPr>
              <w:jc w:val="center"/>
              <w:spacing w:line="360" w:lineRule="auto"/>
              <w:rPr>
                <w:rFonts w:ascii="Times New Roman" w:hAnsi="Times New Roman"/>
              </w:rPr>
            </w:pPr>
            <w:r>
              <w:rPr>
                <w:rFonts w:ascii="Times New Roman" w:hAnsi="Times New Roman"/>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tcPr>
          <w:p>
            <w:pPr>
              <w:jc w:val="center"/>
              <w:spacing w:line="360" w:lineRule="auto"/>
              <w:rPr>
                <w:rFonts w:ascii="Times New Roman" w:hAnsi="Times New Roman"/>
              </w:rPr>
            </w:pPr>
            <w:r>
              <w:rPr>
                <w:rFonts w:ascii="Times New Roman" w:hAnsi="Times New Roman"/>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rPr>
                <w:rFonts w:ascii="Times New Roman" w:hAnsi="Times New Roman"/>
              </w:rPr>
            </w:pPr>
            <w:r>
              <w:rPr>
                <w:rFonts w:ascii="Times New Roman" w:hAnsi="Times New Roman"/>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tcPr>
          <w:p>
            <w:pPr>
              <w:jc w:val="center"/>
              <w:spacing w:line="360" w:lineRule="auto"/>
              <w:rPr>
                <w:rFonts w:ascii="Times New Roman" w:hAnsi="Times New Roman"/>
              </w:rPr>
            </w:pPr>
            <w:r>
              <w:rPr>
                <w:rFonts w:ascii="Times New Roman" w:hAnsi="Times New Roman"/>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tcPr>
          <w:p>
            <w:pPr>
              <w:jc w:val="center"/>
              <w:spacing w:line="360" w:lineRule="auto"/>
              <w:rPr>
                <w:rFonts w:ascii="Times New Roman" w:hAnsi="Times New Roman"/>
              </w:rPr>
            </w:pPr>
            <w:r>
              <w:rPr>
                <w:rFonts w:ascii="Times New Roman" w:hAnsi="Times New Roman"/>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tcPr>
          <w:p>
            <w:pPr>
              <w:ind w:firstLine="2160"/>
              <w:jc w:val="center"/>
              <w:spacing w:line="360" w:lineRule="auto"/>
              <w:rPr>
                <w:rFonts w:ascii="Times New Roman" w:hAnsi="Times New Roman"/>
              </w:rPr>
            </w:pPr>
            <w:r>
              <w:rPr>
                <w:rFonts w:ascii="Times New Roman" w:hAnsi="Times New Roman"/>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rPr>
                <w:rFonts w:ascii="Times New Roman" w:hAnsi="Times New Roman"/>
              </w:rPr>
            </w:pPr>
            <w:r>
              <w:rPr>
                <w:rFonts w:ascii="Times New Roman" w:hAnsi="Times New Roman"/>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rPr>
                <w:rFonts w:ascii="Times New Roman" w:hAnsi="Times New Roman"/>
              </w:rPr>
            </w:pPr>
            <w:r>
              <w:rPr>
                <w:rFonts w:ascii="Times New Roman" w:hAnsi="Times New Roman"/>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rPr>
                <w:rFonts w:ascii="Times New Roman" w:hAnsi="Times New Roman"/>
              </w:rPr>
            </w:pPr>
            <w:r>
              <w:rPr>
                <w:rFonts w:hint="eastAsia" w:ascii="Times New Roman" w:hAnsi="Times New Roman"/>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tcPr>
          <w:p>
            <w:pPr>
              <w:jc w:val="center"/>
              <w:spacing w:line="360" w:lineRule="auto"/>
              <w:rPr>
                <w:rFonts w:ascii="Times New Roman" w:hAnsi="Times New Roman"/>
              </w:rPr>
            </w:pPr>
            <w:r>
              <w:rPr>
                <w:rFonts w:hint="eastAsia" w:ascii="Times New Roman" w:hAnsi="Times New Roman"/>
              </w:rPr>
              <w:t xml:space="preserve">202</w:t>
            </w:r>
            <w:r>
              <w:rPr>
                <w:rFonts w:hint="eastAsia" w:ascii="Times New Roman" w:hAnsi="Times New Roman"/>
                <w:lang w:val="en-US" w:eastAsia="zh-CN"/>
              </w:rPr>
              <w:t xml:space="preserve">5</w:t>
            </w:r>
            <w:r>
              <w:rPr>
                <w:rFonts w:hint="eastAsia" w:ascii="Times New Roman" w:hAnsi="Times New Roman"/>
              </w:rPr>
              <w:t xml:space="preserve">年  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tcPr>
          <w:p>
            <w:pPr>
              <w:jc w:val="center"/>
              <w:spacing w:line="360" w:lineRule="auto"/>
              <w:rPr>
                <w:rFonts w:ascii="Times New Roman" w:hAnsi="Times New Roman"/>
              </w:rPr>
            </w:pPr>
            <w:r>
              <w:rPr>
                <w:rFonts w:ascii="Times New Roman" w:hAnsi="Times New Roman"/>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tcPr>
          <w:p>
            <w:pPr>
              <w:jc w:val="center"/>
              <w:spacing w:line="360" w:lineRule="auto"/>
              <w:rPr>
                <w:rFonts w:ascii="Times New Roman" w:hAnsi="Times New Roman"/>
              </w:rPr>
            </w:pPr>
            <w:r>
              <w:rPr>
                <w:rFonts w:ascii="Times New Roman" w:hAnsi="Times New Roman"/>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rPr>
                <w:rFonts w:ascii="Times New Roman" w:hAnsi="Times New Roman"/>
              </w:rPr>
            </w:pPr>
            <w:r>
              <w:rPr>
                <w:rFonts w:ascii="Times New Roman" w:hAnsi="Times New Roman"/>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tcPr>
          <w:p>
            <w:pPr>
              <w:jc w:val="center"/>
              <w:spacing w:line="360" w:lineRule="auto"/>
              <w:rPr>
                <w:rFonts w:ascii="Times New Roman" w:hAnsi="Times New Roman"/>
              </w:rPr>
            </w:pPr>
            <w:r>
              <w:rPr>
                <w:rFonts w:ascii="Times New Roman" w:hAnsi="Times New Roman"/>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tcPr>
          <w:p>
            <w:pPr>
              <w:jc w:val="center"/>
              <w:spacing w:line="360" w:lineRule="auto"/>
              <w:rPr>
                <w:rFonts w:ascii="Times New Roman" w:hAnsi="Times New Roman"/>
              </w:rPr>
            </w:pPr>
            <w:r>
              <w:rPr>
                <w:rFonts w:ascii="Times New Roman" w:hAnsi="Times New Roman"/>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tcPr>
          <w:p>
            <w:pPr>
              <w:ind w:firstLine="420"/>
              <w:spacing w:line="360" w:lineRule="auto"/>
              <w:rPr>
                <w:rFonts w:ascii="Times New Roman" w:hAnsi="Times New Roman"/>
              </w:rPr>
            </w:pPr>
            <w:r>
              <w:rPr>
                <w:rFonts w:hint="eastAsia" w:ascii="Times New Roman" w:hAnsi="Times New Roman"/>
              </w:rPr>
              <w:t xml:space="preserve">202</w:t>
            </w:r>
            <w:r>
              <w:rPr>
                <w:rFonts w:hint="eastAsia" w:ascii="Times New Roman" w:hAnsi="Times New Roman"/>
                <w:lang w:val="en-US" w:eastAsia="zh-CN"/>
              </w:rPr>
              <w:t xml:space="preserve">5</w:t>
            </w:r>
            <w:r>
              <w:rPr>
                <w:rFonts w:ascii="Times New Roman" w:hAnsi="Times New Roman"/>
              </w:rPr>
              <w:t xml:space="preserve">年</w:t>
            </w:r>
            <w:r>
              <w:rPr>
                <w:rFonts w:hint="eastAsia" w:ascii="Times New Roman" w:hAnsi="Times New Roman"/>
              </w:rPr>
              <w:t xml:space="preserve">  </w:t>
            </w:r>
            <w:r>
              <w:rPr>
                <w:rFonts w:ascii="Times New Roman" w:hAnsi="Times New Roman"/>
              </w:rPr>
              <w:t xml:space="preserve">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rPr>
                <w:rFonts w:ascii="Times New Roman" w:hAnsi="Times New Roman"/>
              </w:rPr>
            </w:pPr>
            <w:r>
              <w:rPr>
                <w:rFonts w:ascii="Times New Roman" w:hAnsi="Times New Roman"/>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rPr>
                <w:rFonts w:ascii="Times New Roman" w:hAnsi="Times New Roman"/>
              </w:rPr>
            </w:pPr>
            <w:r>
              <w:rPr>
                <w:rFonts w:ascii="Times New Roman" w:hAnsi="Times New Roman"/>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rPr>
                <w:rFonts w:ascii="Times New Roman" w:hAnsi="Times New Roman"/>
              </w:rPr>
            </w:pPr>
            <w:r>
              <w:rPr>
                <w:rFonts w:ascii="Times New Roman" w:hAnsi="Times New Roman"/>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rPr>
                <w:rFonts w:ascii="Times New Roman" w:hAnsi="Times New Roman"/>
              </w:rPr>
            </w:pPr>
            <w:r>
              <w:rPr>
                <w:rFonts w:ascii="Times New Roman" w:hAnsi="Times New Roman"/>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rPr>
                <w:rFonts w:ascii="Times New Roman" w:hAnsi="Times New Roman"/>
              </w:rPr>
            </w:pPr>
            <w:r>
              <w:rPr>
                <w:rFonts w:ascii="Times New Roman" w:hAnsi="Times New Roman"/>
              </w:rP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rPr>
                <w:rFonts w:ascii="Times New Roman" w:hAnsi="Times New Roman"/>
              </w:rPr>
            </w:pPr>
            <w:r>
              <w:rPr>
                <w:rFonts w:ascii="Times New Roman" w:hAnsi="Times New Roman"/>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rPr>
                <w:rFonts w:ascii="Times New Roman" w:hAnsi="Times New Roman"/>
              </w:rPr>
            </w:pPr>
            <w:r>
              <w:rPr>
                <w:rFonts w:ascii="Times New Roman" w:hAnsi="Times New Roman"/>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rPr>
                <w:rFonts w:ascii="Times New Roman" w:hAnsi="Times New Roman"/>
              </w:rPr>
            </w:pPr>
            <w:r>
              <w:rPr>
                <w:rFonts w:ascii="Times New Roman" w:hAnsi="Times New Roman"/>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rPr>
                <w:rFonts w:ascii="Times New Roman" w:hAnsi="Times New Roman"/>
              </w:rPr>
            </w:pPr>
            <w:r>
              <w:rPr>
                <w:rFonts w:ascii="Times New Roman" w:hAnsi="Times New Roman"/>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rPr>
                <w:rFonts w:ascii="Times New Roman" w:hAnsi="Times New Roman"/>
              </w:rPr>
            </w:pPr>
            <w:r>
              <w:rPr>
                <w:rFonts w:ascii="Times New Roman" w:hAnsi="Times New Roman"/>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rPr>
                <w:rFonts w:ascii="Times New Roman" w:hAnsi="Times New Roman"/>
              </w:rPr>
            </w:pPr>
            <w:r>
              <w:rPr>
                <w:rFonts w:ascii="Times New Roman" w:hAnsi="Times New Roman"/>
              </w:rP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rPr>
                <w:rFonts w:ascii="Times New Roman" w:hAnsi="Times New Roman"/>
              </w:rPr>
            </w:pPr>
            <w:r>
              <w:rPr>
                <w:rFonts w:ascii="Times New Roman" w:hAnsi="Times New Roman"/>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rPr>
                <w:rFonts w:ascii="Times New Roman" w:hAnsi="Times New Roman"/>
              </w:rPr>
            </w:pPr>
            <w:r>
              <w:rPr>
                <w:rFonts w:ascii="Times New Roman" w:hAnsi="Times New Roman"/>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rPr>
                <w:rFonts w:ascii="Times New Roman" w:hAnsi="Times New Roman"/>
              </w:rPr>
            </w:pPr>
            <w:r>
              <w:rPr>
                <w:rFonts w:ascii="Times New Roman" w:hAnsi="Times New Roman"/>
              </w:rPr>
            </w:r>
            <w:r/>
          </w:p>
        </w:tc>
      </w:tr>
    </w:tbl>
    <w:p>
      <w:pPr>
        <w:ind w:firstLine="315"/>
        <w:jc w:val="left"/>
        <w:spacing w:line="360" w:lineRule="auto"/>
        <w:rPr>
          <w:rFonts w:ascii="Times New Roman" w:hAnsi="Times New Roman"/>
          <w:b/>
        </w:rPr>
      </w:pPr>
      <w:r>
        <w:rPr>
          <w:rFonts w:hint="eastAsia" w:ascii="Times New Roman" w:hAnsi="Times New Roman"/>
        </w:rPr>
        <w:t xml:space="preserve">注：</w:t>
      </w:r>
      <w:r>
        <w:rPr>
          <w:rFonts w:ascii="Times New Roman" w:hAnsi="Times New Roman"/>
        </w:rPr>
        <w:t xml:space="preserve">若事项较多，供应商可根据实际情况另纸说明。</w:t>
      </w:r>
      <w:r/>
    </w:p>
    <w:p>
      <w:pPr>
        <w:ind w:firstLine="368"/>
        <w:jc w:val="left"/>
        <w:spacing w:line="360" w:lineRule="auto"/>
        <w:rPr>
          <w:rFonts w:ascii="Times New Roman" w:hAnsi="Times New Roman"/>
        </w:rPr>
      </w:pPr>
      <w:r>
        <w:rPr>
          <w:rFonts w:ascii="Times New Roman" w:hAnsi="Times New Roman"/>
        </w:rPr>
      </w:r>
      <w:r/>
    </w:p>
    <w:p>
      <w:pPr>
        <w:ind w:right="-200"/>
        <w:jc w:val="center"/>
        <w:spacing w:line="360" w:lineRule="auto"/>
        <w:rPr>
          <w:rFonts w:ascii="宋体" w:hAnsi="宋体" w:cs="宋体"/>
          <w:szCs w:val="21"/>
          <w:lang w:val="zh-CN"/>
        </w:rPr>
      </w:pPr>
      <w:r>
        <w:rPr>
          <w:rFonts w:hint="eastAsia" w:ascii="宋体" w:hAnsi="宋体" w:cs="宋体"/>
          <w:szCs w:val="21"/>
        </w:rPr>
        <w:t xml:space="preserve">供应商名称</w:t>
      </w:r>
      <w:r>
        <w:rPr>
          <w:rFonts w:ascii="宋体" w:hAnsi="宋体"/>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年月   日</w:t>
      </w:r>
      <w:r/>
    </w:p>
    <w:p>
      <w:pPr>
        <w:rPr>
          <w:rFonts w:ascii="宋体" w:hAnsi="宋体"/>
          <w:b/>
          <w:szCs w:val="21"/>
        </w:rPr>
      </w:pPr>
      <w:r>
        <w:rPr>
          <w:rFonts w:hint="eastAsia" w:ascii="宋体" w:hAnsi="宋体"/>
          <w:b/>
          <w:szCs w:val="21"/>
        </w:rPr>
        <w:br w:type="page" w:clear="all"/>
      </w:r>
      <w:r/>
    </w:p>
    <w:p>
      <w:pPr>
        <w:pStyle w:val="722"/>
        <w:ind w:left="0" w:firstLine="0"/>
        <w:spacing w:before="0" w:after="0" w:line="360" w:lineRule="auto"/>
        <w:rPr>
          <w:rFonts w:ascii="宋体" w:hAnsi="宋体"/>
          <w:b/>
          <w:sz w:val="21"/>
          <w:szCs w:val="21"/>
        </w:rPr>
      </w:pPr>
      <w:r>
        <w:rPr>
          <w:rFonts w:hint="eastAsia" w:ascii="宋体" w:hAnsi="宋体"/>
          <w:b/>
          <w:sz w:val="21"/>
          <w:szCs w:val="21"/>
        </w:rPr>
        <w:t xml:space="preserve">附件4.磋商响应函</w:t>
      </w:r>
      <w:r/>
    </w:p>
    <w:p>
      <w:pPr>
        <w:ind w:firstLine="3162"/>
        <w:jc w:val="left"/>
        <w:spacing w:line="440" w:lineRule="exact"/>
        <w:rPr>
          <w:rFonts w:ascii="宋体" w:hAnsi="宋体"/>
          <w:b/>
          <w:szCs w:val="21"/>
        </w:rPr>
      </w:pPr>
      <w:r>
        <w:rPr>
          <w:rFonts w:hint="eastAsia" w:ascii="宋体" w:hAnsi="宋体"/>
          <w:b/>
          <w:szCs w:val="21"/>
        </w:rPr>
        <w:t xml:space="preserve">磋商响应函</w:t>
      </w:r>
      <w:r/>
    </w:p>
    <w:p>
      <w:pPr>
        <w:ind w:firstLine="4638"/>
        <w:jc w:val="left"/>
        <w:spacing w:line="440" w:lineRule="exact"/>
        <w:rPr>
          <w:rFonts w:ascii="宋体" w:hAnsi="宋体"/>
          <w:b/>
          <w:szCs w:val="21"/>
        </w:rPr>
      </w:pPr>
      <w:r>
        <w:rPr>
          <w:rFonts w:ascii="宋体" w:hAnsi="宋体"/>
          <w:b/>
          <w:szCs w:val="21"/>
        </w:rPr>
      </w:r>
      <w:r/>
    </w:p>
    <w:p>
      <w:pPr>
        <w:jc w:val="left"/>
        <w:spacing w:line="440" w:lineRule="exact"/>
        <w:rPr>
          <w:rFonts w:ascii="宋体" w:hAnsi="宋体" w:cs="宋体"/>
          <w:szCs w:val="21"/>
          <w:lang w:val="zh-CN"/>
        </w:rPr>
      </w:pPr>
      <w:r>
        <w:rPr>
          <w:rFonts w:hint="eastAsia" w:ascii="宋体" w:hAnsi="宋体" w:cs="宋体"/>
          <w:szCs w:val="21"/>
          <w:lang w:val="zh-CN"/>
        </w:rPr>
        <w:t xml:space="preserve">致：</w:t>
      </w:r>
      <w:r>
        <w:rPr>
          <w:rFonts w:hint="eastAsia" w:ascii="宋体" w:hAnsi="宋体" w:cs="宋体"/>
          <w:szCs w:val="21"/>
          <w:u w:val="single"/>
          <w:lang w:val="zh-CN"/>
        </w:rPr>
        <w:t xml:space="preserve">苏州市润芳招投标咨询服务有限公司</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我方收到贵中心</w:t>
      </w:r>
      <w:r>
        <w:rPr>
          <w:rFonts w:hint="eastAsia" w:ascii="宋体" w:hAnsi="宋体"/>
          <w:szCs w:val="21"/>
          <w:u w:val="single"/>
          <w:lang w:val="en-US" w:eastAsia="zh-CN"/>
        </w:rPr>
        <w:t xml:space="preserve">         </w:t>
      </w:r>
      <w:r>
        <w:rPr>
          <w:rFonts w:hint="eastAsia" w:ascii="宋体" w:hAnsi="宋体" w:cs="宋体"/>
          <w:szCs w:val="21"/>
          <w:lang w:val="zh-CN"/>
        </w:rPr>
        <w:t xml:space="preserve">（项目编号）采购文件，经仔细阅读和研究，我方决定参加磋商活动，并向贵中心作出如下承诺：</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1、我方愿意按照采购文件的一切要求，提供本项目的所有内容，我方的报价包括完成本项工作所需的一切应有费用。</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2、如果我方的磋商响应文件被接受，我方将严格履行采购文件中规定的每一项要求，严格履行合同的责任和义务，保证按期、按质履行合同，完成合同所规定的全部内容。</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3、我方已详细审查并同意采购文件及更正文件（若有）中的规定。我方完全理解并同意放弃对这方面有不明及误解的权利。</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4、本磋商响应文件的有效期限为</w:t>
      </w:r>
      <w:r>
        <w:rPr>
          <w:rFonts w:hint="eastAsia" w:ascii="宋体" w:hAnsi="宋体"/>
          <w:szCs w:val="21"/>
        </w:rPr>
        <w:t xml:space="preserve">响应文件接收</w:t>
      </w:r>
      <w:r>
        <w:rPr>
          <w:rFonts w:hint="eastAsia" w:ascii="宋体" w:hAnsi="宋体" w:cs="宋体"/>
          <w:szCs w:val="21"/>
          <w:lang w:val="zh-CN"/>
        </w:rPr>
        <w:t xml:space="preserve">截止时间之日起</w:t>
      </w:r>
      <w:r>
        <w:rPr>
          <w:rFonts w:ascii="宋体" w:hAnsi="宋体" w:cs="宋体"/>
          <w:szCs w:val="21"/>
          <w:lang w:val="zh-CN"/>
        </w:rPr>
        <w:t xml:space="preserve">60</w:t>
      </w:r>
      <w:r>
        <w:rPr>
          <w:rFonts w:hint="eastAsia" w:ascii="宋体" w:hAnsi="宋体" w:cs="宋体"/>
          <w:szCs w:val="21"/>
          <w:lang w:val="zh-CN"/>
        </w:rPr>
        <w:t xml:space="preserve">天。</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5、我方保证所提交的响应文件中所有资料均是真实的、准确的。若与真实情况不符，我方愿意承担由此而产生的一切后果。</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6、我方承诺若在机器码检查中被查出存在与其他投标供应商机器码一致情形的，愿意承担由此产生的一切后果，包括但不限于不得参与后续本项目因故废标后重新开展的相关采购活动。</w:t>
      </w:r>
      <w:r/>
    </w:p>
    <w:p>
      <w:pPr>
        <w:ind w:firstLine="420"/>
        <w:jc w:val="left"/>
        <w:spacing w:line="440" w:lineRule="exact"/>
        <w:rPr>
          <w:rFonts w:ascii="宋体" w:hAnsi="宋体" w:cs="宋体"/>
          <w:szCs w:val="21"/>
          <w:lang w:val="zh-CN"/>
        </w:rPr>
      </w:pPr>
      <w:r>
        <w:rPr>
          <w:rFonts w:hint="eastAsia" w:ascii="宋体" w:hAnsi="宋体" w:cs="宋体"/>
          <w:szCs w:val="21"/>
        </w:rPr>
        <w:t xml:space="preserve">7</w:t>
      </w:r>
      <w:r>
        <w:rPr>
          <w:rFonts w:hint="eastAsia" w:ascii="宋体" w:hAnsi="宋体" w:cs="宋体"/>
          <w:szCs w:val="21"/>
          <w:lang w:val="zh-CN"/>
        </w:rPr>
        <w:t xml:space="preserve">、我方承诺磋商响应文件在磋商开始后的全过程中保持有效，不作任何更改和变动。</w:t>
      </w:r>
      <w:r/>
    </w:p>
    <w:p>
      <w:pPr>
        <w:ind w:firstLine="420"/>
        <w:jc w:val="left"/>
        <w:spacing w:line="440" w:lineRule="exact"/>
        <w:rPr>
          <w:rFonts w:ascii="宋体" w:hAnsi="宋体" w:cs="宋体"/>
          <w:szCs w:val="21"/>
          <w:lang w:val="zh-CN"/>
        </w:rPr>
      </w:pPr>
      <w:r>
        <w:rPr>
          <w:rFonts w:hint="eastAsia" w:ascii="宋体" w:hAnsi="宋体" w:cs="宋体"/>
          <w:szCs w:val="21"/>
        </w:rPr>
        <w:t xml:space="preserve">8</w:t>
      </w:r>
      <w:r>
        <w:rPr>
          <w:rFonts w:hint="eastAsia" w:ascii="宋体" w:hAnsi="宋体" w:cs="宋体"/>
          <w:szCs w:val="21"/>
          <w:lang w:val="zh-CN"/>
        </w:rPr>
        <w:t xml:space="preserve">、我方承诺满足《中华人民共和国政府采购法》第二十二条规定的所有条件。</w:t>
      </w:r>
      <w:r/>
    </w:p>
    <w:p>
      <w:pPr>
        <w:ind w:firstLine="420"/>
        <w:jc w:val="left"/>
        <w:spacing w:line="440" w:lineRule="exact"/>
        <w:rPr>
          <w:rFonts w:ascii="宋体" w:hAnsi="宋体" w:cs="宋体"/>
          <w:szCs w:val="21"/>
          <w:lang w:val="zh-CN"/>
        </w:rPr>
      </w:pPr>
      <w:r>
        <w:rPr>
          <w:rFonts w:hint="eastAsia" w:ascii="宋体" w:hAnsi="宋体" w:cs="宋体"/>
          <w:szCs w:val="21"/>
        </w:rPr>
        <w:t xml:space="preserve">9</w:t>
      </w:r>
      <w:r>
        <w:rPr>
          <w:rFonts w:hint="eastAsia" w:ascii="宋体" w:hAnsi="宋体" w:cs="宋体"/>
          <w:szCs w:val="21"/>
          <w:lang w:val="zh-CN"/>
        </w:rPr>
        <w:t xml:space="preserve">、与本磋商相应文件有关的通讯地址：</w:t>
      </w:r>
      <w:r/>
    </w:p>
    <w:p>
      <w:pPr>
        <w:ind w:firstLine="210"/>
        <w:jc w:val="left"/>
        <w:spacing w:line="440" w:lineRule="exact"/>
        <w:rPr>
          <w:rFonts w:ascii="宋体" w:hAnsi="宋体" w:cs="宋体"/>
          <w:szCs w:val="21"/>
          <w:lang w:val="zh-CN"/>
        </w:rPr>
      </w:pPr>
      <w:r>
        <w:rPr>
          <w:rFonts w:hint="eastAsia" w:ascii="宋体" w:hAnsi="宋体" w:cs="宋体"/>
          <w:szCs w:val="21"/>
          <w:lang w:val="zh-CN"/>
        </w:rPr>
        <w:t xml:space="preserve">单   位：                                              联 系 人： </w:t>
      </w:r>
      <w:r/>
    </w:p>
    <w:p>
      <w:pPr>
        <w:ind w:firstLine="210"/>
        <w:jc w:val="left"/>
        <w:spacing w:line="440" w:lineRule="exact"/>
        <w:rPr>
          <w:rFonts w:ascii="宋体" w:hAnsi="宋体" w:cs="宋体"/>
          <w:szCs w:val="21"/>
          <w:lang w:val="zh-CN"/>
        </w:rPr>
      </w:pPr>
      <w:r>
        <w:rPr>
          <w:rFonts w:hint="eastAsia" w:ascii="宋体" w:hAnsi="宋体" w:cs="宋体"/>
          <w:szCs w:val="21"/>
          <w:lang w:val="zh-CN"/>
        </w:rPr>
        <w:t xml:space="preserve">地   址：                                              邮政编码： </w:t>
      </w:r>
      <w:r/>
    </w:p>
    <w:p>
      <w:pPr>
        <w:ind w:firstLine="210"/>
        <w:jc w:val="left"/>
        <w:spacing w:line="440" w:lineRule="exact"/>
        <w:rPr>
          <w:rFonts w:ascii="宋体" w:hAnsi="宋体" w:cs="宋体"/>
          <w:szCs w:val="21"/>
          <w:lang w:val="zh-CN"/>
        </w:rPr>
      </w:pPr>
      <w:r>
        <w:rPr>
          <w:rFonts w:hint="eastAsia" w:ascii="宋体" w:hAnsi="宋体" w:cs="宋体"/>
          <w:szCs w:val="21"/>
          <w:lang w:val="zh-CN"/>
        </w:rPr>
        <w:t xml:space="preserve">联系电话：                                             电子邮箱：</w:t>
      </w:r>
      <w:r/>
    </w:p>
    <w:p>
      <w:pPr>
        <w:ind w:right="840" w:firstLine="210"/>
        <w:jc w:val="center"/>
        <w:spacing w:line="440" w:lineRule="exact"/>
        <w:rPr>
          <w:rFonts w:ascii="宋体" w:hAnsi="宋体" w:cs="宋体"/>
          <w:szCs w:val="21"/>
          <w:lang w:val="zh-CN"/>
        </w:rPr>
      </w:pPr>
      <w:r>
        <w:rPr>
          <w:rFonts w:ascii="宋体" w:hAnsi="宋体" w:cs="宋体"/>
          <w:szCs w:val="21"/>
          <w:lang w:val="zh-CN"/>
        </w:rPr>
      </w:r>
      <w:r/>
    </w:p>
    <w:p>
      <w:pPr>
        <w:ind w:right="-200"/>
        <w:jc w:val="center"/>
        <w:spacing w:line="360" w:lineRule="auto"/>
        <w:rPr>
          <w:rFonts w:ascii="宋体" w:hAnsi="宋体" w:cs="宋体"/>
          <w:szCs w:val="21"/>
          <w:lang w:val="zh-CN"/>
        </w:rPr>
      </w:pPr>
      <w:r>
        <w:rPr>
          <w:rFonts w:hint="eastAsia" w:ascii="宋体" w:hAnsi="宋体" w:cs="宋体"/>
          <w:szCs w:val="21"/>
        </w:rPr>
        <w:t xml:space="preserve">供应商名称</w:t>
      </w:r>
      <w:r>
        <w:rPr>
          <w:rFonts w:ascii="宋体" w:hAnsi="宋体"/>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年月   日</w:t>
      </w:r>
      <w:r/>
    </w:p>
    <w:p>
      <w:pPr>
        <w:ind w:right="-200"/>
        <w:jc w:val="right"/>
        <w:spacing w:line="360" w:lineRule="auto"/>
        <w:rPr>
          <w:rFonts w:ascii="宋体" w:hAnsi="宋体"/>
          <w:b/>
          <w:szCs w:val="21"/>
        </w:rPr>
      </w:pPr>
      <w:r>
        <w:rPr>
          <w:rFonts w:ascii="宋体" w:hAnsi="宋体"/>
          <w:b/>
          <w:szCs w:val="21"/>
        </w:rPr>
        <w:br w:type="page" w:clear="all"/>
      </w:r>
      <w:r/>
    </w:p>
    <w:p>
      <w:pPr>
        <w:pStyle w:val="722"/>
        <w:ind w:left="0" w:firstLine="0"/>
        <w:spacing w:before="0" w:after="0" w:line="360" w:lineRule="auto"/>
        <w:rPr>
          <w:rFonts w:ascii="宋体" w:hAnsi="宋体"/>
          <w:b/>
          <w:sz w:val="21"/>
          <w:szCs w:val="21"/>
        </w:rPr>
      </w:pPr>
      <w:r>
        <w:rPr>
          <w:rFonts w:ascii="宋体" w:hAnsi="宋体"/>
          <w:b/>
          <w:sz w:val="21"/>
          <w:szCs w:val="21"/>
        </w:rPr>
        <w:t xml:space="preserve">附件</w:t>
      </w:r>
      <w:r>
        <w:rPr>
          <w:rFonts w:hint="eastAsia" w:ascii="宋体" w:hAnsi="宋体"/>
          <w:b/>
          <w:sz w:val="21"/>
          <w:szCs w:val="21"/>
        </w:rPr>
        <w:t xml:space="preserve">5.磋商报价分析表</w:t>
      </w:r>
      <w:r/>
    </w:p>
    <w:p>
      <w:pPr>
        <w:jc w:val="center"/>
        <w:rPr>
          <w:rFonts w:ascii="宋体" w:hAnsi="宋体"/>
          <w:b/>
          <w:szCs w:val="21"/>
        </w:rPr>
      </w:pPr>
      <w:r>
        <w:rPr>
          <w:rFonts w:hint="eastAsia" w:ascii="宋体" w:hAnsi="宋体"/>
          <w:b/>
          <w:szCs w:val="21"/>
        </w:rPr>
        <w:t xml:space="preserve">磋商报价分析表</w:t>
      </w:r>
      <w:r/>
    </w:p>
    <w:p>
      <w:pPr>
        <w:jc w:val="center"/>
        <w:rPr>
          <w:rFonts w:ascii="宋体" w:hAnsi="宋体"/>
          <w:szCs w:val="21"/>
          <w:u w:val="single"/>
        </w:rPr>
      </w:pPr>
      <w:r>
        <w:rPr>
          <w:rFonts w:ascii="宋体" w:hAnsi="宋体"/>
          <w:szCs w:val="21"/>
          <w:u w:val="single"/>
        </w:rPr>
      </w:r>
      <w:r/>
    </w:p>
    <w:tbl>
      <w:tblPr>
        <w:tblStyle w:val="704"/>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400" w:lineRule="exact"/>
              <w:rPr>
                <w:rFonts w:ascii="宋体" w:hAnsi="宋体"/>
                <w:szCs w:val="21"/>
              </w:rPr>
            </w:pPr>
            <w:r>
              <w:rPr>
                <w:rFonts w:ascii="宋体" w:hAnsi="宋体"/>
                <w:szCs w:val="21"/>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tcPr>
          <w:p>
            <w:pPr>
              <w:jc w:val="center"/>
              <w:spacing w:line="400" w:lineRule="exact"/>
              <w:rPr>
                <w:rFonts w:ascii="宋体" w:hAnsi="宋体"/>
                <w:szCs w:val="21"/>
              </w:rPr>
            </w:pPr>
            <w:r>
              <w:rPr>
                <w:rFonts w:hint="eastAsia" w:ascii="宋体" w:hAnsi="宋体"/>
                <w:szCs w:val="21"/>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tcPr>
          <w:p>
            <w:pPr>
              <w:jc w:val="center"/>
              <w:spacing w:line="400" w:lineRule="exact"/>
              <w:rPr>
                <w:rFonts w:ascii="宋体" w:hAnsi="宋体"/>
                <w:szCs w:val="21"/>
              </w:rPr>
            </w:pPr>
            <w:r>
              <w:rPr>
                <w:rFonts w:hint="eastAsia" w:ascii="宋体" w:hAnsi="宋体"/>
                <w:szCs w:val="21"/>
              </w:rPr>
              <w:t xml:space="preserve">单位</w:t>
            </w:r>
            <w:r>
              <w:rPr>
                <w:rFonts w:ascii="宋体" w:hAnsi="宋体"/>
                <w:szCs w:val="21"/>
              </w:rPr>
              <w:t xml:space="preserve">/</w:t>
            </w:r>
            <w:r>
              <w:rPr>
                <w:rFonts w:hint="eastAsia" w:ascii="宋体" w:hAnsi="宋体"/>
                <w:szCs w:val="21"/>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tcPr>
          <w:p>
            <w:pPr>
              <w:jc w:val="center"/>
              <w:spacing w:line="400" w:lineRule="exact"/>
              <w:rPr>
                <w:rFonts w:ascii="宋体" w:hAnsi="宋体"/>
                <w:szCs w:val="21"/>
              </w:rPr>
            </w:pPr>
            <w:r>
              <w:rPr>
                <w:rFonts w:ascii="宋体" w:hAnsi="宋体"/>
                <w:szCs w:val="21"/>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tcPr>
          <w:p>
            <w:pPr>
              <w:jc w:val="center"/>
              <w:spacing w:line="400" w:lineRule="exact"/>
              <w:rPr>
                <w:rFonts w:ascii="宋体" w:hAnsi="宋体"/>
                <w:szCs w:val="21"/>
              </w:rPr>
            </w:pPr>
            <w:r>
              <w:rPr>
                <w:rFonts w:hint="eastAsia" w:ascii="宋体" w:hAnsi="宋体"/>
                <w:szCs w:val="21"/>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tcPr>
          <w:p>
            <w:pPr>
              <w:jc w:val="center"/>
              <w:spacing w:line="400" w:lineRule="exact"/>
              <w:rPr>
                <w:rFonts w:ascii="宋体" w:hAnsi="宋体"/>
                <w:szCs w:val="21"/>
              </w:rPr>
            </w:pPr>
            <w:r>
              <w:rPr>
                <w:rFonts w:hint="eastAsia" w:ascii="宋体" w:hAnsi="宋体"/>
                <w:szCs w:val="21"/>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400" w:lineRule="exact"/>
              <w:rPr>
                <w:rFonts w:ascii="宋体" w:hAnsi="宋体"/>
                <w:szCs w:val="21"/>
              </w:rPr>
            </w:pP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400" w:lineRule="exact"/>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400" w:lineRule="exact"/>
              <w:rPr>
                <w:rFonts w:ascii="宋体" w:hAnsi="宋体"/>
                <w:szCs w:val="21"/>
              </w:rPr>
            </w:pPr>
            <w:r>
              <w:rPr>
                <w:rFonts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400" w:lineRule="exact"/>
              <w:rPr>
                <w:rFonts w:ascii="宋体" w:hAnsi="宋体"/>
                <w:szCs w:val="21"/>
              </w:rPr>
            </w:pPr>
            <w:r>
              <w:rPr>
                <w:rFonts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400" w:lineRule="exact"/>
              <w:rPr>
                <w:rFonts w:ascii="宋体" w:hAnsi="宋体"/>
                <w:szCs w:val="21"/>
              </w:rPr>
            </w:pPr>
            <w:r>
              <w:rPr>
                <w:rFonts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400" w:lineRule="exact"/>
              <w:rPr>
                <w:rFonts w:ascii="宋体" w:hAnsi="宋体"/>
                <w:szCs w:val="21"/>
              </w:rPr>
            </w:pPr>
            <w:r>
              <w:rPr>
                <w:rFonts w:ascii="宋体" w:hAnsi="宋体"/>
                <w:szCs w:val="21"/>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tcPr>
          <w:p>
            <w:pPr>
              <w:jc w:val="center"/>
              <w:spacing w:line="400" w:lineRule="exact"/>
              <w:rPr>
                <w:rFonts w:ascii="宋体" w:hAnsi="宋体"/>
                <w:szCs w:val="21"/>
              </w:rPr>
            </w:pPr>
            <w:r>
              <w:rPr>
                <w:rFonts w:hint="eastAsia" w:ascii="宋体" w:hAnsi="宋体"/>
                <w:szCs w:val="21"/>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tcPr>
          <w:p>
            <w:pPr>
              <w:spacing w:line="400" w:lineRule="exact"/>
              <w:rPr>
                <w:rFonts w:ascii="宋体" w:hAnsi="宋体"/>
                <w:szCs w:val="21"/>
              </w:rPr>
            </w:pPr>
            <w:r>
              <w:rPr>
                <w:rFonts w:hint="eastAsia" w:ascii="宋体" w:hAnsi="宋体"/>
                <w:szCs w:val="21"/>
              </w:rPr>
              <w:t xml:space="preserve">人民币（小写） 元</w:t>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tcPr>
          <w:p>
            <w:pPr>
              <w:jc w:val="center"/>
              <w:spacing w:line="400" w:lineRule="exact"/>
              <w:rPr>
                <w:rFonts w:ascii="宋体" w:hAnsi="宋体"/>
                <w:szCs w:val="21"/>
              </w:rPr>
            </w:pPr>
            <w:r>
              <w:rPr>
                <w:rFonts w:hint="eastAsia" w:ascii="宋体" w:hAnsi="宋体"/>
                <w:szCs w:val="21"/>
              </w:rPr>
              <w:t xml:space="preserve">服务期限</w:t>
            </w:r>
            <w:r/>
          </w:p>
        </w:tc>
        <w:tc>
          <w:tcPr>
            <w:gridSpan w:val="4"/>
            <w:tcBorders>
              <w:top w:val="single" w:color="auto" w:sz="4" w:space="0"/>
              <w:left w:val="single" w:color="auto" w:sz="4" w:space="0"/>
              <w:bottom w:val="single" w:color="auto" w:sz="4" w:space="0"/>
              <w:right w:val="single" w:color="auto" w:sz="4" w:space="0"/>
            </w:tcBorders>
            <w:tcW w:w="6592" w:type="dxa"/>
            <w:vAlign w:val="center"/>
            <w:textDirection w:val="lrTb"/>
            <w:noWrap/>
          </w:tcPr>
          <w:p>
            <w:pPr>
              <w:spacing w:line="400" w:lineRule="exact"/>
              <w:rPr>
                <w:rFonts w:ascii="宋体" w:hAnsi="宋体"/>
                <w:szCs w:val="21"/>
              </w:rPr>
            </w:pPr>
            <w:r>
              <w:rPr>
                <w:rFonts w:ascii="宋体" w:hAnsi="宋体"/>
                <w:szCs w:val="21"/>
              </w:rPr>
            </w:r>
            <w:r/>
          </w:p>
        </w:tc>
      </w:tr>
    </w:tbl>
    <w:p>
      <w:pPr>
        <w:ind w:right="-200"/>
        <w:jc w:val="right"/>
        <w:rPr>
          <w:rFonts w:ascii="宋体" w:hAnsi="宋体" w:cs="宋体"/>
          <w:szCs w:val="21"/>
        </w:rPr>
      </w:pPr>
      <w:r>
        <w:rPr>
          <w:rFonts w:ascii="宋体" w:hAnsi="宋体" w:cs="宋体"/>
          <w:szCs w:val="21"/>
        </w:rPr>
      </w:r>
      <w:r/>
    </w:p>
    <w:p>
      <w:pPr>
        <w:ind w:right="-200"/>
        <w:jc w:val="right"/>
        <w:rPr>
          <w:rFonts w:ascii="宋体" w:hAnsi="宋体" w:cs="宋体"/>
          <w:szCs w:val="21"/>
        </w:rPr>
      </w:pPr>
      <w:r>
        <w:rPr>
          <w:rFonts w:ascii="宋体" w:hAnsi="宋体" w:cs="宋体"/>
          <w:szCs w:val="21"/>
        </w:rPr>
      </w:r>
      <w:r/>
    </w:p>
    <w:p>
      <w:pPr>
        <w:ind w:right="-200"/>
        <w:jc w:val="right"/>
        <w:rPr>
          <w:rFonts w:ascii="宋体" w:hAnsi="宋体" w:cs="宋体"/>
          <w:szCs w:val="21"/>
        </w:rPr>
      </w:pPr>
      <w:r>
        <w:rPr>
          <w:rFonts w:ascii="宋体" w:hAnsi="宋体" w:cs="宋体"/>
          <w:szCs w:val="21"/>
        </w:rPr>
      </w:r>
      <w:r/>
    </w:p>
    <w:p>
      <w:pPr>
        <w:ind w:right="-200"/>
        <w:jc w:val="right"/>
        <w:rPr>
          <w:rFonts w:ascii="宋体" w:hAnsi="宋体" w:cs="宋体"/>
          <w:szCs w:val="21"/>
        </w:rPr>
      </w:pPr>
      <w:r>
        <w:rPr>
          <w:rFonts w:ascii="宋体" w:hAnsi="宋体" w:cs="宋体"/>
          <w:szCs w:val="21"/>
        </w:rPr>
      </w:r>
      <w:r/>
    </w:p>
    <w:p>
      <w:pPr>
        <w:ind w:right="-200"/>
        <w:jc w:val="center"/>
        <w:spacing w:line="360" w:lineRule="auto"/>
        <w:rPr>
          <w:rFonts w:ascii="宋体" w:hAnsi="宋体" w:cs="宋体"/>
          <w:szCs w:val="21"/>
          <w:lang w:val="zh-CN"/>
        </w:rPr>
      </w:pPr>
      <w:r>
        <w:rPr>
          <w:rFonts w:hint="eastAsia" w:ascii="宋体" w:hAnsi="宋体" w:cs="宋体"/>
          <w:szCs w:val="21"/>
        </w:rPr>
        <w:t xml:space="preserve">供应商名称</w:t>
      </w:r>
      <w:r>
        <w:rPr>
          <w:rFonts w:ascii="宋体" w:hAnsi="宋体"/>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年月   日</w:t>
      </w:r>
      <w:r/>
    </w:p>
    <w:p>
      <w:pPr>
        <w:spacing w:line="360" w:lineRule="auto"/>
        <w:rPr>
          <w:rFonts w:ascii="宋体" w:hAnsi="宋体"/>
          <w:szCs w:val="21"/>
        </w:rPr>
      </w:pPr>
      <w:r>
        <w:rPr>
          <w:rFonts w:ascii="宋体" w:hAnsi="宋体"/>
          <w:szCs w:val="21"/>
        </w:rPr>
      </w:r>
      <w:r/>
    </w:p>
    <w:p>
      <w:pPr>
        <w:spacing w:line="360" w:lineRule="auto"/>
        <w:tabs>
          <w:tab w:val="left" w:pos="1320" w:leader="none"/>
        </w:tabs>
      </w:pPr>
      <w:r>
        <w:rPr>
          <w:rFonts w:hint="eastAsia" w:ascii="宋体" w:hAnsi="宋体" w:cs="宋体"/>
          <w:szCs w:val="21"/>
        </w:rPr>
        <w:t xml:space="preserve">注：1.本表中的报价为综合报价，应综合考量在承包期内综合服务的需要服务、设备、材料、人工、食宿、差旅、加班、税费、相关劳务支出等履行本合同所发生的全部费用以及乙方的企业利润、税金和政策性文件规定及合同包含的所有风险、责任等各项应有费用。</w:t>
      </w:r>
      <w:r/>
    </w:p>
    <w:p>
      <w:pPr>
        <w:spacing w:line="360" w:lineRule="auto"/>
        <w:tabs>
          <w:tab w:val="left" w:pos="1320" w:leader="none"/>
        </w:tabs>
        <w:rPr>
          <w:rFonts w:ascii="宋体" w:hAnsi="宋体"/>
          <w:szCs w:val="21"/>
        </w:rPr>
      </w:pPr>
      <w:r>
        <w:rPr>
          <w:rFonts w:hint="eastAsia" w:ascii="宋体" w:hAnsi="宋体"/>
          <w:szCs w:val="21"/>
        </w:rPr>
        <w:t xml:space="preserve">2.磋商报价分析表包含响应单位各项成本核算和投入的成本明细，合计金额应与开标一览表金额一致；否则，以开标一览表为准。</w:t>
      </w:r>
      <w:r/>
    </w:p>
    <w:p>
      <w:pPr>
        <w:spacing w:line="360" w:lineRule="auto"/>
        <w:tabs>
          <w:tab w:val="left" w:pos="1320" w:leader="none"/>
        </w:tabs>
      </w:pPr>
      <w:r>
        <w:rPr>
          <w:rFonts w:hint="eastAsia" w:ascii="宋体" w:hAnsi="宋体"/>
          <w:bCs/>
          <w:szCs w:val="21"/>
        </w:rPr>
        <w:t xml:space="preserve">3</w:t>
      </w:r>
      <w:r>
        <w:rPr>
          <w:rFonts w:hint="eastAsia" w:ascii="宋体" w:hAnsi="宋体"/>
          <w:szCs w:val="21"/>
        </w:rPr>
        <w:t xml:space="preserve">.</w:t>
      </w:r>
      <w:r>
        <w:rPr>
          <w:rFonts w:hint="eastAsia" w:ascii="宋体" w:hAnsi="宋体"/>
          <w:bCs/>
          <w:szCs w:val="21"/>
        </w:rPr>
        <w:t xml:space="preserve">若事</w:t>
      </w:r>
      <w:r>
        <w:rPr>
          <w:rFonts w:hint="eastAsia" w:ascii="宋体" w:hAnsi="宋体"/>
          <w:szCs w:val="21"/>
        </w:rPr>
        <w:t xml:space="preserve">项较多，供应商可根据实际情况另纸说明。</w:t>
      </w:r>
      <w:r/>
    </w:p>
    <w:p>
      <w:pPr>
        <w:spacing w:line="360" w:lineRule="auto"/>
        <w:tabs>
          <w:tab w:val="left" w:pos="1320" w:leader="none"/>
        </w:tabs>
        <w:rPr>
          <w:rFonts w:ascii="宋体" w:hAnsi="宋体"/>
          <w:b/>
          <w:szCs w:val="21"/>
        </w:rPr>
      </w:pPr>
      <w:r>
        <w:rPr>
          <w:rFonts w:ascii="宋体" w:hAnsi="宋体"/>
          <w:b/>
          <w:szCs w:val="21"/>
        </w:rPr>
        <w:br w:type="page" w:clear="all"/>
      </w:r>
      <w:r/>
    </w:p>
    <w:p>
      <w:pPr>
        <w:pStyle w:val="722"/>
        <w:ind w:left="0" w:firstLine="0"/>
        <w:spacing w:before="0" w:after="0" w:line="360" w:lineRule="auto"/>
        <w:rPr>
          <w:rFonts w:ascii="宋体" w:hAnsi="宋体"/>
          <w:b/>
          <w:sz w:val="21"/>
          <w:szCs w:val="21"/>
        </w:rPr>
      </w:pPr>
      <w:r>
        <w:rPr>
          <w:rFonts w:ascii="宋体" w:hAnsi="宋体"/>
          <w:b/>
          <w:sz w:val="21"/>
          <w:szCs w:val="21"/>
        </w:rPr>
        <w:t xml:space="preserve">附件</w:t>
      </w:r>
      <w:r>
        <w:rPr>
          <w:rFonts w:hint="eastAsia" w:ascii="宋体" w:hAnsi="宋体"/>
          <w:b/>
          <w:sz w:val="21"/>
          <w:szCs w:val="21"/>
        </w:rPr>
        <w:t xml:space="preserve">6.</w:t>
      </w:r>
      <w:r>
        <w:rPr>
          <w:rFonts w:ascii="宋体" w:hAnsi="宋体"/>
          <w:b/>
          <w:sz w:val="21"/>
          <w:szCs w:val="21"/>
        </w:rPr>
        <w:t xml:space="preserve">法定代表人授权委托书</w:t>
      </w:r>
      <w:r/>
    </w:p>
    <w:p>
      <w:pPr>
        <w:ind w:firstLine="3584"/>
        <w:spacing w:before="100" w:beforeAutospacing="1" w:after="100" w:afterAutospacing="1" w:line="480" w:lineRule="auto"/>
        <w:rPr>
          <w:rFonts w:ascii="宋体" w:hAnsi="宋体"/>
          <w:b/>
          <w:szCs w:val="21"/>
        </w:rPr>
      </w:pPr>
      <w:r>
        <w:rPr>
          <w:rFonts w:ascii="宋体" w:hAnsi="宋体"/>
          <w:b/>
          <w:szCs w:val="21"/>
        </w:rPr>
        <w:t xml:space="preserve">法定代表人授权委托书</w:t>
      </w:r>
      <w:r/>
    </w:p>
    <w:p>
      <w:pPr>
        <w:ind w:firstLine="420"/>
        <w:spacing w:line="360" w:lineRule="auto"/>
        <w:rPr>
          <w:rFonts w:ascii="宋体" w:hAnsi="宋体"/>
          <w:szCs w:val="21"/>
        </w:rPr>
      </w:pPr>
      <w:r>
        <w:rPr>
          <w:rFonts w:ascii="宋体" w:hAnsi="宋体"/>
          <w:szCs w:val="21"/>
        </w:rPr>
        <w:t xml:space="preserve">本授权委托书声明：  我</w:t>
      </w:r>
      <w:r>
        <w:rPr>
          <w:rFonts w:hint="eastAsia" w:ascii="宋体" w:hAnsi="宋体"/>
          <w:szCs w:val="21"/>
          <w:u w:val="single"/>
          <w:lang w:val="en-US" w:eastAsia="zh-CN"/>
        </w:rPr>
        <w:t xml:space="preserve">         </w:t>
      </w:r>
      <w:r>
        <w:rPr>
          <w:rFonts w:ascii="宋体" w:hAnsi="宋体"/>
          <w:szCs w:val="21"/>
        </w:rPr>
        <w:t xml:space="preserve">（姓名）系</w:t>
      </w:r>
      <w:r>
        <w:rPr>
          <w:rFonts w:hint="eastAsia" w:ascii="宋体" w:hAnsi="宋体"/>
          <w:szCs w:val="21"/>
          <w:u w:val="single"/>
        </w:rPr>
        <w:t xml:space="preserve">  （</w:t>
      </w:r>
      <w:r>
        <w:rPr>
          <w:rFonts w:ascii="宋体" w:hAnsi="宋体"/>
          <w:szCs w:val="21"/>
        </w:rPr>
        <w:t xml:space="preserve">供应商名称）的法定代表人，现授权委托</w:t>
      </w:r>
      <w:r>
        <w:rPr>
          <w:rFonts w:hint="eastAsia" w:ascii="宋体" w:hAnsi="宋体"/>
          <w:szCs w:val="21"/>
          <w:u w:val="single"/>
          <w:lang w:val="en-US" w:eastAsia="zh-CN"/>
        </w:rPr>
        <w:t xml:space="preserve">         </w:t>
      </w:r>
      <w:r>
        <w:rPr>
          <w:rFonts w:ascii="宋体" w:hAnsi="宋体"/>
          <w:szCs w:val="21"/>
        </w:rPr>
        <w:t xml:space="preserve">（姓名）为我公司授权代表（即代理人），以本公司的名义参</w:t>
      </w:r>
      <w:r>
        <w:rPr>
          <w:rFonts w:hint="eastAsia" w:ascii="宋体" w:hAnsi="宋体"/>
          <w:szCs w:val="21"/>
          <w:u w:val="single"/>
        </w:rPr>
        <w:t xml:space="preserve">加苏州市润芳招投标咨询服务有限公司</w:t>
      </w:r>
      <w:r>
        <w:rPr>
          <w:rFonts w:ascii="宋体" w:hAnsi="宋体"/>
          <w:szCs w:val="21"/>
        </w:rPr>
        <w:t xml:space="preserve">组织实施的编号为</w:t>
      </w:r>
      <w:r>
        <w:rPr>
          <w:rFonts w:hint="eastAsia" w:ascii="宋体" w:hAnsi="宋体"/>
          <w:szCs w:val="21"/>
          <w:u w:val="single"/>
          <w:lang w:val="en-US" w:eastAsia="zh-CN"/>
        </w:rPr>
        <w:t xml:space="preserve">         </w:t>
      </w:r>
      <w:r>
        <w:rPr>
          <w:rFonts w:ascii="宋体" w:hAnsi="宋体"/>
          <w:szCs w:val="21"/>
        </w:rPr>
        <w:t xml:space="preserve">号</w:t>
      </w:r>
      <w:r>
        <w:rPr>
          <w:rFonts w:hint="eastAsia" w:ascii="宋体" w:hAnsi="宋体"/>
          <w:szCs w:val="21"/>
        </w:rPr>
        <w:t xml:space="preserve">（项目编号）</w:t>
      </w:r>
      <w:r>
        <w:rPr>
          <w:rFonts w:ascii="宋体" w:hAnsi="宋体"/>
          <w:szCs w:val="21"/>
        </w:rPr>
        <w:t xml:space="preserve">的</w:t>
      </w:r>
      <w:r>
        <w:rPr>
          <w:rFonts w:hint="eastAsia" w:ascii="宋体" w:hAnsi="宋体"/>
          <w:szCs w:val="21"/>
        </w:rPr>
        <w:t xml:space="preserve">竞争性磋商活动</w:t>
      </w:r>
      <w:r>
        <w:rPr>
          <w:rFonts w:ascii="宋体" w:hAnsi="宋体"/>
          <w:szCs w:val="21"/>
        </w:rPr>
        <w:t xml:space="preserve">。代理人在</w:t>
      </w:r>
      <w:r>
        <w:rPr>
          <w:rFonts w:hint="eastAsia" w:ascii="宋体" w:hAnsi="宋体"/>
          <w:szCs w:val="21"/>
        </w:rPr>
        <w:t xml:space="preserve">磋商活动过程</w:t>
      </w:r>
      <w:r>
        <w:rPr>
          <w:rFonts w:ascii="宋体" w:hAnsi="宋体"/>
          <w:szCs w:val="21"/>
        </w:rPr>
        <w:t xml:space="preserve">中所签署的一切文件和处理与这有关的一切事务，我均予以承认。</w:t>
      </w:r>
      <w:r/>
    </w:p>
    <w:p>
      <w:pPr>
        <w:ind w:firstLine="420"/>
        <w:spacing w:line="360" w:lineRule="auto"/>
        <w:rPr>
          <w:rFonts w:ascii="宋体" w:hAnsi="宋体"/>
          <w:szCs w:val="21"/>
        </w:rPr>
      </w:pPr>
      <w:r>
        <w:rPr>
          <w:rFonts w:ascii="宋体" w:hAnsi="宋体"/>
          <w:szCs w:val="21"/>
        </w:rPr>
        <w:t xml:space="preserve">代理人在授权委托书有效期内签署的所有文件不因授权委托的撤销而失效，除非有撤销授权委托的书面通知，本授权委托书自</w:t>
      </w:r>
      <w:r>
        <w:rPr>
          <w:rFonts w:hint="eastAsia" w:ascii="宋体" w:hAnsi="宋体"/>
          <w:szCs w:val="21"/>
        </w:rPr>
        <w:t xml:space="preserve">磋商活动</w:t>
      </w:r>
      <w:r>
        <w:rPr>
          <w:rFonts w:ascii="宋体" w:hAnsi="宋体"/>
          <w:szCs w:val="21"/>
        </w:rPr>
        <w:t xml:space="preserve">开始至合同履行完毕止。</w:t>
      </w:r>
      <w:r/>
    </w:p>
    <w:p>
      <w:pPr>
        <w:ind w:firstLine="420"/>
        <w:spacing w:line="360" w:lineRule="auto"/>
        <w:rPr>
          <w:rFonts w:ascii="宋体" w:hAnsi="宋体"/>
          <w:szCs w:val="21"/>
        </w:rPr>
      </w:pPr>
      <w:r>
        <w:rPr>
          <w:rFonts w:ascii="宋体" w:hAnsi="宋体"/>
          <w:szCs w:val="21"/>
        </w:rPr>
        <w:t xml:space="preserve">代理人无转委托权。特此委托。</w:t>
      </w:r>
      <w:r/>
    </w:p>
    <w:p>
      <w:pPr>
        <w:ind w:right="420" w:firstLine="315"/>
        <w:jc w:val="center"/>
        <w:spacing w:line="360" w:lineRule="auto"/>
        <w:rPr>
          <w:rFonts w:ascii="宋体" w:hAnsi="宋体"/>
          <w:szCs w:val="21"/>
        </w:rPr>
      </w:pPr>
      <w:r>
        <w:rPr>
          <w:rFonts w:ascii="宋体" w:hAnsi="宋体"/>
          <w:szCs w:val="21"/>
        </w:rPr>
      </w:r>
      <w:r/>
    </w:p>
    <w:p>
      <w:pPr>
        <w:ind w:right="420" w:firstLine="315"/>
        <w:jc w:val="center"/>
        <w:spacing w:line="360" w:lineRule="auto"/>
        <w:rPr>
          <w:rFonts w:ascii="宋体" w:hAnsi="宋体"/>
          <w:szCs w:val="21"/>
        </w:rPr>
      </w:pPr>
      <w:r>
        <w:rPr>
          <w:rFonts w:ascii="宋体" w:hAnsi="宋体"/>
          <w:szCs w:val="21"/>
        </w:rPr>
      </w:r>
      <w:r/>
    </w:p>
    <w:p>
      <w:pPr>
        <w:ind w:right="420" w:firstLine="315"/>
        <w:jc w:val="center"/>
        <w:spacing w:line="360" w:lineRule="auto"/>
        <w:rPr>
          <w:rFonts w:ascii="宋体" w:hAnsi="宋体" w:cs="宋体"/>
          <w:szCs w:val="21"/>
          <w:lang w:val="zh-CN"/>
        </w:rPr>
      </w:pPr>
      <w:r>
        <w:rPr>
          <w:rFonts w:hint="eastAsia" w:ascii="宋体" w:hAnsi="宋体" w:cs="宋体"/>
          <w:szCs w:val="21"/>
          <w:lang w:val="zh-CN"/>
        </w:rPr>
        <w:t xml:space="preserve">法定代表人：（签字或盖章）</w:t>
      </w:r>
      <w:r/>
    </w:p>
    <w:p>
      <w:pPr>
        <w:ind w:right="90" w:firstLine="840"/>
        <w:jc w:val="right"/>
        <w:spacing w:line="400" w:lineRule="exact"/>
        <w:rPr>
          <w:rFonts w:ascii="宋体" w:hAnsi="宋体" w:cs="宋体"/>
          <w:szCs w:val="21"/>
          <w:lang w:val="zh-CN"/>
        </w:rPr>
      </w:pPr>
      <w:r>
        <w:rPr>
          <w:rFonts w:hint="eastAsia" w:ascii="宋体" w:hAnsi="宋体" w:cs="宋体"/>
          <w:szCs w:val="21"/>
          <w:lang w:val="zh-CN"/>
        </w:rPr>
        <w:t xml:space="preserve"> 日    期：     年月   日</w:t>
      </w:r>
      <w:r/>
    </w:p>
    <w:p>
      <w:pPr>
        <w:ind w:right="615" w:firstLine="843"/>
        <w:jc w:val="right"/>
        <w:spacing w:line="400" w:lineRule="exact"/>
        <w:rPr>
          <w:rFonts w:ascii="宋体" w:hAnsi="宋体" w:cs="宋体"/>
          <w:szCs w:val="21"/>
          <w:lang w:val="zh-CN"/>
        </w:rPr>
      </w:pPr>
      <w:r>
        <w:rPr>
          <w:rFonts w:ascii="宋体" w:hAnsi="宋体"/>
          <w:b/>
          <w:szCs w:val="21"/>
        </w:rPr>
        <w:br w:type="page" w:clear="all"/>
      </w:r>
      <w:r/>
    </w:p>
    <w:p>
      <w:pPr>
        <w:rPr>
          <w:rFonts w:ascii="宋体" w:hAnsi="宋体"/>
          <w:szCs w:val="21"/>
        </w:rPr>
        <w:outlineLvl w:val="0"/>
      </w:pPr>
      <w:r>
        <w:rPr>
          <w:rFonts w:ascii="Times New Roman" w:hAnsi="Times New Roman"/>
          <w:b/>
        </w:rPr>
        <w:t xml:space="preserve">附件</w:t>
      </w:r>
      <w:r>
        <w:rPr>
          <w:rFonts w:hint="eastAsia" w:ascii="Times New Roman" w:hAnsi="Times New Roman"/>
          <w:b/>
        </w:rPr>
        <w:t xml:space="preserve">7.</w:t>
      </w:r>
      <w:r>
        <w:rPr>
          <w:rFonts w:ascii="Times New Roman" w:hAnsi="Times New Roman"/>
          <w:b/>
        </w:rPr>
        <w:t xml:space="preserve">偏离表</w:t>
      </w:r>
      <w:r/>
    </w:p>
    <w:p>
      <w:pPr>
        <w:jc w:val="left"/>
        <w:rPr>
          <w:rFonts w:ascii="Times New Roman" w:hAnsi="Times New Roman"/>
          <w:b/>
        </w:rPr>
      </w:pPr>
      <w:r>
        <w:rPr>
          <w:rFonts w:ascii="Times New Roman" w:hAnsi="Times New Roman"/>
          <w:b/>
        </w:rPr>
      </w:r>
      <w:r/>
    </w:p>
    <w:p>
      <w:pPr>
        <w:jc w:val="center"/>
        <w:spacing w:line="480" w:lineRule="exact"/>
        <w:rPr>
          <w:rFonts w:ascii="Times New Roman" w:hAnsi="Times New Roman"/>
          <w:b/>
        </w:rPr>
      </w:pPr>
      <w:r>
        <w:rPr>
          <w:rFonts w:ascii="Times New Roman" w:hAnsi="Times New Roman"/>
          <w:b/>
        </w:rPr>
        <w:t xml:space="preserve">偏离表</w:t>
      </w:r>
      <w:r>
        <w:rPr>
          <w:rFonts w:hint="eastAsia" w:ascii="Times New Roman" w:hAnsi="Times New Roman"/>
          <w:b/>
        </w:rPr>
        <w:t xml:space="preserve">（技术、商务）</w:t>
      </w:r>
      <w:r/>
    </w:p>
    <w:tbl>
      <w:tblPr>
        <w:tblStyle w:val="704"/>
        <w:tblW w:w="82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1"/>
        <w:gridCol w:w="1514"/>
        <w:gridCol w:w="1647"/>
        <w:gridCol w:w="1766"/>
        <w:gridCol w:w="1529"/>
        <w:gridCol w:w="1177"/>
      </w:tblGrid>
      <w:tr>
        <w:trPr>
          <w:trHeight w:val="758"/>
        </w:trPr>
        <w:tc>
          <w:tcPr>
            <w:tcW w:w="601" w:type="dxa"/>
            <w:vAlign w:val="center"/>
            <w:textDirection w:val="lrTb"/>
            <w:noWrap/>
          </w:tcPr>
          <w:p>
            <w:pPr>
              <w:rPr>
                <w:rFonts w:ascii="宋体" w:hAnsi="宋体"/>
                <w:szCs w:val="21"/>
              </w:rPr>
            </w:pPr>
            <w:r>
              <w:rPr>
                <w:rFonts w:hint="eastAsia" w:ascii="宋体" w:hAnsi="宋体"/>
                <w:szCs w:val="21"/>
              </w:rPr>
              <w:t xml:space="preserve">序号</w:t>
            </w:r>
            <w:r/>
          </w:p>
        </w:tc>
        <w:tc>
          <w:tcPr>
            <w:tcW w:w="1514" w:type="dxa"/>
            <w:vAlign w:val="center"/>
            <w:textDirection w:val="lrTb"/>
            <w:noWrap/>
          </w:tcPr>
          <w:p>
            <w:pPr>
              <w:jc w:val="center"/>
              <w:rPr>
                <w:rFonts w:ascii="宋体" w:hAnsi="宋体"/>
                <w:szCs w:val="21"/>
              </w:rPr>
            </w:pPr>
            <w:r>
              <w:rPr>
                <w:rFonts w:hint="eastAsia" w:ascii="宋体" w:hAnsi="宋体"/>
                <w:szCs w:val="21"/>
              </w:rPr>
              <w:t xml:space="preserve">项目</w:t>
            </w:r>
            <w:r/>
          </w:p>
        </w:tc>
        <w:tc>
          <w:tcPr>
            <w:tcW w:w="1647" w:type="dxa"/>
            <w:vAlign w:val="center"/>
            <w:textDirection w:val="lrTb"/>
            <w:noWrap/>
          </w:tcPr>
          <w:p>
            <w:pPr>
              <w:jc w:val="center"/>
              <w:rPr>
                <w:rFonts w:ascii="宋体" w:hAnsi="宋体"/>
                <w:szCs w:val="21"/>
              </w:rPr>
            </w:pPr>
            <w:r>
              <w:rPr>
                <w:rFonts w:hint="eastAsia" w:ascii="宋体" w:hAnsi="宋体"/>
                <w:szCs w:val="21"/>
              </w:rPr>
              <w:t xml:space="preserve">采购要求</w:t>
            </w:r>
            <w:r/>
          </w:p>
        </w:tc>
        <w:tc>
          <w:tcPr>
            <w:tcW w:w="1766" w:type="dxa"/>
            <w:vAlign w:val="center"/>
            <w:textDirection w:val="lrTb"/>
            <w:noWrap/>
          </w:tcPr>
          <w:p>
            <w:pPr>
              <w:jc w:val="center"/>
              <w:rPr>
                <w:rFonts w:ascii="宋体" w:hAnsi="宋体"/>
                <w:szCs w:val="21"/>
              </w:rPr>
            </w:pPr>
            <w:r>
              <w:rPr>
                <w:rFonts w:hint="eastAsia" w:ascii="宋体" w:hAnsi="宋体"/>
                <w:szCs w:val="21"/>
              </w:rPr>
              <w:t xml:space="preserve">响应情况</w:t>
            </w:r>
            <w:r/>
          </w:p>
        </w:tc>
        <w:tc>
          <w:tcPr>
            <w:tcW w:w="1529" w:type="dxa"/>
            <w:vAlign w:val="center"/>
            <w:textDirection w:val="lrTb"/>
            <w:noWrap/>
          </w:tcPr>
          <w:p>
            <w:pPr>
              <w:jc w:val="center"/>
              <w:rPr>
                <w:rFonts w:ascii="宋体" w:hAnsi="宋体"/>
                <w:szCs w:val="21"/>
              </w:rPr>
            </w:pPr>
            <w:r>
              <w:rPr>
                <w:rFonts w:hint="eastAsia" w:ascii="宋体" w:hAnsi="宋体"/>
                <w:szCs w:val="21"/>
              </w:rPr>
              <w:t xml:space="preserve">偏离说明</w:t>
            </w:r>
            <w:r/>
          </w:p>
        </w:tc>
        <w:tc>
          <w:tcPr>
            <w:tcW w:w="1177" w:type="dxa"/>
            <w:textDirection w:val="lrTb"/>
            <w:noWrap/>
          </w:tcPr>
          <w:p>
            <w:pPr>
              <w:jc w:val="center"/>
              <w:spacing w:line="600" w:lineRule="auto"/>
              <w:rPr>
                <w:rFonts w:ascii="宋体" w:hAnsi="宋体"/>
                <w:szCs w:val="21"/>
              </w:rPr>
            </w:pPr>
            <w:r>
              <w:rPr>
                <w:rFonts w:hint="eastAsia" w:ascii="宋体" w:hAnsi="宋体"/>
                <w:szCs w:val="21"/>
              </w:rPr>
              <w:t xml:space="preserve">证明材料</w:t>
            </w:r>
            <w:r/>
          </w:p>
        </w:tc>
      </w:tr>
      <w:tr>
        <w:trPr>
          <w:cantSplit/>
          <w:trHeight w:val="494"/>
        </w:trPr>
        <w:tc>
          <w:tcPr>
            <w:tcW w:w="601" w:type="dxa"/>
            <w:vAlign w:val="center"/>
            <w:textDirection w:val="lrTb"/>
            <w:noWrap/>
          </w:tcPr>
          <w:p>
            <w:pPr>
              <w:jc w:val="center"/>
              <w:rPr>
                <w:rFonts w:ascii="宋体" w:hAnsi="宋体"/>
                <w:szCs w:val="21"/>
              </w:rPr>
            </w:pPr>
            <w:r>
              <w:rPr>
                <w:rFonts w:ascii="宋体" w:hAnsi="宋体"/>
                <w:szCs w:val="21"/>
              </w:rPr>
            </w:r>
            <w:r/>
          </w:p>
        </w:tc>
        <w:tc>
          <w:tcPr>
            <w:tcW w:w="1514" w:type="dxa"/>
            <w:vAlign w:val="center"/>
            <w:textDirection w:val="lrTb"/>
            <w:noWrap/>
          </w:tcPr>
          <w:p>
            <w:pPr>
              <w:jc w:val="center"/>
              <w:rPr>
                <w:rFonts w:ascii="宋体" w:hAnsi="宋体"/>
                <w:szCs w:val="21"/>
              </w:rPr>
            </w:pPr>
            <w:r>
              <w:rPr>
                <w:rFonts w:ascii="宋体" w:hAnsi="宋体"/>
                <w:szCs w:val="21"/>
              </w:rPr>
            </w:r>
            <w:r/>
          </w:p>
        </w:tc>
        <w:tc>
          <w:tcPr>
            <w:tcW w:w="1647" w:type="dxa"/>
            <w:vAlign w:val="center"/>
            <w:textDirection w:val="lrTb"/>
            <w:noWrap/>
          </w:tcPr>
          <w:p>
            <w:pPr>
              <w:jc w:val="center"/>
              <w:rPr>
                <w:rFonts w:ascii="宋体" w:hAnsi="宋体"/>
                <w:szCs w:val="21"/>
              </w:rPr>
            </w:pPr>
            <w:r>
              <w:rPr>
                <w:rFonts w:ascii="宋体" w:hAnsi="宋体"/>
                <w:szCs w:val="21"/>
              </w:rPr>
            </w:r>
            <w:r/>
          </w:p>
        </w:tc>
        <w:tc>
          <w:tcPr>
            <w:tcW w:w="1766" w:type="dxa"/>
            <w:vAlign w:val="center"/>
            <w:textDirection w:val="lrTb"/>
            <w:noWrap/>
          </w:tcPr>
          <w:p>
            <w:pPr>
              <w:jc w:val="center"/>
              <w:rPr>
                <w:rFonts w:ascii="宋体" w:hAnsi="宋体"/>
                <w:szCs w:val="21"/>
              </w:rPr>
            </w:pPr>
            <w:r>
              <w:rPr>
                <w:rFonts w:ascii="宋体" w:hAnsi="宋体"/>
                <w:szCs w:val="21"/>
              </w:rPr>
            </w:r>
            <w:r/>
          </w:p>
        </w:tc>
        <w:tc>
          <w:tcPr>
            <w:tcW w:w="1529" w:type="dxa"/>
            <w:vAlign w:val="center"/>
            <w:textDirection w:val="lrTb"/>
            <w:noWrap/>
          </w:tcPr>
          <w:p>
            <w:pPr>
              <w:jc w:val="center"/>
              <w:rPr>
                <w:rFonts w:ascii="宋体" w:hAnsi="宋体"/>
                <w:szCs w:val="21"/>
              </w:rPr>
            </w:pPr>
            <w:r>
              <w:rPr>
                <w:rFonts w:ascii="宋体" w:hAnsi="宋体"/>
                <w:szCs w:val="21"/>
              </w:rPr>
            </w:r>
            <w:r/>
          </w:p>
        </w:tc>
        <w:tc>
          <w:tcPr>
            <w:tcW w:w="1177" w:type="dxa"/>
            <w:textDirection w:val="lrTb"/>
            <w:noWrap/>
          </w:tcPr>
          <w:p>
            <w:pPr>
              <w:jc w:val="center"/>
              <w:rPr>
                <w:rFonts w:ascii="宋体" w:hAnsi="宋体"/>
                <w:szCs w:val="21"/>
              </w:rPr>
            </w:pPr>
            <w:r>
              <w:rPr>
                <w:rFonts w:ascii="宋体" w:hAnsi="宋体"/>
                <w:szCs w:val="21"/>
              </w:rPr>
            </w:r>
            <w:r/>
          </w:p>
        </w:tc>
      </w:tr>
      <w:tr>
        <w:trPr>
          <w:cantSplit/>
          <w:trHeight w:val="494"/>
        </w:trPr>
        <w:tc>
          <w:tcPr>
            <w:tcW w:w="601" w:type="dxa"/>
            <w:vAlign w:val="center"/>
            <w:textDirection w:val="lrTb"/>
            <w:noWrap/>
          </w:tcPr>
          <w:p>
            <w:pPr>
              <w:jc w:val="center"/>
              <w:rPr>
                <w:rFonts w:ascii="宋体" w:hAnsi="宋体"/>
                <w:szCs w:val="21"/>
              </w:rPr>
            </w:pPr>
            <w:r>
              <w:rPr>
                <w:rFonts w:ascii="宋体" w:hAnsi="宋体"/>
                <w:szCs w:val="21"/>
              </w:rPr>
            </w:r>
            <w:r/>
          </w:p>
        </w:tc>
        <w:tc>
          <w:tcPr>
            <w:tcW w:w="1514" w:type="dxa"/>
            <w:vAlign w:val="center"/>
            <w:textDirection w:val="lrTb"/>
            <w:noWrap/>
          </w:tcPr>
          <w:p>
            <w:pPr>
              <w:jc w:val="center"/>
              <w:rPr>
                <w:rFonts w:ascii="宋体" w:hAnsi="宋体"/>
                <w:szCs w:val="21"/>
              </w:rPr>
            </w:pPr>
            <w:r>
              <w:rPr>
                <w:rFonts w:ascii="宋体" w:hAnsi="宋体"/>
                <w:szCs w:val="21"/>
              </w:rPr>
            </w:r>
            <w:r/>
          </w:p>
        </w:tc>
        <w:tc>
          <w:tcPr>
            <w:tcW w:w="1647" w:type="dxa"/>
            <w:vAlign w:val="center"/>
            <w:textDirection w:val="lrTb"/>
            <w:noWrap/>
          </w:tcPr>
          <w:p>
            <w:pPr>
              <w:jc w:val="center"/>
              <w:rPr>
                <w:rFonts w:ascii="宋体" w:hAnsi="宋体"/>
                <w:szCs w:val="21"/>
              </w:rPr>
            </w:pPr>
            <w:r>
              <w:rPr>
                <w:rFonts w:ascii="宋体" w:hAnsi="宋体"/>
                <w:szCs w:val="21"/>
              </w:rPr>
            </w:r>
            <w:r/>
          </w:p>
        </w:tc>
        <w:tc>
          <w:tcPr>
            <w:tcW w:w="1766" w:type="dxa"/>
            <w:vAlign w:val="center"/>
            <w:textDirection w:val="lrTb"/>
            <w:noWrap/>
          </w:tcPr>
          <w:p>
            <w:pPr>
              <w:jc w:val="center"/>
              <w:rPr>
                <w:rFonts w:ascii="宋体" w:hAnsi="宋体"/>
                <w:szCs w:val="21"/>
              </w:rPr>
            </w:pPr>
            <w:r>
              <w:rPr>
                <w:rFonts w:ascii="宋体" w:hAnsi="宋体"/>
                <w:szCs w:val="21"/>
              </w:rPr>
            </w:r>
            <w:r/>
          </w:p>
        </w:tc>
        <w:tc>
          <w:tcPr>
            <w:tcW w:w="1529" w:type="dxa"/>
            <w:vAlign w:val="center"/>
            <w:textDirection w:val="lrTb"/>
            <w:noWrap/>
          </w:tcPr>
          <w:p>
            <w:pPr>
              <w:jc w:val="center"/>
              <w:rPr>
                <w:rFonts w:ascii="宋体" w:hAnsi="宋体"/>
                <w:szCs w:val="21"/>
              </w:rPr>
            </w:pPr>
            <w:r>
              <w:rPr>
                <w:rFonts w:ascii="宋体" w:hAnsi="宋体"/>
                <w:szCs w:val="21"/>
              </w:rPr>
            </w:r>
            <w:r/>
          </w:p>
        </w:tc>
        <w:tc>
          <w:tcPr>
            <w:tcW w:w="1177" w:type="dxa"/>
            <w:textDirection w:val="lrTb"/>
            <w:noWrap/>
          </w:tcPr>
          <w:p>
            <w:pPr>
              <w:jc w:val="center"/>
              <w:rPr>
                <w:rFonts w:ascii="宋体" w:hAnsi="宋体"/>
                <w:szCs w:val="21"/>
              </w:rPr>
            </w:pPr>
            <w:r>
              <w:rPr>
                <w:rFonts w:ascii="宋体" w:hAnsi="宋体"/>
                <w:szCs w:val="21"/>
              </w:rPr>
            </w:r>
            <w:r/>
          </w:p>
        </w:tc>
      </w:tr>
      <w:tr>
        <w:trPr>
          <w:cantSplit/>
          <w:trHeight w:val="494"/>
        </w:trPr>
        <w:tc>
          <w:tcPr>
            <w:tcW w:w="601" w:type="dxa"/>
            <w:vAlign w:val="center"/>
            <w:textDirection w:val="lrTb"/>
            <w:noWrap/>
          </w:tcPr>
          <w:p>
            <w:pPr>
              <w:jc w:val="center"/>
              <w:rPr>
                <w:rFonts w:ascii="宋体" w:hAnsi="宋体"/>
                <w:szCs w:val="21"/>
              </w:rPr>
            </w:pPr>
            <w:r>
              <w:rPr>
                <w:rFonts w:ascii="宋体" w:hAnsi="宋体"/>
                <w:szCs w:val="21"/>
              </w:rPr>
            </w:r>
            <w:r/>
          </w:p>
        </w:tc>
        <w:tc>
          <w:tcPr>
            <w:tcW w:w="1514" w:type="dxa"/>
            <w:vAlign w:val="center"/>
            <w:textDirection w:val="lrTb"/>
            <w:noWrap/>
          </w:tcPr>
          <w:p>
            <w:pPr>
              <w:jc w:val="center"/>
              <w:rPr>
                <w:rFonts w:ascii="宋体" w:hAnsi="宋体"/>
                <w:szCs w:val="21"/>
              </w:rPr>
            </w:pPr>
            <w:r>
              <w:rPr>
                <w:rFonts w:ascii="宋体" w:hAnsi="宋体"/>
                <w:szCs w:val="21"/>
              </w:rPr>
            </w:r>
            <w:r/>
          </w:p>
        </w:tc>
        <w:tc>
          <w:tcPr>
            <w:tcW w:w="1647" w:type="dxa"/>
            <w:vAlign w:val="center"/>
            <w:textDirection w:val="lrTb"/>
            <w:noWrap/>
          </w:tcPr>
          <w:p>
            <w:pPr>
              <w:jc w:val="center"/>
              <w:rPr>
                <w:rFonts w:ascii="宋体" w:hAnsi="宋体"/>
                <w:szCs w:val="21"/>
              </w:rPr>
            </w:pPr>
            <w:r>
              <w:rPr>
                <w:rFonts w:ascii="宋体" w:hAnsi="宋体"/>
                <w:szCs w:val="21"/>
              </w:rPr>
            </w:r>
            <w:r/>
          </w:p>
        </w:tc>
        <w:tc>
          <w:tcPr>
            <w:tcW w:w="1766" w:type="dxa"/>
            <w:vAlign w:val="center"/>
            <w:textDirection w:val="lrTb"/>
            <w:noWrap/>
          </w:tcPr>
          <w:p>
            <w:pPr>
              <w:jc w:val="center"/>
              <w:rPr>
                <w:rFonts w:ascii="宋体" w:hAnsi="宋体"/>
                <w:szCs w:val="21"/>
              </w:rPr>
            </w:pPr>
            <w:r>
              <w:rPr>
                <w:rFonts w:ascii="宋体" w:hAnsi="宋体"/>
                <w:szCs w:val="21"/>
              </w:rPr>
            </w:r>
            <w:r/>
          </w:p>
        </w:tc>
        <w:tc>
          <w:tcPr>
            <w:tcW w:w="1529" w:type="dxa"/>
            <w:vAlign w:val="center"/>
            <w:textDirection w:val="lrTb"/>
            <w:noWrap/>
          </w:tcPr>
          <w:p>
            <w:pPr>
              <w:jc w:val="center"/>
              <w:rPr>
                <w:rFonts w:ascii="宋体" w:hAnsi="宋体"/>
                <w:szCs w:val="21"/>
              </w:rPr>
            </w:pPr>
            <w:r>
              <w:rPr>
                <w:rFonts w:ascii="宋体" w:hAnsi="宋体"/>
                <w:szCs w:val="21"/>
              </w:rPr>
            </w:r>
            <w:r/>
          </w:p>
        </w:tc>
        <w:tc>
          <w:tcPr>
            <w:tcW w:w="1177" w:type="dxa"/>
            <w:textDirection w:val="lrTb"/>
            <w:noWrap/>
          </w:tcPr>
          <w:p>
            <w:pPr>
              <w:jc w:val="center"/>
              <w:rPr>
                <w:rFonts w:ascii="宋体" w:hAnsi="宋体"/>
                <w:szCs w:val="21"/>
              </w:rPr>
            </w:pPr>
            <w:r>
              <w:rPr>
                <w:rFonts w:ascii="宋体" w:hAnsi="宋体"/>
                <w:szCs w:val="21"/>
              </w:rPr>
            </w:r>
            <w:r/>
          </w:p>
        </w:tc>
      </w:tr>
      <w:tr>
        <w:trPr>
          <w:cantSplit/>
          <w:trHeight w:val="494"/>
        </w:trPr>
        <w:tc>
          <w:tcPr>
            <w:tcW w:w="601" w:type="dxa"/>
            <w:vAlign w:val="center"/>
            <w:textDirection w:val="lrTb"/>
            <w:noWrap/>
          </w:tcPr>
          <w:p>
            <w:pPr>
              <w:jc w:val="center"/>
              <w:rPr>
                <w:rFonts w:ascii="宋体" w:hAnsi="宋体"/>
                <w:szCs w:val="21"/>
              </w:rPr>
            </w:pPr>
            <w:r>
              <w:rPr>
                <w:rFonts w:ascii="宋体" w:hAnsi="宋体"/>
                <w:szCs w:val="21"/>
              </w:rPr>
            </w:r>
            <w:r/>
          </w:p>
        </w:tc>
        <w:tc>
          <w:tcPr>
            <w:tcW w:w="1514" w:type="dxa"/>
            <w:vAlign w:val="center"/>
            <w:textDirection w:val="lrTb"/>
            <w:noWrap/>
          </w:tcPr>
          <w:p>
            <w:pPr>
              <w:jc w:val="center"/>
              <w:rPr>
                <w:rFonts w:ascii="宋体" w:hAnsi="宋体"/>
                <w:szCs w:val="21"/>
              </w:rPr>
            </w:pPr>
            <w:r>
              <w:rPr>
                <w:rFonts w:ascii="宋体" w:hAnsi="宋体"/>
                <w:szCs w:val="21"/>
              </w:rPr>
            </w:r>
            <w:r/>
          </w:p>
        </w:tc>
        <w:tc>
          <w:tcPr>
            <w:tcW w:w="1647" w:type="dxa"/>
            <w:vAlign w:val="center"/>
            <w:textDirection w:val="lrTb"/>
            <w:noWrap/>
          </w:tcPr>
          <w:p>
            <w:pPr>
              <w:jc w:val="center"/>
              <w:rPr>
                <w:rFonts w:ascii="宋体" w:hAnsi="宋体"/>
                <w:szCs w:val="21"/>
              </w:rPr>
            </w:pPr>
            <w:r>
              <w:rPr>
                <w:rFonts w:ascii="宋体" w:hAnsi="宋体"/>
                <w:szCs w:val="21"/>
              </w:rPr>
            </w:r>
            <w:r/>
          </w:p>
        </w:tc>
        <w:tc>
          <w:tcPr>
            <w:tcW w:w="1766" w:type="dxa"/>
            <w:vAlign w:val="center"/>
            <w:textDirection w:val="lrTb"/>
            <w:noWrap/>
          </w:tcPr>
          <w:p>
            <w:pPr>
              <w:jc w:val="center"/>
              <w:rPr>
                <w:rFonts w:ascii="宋体" w:hAnsi="宋体"/>
                <w:szCs w:val="21"/>
              </w:rPr>
            </w:pPr>
            <w:r>
              <w:rPr>
                <w:rFonts w:ascii="宋体" w:hAnsi="宋体"/>
                <w:szCs w:val="21"/>
              </w:rPr>
            </w:r>
            <w:r/>
          </w:p>
        </w:tc>
        <w:tc>
          <w:tcPr>
            <w:tcW w:w="1529" w:type="dxa"/>
            <w:vAlign w:val="center"/>
            <w:textDirection w:val="lrTb"/>
            <w:noWrap/>
          </w:tcPr>
          <w:p>
            <w:pPr>
              <w:jc w:val="center"/>
              <w:rPr>
                <w:rFonts w:ascii="宋体" w:hAnsi="宋体"/>
                <w:szCs w:val="21"/>
              </w:rPr>
            </w:pPr>
            <w:r>
              <w:rPr>
                <w:rFonts w:ascii="宋体" w:hAnsi="宋体"/>
                <w:szCs w:val="21"/>
              </w:rPr>
            </w:r>
            <w:r/>
          </w:p>
        </w:tc>
        <w:tc>
          <w:tcPr>
            <w:tcW w:w="1177" w:type="dxa"/>
            <w:textDirection w:val="lrTb"/>
            <w:noWrap/>
          </w:tcPr>
          <w:p>
            <w:pPr>
              <w:jc w:val="center"/>
              <w:rPr>
                <w:rFonts w:ascii="宋体" w:hAnsi="宋体"/>
                <w:szCs w:val="21"/>
              </w:rPr>
            </w:pPr>
            <w:r>
              <w:rPr>
                <w:rFonts w:ascii="宋体" w:hAnsi="宋体"/>
                <w:szCs w:val="21"/>
              </w:rPr>
            </w:r>
            <w:r/>
          </w:p>
        </w:tc>
      </w:tr>
      <w:tr>
        <w:trPr>
          <w:cantSplit/>
          <w:trHeight w:val="494"/>
        </w:trPr>
        <w:tc>
          <w:tcPr>
            <w:tcW w:w="601" w:type="dxa"/>
            <w:textDirection w:val="lrTb"/>
            <w:noWrap/>
          </w:tcPr>
          <w:p>
            <w:pPr>
              <w:jc w:val="center"/>
              <w:rPr>
                <w:rFonts w:ascii="宋体" w:hAnsi="宋体"/>
                <w:szCs w:val="21"/>
              </w:rPr>
            </w:pPr>
            <w:r>
              <w:rPr>
                <w:rFonts w:ascii="宋体" w:hAnsi="宋体"/>
                <w:szCs w:val="21"/>
              </w:rPr>
            </w:r>
            <w:r/>
          </w:p>
        </w:tc>
        <w:tc>
          <w:tcPr>
            <w:tcW w:w="1514" w:type="dxa"/>
            <w:vAlign w:val="center"/>
            <w:textDirection w:val="lrTb"/>
            <w:noWrap/>
          </w:tcPr>
          <w:p>
            <w:pPr>
              <w:jc w:val="center"/>
              <w:rPr>
                <w:rFonts w:ascii="宋体" w:hAnsi="宋体"/>
                <w:szCs w:val="21"/>
              </w:rPr>
            </w:pPr>
            <w:r>
              <w:rPr>
                <w:rFonts w:ascii="宋体" w:hAnsi="宋体"/>
                <w:szCs w:val="21"/>
              </w:rPr>
            </w:r>
            <w:r/>
          </w:p>
        </w:tc>
        <w:tc>
          <w:tcPr>
            <w:tcW w:w="1647" w:type="dxa"/>
            <w:vAlign w:val="center"/>
            <w:textDirection w:val="lrTb"/>
            <w:noWrap/>
          </w:tcPr>
          <w:p>
            <w:pPr>
              <w:jc w:val="center"/>
              <w:rPr>
                <w:rFonts w:ascii="宋体" w:hAnsi="宋体"/>
                <w:szCs w:val="21"/>
              </w:rPr>
            </w:pPr>
            <w:r>
              <w:rPr>
                <w:rFonts w:ascii="宋体" w:hAnsi="宋体"/>
                <w:szCs w:val="21"/>
              </w:rPr>
            </w:r>
            <w:r/>
          </w:p>
        </w:tc>
        <w:tc>
          <w:tcPr>
            <w:tcW w:w="1766" w:type="dxa"/>
            <w:vAlign w:val="center"/>
            <w:textDirection w:val="lrTb"/>
            <w:noWrap/>
          </w:tcPr>
          <w:p>
            <w:pPr>
              <w:jc w:val="center"/>
              <w:rPr>
                <w:rFonts w:ascii="宋体" w:hAnsi="宋体"/>
                <w:szCs w:val="21"/>
              </w:rPr>
            </w:pPr>
            <w:r>
              <w:rPr>
                <w:rFonts w:ascii="宋体" w:hAnsi="宋体"/>
                <w:szCs w:val="21"/>
              </w:rPr>
            </w:r>
            <w:r/>
          </w:p>
        </w:tc>
        <w:tc>
          <w:tcPr>
            <w:tcW w:w="1529" w:type="dxa"/>
            <w:vAlign w:val="center"/>
            <w:textDirection w:val="lrTb"/>
            <w:noWrap/>
          </w:tcPr>
          <w:p>
            <w:pPr>
              <w:jc w:val="center"/>
              <w:rPr>
                <w:rFonts w:ascii="宋体" w:hAnsi="宋体"/>
                <w:szCs w:val="21"/>
              </w:rPr>
            </w:pPr>
            <w:r>
              <w:rPr>
                <w:rFonts w:ascii="宋体" w:hAnsi="宋体"/>
                <w:szCs w:val="21"/>
              </w:rPr>
            </w:r>
            <w:r/>
          </w:p>
        </w:tc>
        <w:tc>
          <w:tcPr>
            <w:tcW w:w="1177" w:type="dxa"/>
            <w:textDirection w:val="lrTb"/>
            <w:noWrap/>
          </w:tcPr>
          <w:p>
            <w:pPr>
              <w:jc w:val="center"/>
              <w:rPr>
                <w:rFonts w:ascii="宋体" w:hAnsi="宋体"/>
                <w:szCs w:val="21"/>
              </w:rPr>
            </w:pPr>
            <w:r>
              <w:rPr>
                <w:rFonts w:ascii="宋体" w:hAnsi="宋体"/>
                <w:szCs w:val="21"/>
              </w:rPr>
            </w:r>
            <w:r/>
          </w:p>
        </w:tc>
      </w:tr>
      <w:tr>
        <w:trPr>
          <w:cantSplit/>
          <w:trHeight w:val="494"/>
        </w:trPr>
        <w:tc>
          <w:tcPr>
            <w:tcW w:w="601" w:type="dxa"/>
            <w:textDirection w:val="lrTb"/>
            <w:noWrap/>
          </w:tcPr>
          <w:p>
            <w:pPr>
              <w:jc w:val="center"/>
              <w:rPr>
                <w:rFonts w:ascii="宋体" w:hAnsi="宋体"/>
                <w:szCs w:val="21"/>
              </w:rPr>
            </w:pPr>
            <w:r>
              <w:rPr>
                <w:rFonts w:ascii="宋体" w:hAnsi="宋体"/>
                <w:szCs w:val="21"/>
              </w:rPr>
            </w:r>
            <w:r/>
          </w:p>
        </w:tc>
        <w:tc>
          <w:tcPr>
            <w:tcW w:w="1514" w:type="dxa"/>
            <w:vAlign w:val="center"/>
            <w:textDirection w:val="lrTb"/>
            <w:noWrap/>
          </w:tcPr>
          <w:p>
            <w:pPr>
              <w:jc w:val="center"/>
              <w:rPr>
                <w:rFonts w:ascii="宋体" w:hAnsi="宋体"/>
                <w:szCs w:val="21"/>
              </w:rPr>
            </w:pPr>
            <w:r>
              <w:rPr>
                <w:rFonts w:ascii="宋体" w:hAnsi="宋体"/>
                <w:szCs w:val="21"/>
              </w:rPr>
            </w:r>
            <w:r/>
          </w:p>
        </w:tc>
        <w:tc>
          <w:tcPr>
            <w:tcW w:w="1647" w:type="dxa"/>
            <w:vAlign w:val="center"/>
            <w:textDirection w:val="lrTb"/>
            <w:noWrap/>
          </w:tcPr>
          <w:p>
            <w:pPr>
              <w:jc w:val="center"/>
              <w:rPr>
                <w:rFonts w:ascii="宋体" w:hAnsi="宋体"/>
                <w:szCs w:val="21"/>
              </w:rPr>
            </w:pPr>
            <w:r>
              <w:rPr>
                <w:rFonts w:ascii="宋体" w:hAnsi="宋体"/>
                <w:szCs w:val="21"/>
              </w:rPr>
            </w:r>
            <w:r/>
          </w:p>
        </w:tc>
        <w:tc>
          <w:tcPr>
            <w:tcW w:w="1766" w:type="dxa"/>
            <w:vAlign w:val="center"/>
            <w:textDirection w:val="lrTb"/>
            <w:noWrap/>
          </w:tcPr>
          <w:p>
            <w:pPr>
              <w:jc w:val="center"/>
              <w:rPr>
                <w:rFonts w:ascii="宋体" w:hAnsi="宋体"/>
                <w:szCs w:val="21"/>
              </w:rPr>
            </w:pPr>
            <w:r>
              <w:rPr>
                <w:rFonts w:ascii="宋体" w:hAnsi="宋体"/>
                <w:szCs w:val="21"/>
              </w:rPr>
            </w:r>
            <w:r/>
          </w:p>
        </w:tc>
        <w:tc>
          <w:tcPr>
            <w:tcW w:w="1529" w:type="dxa"/>
            <w:vAlign w:val="center"/>
            <w:textDirection w:val="lrTb"/>
            <w:noWrap/>
          </w:tcPr>
          <w:p>
            <w:pPr>
              <w:jc w:val="center"/>
              <w:rPr>
                <w:rFonts w:ascii="宋体" w:hAnsi="宋体"/>
                <w:szCs w:val="21"/>
              </w:rPr>
            </w:pPr>
            <w:r>
              <w:rPr>
                <w:rFonts w:ascii="宋体" w:hAnsi="宋体"/>
                <w:szCs w:val="21"/>
              </w:rPr>
            </w:r>
            <w:r/>
          </w:p>
        </w:tc>
        <w:tc>
          <w:tcPr>
            <w:tcW w:w="1177" w:type="dxa"/>
            <w:textDirection w:val="lrTb"/>
            <w:noWrap/>
          </w:tcPr>
          <w:p>
            <w:pPr>
              <w:jc w:val="center"/>
              <w:rPr>
                <w:rFonts w:ascii="宋体" w:hAnsi="宋体"/>
                <w:szCs w:val="21"/>
              </w:rPr>
            </w:pPr>
            <w:r>
              <w:rPr>
                <w:rFonts w:ascii="宋体" w:hAnsi="宋体"/>
                <w:szCs w:val="21"/>
              </w:rPr>
            </w:r>
            <w:r/>
          </w:p>
        </w:tc>
      </w:tr>
      <w:tr>
        <w:trPr>
          <w:cantSplit/>
          <w:trHeight w:val="494"/>
        </w:trPr>
        <w:tc>
          <w:tcPr>
            <w:tcW w:w="601" w:type="dxa"/>
            <w:textDirection w:val="lrTb"/>
            <w:noWrap/>
          </w:tcPr>
          <w:p>
            <w:pPr>
              <w:jc w:val="center"/>
              <w:rPr>
                <w:rFonts w:ascii="宋体" w:hAnsi="宋体"/>
                <w:szCs w:val="21"/>
              </w:rPr>
            </w:pPr>
            <w:r>
              <w:rPr>
                <w:rFonts w:ascii="宋体" w:hAnsi="宋体"/>
                <w:szCs w:val="21"/>
              </w:rPr>
            </w:r>
            <w:r/>
          </w:p>
        </w:tc>
        <w:tc>
          <w:tcPr>
            <w:tcW w:w="1514" w:type="dxa"/>
            <w:vAlign w:val="center"/>
            <w:textDirection w:val="lrTb"/>
            <w:noWrap/>
          </w:tcPr>
          <w:p>
            <w:pPr>
              <w:jc w:val="center"/>
              <w:rPr>
                <w:rFonts w:ascii="宋体" w:hAnsi="宋体"/>
                <w:szCs w:val="21"/>
              </w:rPr>
            </w:pPr>
            <w:r>
              <w:rPr>
                <w:rFonts w:ascii="宋体" w:hAnsi="宋体"/>
                <w:szCs w:val="21"/>
              </w:rPr>
            </w:r>
            <w:r/>
          </w:p>
        </w:tc>
        <w:tc>
          <w:tcPr>
            <w:tcW w:w="1647" w:type="dxa"/>
            <w:vAlign w:val="center"/>
            <w:textDirection w:val="lrTb"/>
            <w:noWrap/>
          </w:tcPr>
          <w:p>
            <w:pPr>
              <w:jc w:val="center"/>
              <w:rPr>
                <w:rFonts w:ascii="宋体" w:hAnsi="宋体"/>
                <w:szCs w:val="21"/>
              </w:rPr>
            </w:pPr>
            <w:r>
              <w:rPr>
                <w:rFonts w:ascii="宋体" w:hAnsi="宋体"/>
                <w:szCs w:val="21"/>
              </w:rPr>
            </w:r>
            <w:r/>
          </w:p>
        </w:tc>
        <w:tc>
          <w:tcPr>
            <w:tcW w:w="1766" w:type="dxa"/>
            <w:vAlign w:val="center"/>
            <w:textDirection w:val="lrTb"/>
            <w:noWrap/>
          </w:tcPr>
          <w:p>
            <w:pPr>
              <w:jc w:val="center"/>
              <w:rPr>
                <w:rFonts w:ascii="宋体" w:hAnsi="宋体"/>
                <w:szCs w:val="21"/>
              </w:rPr>
            </w:pPr>
            <w:r>
              <w:rPr>
                <w:rFonts w:ascii="宋体" w:hAnsi="宋体"/>
                <w:szCs w:val="21"/>
              </w:rPr>
            </w:r>
            <w:r/>
          </w:p>
        </w:tc>
        <w:tc>
          <w:tcPr>
            <w:tcW w:w="1529" w:type="dxa"/>
            <w:vAlign w:val="center"/>
            <w:textDirection w:val="lrTb"/>
            <w:noWrap/>
          </w:tcPr>
          <w:p>
            <w:pPr>
              <w:jc w:val="center"/>
              <w:rPr>
                <w:rFonts w:ascii="宋体" w:hAnsi="宋体"/>
                <w:szCs w:val="21"/>
              </w:rPr>
            </w:pPr>
            <w:r>
              <w:rPr>
                <w:rFonts w:ascii="宋体" w:hAnsi="宋体"/>
                <w:szCs w:val="21"/>
              </w:rPr>
            </w:r>
            <w:r/>
          </w:p>
        </w:tc>
        <w:tc>
          <w:tcPr>
            <w:tcW w:w="1177" w:type="dxa"/>
            <w:textDirection w:val="lrTb"/>
            <w:noWrap/>
          </w:tcPr>
          <w:p>
            <w:pPr>
              <w:jc w:val="center"/>
              <w:rPr>
                <w:rFonts w:ascii="宋体" w:hAnsi="宋体"/>
                <w:szCs w:val="21"/>
              </w:rPr>
            </w:pPr>
            <w:r>
              <w:rPr>
                <w:rFonts w:ascii="宋体" w:hAnsi="宋体"/>
                <w:szCs w:val="21"/>
              </w:rPr>
            </w:r>
            <w:r/>
          </w:p>
        </w:tc>
      </w:tr>
      <w:tr>
        <w:trPr>
          <w:cantSplit/>
          <w:trHeight w:val="494"/>
        </w:trPr>
        <w:tc>
          <w:tcPr>
            <w:tcW w:w="601" w:type="dxa"/>
            <w:textDirection w:val="lrTb"/>
            <w:noWrap/>
          </w:tcPr>
          <w:p>
            <w:pPr>
              <w:jc w:val="center"/>
              <w:rPr>
                <w:rFonts w:ascii="宋体" w:hAnsi="宋体"/>
                <w:szCs w:val="21"/>
              </w:rPr>
            </w:pPr>
            <w:r>
              <w:rPr>
                <w:rFonts w:ascii="宋体" w:hAnsi="宋体"/>
                <w:szCs w:val="21"/>
              </w:rPr>
            </w:r>
            <w:r/>
          </w:p>
        </w:tc>
        <w:tc>
          <w:tcPr>
            <w:tcW w:w="1514" w:type="dxa"/>
            <w:vAlign w:val="center"/>
            <w:textDirection w:val="lrTb"/>
            <w:noWrap/>
          </w:tcPr>
          <w:p>
            <w:pPr>
              <w:jc w:val="center"/>
              <w:rPr>
                <w:rFonts w:ascii="宋体" w:hAnsi="宋体"/>
                <w:szCs w:val="21"/>
              </w:rPr>
            </w:pPr>
            <w:r>
              <w:rPr>
                <w:rFonts w:ascii="宋体" w:hAnsi="宋体"/>
                <w:szCs w:val="21"/>
              </w:rPr>
            </w:r>
            <w:r/>
          </w:p>
        </w:tc>
        <w:tc>
          <w:tcPr>
            <w:tcW w:w="1647" w:type="dxa"/>
            <w:vAlign w:val="center"/>
            <w:textDirection w:val="lrTb"/>
            <w:noWrap/>
          </w:tcPr>
          <w:p>
            <w:pPr>
              <w:jc w:val="center"/>
              <w:rPr>
                <w:rFonts w:ascii="宋体" w:hAnsi="宋体"/>
                <w:szCs w:val="21"/>
              </w:rPr>
            </w:pPr>
            <w:r>
              <w:rPr>
                <w:rFonts w:ascii="宋体" w:hAnsi="宋体"/>
                <w:szCs w:val="21"/>
              </w:rPr>
            </w:r>
            <w:r/>
          </w:p>
        </w:tc>
        <w:tc>
          <w:tcPr>
            <w:tcW w:w="1766" w:type="dxa"/>
            <w:vAlign w:val="center"/>
            <w:textDirection w:val="lrTb"/>
            <w:noWrap/>
          </w:tcPr>
          <w:p>
            <w:pPr>
              <w:jc w:val="center"/>
              <w:rPr>
                <w:rFonts w:ascii="宋体" w:hAnsi="宋体"/>
                <w:szCs w:val="21"/>
              </w:rPr>
            </w:pPr>
            <w:r>
              <w:rPr>
                <w:rFonts w:ascii="宋体" w:hAnsi="宋体"/>
                <w:szCs w:val="21"/>
              </w:rPr>
            </w:r>
            <w:r/>
          </w:p>
        </w:tc>
        <w:tc>
          <w:tcPr>
            <w:tcW w:w="1529" w:type="dxa"/>
            <w:vAlign w:val="center"/>
            <w:textDirection w:val="lrTb"/>
            <w:noWrap/>
          </w:tcPr>
          <w:p>
            <w:pPr>
              <w:jc w:val="center"/>
              <w:rPr>
                <w:rFonts w:ascii="宋体" w:hAnsi="宋体"/>
                <w:szCs w:val="21"/>
              </w:rPr>
            </w:pPr>
            <w:r>
              <w:rPr>
                <w:rFonts w:ascii="宋体" w:hAnsi="宋体"/>
                <w:szCs w:val="21"/>
              </w:rPr>
            </w:r>
            <w:r/>
          </w:p>
        </w:tc>
        <w:tc>
          <w:tcPr>
            <w:tcW w:w="1177" w:type="dxa"/>
            <w:textDirection w:val="lrTb"/>
            <w:noWrap/>
          </w:tcPr>
          <w:p>
            <w:pPr>
              <w:jc w:val="center"/>
              <w:rPr>
                <w:rFonts w:ascii="宋体" w:hAnsi="宋体"/>
                <w:szCs w:val="21"/>
              </w:rPr>
            </w:pPr>
            <w:r>
              <w:rPr>
                <w:rFonts w:ascii="宋体" w:hAnsi="宋体"/>
                <w:szCs w:val="21"/>
              </w:rPr>
            </w:r>
            <w:r/>
          </w:p>
        </w:tc>
      </w:tr>
      <w:tr>
        <w:trPr>
          <w:cantSplit/>
          <w:trHeight w:val="494"/>
        </w:trPr>
        <w:tc>
          <w:tcPr>
            <w:tcW w:w="601" w:type="dxa"/>
            <w:textDirection w:val="lrTb"/>
            <w:noWrap/>
          </w:tcPr>
          <w:p>
            <w:pPr>
              <w:jc w:val="center"/>
              <w:rPr>
                <w:rFonts w:ascii="宋体" w:hAnsi="宋体"/>
                <w:szCs w:val="21"/>
              </w:rPr>
            </w:pPr>
            <w:r>
              <w:rPr>
                <w:rFonts w:ascii="宋体" w:hAnsi="宋体"/>
                <w:szCs w:val="21"/>
              </w:rPr>
            </w:r>
            <w:r/>
          </w:p>
        </w:tc>
        <w:tc>
          <w:tcPr>
            <w:tcW w:w="1514" w:type="dxa"/>
            <w:vAlign w:val="center"/>
            <w:textDirection w:val="lrTb"/>
            <w:noWrap/>
          </w:tcPr>
          <w:p>
            <w:pPr>
              <w:jc w:val="center"/>
              <w:rPr>
                <w:rFonts w:ascii="宋体" w:hAnsi="宋体"/>
                <w:szCs w:val="21"/>
              </w:rPr>
            </w:pPr>
            <w:r>
              <w:rPr>
                <w:rFonts w:ascii="宋体" w:hAnsi="宋体"/>
                <w:szCs w:val="21"/>
              </w:rPr>
            </w:r>
            <w:r/>
          </w:p>
        </w:tc>
        <w:tc>
          <w:tcPr>
            <w:tcW w:w="1647" w:type="dxa"/>
            <w:vAlign w:val="center"/>
            <w:textDirection w:val="lrTb"/>
            <w:noWrap/>
          </w:tcPr>
          <w:p>
            <w:pPr>
              <w:jc w:val="center"/>
              <w:rPr>
                <w:rFonts w:ascii="宋体" w:hAnsi="宋体"/>
                <w:szCs w:val="21"/>
              </w:rPr>
            </w:pPr>
            <w:r>
              <w:rPr>
                <w:rFonts w:ascii="宋体" w:hAnsi="宋体"/>
                <w:szCs w:val="21"/>
              </w:rPr>
            </w:r>
            <w:r/>
          </w:p>
        </w:tc>
        <w:tc>
          <w:tcPr>
            <w:tcW w:w="1766" w:type="dxa"/>
            <w:vAlign w:val="center"/>
            <w:textDirection w:val="lrTb"/>
            <w:noWrap/>
          </w:tcPr>
          <w:p>
            <w:pPr>
              <w:jc w:val="center"/>
              <w:rPr>
                <w:rFonts w:ascii="宋体" w:hAnsi="宋体"/>
                <w:szCs w:val="21"/>
              </w:rPr>
            </w:pPr>
            <w:r>
              <w:rPr>
                <w:rFonts w:ascii="宋体" w:hAnsi="宋体"/>
                <w:szCs w:val="21"/>
              </w:rPr>
            </w:r>
            <w:r/>
          </w:p>
        </w:tc>
        <w:tc>
          <w:tcPr>
            <w:tcW w:w="1529" w:type="dxa"/>
            <w:vAlign w:val="center"/>
            <w:textDirection w:val="lrTb"/>
            <w:noWrap/>
          </w:tcPr>
          <w:p>
            <w:pPr>
              <w:jc w:val="center"/>
              <w:rPr>
                <w:rFonts w:ascii="宋体" w:hAnsi="宋体"/>
                <w:szCs w:val="21"/>
              </w:rPr>
            </w:pPr>
            <w:r>
              <w:rPr>
                <w:rFonts w:ascii="宋体" w:hAnsi="宋体"/>
                <w:szCs w:val="21"/>
              </w:rPr>
            </w:r>
            <w:r/>
          </w:p>
        </w:tc>
        <w:tc>
          <w:tcPr>
            <w:tcW w:w="1177" w:type="dxa"/>
            <w:textDirection w:val="lrTb"/>
            <w:noWrap/>
          </w:tcPr>
          <w:p>
            <w:pPr>
              <w:jc w:val="center"/>
              <w:rPr>
                <w:rFonts w:ascii="宋体" w:hAnsi="宋体"/>
                <w:szCs w:val="21"/>
              </w:rPr>
            </w:pPr>
            <w:r>
              <w:rPr>
                <w:rFonts w:ascii="宋体" w:hAnsi="宋体"/>
                <w:szCs w:val="21"/>
              </w:rPr>
            </w:r>
            <w:r/>
          </w:p>
        </w:tc>
      </w:tr>
    </w:tbl>
    <w:p>
      <w:pPr>
        <w:jc w:val="left"/>
        <w:spacing w:line="380" w:lineRule="exact"/>
        <w:rPr>
          <w:rFonts w:ascii="Times New Roman" w:hAnsi="Times New Roman"/>
        </w:rPr>
      </w:pPr>
      <w:r>
        <w:rPr>
          <w:rFonts w:ascii="Times New Roman" w:hAnsi="Times New Roman"/>
        </w:rPr>
      </w:r>
      <w:r/>
    </w:p>
    <w:p>
      <w:pPr>
        <w:jc w:val="left"/>
        <w:rPr>
          <w:rFonts w:ascii="Times New Roman" w:hAnsi="Times New Roman"/>
          <w:b/>
        </w:rPr>
      </w:pPr>
      <w:r>
        <w:rPr>
          <w:rFonts w:ascii="Times New Roman" w:hAnsi="Times New Roman"/>
          <w:b/>
        </w:rPr>
      </w:r>
      <w:r/>
    </w:p>
    <w:p>
      <w:pPr>
        <w:ind w:right="-200"/>
        <w:jc w:val="center"/>
        <w:spacing w:line="360" w:lineRule="auto"/>
        <w:rPr>
          <w:rFonts w:ascii="宋体" w:hAnsi="宋体" w:cs="宋体"/>
          <w:szCs w:val="21"/>
          <w:lang w:val="zh-CN"/>
        </w:rPr>
      </w:pPr>
      <w:r>
        <w:rPr>
          <w:rFonts w:hint="eastAsia" w:ascii="宋体" w:hAnsi="宋体" w:cs="宋体"/>
          <w:szCs w:val="21"/>
        </w:rPr>
        <w:t xml:space="preserve">供应商名称</w:t>
      </w:r>
      <w:r>
        <w:rPr>
          <w:rFonts w:ascii="宋体" w:hAnsi="宋体"/>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年月   日</w:t>
      </w:r>
      <w:r/>
    </w:p>
    <w:p>
      <w:pPr>
        <w:ind w:right="480"/>
        <w:jc w:val="right"/>
        <w:spacing w:line="400" w:lineRule="exact"/>
        <w:rPr>
          <w:rFonts w:ascii="宋体" w:cs="宋体"/>
          <w:sz w:val="22"/>
          <w:lang w:val="zh-CN"/>
        </w:rPr>
      </w:pPr>
      <w:r>
        <w:rPr>
          <w:rFonts w:ascii="宋体" w:cs="宋体"/>
          <w:sz w:val="22"/>
          <w:lang w:val="zh-CN"/>
        </w:rPr>
      </w:r>
      <w:r/>
    </w:p>
    <w:p>
      <w:pPr>
        <w:ind w:left="0" w:firstLine="420"/>
        <w:spacing w:line="360" w:lineRule="auto"/>
        <w:rPr>
          <w:rFonts w:ascii="宋体" w:hAnsi="宋体"/>
          <w:sz w:val="21"/>
          <w:szCs w:val="21"/>
        </w:rPr>
      </w:pPr>
      <w:r>
        <w:rPr>
          <w:rFonts w:ascii="宋体" w:hAnsi="宋体"/>
        </w:rPr>
        <w:t xml:space="preserve">注：1.供应商</w:t>
      </w:r>
      <w:r>
        <w:rPr>
          <w:rFonts w:hint="eastAsia" w:ascii="宋体" w:hAnsi="宋体"/>
          <w:szCs w:val="21"/>
        </w:rPr>
        <w:t xml:space="preserve">应在本表中对照磋商采购文件要求逐项对应列出响应内容，并在“偏离说明”项下填写以下内容：优于的，填写“正偏离”；符合的，填写“无偏离”；低于的，填写“负偏离”。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未说明偏离的，将被认为响应采购文件的规定。</w:t>
      </w:r>
      <w:r>
        <w:rPr>
          <w:rFonts w:hint="eastAsia" w:ascii="宋体" w:hAnsi="宋体"/>
          <w:sz w:val="21"/>
          <w:szCs w:val="21"/>
        </w:rPr>
        <w:t xml:space="preserve">但该表不作为供应商对所响应服务关于商务条款等详细描述和说明的替代。</w:t>
      </w:r>
      <w:r/>
    </w:p>
    <w:p>
      <w:pPr>
        <w:ind w:left="400"/>
        <w:jc w:val="left"/>
        <w:spacing w:line="360" w:lineRule="auto"/>
        <w:rPr>
          <w:rFonts w:ascii="宋体" w:hAnsi="宋体"/>
        </w:rPr>
      </w:pPr>
      <w:r>
        <w:rPr>
          <w:rFonts w:hint="eastAsia" w:ascii="宋体" w:hAnsi="宋体"/>
        </w:rPr>
        <w:t xml:space="preserve">2.</w:t>
      </w:r>
      <w:r>
        <w:rPr>
          <w:rFonts w:ascii="宋体" w:hAnsi="宋体"/>
        </w:rPr>
        <w:t xml:space="preserve">若事项较多，供应商可根据实际情况另纸说明。</w:t>
      </w:r>
      <w:r/>
    </w:p>
    <w:p>
      <w:pPr>
        <w:rPr>
          <w:rFonts w:ascii="Times New Roman" w:hAnsi="Times New Roman"/>
          <w:b/>
        </w:rPr>
      </w:pPr>
      <w:r>
        <w:rPr>
          <w:rFonts w:ascii="Times New Roman" w:hAnsi="Times New Roman"/>
          <w:b/>
        </w:rPr>
      </w:r>
      <w:r/>
    </w:p>
    <w:p>
      <w:pPr>
        <w:rPr>
          <w:rFonts w:ascii="Times New Roman" w:hAnsi="Times New Roman"/>
          <w:b/>
        </w:rPr>
      </w:pPr>
      <w:r>
        <w:rPr>
          <w:rFonts w:ascii="Times New Roman" w:hAnsi="Times New Roman"/>
          <w:b/>
        </w:rPr>
        <w:br w:type="page" w:clear="all"/>
      </w:r>
      <w:r/>
    </w:p>
    <w:p>
      <w:pPr>
        <w:rPr>
          <w:rFonts w:ascii="Times New Roman" w:hAnsi="Times New Roman"/>
          <w:b/>
        </w:rPr>
        <w:outlineLvl w:val="0"/>
      </w:pPr>
      <w:r>
        <w:rPr>
          <w:rFonts w:ascii="Times New Roman" w:hAnsi="Times New Roman"/>
          <w:b/>
        </w:rPr>
        <w:t xml:space="preserve">附件</w:t>
      </w:r>
      <w:r>
        <w:rPr>
          <w:rFonts w:hint="eastAsia" w:ascii="Times New Roman" w:hAnsi="Times New Roman"/>
          <w:b/>
        </w:rPr>
        <w:t xml:space="preserve">8.项目服务人员配置表</w:t>
      </w:r>
      <w:r/>
    </w:p>
    <w:p>
      <w:pPr>
        <w:jc w:val="center"/>
        <w:rPr>
          <w:rFonts w:ascii="宋体" w:hAnsi="宋体"/>
          <w:b/>
          <w:bCs/>
          <w:szCs w:val="21"/>
        </w:rPr>
      </w:pPr>
      <w:r>
        <w:rPr>
          <w:rFonts w:hint="eastAsia" w:ascii="宋体" w:hAnsi="宋体"/>
          <w:b/>
          <w:bCs/>
          <w:szCs w:val="21"/>
        </w:rPr>
        <w:t xml:space="preserve">项目服务人员配置表</w:t>
      </w:r>
      <w:r/>
    </w:p>
    <w:p>
      <w:pPr>
        <w:pStyle w:val="734"/>
      </w:pPr>
      <w:r/>
      <w:r/>
    </w:p>
    <w:tbl>
      <w:tblPr>
        <w:tblStyle w:val="704"/>
        <w:tblW w:w="80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92"/>
        <w:gridCol w:w="1701"/>
        <w:gridCol w:w="1275"/>
        <w:gridCol w:w="927"/>
        <w:gridCol w:w="927"/>
        <w:gridCol w:w="1043"/>
        <w:gridCol w:w="811"/>
        <w:gridCol w:w="811"/>
      </w:tblGrid>
      <w:tr>
        <w:trPr>
          <w:jc w:val="center"/>
          <w:trHeight w:val="729"/>
        </w:trPr>
        <w:tc>
          <w:tcPr>
            <w:tcW w:w="592" w:type="dxa"/>
            <w:vAlign w:val="center"/>
            <w:textDirection w:val="lrTb"/>
            <w:noWrap/>
          </w:tcPr>
          <w:p>
            <w:pPr>
              <w:jc w:val="center"/>
              <w:rPr>
                <w:rFonts w:ascii="宋体" w:hAnsi="宋体" w:cs="宋体"/>
                <w:szCs w:val="21"/>
              </w:rPr>
            </w:pPr>
            <w:r>
              <w:rPr>
                <w:rFonts w:hint="eastAsia" w:ascii="宋体" w:hAnsi="宋体" w:cs="宋体"/>
                <w:szCs w:val="21"/>
              </w:rPr>
              <w:t xml:space="preserve">序号</w:t>
            </w:r>
            <w:r/>
          </w:p>
        </w:tc>
        <w:tc>
          <w:tcPr>
            <w:tcW w:w="1701" w:type="dxa"/>
            <w:vAlign w:val="center"/>
            <w:textDirection w:val="lrTb"/>
            <w:noWrap/>
          </w:tcPr>
          <w:p>
            <w:pPr>
              <w:jc w:val="center"/>
              <w:rPr>
                <w:rFonts w:ascii="宋体" w:hAnsi="宋体" w:cs="宋体"/>
                <w:szCs w:val="21"/>
              </w:rPr>
            </w:pPr>
            <w:r>
              <w:rPr>
                <w:rFonts w:hint="eastAsia" w:ascii="宋体" w:hAnsi="宋体" w:cs="宋体"/>
                <w:szCs w:val="21"/>
              </w:rPr>
              <w:t xml:space="preserve">岗位</w:t>
            </w:r>
            <w:r/>
          </w:p>
        </w:tc>
        <w:tc>
          <w:tcPr>
            <w:tcW w:w="1275" w:type="dxa"/>
            <w:vAlign w:val="center"/>
            <w:textDirection w:val="lrTb"/>
            <w:noWrap/>
          </w:tcPr>
          <w:p>
            <w:pPr>
              <w:jc w:val="center"/>
              <w:rPr>
                <w:rFonts w:ascii="宋体" w:hAnsi="宋体" w:cs="宋体"/>
                <w:szCs w:val="21"/>
              </w:rPr>
            </w:pPr>
            <w:r>
              <w:rPr>
                <w:rFonts w:hint="eastAsia" w:ascii="宋体" w:hAnsi="宋体" w:cs="宋体"/>
                <w:szCs w:val="21"/>
              </w:rPr>
              <w:t xml:space="preserve">姓名</w:t>
            </w:r>
            <w:r/>
          </w:p>
        </w:tc>
        <w:tc>
          <w:tcPr>
            <w:tcW w:w="927" w:type="dxa"/>
            <w:vAlign w:val="center"/>
            <w:textDirection w:val="lrTb"/>
            <w:noWrap/>
          </w:tcPr>
          <w:p>
            <w:pPr>
              <w:jc w:val="center"/>
              <w:rPr>
                <w:rFonts w:ascii="宋体" w:hAnsi="宋体" w:cs="宋体"/>
                <w:szCs w:val="21"/>
              </w:rPr>
            </w:pPr>
            <w:r>
              <w:rPr>
                <w:rFonts w:hint="eastAsia" w:ascii="宋体" w:hAnsi="宋体" w:cs="宋体"/>
                <w:szCs w:val="21"/>
              </w:rPr>
              <w:t xml:space="preserve">性别</w:t>
            </w:r>
            <w:r/>
          </w:p>
        </w:tc>
        <w:tc>
          <w:tcPr>
            <w:tcW w:w="927" w:type="dxa"/>
            <w:vAlign w:val="center"/>
            <w:textDirection w:val="lrTb"/>
            <w:noWrap/>
          </w:tcPr>
          <w:p>
            <w:pPr>
              <w:jc w:val="center"/>
              <w:rPr>
                <w:rFonts w:ascii="宋体" w:hAnsi="宋体" w:cs="宋体"/>
                <w:szCs w:val="21"/>
              </w:rPr>
            </w:pPr>
            <w:r>
              <w:rPr>
                <w:rFonts w:hint="eastAsia" w:ascii="宋体" w:hAnsi="宋体" w:cs="宋体"/>
                <w:szCs w:val="21"/>
              </w:rPr>
              <w:t xml:space="preserve">年龄</w:t>
            </w:r>
            <w:r/>
          </w:p>
        </w:tc>
        <w:tc>
          <w:tcPr>
            <w:tcW w:w="1043" w:type="dxa"/>
            <w:vAlign w:val="center"/>
            <w:textDirection w:val="lrTb"/>
            <w:noWrap/>
          </w:tcPr>
          <w:p>
            <w:pPr>
              <w:jc w:val="center"/>
              <w:rPr>
                <w:rFonts w:ascii="宋体" w:hAnsi="宋体" w:cs="宋体"/>
                <w:szCs w:val="21"/>
              </w:rPr>
            </w:pPr>
            <w:r>
              <w:rPr>
                <w:rFonts w:hint="eastAsia" w:ascii="宋体" w:hAnsi="宋体" w:cs="宋体"/>
                <w:szCs w:val="21"/>
              </w:rPr>
              <w:t xml:space="preserve">学历</w:t>
            </w:r>
            <w:r/>
          </w:p>
        </w:tc>
        <w:tc>
          <w:tcPr>
            <w:tcW w:w="811" w:type="dxa"/>
            <w:vAlign w:val="center"/>
            <w:textDirection w:val="lrTb"/>
            <w:noWrap/>
          </w:tcPr>
          <w:p>
            <w:pPr>
              <w:jc w:val="center"/>
              <w:rPr>
                <w:rFonts w:ascii="宋体" w:hAnsi="宋体" w:cs="宋体"/>
                <w:szCs w:val="21"/>
              </w:rPr>
            </w:pPr>
            <w:r>
              <w:rPr>
                <w:rFonts w:hint="eastAsia" w:ascii="宋体" w:hAnsi="宋体" w:cs="宋体"/>
                <w:szCs w:val="21"/>
              </w:rPr>
              <w:t xml:space="preserve">职称</w:t>
            </w:r>
            <w:r/>
          </w:p>
        </w:tc>
        <w:tc>
          <w:tcPr>
            <w:tcW w:w="811" w:type="dxa"/>
            <w:vAlign w:val="center"/>
            <w:textDirection w:val="lrTb"/>
            <w:noWrap/>
          </w:tcPr>
          <w:p>
            <w:pPr>
              <w:jc w:val="center"/>
              <w:rPr>
                <w:rFonts w:ascii="宋体" w:hAnsi="宋体" w:cs="宋体"/>
                <w:szCs w:val="21"/>
              </w:rPr>
            </w:pPr>
            <w:r>
              <w:rPr>
                <w:rFonts w:hint="eastAsia" w:ascii="宋体" w:hAnsi="宋体" w:cs="宋体"/>
                <w:szCs w:val="21"/>
              </w:rPr>
              <w:t xml:space="preserve">备注</w:t>
            </w:r>
            <w:r/>
          </w:p>
        </w:tc>
      </w:tr>
      <w:tr>
        <w:trPr>
          <w:cantSplit/>
          <w:jc w:val="center"/>
          <w:trHeight w:val="475"/>
        </w:trPr>
        <w:tc>
          <w:tcPr>
            <w:tcW w:w="59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w:t>
            </w:r>
            <w:r/>
          </w:p>
        </w:tc>
        <w:tc>
          <w:tcPr>
            <w:tcW w:w="170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5"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04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1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11"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75"/>
        </w:trPr>
        <w:tc>
          <w:tcPr>
            <w:tcW w:w="59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2</w:t>
            </w:r>
            <w:r/>
          </w:p>
        </w:tc>
        <w:tc>
          <w:tcPr>
            <w:tcW w:w="170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5"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04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1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11"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75"/>
        </w:trPr>
        <w:tc>
          <w:tcPr>
            <w:tcW w:w="59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3</w:t>
            </w:r>
            <w:r/>
          </w:p>
        </w:tc>
        <w:tc>
          <w:tcPr>
            <w:tcW w:w="170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5"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04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1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11"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75"/>
        </w:trPr>
        <w:tc>
          <w:tcPr>
            <w:tcW w:w="59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4</w:t>
            </w:r>
            <w:r/>
          </w:p>
        </w:tc>
        <w:tc>
          <w:tcPr>
            <w:tcW w:w="170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5"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04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1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11"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75"/>
        </w:trPr>
        <w:tc>
          <w:tcPr>
            <w:tcW w:w="59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5</w:t>
            </w:r>
            <w:r/>
          </w:p>
        </w:tc>
        <w:tc>
          <w:tcPr>
            <w:tcW w:w="170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5"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04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1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11"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75"/>
        </w:trPr>
        <w:tc>
          <w:tcPr>
            <w:tcW w:w="59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6</w:t>
            </w:r>
            <w:r/>
          </w:p>
        </w:tc>
        <w:tc>
          <w:tcPr>
            <w:tcW w:w="170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5"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04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1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11"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75"/>
        </w:trPr>
        <w:tc>
          <w:tcPr>
            <w:tcW w:w="59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7</w:t>
            </w:r>
            <w:r/>
          </w:p>
        </w:tc>
        <w:tc>
          <w:tcPr>
            <w:tcW w:w="170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5"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04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1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11"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75"/>
        </w:trPr>
        <w:tc>
          <w:tcPr>
            <w:tcW w:w="59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8</w:t>
            </w:r>
            <w:r/>
          </w:p>
        </w:tc>
        <w:tc>
          <w:tcPr>
            <w:tcW w:w="170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5"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04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1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11"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75"/>
        </w:trPr>
        <w:tc>
          <w:tcPr>
            <w:tcW w:w="59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9</w:t>
            </w:r>
            <w:r/>
          </w:p>
        </w:tc>
        <w:tc>
          <w:tcPr>
            <w:tcW w:w="170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5"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04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1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11"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75"/>
        </w:trPr>
        <w:tc>
          <w:tcPr>
            <w:tcW w:w="59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10</w:t>
            </w:r>
            <w:r/>
          </w:p>
        </w:tc>
        <w:tc>
          <w:tcPr>
            <w:tcW w:w="170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5"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04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1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11"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75"/>
        </w:trPr>
        <w:tc>
          <w:tcPr>
            <w:tcW w:w="59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11</w:t>
            </w:r>
            <w:r/>
          </w:p>
        </w:tc>
        <w:tc>
          <w:tcPr>
            <w:tcW w:w="170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5"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04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1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11"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75"/>
        </w:trPr>
        <w:tc>
          <w:tcPr>
            <w:tcW w:w="59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12</w:t>
            </w:r>
            <w:r/>
          </w:p>
        </w:tc>
        <w:tc>
          <w:tcPr>
            <w:tcW w:w="170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5"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04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1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11"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75"/>
        </w:trPr>
        <w:tc>
          <w:tcPr>
            <w:tcW w:w="59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13</w:t>
            </w:r>
            <w:r/>
          </w:p>
        </w:tc>
        <w:tc>
          <w:tcPr>
            <w:tcW w:w="170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5"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04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1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11"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75"/>
        </w:trPr>
        <w:tc>
          <w:tcPr>
            <w:tcW w:w="59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14</w:t>
            </w:r>
            <w:r/>
          </w:p>
        </w:tc>
        <w:tc>
          <w:tcPr>
            <w:tcW w:w="170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5"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04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1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11"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75"/>
        </w:trPr>
        <w:tc>
          <w:tcPr>
            <w:tcW w:w="59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15</w:t>
            </w:r>
            <w:r/>
          </w:p>
        </w:tc>
        <w:tc>
          <w:tcPr>
            <w:tcW w:w="170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5"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04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1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11"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75"/>
        </w:trPr>
        <w:tc>
          <w:tcPr>
            <w:tcW w:w="59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16</w:t>
            </w:r>
            <w:r/>
          </w:p>
        </w:tc>
        <w:tc>
          <w:tcPr>
            <w:tcW w:w="170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5"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04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1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11"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75"/>
        </w:trPr>
        <w:tc>
          <w:tcPr>
            <w:tcW w:w="59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17</w:t>
            </w:r>
            <w:r/>
          </w:p>
        </w:tc>
        <w:tc>
          <w:tcPr>
            <w:tcW w:w="170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5"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04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1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11" w:type="dxa"/>
            <w:textDirection w:val="lrTb"/>
            <w:noWrap/>
          </w:tcPr>
          <w:p>
            <w:pPr>
              <w:jc w:val="center"/>
              <w:spacing w:line="360" w:lineRule="auto"/>
              <w:rPr>
                <w:rFonts w:ascii="宋体" w:hAnsi="宋体" w:cs="宋体"/>
                <w:szCs w:val="21"/>
              </w:rPr>
            </w:pPr>
            <w:r>
              <w:rPr>
                <w:rFonts w:ascii="宋体" w:hAnsi="宋体" w:cs="宋体"/>
                <w:szCs w:val="21"/>
              </w:rPr>
            </w:r>
            <w:r/>
          </w:p>
        </w:tc>
      </w:tr>
    </w:tbl>
    <w:p>
      <w:pPr>
        <w:jc w:val="left"/>
        <w:spacing w:line="360" w:lineRule="auto"/>
        <w:rPr>
          <w:rFonts w:ascii="Times New Roman" w:hAnsi="Times New Roman"/>
        </w:rPr>
      </w:pPr>
      <w:r>
        <w:rPr>
          <w:rFonts w:hint="eastAsia" w:ascii="宋体" w:hAnsi="宋体"/>
          <w:szCs w:val="21"/>
        </w:rPr>
        <w:t xml:space="preserve">注：1</w:t>
      </w:r>
      <w:r>
        <w:rPr>
          <w:rFonts w:ascii="宋体" w:hAnsi="宋体"/>
          <w:szCs w:val="21"/>
        </w:rPr>
        <w:t xml:space="preserve">.</w:t>
      </w:r>
      <w:r>
        <w:rPr>
          <w:rFonts w:ascii="Times New Roman" w:hAnsi="Times New Roman"/>
        </w:rPr>
        <w:t xml:space="preserve">若事项较多，供应商可根据实际情况另纸说明</w:t>
      </w:r>
      <w:r>
        <w:rPr>
          <w:rFonts w:hint="eastAsia" w:ascii="Times New Roman" w:hAnsi="Times New Roman"/>
        </w:rPr>
        <w:t xml:space="preserve">。</w:t>
      </w:r>
      <w:r/>
    </w:p>
    <w:p>
      <w:pPr>
        <w:ind w:firstLine="420"/>
        <w:jc w:val="left"/>
        <w:spacing w:line="360" w:lineRule="auto"/>
        <w:rPr>
          <w:rFonts w:ascii="Times New Roman" w:hAnsi="宋体"/>
          <w:sz w:val="24"/>
          <w:szCs w:val="24"/>
        </w:rPr>
      </w:pPr>
      <w:r>
        <w:rPr>
          <w:rFonts w:hint="eastAsia" w:ascii="Times New Roman" w:hAnsi="Times New Roman"/>
        </w:rPr>
        <w:t xml:space="preserve">2</w:t>
      </w:r>
      <w:r>
        <w:rPr>
          <w:rFonts w:ascii="Times New Roman" w:hAnsi="Times New Roman"/>
        </w:rPr>
        <w:t xml:space="preserve">.</w:t>
      </w:r>
      <w:r>
        <w:rPr>
          <w:rFonts w:hint="eastAsia" w:ascii="Times New Roman" w:hAnsi="Times New Roman"/>
        </w:rPr>
        <w:t xml:space="preserve">请将相关证明材料复印件加盖公章后附在本表后面。</w:t>
      </w:r>
      <w:r/>
    </w:p>
    <w:p>
      <w:pPr>
        <w:ind w:right="-200"/>
        <w:jc w:val="center"/>
        <w:spacing w:line="360" w:lineRule="auto"/>
        <w:rPr>
          <w:rFonts w:ascii="宋体" w:hAnsi="宋体" w:cs="宋体"/>
          <w:szCs w:val="21"/>
          <w:lang w:val="zh-CN"/>
        </w:rPr>
      </w:pPr>
      <w:r>
        <w:rPr>
          <w:rFonts w:hint="eastAsia" w:ascii="宋体" w:hAnsi="宋体" w:cs="宋体"/>
          <w:szCs w:val="21"/>
        </w:rPr>
        <w:t xml:space="preserve">供应商名称</w:t>
      </w:r>
      <w:r>
        <w:rPr>
          <w:rFonts w:ascii="宋体" w:hAnsi="宋体"/>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年月   日</w:t>
      </w:r>
      <w:r/>
    </w:p>
    <w:p>
      <w:pPr>
        <w:pStyle w:val="734"/>
        <w:rPr>
          <w:lang w:val="zh-CN"/>
        </w:rPr>
      </w:pPr>
      <w:r>
        <w:rPr>
          <w:lang w:val="zh-CN"/>
        </w:rPr>
      </w:r>
      <w:r/>
    </w:p>
    <w:p>
      <w:pPr>
        <w:jc w:val="center"/>
        <w:rPr>
          <w:rFonts w:ascii="宋体" w:hAnsi="宋体" w:cs="宋体"/>
          <w:szCs w:val="21"/>
          <w:lang w:val="zh-CN"/>
        </w:rPr>
      </w:pPr>
      <w:r>
        <w:rPr>
          <w:rFonts w:hint="eastAsia" w:ascii="宋体" w:hAnsi="宋体" w:cs="宋体"/>
          <w:szCs w:val="21"/>
          <w:lang w:val="zh-CN"/>
        </w:rPr>
        <w:br w:type="page" w:clear="all"/>
      </w:r>
      <w:r/>
    </w:p>
    <w:p>
      <w:pPr>
        <w:rPr>
          <w:rFonts w:ascii="Times New Roman" w:hAnsi="Times New Roman"/>
          <w:b/>
        </w:rPr>
        <w:outlineLvl w:val="0"/>
      </w:pPr>
      <w:r>
        <w:rPr>
          <w:rFonts w:ascii="Times New Roman" w:hAnsi="Times New Roman"/>
          <w:b/>
        </w:rPr>
        <w:t xml:space="preserve">附件9</w:t>
      </w:r>
      <w:r>
        <w:rPr>
          <w:rFonts w:hint="eastAsia" w:ascii="Times New Roman" w:hAnsi="Times New Roman"/>
          <w:b/>
        </w:rPr>
        <w:t xml:space="preserve">.针对本项目的技术方案及制度</w:t>
      </w:r>
      <w:r/>
    </w:p>
    <w:p>
      <w:pPr>
        <w:jc w:val="center"/>
        <w:spacing w:line="360" w:lineRule="auto"/>
        <w:tabs>
          <w:tab w:val="left" w:pos="1320" w:leader="none"/>
        </w:tabs>
        <w:rPr>
          <w:rFonts w:ascii="宋体" w:hAnsi="宋体"/>
          <w:b/>
          <w:szCs w:val="21"/>
        </w:rPr>
      </w:pPr>
      <w:r>
        <w:rPr>
          <w:rFonts w:hint="eastAsia" w:ascii="宋体" w:hAnsi="宋体"/>
          <w:b/>
          <w:szCs w:val="21"/>
        </w:rPr>
        <w:t xml:space="preserve">针对本项目的技术方案及制度</w:t>
      </w:r>
      <w:r/>
    </w:p>
    <w:tbl>
      <w:tblPr>
        <w:tblStyle w:val="704"/>
        <w:tblW w:w="84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474"/>
      </w:tblGrid>
      <w:tr>
        <w:trPr>
          <w:jc w:val="center"/>
          <w:trHeight w:val="783"/>
        </w:trPr>
        <w:tc>
          <w:tcPr>
            <w:tcW w:w="8474" w:type="dxa"/>
            <w:textDirection w:val="lrTb"/>
            <w:noWrap/>
          </w:tcPr>
          <w:p>
            <w:pPr>
              <w:jc w:val="left"/>
              <w:rPr>
                <w:rFonts w:ascii="宋体" w:hAnsi="宋体"/>
                <w:szCs w:val="21"/>
              </w:rPr>
            </w:pPr>
            <w:r>
              <w:rPr>
                <w:rFonts w:hint="eastAsia" w:ascii="宋体" w:hAnsi="宋体"/>
                <w:szCs w:val="21"/>
              </w:rPr>
              <w:t xml:space="preserve">提示：</w:t>
            </w:r>
            <w:r/>
          </w:p>
          <w:p>
            <w:pPr>
              <w:jc w:val="left"/>
              <w:rPr>
                <w:rFonts w:ascii="宋体" w:hAnsi="宋体"/>
                <w:szCs w:val="21"/>
              </w:rPr>
            </w:pPr>
            <w:r>
              <w:rPr>
                <w:rFonts w:hint="eastAsia" w:ascii="宋体" w:hAnsi="宋体"/>
                <w:szCs w:val="21"/>
              </w:rPr>
              <w:t xml:space="preserve">1、供应商应针对本次采购项目特点编写公司成交后拟采取的管理技术方案。</w:t>
            </w:r>
            <w:r/>
          </w:p>
          <w:p>
            <w:pPr>
              <w:jc w:val="left"/>
              <w:rPr>
                <w:rFonts w:ascii="宋体" w:hAnsi="宋体"/>
                <w:b/>
                <w:szCs w:val="21"/>
              </w:rPr>
            </w:pPr>
            <w:r>
              <w:rPr>
                <w:rFonts w:hint="eastAsia" w:ascii="宋体" w:hAnsi="宋体"/>
                <w:szCs w:val="21"/>
              </w:rPr>
              <w:t xml:space="preserve">2、供应商可根据自身情况编写，本页不够可另加页附后。</w:t>
            </w:r>
            <w:r/>
          </w:p>
        </w:tc>
      </w:tr>
      <w:tr>
        <w:trPr>
          <w:jc w:val="center"/>
          <w:trHeight w:val="9222"/>
        </w:trPr>
        <w:tc>
          <w:tcPr>
            <w:tcW w:w="8474" w:type="dxa"/>
            <w:textDirection w:val="lrTb"/>
            <w:noWrap/>
          </w:tcPr>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szCs w:val="21"/>
              </w:rPr>
            </w:pPr>
            <w:r>
              <w:rPr>
                <w:rFonts w:ascii="宋体" w:hAnsi="宋体"/>
                <w:szCs w:val="21"/>
              </w:rPr>
            </w:r>
            <w:r/>
          </w:p>
        </w:tc>
      </w:tr>
    </w:tbl>
    <w:p>
      <w:pPr>
        <w:ind w:right="-200"/>
        <w:jc w:val="center"/>
        <w:spacing w:line="360" w:lineRule="auto"/>
        <w:rPr>
          <w:rFonts w:ascii="宋体" w:hAnsi="宋体" w:cs="宋体"/>
          <w:szCs w:val="21"/>
          <w:lang w:val="zh-CN"/>
        </w:rPr>
      </w:pPr>
      <w:r>
        <w:rPr>
          <w:rFonts w:hint="eastAsia" w:ascii="宋体" w:hAnsi="宋体" w:cs="宋体"/>
          <w:szCs w:val="21"/>
        </w:rPr>
        <w:t xml:space="preserve">供应商名称</w:t>
      </w:r>
      <w:r>
        <w:rPr>
          <w:rFonts w:ascii="宋体" w:hAnsi="宋体"/>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年月   日</w:t>
      </w:r>
      <w:r/>
    </w:p>
    <w:p>
      <w:pPr>
        <w:jc w:val="left"/>
        <w:rPr>
          <w:rFonts w:ascii="宋体" w:hAnsi="宋体"/>
        </w:rPr>
      </w:pPr>
      <w:r>
        <w:rPr>
          <w:rFonts w:ascii="宋体" w:hAnsi="宋体"/>
        </w:rPr>
      </w:r>
      <w:r/>
    </w:p>
    <w:p>
      <w:pPr>
        <w:pStyle w:val="734"/>
        <w:rPr>
          <w:rFonts w:hAnsi="宋体"/>
          <w:szCs w:val="21"/>
        </w:rPr>
      </w:pPr>
      <w:r>
        <w:rPr>
          <w:rFonts w:hAnsi="宋体"/>
          <w:szCs w:val="21"/>
        </w:rPr>
      </w:r>
      <w:r/>
    </w:p>
    <w:p>
      <w:pPr>
        <w:jc w:val="left"/>
        <w:widowControl/>
        <w:rPr>
          <w:rFonts w:ascii="宋体" w:hAnsi="宋体"/>
          <w:b/>
          <w:szCs w:val="21"/>
        </w:rPr>
      </w:pPr>
      <w:r>
        <w:rPr>
          <w:rFonts w:ascii="宋体" w:hAnsi="宋体"/>
          <w:b/>
          <w:szCs w:val="21"/>
        </w:rPr>
        <w:br w:type="page" w:clear="all"/>
      </w:r>
      <w:r/>
    </w:p>
    <w:p>
      <w:pPr>
        <w:rPr>
          <w:rFonts w:ascii="宋体" w:hAnsi="宋体"/>
          <w:b/>
          <w:szCs w:val="21"/>
        </w:rPr>
        <w:outlineLvl w:val="0"/>
      </w:pPr>
      <w:r>
        <w:rPr>
          <w:rFonts w:ascii="宋体" w:hAnsi="宋体"/>
          <w:b/>
          <w:szCs w:val="21"/>
        </w:rPr>
        <w:t xml:space="preserve">附件</w:t>
      </w:r>
      <w:r>
        <w:rPr>
          <w:rFonts w:hint="eastAsia" w:ascii="宋体" w:hAnsi="宋体"/>
          <w:b/>
          <w:szCs w:val="21"/>
        </w:rPr>
        <w:t xml:space="preserve">1</w:t>
      </w:r>
      <w:r>
        <w:rPr>
          <w:rFonts w:ascii="宋体" w:hAnsi="宋体"/>
          <w:b/>
          <w:szCs w:val="21"/>
        </w:rPr>
        <w:t xml:space="preserve">0</w:t>
      </w:r>
      <w:r>
        <w:rPr>
          <w:rFonts w:hint="eastAsia" w:ascii="宋体" w:hAnsi="宋体"/>
          <w:b/>
          <w:szCs w:val="21"/>
        </w:rPr>
        <w:t xml:space="preserve">.</w:t>
      </w:r>
      <w:r>
        <w:rPr>
          <w:rFonts w:hint="eastAsia" w:ascii="宋体" w:hAnsi="宋体" w:cs="宋体"/>
          <w:b/>
          <w:szCs w:val="21"/>
        </w:rPr>
        <w:t xml:space="preserve">相关</w:t>
      </w:r>
      <w:r>
        <w:rPr>
          <w:rFonts w:hint="eastAsia" w:ascii="宋体" w:hAnsi="宋体"/>
          <w:b/>
          <w:szCs w:val="21"/>
        </w:rPr>
        <w:t xml:space="preserve">业绩一览表</w:t>
      </w:r>
      <w:r/>
    </w:p>
    <w:p>
      <w:pP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t xml:space="preserve">相关业绩一览表</w:t>
      </w:r>
      <w:r/>
    </w:p>
    <w:p>
      <w:pPr>
        <w:jc w:val="center"/>
        <w:rPr>
          <w:rFonts w:ascii="宋体" w:hAnsi="宋体"/>
          <w:b/>
          <w:bCs/>
          <w:szCs w:val="21"/>
        </w:rPr>
      </w:pPr>
      <w:r>
        <w:rPr>
          <w:rFonts w:ascii="宋体" w:hAnsi="宋体"/>
          <w:b/>
          <w:bCs/>
          <w:szCs w:val="21"/>
        </w:rPr>
      </w:r>
      <w:r/>
    </w:p>
    <w:tbl>
      <w:tblPr>
        <w:tblStyle w:val="704"/>
        <w:tblW w:w="764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tcPr>
          <w:p>
            <w:pPr>
              <w:jc w:val="center"/>
              <w:spacing w:line="400" w:lineRule="exact"/>
              <w:rPr>
                <w:rFonts w:ascii="宋体" w:hAnsi="宋体"/>
                <w:szCs w:val="21"/>
              </w:rPr>
            </w:pPr>
            <w:r>
              <w:rPr>
                <w:rFonts w:ascii="宋体" w:hAnsi="宋体"/>
                <w:szCs w:val="21"/>
              </w:rPr>
              <w:t xml:space="preserve">序号</w:t>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t xml:space="preserve">项目名称</w:t>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t xml:space="preserve">合同期</w:t>
            </w:r>
            <w:r/>
          </w:p>
        </w:tc>
        <w:tc>
          <w:tcPr>
            <w:tcBorders>
              <w:right w:val="single" w:color="auto" w:sz="4" w:space="0"/>
            </w:tcBorders>
            <w:tcW w:w="1930" w:type="dxa"/>
            <w:vAlign w:val="center"/>
            <w:textDirection w:val="lrTb"/>
            <w:noWrap/>
          </w:tcPr>
          <w:p>
            <w:pPr>
              <w:jc w:val="center"/>
              <w:spacing w:line="400" w:lineRule="exact"/>
              <w:rPr>
                <w:rFonts w:ascii="宋体" w:hAnsi="宋体"/>
                <w:szCs w:val="21"/>
              </w:rPr>
            </w:pPr>
            <w:r>
              <w:rPr>
                <w:rFonts w:hint="eastAsia" w:ascii="宋体" w:hAnsi="宋体"/>
                <w:szCs w:val="21"/>
              </w:rPr>
              <w:t xml:space="preserve">合同金额</w:t>
            </w:r>
            <w:r/>
          </w:p>
        </w:tc>
        <w:tc>
          <w:tcPr>
            <w:tcW w:w="1467" w:type="dxa"/>
            <w:vAlign w:val="center"/>
            <w:textDirection w:val="lrTb"/>
            <w:noWrap/>
          </w:tcPr>
          <w:p>
            <w:pPr>
              <w:jc w:val="center"/>
              <w:spacing w:line="400" w:lineRule="exact"/>
              <w:rPr>
                <w:rFonts w:ascii="宋体" w:hAnsi="宋体"/>
                <w:szCs w:val="21"/>
              </w:rPr>
            </w:pPr>
            <w:r>
              <w:rPr>
                <w:rFonts w:ascii="宋体" w:hAnsi="宋体"/>
                <w:szCs w:val="21"/>
              </w:rPr>
              <w:t xml:space="preserve">备注</w:t>
            </w:r>
            <w:r/>
          </w:p>
        </w:tc>
      </w:tr>
      <w:tr>
        <w:trPr>
          <w:cantSplit/>
          <w:jc w:val="center"/>
          <w:trHeight w:val="510" w:hRule="exact"/>
        </w:trPr>
        <w:tc>
          <w:tcPr>
            <w:tcW w:w="1003" w:type="dxa"/>
            <w:vAlign w:val="center"/>
            <w:textDirection w:val="lrTb"/>
            <w:noWrap/>
          </w:tcPr>
          <w:p>
            <w:pPr>
              <w:jc w:val="center"/>
              <w:spacing w:line="400" w:lineRule="exact"/>
              <w:rPr>
                <w:rFonts w:ascii="宋体" w:hAnsi="宋体"/>
                <w:szCs w:val="21"/>
              </w:rPr>
            </w:pPr>
            <w:r>
              <w:rPr>
                <w:rFonts w:ascii="宋体" w:hAnsi="宋体"/>
                <w:szCs w:val="21"/>
              </w:rPr>
              <w:t xml:space="preserve">1</w:t>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930" w:type="dxa"/>
            <w:vAlign w:val="center"/>
            <w:textDirection w:val="lrTb"/>
            <w:noWrap/>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tcPr>
          <w:p>
            <w:pPr>
              <w:jc w:val="center"/>
              <w:spacing w:line="400" w:lineRule="exact"/>
              <w:rPr>
                <w:rFonts w:ascii="宋体" w:hAnsi="宋体"/>
                <w:szCs w:val="21"/>
              </w:rPr>
            </w:pPr>
            <w:r>
              <w:rPr>
                <w:rFonts w:ascii="宋体" w:hAnsi="宋体"/>
                <w:szCs w:val="21"/>
              </w:rPr>
              <w:t xml:space="preserve">2</w:t>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930" w:type="dxa"/>
            <w:vAlign w:val="center"/>
            <w:textDirection w:val="lrTb"/>
            <w:noWrap/>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tcPr>
          <w:p>
            <w:pPr>
              <w:jc w:val="center"/>
              <w:spacing w:line="400" w:lineRule="exact"/>
              <w:rPr>
                <w:rFonts w:ascii="宋体" w:hAnsi="宋体"/>
                <w:szCs w:val="21"/>
              </w:rPr>
            </w:pPr>
            <w:r>
              <w:rPr>
                <w:rFonts w:ascii="宋体" w:hAnsi="宋体"/>
                <w:szCs w:val="21"/>
              </w:rPr>
              <w:t xml:space="preserve">3</w:t>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930" w:type="dxa"/>
            <w:vAlign w:val="center"/>
            <w:textDirection w:val="lrTb"/>
            <w:noWrap/>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tcPr>
          <w:p>
            <w:pPr>
              <w:jc w:val="center"/>
              <w:spacing w:line="400" w:lineRule="exact"/>
              <w:rPr>
                <w:rFonts w:ascii="宋体" w:hAnsi="宋体"/>
                <w:szCs w:val="21"/>
              </w:rPr>
            </w:pPr>
            <w:r>
              <w:rPr>
                <w:rFonts w:ascii="宋体" w:hAnsi="宋体"/>
                <w:szCs w:val="21"/>
              </w:rPr>
              <w:t xml:space="preserve">4</w:t>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930" w:type="dxa"/>
            <w:vAlign w:val="center"/>
            <w:textDirection w:val="lrTb"/>
            <w:noWrap/>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tcPr>
          <w:p>
            <w:pPr>
              <w:jc w:val="center"/>
              <w:spacing w:line="400" w:lineRule="exact"/>
              <w:rPr>
                <w:rFonts w:ascii="宋体" w:hAnsi="宋体"/>
                <w:szCs w:val="21"/>
              </w:rPr>
            </w:pPr>
            <w:r>
              <w:rPr>
                <w:rFonts w:ascii="宋体" w:hAnsi="宋体"/>
                <w:szCs w:val="21"/>
              </w:rPr>
              <w:t xml:space="preserve">5</w:t>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930" w:type="dxa"/>
            <w:vAlign w:val="center"/>
            <w:textDirection w:val="lrTb"/>
            <w:noWrap/>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930" w:type="dxa"/>
            <w:vAlign w:val="center"/>
            <w:textDirection w:val="lrTb"/>
            <w:noWrap/>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930" w:type="dxa"/>
            <w:vAlign w:val="center"/>
            <w:textDirection w:val="lrTb"/>
            <w:noWrap/>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930" w:type="dxa"/>
            <w:vAlign w:val="center"/>
            <w:textDirection w:val="lrTb"/>
            <w:noWrap/>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tcPr>
          <w:p>
            <w:pPr>
              <w:jc w:val="center"/>
              <w:spacing w:line="400" w:lineRule="exact"/>
              <w:rPr>
                <w:rFonts w:ascii="宋体" w:hAnsi="宋体"/>
                <w:szCs w:val="21"/>
              </w:rPr>
            </w:pPr>
            <w:r>
              <w:rPr>
                <w:rFonts w:ascii="宋体" w:hAnsi="宋体"/>
                <w:szCs w:val="21"/>
              </w:rPr>
            </w:r>
            <w:r/>
          </w:p>
        </w:tc>
      </w:tr>
    </w:tbl>
    <w:p>
      <w:pPr>
        <w:jc w:val="left"/>
        <w:spacing w:line="360" w:lineRule="auto"/>
        <w:rPr>
          <w:rFonts w:ascii="宋体" w:hAnsi="宋体"/>
          <w:szCs w:val="21"/>
        </w:rPr>
      </w:pPr>
      <w:r>
        <w:rPr>
          <w:rFonts w:hint="eastAsia" w:ascii="宋体" w:hAnsi="宋体"/>
          <w:szCs w:val="21"/>
        </w:rPr>
        <w:t xml:space="preserve">注：1</w:t>
      </w:r>
      <w:r>
        <w:rPr>
          <w:rFonts w:ascii="宋体" w:hAnsi="宋体"/>
          <w:szCs w:val="21"/>
        </w:rPr>
        <w:t xml:space="preserve">.若事项较多，供应商可根据实际情况另纸说明</w:t>
      </w:r>
      <w:r>
        <w:rPr>
          <w:rFonts w:hint="eastAsia"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2</w:t>
      </w:r>
      <w:r>
        <w:rPr>
          <w:rFonts w:hint="eastAsia" w:ascii="宋体" w:hAnsi="宋体"/>
          <w:szCs w:val="21"/>
        </w:rPr>
        <w:t xml:space="preserve">.请将其他相关证明材料复印件加盖公章后附在本表后面。</w:t>
      </w:r>
      <w:r/>
    </w:p>
    <w:p>
      <w:pPr>
        <w:jc w:val="left"/>
        <w:spacing w:line="360" w:lineRule="auto"/>
        <w:rPr>
          <w:rFonts w:ascii="宋体" w:hAnsi="宋体"/>
          <w:b/>
          <w:szCs w:val="21"/>
        </w:rPr>
      </w:pPr>
      <w:r>
        <w:rPr>
          <w:rFonts w:ascii="宋体" w:hAnsi="宋体"/>
          <w:b/>
          <w:szCs w:val="21"/>
        </w:rPr>
      </w:r>
      <w:r/>
    </w:p>
    <w:p>
      <w:pPr>
        <w:ind w:right="-200"/>
        <w:jc w:val="center"/>
        <w:spacing w:line="360" w:lineRule="auto"/>
        <w:rPr>
          <w:rFonts w:ascii="宋体" w:hAnsi="宋体" w:cs="宋体"/>
          <w:szCs w:val="21"/>
          <w:lang w:val="zh-CN"/>
        </w:rPr>
      </w:pPr>
      <w:r>
        <w:rPr>
          <w:rFonts w:hint="eastAsia" w:ascii="宋体" w:hAnsi="宋体" w:cs="宋体"/>
          <w:szCs w:val="21"/>
        </w:rPr>
        <w:t xml:space="preserve">供应商名称</w:t>
      </w:r>
      <w:r>
        <w:rPr>
          <w:rFonts w:ascii="宋体" w:hAnsi="宋体"/>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年月   日</w:t>
      </w:r>
      <w:r/>
    </w:p>
    <w:p>
      <w:pPr>
        <w:pStyle w:val="928"/>
      </w:pPr>
      <w:r/>
      <w:r/>
    </w:p>
    <w:p>
      <w:pPr>
        <w:pStyle w:val="928"/>
        <w:rPr>
          <w:lang w:val="zh-CN"/>
        </w:rPr>
      </w:pPr>
      <w:r>
        <w:rPr>
          <w:lang w:val="zh-CN"/>
        </w:rPr>
      </w:r>
      <w:r/>
    </w:p>
    <w:p>
      <w:r/>
      <w:r/>
    </w:p>
    <w:p>
      <w:pPr>
        <w:rPr>
          <w:rFonts w:ascii="宋体" w:hAnsi="宋体"/>
          <w:b/>
          <w:szCs w:val="21"/>
        </w:rPr>
      </w:pPr>
      <w:r>
        <w:rPr>
          <w:rFonts w:ascii="宋体" w:hAnsi="宋体"/>
          <w:b/>
          <w:szCs w:val="21"/>
        </w:rPr>
        <w:br w:type="page" w:clear="all"/>
      </w:r>
      <w:r/>
    </w:p>
    <w:p>
      <w:pPr>
        <w:rPr>
          <w:rFonts w:ascii="宋体" w:hAnsi="宋体"/>
          <w:b/>
          <w:szCs w:val="21"/>
        </w:rPr>
        <w:outlineLvl w:val="0"/>
      </w:pPr>
      <w:r>
        <w:rPr>
          <w:rFonts w:ascii="宋体" w:hAnsi="宋体"/>
          <w:b/>
          <w:szCs w:val="21"/>
        </w:rPr>
        <w:t xml:space="preserve">附件</w:t>
      </w:r>
      <w:r>
        <w:rPr>
          <w:rFonts w:hint="eastAsia" w:ascii="宋体" w:hAnsi="宋体"/>
          <w:b/>
          <w:szCs w:val="21"/>
        </w:rPr>
        <w:t xml:space="preserve">1</w:t>
      </w:r>
      <w:r>
        <w:rPr>
          <w:rFonts w:ascii="宋体" w:hAnsi="宋体"/>
          <w:b/>
          <w:szCs w:val="21"/>
        </w:rPr>
        <w:t xml:space="preserve">1</w:t>
      </w:r>
      <w:r>
        <w:rPr>
          <w:rFonts w:hint="eastAsia" w:ascii="宋体" w:hAnsi="宋体"/>
          <w:b/>
          <w:szCs w:val="21"/>
        </w:rPr>
        <w:t xml:space="preserve">.</w:t>
      </w:r>
      <w:r>
        <w:rPr>
          <w:rFonts w:ascii="Times New Roman" w:hAnsi="Times New Roman"/>
          <w:b/>
        </w:rPr>
        <w:t xml:space="preserve">中小企业</w:t>
      </w:r>
      <w:r>
        <w:rPr>
          <w:rFonts w:ascii="宋体" w:hAnsi="宋体"/>
          <w:b/>
          <w:szCs w:val="21"/>
        </w:rPr>
        <w:t xml:space="preserve">声明函</w:t>
      </w:r>
      <w:r/>
    </w:p>
    <w:p>
      <w:pPr>
        <w:jc w:val="left"/>
        <w:spacing w:line="480" w:lineRule="exact"/>
        <w:rPr>
          <w:rFonts w:ascii="宋体" w:hAnsi="宋体"/>
          <w:b/>
          <w:szCs w:val="21"/>
        </w:rPr>
      </w:pPr>
      <w:r>
        <w:rPr>
          <w:rFonts w:ascii="宋体" w:hAnsi="宋体"/>
          <w:b/>
          <w:szCs w:val="21"/>
        </w:rPr>
      </w:r>
      <w:r/>
    </w:p>
    <w:p>
      <w:pPr>
        <w:jc w:val="center"/>
        <w:spacing w:line="480" w:lineRule="exact"/>
        <w:rPr>
          <w:rFonts w:ascii="宋体" w:hAnsi="宋体"/>
          <w:b/>
          <w:szCs w:val="21"/>
        </w:rPr>
      </w:pPr>
      <w:r>
        <w:rPr>
          <w:rFonts w:hint="eastAsia" w:ascii="宋体" w:hAnsi="宋体"/>
          <w:b/>
          <w:szCs w:val="21"/>
        </w:rPr>
        <w:t xml:space="preserve">中小企业声明函（服务）</w:t>
      </w:r>
      <w:r/>
    </w:p>
    <w:p>
      <w:pPr>
        <w:jc w:val="left"/>
        <w:spacing w:line="480" w:lineRule="exact"/>
        <w:rPr>
          <w:rFonts w:ascii="宋体" w:hAnsi="宋体"/>
          <w:szCs w:val="21"/>
        </w:rPr>
      </w:pPr>
      <w:r>
        <w:rPr>
          <w:rFonts w:hint="eastAsia" w:ascii="宋体" w:hAnsi="宋体"/>
          <w:szCs w:val="21"/>
          <w:u w:val="single"/>
        </w:rPr>
        <w:t xml:space="preserve">苏州市润芳招投标咨询服务有限公司：</w:t>
      </w:r>
      <w:r/>
    </w:p>
    <w:p>
      <w:pPr>
        <w:ind w:firstLine="420"/>
        <w:spacing w:line="480" w:lineRule="exact"/>
        <w:rPr>
          <w:rFonts w:ascii="宋体" w:hAnsi="宋体"/>
          <w:szCs w:val="21"/>
          <w:u w:val="single"/>
        </w:rPr>
      </w:pPr>
      <w:r>
        <w:rPr>
          <w:rFonts w:hint="eastAsia" w:ascii="宋体" w:hAnsi="宋体"/>
          <w:szCs w:val="21"/>
        </w:rPr>
        <w:t xml:space="preserve">本公司（联合体）郑重声明，根据《政府采购促进中小企业发展管理办法》（财库[20</w:t>
      </w:r>
      <w:r>
        <w:rPr>
          <w:rFonts w:ascii="宋体" w:hAnsi="宋体"/>
          <w:szCs w:val="21"/>
        </w:rPr>
        <w:t xml:space="preserve">20</w:t>
      </w:r>
      <w:r>
        <w:rPr>
          <w:rFonts w:hint="eastAsia" w:ascii="宋体" w:hAnsi="宋体"/>
          <w:szCs w:val="21"/>
        </w:rPr>
        <w:t xml:space="preserve">]</w:t>
      </w:r>
      <w:r>
        <w:rPr>
          <w:rFonts w:ascii="宋体" w:hAnsi="宋体"/>
          <w:szCs w:val="21"/>
        </w:rPr>
        <w:t xml:space="preserve">46</w:t>
      </w:r>
      <w:r>
        <w:rPr>
          <w:rFonts w:hint="eastAsia" w:ascii="宋体" w:hAnsi="宋体"/>
          <w:szCs w:val="21"/>
        </w:rPr>
        <w:t xml:space="preserve">号）的规定，本公司（联合体）参加</w:t>
      </w:r>
      <w:r>
        <w:rPr>
          <w:rFonts w:hint="eastAsia" w:ascii="宋体" w:hAnsi="宋体"/>
          <w:szCs w:val="21"/>
          <w:u w:val="single"/>
        </w:rPr>
        <w:t xml:space="preserve">（苏州市交通运输应急指挥中心）</w:t>
      </w:r>
      <w:r>
        <w:rPr>
          <w:rFonts w:hint="eastAsia" w:ascii="宋体" w:hAnsi="宋体"/>
          <w:szCs w:val="21"/>
        </w:rPr>
        <w:t xml:space="preserve">的</w:t>
      </w:r>
      <w:r>
        <w:rPr>
          <w:rFonts w:hint="eastAsia" w:ascii="宋体" w:hAnsi="宋体"/>
          <w:szCs w:val="21"/>
          <w:u w:val="single"/>
        </w:rPr>
        <w:t xml:space="preserve">（</w:t>
      </w:r>
      <w:r>
        <w:rPr>
          <w:rFonts w:hint="eastAsia" w:ascii="宋体" w:hAnsi="宋体"/>
          <w:szCs w:val="21"/>
          <w:u w:val="single"/>
          <w:lang w:eastAsia="zh-CN"/>
        </w:rPr>
        <w:t xml:space="preserve">2026年TOCC大屏、精密空调、UPS主机等维保</w:t>
      </w:r>
      <w:r>
        <w:rPr>
          <w:rFonts w:hint="eastAsia" w:ascii="宋体" w:hAnsi="宋体"/>
          <w:szCs w:val="21"/>
          <w:u w:val="single"/>
        </w:rPr>
        <w:t xml:space="preserve">）</w:t>
      </w:r>
      <w:r>
        <w:rPr>
          <w:rFonts w:hint="eastAsia" w:ascii="宋体" w:hAnsi="宋体"/>
          <w:szCs w:val="21"/>
        </w:rPr>
        <w:t xml:space="preserve">采购活动，服务全部由符合政策要求的中小企业承接。相关企业（含联合体中的中小企业、签订分包意向协议的中小企业）的具体情况如下：</w:t>
      </w:r>
      <w:r/>
    </w:p>
    <w:p>
      <w:pPr>
        <w:ind w:firstLine="420"/>
        <w:spacing w:line="480" w:lineRule="exact"/>
        <w:rPr>
          <w:rFonts w:ascii="宋体" w:hAnsi="宋体"/>
          <w:szCs w:val="21"/>
        </w:rPr>
      </w:pPr>
      <w:r>
        <w:rPr>
          <w:rFonts w:hint="eastAsia" w:ascii="宋体" w:hAnsi="宋体"/>
          <w:szCs w:val="21"/>
        </w:rPr>
        <w:t xml:space="preserve">1、</w:t>
      </w:r>
      <w:r>
        <w:rPr>
          <w:rFonts w:hint="eastAsia" w:ascii="宋体" w:hAnsi="宋体"/>
          <w:szCs w:val="21"/>
          <w:u w:val="single"/>
        </w:rPr>
        <w:t xml:space="preserve">（</w:t>
      </w:r>
      <w:r>
        <w:rPr>
          <w:rFonts w:hint="eastAsia" w:ascii="宋体" w:hAnsi="宋体"/>
          <w:szCs w:val="21"/>
          <w:u w:val="single"/>
          <w:lang w:eastAsia="zh-CN"/>
        </w:rPr>
        <w:t xml:space="preserve">2026年TOCC大屏、精密空调、UPS主机等维保</w:t>
      </w:r>
      <w:r>
        <w:rPr>
          <w:rFonts w:hint="eastAsia" w:ascii="宋体" w:hAnsi="宋体"/>
          <w:szCs w:val="21"/>
          <w:u w:val="single"/>
        </w:rPr>
        <w:t xml:space="preserve">）</w:t>
      </w:r>
      <w:r>
        <w:rPr>
          <w:rFonts w:hint="eastAsia" w:ascii="宋体" w:hAnsi="宋体"/>
          <w:szCs w:val="21"/>
        </w:rPr>
        <w:t xml:space="preserve">，属于</w:t>
      </w:r>
      <w:r>
        <w:rPr>
          <w:rFonts w:hint="eastAsia" w:ascii="宋体" w:hAnsi="宋体"/>
          <w:szCs w:val="21"/>
          <w:u w:val="single"/>
        </w:rPr>
        <w:t xml:space="preserve">（采购文件中明确的所属行业）行业</w:t>
      </w:r>
      <w:r>
        <w:rPr>
          <w:rFonts w:hint="eastAsia" w:ascii="宋体" w:hAnsi="宋体"/>
          <w:szCs w:val="21"/>
        </w:rPr>
        <w:t xml:space="preserve">；承接企业为</w:t>
      </w:r>
      <w:r>
        <w:rPr>
          <w:rFonts w:hint="eastAsia" w:ascii="宋体" w:hAnsi="宋体"/>
          <w:szCs w:val="21"/>
          <w:u w:val="single"/>
        </w:rPr>
        <w:t xml:space="preserve">（企业名称）</w:t>
      </w:r>
      <w:r>
        <w:rPr>
          <w:rFonts w:hint="eastAsia" w:ascii="宋体" w:hAnsi="宋体"/>
          <w:szCs w:val="21"/>
        </w:rPr>
        <w:t xml:space="preserve">，从业人员</w:t>
      </w:r>
      <w:r>
        <w:rPr>
          <w:rFonts w:hint="eastAsia" w:ascii="宋体" w:hAnsi="宋体"/>
          <w:szCs w:val="21"/>
          <w:u w:val="single"/>
          <w:lang w:val="en-US" w:eastAsia="zh-CN"/>
        </w:rPr>
        <w:t xml:space="preserve">    </w:t>
      </w:r>
      <w:r>
        <w:rPr>
          <w:rFonts w:hint="eastAsia" w:ascii="宋体" w:hAnsi="宋体"/>
          <w:szCs w:val="21"/>
        </w:rPr>
        <w:t xml:space="preserve">人，营业收入为</w:t>
      </w:r>
      <w:r>
        <w:rPr>
          <w:rFonts w:hint="eastAsia" w:ascii="宋体" w:hAnsi="宋体"/>
          <w:szCs w:val="21"/>
          <w:u w:val="single"/>
          <w:lang w:val="en-US" w:eastAsia="zh-CN"/>
        </w:rPr>
        <w:t xml:space="preserve">   </w:t>
      </w:r>
      <w:r>
        <w:rPr>
          <w:rFonts w:hint="eastAsia" w:ascii="宋体" w:hAnsi="宋体"/>
          <w:szCs w:val="21"/>
        </w:rPr>
        <w:t xml:space="preserve">万元，资产总额为</w:t>
      </w:r>
      <w:r>
        <w:rPr>
          <w:rFonts w:hint="eastAsia" w:ascii="宋体" w:hAnsi="宋体"/>
          <w:szCs w:val="21"/>
          <w:u w:val="single"/>
          <w:lang w:val="en-US" w:eastAsia="zh-CN"/>
        </w:rPr>
        <w:t xml:space="preserve">   </w:t>
      </w:r>
      <w:r>
        <w:rPr>
          <w:rFonts w:hint="eastAsia" w:ascii="宋体" w:hAnsi="宋体"/>
          <w:szCs w:val="21"/>
        </w:rPr>
        <w:t xml:space="preserve">万元</w:t>
      </w:r>
      <w:r>
        <w:rPr>
          <w:rStyle w:val="741"/>
          <w:rFonts w:ascii="宋体" w:hAnsi="宋体"/>
          <w:szCs w:val="21"/>
        </w:rPr>
        <w:footnoteReference w:id="2"/>
      </w:r>
      <w:r>
        <w:rPr>
          <w:rFonts w:hint="eastAsia" w:ascii="宋体" w:hAnsi="宋体"/>
          <w:szCs w:val="21"/>
        </w:rPr>
        <w:t xml:space="preserve">，属于</w:t>
      </w:r>
      <w:r>
        <w:rPr>
          <w:rFonts w:hint="eastAsia" w:ascii="宋体" w:hAnsi="宋体"/>
          <w:szCs w:val="21"/>
          <w:u w:val="single"/>
        </w:rPr>
        <w:t xml:space="preserve">（□中型企业、□小型企业、□微型企业）</w:t>
      </w:r>
      <w:r>
        <w:rPr>
          <w:rFonts w:hint="eastAsia" w:ascii="宋体" w:hAnsi="宋体"/>
          <w:szCs w:val="21"/>
        </w:rPr>
        <w:t xml:space="preserve">；</w:t>
      </w:r>
      <w:r/>
    </w:p>
    <w:p>
      <w:pPr>
        <w:ind w:firstLine="420"/>
        <w:spacing w:line="480" w:lineRule="exact"/>
        <w:rPr>
          <w:rFonts w:ascii="宋体" w:hAnsi="宋体"/>
          <w:szCs w:val="21"/>
        </w:rPr>
      </w:pPr>
      <w:r>
        <w:rPr>
          <w:rFonts w:hint="eastAsia" w:ascii="宋体" w:hAnsi="宋体"/>
          <w:szCs w:val="21"/>
        </w:rPr>
        <w:t xml:space="preserve">2、</w:t>
      </w:r>
      <w:r>
        <w:rPr>
          <w:rFonts w:hint="eastAsia" w:ascii="宋体" w:hAnsi="宋体" w:cs="宋体"/>
          <w:szCs w:val="21"/>
          <w:u w:val="single"/>
          <w:lang w:val="zh-CN"/>
        </w:rPr>
        <w:t xml:space="preserve">（</w:t>
      </w:r>
      <w:r>
        <w:rPr>
          <w:rFonts w:hint="eastAsia" w:ascii="宋体" w:hAnsi="宋体" w:cs="宋体"/>
          <w:szCs w:val="21"/>
          <w:u w:val="single"/>
        </w:rPr>
        <w:t xml:space="preserve">项目</w:t>
      </w:r>
      <w:r>
        <w:rPr>
          <w:rFonts w:hint="eastAsia" w:ascii="宋体" w:hAnsi="宋体" w:cs="宋体"/>
          <w:szCs w:val="21"/>
          <w:u w:val="single"/>
          <w:lang w:val="zh-CN"/>
        </w:rPr>
        <w:t xml:space="preserve">名称）</w:t>
      </w:r>
      <w:r>
        <w:rPr>
          <w:rFonts w:hint="eastAsia" w:ascii="宋体" w:hAnsi="宋体" w:cs="宋体"/>
          <w:szCs w:val="21"/>
          <w:lang w:val="zh-CN"/>
        </w:rPr>
        <w:t xml:space="preserve">，属于</w:t>
      </w:r>
      <w:r>
        <w:rPr>
          <w:rFonts w:hint="eastAsia" w:ascii="宋体" w:hAnsi="宋体" w:cs="宋体"/>
          <w:szCs w:val="21"/>
          <w:u w:val="single"/>
          <w:lang w:val="zh-CN"/>
        </w:rPr>
        <w:t xml:space="preserve">（采购文件中明确的所属行业）行业</w:t>
      </w:r>
      <w:r>
        <w:rPr>
          <w:rFonts w:hint="eastAsia" w:ascii="宋体" w:hAnsi="宋体" w:cs="宋体"/>
          <w:szCs w:val="21"/>
          <w:lang w:val="zh-CN"/>
        </w:rPr>
        <w:t xml:space="preserve">；承接企业为</w:t>
      </w:r>
      <w:r>
        <w:rPr>
          <w:rFonts w:hint="eastAsia" w:ascii="宋体" w:hAnsi="宋体" w:cs="宋体"/>
          <w:szCs w:val="21"/>
          <w:u w:val="single"/>
          <w:lang w:val="zh-CN"/>
        </w:rPr>
        <w:t xml:space="preserve">（企业名称）</w:t>
      </w:r>
      <w:r>
        <w:rPr>
          <w:rFonts w:hint="eastAsia" w:ascii="宋体" w:hAnsi="宋体" w:cs="宋体"/>
          <w:szCs w:val="21"/>
          <w:lang w:val="zh-CN"/>
        </w:rPr>
        <w:t xml:space="preserve">，</w:t>
      </w:r>
      <w:r>
        <w:rPr>
          <w:rFonts w:hint="eastAsia" w:ascii="宋体" w:hAnsi="宋体"/>
          <w:szCs w:val="21"/>
        </w:rPr>
        <w:t xml:space="preserve">从业人员人，营业收入为万元，资产总额为万元，属于</w:t>
      </w:r>
      <w:r>
        <w:rPr>
          <w:rFonts w:hint="eastAsia" w:ascii="宋体" w:hAnsi="宋体"/>
          <w:szCs w:val="21"/>
          <w:u w:val="single"/>
        </w:rPr>
        <w:t xml:space="preserve">（□中型企业、□小型企业、□微型企业）</w:t>
      </w:r>
      <w:r>
        <w:rPr>
          <w:rFonts w:hint="eastAsia" w:ascii="宋体" w:hAnsi="宋体"/>
          <w:szCs w:val="21"/>
        </w:rPr>
        <w:t xml:space="preserve">；</w:t>
      </w:r>
      <w:r/>
    </w:p>
    <w:p>
      <w:pPr>
        <w:ind w:firstLine="420"/>
        <w:spacing w:line="480" w:lineRule="exact"/>
        <w:rPr>
          <w:rFonts w:ascii="宋体" w:hAnsi="宋体"/>
          <w:szCs w:val="21"/>
        </w:rPr>
      </w:pPr>
      <w:r>
        <w:rPr>
          <w:rFonts w:hint="eastAsia" w:ascii="宋体" w:hAnsi="宋体"/>
          <w:szCs w:val="21"/>
        </w:rPr>
        <w:t xml:space="preserve">……</w:t>
      </w:r>
      <w:r/>
    </w:p>
    <w:p>
      <w:pPr>
        <w:ind w:firstLine="420"/>
        <w:spacing w:line="480" w:lineRule="exact"/>
        <w:rPr>
          <w:rFonts w:ascii="宋体" w:hAnsi="宋体"/>
          <w:szCs w:val="21"/>
        </w:rPr>
      </w:pPr>
      <w:r>
        <w:rPr>
          <w:rFonts w:hint="eastAsia" w:ascii="宋体" w:hAnsi="宋体"/>
          <w:szCs w:val="21"/>
        </w:rPr>
        <w:t xml:space="preserve">以上企业，不属于大企业的分支机构，不存在控股股东为大企业的情形，也不存在与大企业的负责人为同一人的情形。</w:t>
      </w:r>
      <w:r/>
    </w:p>
    <w:p>
      <w:pPr>
        <w:ind w:firstLine="420"/>
        <w:spacing w:line="480" w:lineRule="exact"/>
        <w:rPr>
          <w:rFonts w:ascii="宋体" w:hAnsi="宋体"/>
          <w:szCs w:val="21"/>
        </w:rPr>
      </w:pPr>
      <w:r>
        <w:rPr>
          <w:rFonts w:hint="eastAsia" w:ascii="宋体" w:hAnsi="宋体"/>
          <w:szCs w:val="21"/>
        </w:rPr>
        <w:t xml:space="preserve">本企业对上述声明内容的真实性负责。如有虚假，将依法承担相应责任。</w:t>
      </w:r>
      <w:r/>
    </w:p>
    <w:p>
      <w:pPr>
        <w:jc w:val="left"/>
        <w:spacing w:line="480" w:lineRule="exact"/>
        <w:rPr>
          <w:rFonts w:ascii="宋体" w:hAnsi="宋体"/>
          <w:szCs w:val="21"/>
        </w:rPr>
      </w:pPr>
      <w:r>
        <w:rPr>
          <w:rFonts w:ascii="宋体" w:hAnsi="宋体"/>
          <w:szCs w:val="21"/>
        </w:rPr>
      </w:r>
      <w:r/>
    </w:p>
    <w:p>
      <w:pPr>
        <w:ind w:right="-200"/>
        <w:jc w:val="center"/>
        <w:spacing w:line="360" w:lineRule="auto"/>
        <w:rPr>
          <w:rFonts w:ascii="宋体" w:hAnsi="宋体" w:cs="宋体"/>
          <w:szCs w:val="21"/>
          <w:lang w:val="zh-CN"/>
        </w:rPr>
      </w:pPr>
      <w:r>
        <w:rPr>
          <w:rFonts w:hint="eastAsia" w:ascii="宋体" w:hAnsi="宋体" w:cs="宋体"/>
          <w:szCs w:val="21"/>
        </w:rPr>
        <w:t xml:space="preserve">供应商名称</w:t>
      </w:r>
      <w:r>
        <w:rPr>
          <w:rFonts w:ascii="宋体" w:hAnsi="宋体"/>
          <w:szCs w:val="21"/>
        </w:rPr>
        <w:t xml:space="preserve">：（公章）</w:t>
      </w:r>
      <w:r>
        <w:rPr>
          <w:rFonts w:hint="eastAsia" w:ascii="宋体" w:hAnsi="宋体" w:cs="宋体"/>
          <w:szCs w:val="21"/>
          <w:lang w:val="zh-CN"/>
        </w:rPr>
        <w:t xml:space="preserve"> </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年月   日</w:t>
      </w:r>
      <w:r/>
    </w:p>
    <w:p>
      <w:pPr>
        <w:spacing w:line="280" w:lineRule="exact"/>
        <w:rPr>
          <w:rFonts w:ascii="宋体" w:hAnsi="宋体"/>
          <w:b/>
        </w:rPr>
      </w:pPr>
      <w:r>
        <w:rPr>
          <w:rFonts w:hint="eastAsia" w:ascii="宋体" w:hAnsi="宋体" w:cs="宋体"/>
          <w:b/>
          <w:bCs/>
          <w:szCs w:val="21"/>
        </w:rPr>
        <w:br w:type="page" w:clear="all"/>
      </w:r>
      <w:r>
        <w:rPr>
          <w:rFonts w:hint="eastAsia" w:ascii="宋体" w:hAnsi="宋体"/>
          <w:b/>
        </w:rPr>
        <w:t xml:space="preserve">附：中小企业划型标准规定</w:t>
      </w:r>
      <w:r/>
    </w:p>
    <w:p>
      <w:pPr>
        <w:ind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jc w:val="left"/>
        <w:spacing w:line="480" w:lineRule="exact"/>
        <w:rPr>
          <w:rFonts w:ascii="宋体" w:hAnsi="宋体" w:cs="宋体"/>
          <w:b/>
          <w:bCs/>
          <w:szCs w:val="21"/>
        </w:rPr>
      </w:pPr>
      <w:r>
        <w:rPr>
          <w:rFonts w:ascii="宋体" w:hAnsi="宋体" w:cs="宋体"/>
          <w:b/>
          <w:bCs/>
          <w:szCs w:val="21"/>
        </w:rPr>
      </w:r>
      <w:r/>
    </w:p>
    <w:p>
      <w:pPr>
        <w:pStyle w:val="734"/>
      </w:pPr>
      <w:r/>
      <w:r/>
    </w:p>
    <w:p>
      <w:pPr>
        <w:rPr>
          <w:rFonts w:ascii="宋体" w:hAnsi="宋体" w:cs="宋体"/>
          <w:b/>
          <w:bCs/>
          <w:szCs w:val="21"/>
        </w:rPr>
        <w:outlineLvl w:val="0"/>
      </w:pPr>
      <w:r>
        <w:rPr>
          <w:rFonts w:hint="eastAsia" w:ascii="宋体" w:hAnsi="宋体" w:cs="宋体"/>
          <w:b/>
          <w:bCs/>
          <w:szCs w:val="21"/>
        </w:rPr>
        <w:br w:type="page" w:clear="all"/>
      </w:r>
      <w:r>
        <w:rPr>
          <w:rFonts w:hint="eastAsia" w:ascii="宋体" w:hAnsi="宋体" w:cs="宋体"/>
          <w:b/>
          <w:bCs/>
          <w:szCs w:val="21"/>
        </w:rPr>
        <w:t xml:space="preserve">附件1</w:t>
      </w:r>
      <w:r>
        <w:rPr>
          <w:rFonts w:ascii="宋体" w:hAnsi="宋体" w:cs="宋体"/>
          <w:b/>
          <w:bCs/>
          <w:szCs w:val="21"/>
        </w:rPr>
        <w:t xml:space="preserve">2</w:t>
      </w:r>
      <w:r>
        <w:rPr>
          <w:rFonts w:hint="eastAsia" w:ascii="宋体" w:hAnsi="宋体" w:cs="宋体"/>
          <w:b/>
          <w:bCs/>
          <w:szCs w:val="21"/>
        </w:rPr>
        <w:t xml:space="preserve">.</w:t>
      </w:r>
      <w:r>
        <w:rPr>
          <w:rFonts w:hint="eastAsia" w:ascii="Times New Roman" w:hAnsi="Times New Roman"/>
          <w:b/>
        </w:rPr>
        <w:t xml:space="preserve">残疾人</w:t>
      </w:r>
      <w:r>
        <w:rPr>
          <w:rFonts w:hint="eastAsia" w:ascii="宋体" w:hAnsi="宋体" w:cs="宋体"/>
          <w:b/>
          <w:bCs/>
          <w:szCs w:val="21"/>
          <w:lang w:val="zh-CN"/>
        </w:rPr>
        <w:t xml:space="preserve">福利性单位声明函</w:t>
      </w:r>
      <w:r/>
    </w:p>
    <w:p>
      <w:pPr>
        <w:jc w:val="left"/>
        <w:spacing w:line="480" w:lineRule="exact"/>
      </w:pPr>
      <w:r/>
      <w:r/>
    </w:p>
    <w:p>
      <w:pPr>
        <w:jc w:val="center"/>
        <w:spacing w:line="480" w:lineRule="exact"/>
        <w:rPr>
          <w:rFonts w:ascii="宋体" w:hAnsi="宋体"/>
          <w:b/>
          <w:szCs w:val="21"/>
        </w:rPr>
      </w:pPr>
      <w:r>
        <w:rPr>
          <w:rFonts w:hint="eastAsia" w:ascii="宋体" w:hAnsi="宋体"/>
          <w:b/>
          <w:szCs w:val="21"/>
        </w:rPr>
        <w:t xml:space="preserve">残疾人福利性单位声明函</w:t>
      </w:r>
      <w:r/>
    </w:p>
    <w:p>
      <w:pPr>
        <w:spacing w:line="360" w:lineRule="auto"/>
        <w:rPr>
          <w:rFonts w:ascii="宋体" w:hAnsi="宋体"/>
          <w:szCs w:val="21"/>
          <w:lang w:val="zh-CN"/>
        </w:rPr>
      </w:pPr>
      <w:r>
        <w:rPr>
          <w:rFonts w:hint="eastAsia" w:ascii="宋体" w:hAnsi="宋体"/>
          <w:szCs w:val="21"/>
          <w:u w:val="single"/>
          <w:lang w:val="zh-CN"/>
        </w:rPr>
        <w:t xml:space="preserve">苏州市润芳招投标咨询服务有限公司</w:t>
      </w:r>
      <w:r>
        <w:rPr>
          <w:rFonts w:hint="eastAsia" w:ascii="宋体" w:hAnsi="宋体"/>
          <w:szCs w:val="21"/>
          <w:lang w:val="zh-CN"/>
        </w:rPr>
        <w:t xml:space="preserve">：</w:t>
      </w:r>
      <w:r/>
    </w:p>
    <w:p>
      <w:pPr>
        <w:ind w:firstLine="420"/>
        <w:spacing w:line="360" w:lineRule="auto"/>
        <w:rPr>
          <w:rFonts w:ascii="宋体" w:hAnsi="宋体"/>
          <w:szCs w:val="21"/>
        </w:rPr>
      </w:pPr>
      <w:r>
        <w:rPr>
          <w:rFonts w:hint="eastAsia" w:ascii="宋体" w:hAnsi="宋体"/>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Cs w:val="21"/>
          <w:lang w:val="zh-CN"/>
        </w:rPr>
        <w:t xml:space="preserve">贵中心组织实施的编号为</w:t>
      </w:r>
      <w:r>
        <w:rPr>
          <w:rFonts w:hint="eastAsia" w:ascii="宋体" w:hAnsi="宋体"/>
          <w:szCs w:val="21"/>
          <w:u w:val="single"/>
          <w:lang w:val="en-US" w:eastAsia="zh-CN"/>
        </w:rPr>
        <w:t xml:space="preserve">     </w:t>
      </w:r>
      <w:r>
        <w:rPr>
          <w:rFonts w:hint="eastAsia" w:ascii="宋体" w:hAnsi="宋体" w:cs="宋体"/>
          <w:szCs w:val="21"/>
          <w:lang w:val="zh-CN"/>
        </w:rPr>
        <w:t xml:space="preserve">号的采购活动</w:t>
      </w:r>
      <w:r>
        <w:rPr>
          <w:rFonts w:hint="eastAsia" w:ascii="宋体" w:hAnsi="宋体"/>
          <w:szCs w:val="21"/>
        </w:rPr>
        <w:t xml:space="preserve">提供本单位制造的货物（由本单位承担工程/提供服务），或者提供其他残疾人福利性单位制造的货物（不包括使用非残疾人福利性单位注册商标的货物）。</w:t>
      </w:r>
      <w:r/>
    </w:p>
    <w:p>
      <w:pPr>
        <w:ind w:firstLine="420"/>
        <w:spacing w:line="360" w:lineRule="auto"/>
        <w:rPr>
          <w:rFonts w:ascii="宋体" w:hAnsi="宋体"/>
          <w:szCs w:val="21"/>
        </w:rPr>
      </w:pPr>
      <w:r>
        <w:rPr>
          <w:rFonts w:hint="eastAsia" w:ascii="宋体" w:hAnsi="宋体"/>
          <w:szCs w:val="21"/>
        </w:rPr>
        <w:t xml:space="preserve">本单位对上述声明的真实性负责。如有虚假，将依法承担相应责任。</w:t>
      </w:r>
      <w:r/>
    </w:p>
    <w:p>
      <w:pPr>
        <w:pStyle w:val="941"/>
        <w:spacing w:line="360" w:lineRule="auto"/>
        <w:rPr>
          <w:rFonts w:hAnsi="宋体"/>
          <w:sz w:val="21"/>
          <w:szCs w:val="21"/>
        </w:rPr>
      </w:pPr>
      <w:r>
        <w:rPr>
          <w:rFonts w:hAnsi="宋体"/>
          <w:sz w:val="21"/>
          <w:szCs w:val="21"/>
        </w:rPr>
      </w:r>
      <w:r/>
    </w:p>
    <w:p>
      <w:pPr>
        <w:spacing w:line="360" w:lineRule="auto"/>
        <w:rPr>
          <w:rFonts w:ascii="宋体" w:hAnsi="宋体"/>
          <w:b/>
          <w:szCs w:val="21"/>
        </w:rPr>
      </w:pPr>
      <w:r>
        <w:rPr>
          <w:rFonts w:ascii="宋体" w:hAnsi="宋体"/>
          <w:b/>
          <w:szCs w:val="21"/>
        </w:rPr>
      </w:r>
      <w:r/>
    </w:p>
    <w:p>
      <w:pPr>
        <w:spacing w:line="360" w:lineRule="auto"/>
        <w:rPr>
          <w:rFonts w:ascii="宋体" w:hAnsi="宋体"/>
          <w:b/>
          <w:szCs w:val="21"/>
        </w:rPr>
      </w:pPr>
      <w:r>
        <w:rPr>
          <w:rFonts w:ascii="宋体" w:hAnsi="宋体"/>
          <w:b/>
          <w:szCs w:val="21"/>
        </w:rPr>
      </w:r>
      <w:r/>
    </w:p>
    <w:p>
      <w:pPr>
        <w:spacing w:line="360" w:lineRule="auto"/>
        <w:rPr>
          <w:rFonts w:ascii="宋体" w:hAnsi="宋体"/>
          <w:b/>
          <w:szCs w:val="21"/>
        </w:rPr>
      </w:pPr>
      <w:r>
        <w:rPr>
          <w:rFonts w:ascii="宋体" w:hAnsi="宋体"/>
          <w:b/>
          <w:szCs w:val="21"/>
        </w:rPr>
      </w:r>
      <w:r/>
    </w:p>
    <w:p>
      <w:pPr>
        <w:ind w:right="-200"/>
        <w:jc w:val="center"/>
        <w:spacing w:line="360" w:lineRule="auto"/>
        <w:rPr>
          <w:rFonts w:ascii="宋体" w:hAnsi="宋体" w:cs="宋体"/>
          <w:szCs w:val="21"/>
          <w:lang w:val="zh-CN"/>
        </w:rPr>
      </w:pPr>
      <w:r>
        <w:rPr>
          <w:rFonts w:hint="eastAsia" w:ascii="宋体" w:hAnsi="宋体" w:cs="宋体"/>
          <w:szCs w:val="21"/>
        </w:rPr>
        <w:t xml:space="preserve">供应商名称</w:t>
      </w:r>
      <w:r>
        <w:rPr>
          <w:rFonts w:ascii="宋体" w:hAnsi="宋体"/>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年月   日</w:t>
      </w:r>
      <w:r/>
    </w:p>
    <w:p>
      <w:pPr>
        <w:pStyle w:val="928"/>
      </w:pPr>
      <w:r/>
      <w:r/>
    </w:p>
    <w:p>
      <w:pPr>
        <w:pStyle w:val="734"/>
        <w:ind w:firstLine="402"/>
        <w:spacing w:after="0"/>
        <w:rPr>
          <w:rFonts w:ascii="宋体" w:hAnsi="宋体"/>
          <w:b/>
          <w:sz w:val="20"/>
          <w:lang w:val="zh-CN"/>
        </w:rPr>
      </w:pPr>
      <w:r>
        <w:rPr>
          <w:rFonts w:ascii="宋体" w:hAnsi="宋体"/>
          <w:b/>
          <w:sz w:val="20"/>
          <w:lang w:val="zh-CN"/>
        </w:rPr>
      </w:r>
      <w:r/>
    </w:p>
    <w:p>
      <w:pPr>
        <w:pStyle w:val="734"/>
        <w:ind w:firstLine="402"/>
        <w:spacing w:after="0"/>
        <w:rPr>
          <w:rFonts w:ascii="宋体" w:hAnsi="宋体"/>
          <w:b/>
          <w:sz w:val="20"/>
          <w:lang w:val="zh-CN"/>
        </w:rPr>
      </w:pPr>
      <w:r>
        <w:rPr>
          <w:rFonts w:ascii="宋体" w:hAnsi="宋体"/>
          <w:b/>
          <w:sz w:val="20"/>
          <w:lang w:val="zh-CN"/>
        </w:rPr>
      </w:r>
      <w:r/>
    </w:p>
    <w:p>
      <w:pPr>
        <w:spacing w:line="360" w:lineRule="auto"/>
        <w:rPr>
          <w:rFonts w:ascii="宋体" w:hAnsi="宋体"/>
          <w:szCs w:val="21"/>
          <w:lang w:val="zh-CN"/>
        </w:rPr>
      </w:pPr>
      <w:r>
        <w:rPr>
          <w:rFonts w:hint="eastAsia" w:ascii="宋体" w:hAnsi="宋体"/>
          <w:szCs w:val="21"/>
          <w:lang w:val="zh-CN"/>
        </w:rPr>
        <w:t xml:space="preserve">备注：1.享受政府采购支持政策的残疾人福利性单位应当同时满足以下条件：</w:t>
      </w:r>
      <w:r/>
    </w:p>
    <w:p>
      <w:pPr>
        <w:spacing w:line="360" w:lineRule="auto"/>
        <w:rPr>
          <w:rFonts w:ascii="宋体" w:hAnsi="宋体"/>
          <w:szCs w:val="21"/>
          <w:lang w:val="zh-CN"/>
        </w:rPr>
      </w:pPr>
      <w:r>
        <w:rPr>
          <w:rFonts w:hint="eastAsia" w:ascii="宋体" w:hAnsi="宋体"/>
          <w:szCs w:val="21"/>
          <w:lang w:val="zh-CN"/>
        </w:rPr>
        <w:fldChar w:fldCharType="begin"/>
      </w:r>
      <w:r>
        <w:rPr>
          <w:rFonts w:hint="eastAsia" w:ascii="宋体" w:hAnsi="宋体"/>
          <w:szCs w:val="21"/>
          <w:lang w:val="zh-CN"/>
        </w:rPr>
        <w:instrText xml:space="preserve"> = 1 \* GB3 </w:instrText>
      </w:r>
      <w:r>
        <w:rPr>
          <w:rFonts w:hint="eastAsia" w:ascii="宋体" w:hAnsi="宋体"/>
          <w:szCs w:val="21"/>
          <w:lang w:val="zh-CN"/>
        </w:rPr>
        <w:fldChar w:fldCharType="separate"/>
      </w:r>
      <w:r>
        <w:rPr>
          <w:rFonts w:hint="eastAsia" w:ascii="宋体" w:hAnsi="宋体"/>
          <w:szCs w:val="21"/>
          <w:lang w:val="zh-CN"/>
        </w:rPr>
        <w:t xml:space="preserve">①</w:t>
      </w:r>
      <w:r>
        <w:rPr>
          <w:rFonts w:hint="eastAsia" w:ascii="宋体" w:hAnsi="宋体"/>
          <w:szCs w:val="21"/>
          <w:lang w:val="zh-CN"/>
        </w:rPr>
        <w:fldChar w:fldCharType="end"/>
      </w:r>
      <w:r>
        <w:rPr>
          <w:rFonts w:hint="eastAsia" w:ascii="宋体" w:hAnsi="宋体"/>
          <w:szCs w:val="21"/>
          <w:lang w:val="zh-CN"/>
        </w:rPr>
        <w:t xml:space="preserve">安置的残疾人占本单位在职职工人数的比例不低于25%（含25%），并且安置的残疾人人数不少于10人（含10人）；</w:t>
      </w:r>
      <w:r/>
    </w:p>
    <w:p>
      <w:pPr>
        <w:spacing w:line="360" w:lineRule="auto"/>
        <w:rPr>
          <w:rFonts w:ascii="宋体" w:hAnsi="宋体"/>
          <w:szCs w:val="21"/>
          <w:lang w:val="zh-CN"/>
        </w:rPr>
      </w:pPr>
      <w:r>
        <w:rPr>
          <w:rFonts w:hint="eastAsia" w:ascii="宋体" w:hAnsi="宋体"/>
          <w:szCs w:val="21"/>
          <w:lang w:val="zh-CN"/>
        </w:rPr>
        <w:fldChar w:fldCharType="begin"/>
      </w:r>
      <w:r>
        <w:rPr>
          <w:rFonts w:hint="eastAsia" w:ascii="宋体" w:hAnsi="宋体"/>
          <w:szCs w:val="21"/>
          <w:lang w:val="zh-CN"/>
        </w:rPr>
        <w:instrText xml:space="preserve"> = 2 \* GB3 </w:instrText>
      </w:r>
      <w:r>
        <w:rPr>
          <w:rFonts w:hint="eastAsia" w:ascii="宋体" w:hAnsi="宋体"/>
          <w:szCs w:val="21"/>
          <w:lang w:val="zh-CN"/>
        </w:rPr>
        <w:fldChar w:fldCharType="separate"/>
      </w:r>
      <w:r>
        <w:rPr>
          <w:rFonts w:hint="eastAsia" w:ascii="宋体" w:hAnsi="宋体"/>
          <w:szCs w:val="21"/>
          <w:lang w:val="zh-CN"/>
        </w:rPr>
        <w:t xml:space="preserve">②</w:t>
      </w:r>
      <w:r>
        <w:rPr>
          <w:rFonts w:hint="eastAsia" w:ascii="宋体" w:hAnsi="宋体"/>
          <w:szCs w:val="21"/>
          <w:lang w:val="zh-CN"/>
        </w:rPr>
        <w:fldChar w:fldCharType="end"/>
      </w:r>
      <w:r>
        <w:rPr>
          <w:rFonts w:hint="eastAsia" w:ascii="宋体" w:hAnsi="宋体"/>
          <w:szCs w:val="21"/>
          <w:lang w:val="zh-CN"/>
        </w:rPr>
        <w:t xml:space="preserve">依法与安置的每位残疾人签订了一年以上（含一年）的劳动合同或服务协议；</w:t>
      </w:r>
      <w:r/>
    </w:p>
    <w:p>
      <w:pPr>
        <w:spacing w:line="360" w:lineRule="auto"/>
        <w:rPr>
          <w:rFonts w:ascii="宋体" w:hAnsi="宋体"/>
          <w:szCs w:val="21"/>
          <w:lang w:val="zh-CN"/>
        </w:rPr>
      </w:pPr>
      <w:r>
        <w:rPr>
          <w:rFonts w:hint="eastAsia" w:ascii="宋体" w:hAnsi="宋体"/>
          <w:szCs w:val="21"/>
          <w:lang w:val="zh-CN"/>
        </w:rPr>
        <w:fldChar w:fldCharType="begin"/>
      </w:r>
      <w:r>
        <w:rPr>
          <w:rFonts w:hint="eastAsia" w:ascii="宋体" w:hAnsi="宋体"/>
          <w:szCs w:val="21"/>
          <w:lang w:val="zh-CN"/>
        </w:rPr>
        <w:instrText xml:space="preserve"> = 3 \* GB3 </w:instrText>
      </w:r>
      <w:r>
        <w:rPr>
          <w:rFonts w:hint="eastAsia" w:ascii="宋体" w:hAnsi="宋体"/>
          <w:szCs w:val="21"/>
          <w:lang w:val="zh-CN"/>
        </w:rPr>
        <w:fldChar w:fldCharType="separate"/>
      </w:r>
      <w:r>
        <w:rPr>
          <w:rFonts w:hint="eastAsia" w:ascii="宋体" w:hAnsi="宋体"/>
          <w:szCs w:val="21"/>
          <w:lang w:val="zh-CN"/>
        </w:rPr>
        <w:t xml:space="preserve">③</w:t>
      </w:r>
      <w:r>
        <w:rPr>
          <w:rFonts w:hint="eastAsia" w:ascii="宋体" w:hAnsi="宋体"/>
          <w:szCs w:val="21"/>
          <w:lang w:val="zh-CN"/>
        </w:rPr>
        <w:fldChar w:fldCharType="end"/>
      </w:r>
      <w:r>
        <w:rPr>
          <w:rFonts w:hint="eastAsia" w:ascii="宋体" w:hAnsi="宋体"/>
          <w:szCs w:val="21"/>
          <w:lang w:val="zh-CN"/>
        </w:rPr>
        <w:t xml:space="preserve">为安置的每位残疾人按月足额缴纳了基本养老保险、基本医疗保险、失业保险、工伤保险和生育保险等社会保险费；</w:t>
      </w:r>
      <w:r/>
    </w:p>
    <w:p>
      <w:pPr>
        <w:spacing w:line="360" w:lineRule="auto"/>
        <w:rPr>
          <w:rFonts w:ascii="宋体" w:hAnsi="宋体"/>
          <w:szCs w:val="21"/>
          <w:lang w:val="zh-CN"/>
        </w:rPr>
      </w:pPr>
      <w:r>
        <w:rPr>
          <w:rFonts w:hint="eastAsia" w:ascii="宋体" w:hAnsi="宋体"/>
          <w:szCs w:val="21"/>
          <w:lang w:val="zh-CN"/>
        </w:rPr>
        <w:fldChar w:fldCharType="begin"/>
      </w:r>
      <w:r>
        <w:rPr>
          <w:rFonts w:hint="eastAsia" w:ascii="宋体" w:hAnsi="宋体"/>
          <w:szCs w:val="21"/>
          <w:lang w:val="zh-CN"/>
        </w:rPr>
        <w:instrText xml:space="preserve"> = 4 \* GB3 </w:instrText>
      </w:r>
      <w:r>
        <w:rPr>
          <w:rFonts w:hint="eastAsia" w:ascii="宋体" w:hAnsi="宋体"/>
          <w:szCs w:val="21"/>
          <w:lang w:val="zh-CN"/>
        </w:rPr>
        <w:fldChar w:fldCharType="separate"/>
      </w:r>
      <w:r>
        <w:rPr>
          <w:rFonts w:hint="eastAsia" w:ascii="宋体" w:hAnsi="宋体"/>
          <w:szCs w:val="21"/>
          <w:lang w:val="zh-CN"/>
        </w:rPr>
        <w:t xml:space="preserve">④</w:t>
      </w:r>
      <w:r>
        <w:rPr>
          <w:rFonts w:hint="eastAsia" w:ascii="宋体" w:hAnsi="宋体"/>
          <w:szCs w:val="21"/>
          <w:lang w:val="zh-CN"/>
        </w:rPr>
        <w:fldChar w:fldCharType="end"/>
      </w:r>
      <w:r>
        <w:rPr>
          <w:rFonts w:hint="eastAsia" w:ascii="宋体" w:hAnsi="宋体"/>
          <w:szCs w:val="21"/>
          <w:lang w:val="zh-CN"/>
        </w:rPr>
        <w:t xml:space="preserve">通过银行等金融机构向安置的每位残疾人，按月支付了不低于单位所在区县适用的经省级人民政府批准的月最低工资标准的工资；</w:t>
      </w:r>
      <w:r/>
    </w:p>
    <w:p>
      <w:pPr>
        <w:spacing w:line="360" w:lineRule="auto"/>
        <w:rPr>
          <w:rFonts w:ascii="宋体" w:hAnsi="宋体"/>
          <w:szCs w:val="21"/>
          <w:lang w:val="zh-CN"/>
        </w:rPr>
      </w:pPr>
      <w:r>
        <w:rPr>
          <w:rFonts w:hint="eastAsia" w:ascii="宋体" w:hAnsi="宋体"/>
          <w:szCs w:val="21"/>
          <w:lang w:val="zh-CN"/>
        </w:rPr>
        <w:fldChar w:fldCharType="begin"/>
      </w:r>
      <w:r>
        <w:rPr>
          <w:rFonts w:hint="eastAsia" w:ascii="宋体" w:hAnsi="宋体"/>
          <w:szCs w:val="21"/>
          <w:lang w:val="zh-CN"/>
        </w:rPr>
        <w:instrText xml:space="preserve"> = 5 \* GB3 </w:instrText>
      </w:r>
      <w:r>
        <w:rPr>
          <w:rFonts w:hint="eastAsia" w:ascii="宋体" w:hAnsi="宋体"/>
          <w:szCs w:val="21"/>
          <w:lang w:val="zh-CN"/>
        </w:rPr>
        <w:fldChar w:fldCharType="separate"/>
      </w:r>
      <w:r>
        <w:rPr>
          <w:rFonts w:hint="eastAsia" w:ascii="宋体" w:hAnsi="宋体"/>
          <w:szCs w:val="21"/>
          <w:lang w:val="zh-CN"/>
        </w:rPr>
        <w:t xml:space="preserve">⑤</w:t>
      </w:r>
      <w:r>
        <w:rPr>
          <w:rFonts w:hint="eastAsia" w:ascii="宋体" w:hAnsi="宋体"/>
          <w:szCs w:val="21"/>
          <w:lang w:val="zh-CN"/>
        </w:rPr>
        <w:fldChar w:fldCharType="end"/>
      </w:r>
      <w:r>
        <w:rPr>
          <w:rFonts w:hint="eastAsia" w:ascii="宋体" w:hAnsi="宋体"/>
          <w:szCs w:val="21"/>
          <w:lang w:val="zh-CN"/>
        </w:rPr>
        <w:t xml:space="preserve">提供本单位制造的货物、承担的工程或者服务（以下简称产品），或者提供其他残疾人福利性单位制造的货物（不包括使用非残疾人福利性单位注册商标的货物）。</w:t>
      </w:r>
      <w:r/>
    </w:p>
    <w:p>
      <w:pPr>
        <w:spacing w:line="360" w:lineRule="auto"/>
        <w:rPr>
          <w:rFonts w:ascii="宋体" w:hAnsi="宋体"/>
          <w:szCs w:val="21"/>
          <w:lang w:val="zh-CN"/>
        </w:rPr>
      </w:pPr>
      <w:r>
        <w:rPr>
          <w:rFonts w:hint="eastAsia" w:ascii="宋体" w:hAnsi="宋体"/>
          <w:szCs w:val="21"/>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spacing w:line="360" w:lineRule="auto"/>
        <w:rPr>
          <w:rFonts w:ascii="宋体" w:hAnsi="宋体"/>
          <w:szCs w:val="21"/>
          <w:lang w:val="zh-CN"/>
        </w:rPr>
      </w:pPr>
      <w:r>
        <w:rPr>
          <w:rFonts w:hint="eastAsia" w:ascii="宋体" w:hAnsi="宋体"/>
          <w:szCs w:val="21"/>
          <w:lang w:val="zh-CN"/>
        </w:rPr>
        <w:t xml:space="preserve">2.成交单位为残疾人福利性单位的，《残疾人福利性单位声明函》将随成交结果同时公告。</w:t>
      </w:r>
      <w:r/>
    </w:p>
    <w:p>
      <w:pPr>
        <w:jc w:val="left"/>
        <w:widowControl/>
        <w:rPr>
          <w:rFonts w:ascii="宋体" w:hAnsi="宋体" w:cs="宋体"/>
          <w:b/>
          <w:sz w:val="43"/>
        </w:rPr>
      </w:pPr>
      <w:r>
        <w:rPr>
          <w:rFonts w:hint="eastAsia" w:ascii="宋体" w:hAnsi="宋体"/>
          <w:szCs w:val="21"/>
          <w:lang w:val="zh-CN"/>
        </w:rPr>
        <w:t xml:space="preserve">3.供应商提供的《残疾人福利性单位声明函》与事实不符的，依照《政府采购法》第七十七条第一款的规定追究法律责任。</w:t>
      </w:r>
      <w:r/>
    </w:p>
    <w:p>
      <w:pPr>
        <w:jc w:val="center"/>
        <w:widowControl/>
        <w:rPr>
          <w:b/>
          <w:sz w:val="44"/>
          <w:szCs w:val="44"/>
        </w:rPr>
      </w:pPr>
      <w:r>
        <w:rPr>
          <w:rFonts w:ascii="宋体" w:hAnsi="宋体" w:cs="宋体"/>
          <w:b/>
          <w:sz w:val="43"/>
        </w:rPr>
        <w:br w:type="page" w:clear="all"/>
      </w:r>
      <w:r>
        <w:rPr>
          <w:rFonts w:hint="eastAsia"/>
          <w:b/>
          <w:sz w:val="44"/>
          <w:szCs w:val="44"/>
        </w:rPr>
        <w:t xml:space="preserve">第四章</w:t>
      </w:r>
      <w:bookmarkStart w:id="22" w:name="招标书"/>
      <w:r/>
      <w:bookmarkEnd w:id="22"/>
      <w:r>
        <w:rPr>
          <w:rFonts w:hint="eastAsia"/>
          <w:b/>
          <w:sz w:val="44"/>
          <w:szCs w:val="44"/>
        </w:rPr>
        <w:t xml:space="preserve">采购内容</w:t>
      </w:r>
      <w:r/>
    </w:p>
    <w:p>
      <w:pPr>
        <w:ind w:firstLine="420"/>
        <w:spacing w:line="360" w:lineRule="auto"/>
        <w:rPr>
          <w:rFonts w:ascii="宋体" w:hAnsi="宋体" w:cs="宋体"/>
          <w:szCs w:val="21"/>
        </w:rPr>
      </w:pPr>
      <w:r>
        <w:rPr>
          <w:rFonts w:hint="eastAsia" w:ascii="宋体" w:hAnsi="宋体" w:cs="宋体"/>
          <w:szCs w:val="21"/>
        </w:rPr>
        <w:t xml:space="preserve">苏州市润芳招投标咨询服务有限公司受</w:t>
      </w:r>
      <w:r>
        <w:rPr>
          <w:rFonts w:hint="eastAsia" w:ascii="宋体" w:hAnsi="宋体" w:cs="宋体"/>
          <w:szCs w:val="21"/>
          <w:u w:val="single"/>
          <w:lang w:eastAsia="zh-CN"/>
        </w:rPr>
        <w:t xml:space="preserve">苏州市交通运输应急指挥中心</w:t>
      </w:r>
      <w:r>
        <w:rPr>
          <w:rFonts w:hint="eastAsia" w:ascii="宋体" w:hAnsi="宋体" w:cs="宋体"/>
          <w:szCs w:val="21"/>
        </w:rPr>
        <w:t xml:space="preserve">的委托，就</w:t>
      </w:r>
      <w:r>
        <w:rPr>
          <w:rFonts w:hint="eastAsia" w:ascii="宋体" w:hAnsi="宋体"/>
          <w:szCs w:val="21"/>
          <w:u w:val="single"/>
          <w:lang w:eastAsia="zh-CN"/>
        </w:rPr>
        <w:t xml:space="preserve">2026年TOCC大屏、精密空调、UPS主机等维保</w:t>
      </w:r>
      <w:r>
        <w:rPr>
          <w:rFonts w:hint="eastAsia" w:ascii="宋体" w:hAnsi="宋体" w:cs="宋体"/>
          <w:szCs w:val="21"/>
        </w:rPr>
        <w:t xml:space="preserve">项目采用竞争性磋商方式进行采购，现欢迎符合相关条件的供应商参加本次磋商采购活动。</w:t>
      </w:r>
      <w:r/>
    </w:p>
    <w:p>
      <w:pPr>
        <w:numPr>
          <w:ilvl w:val="0"/>
          <w:numId w:val="1"/>
        </w:numPr>
        <w:ind w:firstLine="420"/>
        <w:spacing w:line="360" w:lineRule="auto"/>
        <w:widowControl/>
        <w:rPr>
          <w:rFonts w:ascii="宋体" w:hAnsi="宋体"/>
          <w:szCs w:val="21"/>
        </w:rPr>
      </w:pPr>
      <w:r>
        <w:rPr>
          <w:rFonts w:hint="eastAsia" w:ascii="宋体" w:hAnsi="宋体"/>
          <w:szCs w:val="21"/>
        </w:rPr>
        <w:t xml:space="preserve">项目编号：</w:t>
      </w:r>
      <w:r>
        <w:rPr>
          <w:rFonts w:hint="eastAsia" w:ascii="宋体" w:hAnsi="宋体"/>
          <w:szCs w:val="21"/>
          <w:lang w:eastAsia="zh-CN"/>
        </w:rPr>
        <w:t xml:space="preserve">JSZC-320500-SZRF-C2026-0010</w:t>
      </w:r>
      <w:r/>
    </w:p>
    <w:p>
      <w:pPr>
        <w:numPr>
          <w:ilvl w:val="0"/>
          <w:numId w:val="1"/>
        </w:numPr>
        <w:ind w:firstLine="420"/>
        <w:spacing w:line="360" w:lineRule="auto"/>
        <w:widowControl/>
        <w:rPr>
          <w:rFonts w:ascii="宋体" w:hAnsi="宋体"/>
          <w:color w:val="auto"/>
          <w:szCs w:val="21"/>
          <w:highlight w:val="none"/>
        </w:rPr>
      </w:pPr>
      <w:r>
        <w:rPr>
          <w:rFonts w:hint="eastAsia" w:ascii="宋体" w:hAnsi="宋体"/>
          <w:szCs w:val="21"/>
          <w:highlight w:val="none"/>
        </w:rPr>
        <w:t xml:space="preserve">项目名称</w:t>
      </w:r>
      <w:r>
        <w:rPr>
          <w:rFonts w:hint="eastAsia" w:ascii="宋体" w:hAnsi="宋体"/>
          <w:color w:val="auto"/>
          <w:szCs w:val="21"/>
          <w:highlight w:val="none"/>
        </w:rPr>
        <w:t xml:space="preserve">：</w:t>
      </w:r>
      <w:r>
        <w:rPr>
          <w:rFonts w:hint="eastAsia" w:ascii="宋体" w:hAnsi="宋体"/>
          <w:color w:val="auto"/>
          <w:szCs w:val="21"/>
          <w:highlight w:val="none"/>
          <w:lang w:eastAsia="zh-CN"/>
        </w:rPr>
        <w:t xml:space="preserve">2026年TOCC大屏、精密空调、UPS主机等维保</w:t>
      </w:r>
      <w:r/>
    </w:p>
    <w:p>
      <w:pPr>
        <w:pStyle w:val="707"/>
        <w:numPr>
          <w:ilvl w:val="0"/>
          <w:numId w:val="1"/>
        </w:numPr>
        <w:ind w:left="0" w:firstLine="420"/>
        <w:spacing w:line="360" w:lineRule="auto"/>
        <w:rPr>
          <w:rFonts w:ascii="宋体" w:hAnsi="宋体" w:cs="宋体"/>
          <w:bCs/>
          <w:color w:val="auto"/>
          <w:sz w:val="21"/>
          <w:szCs w:val="21"/>
          <w:highlight w:val="none"/>
          <w:lang w:val="en-US"/>
        </w:rPr>
      </w:pPr>
      <w:r>
        <w:rPr>
          <w:rFonts w:hint="eastAsia" w:ascii="宋体" w:hAnsi="宋体" w:cs="宋体"/>
          <w:bCs/>
          <w:color w:val="auto"/>
          <w:sz w:val="21"/>
          <w:szCs w:val="21"/>
          <w:highlight w:val="none"/>
        </w:rPr>
        <w:t xml:space="preserve">预算金额：</w:t>
      </w:r>
      <w:r>
        <w:rPr>
          <w:rFonts w:hint="eastAsia" w:ascii="宋体" w:hAnsi="宋体" w:cs="宋体"/>
          <w:bCs/>
          <w:color w:val="auto"/>
          <w:sz w:val="21"/>
          <w:szCs w:val="21"/>
          <w:highlight w:val="none"/>
          <w:lang w:val="en-US"/>
        </w:rPr>
        <w:t xml:space="preserve">壹佰叁拾万元整（¥1300000.00)</w:t>
      </w:r>
      <w:r/>
    </w:p>
    <w:p>
      <w:pPr>
        <w:numPr>
          <w:ilvl w:val="0"/>
          <w:numId w:val="1"/>
        </w:numPr>
        <w:ind w:firstLine="420"/>
        <w:spacing w:line="360" w:lineRule="auto"/>
        <w:widowControl/>
        <w:rPr>
          <w:rFonts w:ascii="宋体" w:hAnsi="宋体"/>
          <w:color w:val="auto"/>
          <w:szCs w:val="21"/>
          <w:highlight w:val="none"/>
        </w:rPr>
      </w:pPr>
      <w:r>
        <w:rPr>
          <w:rFonts w:hint="eastAsia" w:ascii="宋体" w:hAnsi="宋体"/>
          <w:color w:val="auto"/>
          <w:szCs w:val="21"/>
          <w:highlight w:val="none"/>
        </w:rPr>
        <w:t xml:space="preserve">最高限价：壹佰贰拾玖万捌仟元整（¥1298000.00)</w:t>
      </w:r>
      <w:r/>
    </w:p>
    <w:p>
      <w:pPr>
        <w:numPr>
          <w:ilvl w:val="0"/>
          <w:numId w:val="1"/>
        </w:numPr>
        <w:ind w:firstLine="420"/>
        <w:spacing w:line="360" w:lineRule="auto"/>
        <w:widowControl/>
        <w:rPr>
          <w:rFonts w:ascii="宋体" w:hAnsi="宋体"/>
          <w:color w:val="auto"/>
          <w:szCs w:val="21"/>
          <w:highlight w:val="none"/>
        </w:rPr>
      </w:pPr>
      <w:r>
        <w:rPr>
          <w:rFonts w:hint="eastAsia" w:ascii="宋体" w:hAnsi="宋体"/>
          <w:color w:val="auto"/>
          <w:szCs w:val="21"/>
          <w:highlight w:val="none"/>
        </w:rPr>
        <w:t xml:space="preserve">合同履行期限:</w:t>
      </w:r>
      <w:r>
        <w:rPr>
          <w:rFonts w:hint="eastAsia" w:ascii="宋体" w:hAnsi="宋体" w:eastAsia="宋体" w:cs="宋体"/>
          <w:bCs/>
          <w:color w:val="auto"/>
          <w:sz w:val="21"/>
          <w:szCs w:val="21"/>
          <w:highlight w:val="none"/>
        </w:rPr>
        <w:t xml:space="preserve">服务期12个月，</w:t>
      </w:r>
      <w:r>
        <w:rPr>
          <w:rFonts w:hint="eastAsia" w:ascii="宋体" w:hAnsi="宋体" w:eastAsia="宋体" w:cs="宋体"/>
          <w:bCs/>
          <w:color w:val="auto"/>
          <w:sz w:val="21"/>
          <w:szCs w:val="21"/>
          <w:highlight w:val="none"/>
          <w:lang w:val="en-US" w:eastAsia="zh-CN"/>
        </w:rPr>
        <w:t xml:space="preserve">详细</w:t>
      </w:r>
      <w:r>
        <w:rPr>
          <w:rFonts w:hint="eastAsia" w:ascii="宋体" w:hAnsi="宋体" w:eastAsia="宋体" w:cs="宋体"/>
          <w:bCs/>
          <w:color w:val="auto"/>
          <w:sz w:val="21"/>
          <w:szCs w:val="21"/>
          <w:highlight w:val="none"/>
        </w:rPr>
        <w:t xml:space="preserve">时间以合同约定为准。</w:t>
      </w:r>
      <w:r/>
    </w:p>
    <w:p>
      <w:pPr>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六、采购内容：</w:t>
      </w:r>
      <w:r/>
    </w:p>
    <w:p>
      <w:pPr>
        <w:ind w:firstLine="42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（一）项目背景</w:t>
      </w:r>
      <w:r/>
    </w:p>
    <w:p>
      <w:pPr>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苏州市交通运输应急指挥中心是全市交通运输运行态势展示、综合研判、应急指挥、重大活动保障和信息发布的重要场所。指挥大厅大屏显示系统及机房动力环境保障系统承担交通运行信息集中展示、视频图像调度、应急信息呈现和相关业务系统稳定运行保障等任务，其运行状态直接关系指挥调度、日常值守和重大活动保障工作的正常开展。</w:t>
      </w:r>
      <w:r/>
    </w:p>
    <w:p>
      <w:pPr>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本项目维护对象具有设备种类多、软硬件关联度高、连续运行要求高和现场作业风险较高等特点。指挥大厅DLP拼接显示系统由64套显示单元、多屏处理器、双基色LED显示屏、无线投屏服务器、级联设备、数字拼接墙显示应用管理系统、移动端APP及配套线缆等组成；机房同时配置精密空调、UPS主机、精密配电柜、动力配电柜、蓄电池监测及相关配套设备。各系统之间通过供配电、信号传输、通信控制、参数配置和应用软件相互关联，单一设备、软件或配置异常均可能影响整体系统运行。</w:t>
      </w:r>
      <w:r/>
    </w:p>
    <w:p>
      <w:pPr>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现有指挥大厅屏幕墙整体高度超过5米，显示单元巡检、设备清灰、光学及控制模块检查更换、线缆整理、拼接调校和故障抢修等工作可能涉及高处作业；UPS主机、精密配电柜、动力配电柜、精密空调电气系统以及大屏供电设备的检测、维护、维修和更换涉及低压电气作业。供应商应根据实际作业内容配置具有相应特种作业操作资格的人员，严格执行作业审批、停送电管理、验电、挂牌、监护、防坠落和现场安全防护等制度，确保运维作业安全。</w:t>
      </w:r>
      <w:r/>
    </w:p>
    <w:p>
      <w:pPr>
        <w:ind w:firstLine="420"/>
        <w:pageBreakBefore w:val="0"/>
        <w:spacing w:line="360" w:lineRule="auto"/>
        <w:widowControl w:val="off"/>
        <w:rPr>
          <w:rFonts w:hint="eastAsia" w:ascii="宋体" w:hAnsi="宋体" w:cs="宋体"/>
          <w:szCs w:val="21"/>
        </w:rPr>
      </w:pPr>
      <w:r>
        <w:rPr>
          <w:rFonts w:hint="eastAsia" w:ascii="宋体" w:hAnsi="宋体" w:cs="宋体"/>
          <w:color w:val="auto"/>
          <w:szCs w:val="21"/>
          <w:highlight w:val="none"/>
        </w:rPr>
        <w:t xml:space="preserve">本项目同时包含显示单元控制模块嵌入式软件、多屏处</w:t>
      </w:r>
      <w:r>
        <w:rPr>
          <w:rFonts w:hint="eastAsia" w:ascii="宋体" w:hAnsi="宋体" w:cs="宋体"/>
          <w:szCs w:val="21"/>
        </w:rPr>
        <w:t xml:space="preserve">理器嵌入式软件、数字拼接墙显示应用管理系统、无线投屏系统、移动端APP及相关配置数据的运行维护。服务内容包括但不限于软件运行检查、参数配置、安装调试、版本及接口兼容性检查、配置备份与恢复、故障分析、数据安全和系统恢复。因此，供应商除应具备大屏显示、制冷和供配电设备维护能力外，还应具备规范的信息技术服务和软件运维管理能力，并配置具有软件、网络、信息系统和数据安全相关专业能力的人员。</w:t>
      </w:r>
      <w:r/>
    </w:p>
    <w:p>
      <w:pPr>
        <w:ind w:firstLine="420"/>
        <w:pageBreakBefore w:val="0"/>
        <w:spacing w:line="360" w:lineRule="auto"/>
        <w:widowControl w:val="off"/>
        <w:rPr>
          <w:rFonts w:hint="eastAsia" w:ascii="宋体" w:hAnsi="宋体" w:cs="宋体"/>
          <w:szCs w:val="21"/>
        </w:rPr>
      </w:pPr>
      <w:r>
        <w:rPr>
          <w:rFonts w:hint="eastAsia" w:ascii="宋体" w:hAnsi="宋体" w:cs="宋体"/>
          <w:szCs w:val="21"/>
        </w:rPr>
      </w:r>
      <w:r/>
    </w:p>
    <w:p>
      <w:pPr>
        <w:ind w:firstLine="420"/>
        <w:pageBreakBefore w:val="0"/>
        <w:spacing w:line="360" w:lineRule="auto"/>
        <w:widowControl w:val="off"/>
        <w:rPr>
          <w:rFonts w:hint="eastAsia" w:ascii="宋体" w:hAnsi="宋体" w:cs="宋体"/>
          <w:szCs w:val="21"/>
        </w:rPr>
      </w:pPr>
      <w:r>
        <w:rPr>
          <w:rFonts w:hint="eastAsia" w:ascii="宋体" w:hAnsi="宋体" w:cs="宋体"/>
          <w:szCs w:val="21"/>
        </w:rPr>
        <w:t xml:space="preserve">由于现有设备已连续运行一定年限，部分设备和部件存在性能衰减、故障率上升、原型号停产以及软硬件兼容风险，同时本项目故障响应和重大活动保障时效要求较高，现采购专业维保服务，通过定期巡检、预防性维护、软件及配置维护、隐患排查、备品备件保障、故障应急处置、培训演练和全过程档案管理，保障大屏显示系统、精密空调、UPS及配电系统安全、稳定、连续运行。</w:t>
      </w:r>
      <w:r/>
    </w:p>
    <w:p>
      <w:pPr>
        <w:ind w:firstLine="420"/>
        <w:pageBreakBefore w:val="0"/>
        <w:spacing w:line="360" w:lineRule="auto"/>
        <w:widowControl w:val="off"/>
        <w:rPr>
          <w:rFonts w:hint="eastAsia" w:ascii="宋体" w:hAnsi="宋体" w:cs="宋体"/>
          <w:b/>
          <w:bCs/>
          <w:szCs w:val="21"/>
        </w:rPr>
      </w:pPr>
      <w:r>
        <w:rPr>
          <w:rFonts w:hint="eastAsia" w:ascii="宋体" w:hAnsi="宋体" w:cs="宋体"/>
          <w:b/>
          <w:bCs/>
          <w:szCs w:val="21"/>
        </w:rPr>
        <w:t xml:space="preserve">（二）服务范围</w:t>
      </w:r>
      <w:r/>
    </w:p>
    <w:p>
      <w:pPr>
        <w:ind w:firstLine="420"/>
        <w:pageBreakBefore w:val="0"/>
        <w:spacing w:line="360" w:lineRule="auto"/>
        <w:widowControl w:val="off"/>
        <w:rPr>
          <w:rFonts w:hint="eastAsia" w:ascii="宋体" w:hAnsi="宋体" w:cs="宋体"/>
          <w:szCs w:val="21"/>
        </w:rPr>
      </w:pPr>
      <w:r>
        <w:rPr>
          <w:rFonts w:hint="eastAsia" w:ascii="宋体" w:hAnsi="宋体" w:cs="宋体"/>
          <w:szCs w:val="21"/>
        </w:rPr>
        <w:t xml:space="preserve">对苏州市交通运输应急指挥中心DLP大屏、精密空调、UPS主机等进行普查登记服务、巡检服务、维护服务、故障处理服务、培训及应急演练并形成项目档案（项目档案包括《普查报告》、《巡检服务规程》、季度运维档案、培训材料、应急演练材料等）。</w:t>
      </w:r>
      <w:r/>
    </w:p>
    <w:p>
      <w:pPr>
        <w:ind w:firstLine="420"/>
        <w:pageBreakBefore w:val="0"/>
        <w:spacing w:line="360" w:lineRule="auto"/>
        <w:widowControl w:val="off"/>
        <w:rPr>
          <w:rFonts w:hint="eastAsia" w:ascii="宋体" w:hAnsi="宋体" w:cs="宋体"/>
          <w:b/>
          <w:bCs/>
          <w:szCs w:val="21"/>
        </w:rPr>
      </w:pPr>
      <w:r>
        <w:rPr>
          <w:rFonts w:hint="eastAsia" w:ascii="宋体" w:hAnsi="宋体" w:cs="宋体"/>
          <w:b/>
          <w:bCs/>
          <w:szCs w:val="21"/>
        </w:rPr>
        <w:t xml:space="preserve">（三）服务目标</w:t>
      </w:r>
      <w:r/>
    </w:p>
    <w:p>
      <w:pPr>
        <w:ind w:firstLine="420"/>
        <w:pageBreakBefore w:val="0"/>
        <w:spacing w:line="360" w:lineRule="auto"/>
        <w:widowControl w:val="off"/>
        <w:rPr>
          <w:rFonts w:hint="eastAsia" w:ascii="宋体" w:hAnsi="宋体" w:cs="宋体"/>
          <w:szCs w:val="21"/>
        </w:rPr>
      </w:pPr>
      <w:r>
        <w:rPr>
          <w:rFonts w:hint="eastAsia" w:ascii="宋体" w:hAnsi="宋体" w:cs="宋体"/>
          <w:szCs w:val="21"/>
        </w:rPr>
        <w:t xml:space="preserve">保障本项目维护范围内的DLP大屏、精密空调、UPS主机等设备正常运行，对设备进行定期的预防性维护，做好设备运行的调优工作，及时发现设备存在的潜在隐患。当设备发生故障时，确保设备能得到及时的维护及故障排除。</w:t>
      </w:r>
      <w:r/>
    </w:p>
    <w:p>
      <w:pPr>
        <w:ind w:firstLine="420"/>
        <w:pageBreakBefore w:val="0"/>
        <w:spacing w:line="360" w:lineRule="auto"/>
        <w:widowControl w:val="off"/>
        <w:rPr>
          <w:rFonts w:hint="eastAsia" w:ascii="宋体" w:hAnsi="宋体" w:cs="宋体"/>
          <w:b/>
          <w:bCs/>
          <w:szCs w:val="21"/>
        </w:rPr>
      </w:pPr>
      <w:r>
        <w:rPr>
          <w:rFonts w:hint="eastAsia" w:ascii="宋体" w:hAnsi="宋体" w:cs="宋体"/>
          <w:b/>
          <w:bCs/>
          <w:szCs w:val="21"/>
        </w:rPr>
        <w:t xml:space="preserve">（四）采购内容</w:t>
      </w:r>
      <w:r/>
    </w:p>
    <w:p>
      <w:pPr>
        <w:ind w:firstLine="420"/>
        <w:pageBreakBefore w:val="0"/>
        <w:spacing w:line="360" w:lineRule="auto"/>
        <w:widowControl w:val="off"/>
        <w:rPr>
          <w:rFonts w:hint="eastAsia" w:ascii="宋体" w:hAnsi="宋体" w:cs="宋体"/>
          <w:b/>
          <w:bCs/>
          <w:szCs w:val="21"/>
        </w:rPr>
      </w:pPr>
      <w:r>
        <w:rPr>
          <w:rFonts w:hint="eastAsia" w:ascii="宋体" w:hAnsi="宋体" w:cs="宋体"/>
          <w:b/>
          <w:bCs/>
          <w:szCs w:val="21"/>
        </w:rPr>
        <w:t xml:space="preserve">1.普查登记服务</w:t>
      </w:r>
      <w:r/>
    </w:p>
    <w:p>
      <w:pPr>
        <w:ind w:firstLine="420"/>
        <w:pageBreakBefore w:val="0"/>
        <w:spacing w:line="360" w:lineRule="auto"/>
        <w:widowControl w:val="off"/>
        <w:rPr>
          <w:rFonts w:hint="eastAsia" w:ascii="宋体" w:hAnsi="宋体" w:cs="宋体"/>
          <w:szCs w:val="21"/>
        </w:rPr>
      </w:pPr>
      <w:r>
        <w:rPr>
          <w:rFonts w:hint="eastAsia" w:ascii="宋体" w:hAnsi="宋体" w:cs="宋体"/>
          <w:szCs w:val="21"/>
        </w:rPr>
        <w:t xml:space="preserve">对采购人的DLP大屏、精密空调、UPS主机等涉及的所有设备进行2次普查登记服务，形成详细的《普查报告》并上交给采购人，《普查报告》中应包括设备名称、数量、品牌、型号、安装位置、功能及照片。</w:t>
      </w:r>
      <w:r/>
    </w:p>
    <w:p>
      <w:pPr>
        <w:ind w:firstLine="420"/>
        <w:pageBreakBefore w:val="0"/>
        <w:spacing w:line="360" w:lineRule="auto"/>
        <w:widowControl w:val="off"/>
        <w:rPr>
          <w:rFonts w:hint="eastAsia" w:ascii="宋体" w:hAnsi="宋体" w:cs="宋体"/>
          <w:szCs w:val="21"/>
        </w:rPr>
      </w:pPr>
      <w:r>
        <w:rPr>
          <w:rFonts w:hint="eastAsia" w:ascii="宋体" w:hAnsi="宋体" w:cs="宋体"/>
          <w:szCs w:val="21"/>
        </w:rPr>
        <w:t xml:space="preserve">第1次普查登记服务应在合同签订之日起15个工作日内完成，形成《普查报告》后立即提交至采购人。</w:t>
      </w:r>
      <w:r/>
    </w:p>
    <w:p>
      <w:pPr>
        <w:ind w:firstLine="420"/>
        <w:pageBreakBefore w:val="0"/>
        <w:spacing w:line="360" w:lineRule="auto"/>
        <w:widowControl w:val="off"/>
        <w:rPr>
          <w:rFonts w:hint="eastAsia" w:ascii="宋体" w:hAnsi="宋体" w:cs="宋体"/>
          <w:szCs w:val="21"/>
        </w:rPr>
      </w:pPr>
      <w:r>
        <w:rPr>
          <w:rFonts w:hint="eastAsia" w:ascii="宋体" w:hAnsi="宋体" w:cs="宋体"/>
          <w:szCs w:val="21"/>
        </w:rPr>
        <w:t xml:space="preserve">第2次普查登记服务应在服务期结束前15个工作日内完成，形成《普查报告》并随项目验收材料一同提交至采购人。</w:t>
      </w:r>
      <w:r/>
    </w:p>
    <w:p>
      <w:pPr>
        <w:ind w:firstLine="420"/>
        <w:pageBreakBefore w:val="0"/>
        <w:spacing w:line="360" w:lineRule="auto"/>
        <w:widowControl w:val="off"/>
        <w:rPr>
          <w:rFonts w:hint="eastAsia" w:ascii="宋体" w:hAnsi="宋体" w:cs="宋体"/>
          <w:szCs w:val="21"/>
        </w:rPr>
      </w:pPr>
      <w:r>
        <w:rPr>
          <w:rFonts w:hint="eastAsia" w:ascii="宋体" w:hAnsi="宋体" w:cs="宋体"/>
          <w:szCs w:val="21"/>
        </w:rPr>
        <w:t xml:space="preserve">《普查报告》由供应商项目负责人签字有效，《普查报告》上交至采购人后，由采购人工作人员签字确认后视为该项工作完成。</w:t>
      </w:r>
      <w:r/>
    </w:p>
    <w:p>
      <w:pPr>
        <w:ind w:firstLine="420"/>
        <w:pageBreakBefore w:val="0"/>
        <w:spacing w:line="360" w:lineRule="auto"/>
        <w:widowControl w:val="off"/>
        <w:rPr>
          <w:rFonts w:hint="eastAsia" w:ascii="宋体" w:hAnsi="宋体" w:cs="宋体"/>
          <w:b/>
          <w:bCs/>
          <w:szCs w:val="21"/>
        </w:rPr>
      </w:pPr>
      <w:r>
        <w:rPr>
          <w:rFonts w:hint="eastAsia" w:ascii="宋体" w:hAnsi="宋体" w:cs="宋体"/>
          <w:b/>
          <w:bCs/>
          <w:szCs w:val="21"/>
        </w:rPr>
        <w:t xml:space="preserve">2.</w:t>
      </w:r>
      <w:bookmarkStart w:id="23" w:name="_Hlk208479893"/>
      <w:r>
        <w:rPr>
          <w:rFonts w:hint="eastAsia" w:ascii="宋体" w:hAnsi="宋体" w:cs="宋体"/>
          <w:b/>
          <w:bCs/>
          <w:szCs w:val="21"/>
        </w:rPr>
        <w:t xml:space="preserve">苏州市交通运输应急指挥中心DLP大屏运维服务</w:t>
      </w:r>
      <w:bookmarkEnd w:id="23"/>
      <w:r/>
      <w:r/>
    </w:p>
    <w:p>
      <w:pPr>
        <w:ind w:firstLine="420"/>
        <w:pageBreakBefore w:val="0"/>
        <w:spacing w:line="360" w:lineRule="auto"/>
        <w:widowControl w:val="off"/>
        <w:rPr>
          <w:rFonts w:hint="eastAsia" w:ascii="宋体" w:hAnsi="宋体" w:cs="宋体"/>
          <w:b/>
          <w:bCs/>
          <w:szCs w:val="21"/>
        </w:rPr>
      </w:pPr>
      <w:r>
        <w:rPr>
          <w:rFonts w:hint="eastAsia" w:ascii="宋体" w:hAnsi="宋体" w:cs="宋体"/>
          <w:b/>
          <w:bCs/>
          <w:szCs w:val="21"/>
        </w:rPr>
        <w:t xml:space="preserve">2.1 DLP大屏维护清单</w:t>
      </w:r>
      <w:r/>
    </w:p>
    <w:tbl>
      <w:tblPr>
        <w:tblStyle w:val="704"/>
        <w:tblW w:w="88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985"/>
        <w:gridCol w:w="961"/>
        <w:gridCol w:w="3495"/>
        <w:gridCol w:w="975"/>
        <w:gridCol w:w="765"/>
      </w:tblGrid>
      <w:tr>
        <w:trPr>
          <w:jc w:val="center"/>
          <w:trHeight w:val="531"/>
        </w:trPr>
        <w:tc>
          <w:tcPr>
            <w:tcW w:w="704" w:type="dxa"/>
            <w:vAlign w:val="center"/>
            <w:textDirection w:val="lrTb"/>
            <w:noWrap w:val="false"/>
          </w:tcPr>
          <w:p>
            <w:pPr>
              <w:contextualSpacing/>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序号</w:t>
            </w:r>
            <w:r/>
          </w:p>
        </w:tc>
        <w:tc>
          <w:tcPr>
            <w:tcW w:w="1985" w:type="dxa"/>
            <w:vAlign w:val="center"/>
            <w:textDirection w:val="lrTb"/>
            <w:noWrap w:val="false"/>
          </w:tcPr>
          <w:p>
            <w:pPr>
              <w:contextualSpacing/>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设备名称</w:t>
            </w:r>
            <w:r/>
          </w:p>
        </w:tc>
        <w:tc>
          <w:tcPr>
            <w:tcW w:w="961" w:type="dxa"/>
            <w:vAlign w:val="center"/>
            <w:textDirection w:val="lrTb"/>
            <w:noWrap w:val="false"/>
          </w:tcPr>
          <w:p>
            <w:pPr>
              <w:contextualSpacing/>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设备品牌</w:t>
            </w:r>
            <w:r/>
          </w:p>
        </w:tc>
        <w:tc>
          <w:tcPr>
            <w:tcW w:w="3495" w:type="dxa"/>
            <w:vAlign w:val="center"/>
            <w:textDirection w:val="lrTb"/>
            <w:noWrap w:val="false"/>
          </w:tcPr>
          <w:p>
            <w:pPr>
              <w:contextualSpacing/>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设备型号</w:t>
            </w:r>
            <w:r/>
          </w:p>
        </w:tc>
        <w:tc>
          <w:tcPr>
            <w:tcW w:w="975" w:type="dxa"/>
            <w:vAlign w:val="center"/>
            <w:textDirection w:val="lrTb"/>
            <w:noWrap w:val="false"/>
          </w:tcPr>
          <w:p>
            <w:pPr>
              <w:contextualSpacing/>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数量</w:t>
            </w:r>
            <w:r/>
          </w:p>
        </w:tc>
        <w:tc>
          <w:tcPr>
            <w:tcW w:w="765" w:type="dxa"/>
            <w:vAlign w:val="center"/>
            <w:textDirection w:val="lrTb"/>
            <w:noWrap w:val="false"/>
          </w:tcPr>
          <w:p>
            <w:pPr>
              <w:contextualSpacing/>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单位</w:t>
            </w:r>
            <w:r/>
          </w:p>
        </w:tc>
      </w:tr>
      <w:tr>
        <w:trPr>
          <w:jc w:val="center"/>
          <w:trHeight w:val="20"/>
        </w:trPr>
        <w:tc>
          <w:tcPr>
            <w:tcW w:w="704" w:type="dxa"/>
            <w:vAlign w:val="center"/>
            <w:textDirection w:val="lrTb"/>
            <w:noWrap w:val="false"/>
          </w:tcPr>
          <w:p>
            <w:pPr>
              <w:contextualSpacing/>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p>
        </w:tc>
        <w:tc>
          <w:tcPr>
            <w:tcW w:w="1985" w:type="dxa"/>
            <w:vAlign w:val="center"/>
            <w:textDirection w:val="lrTb"/>
            <w:noWrap w:val="false"/>
          </w:tcPr>
          <w:p>
            <w:pPr>
              <w:contextualSpacing/>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Visionpro显示单元</w:t>
            </w:r>
            <w:r/>
          </w:p>
        </w:tc>
        <w:tc>
          <w:tcPr>
            <w:tcW w:w="961" w:type="dxa"/>
            <w:vAlign w:val="center"/>
            <w:textDirection w:val="lrTb"/>
            <w:noWrap w:val="false"/>
          </w:tcPr>
          <w:p>
            <w:pPr>
              <w:contextualSpacing/>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VTRON</w:t>
            </w:r>
            <w:r/>
          </w:p>
        </w:tc>
        <w:tc>
          <w:tcPr>
            <w:tcW w:w="3495" w:type="dxa"/>
            <w:vAlign w:val="center"/>
            <w:textDirection w:val="lrTb"/>
            <w:noWrap w:val="false"/>
          </w:tcPr>
          <w:p>
            <w:pPr>
              <w:contextualSpacing/>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E-SX805(CSI屏幕)（内含VTRON Visionpro系列显示投影单元H3L投影机、控制模块嵌入式软件V1.0等）</w:t>
            </w:r>
            <w:r/>
          </w:p>
        </w:tc>
        <w:tc>
          <w:tcPr>
            <w:tcW w:w="975" w:type="dxa"/>
            <w:vAlign w:val="center"/>
            <w:textDirection w:val="lrTb"/>
            <w:noWrap w:val="false"/>
          </w:tcPr>
          <w:p>
            <w:pPr>
              <w:contextualSpacing/>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64</w:t>
            </w:r>
            <w:r/>
          </w:p>
        </w:tc>
        <w:tc>
          <w:tcPr>
            <w:tcW w:w="765" w:type="dxa"/>
            <w:vAlign w:val="center"/>
            <w:textDirection w:val="lrTb"/>
            <w:noWrap w:val="false"/>
          </w:tcPr>
          <w:p>
            <w:pPr>
              <w:contextualSpacing/>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套</w:t>
            </w:r>
            <w:r/>
          </w:p>
        </w:tc>
      </w:tr>
      <w:tr>
        <w:trPr>
          <w:jc w:val="center"/>
          <w:trHeight w:val="20"/>
        </w:trPr>
        <w:tc>
          <w:tcPr>
            <w:tcW w:w="704" w:type="dxa"/>
            <w:vAlign w:val="center"/>
            <w:textDirection w:val="lrTb"/>
            <w:noWrap w:val="false"/>
          </w:tcPr>
          <w:p>
            <w:pPr>
              <w:contextualSpacing/>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w:t>
            </w:r>
            <w:r/>
          </w:p>
        </w:tc>
        <w:tc>
          <w:tcPr>
            <w:tcW w:w="1985" w:type="dxa"/>
            <w:vAlign w:val="center"/>
            <w:textDirection w:val="lrTb"/>
            <w:noWrap w:val="false"/>
          </w:tcPr>
          <w:p>
            <w:pPr>
              <w:contextualSpacing/>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显示单元底座</w:t>
            </w:r>
            <w:r/>
          </w:p>
        </w:tc>
        <w:tc>
          <w:tcPr>
            <w:tcW w:w="961" w:type="dxa"/>
            <w:vAlign w:val="center"/>
            <w:textDirection w:val="lrTb"/>
            <w:noWrap w:val="false"/>
          </w:tcPr>
          <w:p>
            <w:pPr>
              <w:contextualSpacing/>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VTRON</w:t>
            </w:r>
            <w:r/>
          </w:p>
        </w:tc>
        <w:tc>
          <w:tcPr>
            <w:tcW w:w="3495" w:type="dxa"/>
            <w:vAlign w:val="center"/>
            <w:textDirection w:val="lrTb"/>
            <w:noWrap w:val="false"/>
          </w:tcPr>
          <w:p>
            <w:pPr>
              <w:contextualSpacing/>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BE08030-1000</w:t>
            </w:r>
            <w:r/>
          </w:p>
        </w:tc>
        <w:tc>
          <w:tcPr>
            <w:tcW w:w="975" w:type="dxa"/>
            <w:vAlign w:val="center"/>
            <w:textDirection w:val="lrTb"/>
            <w:noWrap w:val="false"/>
          </w:tcPr>
          <w:p>
            <w:pPr>
              <w:contextualSpacing/>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16</w:t>
            </w:r>
            <w:r/>
          </w:p>
        </w:tc>
        <w:tc>
          <w:tcPr>
            <w:tcW w:w="765" w:type="dxa"/>
            <w:vAlign w:val="center"/>
            <w:textDirection w:val="lrTb"/>
            <w:noWrap w:val="false"/>
          </w:tcPr>
          <w:p>
            <w:pPr>
              <w:contextualSpacing/>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套</w:t>
            </w:r>
            <w:r/>
          </w:p>
        </w:tc>
      </w:tr>
      <w:tr>
        <w:trPr>
          <w:jc w:val="center"/>
          <w:trHeight w:val="20"/>
        </w:trPr>
        <w:tc>
          <w:tcPr>
            <w:tcW w:w="704" w:type="dxa"/>
            <w:vAlign w:val="center"/>
            <w:textDirection w:val="lrTb"/>
            <w:noWrap w:val="false"/>
          </w:tcPr>
          <w:p>
            <w:pPr>
              <w:contextualSpacing/>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w:t>
            </w:r>
            <w:r/>
          </w:p>
        </w:tc>
        <w:tc>
          <w:tcPr>
            <w:tcW w:w="1985" w:type="dxa"/>
            <w:vAlign w:val="center"/>
            <w:textDirection w:val="lrTb"/>
            <w:noWrap w:val="false"/>
          </w:tcPr>
          <w:p>
            <w:pPr>
              <w:contextualSpacing/>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Digicom Ark多屏处理器</w:t>
            </w:r>
            <w:r/>
          </w:p>
        </w:tc>
        <w:tc>
          <w:tcPr>
            <w:tcW w:w="961" w:type="dxa"/>
            <w:vAlign w:val="center"/>
            <w:textDirection w:val="lrTb"/>
            <w:noWrap w:val="false"/>
          </w:tcPr>
          <w:p>
            <w:pPr>
              <w:contextualSpacing/>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VTRON</w:t>
            </w:r>
            <w:r/>
          </w:p>
        </w:tc>
        <w:tc>
          <w:tcPr>
            <w:tcW w:w="3495" w:type="dxa"/>
            <w:vAlign w:val="center"/>
            <w:textDirection w:val="lrTb"/>
            <w:noWrap w:val="false"/>
          </w:tcPr>
          <w:p>
            <w:pPr>
              <w:contextualSpacing/>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Digicom Ark3300多屏处理器（内含VTRON Ark3000多屏处理器嵌入式软件V1.0[简称：VARK–3000]）[中文版、含输出-64路DVI(4×16),输入-80路(32路Video,32路RGB,16路HDMI等)]</w:t>
            </w:r>
            <w:r/>
          </w:p>
        </w:tc>
        <w:tc>
          <w:tcPr>
            <w:tcW w:w="975" w:type="dxa"/>
            <w:vAlign w:val="center"/>
            <w:textDirection w:val="lrTb"/>
            <w:noWrap w:val="false"/>
          </w:tcPr>
          <w:p>
            <w:pPr>
              <w:contextualSpacing/>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p>
        </w:tc>
        <w:tc>
          <w:tcPr>
            <w:tcW w:w="765" w:type="dxa"/>
            <w:vAlign w:val="center"/>
            <w:textDirection w:val="lrTb"/>
            <w:noWrap w:val="false"/>
          </w:tcPr>
          <w:p>
            <w:pPr>
              <w:contextualSpacing/>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套</w:t>
            </w:r>
            <w:r/>
          </w:p>
        </w:tc>
      </w:tr>
      <w:tr>
        <w:trPr>
          <w:jc w:val="center"/>
          <w:trHeight w:val="20"/>
        </w:trPr>
        <w:tc>
          <w:tcPr>
            <w:tcW w:w="704" w:type="dxa"/>
            <w:vAlign w:val="center"/>
            <w:textDirection w:val="lrTb"/>
            <w:noWrap w:val="false"/>
          </w:tcPr>
          <w:p>
            <w:pPr>
              <w:contextualSpacing/>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w:t>
            </w:r>
            <w:r/>
          </w:p>
        </w:tc>
        <w:tc>
          <w:tcPr>
            <w:tcW w:w="1985" w:type="dxa"/>
            <w:vAlign w:val="center"/>
            <w:textDirection w:val="lrTb"/>
            <w:noWrap w:val="false"/>
          </w:tcPr>
          <w:p>
            <w:pPr>
              <w:contextualSpacing/>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双基色LED显示屏</w:t>
            </w:r>
            <w:r/>
          </w:p>
        </w:tc>
        <w:tc>
          <w:tcPr>
            <w:tcW w:w="961" w:type="dxa"/>
            <w:vAlign w:val="center"/>
            <w:textDirection w:val="lrTb"/>
            <w:noWrap w:val="false"/>
          </w:tcPr>
          <w:p>
            <w:pPr>
              <w:contextualSpacing/>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合展</w:t>
            </w:r>
            <w:r/>
          </w:p>
        </w:tc>
        <w:tc>
          <w:tcPr>
            <w:tcW w:w="3495" w:type="dxa"/>
            <w:vAlign w:val="center"/>
            <w:textDirection w:val="lrTb"/>
            <w:noWrap w:val="false"/>
          </w:tcPr>
          <w:p>
            <w:pPr>
              <w:contextualSpacing/>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3.75（内含钢结构、控制系统）</w:t>
            </w:r>
            <w:r/>
          </w:p>
        </w:tc>
        <w:tc>
          <w:tcPr>
            <w:tcW w:w="975" w:type="dxa"/>
            <w:vAlign w:val="center"/>
            <w:textDirection w:val="lrTb"/>
            <w:noWrap w:val="false"/>
          </w:tcPr>
          <w:p>
            <w:pPr>
              <w:contextualSpacing/>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20.8</w:t>
            </w:r>
            <w:r/>
          </w:p>
        </w:tc>
        <w:tc>
          <w:tcPr>
            <w:tcW w:w="765" w:type="dxa"/>
            <w:vAlign w:val="center"/>
            <w:textDirection w:val="lrTb"/>
            <w:noWrap w:val="false"/>
          </w:tcPr>
          <w:p>
            <w:pPr>
              <w:contextualSpacing/>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平方</w:t>
            </w:r>
            <w:r/>
          </w:p>
        </w:tc>
      </w:tr>
      <w:tr>
        <w:trPr>
          <w:jc w:val="center"/>
          <w:trHeight w:val="20"/>
        </w:trPr>
        <w:tc>
          <w:tcPr>
            <w:tcW w:w="704" w:type="dxa"/>
            <w:vAlign w:val="center"/>
            <w:textDirection w:val="lrTb"/>
            <w:noWrap w:val="false"/>
          </w:tcPr>
          <w:p>
            <w:pPr>
              <w:contextualSpacing/>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w:t>
            </w:r>
            <w:r/>
          </w:p>
        </w:tc>
        <w:tc>
          <w:tcPr>
            <w:shd w:val="clear" w:color="auto" w:fill="auto"/>
            <w:tcW w:w="1985" w:type="dxa"/>
            <w:vAlign w:val="center"/>
            <w:textDirection w:val="lrTb"/>
            <w:noWrap w:val="false"/>
          </w:tcPr>
          <w:p>
            <w:pPr>
              <w:contextualSpacing/>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无线投屏伺服器</w:t>
            </w:r>
            <w:r/>
          </w:p>
        </w:tc>
        <w:tc>
          <w:tcPr>
            <w:shd w:val="clear" w:color="auto" w:fill="auto"/>
            <w:tcW w:w="961" w:type="dxa"/>
            <w:vAlign w:val="center"/>
            <w:textDirection w:val="lrTb"/>
            <w:noWrap w:val="false"/>
          </w:tcPr>
          <w:p>
            <w:pPr>
              <w:contextualSpacing/>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ITC</w:t>
            </w:r>
            <w:r/>
          </w:p>
        </w:tc>
        <w:tc>
          <w:tcPr>
            <w:shd w:val="clear" w:color="auto" w:fill="auto"/>
            <w:tcW w:w="3495" w:type="dxa"/>
            <w:vAlign w:val="center"/>
            <w:textDirection w:val="lrTb"/>
            <w:noWrap w:val="false"/>
          </w:tcPr>
          <w:p>
            <w:pPr>
              <w:contextualSpacing/>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TS-9100N</w:t>
            </w:r>
            <w:r/>
          </w:p>
        </w:tc>
        <w:tc>
          <w:tcPr>
            <w:tcW w:w="975" w:type="dxa"/>
            <w:vAlign w:val="center"/>
            <w:textDirection w:val="lrTb"/>
            <w:noWrap w:val="false"/>
          </w:tcPr>
          <w:p>
            <w:pPr>
              <w:contextualSpacing/>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p>
        </w:tc>
        <w:tc>
          <w:tcPr>
            <w:tcW w:w="765" w:type="dxa"/>
            <w:vAlign w:val="center"/>
            <w:textDirection w:val="lrTb"/>
            <w:noWrap w:val="false"/>
          </w:tcPr>
          <w:p>
            <w:pPr>
              <w:contextualSpacing/>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台</w:t>
            </w:r>
            <w:r/>
          </w:p>
        </w:tc>
      </w:tr>
      <w:tr>
        <w:trPr>
          <w:jc w:val="center"/>
          <w:trHeight w:val="20"/>
        </w:trPr>
        <w:tc>
          <w:tcPr>
            <w:tcW w:w="704" w:type="dxa"/>
            <w:vAlign w:val="center"/>
            <w:textDirection w:val="lrTb"/>
            <w:noWrap w:val="false"/>
          </w:tcPr>
          <w:p>
            <w:pPr>
              <w:contextualSpacing/>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w:t>
            </w:r>
            <w:r/>
          </w:p>
        </w:tc>
        <w:tc>
          <w:tcPr>
            <w:tcW w:w="1985" w:type="dxa"/>
            <w:vAlign w:val="center"/>
            <w:textDirection w:val="lrTb"/>
            <w:noWrap w:val="false"/>
          </w:tcPr>
          <w:p>
            <w:pPr>
              <w:contextualSpacing/>
              <w:ind w:left="0"/>
              <w:jc w:val="center"/>
              <w:pageBreakBefore w:val="0"/>
              <w:spacing w:line="360" w:lineRule="auto"/>
              <w:widowControl w:val="off"/>
              <w:rPr>
                <w:rFonts w:hint="eastAsia" w:asciiTheme="minorEastAsia" w:hAnsiTheme="minorEastAsia" w:eastAsiaTheme="minorEastAsia" w:cstheme="minorEastAsia"/>
                <w:sz w:val="21"/>
                <w:szCs w:val="21"/>
                <w:highlight w:val="yellow"/>
              </w:rPr>
            </w:pPr>
            <w:r/>
            <w:bookmarkStart w:id="24" w:name="OLE_LINK16"/>
            <w:r/>
            <w:bookmarkStart w:id="25" w:name="OLE_LINK13"/>
            <w:r>
              <w:rPr>
                <w:rFonts w:hint="eastAsia" w:asciiTheme="minorEastAsia" w:hAnsiTheme="minorEastAsia" w:eastAsiaTheme="minorEastAsia" w:cstheme="minorEastAsia"/>
                <w:sz w:val="21"/>
                <w:szCs w:val="21"/>
              </w:rPr>
              <w:t xml:space="preserve">级联器</w:t>
            </w:r>
            <w:bookmarkEnd w:id="24"/>
            <w:r/>
            <w:bookmarkEnd w:id="25"/>
            <w:r/>
            <w:r/>
          </w:p>
        </w:tc>
        <w:tc>
          <w:tcPr>
            <w:tcW w:w="961" w:type="dxa"/>
            <w:vAlign w:val="center"/>
            <w:textDirection w:val="lrTb"/>
            <w:noWrap w:val="false"/>
          </w:tcPr>
          <w:p>
            <w:pPr>
              <w:contextualSpacing/>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VTRON</w:t>
            </w:r>
            <w:r/>
          </w:p>
        </w:tc>
        <w:tc>
          <w:tcPr>
            <w:tcW w:w="3495" w:type="dxa"/>
            <w:vAlign w:val="center"/>
            <w:textDirection w:val="lrTb"/>
            <w:noWrap w:val="false"/>
          </w:tcPr>
          <w:p>
            <w:pPr>
              <w:contextualSpacing/>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Ark</w:t>
            </w:r>
            <w:r/>
          </w:p>
        </w:tc>
        <w:tc>
          <w:tcPr>
            <w:tcW w:w="975" w:type="dxa"/>
            <w:vAlign w:val="center"/>
            <w:textDirection w:val="lrTb"/>
            <w:noWrap w:val="false"/>
          </w:tcPr>
          <w:p>
            <w:pPr>
              <w:contextualSpacing/>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p>
        </w:tc>
        <w:tc>
          <w:tcPr>
            <w:tcW w:w="765" w:type="dxa"/>
            <w:vAlign w:val="center"/>
            <w:textDirection w:val="lrTb"/>
            <w:noWrap w:val="false"/>
          </w:tcPr>
          <w:p>
            <w:pPr>
              <w:contextualSpacing/>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套</w:t>
            </w:r>
            <w:r/>
          </w:p>
        </w:tc>
      </w:tr>
      <w:tr>
        <w:trPr>
          <w:jc w:val="center"/>
          <w:trHeight w:val="20"/>
        </w:trPr>
        <w:tc>
          <w:tcPr>
            <w:tcW w:w="704" w:type="dxa"/>
            <w:vAlign w:val="center"/>
            <w:textDirection w:val="lrTb"/>
            <w:noWrap w:val="false"/>
          </w:tcPr>
          <w:p>
            <w:pPr>
              <w:contextualSpacing/>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w:t>
            </w:r>
            <w:r/>
          </w:p>
        </w:tc>
        <w:tc>
          <w:tcPr>
            <w:tcW w:w="1985" w:type="dxa"/>
            <w:vAlign w:val="center"/>
            <w:textDirection w:val="lrTb"/>
            <w:noWrap w:val="false"/>
          </w:tcPr>
          <w:p>
            <w:pPr>
              <w:contextualSpacing/>
              <w:ind w:left="0"/>
              <w:jc w:val="center"/>
              <w:pageBreakBefore w:val="0"/>
              <w:spacing w:line="360" w:lineRule="auto"/>
              <w:widowControl w:val="off"/>
              <w:rPr>
                <w:rFonts w:hint="eastAsia" w:asciiTheme="minorEastAsia" w:hAnsiTheme="minorEastAsia" w:eastAsiaTheme="minorEastAsia" w:cstheme="minorEastAsia"/>
                <w:sz w:val="21"/>
                <w:szCs w:val="21"/>
              </w:rPr>
            </w:pPr>
            <w:r/>
            <w:bookmarkStart w:id="26" w:name="_Hlk207821888"/>
            <w:r>
              <w:rPr>
                <w:rFonts w:hint="eastAsia" w:asciiTheme="minorEastAsia" w:hAnsiTheme="minorEastAsia" w:eastAsiaTheme="minorEastAsia" w:cstheme="minorEastAsia"/>
                <w:sz w:val="21"/>
                <w:szCs w:val="21"/>
              </w:rPr>
              <w:t xml:space="preserve">数字拼接墙显示应用管理系统</w:t>
            </w:r>
            <w:bookmarkEnd w:id="26"/>
            <w:r/>
            <w:r/>
          </w:p>
        </w:tc>
        <w:tc>
          <w:tcPr>
            <w:tcW w:w="961" w:type="dxa"/>
            <w:vAlign w:val="center"/>
            <w:textDirection w:val="lrTb"/>
            <w:noWrap w:val="false"/>
          </w:tcPr>
          <w:p>
            <w:pPr>
              <w:contextualSpacing/>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VTRON</w:t>
            </w:r>
            <w:r/>
          </w:p>
        </w:tc>
        <w:tc>
          <w:tcPr>
            <w:tcW w:w="3495" w:type="dxa"/>
            <w:vAlign w:val="center"/>
            <w:textDirection w:val="lrTb"/>
            <w:noWrap w:val="false"/>
          </w:tcPr>
          <w:p>
            <w:pPr>
              <w:contextualSpacing/>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V5.5</w:t>
            </w:r>
            <w:r/>
          </w:p>
        </w:tc>
        <w:tc>
          <w:tcPr>
            <w:tcW w:w="975" w:type="dxa"/>
            <w:vAlign w:val="center"/>
            <w:textDirection w:val="lrTb"/>
            <w:noWrap w:val="false"/>
          </w:tcPr>
          <w:p>
            <w:pPr>
              <w:contextualSpacing/>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p>
        </w:tc>
        <w:tc>
          <w:tcPr>
            <w:tcW w:w="765" w:type="dxa"/>
            <w:vAlign w:val="center"/>
            <w:textDirection w:val="lrTb"/>
            <w:noWrap w:val="false"/>
          </w:tcPr>
          <w:p>
            <w:pPr>
              <w:contextualSpacing/>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套</w:t>
            </w:r>
            <w:r/>
          </w:p>
        </w:tc>
      </w:tr>
      <w:tr>
        <w:trPr>
          <w:jc w:val="center"/>
          <w:trHeight w:val="20"/>
        </w:trPr>
        <w:tc>
          <w:tcPr>
            <w:tcW w:w="704" w:type="dxa"/>
            <w:vAlign w:val="center"/>
            <w:textDirection w:val="lrTb"/>
            <w:noWrap w:val="false"/>
          </w:tcPr>
          <w:p>
            <w:pPr>
              <w:contextualSpacing/>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8</w:t>
            </w:r>
            <w:r/>
          </w:p>
        </w:tc>
        <w:tc>
          <w:tcPr>
            <w:tcW w:w="1985" w:type="dxa"/>
            <w:vAlign w:val="center"/>
            <w:textDirection w:val="lrTb"/>
            <w:noWrap w:val="false"/>
          </w:tcPr>
          <w:p>
            <w:pPr>
              <w:contextualSpacing/>
              <w:ind w:left="0"/>
              <w:jc w:val="center"/>
              <w:pageBreakBefore w:val="0"/>
              <w:spacing w:line="360" w:lineRule="auto"/>
              <w:widowControl w:val="off"/>
              <w:rPr>
                <w:rFonts w:hint="eastAsia" w:asciiTheme="minorEastAsia" w:hAnsiTheme="minorEastAsia" w:eastAsiaTheme="minorEastAsia" w:cstheme="minorEastAsia"/>
                <w:sz w:val="21"/>
                <w:szCs w:val="21"/>
              </w:rPr>
            </w:pPr>
            <w:r/>
            <w:bookmarkStart w:id="27" w:name="_Hlk207821900"/>
            <w:r>
              <w:rPr>
                <w:rFonts w:hint="eastAsia" w:asciiTheme="minorEastAsia" w:hAnsiTheme="minorEastAsia" w:eastAsiaTheme="minorEastAsia" w:cstheme="minorEastAsia"/>
                <w:sz w:val="21"/>
                <w:szCs w:val="21"/>
              </w:rPr>
              <w:t xml:space="preserve">移动端APP</w:t>
            </w:r>
            <w:bookmarkEnd w:id="27"/>
            <w:r/>
            <w:r/>
          </w:p>
        </w:tc>
        <w:tc>
          <w:tcPr>
            <w:tcW w:w="961" w:type="dxa"/>
            <w:vAlign w:val="center"/>
            <w:textDirection w:val="lrTb"/>
            <w:noWrap w:val="false"/>
          </w:tcPr>
          <w:p>
            <w:pPr>
              <w:contextualSpacing/>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ITC</w:t>
            </w:r>
            <w:r/>
          </w:p>
        </w:tc>
        <w:tc>
          <w:tcPr>
            <w:tcW w:w="3495" w:type="dxa"/>
            <w:vAlign w:val="center"/>
            <w:textDirection w:val="lrTb"/>
            <w:noWrap w:val="false"/>
          </w:tcPr>
          <w:p>
            <w:pPr>
              <w:contextualSpacing/>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TS-9100R</w:t>
            </w:r>
            <w:r/>
          </w:p>
        </w:tc>
        <w:tc>
          <w:tcPr>
            <w:tcW w:w="975" w:type="dxa"/>
            <w:vAlign w:val="center"/>
            <w:textDirection w:val="lrTb"/>
            <w:noWrap w:val="false"/>
          </w:tcPr>
          <w:p>
            <w:pPr>
              <w:contextualSpacing/>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p>
        </w:tc>
        <w:tc>
          <w:tcPr>
            <w:tcW w:w="765" w:type="dxa"/>
            <w:vAlign w:val="center"/>
            <w:textDirection w:val="lrTb"/>
            <w:noWrap w:val="false"/>
          </w:tcPr>
          <w:p>
            <w:pPr>
              <w:contextualSpacing/>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套</w:t>
            </w:r>
            <w:r/>
          </w:p>
        </w:tc>
      </w:tr>
      <w:tr>
        <w:trPr>
          <w:jc w:val="center"/>
          <w:trHeight w:val="20"/>
        </w:trPr>
        <w:tc>
          <w:tcPr>
            <w:tcW w:w="704" w:type="dxa"/>
            <w:vAlign w:val="center"/>
            <w:textDirection w:val="lrTb"/>
            <w:noWrap w:val="false"/>
          </w:tcPr>
          <w:p>
            <w:pPr>
              <w:contextualSpacing/>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w:t>
            </w:r>
            <w:r/>
          </w:p>
        </w:tc>
        <w:tc>
          <w:tcPr>
            <w:tcW w:w="1985" w:type="dxa"/>
            <w:vAlign w:val="center"/>
            <w:textDirection w:val="lrTb"/>
            <w:noWrap w:val="false"/>
          </w:tcPr>
          <w:p>
            <w:pPr>
              <w:contextualSpacing/>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配套线缆</w:t>
            </w:r>
            <w:r/>
          </w:p>
        </w:tc>
        <w:tc>
          <w:tcPr>
            <w:tcW w:w="961" w:type="dxa"/>
            <w:vAlign w:val="center"/>
            <w:textDirection w:val="lrTb"/>
            <w:noWrap w:val="false"/>
          </w:tcPr>
          <w:p>
            <w:pPr>
              <w:contextualSpacing/>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VTRON</w:t>
            </w:r>
            <w:r/>
          </w:p>
        </w:tc>
        <w:tc>
          <w:tcPr>
            <w:tcW w:w="3495" w:type="dxa"/>
            <w:vAlign w:val="center"/>
            <w:textDirection w:val="lrTb"/>
            <w:noWrap w:val="false"/>
          </w:tcPr>
          <w:p>
            <w:pPr>
              <w:contextualSpacing/>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VTRON VW工程线缆包</w:t>
            </w:r>
            <w:r/>
          </w:p>
        </w:tc>
        <w:tc>
          <w:tcPr>
            <w:tcW w:w="975" w:type="dxa"/>
            <w:vAlign w:val="center"/>
            <w:textDirection w:val="lrTb"/>
            <w:noWrap w:val="false"/>
          </w:tcPr>
          <w:p>
            <w:pPr>
              <w:contextualSpacing/>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p>
        </w:tc>
        <w:tc>
          <w:tcPr>
            <w:tcW w:w="765" w:type="dxa"/>
            <w:vAlign w:val="center"/>
            <w:textDirection w:val="lrTb"/>
            <w:noWrap w:val="false"/>
          </w:tcPr>
          <w:p>
            <w:pPr>
              <w:contextualSpacing/>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套</w:t>
            </w:r>
            <w:r/>
          </w:p>
        </w:tc>
      </w:tr>
    </w:tbl>
    <w:p>
      <w:pPr>
        <w:ind w:firstLine="420"/>
        <w:pageBreakBefore w:val="0"/>
        <w:spacing w:line="360" w:lineRule="auto"/>
        <w:widowControl w:val="off"/>
        <w:rPr>
          <w:rFonts w:hint="eastAsia" w:ascii="宋体" w:hAnsi="宋体" w:cs="宋体"/>
          <w:b/>
          <w:bCs/>
          <w:szCs w:val="21"/>
        </w:rPr>
      </w:pPr>
      <w:r>
        <w:rPr>
          <w:rFonts w:hint="eastAsia" w:ascii="宋体" w:hAnsi="宋体" w:cs="宋体"/>
          <w:b/>
          <w:bCs/>
          <w:szCs w:val="21"/>
        </w:rPr>
        <w:t xml:space="preserve">2.2 DLP大屏巡检服务内容</w:t>
      </w:r>
      <w:r/>
    </w:p>
    <w:p>
      <w:pPr>
        <w:ind w:firstLine="420"/>
        <w:pageBreakBefore w:val="0"/>
        <w:spacing w:line="360" w:lineRule="auto"/>
        <w:widowControl w:val="off"/>
        <w:rPr>
          <w:rFonts w:hint="eastAsia" w:ascii="宋体" w:hAnsi="宋体" w:cs="宋体"/>
          <w:b w:val="0"/>
          <w:bCs w:val="0"/>
          <w:szCs w:val="21"/>
        </w:rPr>
      </w:pPr>
      <w:r>
        <w:rPr>
          <w:rFonts w:hint="eastAsia" w:ascii="宋体" w:hAnsi="宋体" w:cs="宋体"/>
          <w:b w:val="0"/>
          <w:bCs w:val="0"/>
          <w:szCs w:val="21"/>
        </w:rPr>
        <w:t xml:space="preserve">每周至少一次对DLP大屏进行巡检服务，包括对显示单元、显示单元底座、多屏处理器、双基色LED显示屏、无线投屏伺服器、级联器、数字拼接墙显示应用管理系统、移动端APP及配套线缆的运行状况进行巡检，并形成《DLP大屏巡检记录表》。</w:t>
      </w:r>
      <w:r/>
    </w:p>
    <w:p>
      <w:pPr>
        <w:ind w:firstLine="420"/>
        <w:pageBreakBefore w:val="0"/>
        <w:spacing w:line="360" w:lineRule="auto"/>
        <w:widowControl w:val="off"/>
        <w:rPr>
          <w:rFonts w:hint="eastAsia" w:ascii="宋体" w:hAnsi="宋体" w:cs="宋体"/>
          <w:b/>
          <w:bCs/>
          <w:szCs w:val="21"/>
        </w:rPr>
      </w:pPr>
      <w:r>
        <w:rPr>
          <w:rFonts w:hint="eastAsia" w:ascii="宋体" w:hAnsi="宋体" w:cs="宋体"/>
          <w:b/>
          <w:bCs/>
          <w:szCs w:val="21"/>
        </w:rPr>
        <w:t xml:space="preserve">2.3 DLP大屏维护服务内容</w:t>
      </w:r>
      <w:r/>
    </w:p>
    <w:p>
      <w:pPr>
        <w:ind w:firstLine="420"/>
        <w:pageBreakBefore w:val="0"/>
        <w:spacing w:line="360" w:lineRule="auto"/>
        <w:widowControl w:val="off"/>
        <w:rPr>
          <w:rFonts w:hint="eastAsia" w:ascii="宋体" w:hAnsi="宋体" w:cs="宋体"/>
          <w:b w:val="0"/>
          <w:bCs w:val="0"/>
          <w:szCs w:val="21"/>
        </w:rPr>
      </w:pPr>
      <w:r>
        <w:rPr>
          <w:rFonts w:hint="eastAsia" w:ascii="宋体" w:hAnsi="宋体" w:cs="宋体"/>
          <w:b w:val="0"/>
          <w:bCs w:val="0"/>
          <w:szCs w:val="21"/>
        </w:rPr>
        <w:t xml:space="preserve">（1）每周至少1次对屏幕显示的拼接效果进行优化，保障大屏系统处于最佳运行状态，如遇重大活动或节假日，采购人可根据需求增加服务次数；</w:t>
      </w:r>
      <w:r/>
    </w:p>
    <w:p>
      <w:pPr>
        <w:ind w:firstLine="420"/>
        <w:pageBreakBefore w:val="0"/>
        <w:spacing w:line="360" w:lineRule="auto"/>
        <w:widowControl w:val="off"/>
        <w:rPr>
          <w:rFonts w:hint="eastAsia" w:ascii="宋体" w:hAnsi="宋体" w:cs="宋体"/>
          <w:b w:val="0"/>
          <w:bCs w:val="0"/>
          <w:szCs w:val="21"/>
        </w:rPr>
      </w:pPr>
      <w:r>
        <w:rPr>
          <w:rFonts w:hint="eastAsia" w:ascii="宋体" w:hAnsi="宋体" w:cs="宋体"/>
          <w:b w:val="0"/>
          <w:bCs w:val="0"/>
          <w:szCs w:val="21"/>
        </w:rPr>
        <w:t xml:space="preserve">（2）每月至少1次对显示单元的显示效果进行检查，确保横向、纵向坐标对齐，符合显示标准；每月至少1次对Ark多屏处理器、级联器及无线投屏伺服器进行维护，检查设备运行状态，对异常告警进行维护；</w:t>
      </w:r>
      <w:r/>
    </w:p>
    <w:p>
      <w:pPr>
        <w:ind w:firstLine="420"/>
        <w:pageBreakBefore w:val="0"/>
        <w:spacing w:line="360" w:lineRule="auto"/>
        <w:widowControl w:val="off"/>
        <w:rPr>
          <w:rFonts w:hint="eastAsia" w:ascii="宋体" w:hAnsi="宋体" w:cs="宋体"/>
          <w:b w:val="0"/>
          <w:bCs w:val="0"/>
          <w:szCs w:val="21"/>
        </w:rPr>
      </w:pPr>
      <w:r>
        <w:rPr>
          <w:rFonts w:hint="eastAsia" w:ascii="宋体" w:hAnsi="宋体" w:cs="宋体"/>
          <w:b w:val="0"/>
          <w:bCs w:val="0"/>
          <w:szCs w:val="21"/>
        </w:rPr>
        <w:t xml:space="preserve">（3）每季度至少1次对显示单元、Ark多屏处理器、级联器、无线投屏伺服器、专用线缆及电缆进行检查整理及清灰，每次检查整理及清灰前后均要以照片形式对设备状态进行记录；</w:t>
      </w:r>
      <w:r/>
    </w:p>
    <w:p>
      <w:pPr>
        <w:ind w:firstLine="420"/>
        <w:pageBreakBefore w:val="0"/>
        <w:spacing w:line="360" w:lineRule="auto"/>
        <w:widowControl w:val="off"/>
        <w:rPr>
          <w:rFonts w:hint="eastAsia" w:ascii="宋体" w:hAnsi="宋体" w:cs="宋体"/>
          <w:b w:val="0"/>
          <w:bCs w:val="0"/>
          <w:szCs w:val="21"/>
        </w:rPr>
      </w:pPr>
      <w:r/>
      <w:bookmarkStart w:id="28" w:name="_Hlk208309224"/>
      <w:r>
        <w:rPr>
          <w:rFonts w:hint="eastAsia" w:ascii="宋体" w:hAnsi="宋体" w:cs="宋体"/>
          <w:b w:val="0"/>
          <w:bCs w:val="0"/>
          <w:szCs w:val="21"/>
        </w:rPr>
        <w:t xml:space="preserve">（4）</w:t>
      </w:r>
      <w:bookmarkStart w:id="29" w:name="_Hlk208307946"/>
      <w:r>
        <w:rPr>
          <w:rFonts w:hint="eastAsia" w:ascii="宋体" w:hAnsi="宋体" w:cs="宋体"/>
          <w:b w:val="0"/>
          <w:bCs w:val="0"/>
          <w:szCs w:val="21"/>
        </w:rPr>
        <w:t xml:space="preserve">供应商应将上述服务形成《DLP大屏维护记录表》。</w:t>
      </w:r>
      <w:bookmarkEnd w:id="28"/>
      <w:r/>
      <w:bookmarkEnd w:id="29"/>
      <w:r/>
      <w:r/>
    </w:p>
    <w:p>
      <w:pPr>
        <w:ind w:firstLine="420"/>
        <w:pageBreakBefore w:val="0"/>
        <w:spacing w:line="360" w:lineRule="auto"/>
        <w:widowControl w:val="off"/>
        <w:rPr>
          <w:rFonts w:hint="eastAsia" w:ascii="宋体" w:hAnsi="宋体" w:cs="宋体"/>
          <w:b w:val="0"/>
          <w:bCs w:val="0"/>
          <w:szCs w:val="21"/>
        </w:rPr>
      </w:pPr>
      <w:r>
        <w:rPr>
          <w:rFonts w:hint="eastAsia" w:ascii="宋体" w:hAnsi="宋体" w:cs="宋体"/>
          <w:b w:val="0"/>
          <w:bCs w:val="0"/>
          <w:szCs w:val="21"/>
        </w:rPr>
        <w:t xml:space="preserve">（5）</w:t>
      </w:r>
      <w:bookmarkStart w:id="30" w:name="_Hlk208250652"/>
      <w:r>
        <w:rPr>
          <w:rFonts w:hint="eastAsia" w:ascii="宋体" w:hAnsi="宋体" w:cs="宋体"/>
          <w:b w:val="0"/>
          <w:bCs w:val="0"/>
          <w:szCs w:val="21"/>
        </w:rPr>
        <w:t xml:space="preserve">其他维护要求：</w:t>
      </w:r>
      <w:bookmarkEnd w:id="30"/>
      <w:r/>
      <w:r/>
    </w:p>
    <w:p>
      <w:pPr>
        <w:ind w:firstLine="420"/>
        <w:pageBreakBefore w:val="0"/>
        <w:spacing w:line="360" w:lineRule="auto"/>
        <w:widowControl w:val="off"/>
        <w:rPr>
          <w:rFonts w:hint="eastAsia" w:ascii="宋体" w:hAnsi="宋体" w:cs="宋体"/>
          <w:b w:val="0"/>
          <w:bCs w:val="0"/>
          <w:szCs w:val="21"/>
        </w:rPr>
      </w:pPr>
      <w:r>
        <w:rPr>
          <w:rFonts w:hint="eastAsia" w:ascii="宋体" w:hAnsi="宋体" w:cs="宋体"/>
          <w:b w:val="0"/>
          <w:bCs w:val="0"/>
          <w:szCs w:val="21"/>
        </w:rPr>
        <w:t xml:space="preserve">①维护人员每次修改大屏幕显示系统设备参数之前，必须先进行备份，必要时进行数据恢复，所有设备参数配置调整与修改，都必须经过采购人同意，并形成修改记录，将备份材料交由采购人存档；</w:t>
      </w:r>
      <w:r/>
    </w:p>
    <w:p>
      <w:pPr>
        <w:ind w:firstLine="420"/>
        <w:pageBreakBefore w:val="0"/>
        <w:spacing w:line="360" w:lineRule="auto"/>
        <w:widowControl w:val="off"/>
        <w:rPr>
          <w:rFonts w:hint="eastAsia" w:ascii="宋体" w:hAnsi="宋体" w:cs="宋体"/>
          <w:b w:val="0"/>
          <w:bCs w:val="0"/>
          <w:szCs w:val="21"/>
        </w:rPr>
      </w:pPr>
      <w:r>
        <w:rPr>
          <w:rFonts w:hint="eastAsia" w:ascii="宋体" w:hAnsi="宋体" w:cs="宋体"/>
          <w:b w:val="0"/>
          <w:bCs w:val="0"/>
          <w:szCs w:val="21"/>
        </w:rPr>
        <w:t xml:space="preserve">②必要时维护人员须提供大屏连接软件的安装、调试及数据备份服务；</w:t>
      </w:r>
      <w:r/>
    </w:p>
    <w:p>
      <w:pPr>
        <w:ind w:firstLine="420"/>
        <w:pageBreakBefore w:val="0"/>
        <w:spacing w:line="360" w:lineRule="auto"/>
        <w:widowControl w:val="off"/>
        <w:rPr>
          <w:rFonts w:hint="eastAsia" w:ascii="宋体" w:hAnsi="宋体" w:cs="宋体"/>
          <w:b w:val="0"/>
          <w:bCs w:val="0"/>
          <w:szCs w:val="21"/>
        </w:rPr>
      </w:pPr>
      <w:r>
        <w:rPr>
          <w:rFonts w:hint="eastAsia" w:ascii="宋体" w:hAnsi="宋体" w:cs="宋体"/>
          <w:b w:val="0"/>
          <w:bCs w:val="0"/>
          <w:szCs w:val="21"/>
        </w:rPr>
        <w:t xml:space="preserve">③在重大活动期间，采购人可按需要求供应商加派资深工程师在现场做好技术支持工作，为采购人提供7×24小时的技术支持服务，以确保活动顺利进行；</w:t>
      </w:r>
      <w:r/>
    </w:p>
    <w:p>
      <w:pPr>
        <w:ind w:firstLine="420"/>
        <w:pageBreakBefore w:val="0"/>
        <w:spacing w:line="360" w:lineRule="auto"/>
        <w:widowControl w:val="off"/>
        <w:rPr>
          <w:rFonts w:hint="eastAsia" w:ascii="宋体" w:hAnsi="宋体" w:cs="宋体"/>
          <w:b w:val="0"/>
          <w:bCs w:val="0"/>
          <w:szCs w:val="21"/>
        </w:rPr>
      </w:pPr>
      <w:r>
        <w:rPr>
          <w:rFonts w:hint="eastAsia" w:ascii="宋体" w:hAnsi="宋体" w:cs="宋体"/>
          <w:b w:val="0"/>
          <w:bCs w:val="0"/>
          <w:szCs w:val="21"/>
        </w:rPr>
        <w:t xml:space="preserve">④服务期内供应商应及时对采购人提出的其他DLP大屏维护内容进行响应及维护。</w:t>
      </w:r>
      <w:r/>
    </w:p>
    <w:p>
      <w:pPr>
        <w:ind w:firstLine="420"/>
        <w:pageBreakBefore w:val="0"/>
        <w:spacing w:line="360" w:lineRule="auto"/>
        <w:widowControl w:val="off"/>
        <w:rPr>
          <w:rFonts w:hint="eastAsia" w:ascii="宋体" w:hAnsi="宋体" w:cs="宋体"/>
          <w:b/>
          <w:bCs/>
          <w:szCs w:val="21"/>
        </w:rPr>
      </w:pPr>
      <w:r>
        <w:rPr>
          <w:rFonts w:hint="eastAsia" w:ascii="宋体" w:hAnsi="宋体" w:cs="宋体"/>
          <w:b/>
          <w:bCs/>
          <w:szCs w:val="21"/>
        </w:rPr>
        <w:t xml:space="preserve">2.4 DLP大屏故障处理服务内容</w:t>
      </w:r>
      <w:r/>
    </w:p>
    <w:p>
      <w:pPr>
        <w:ind w:firstLine="420"/>
        <w:pageBreakBefore w:val="0"/>
        <w:spacing w:line="360" w:lineRule="auto"/>
        <w:widowControl w:val="off"/>
        <w:rPr>
          <w:rFonts w:hint="eastAsia" w:ascii="宋体" w:hAnsi="宋体" w:cs="宋体"/>
          <w:b w:val="0"/>
          <w:bCs w:val="0"/>
          <w:szCs w:val="21"/>
        </w:rPr>
      </w:pPr>
      <w:r>
        <w:rPr>
          <w:rFonts w:hint="eastAsia" w:ascii="宋体" w:hAnsi="宋体" w:cs="宋体"/>
          <w:b w:val="0"/>
          <w:bCs w:val="0"/>
          <w:szCs w:val="21"/>
        </w:rPr>
        <w:t xml:space="preserve">（1）服务期内供应商应及时对DLP大屏故障进行处理，对于所有的DLP大屏设备，供应商必须备有充足的设备备件（不低于原设备档次和性能），当设备无法现场修复时，供应商应负责提供备件供临时使用，并形成《DLP大屏故障处理记录表》，需详细记录报障时间、到场响应时间、故障修复时间、故障现象、故障影响范围、故障原因、故障解决方案、后续建议及维修前后设备状态的照片等内容。</w:t>
      </w:r>
      <w:r/>
    </w:p>
    <w:p>
      <w:pPr>
        <w:ind w:firstLine="420"/>
        <w:pageBreakBefore w:val="0"/>
        <w:spacing w:line="360" w:lineRule="auto"/>
        <w:widowControl w:val="off"/>
        <w:rPr>
          <w:rFonts w:hint="eastAsia" w:ascii="宋体" w:hAnsi="宋体" w:cs="宋体"/>
          <w:b w:val="0"/>
          <w:bCs w:val="0"/>
          <w:szCs w:val="21"/>
        </w:rPr>
      </w:pPr>
      <w:r>
        <w:rPr>
          <w:rFonts w:hint="eastAsia" w:ascii="宋体" w:hAnsi="宋体" w:cs="宋体"/>
          <w:b w:val="0"/>
          <w:bCs w:val="0"/>
          <w:szCs w:val="21"/>
        </w:rPr>
        <w:t xml:space="preserve">（2）其他故障处理要求：</w:t>
      </w:r>
      <w:r/>
    </w:p>
    <w:p>
      <w:pPr>
        <w:ind w:firstLine="420"/>
        <w:pageBreakBefore w:val="0"/>
        <w:spacing w:line="360" w:lineRule="auto"/>
        <w:widowControl w:val="off"/>
        <w:rPr>
          <w:rFonts w:hint="eastAsia" w:ascii="宋体" w:hAnsi="宋体" w:cs="宋体"/>
          <w:b w:val="0"/>
          <w:bCs w:val="0"/>
          <w:szCs w:val="21"/>
        </w:rPr>
      </w:pPr>
      <w:r>
        <w:rPr>
          <w:rFonts w:hint="eastAsia" w:ascii="宋体" w:hAnsi="宋体" w:cs="宋体"/>
          <w:b w:val="0"/>
          <w:bCs w:val="0"/>
          <w:szCs w:val="21"/>
        </w:rPr>
        <w:t xml:space="preserve">①供应商应按照采购人指定的时间地点对大屏设备等进行维修更换，维修更换前应向采购人提供具体实施方案和时间安排，经同意后方可实施，实施过程中不应干扰采购人正常工作；</w:t>
      </w:r>
      <w:r/>
    </w:p>
    <w:p>
      <w:pPr>
        <w:ind w:firstLine="420"/>
        <w:pageBreakBefore w:val="0"/>
        <w:spacing w:line="360" w:lineRule="auto"/>
        <w:widowControl w:val="off"/>
        <w:rPr>
          <w:rFonts w:hint="eastAsia" w:ascii="宋体" w:hAnsi="宋体" w:cs="宋体"/>
          <w:b w:val="0"/>
          <w:bCs w:val="0"/>
          <w:szCs w:val="21"/>
        </w:rPr>
      </w:pPr>
      <w:r>
        <w:rPr>
          <w:rFonts w:hint="eastAsia" w:ascii="宋体" w:hAnsi="宋体" w:cs="宋体"/>
          <w:b w:val="0"/>
          <w:bCs w:val="0"/>
          <w:szCs w:val="21"/>
        </w:rPr>
        <w:t xml:space="preserve">②维修所需的设备及零配件费用由供应商承担。</w:t>
      </w:r>
      <w:r/>
    </w:p>
    <w:p>
      <w:pPr>
        <w:ind w:firstLine="420"/>
        <w:pageBreakBefore w:val="0"/>
        <w:spacing w:line="360" w:lineRule="auto"/>
        <w:widowControl w:val="off"/>
        <w:rPr>
          <w:rFonts w:hint="eastAsia" w:ascii="宋体" w:hAnsi="宋体" w:cs="宋体"/>
          <w:b/>
          <w:bCs/>
          <w:szCs w:val="21"/>
        </w:rPr>
      </w:pPr>
      <w:r>
        <w:rPr>
          <w:rFonts w:hint="eastAsia" w:ascii="宋体" w:hAnsi="宋体" w:cs="宋体"/>
          <w:b/>
          <w:bCs/>
          <w:szCs w:val="21"/>
        </w:rPr>
        <w:t xml:space="preserve">3.</w:t>
      </w:r>
      <w:bookmarkStart w:id="31" w:name="_Hlk208480005"/>
      <w:r>
        <w:rPr>
          <w:rFonts w:hint="eastAsia" w:ascii="宋体" w:hAnsi="宋体" w:cs="宋体"/>
          <w:b/>
          <w:bCs/>
          <w:szCs w:val="21"/>
        </w:rPr>
        <w:t xml:space="preserve">苏州市交通运输应急指挥中心精密空调运维服务</w:t>
      </w:r>
      <w:bookmarkEnd w:id="31"/>
      <w:r/>
      <w:r/>
    </w:p>
    <w:p>
      <w:pPr>
        <w:ind w:firstLine="420"/>
        <w:pageBreakBefore w:val="0"/>
        <w:spacing w:line="360" w:lineRule="auto"/>
        <w:widowControl w:val="off"/>
        <w:rPr>
          <w:rFonts w:hint="eastAsia" w:ascii="宋体" w:hAnsi="宋体" w:cs="宋体"/>
          <w:b/>
          <w:bCs/>
          <w:szCs w:val="21"/>
        </w:rPr>
      </w:pPr>
      <w:r>
        <w:rPr>
          <w:rFonts w:hint="eastAsia" w:ascii="宋体" w:hAnsi="宋体" w:cs="宋体"/>
          <w:b/>
          <w:bCs/>
          <w:szCs w:val="21"/>
        </w:rPr>
        <w:t xml:space="preserve">3.1精密空调维护清单</w:t>
      </w:r>
      <w:r/>
    </w:p>
    <w:tbl>
      <w:tblPr>
        <w:tblStyle w:val="704"/>
        <w:tblW w:w="82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2890"/>
        <w:gridCol w:w="1071"/>
        <w:gridCol w:w="2030"/>
        <w:gridCol w:w="717"/>
        <w:gridCol w:w="716"/>
      </w:tblGrid>
      <w:tr>
        <w:trPr>
          <w:jc w:val="center"/>
          <w:trHeight w:val="427"/>
        </w:trPr>
        <w:tc>
          <w:tcPr>
            <w:tcW w:w="832" w:type="dxa"/>
            <w:vAlign w:val="center"/>
            <w:textDirection w:val="lrTb"/>
            <w:noWrap w:val="false"/>
          </w:tcPr>
          <w:p>
            <w:pPr>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序号</w:t>
            </w:r>
            <w:r/>
          </w:p>
        </w:tc>
        <w:tc>
          <w:tcPr>
            <w:tcW w:w="2890" w:type="dxa"/>
            <w:vAlign w:val="center"/>
            <w:textDirection w:val="lrTb"/>
            <w:noWrap w:val="false"/>
          </w:tcPr>
          <w:p>
            <w:pPr>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设备名称</w:t>
            </w:r>
            <w:r/>
          </w:p>
        </w:tc>
        <w:tc>
          <w:tcPr>
            <w:tcW w:w="1071" w:type="dxa"/>
            <w:vAlign w:val="center"/>
            <w:textDirection w:val="lrTb"/>
            <w:noWrap w:val="false"/>
          </w:tcPr>
          <w:p>
            <w:pPr>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设备品牌</w:t>
            </w:r>
            <w:r/>
          </w:p>
        </w:tc>
        <w:tc>
          <w:tcPr>
            <w:tcW w:w="2030" w:type="dxa"/>
            <w:vAlign w:val="center"/>
            <w:textDirection w:val="lrTb"/>
            <w:noWrap w:val="false"/>
          </w:tcPr>
          <w:p>
            <w:pPr>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设备型号</w:t>
            </w:r>
            <w:r/>
          </w:p>
        </w:tc>
        <w:tc>
          <w:tcPr>
            <w:tcW w:w="717" w:type="dxa"/>
            <w:vAlign w:val="center"/>
            <w:textDirection w:val="lrTb"/>
            <w:noWrap w:val="false"/>
          </w:tcPr>
          <w:p>
            <w:pPr>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数量</w:t>
            </w:r>
            <w:r/>
          </w:p>
        </w:tc>
        <w:tc>
          <w:tcPr>
            <w:tcW w:w="716" w:type="dxa"/>
            <w:vAlign w:val="center"/>
            <w:textDirection w:val="lrTb"/>
            <w:noWrap w:val="false"/>
          </w:tcPr>
          <w:p>
            <w:pPr>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单位</w:t>
            </w:r>
            <w:r/>
          </w:p>
        </w:tc>
      </w:tr>
      <w:tr>
        <w:trPr>
          <w:jc w:val="center"/>
          <w:trHeight w:val="427"/>
        </w:trPr>
        <w:tc>
          <w:tcPr>
            <w:tcW w:w="832" w:type="dxa"/>
            <w:vAlign w:val="center"/>
            <w:textDirection w:val="lrTb"/>
            <w:noWrap w:val="false"/>
          </w:tcPr>
          <w:p>
            <w:pPr>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p>
        </w:tc>
        <w:tc>
          <w:tcPr>
            <w:tcW w:w="2890" w:type="dxa"/>
            <w:vAlign w:val="center"/>
            <w:textDirection w:val="lrTb"/>
            <w:noWrap w:val="false"/>
          </w:tcPr>
          <w:p>
            <w:pPr>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机房专用精密空调</w:t>
            </w:r>
            <w:r/>
          </w:p>
        </w:tc>
        <w:tc>
          <w:tcPr>
            <w:tcW w:w="1071" w:type="dxa"/>
            <w:vAlign w:val="center"/>
            <w:textDirection w:val="lrTb"/>
            <w:noWrap w:val="false"/>
          </w:tcPr>
          <w:p>
            <w:pPr>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艾默生</w:t>
            </w:r>
            <w:r/>
          </w:p>
        </w:tc>
        <w:tc>
          <w:tcPr>
            <w:tcW w:w="2030" w:type="dxa"/>
            <w:vAlign w:val="center"/>
            <w:textDirection w:val="lrTb"/>
            <w:noWrap w:val="false"/>
          </w:tcPr>
          <w:p>
            <w:pPr>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P2062DA</w:t>
            </w:r>
            <w:r/>
          </w:p>
        </w:tc>
        <w:tc>
          <w:tcPr>
            <w:tcW w:w="717" w:type="dxa"/>
            <w:vAlign w:val="center"/>
            <w:textDirection w:val="lrTb"/>
            <w:noWrap w:val="false"/>
          </w:tcPr>
          <w:p>
            <w:pPr>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w:t>
            </w:r>
            <w:r/>
          </w:p>
        </w:tc>
        <w:tc>
          <w:tcPr>
            <w:tcW w:w="716" w:type="dxa"/>
            <w:vAlign w:val="center"/>
            <w:textDirection w:val="lrTb"/>
            <w:noWrap w:val="false"/>
          </w:tcPr>
          <w:p>
            <w:pPr>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套</w:t>
            </w:r>
            <w:r/>
          </w:p>
        </w:tc>
      </w:tr>
      <w:tr>
        <w:trPr>
          <w:jc w:val="center"/>
          <w:trHeight w:val="438"/>
        </w:trPr>
        <w:tc>
          <w:tcPr>
            <w:tcW w:w="832" w:type="dxa"/>
            <w:vAlign w:val="center"/>
            <w:textDirection w:val="lrTb"/>
            <w:noWrap w:val="false"/>
          </w:tcPr>
          <w:p>
            <w:pPr>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w:t>
            </w:r>
            <w:r/>
          </w:p>
        </w:tc>
        <w:tc>
          <w:tcPr>
            <w:tcW w:w="2890" w:type="dxa"/>
            <w:vAlign w:val="center"/>
            <w:textDirection w:val="lrTb"/>
            <w:noWrap w:val="false"/>
          </w:tcPr>
          <w:p>
            <w:pPr>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机房专用精密空调</w:t>
            </w:r>
            <w:r/>
          </w:p>
        </w:tc>
        <w:tc>
          <w:tcPr>
            <w:tcW w:w="1071" w:type="dxa"/>
            <w:vAlign w:val="center"/>
            <w:textDirection w:val="lrTb"/>
            <w:noWrap w:val="false"/>
          </w:tcPr>
          <w:p>
            <w:pPr>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依米康</w:t>
            </w:r>
            <w:r/>
          </w:p>
        </w:tc>
        <w:tc>
          <w:tcPr>
            <w:tcW w:w="2030" w:type="dxa"/>
            <w:vAlign w:val="center"/>
            <w:textDirection w:val="lrTb"/>
            <w:noWrap w:val="false"/>
          </w:tcPr>
          <w:p>
            <w:pPr>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SCA602DES</w:t>
            </w:r>
            <w:r/>
          </w:p>
        </w:tc>
        <w:tc>
          <w:tcPr>
            <w:tcW w:w="717" w:type="dxa"/>
            <w:vAlign w:val="center"/>
            <w:textDirection w:val="lrTb"/>
            <w:noWrap w:val="false"/>
          </w:tcPr>
          <w:p>
            <w:pPr>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w:t>
            </w:r>
            <w:r/>
          </w:p>
        </w:tc>
        <w:tc>
          <w:tcPr>
            <w:tcW w:w="716" w:type="dxa"/>
            <w:vAlign w:val="center"/>
            <w:textDirection w:val="lrTb"/>
            <w:noWrap w:val="false"/>
          </w:tcPr>
          <w:p>
            <w:pPr>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套</w:t>
            </w:r>
            <w:r/>
          </w:p>
        </w:tc>
      </w:tr>
    </w:tbl>
    <w:p>
      <w:pPr>
        <w:ind w:firstLine="420"/>
        <w:pageBreakBefore w:val="0"/>
        <w:spacing w:line="360" w:lineRule="auto"/>
        <w:widowControl w:val="off"/>
        <w:rPr>
          <w:rFonts w:hint="eastAsia" w:ascii="宋体" w:hAnsi="宋体" w:cs="宋体"/>
          <w:b/>
          <w:bCs/>
          <w:szCs w:val="21"/>
        </w:rPr>
      </w:pPr>
      <w:r>
        <w:rPr>
          <w:rFonts w:hint="eastAsia" w:ascii="宋体" w:hAnsi="宋体" w:cs="宋体"/>
          <w:b/>
          <w:bCs/>
          <w:szCs w:val="21"/>
        </w:rPr>
        <w:t xml:space="preserve">3.2精密空调巡检服务内容</w:t>
      </w:r>
      <w:r/>
    </w:p>
    <w:p>
      <w:pPr>
        <w:ind w:firstLine="420"/>
        <w:pageBreakBefore w:val="0"/>
        <w:spacing w:line="360" w:lineRule="auto"/>
        <w:widowControl w:val="off"/>
        <w:rPr>
          <w:rFonts w:hint="eastAsia" w:ascii="宋体" w:hAnsi="宋体" w:cs="宋体"/>
          <w:b w:val="0"/>
          <w:bCs w:val="0"/>
          <w:szCs w:val="21"/>
        </w:rPr>
      </w:pPr>
      <w:r>
        <w:rPr>
          <w:rFonts w:hint="eastAsia" w:ascii="宋体" w:hAnsi="宋体" w:cs="宋体"/>
          <w:b w:val="0"/>
          <w:bCs w:val="0"/>
          <w:szCs w:val="21"/>
        </w:rPr>
        <w:t xml:space="preserve">（1）每天至少2次对机房温湿度、空调主机告警信息进行巡检；</w:t>
      </w:r>
      <w:r/>
    </w:p>
    <w:p>
      <w:pPr>
        <w:ind w:firstLine="420"/>
        <w:pageBreakBefore w:val="0"/>
        <w:spacing w:line="360" w:lineRule="auto"/>
        <w:widowControl w:val="off"/>
        <w:rPr>
          <w:rFonts w:hint="eastAsia" w:ascii="宋体" w:hAnsi="宋体" w:cs="宋体"/>
          <w:b w:val="0"/>
          <w:bCs w:val="0"/>
          <w:szCs w:val="21"/>
        </w:rPr>
      </w:pPr>
      <w:r>
        <w:rPr>
          <w:rFonts w:hint="eastAsia" w:ascii="宋体" w:hAnsi="宋体" w:cs="宋体"/>
          <w:b w:val="0"/>
          <w:bCs w:val="0"/>
          <w:szCs w:val="21"/>
        </w:rPr>
        <w:t xml:space="preserve">（2）每月至少1次对精密空调的所有工作电路、各处接点、工作电压电流、机组传感器、制冷系统管、卸荷安全阀及机组负荷变频状况进行巡检；</w:t>
      </w:r>
      <w:r/>
    </w:p>
    <w:p>
      <w:pPr>
        <w:ind w:firstLine="420"/>
        <w:pageBreakBefore w:val="0"/>
        <w:spacing w:line="360" w:lineRule="auto"/>
        <w:widowControl w:val="off"/>
        <w:rPr>
          <w:rFonts w:hint="eastAsia" w:ascii="宋体" w:hAnsi="宋体" w:cs="宋体"/>
          <w:b w:val="0"/>
          <w:bCs w:val="0"/>
          <w:szCs w:val="21"/>
        </w:rPr>
      </w:pPr>
      <w:r>
        <w:rPr>
          <w:rFonts w:hint="eastAsia" w:ascii="宋体" w:hAnsi="宋体" w:cs="宋体"/>
          <w:b w:val="0"/>
          <w:bCs w:val="0"/>
          <w:szCs w:val="21"/>
        </w:rPr>
        <w:t xml:space="preserve">（3）供应商应将上述服务形成《精密空调巡检记录表》。</w:t>
      </w:r>
      <w:r/>
    </w:p>
    <w:p>
      <w:pPr>
        <w:ind w:firstLine="420"/>
        <w:pageBreakBefore w:val="0"/>
        <w:spacing w:line="360" w:lineRule="auto"/>
        <w:widowControl w:val="off"/>
        <w:rPr>
          <w:rFonts w:hint="eastAsia" w:ascii="宋体" w:hAnsi="宋体" w:cs="宋体"/>
          <w:b/>
          <w:bCs/>
          <w:szCs w:val="21"/>
        </w:rPr>
      </w:pPr>
      <w:r>
        <w:rPr>
          <w:rFonts w:hint="eastAsia" w:ascii="宋体" w:hAnsi="宋体" w:cs="宋体"/>
          <w:b/>
          <w:bCs/>
          <w:szCs w:val="21"/>
        </w:rPr>
        <w:t xml:space="preserve">3.3精密空调维护服务内容</w:t>
      </w:r>
      <w:r/>
    </w:p>
    <w:p>
      <w:pPr>
        <w:ind w:firstLine="420"/>
        <w:pageBreakBefore w:val="0"/>
        <w:spacing w:line="360" w:lineRule="auto"/>
        <w:widowControl w:val="off"/>
        <w:rPr>
          <w:rFonts w:hint="eastAsia" w:ascii="宋体" w:hAnsi="宋体" w:cs="宋体"/>
          <w:b w:val="0"/>
          <w:bCs w:val="0"/>
          <w:szCs w:val="21"/>
        </w:rPr>
      </w:pPr>
      <w:r>
        <w:rPr>
          <w:rFonts w:hint="eastAsia" w:ascii="宋体" w:hAnsi="宋体" w:cs="宋体"/>
          <w:b w:val="0"/>
          <w:bCs w:val="0"/>
          <w:szCs w:val="21"/>
        </w:rPr>
        <w:t xml:space="preserve">（1）每季度至少1次对精密空调外机冷凝器、内机蒸发器进行专业除垢、清洗；每季度至少1次对精密空调的过滤网进行更换，并形成《精密空调维护记录表》；</w:t>
      </w:r>
      <w:r/>
    </w:p>
    <w:p>
      <w:pPr>
        <w:ind w:firstLine="420"/>
        <w:pageBreakBefore w:val="0"/>
        <w:spacing w:line="360" w:lineRule="auto"/>
        <w:widowControl w:val="off"/>
        <w:rPr>
          <w:rFonts w:hint="eastAsia" w:ascii="宋体" w:hAnsi="宋体" w:cs="宋体"/>
          <w:b w:val="0"/>
          <w:bCs w:val="0"/>
          <w:szCs w:val="21"/>
        </w:rPr>
      </w:pPr>
      <w:r>
        <w:rPr>
          <w:rFonts w:hint="eastAsia" w:ascii="宋体" w:hAnsi="宋体" w:cs="宋体"/>
          <w:b w:val="0"/>
          <w:bCs w:val="0"/>
          <w:szCs w:val="21"/>
        </w:rPr>
        <w:t xml:space="preserve">（2）服务期内供应商应及时对采购人提出的其他精密空调维护内容进行响应及维护。</w:t>
      </w:r>
      <w:r/>
    </w:p>
    <w:p>
      <w:pPr>
        <w:ind w:firstLine="420"/>
        <w:pageBreakBefore w:val="0"/>
        <w:spacing w:line="360" w:lineRule="auto"/>
        <w:widowControl w:val="off"/>
        <w:rPr>
          <w:rFonts w:hint="eastAsia" w:ascii="宋体" w:hAnsi="宋体" w:cs="宋体"/>
          <w:b/>
          <w:bCs/>
          <w:szCs w:val="21"/>
        </w:rPr>
      </w:pPr>
      <w:r>
        <w:rPr>
          <w:rFonts w:hint="eastAsia" w:ascii="宋体" w:hAnsi="宋体" w:cs="宋体"/>
          <w:b/>
          <w:bCs/>
          <w:szCs w:val="21"/>
        </w:rPr>
        <w:t xml:space="preserve">3.4精密空调故障处理服务内容</w:t>
      </w:r>
      <w:r/>
    </w:p>
    <w:p>
      <w:pPr>
        <w:ind w:firstLine="420"/>
        <w:pageBreakBefore w:val="0"/>
        <w:spacing w:line="360" w:lineRule="auto"/>
        <w:widowControl w:val="off"/>
        <w:rPr>
          <w:rFonts w:hint="eastAsia" w:ascii="宋体" w:hAnsi="宋体" w:cs="宋体"/>
          <w:b w:val="0"/>
          <w:bCs w:val="0"/>
          <w:szCs w:val="21"/>
        </w:rPr>
      </w:pPr>
      <w:r/>
      <w:bookmarkStart w:id="32" w:name="_Hlk208318536"/>
      <w:r>
        <w:rPr>
          <w:rFonts w:hint="eastAsia" w:ascii="宋体" w:hAnsi="宋体" w:cs="宋体"/>
          <w:b w:val="0"/>
          <w:bCs w:val="0"/>
          <w:szCs w:val="21"/>
        </w:rPr>
        <w:t xml:space="preserve">服务期内供应商应及时对精密空调故障进行处理，对于所有的精密空调设备，供应商必须备有充足的设备备件（不低于原设备档次和性能），当设备无法现场修复时，供应商应负责提供备件供临时使用，并形成《精密空调故障处理记录表》，需详细记录报障时间、到场响应时间、故障修复时间、故障现象、故障影响范围、故障原因、故障解决方案、后续建议及维修前后设备状态的照片等内容。</w:t>
      </w:r>
      <w:bookmarkEnd w:id="32"/>
      <w:r/>
      <w:r/>
    </w:p>
    <w:p>
      <w:pPr>
        <w:ind w:firstLine="420"/>
        <w:pageBreakBefore w:val="0"/>
        <w:spacing w:line="360" w:lineRule="auto"/>
        <w:widowControl w:val="off"/>
        <w:rPr>
          <w:rFonts w:hint="eastAsia" w:ascii="宋体" w:hAnsi="宋体" w:cs="宋体"/>
          <w:b/>
          <w:bCs/>
          <w:szCs w:val="21"/>
        </w:rPr>
      </w:pPr>
      <w:r>
        <w:rPr>
          <w:rFonts w:hint="eastAsia" w:ascii="宋体" w:hAnsi="宋体" w:cs="宋体"/>
          <w:b/>
          <w:bCs/>
          <w:szCs w:val="21"/>
        </w:rPr>
        <w:t xml:space="preserve">4.苏州市交通运输应急指挥中心UPS主机等运维服务</w:t>
      </w:r>
      <w:r/>
    </w:p>
    <w:p>
      <w:pPr>
        <w:ind w:firstLine="420"/>
        <w:pageBreakBefore w:val="0"/>
        <w:spacing w:line="360" w:lineRule="auto"/>
        <w:widowControl w:val="off"/>
        <w:rPr>
          <w:rFonts w:hint="eastAsia" w:ascii="宋体" w:hAnsi="宋体" w:cs="宋体"/>
          <w:b/>
          <w:bCs/>
          <w:szCs w:val="21"/>
        </w:rPr>
      </w:pPr>
      <w:r>
        <w:rPr>
          <w:rFonts w:hint="eastAsia" w:ascii="宋体" w:hAnsi="宋体" w:cs="宋体"/>
          <w:b/>
          <w:bCs/>
          <w:szCs w:val="21"/>
        </w:rPr>
        <w:t xml:space="preserve">4.1 UPS主机等维护清单</w:t>
      </w:r>
      <w:r/>
    </w:p>
    <w:tbl>
      <w:tblPr>
        <w:tblStyle w:val="704"/>
        <w:tblW w:w="80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2813"/>
        <w:gridCol w:w="1042"/>
        <w:gridCol w:w="1976"/>
        <w:gridCol w:w="698"/>
        <w:gridCol w:w="697"/>
      </w:tblGrid>
      <w:tr>
        <w:trPr>
          <w:jc w:val="center"/>
          <w:trHeight w:val="285"/>
        </w:trPr>
        <w:tc>
          <w:tcPr>
            <w:tcW w:w="810" w:type="dxa"/>
            <w:vAlign w:val="center"/>
            <w:textDirection w:val="lrTb"/>
            <w:noWrap w:val="false"/>
          </w:tcPr>
          <w:p>
            <w:pPr>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序号</w:t>
            </w:r>
            <w:r/>
          </w:p>
        </w:tc>
        <w:tc>
          <w:tcPr>
            <w:tcW w:w="2813" w:type="dxa"/>
            <w:vAlign w:val="center"/>
            <w:textDirection w:val="lrTb"/>
            <w:noWrap w:val="false"/>
          </w:tcPr>
          <w:p>
            <w:pPr>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设备名称</w:t>
            </w:r>
            <w:r/>
          </w:p>
        </w:tc>
        <w:tc>
          <w:tcPr>
            <w:tcW w:w="1042" w:type="dxa"/>
            <w:vAlign w:val="center"/>
            <w:textDirection w:val="lrTb"/>
            <w:noWrap w:val="false"/>
          </w:tcPr>
          <w:p>
            <w:pPr>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设备品牌</w:t>
            </w:r>
            <w:r/>
          </w:p>
        </w:tc>
        <w:tc>
          <w:tcPr>
            <w:tcW w:w="1976" w:type="dxa"/>
            <w:vAlign w:val="center"/>
            <w:textDirection w:val="lrTb"/>
            <w:noWrap w:val="false"/>
          </w:tcPr>
          <w:p>
            <w:pPr>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设备型号</w:t>
            </w:r>
            <w:r/>
          </w:p>
        </w:tc>
        <w:tc>
          <w:tcPr>
            <w:tcW w:w="698" w:type="dxa"/>
            <w:vAlign w:val="center"/>
            <w:textDirection w:val="lrTb"/>
            <w:noWrap w:val="false"/>
          </w:tcPr>
          <w:p>
            <w:pPr>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数量</w:t>
            </w:r>
            <w:r/>
          </w:p>
        </w:tc>
        <w:tc>
          <w:tcPr>
            <w:tcW w:w="697" w:type="dxa"/>
            <w:vAlign w:val="center"/>
            <w:textDirection w:val="lrTb"/>
            <w:noWrap w:val="false"/>
          </w:tcPr>
          <w:p>
            <w:pPr>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单位</w:t>
            </w:r>
            <w:r/>
          </w:p>
        </w:tc>
      </w:tr>
      <w:tr>
        <w:trPr>
          <w:jc w:val="center"/>
          <w:trHeight w:val="285"/>
        </w:trPr>
        <w:tc>
          <w:tcPr>
            <w:tcW w:w="810" w:type="dxa"/>
            <w:vAlign w:val="center"/>
            <w:textDirection w:val="lrTb"/>
            <w:noWrap w:val="false"/>
          </w:tcPr>
          <w:p>
            <w:pPr>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p>
        </w:tc>
        <w:tc>
          <w:tcPr>
            <w:tcW w:w="2813" w:type="dxa"/>
            <w:vAlign w:val="center"/>
            <w:textDirection w:val="lrTb"/>
            <w:noWrap w:val="false"/>
          </w:tcPr>
          <w:p>
            <w:pPr>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UPS主机</w:t>
            </w:r>
            <w:r/>
          </w:p>
        </w:tc>
        <w:tc>
          <w:tcPr>
            <w:tcW w:w="1042" w:type="dxa"/>
            <w:vAlign w:val="center"/>
            <w:textDirection w:val="lrTb"/>
            <w:noWrap w:val="false"/>
          </w:tcPr>
          <w:p>
            <w:pPr>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艾默生</w:t>
            </w:r>
            <w:r/>
          </w:p>
        </w:tc>
        <w:tc>
          <w:tcPr>
            <w:tcW w:w="1976" w:type="dxa"/>
            <w:vAlign w:val="center"/>
            <w:textDirection w:val="lrTb"/>
            <w:noWrap w:val="false"/>
          </w:tcPr>
          <w:p>
            <w:pPr>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HIPULSE NXL 500KVA 12脉冲</w:t>
            </w:r>
            <w:r/>
          </w:p>
        </w:tc>
        <w:tc>
          <w:tcPr>
            <w:tcW w:w="698" w:type="dxa"/>
            <w:vAlign w:val="center"/>
            <w:textDirection w:val="lrTb"/>
            <w:noWrap w:val="false"/>
          </w:tcPr>
          <w:p>
            <w:pPr>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w:t>
            </w:r>
            <w:r/>
          </w:p>
        </w:tc>
        <w:tc>
          <w:tcPr>
            <w:tcW w:w="697" w:type="dxa"/>
            <w:vAlign w:val="center"/>
            <w:textDirection w:val="lrTb"/>
            <w:noWrap w:val="false"/>
          </w:tcPr>
          <w:p>
            <w:pPr>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台</w:t>
            </w:r>
            <w:r/>
          </w:p>
        </w:tc>
      </w:tr>
      <w:tr>
        <w:trPr>
          <w:jc w:val="center"/>
          <w:trHeight w:val="285"/>
        </w:trPr>
        <w:tc>
          <w:tcPr>
            <w:tcW w:w="810" w:type="dxa"/>
            <w:vAlign w:val="center"/>
            <w:textDirection w:val="lrTb"/>
            <w:noWrap w:val="false"/>
          </w:tcPr>
          <w:p>
            <w:pPr>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w:t>
            </w:r>
            <w:r/>
          </w:p>
        </w:tc>
        <w:tc>
          <w:tcPr>
            <w:tcW w:w="2813" w:type="dxa"/>
            <w:vAlign w:val="center"/>
            <w:textDirection w:val="lrTb"/>
            <w:noWrap w:val="false"/>
          </w:tcPr>
          <w:p>
            <w:pPr>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精密配电柜</w:t>
            </w:r>
            <w:r/>
          </w:p>
        </w:tc>
        <w:tc>
          <w:tcPr>
            <w:tcW w:w="1042" w:type="dxa"/>
            <w:vAlign w:val="center"/>
            <w:textDirection w:val="lrTb"/>
            <w:noWrap w:val="false"/>
          </w:tcPr>
          <w:p>
            <w:pPr>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艾默生</w:t>
            </w:r>
            <w:r/>
          </w:p>
        </w:tc>
        <w:tc>
          <w:tcPr>
            <w:tcW w:w="1976" w:type="dxa"/>
            <w:vAlign w:val="center"/>
            <w:textDirection w:val="lrTb"/>
            <w:noWrap w:val="false"/>
          </w:tcPr>
          <w:p>
            <w:pPr>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电源列头柜</w:t>
            </w:r>
            <w:r/>
          </w:p>
        </w:tc>
        <w:tc>
          <w:tcPr>
            <w:tcW w:w="698" w:type="dxa"/>
            <w:vAlign w:val="center"/>
            <w:textDirection w:val="lrTb"/>
            <w:noWrap w:val="false"/>
          </w:tcPr>
          <w:p>
            <w:pPr>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w:t>
            </w:r>
            <w:r/>
          </w:p>
        </w:tc>
        <w:tc>
          <w:tcPr>
            <w:tcW w:w="697" w:type="dxa"/>
            <w:vAlign w:val="center"/>
            <w:textDirection w:val="lrTb"/>
            <w:noWrap w:val="false"/>
          </w:tcPr>
          <w:p>
            <w:pPr>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台</w:t>
            </w:r>
            <w:r/>
          </w:p>
        </w:tc>
      </w:tr>
      <w:tr>
        <w:trPr>
          <w:jc w:val="center"/>
          <w:trHeight w:val="285"/>
        </w:trPr>
        <w:tc>
          <w:tcPr>
            <w:tcW w:w="810" w:type="dxa"/>
            <w:vAlign w:val="center"/>
            <w:textDirection w:val="lrTb"/>
            <w:noWrap w:val="false"/>
          </w:tcPr>
          <w:p>
            <w:pPr>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w:t>
            </w:r>
            <w:r/>
          </w:p>
        </w:tc>
        <w:tc>
          <w:tcPr>
            <w:tcW w:w="2813" w:type="dxa"/>
            <w:vAlign w:val="center"/>
            <w:textDirection w:val="lrTb"/>
            <w:noWrap w:val="false"/>
          </w:tcPr>
          <w:p>
            <w:pPr>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动力配电柜</w:t>
            </w:r>
            <w:r/>
          </w:p>
        </w:tc>
        <w:tc>
          <w:tcPr>
            <w:tcW w:w="1042" w:type="dxa"/>
            <w:vAlign w:val="center"/>
            <w:textDirection w:val="lrTb"/>
            <w:noWrap w:val="false"/>
          </w:tcPr>
          <w:p>
            <w:pPr>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艾默生</w:t>
            </w:r>
            <w:r/>
          </w:p>
        </w:tc>
        <w:tc>
          <w:tcPr>
            <w:tcW w:w="1976" w:type="dxa"/>
            <w:vAlign w:val="center"/>
            <w:textDirection w:val="lrTb"/>
            <w:noWrap w:val="false"/>
          </w:tcPr>
          <w:p>
            <w:pPr>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ATS配电柜</w:t>
            </w:r>
            <w:r/>
          </w:p>
        </w:tc>
        <w:tc>
          <w:tcPr>
            <w:tcW w:w="698" w:type="dxa"/>
            <w:vAlign w:val="center"/>
            <w:textDirection w:val="lrTb"/>
            <w:noWrap w:val="false"/>
          </w:tcPr>
          <w:p>
            <w:pPr>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p>
        </w:tc>
        <w:tc>
          <w:tcPr>
            <w:tcW w:w="697" w:type="dxa"/>
            <w:vAlign w:val="center"/>
            <w:textDirection w:val="lrTb"/>
            <w:noWrap w:val="false"/>
          </w:tcPr>
          <w:p>
            <w:pPr>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台</w:t>
            </w:r>
            <w:r/>
          </w:p>
        </w:tc>
      </w:tr>
      <w:tr>
        <w:trPr>
          <w:jc w:val="center"/>
          <w:trHeight w:val="285"/>
        </w:trPr>
        <w:tc>
          <w:tcPr>
            <w:tcW w:w="810" w:type="dxa"/>
            <w:vAlign w:val="center"/>
            <w:textDirection w:val="lrTb"/>
            <w:noWrap w:val="false"/>
          </w:tcPr>
          <w:p>
            <w:pPr>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w:t>
            </w:r>
            <w:r/>
          </w:p>
        </w:tc>
        <w:tc>
          <w:tcPr>
            <w:tcW w:w="2813" w:type="dxa"/>
            <w:vAlign w:val="center"/>
            <w:textDirection w:val="lrTb"/>
            <w:noWrap w:val="false"/>
          </w:tcPr>
          <w:p>
            <w:pPr>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动力配电柜</w:t>
            </w:r>
            <w:r/>
          </w:p>
        </w:tc>
        <w:tc>
          <w:tcPr>
            <w:tcW w:w="1042" w:type="dxa"/>
            <w:vAlign w:val="center"/>
            <w:textDirection w:val="lrTb"/>
            <w:noWrap w:val="false"/>
          </w:tcPr>
          <w:p>
            <w:pPr>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艾默生</w:t>
            </w:r>
            <w:r/>
          </w:p>
        </w:tc>
        <w:tc>
          <w:tcPr>
            <w:tcW w:w="1976" w:type="dxa"/>
            <w:vAlign w:val="center"/>
            <w:textDirection w:val="lrTb"/>
            <w:noWrap w:val="false"/>
          </w:tcPr>
          <w:p>
            <w:pPr>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UPS输入配电柜</w:t>
            </w:r>
            <w:r/>
          </w:p>
        </w:tc>
        <w:tc>
          <w:tcPr>
            <w:tcW w:w="698" w:type="dxa"/>
            <w:vAlign w:val="center"/>
            <w:textDirection w:val="lrTb"/>
            <w:noWrap w:val="false"/>
          </w:tcPr>
          <w:p>
            <w:pPr>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w:t>
            </w:r>
            <w:r/>
          </w:p>
        </w:tc>
        <w:tc>
          <w:tcPr>
            <w:tcW w:w="697" w:type="dxa"/>
            <w:vAlign w:val="center"/>
            <w:textDirection w:val="lrTb"/>
            <w:noWrap w:val="false"/>
          </w:tcPr>
          <w:p>
            <w:pPr>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台</w:t>
            </w:r>
            <w:r/>
          </w:p>
        </w:tc>
      </w:tr>
      <w:tr>
        <w:trPr>
          <w:jc w:val="center"/>
          <w:trHeight w:val="285"/>
        </w:trPr>
        <w:tc>
          <w:tcPr>
            <w:tcW w:w="810" w:type="dxa"/>
            <w:vAlign w:val="center"/>
            <w:textDirection w:val="lrTb"/>
            <w:noWrap w:val="false"/>
          </w:tcPr>
          <w:p>
            <w:pPr>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w:t>
            </w:r>
            <w:r/>
          </w:p>
        </w:tc>
        <w:tc>
          <w:tcPr>
            <w:tcW w:w="2813" w:type="dxa"/>
            <w:vAlign w:val="center"/>
            <w:textDirection w:val="lrTb"/>
            <w:noWrap w:val="false"/>
          </w:tcPr>
          <w:p>
            <w:pPr>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动力配电柜</w:t>
            </w:r>
            <w:r/>
          </w:p>
        </w:tc>
        <w:tc>
          <w:tcPr>
            <w:tcW w:w="1042" w:type="dxa"/>
            <w:vAlign w:val="center"/>
            <w:textDirection w:val="lrTb"/>
            <w:noWrap w:val="false"/>
          </w:tcPr>
          <w:p>
            <w:pPr>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艾默生</w:t>
            </w:r>
            <w:r/>
          </w:p>
        </w:tc>
        <w:tc>
          <w:tcPr>
            <w:tcW w:w="1976" w:type="dxa"/>
            <w:vAlign w:val="center"/>
            <w:textDirection w:val="lrTb"/>
            <w:noWrap w:val="false"/>
          </w:tcPr>
          <w:p>
            <w:pPr>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UPS输出配电柜</w:t>
            </w:r>
            <w:r/>
          </w:p>
        </w:tc>
        <w:tc>
          <w:tcPr>
            <w:tcW w:w="698" w:type="dxa"/>
            <w:vAlign w:val="center"/>
            <w:textDirection w:val="lrTb"/>
            <w:noWrap w:val="false"/>
          </w:tcPr>
          <w:p>
            <w:pPr>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w:t>
            </w:r>
            <w:r/>
          </w:p>
        </w:tc>
        <w:tc>
          <w:tcPr>
            <w:tcW w:w="697" w:type="dxa"/>
            <w:vAlign w:val="center"/>
            <w:textDirection w:val="lrTb"/>
            <w:noWrap w:val="false"/>
          </w:tcPr>
          <w:p>
            <w:pPr>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台</w:t>
            </w:r>
            <w:r/>
          </w:p>
        </w:tc>
      </w:tr>
      <w:tr>
        <w:trPr>
          <w:jc w:val="center"/>
          <w:trHeight w:val="285"/>
        </w:trPr>
        <w:tc>
          <w:tcPr>
            <w:tcW w:w="810" w:type="dxa"/>
            <w:vAlign w:val="center"/>
            <w:textDirection w:val="lrTb"/>
            <w:noWrap w:val="false"/>
          </w:tcPr>
          <w:p>
            <w:pPr>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w:t>
            </w:r>
            <w:r/>
          </w:p>
        </w:tc>
        <w:tc>
          <w:tcPr>
            <w:tcW w:w="2813" w:type="dxa"/>
            <w:vAlign w:val="center"/>
            <w:textDirection w:val="lrTb"/>
            <w:noWrap w:val="false"/>
          </w:tcPr>
          <w:p>
            <w:pPr>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动力配电柜</w:t>
            </w:r>
            <w:r/>
          </w:p>
        </w:tc>
        <w:tc>
          <w:tcPr>
            <w:tcW w:w="1042" w:type="dxa"/>
            <w:vAlign w:val="center"/>
            <w:textDirection w:val="lrTb"/>
            <w:noWrap w:val="false"/>
          </w:tcPr>
          <w:p>
            <w:pPr>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艾默生</w:t>
            </w:r>
            <w:r/>
          </w:p>
        </w:tc>
        <w:tc>
          <w:tcPr>
            <w:tcW w:w="1976" w:type="dxa"/>
            <w:vAlign w:val="center"/>
            <w:textDirection w:val="lrTb"/>
            <w:noWrap w:val="false"/>
          </w:tcPr>
          <w:p>
            <w:pPr>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空调配电柜</w:t>
            </w:r>
            <w:r/>
          </w:p>
        </w:tc>
        <w:tc>
          <w:tcPr>
            <w:tcW w:w="698" w:type="dxa"/>
            <w:vAlign w:val="center"/>
            <w:textDirection w:val="lrTb"/>
            <w:noWrap w:val="false"/>
          </w:tcPr>
          <w:p>
            <w:pPr>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w:t>
            </w:r>
            <w:r/>
          </w:p>
        </w:tc>
        <w:tc>
          <w:tcPr>
            <w:tcW w:w="697" w:type="dxa"/>
            <w:vAlign w:val="center"/>
            <w:textDirection w:val="lrTb"/>
            <w:noWrap w:val="false"/>
          </w:tcPr>
          <w:p>
            <w:pPr>
              <w:ind w:left="0"/>
              <w:jc w:val="center"/>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台</w:t>
            </w:r>
            <w:r/>
          </w:p>
        </w:tc>
      </w:tr>
    </w:tbl>
    <w:p>
      <w:pPr>
        <w:ind w:firstLine="420"/>
        <w:pageBreakBefore w:val="0"/>
        <w:spacing w:line="360" w:lineRule="auto"/>
        <w:widowControl w:val="off"/>
        <w:rPr>
          <w:rFonts w:hint="eastAsia" w:ascii="宋体" w:hAnsi="宋体" w:cs="宋体"/>
          <w:b/>
          <w:bCs/>
          <w:szCs w:val="21"/>
        </w:rPr>
      </w:pPr>
      <w:r>
        <w:rPr>
          <w:rFonts w:hint="eastAsia" w:ascii="宋体" w:hAnsi="宋体" w:cs="宋体"/>
          <w:b/>
          <w:bCs/>
          <w:szCs w:val="21"/>
        </w:rPr>
        <w:t xml:space="preserve">4.2 UPS主机等巡检服务内容</w:t>
      </w:r>
      <w:r/>
    </w:p>
    <w:p>
      <w:pPr>
        <w:ind w:firstLine="420"/>
        <w:pageBreakBefore w:val="0"/>
        <w:spacing w:line="360" w:lineRule="auto"/>
        <w:widowControl w:val="off"/>
        <w:rPr>
          <w:rFonts w:hint="eastAsia" w:ascii="宋体" w:hAnsi="宋体" w:cs="宋体"/>
          <w:b w:val="0"/>
          <w:bCs w:val="0"/>
          <w:szCs w:val="21"/>
        </w:rPr>
      </w:pPr>
      <w:r>
        <w:rPr>
          <w:rFonts w:hint="eastAsia" w:ascii="宋体" w:hAnsi="宋体" w:cs="宋体"/>
          <w:b w:val="0"/>
          <w:bCs w:val="0"/>
          <w:szCs w:val="21"/>
        </w:rPr>
        <w:t xml:space="preserve">每天至少2次对UPS主机、蓄电池组主控、精密配电柜电路告警信息进行巡检，并形成《UPS主机等巡检记录表》。</w:t>
      </w:r>
      <w:r/>
    </w:p>
    <w:p>
      <w:pPr>
        <w:ind w:firstLine="420"/>
        <w:pageBreakBefore w:val="0"/>
        <w:spacing w:line="360" w:lineRule="auto"/>
        <w:widowControl w:val="off"/>
        <w:rPr>
          <w:rFonts w:hint="eastAsia" w:ascii="宋体" w:hAnsi="宋体" w:cs="宋体"/>
          <w:b/>
          <w:bCs/>
          <w:szCs w:val="21"/>
        </w:rPr>
      </w:pPr>
      <w:r>
        <w:rPr>
          <w:rFonts w:hint="eastAsia" w:ascii="宋体" w:hAnsi="宋体" w:cs="宋体"/>
          <w:b/>
          <w:bCs/>
          <w:szCs w:val="21"/>
        </w:rPr>
        <w:t xml:space="preserve">4.3 UPS主机等维护服务内容</w:t>
      </w:r>
      <w:r/>
    </w:p>
    <w:p>
      <w:pPr>
        <w:ind w:firstLine="420"/>
        <w:pageBreakBefore w:val="0"/>
        <w:spacing w:line="360" w:lineRule="auto"/>
        <w:widowControl w:val="off"/>
        <w:rPr>
          <w:rFonts w:hint="eastAsia" w:ascii="宋体" w:hAnsi="宋体" w:cs="宋体"/>
          <w:b w:val="0"/>
          <w:bCs w:val="0"/>
          <w:szCs w:val="21"/>
        </w:rPr>
      </w:pPr>
      <w:r>
        <w:rPr>
          <w:rFonts w:hint="eastAsia" w:ascii="宋体" w:hAnsi="宋体" w:cs="宋体"/>
          <w:b w:val="0"/>
          <w:bCs w:val="0"/>
          <w:szCs w:val="21"/>
        </w:rPr>
        <w:t xml:space="preserve">（1）每季度至少1次对UPS主机、UPS逆变器电容进行维护保养；每季度至少1次对动力配电柜进行清灰；每季度至少1次对UPS主机的过滤网进行更换，并形成《UPS主机等维护记录表》；</w:t>
      </w:r>
      <w:r/>
    </w:p>
    <w:p>
      <w:pPr>
        <w:ind w:firstLine="420"/>
        <w:pageBreakBefore w:val="0"/>
        <w:spacing w:line="360" w:lineRule="auto"/>
        <w:widowControl w:val="off"/>
        <w:rPr>
          <w:rFonts w:hint="eastAsia" w:ascii="宋体" w:hAnsi="宋体" w:cs="宋体"/>
          <w:b w:val="0"/>
          <w:bCs w:val="0"/>
          <w:szCs w:val="21"/>
        </w:rPr>
      </w:pPr>
      <w:r>
        <w:rPr>
          <w:rFonts w:hint="eastAsia" w:ascii="宋体" w:hAnsi="宋体" w:cs="宋体"/>
          <w:b w:val="0"/>
          <w:bCs w:val="0"/>
          <w:szCs w:val="21"/>
        </w:rPr>
        <w:t xml:space="preserve">（2）服务期内供应商应及时对采购人提出的其他UPS主机等维护内容进行响应及维护。</w:t>
      </w:r>
      <w:r/>
    </w:p>
    <w:p>
      <w:pPr>
        <w:ind w:firstLine="420"/>
        <w:pageBreakBefore w:val="0"/>
        <w:spacing w:line="360" w:lineRule="auto"/>
        <w:widowControl w:val="off"/>
        <w:rPr>
          <w:rFonts w:hint="eastAsia" w:ascii="宋体" w:hAnsi="宋体" w:cs="宋体"/>
          <w:b/>
          <w:bCs/>
          <w:szCs w:val="21"/>
        </w:rPr>
      </w:pPr>
      <w:r>
        <w:rPr>
          <w:rFonts w:hint="eastAsia" w:ascii="宋体" w:hAnsi="宋体" w:cs="宋体"/>
          <w:b/>
          <w:bCs/>
          <w:szCs w:val="21"/>
        </w:rPr>
        <w:t xml:space="preserve">4.4 UPS主机等故障处理服务内容</w:t>
      </w:r>
      <w:r/>
    </w:p>
    <w:p>
      <w:pPr>
        <w:ind w:firstLine="420"/>
        <w:pageBreakBefore w:val="0"/>
        <w:spacing w:line="360" w:lineRule="auto"/>
        <w:widowControl w:val="off"/>
        <w:rPr>
          <w:rFonts w:hint="eastAsia" w:ascii="宋体" w:hAnsi="宋体" w:cs="宋体"/>
          <w:b w:val="0"/>
          <w:bCs w:val="0"/>
          <w:szCs w:val="21"/>
        </w:rPr>
      </w:pPr>
      <w:r>
        <w:rPr>
          <w:rFonts w:hint="eastAsia" w:ascii="宋体" w:hAnsi="宋体" w:cs="宋体"/>
          <w:b w:val="0"/>
          <w:bCs w:val="0"/>
          <w:szCs w:val="21"/>
        </w:rPr>
        <w:t xml:space="preserve">服务期内供应商应及时对UPS主机等故障进行处理，对于所有的UPS主机等设备，供应商必须备有充足的设备备件（不低于原设备档次和性能），当设备无法现场修复时，供应商应负责提供备件供临时使用，并形成《UPS主机等故障处理记录表》，需详细记录报障时间、到场响应时间、故障修复时间、故障现象、故障影响范围、故障原因、故障解决方案、后续建议及维修前后设备状态的照片等内容。</w:t>
      </w:r>
      <w:r/>
    </w:p>
    <w:p>
      <w:pPr>
        <w:ind w:firstLine="420"/>
        <w:pageBreakBefore w:val="0"/>
        <w:spacing w:line="360" w:lineRule="auto"/>
        <w:widowControl w:val="off"/>
        <w:rPr>
          <w:rFonts w:hint="eastAsia" w:ascii="宋体" w:hAnsi="宋体" w:cs="宋体"/>
          <w:b/>
          <w:bCs/>
          <w:szCs w:val="21"/>
        </w:rPr>
      </w:pPr>
      <w:r>
        <w:rPr>
          <w:rFonts w:hint="eastAsia" w:ascii="宋体" w:hAnsi="宋体" w:cs="宋体"/>
          <w:b/>
          <w:bCs/>
          <w:szCs w:val="21"/>
        </w:rPr>
        <w:t xml:space="preserve">5.其他服务要求</w:t>
      </w:r>
      <w:r/>
    </w:p>
    <w:p>
      <w:pPr>
        <w:ind w:firstLine="420"/>
        <w:pageBreakBefore w:val="0"/>
        <w:spacing w:line="360" w:lineRule="auto"/>
        <w:widowControl w:val="off"/>
        <w:rPr>
          <w:rFonts w:hint="eastAsia" w:ascii="宋体" w:hAnsi="宋体" w:cs="宋体"/>
          <w:b w:val="0"/>
          <w:bCs w:val="0"/>
          <w:szCs w:val="21"/>
        </w:rPr>
      </w:pPr>
      <w:r>
        <w:rPr>
          <w:rFonts w:hint="eastAsia" w:ascii="宋体" w:hAnsi="宋体" w:cs="宋体"/>
          <w:b w:val="0"/>
          <w:bCs w:val="0"/>
          <w:szCs w:val="21"/>
        </w:rPr>
        <w:t xml:space="preserve">（1）合同签订后15个工作日内向采购人提供《巡检服务规程》，内容须涵盖DLP大屏、精密空调、UPS主机等。</w:t>
      </w:r>
      <w:r/>
    </w:p>
    <w:p>
      <w:pPr>
        <w:ind w:firstLine="420"/>
        <w:pageBreakBefore w:val="0"/>
        <w:spacing w:line="360" w:lineRule="auto"/>
        <w:widowControl w:val="off"/>
        <w:rPr>
          <w:rFonts w:hint="eastAsia" w:ascii="宋体" w:hAnsi="宋体" w:cs="宋体"/>
          <w:b w:val="0"/>
          <w:bCs w:val="0"/>
          <w:szCs w:val="21"/>
        </w:rPr>
      </w:pPr>
      <w:r>
        <w:rPr>
          <w:rFonts w:hint="eastAsia" w:ascii="宋体" w:hAnsi="宋体" w:cs="宋体"/>
          <w:b w:val="0"/>
          <w:bCs w:val="0"/>
          <w:szCs w:val="21"/>
        </w:rPr>
        <w:t xml:space="preserve">（2）到场响应时间要求：在本项目服务范围内，由采购人发出的所有维护要求及故障处理要求，供应商应严格按照如下时间要求进行到场响应：</w:t>
      </w:r>
      <w:r/>
    </w:p>
    <w:p>
      <w:pPr>
        <w:ind w:firstLine="420"/>
        <w:pageBreakBefore w:val="0"/>
        <w:spacing w:line="360" w:lineRule="auto"/>
        <w:widowControl w:val="off"/>
        <w:rPr>
          <w:rFonts w:hint="eastAsia" w:ascii="宋体" w:hAnsi="宋体" w:cs="宋体"/>
          <w:b w:val="0"/>
          <w:bCs w:val="0"/>
          <w:szCs w:val="21"/>
        </w:rPr>
      </w:pPr>
      <w:r>
        <w:rPr>
          <w:rFonts w:hint="eastAsia" w:ascii="宋体" w:hAnsi="宋体" w:cs="宋体"/>
          <w:b w:val="0"/>
          <w:bCs w:val="0"/>
          <w:szCs w:val="21"/>
        </w:rPr>
        <w:t xml:space="preserve">工作日须在0.5个小时内到达现场，24个小时内完成维护或故障排除；</w:t>
      </w:r>
      <w:r/>
    </w:p>
    <w:p>
      <w:pPr>
        <w:ind w:firstLine="420"/>
        <w:pageBreakBefore w:val="0"/>
        <w:spacing w:line="360" w:lineRule="auto"/>
        <w:widowControl w:val="off"/>
        <w:rPr>
          <w:rFonts w:hint="eastAsia" w:ascii="宋体" w:hAnsi="宋体" w:cs="宋体"/>
          <w:b w:val="0"/>
          <w:bCs w:val="0"/>
          <w:szCs w:val="21"/>
          <w:highlight w:val="none"/>
        </w:rPr>
      </w:pPr>
      <w:r>
        <w:rPr>
          <w:rFonts w:hint="eastAsia" w:ascii="宋体" w:hAnsi="宋体" w:cs="宋体"/>
          <w:b w:val="0"/>
          <w:bCs w:val="0"/>
          <w:szCs w:val="21"/>
          <w:highlight w:val="none"/>
        </w:rPr>
        <w:t xml:space="preserve">非工作日须在1个小时内到达现场，24个小时内完成维护或故障排除。</w:t>
      </w:r>
      <w:r/>
    </w:p>
    <w:p>
      <w:pPr>
        <w:ind w:firstLine="420"/>
        <w:pageBreakBefore w:val="0"/>
        <w:spacing w:line="360" w:lineRule="auto"/>
        <w:widowControl w:val="off"/>
        <w:rPr>
          <w:rFonts w:hint="default" w:ascii="宋体" w:hAnsi="宋体" w:cs="宋体"/>
          <w:b w:val="0"/>
          <w:bCs w:val="0"/>
          <w:szCs w:val="21"/>
          <w:highlight w:val="none"/>
          <w:lang w:val="en-US" w:eastAsia="zh-CN"/>
        </w:rPr>
      </w:pPr>
      <w:r>
        <w:rPr>
          <w:rFonts w:hint="eastAsia" w:ascii="宋体" w:hAnsi="宋体" w:cs="宋体"/>
          <w:b w:val="0"/>
          <w:bCs w:val="0"/>
          <w:szCs w:val="21"/>
          <w:highlight w:val="none"/>
          <w:lang w:val="en-US" w:eastAsia="zh-CN"/>
        </w:rPr>
        <w:t xml:space="preserve">更换后的零配件需完全具备原厂零配件性能，且完全适配现有设备。设备故障修复完成后，设备需完全恢复原有性能。</w:t>
      </w:r>
      <w:r/>
    </w:p>
    <w:p>
      <w:pPr>
        <w:ind w:firstLine="420"/>
        <w:pageBreakBefore w:val="0"/>
        <w:spacing w:line="360" w:lineRule="auto"/>
        <w:widowControl w:val="off"/>
        <w:rPr>
          <w:rFonts w:hint="eastAsia" w:ascii="宋体" w:hAnsi="宋体" w:cs="宋体"/>
          <w:b w:val="0"/>
          <w:bCs w:val="0"/>
          <w:szCs w:val="21"/>
        </w:rPr>
      </w:pPr>
      <w:r>
        <w:rPr>
          <w:rFonts w:hint="eastAsia" w:ascii="宋体" w:hAnsi="宋体" w:cs="宋体"/>
          <w:b w:val="0"/>
          <w:bCs w:val="0"/>
          <w:szCs w:val="21"/>
        </w:rPr>
        <w:t xml:space="preserve">（3）季度运维档案要求：服务每满3个月为1个季度，每个季度服务期满后5个工作日内，供应商应上交一套季度运维档案，包括该季度的《DLP大屏巡检记录表》《DLP大屏维护记录表》《DLP大屏故障处理记录表》《精密空调巡检记录表》《精密空调维护记录表》《精密空调故障处理记录表》《UPS主机等巡检记录表》《UPS主机等维护记录表》《UPS主机等故障处理记录表》。季度运维档案由供应商项目负责人签字有效，季度运维档案上交至采购人后，由采购人工作人员签字确认后视为该项工作完成。</w:t>
      </w:r>
      <w:r/>
    </w:p>
    <w:p>
      <w:pPr>
        <w:ind w:firstLine="420"/>
        <w:pageBreakBefore w:val="0"/>
        <w:spacing w:line="360" w:lineRule="auto"/>
        <w:widowControl w:val="off"/>
        <w:rPr>
          <w:rFonts w:hint="eastAsia" w:ascii="宋体" w:hAnsi="宋体" w:cs="宋体"/>
          <w:b w:val="0"/>
          <w:bCs w:val="0"/>
          <w:szCs w:val="21"/>
        </w:rPr>
      </w:pPr>
      <w:r>
        <w:rPr>
          <w:rFonts w:hint="eastAsia" w:ascii="宋体" w:hAnsi="宋体" w:cs="宋体"/>
          <w:b w:val="0"/>
          <w:bCs w:val="0"/>
          <w:szCs w:val="21"/>
        </w:rPr>
        <w:t xml:space="preserve">（4）培训服务：服务期内供应商须针对DLP大屏、精密空调、UPS主机等日常操作对采购人分别进行1次培训，并提供包括培训内容、教材、培训现场照片等材料。</w:t>
      </w:r>
      <w:r/>
    </w:p>
    <w:p>
      <w:pPr>
        <w:ind w:firstLine="420"/>
        <w:pageBreakBefore w:val="0"/>
        <w:spacing w:line="360" w:lineRule="auto"/>
        <w:widowControl w:val="off"/>
        <w:rPr>
          <w:rFonts w:hint="eastAsia" w:ascii="宋体" w:hAnsi="宋体" w:cs="宋体"/>
          <w:b w:val="0"/>
          <w:bCs w:val="0"/>
          <w:szCs w:val="21"/>
        </w:rPr>
      </w:pPr>
      <w:r>
        <w:rPr>
          <w:rFonts w:hint="eastAsia" w:ascii="宋体" w:hAnsi="宋体" w:cs="宋体"/>
          <w:b w:val="0"/>
          <w:bCs w:val="0"/>
          <w:szCs w:val="21"/>
        </w:rPr>
        <w:t xml:space="preserve">（5）应急演练服务：在本项目服务期内，供应商须针对本项目至少进行一次应急演练，并在应急演练结束后提交相关文档材料及现场照片。</w:t>
      </w:r>
      <w:r/>
    </w:p>
    <w:p>
      <w:pPr>
        <w:ind w:firstLine="420"/>
        <w:pageBreakBefore w:val="0"/>
        <w:spacing w:line="360" w:lineRule="auto"/>
        <w:widowControl w:val="off"/>
        <w:rPr>
          <w:rFonts w:hint="eastAsia" w:ascii="宋体" w:hAnsi="宋体" w:cs="宋体"/>
          <w:b w:val="0"/>
          <w:bCs w:val="0"/>
          <w:szCs w:val="21"/>
        </w:rPr>
      </w:pPr>
      <w:r>
        <w:rPr>
          <w:rFonts w:hint="eastAsia" w:ascii="宋体" w:hAnsi="宋体" w:cs="宋体"/>
          <w:b w:val="0"/>
          <w:bCs w:val="0"/>
          <w:szCs w:val="21"/>
        </w:rPr>
        <w:t xml:space="preserve">（6）为保障运维服务的质量，供应商应制定合理有效的维护管理机制、行为规范、现场服务规范及故障记录规范，并为服务人员配备必要的维保工具，以便服务人员能够在日常维护过程中更加快速、有效地为采购人提供服务，且须确保维护人员具备相应技术常识和专业知识，采取必要防护措施，保证文明和安全施工、检修，在服务期内发生安全事故，由供应商负全责，与采购人无关。</w:t>
      </w:r>
      <w:r/>
    </w:p>
    <w:p>
      <w:pPr>
        <w:ind w:firstLine="420"/>
        <w:pageBreakBefore w:val="0"/>
        <w:spacing w:line="360" w:lineRule="auto"/>
        <w:widowControl w:val="off"/>
        <w:rPr>
          <w:rFonts w:hint="eastAsia" w:ascii="宋体" w:hAnsi="宋体" w:cs="宋体"/>
          <w:b w:val="0"/>
          <w:bCs w:val="0"/>
          <w:szCs w:val="21"/>
        </w:rPr>
      </w:pPr>
      <w:r>
        <w:rPr>
          <w:rFonts w:hint="eastAsia" w:ascii="宋体" w:hAnsi="宋体" w:cs="宋体"/>
          <w:b w:val="0"/>
          <w:bCs w:val="0"/>
          <w:szCs w:val="21"/>
        </w:rPr>
        <w:t xml:space="preserve">（7）供应商的所有服务人员须服从采购人指定管理人员的合理正确的管理和指示，并对采购人设备管理人员进行设备日常正常运行使用的知识指导和培训。</w:t>
      </w:r>
      <w:r/>
    </w:p>
    <w:p>
      <w:pPr>
        <w:ind w:firstLine="420"/>
        <w:pageBreakBefore w:val="0"/>
        <w:spacing w:line="360" w:lineRule="auto"/>
        <w:widowControl w:val="off"/>
        <w:rPr>
          <w:rFonts w:hint="eastAsia" w:ascii="宋体" w:hAnsi="宋体" w:cs="宋体"/>
          <w:b w:val="0"/>
          <w:bCs w:val="0"/>
          <w:szCs w:val="21"/>
        </w:rPr>
      </w:pPr>
      <w:r>
        <w:rPr>
          <w:rFonts w:hint="eastAsia" w:ascii="宋体" w:hAnsi="宋体" w:cs="宋体"/>
          <w:b w:val="0"/>
          <w:bCs w:val="0"/>
          <w:szCs w:val="21"/>
        </w:rPr>
        <w:t xml:space="preserve">（8）供应商的检修不得影响采购人正常办公，如有个别可能有影响的施工内容，须事前通知采购人，并经采购人同意后方可实施。</w:t>
      </w:r>
      <w:r/>
    </w:p>
    <w:p>
      <w:pPr>
        <w:ind w:firstLine="420"/>
        <w:pageBreakBefore w:val="0"/>
        <w:spacing w:line="360" w:lineRule="auto"/>
        <w:widowControl w:val="off"/>
        <w:rPr>
          <w:rFonts w:hint="eastAsia" w:ascii="宋体" w:hAnsi="宋体" w:cs="宋体"/>
          <w:b w:val="0"/>
          <w:bCs w:val="0"/>
          <w:szCs w:val="21"/>
        </w:rPr>
      </w:pPr>
      <w:r>
        <w:rPr>
          <w:rFonts w:hint="eastAsia" w:ascii="宋体" w:hAnsi="宋体" w:cs="宋体"/>
          <w:b w:val="0"/>
          <w:bCs w:val="0"/>
          <w:szCs w:val="21"/>
        </w:rPr>
        <w:t xml:space="preserve">（9）采购人设备发生大规模病毒灾难、软硬件升级、需大规模手工维护设备、重大接待以及采购人认为工作需要时，供应商须根据采购人发出的需求及时增加相应人数的工程师配合采购人进行以上工作，必须在采购人规定的期限内完成，不得影响正常工作使用。</w:t>
      </w:r>
      <w:r/>
    </w:p>
    <w:p>
      <w:pPr>
        <w:ind w:firstLine="420"/>
        <w:pageBreakBefore w:val="0"/>
        <w:spacing w:line="360" w:lineRule="auto"/>
        <w:widowControl w:val="off"/>
        <w:rPr>
          <w:rFonts w:hint="eastAsia" w:ascii="宋体" w:hAnsi="宋体" w:cs="宋体"/>
          <w:b w:val="0"/>
          <w:bCs w:val="0"/>
          <w:szCs w:val="21"/>
        </w:rPr>
      </w:pPr>
      <w:r>
        <w:rPr>
          <w:rFonts w:hint="eastAsia" w:ascii="宋体" w:hAnsi="宋体" w:cs="宋体"/>
          <w:b w:val="0"/>
          <w:bCs w:val="0"/>
          <w:szCs w:val="21"/>
        </w:rPr>
        <w:t xml:space="preserve">（10）若因供应商维护工作不及时，不按时提交维护报告，或出现因缺少备件而使故障未能得到及时解决而影响系统使用，造成严重后果的，采购人有权随时解除合同，供应商须承担由此给采购人造成的损失。</w:t>
      </w:r>
      <w:r/>
    </w:p>
    <w:p>
      <w:pPr>
        <w:ind w:firstLine="420"/>
        <w:pageBreakBefore w:val="0"/>
        <w:spacing w:line="360" w:lineRule="auto"/>
        <w:widowControl w:val="off"/>
        <w:rPr>
          <w:rFonts w:hint="eastAsia" w:ascii="宋体" w:hAnsi="宋体" w:cs="宋体"/>
          <w:b w:val="0"/>
          <w:bCs w:val="0"/>
          <w:szCs w:val="21"/>
        </w:rPr>
      </w:pPr>
      <w:r>
        <w:rPr>
          <w:rFonts w:hint="eastAsia" w:ascii="宋体" w:hAnsi="宋体" w:cs="宋体"/>
          <w:b w:val="0"/>
          <w:bCs w:val="0"/>
          <w:szCs w:val="21"/>
        </w:rPr>
        <w:t xml:space="preserve">（11）供应商不得以任何方式将采购人的相关信息进行披露、发表或传播，应与采购人签订相关保密协议，保密协议将作为技术服务合同的附件。</w:t>
      </w:r>
      <w:r/>
    </w:p>
    <w:p>
      <w:pPr>
        <w:ind w:firstLine="420"/>
        <w:pageBreakBefore w:val="0"/>
        <w:spacing w:line="360" w:lineRule="auto"/>
        <w:widowControl w:val="off"/>
        <w:rPr>
          <w:rFonts w:hint="eastAsia" w:ascii="宋体" w:hAnsi="宋体" w:cs="宋体"/>
          <w:b w:val="0"/>
          <w:bCs w:val="0"/>
          <w:szCs w:val="21"/>
          <w:highlight w:val="none"/>
        </w:rPr>
      </w:pPr>
      <w:r>
        <w:rPr>
          <w:rFonts w:hint="eastAsia" w:ascii="宋体" w:hAnsi="宋体" w:cs="宋体"/>
          <w:b w:val="0"/>
          <w:bCs w:val="0"/>
          <w:szCs w:val="21"/>
          <w:highlight w:val="none"/>
        </w:rPr>
        <w:t xml:space="preserve">（1</w:t>
      </w:r>
      <w:r>
        <w:rPr>
          <w:rFonts w:hint="eastAsia" w:ascii="宋体" w:hAnsi="宋体" w:cs="宋体"/>
          <w:b w:val="0"/>
          <w:bCs w:val="0"/>
          <w:szCs w:val="21"/>
          <w:highlight w:val="none"/>
          <w:lang w:val="en-US" w:eastAsia="zh-CN"/>
        </w:rPr>
        <w:t xml:space="preserve">3</w:t>
      </w:r>
      <w:r>
        <w:rPr>
          <w:rFonts w:hint="eastAsia" w:ascii="宋体" w:hAnsi="宋体" w:cs="宋体"/>
          <w:b w:val="0"/>
          <w:bCs w:val="0"/>
          <w:szCs w:val="21"/>
          <w:highlight w:val="none"/>
        </w:rPr>
        <w:t xml:space="preserve">）根据采购人的实际需要，完成主管部门提出的其他合理要求与服务。</w:t>
      </w:r>
      <w:r/>
    </w:p>
    <w:p>
      <w:pPr>
        <w:ind w:firstLine="420"/>
        <w:pageBreakBefore w:val="0"/>
        <w:spacing w:line="360" w:lineRule="auto"/>
        <w:widowControl w:val="off"/>
        <w:rPr>
          <w:rFonts w:hint="eastAsia" w:ascii="宋体" w:hAnsi="宋体" w:cs="宋体"/>
          <w:b w:val="0"/>
          <w:bCs w:val="0"/>
          <w:szCs w:val="21"/>
          <w:highlight w:val="none"/>
        </w:rPr>
      </w:pPr>
      <w:r>
        <w:rPr>
          <w:rFonts w:hint="eastAsia" w:ascii="宋体" w:hAnsi="宋体" w:cs="宋体"/>
          <w:b w:val="0"/>
          <w:bCs w:val="0"/>
          <w:szCs w:val="21"/>
          <w:highlight w:val="none"/>
        </w:rPr>
        <w:t xml:space="preserve">（1</w:t>
      </w:r>
      <w:r>
        <w:rPr>
          <w:rFonts w:hint="eastAsia" w:ascii="宋体" w:hAnsi="宋体" w:cs="宋体"/>
          <w:b w:val="0"/>
          <w:bCs w:val="0"/>
          <w:szCs w:val="21"/>
          <w:highlight w:val="none"/>
          <w:lang w:val="en-US" w:eastAsia="zh-CN"/>
        </w:rPr>
        <w:t xml:space="preserve">4</w:t>
      </w:r>
      <w:r>
        <w:rPr>
          <w:rFonts w:hint="eastAsia" w:ascii="宋体" w:hAnsi="宋体" w:cs="宋体"/>
          <w:b w:val="0"/>
          <w:bCs w:val="0"/>
          <w:szCs w:val="21"/>
          <w:highlight w:val="none"/>
        </w:rPr>
        <w:t xml:space="preserve">）若合同履行期间，本项目设备维护预算受财政政策影响或相关设备设施列入更新改造计划，则设备维护费用根据实际服务期限按比例核减。</w:t>
      </w:r>
      <w:r/>
    </w:p>
    <w:p>
      <w:pPr>
        <w:pStyle w:val="705"/>
        <w:rPr>
          <w:rFonts w:hint="eastAsia" w:ascii="宋体" w:hAnsi="宋体" w:cs="宋体"/>
          <w:b w:val="0"/>
          <w:bCs w:val="0"/>
          <w:szCs w:val="21"/>
          <w:highlight w:val="none"/>
          <w:lang w:val="en-US" w:eastAsia="zh-CN"/>
        </w:rPr>
      </w:pPr>
      <w:r>
        <w:rPr>
          <w:rFonts w:hint="eastAsia" w:ascii="宋体" w:hAnsi="宋体" w:cs="宋体"/>
          <w:b w:val="0"/>
          <w:bCs w:val="0"/>
          <w:szCs w:val="21"/>
          <w:highlight w:val="none"/>
          <w:lang w:val="en-US" w:eastAsia="zh-CN"/>
        </w:rPr>
        <w:t xml:space="preserve">6、服务人员要求</w:t>
      </w:r>
      <w:r/>
    </w:p>
    <w:p>
      <w:pPr>
        <w:ind w:firstLine="420"/>
        <w:pageBreakBefore w:val="0"/>
        <w:spacing w:line="360" w:lineRule="auto"/>
        <w:widowControl w:val="off"/>
        <w:rPr>
          <w:rFonts w:hint="eastAsia" w:ascii="宋体" w:hAnsi="宋体" w:cs="宋体"/>
          <w:b w:val="0"/>
          <w:bCs w:val="0"/>
          <w:szCs w:val="21"/>
          <w:highlight w:val="none"/>
        </w:rPr>
      </w:pPr>
      <w:r>
        <w:rPr>
          <w:rFonts w:hint="eastAsia" w:ascii="宋体" w:hAnsi="宋体" w:cs="宋体"/>
          <w:b w:val="0"/>
          <w:bCs w:val="0"/>
          <w:szCs w:val="21"/>
          <w:highlight w:val="none"/>
          <w:lang w:eastAsia="zh-CN"/>
        </w:rPr>
        <w:t xml:space="preserve">（</w:t>
      </w:r>
      <w:r>
        <w:rPr>
          <w:rFonts w:hint="eastAsia" w:ascii="宋体" w:hAnsi="宋体" w:cs="宋体"/>
          <w:b w:val="0"/>
          <w:bCs w:val="0"/>
          <w:szCs w:val="21"/>
          <w:highlight w:val="none"/>
          <w:lang w:val="en-US" w:eastAsia="zh-CN"/>
        </w:rPr>
        <w:t xml:space="preserve">1</w:t>
      </w:r>
      <w:r>
        <w:rPr>
          <w:rFonts w:hint="eastAsia" w:ascii="宋体" w:hAnsi="宋体" w:cs="宋体"/>
          <w:b w:val="0"/>
          <w:bCs w:val="0"/>
          <w:szCs w:val="21"/>
          <w:highlight w:val="none"/>
          <w:lang w:eastAsia="zh-CN"/>
        </w:rPr>
        <w:t xml:space="preserve">）</w:t>
      </w:r>
      <w:r>
        <w:rPr>
          <w:rFonts w:hint="eastAsia" w:ascii="宋体" w:hAnsi="宋体" w:cs="宋体"/>
          <w:b w:val="0"/>
          <w:bCs w:val="0"/>
          <w:szCs w:val="21"/>
          <w:highlight w:val="none"/>
        </w:rPr>
        <w:t xml:space="preserve">核心</w:t>
      </w:r>
      <w:r>
        <w:rPr>
          <w:rFonts w:hint="eastAsia" w:ascii="宋体" w:hAnsi="宋体" w:cs="宋体"/>
          <w:b w:val="0"/>
          <w:bCs w:val="0"/>
          <w:szCs w:val="21"/>
          <w:highlight w:val="none"/>
          <w:lang w:val="en-US" w:eastAsia="zh-CN"/>
        </w:rPr>
        <w:t xml:space="preserve">服务</w:t>
      </w:r>
      <w:r>
        <w:rPr>
          <w:rFonts w:hint="eastAsia" w:ascii="宋体" w:hAnsi="宋体" w:cs="宋体"/>
          <w:b w:val="0"/>
          <w:bCs w:val="0"/>
          <w:szCs w:val="21"/>
          <w:highlight w:val="none"/>
        </w:rPr>
        <w:t xml:space="preserve">人员设置及</w:t>
      </w:r>
      <w:r>
        <w:rPr>
          <w:rFonts w:hint="eastAsia" w:ascii="宋体" w:hAnsi="宋体" w:cs="宋体"/>
          <w:b w:val="0"/>
          <w:bCs w:val="0"/>
          <w:szCs w:val="21"/>
          <w:highlight w:val="none"/>
          <w:lang w:val="en-US" w:eastAsia="zh-CN"/>
        </w:rPr>
        <w:t xml:space="preserve">现场服务</w:t>
      </w:r>
      <w:r>
        <w:rPr>
          <w:rFonts w:hint="eastAsia" w:ascii="宋体" w:hAnsi="宋体" w:cs="宋体"/>
          <w:b w:val="0"/>
          <w:bCs w:val="0"/>
          <w:szCs w:val="21"/>
          <w:highlight w:val="none"/>
        </w:rPr>
        <w:t xml:space="preserve">要求</w:t>
      </w:r>
      <w:r/>
    </w:p>
    <w:p>
      <w:pPr>
        <w:ind w:firstLine="420"/>
        <w:pageBreakBefore w:val="0"/>
        <w:spacing w:line="360" w:lineRule="auto"/>
        <w:widowControl w:val="off"/>
        <w:rPr>
          <w:rFonts w:hint="eastAsia" w:ascii="宋体" w:hAnsi="宋体" w:cs="宋体"/>
          <w:b w:val="0"/>
          <w:bCs w:val="0"/>
          <w:szCs w:val="21"/>
          <w:highlight w:val="none"/>
        </w:rPr>
      </w:pPr>
      <w:r>
        <w:rPr>
          <w:rFonts w:hint="eastAsia" w:ascii="宋体" w:hAnsi="宋体" w:cs="宋体"/>
          <w:b w:val="0"/>
          <w:bCs w:val="0"/>
          <w:szCs w:val="21"/>
          <w:highlight w:val="none"/>
        </w:rPr>
        <w:t xml:space="preserve">1.1 供应商应为本项目配置</w:t>
      </w:r>
      <w:r>
        <w:rPr>
          <w:rFonts w:hint="eastAsia" w:ascii="宋体" w:hAnsi="宋体" w:cs="宋体"/>
          <w:b w:val="0"/>
          <w:bCs w:val="0"/>
          <w:strike w:val="0"/>
          <w:szCs w:val="21"/>
          <w:highlight w:val="none"/>
        </w:rPr>
        <w:t xml:space="preserve">至少</w:t>
      </w:r>
      <w:r>
        <w:rPr>
          <w:rFonts w:hint="eastAsia" w:ascii="宋体" w:hAnsi="宋体" w:cs="宋体"/>
          <w:b w:val="0"/>
          <w:bCs w:val="0"/>
          <w:strike w:val="0"/>
          <w:szCs w:val="21"/>
          <w:highlight w:val="none"/>
          <w:lang w:val="en-US" w:eastAsia="zh-CN"/>
        </w:rPr>
        <w:t xml:space="preserve">11</w:t>
      </w:r>
      <w:r>
        <w:rPr>
          <w:rFonts w:hint="eastAsia" w:ascii="宋体" w:hAnsi="宋体" w:cs="宋体"/>
          <w:b w:val="0"/>
          <w:bCs w:val="0"/>
          <w:strike w:val="0"/>
          <w:szCs w:val="21"/>
          <w:highlight w:val="none"/>
        </w:rPr>
        <w:t xml:space="preserve">人的项目维护团队</w:t>
      </w:r>
      <w:r>
        <w:rPr>
          <w:rFonts w:hint="eastAsia" w:ascii="宋体" w:hAnsi="宋体" w:cs="宋体"/>
          <w:b w:val="0"/>
          <w:bCs w:val="0"/>
          <w:strike w:val="0"/>
          <w:szCs w:val="21"/>
          <w:highlight w:val="none"/>
          <w:lang w:eastAsia="zh-CN"/>
        </w:rPr>
        <w:t xml:space="preserve">，</w:t>
      </w:r>
      <w:r>
        <w:rPr>
          <w:rFonts w:hint="eastAsia" w:ascii="宋体" w:hAnsi="宋体" w:cs="宋体"/>
          <w:b w:val="0"/>
          <w:bCs w:val="0"/>
          <w:strike w:val="0"/>
          <w:szCs w:val="21"/>
          <w:highlight w:val="none"/>
          <w:lang w:val="en-US" w:eastAsia="zh-CN"/>
        </w:rPr>
        <w:t xml:space="preserve">其中需包含</w:t>
      </w:r>
      <w:r>
        <w:rPr>
          <w:rFonts w:hint="eastAsia" w:ascii="宋体" w:hAnsi="宋体" w:cs="宋体"/>
          <w:b w:val="0"/>
          <w:bCs w:val="0"/>
          <w:szCs w:val="21"/>
          <w:highlight w:val="none"/>
        </w:rPr>
        <w:t xml:space="preserve">项目经理1名、项目技术负责人1名、项目运维负责人1名。三名核心管理人员必须为响应文件中承诺的人员，不得相互兼任，并应与成交供应商依法建立劳动关系。</w:t>
      </w:r>
      <w:r/>
    </w:p>
    <w:p>
      <w:pPr>
        <w:ind w:firstLine="420"/>
        <w:pageBreakBefore w:val="0"/>
        <w:spacing w:line="360" w:lineRule="auto"/>
        <w:widowControl w:val="off"/>
        <w:rPr>
          <w:rFonts w:hint="eastAsia" w:ascii="宋体" w:hAnsi="宋体" w:cs="宋体"/>
          <w:b w:val="0"/>
          <w:bCs w:val="0"/>
          <w:szCs w:val="21"/>
          <w:highlight w:val="none"/>
        </w:rPr>
      </w:pPr>
      <w:r>
        <w:rPr>
          <w:rFonts w:hint="eastAsia" w:ascii="宋体" w:hAnsi="宋体" w:cs="宋体"/>
          <w:b w:val="0"/>
          <w:bCs w:val="0"/>
          <w:szCs w:val="21"/>
          <w:highlight w:val="none"/>
        </w:rPr>
        <w:t xml:space="preserve">1.2 三名核心管理人员实行工作日现场</w:t>
      </w:r>
      <w:r>
        <w:rPr>
          <w:rFonts w:hint="eastAsia" w:ascii="宋体" w:hAnsi="宋体" w:cs="宋体"/>
          <w:b w:val="0"/>
          <w:bCs w:val="0"/>
          <w:szCs w:val="21"/>
          <w:highlight w:val="none"/>
          <w:lang w:eastAsia="zh-CN"/>
        </w:rPr>
        <w:t xml:space="preserve">服务</w:t>
      </w:r>
      <w:r>
        <w:rPr>
          <w:rFonts w:hint="eastAsia" w:ascii="宋体" w:hAnsi="宋体" w:cs="宋体"/>
          <w:b w:val="0"/>
          <w:bCs w:val="0"/>
          <w:szCs w:val="21"/>
          <w:highlight w:val="none"/>
        </w:rPr>
        <w:t xml:space="preserve">制度，正常</w:t>
      </w:r>
      <w:r>
        <w:rPr>
          <w:rFonts w:hint="eastAsia" w:ascii="宋体" w:hAnsi="宋体" w:cs="宋体"/>
          <w:b w:val="0"/>
          <w:bCs w:val="0"/>
          <w:szCs w:val="21"/>
          <w:highlight w:val="none"/>
          <w:lang w:eastAsia="zh-CN"/>
        </w:rPr>
        <w:t xml:space="preserve">现场服务</w:t>
      </w:r>
      <w:r>
        <w:rPr>
          <w:rFonts w:hint="eastAsia" w:ascii="宋体" w:hAnsi="宋体" w:cs="宋体"/>
          <w:b w:val="0"/>
          <w:bCs w:val="0"/>
          <w:szCs w:val="21"/>
          <w:highlight w:val="none"/>
        </w:rPr>
        <w:t xml:space="preserve">时间为每日9:00至17:00，午间休息按照采购人作息制度执行。法定节假日、双休日及非工作时间实行轮值和应急响应制度；遇重大活动、系统升级、应急演练或故障抢修时，应按照采购人通知及时到场，不受正常</w:t>
      </w:r>
      <w:r>
        <w:rPr>
          <w:rFonts w:hint="eastAsia" w:ascii="宋体" w:hAnsi="宋体" w:cs="宋体"/>
          <w:b w:val="0"/>
          <w:bCs w:val="0"/>
          <w:szCs w:val="21"/>
          <w:highlight w:val="none"/>
          <w:lang w:eastAsia="zh-CN"/>
        </w:rPr>
        <w:t xml:space="preserve">现场服务</w:t>
      </w:r>
      <w:r>
        <w:rPr>
          <w:rFonts w:hint="eastAsia" w:ascii="宋体" w:hAnsi="宋体" w:cs="宋体"/>
          <w:b w:val="0"/>
          <w:bCs w:val="0"/>
          <w:szCs w:val="21"/>
          <w:highlight w:val="none"/>
        </w:rPr>
        <w:t xml:space="preserve">时段限制。</w:t>
      </w:r>
      <w:r/>
    </w:p>
    <w:p>
      <w:pPr>
        <w:ind w:firstLine="420"/>
        <w:pageBreakBefore w:val="0"/>
        <w:spacing w:line="360" w:lineRule="auto"/>
        <w:widowControl w:val="off"/>
        <w:rPr>
          <w:rFonts w:hint="eastAsia" w:ascii="宋体" w:hAnsi="宋体" w:cs="宋体"/>
          <w:b w:val="0"/>
          <w:bCs w:val="0"/>
          <w:szCs w:val="21"/>
          <w:highlight w:val="none"/>
        </w:rPr>
      </w:pPr>
      <w:r>
        <w:rPr>
          <w:rFonts w:hint="eastAsia" w:ascii="宋体" w:hAnsi="宋体" w:cs="宋体"/>
          <w:b w:val="0"/>
          <w:bCs w:val="0"/>
          <w:szCs w:val="21"/>
          <w:highlight w:val="none"/>
        </w:rPr>
        <w:t xml:space="preserve">1.3 三名核心管理人员原则上不得同时承担其他项目的</w:t>
      </w:r>
      <w:r>
        <w:rPr>
          <w:rFonts w:hint="eastAsia" w:ascii="宋体" w:hAnsi="宋体" w:cs="宋体"/>
          <w:b w:val="0"/>
          <w:bCs w:val="0"/>
          <w:szCs w:val="21"/>
          <w:highlight w:val="none"/>
          <w:lang w:eastAsia="zh-CN"/>
        </w:rPr>
        <w:t xml:space="preserve">现场服务</w:t>
      </w:r>
      <w:r>
        <w:rPr>
          <w:rFonts w:hint="eastAsia" w:ascii="宋体" w:hAnsi="宋体" w:cs="宋体"/>
          <w:b w:val="0"/>
          <w:bCs w:val="0"/>
          <w:szCs w:val="21"/>
          <w:highlight w:val="none"/>
        </w:rPr>
        <w:t xml:space="preserve">工作。未经采购人书面同意，成交供应商不得减少人员、调整岗位或更换人员。</w:t>
      </w:r>
      <w:r/>
    </w:p>
    <w:p>
      <w:pPr>
        <w:ind w:firstLine="420"/>
        <w:pageBreakBefore w:val="0"/>
        <w:spacing w:line="360" w:lineRule="auto"/>
        <w:widowControl w:val="off"/>
        <w:rPr>
          <w:rFonts w:hint="eastAsia" w:ascii="宋体" w:hAnsi="宋体" w:cs="宋体"/>
          <w:b w:val="0"/>
          <w:bCs w:val="0"/>
          <w:szCs w:val="21"/>
          <w:highlight w:val="none"/>
        </w:rPr>
      </w:pPr>
      <w:r>
        <w:rPr>
          <w:rFonts w:hint="eastAsia" w:ascii="宋体" w:hAnsi="宋体" w:cs="宋体"/>
          <w:b w:val="0"/>
          <w:bCs w:val="0"/>
          <w:szCs w:val="21"/>
          <w:highlight w:val="none"/>
        </w:rPr>
        <w:t xml:space="preserve">1.4 三名核心管理人员应服从采购人的合理管理和工作安排，并对本人负责事项形成可核验的工作日志、工单、检查记录、照片、数据或报告。仅有考勤记录而无实际履职成果的，不视为完成</w:t>
      </w:r>
      <w:r>
        <w:rPr>
          <w:rFonts w:hint="eastAsia" w:ascii="宋体" w:hAnsi="宋体" w:cs="宋体"/>
          <w:b w:val="0"/>
          <w:bCs w:val="0"/>
          <w:szCs w:val="21"/>
          <w:highlight w:val="none"/>
          <w:lang w:eastAsia="zh-CN"/>
        </w:rPr>
        <w:t xml:space="preserve">现场服务</w:t>
      </w:r>
      <w:r>
        <w:rPr>
          <w:rFonts w:hint="eastAsia" w:ascii="宋体" w:hAnsi="宋体" w:cs="宋体"/>
          <w:b w:val="0"/>
          <w:bCs w:val="0"/>
          <w:szCs w:val="21"/>
          <w:highlight w:val="none"/>
        </w:rPr>
        <w:t xml:space="preserve">义务。</w:t>
      </w:r>
      <w:r/>
    </w:p>
    <w:p>
      <w:pPr>
        <w:ind w:firstLine="420"/>
        <w:pageBreakBefore w:val="0"/>
        <w:spacing w:line="360" w:lineRule="auto"/>
        <w:widowControl w:val="off"/>
        <w:rPr>
          <w:rFonts w:hint="eastAsia" w:ascii="宋体" w:hAnsi="宋体" w:cs="宋体"/>
          <w:b w:val="0"/>
          <w:bCs w:val="0"/>
          <w:szCs w:val="21"/>
          <w:highlight w:val="none"/>
          <w:lang w:val="en-US" w:eastAsia="zh-CN"/>
        </w:rPr>
      </w:pPr>
      <w:r>
        <w:rPr>
          <w:rFonts w:hint="eastAsia" w:ascii="宋体" w:hAnsi="宋体" w:cs="宋体"/>
          <w:b w:val="0"/>
          <w:bCs w:val="0"/>
          <w:szCs w:val="21"/>
          <w:highlight w:val="none"/>
          <w:lang w:val="en-US" w:eastAsia="zh-CN"/>
        </w:rPr>
        <w:t xml:space="preserve">（2）每日工作计划</w:t>
      </w:r>
      <w:r/>
    </w:p>
    <w:tbl>
      <w:tblPr>
        <w:tblStyle w:val="735"/>
        <w:tblW w:w="84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29"/>
        <w:gridCol w:w="7390"/>
      </w:tblGrid>
      <w:tr>
        <w:trPr>
          <w:jc w:val="center"/>
          <w:trHeight w:val="406"/>
          <w:tblHeader/>
        </w:trPr>
        <w:tc>
          <w:tcPr>
            <w:shd w:val="clear" w:color="auto" w:fill="auto"/>
            <w:tcMar>
              <w:left w:w="100" w:type="dxa"/>
              <w:top w:w="80" w:type="dxa"/>
              <w:right w:w="100" w:type="dxa"/>
              <w:bottom w:w="80" w:type="dxa"/>
            </w:tcMar>
            <w:tcW w:w="1029" w:type="dxa"/>
            <w:vAlign w:val="center"/>
            <w:textDirection w:val="lrTb"/>
            <w:noWrap w:val="false"/>
          </w:tcPr>
          <w:p>
            <w:pPr>
              <w:ind w:left="0" w:right="0" w:firstLine="0"/>
              <w:jc w:val="center"/>
              <w:spacing w:after="0" w:line="240" w:lineRule="auto"/>
              <w:rPr>
                <w:rFonts w:ascii="宋体" w:eastAsia="宋体"/>
                <w:b/>
                <w:sz w:val="19"/>
                <w:highlight w:val="none"/>
              </w:rPr>
            </w:pPr>
            <w:r>
              <w:rPr>
                <w:rFonts w:ascii="宋体" w:hAnsi="宋体" w:eastAsia="宋体"/>
                <w:b/>
                <w:sz w:val="19"/>
                <w:highlight w:val="none"/>
              </w:rPr>
              <w:t xml:space="preserve">岗位</w:t>
            </w:r>
            <w:r/>
          </w:p>
        </w:tc>
        <w:tc>
          <w:tcPr>
            <w:shd w:val="clear" w:color="auto" w:fill="auto"/>
            <w:tcMar>
              <w:left w:w="100" w:type="dxa"/>
              <w:top w:w="80" w:type="dxa"/>
              <w:right w:w="100" w:type="dxa"/>
              <w:bottom w:w="80" w:type="dxa"/>
            </w:tcMar>
            <w:tcW w:w="7390" w:type="dxa"/>
            <w:vAlign w:val="center"/>
            <w:textDirection w:val="lrTb"/>
            <w:noWrap w:val="false"/>
          </w:tcPr>
          <w:p>
            <w:pPr>
              <w:ind w:left="0" w:right="0" w:firstLine="0"/>
              <w:jc w:val="center"/>
              <w:spacing w:after="0" w:line="240" w:lineRule="auto"/>
              <w:rPr>
                <w:rFonts w:ascii="宋体" w:eastAsia="宋体"/>
                <w:b/>
                <w:sz w:val="19"/>
                <w:highlight w:val="none"/>
              </w:rPr>
            </w:pPr>
            <w:r>
              <w:rPr>
                <w:rFonts w:ascii="宋体" w:hAnsi="宋体" w:eastAsia="宋体"/>
                <w:b/>
                <w:sz w:val="19"/>
                <w:highlight w:val="none"/>
              </w:rPr>
              <w:t xml:space="preserve">每日计划及交付要求</w:t>
            </w:r>
            <w:r/>
          </w:p>
        </w:tc>
      </w:tr>
      <w:tr>
        <w:trPr>
          <w:jc w:val="center"/>
          <w:trHeight w:val="646"/>
        </w:trPr>
        <w:tc>
          <w:tcPr>
            <w:shd w:val="clear" w:color="auto" w:fill="auto"/>
            <w:tcMar>
              <w:left w:w="100" w:type="dxa"/>
              <w:top w:w="80" w:type="dxa"/>
              <w:right w:w="100" w:type="dxa"/>
              <w:bottom w:w="80" w:type="dxa"/>
            </w:tcMar>
            <w:tcW w:w="1029" w:type="dxa"/>
            <w:vAlign w:val="center"/>
            <w:textDirection w:val="lrTb"/>
            <w:noWrap w:val="false"/>
          </w:tcPr>
          <w:p>
            <w:pPr>
              <w:ind w:left="0" w:right="0" w:firstLine="0"/>
              <w:jc w:val="left"/>
              <w:spacing w:after="0" w:line="240" w:lineRule="auto"/>
              <w:rPr>
                <w:rFonts w:ascii="宋体" w:eastAsia="宋体"/>
                <w:sz w:val="19"/>
                <w:highlight w:val="none"/>
              </w:rPr>
            </w:pPr>
            <w:r>
              <w:rPr>
                <w:rFonts w:ascii="宋体" w:hAnsi="宋体" w:eastAsia="宋体"/>
                <w:b w:val="0"/>
                <w:sz w:val="19"/>
                <w:highlight w:val="none"/>
              </w:rPr>
              <w:t xml:space="preserve">共同要求</w:t>
            </w:r>
            <w:r/>
          </w:p>
        </w:tc>
        <w:tc>
          <w:tcPr>
            <w:shd w:val="clear" w:color="auto" w:fill="auto"/>
            <w:tcMar>
              <w:left w:w="100" w:type="dxa"/>
              <w:top w:w="80" w:type="dxa"/>
              <w:right w:w="100" w:type="dxa"/>
              <w:bottom w:w="80" w:type="dxa"/>
            </w:tcMar>
            <w:tcW w:w="7390" w:type="dxa"/>
            <w:vAlign w:val="center"/>
            <w:textDirection w:val="lrTb"/>
            <w:noWrap w:val="false"/>
          </w:tcPr>
          <w:p>
            <w:pPr>
              <w:ind w:left="0" w:right="0" w:firstLine="0"/>
              <w:jc w:val="left"/>
              <w:spacing w:after="0" w:line="240" w:lineRule="auto"/>
              <w:rPr>
                <w:rFonts w:ascii="宋体" w:eastAsia="宋体"/>
                <w:sz w:val="19"/>
                <w:highlight w:val="none"/>
              </w:rPr>
            </w:pPr>
            <w:r>
              <w:rPr>
                <w:rFonts w:ascii="宋体" w:hAnsi="宋体" w:eastAsia="宋体"/>
                <w:b w:val="0"/>
                <w:sz w:val="19"/>
                <w:highlight w:val="none"/>
              </w:rPr>
              <w:t xml:space="preserve">每日9:00前完成上班打卡；9:00参加晨会；16:30开展当日工作复核；17:00后完成下班打卡。遇故障、重大活动或应急任务时，按采购人要求延长保障时间。</w:t>
            </w:r>
            <w:r/>
          </w:p>
        </w:tc>
      </w:tr>
      <w:tr>
        <w:trPr>
          <w:jc w:val="center"/>
          <w:trHeight w:val="646"/>
        </w:trPr>
        <w:tc>
          <w:tcPr>
            <w:shd w:val="clear" w:color="auto" w:fill="auto"/>
            <w:tcMar>
              <w:left w:w="100" w:type="dxa"/>
              <w:top w:w="80" w:type="dxa"/>
              <w:right w:w="100" w:type="dxa"/>
              <w:bottom w:w="80" w:type="dxa"/>
            </w:tcMar>
            <w:tcW w:w="1029" w:type="dxa"/>
            <w:vAlign w:val="center"/>
            <w:textDirection w:val="lrTb"/>
            <w:noWrap w:val="false"/>
          </w:tcPr>
          <w:p>
            <w:pPr>
              <w:ind w:left="0" w:right="0" w:firstLine="0"/>
              <w:jc w:val="left"/>
              <w:spacing w:after="0" w:line="240" w:lineRule="auto"/>
              <w:rPr>
                <w:rFonts w:ascii="宋体" w:eastAsia="宋体"/>
                <w:sz w:val="19"/>
                <w:highlight w:val="none"/>
              </w:rPr>
            </w:pPr>
            <w:r>
              <w:rPr>
                <w:rFonts w:ascii="宋体" w:hAnsi="宋体" w:eastAsia="宋体"/>
                <w:b w:val="0"/>
                <w:sz w:val="19"/>
                <w:highlight w:val="none"/>
              </w:rPr>
              <w:t xml:space="preserve">项目经理</w:t>
            </w:r>
            <w:r/>
          </w:p>
        </w:tc>
        <w:tc>
          <w:tcPr>
            <w:shd w:val="clear" w:color="auto" w:fill="auto"/>
            <w:tcMar>
              <w:left w:w="100" w:type="dxa"/>
              <w:top w:w="80" w:type="dxa"/>
              <w:right w:w="100" w:type="dxa"/>
              <w:bottom w:w="80" w:type="dxa"/>
            </w:tcMar>
            <w:tcW w:w="7390" w:type="dxa"/>
            <w:vAlign w:val="center"/>
            <w:textDirection w:val="lrTb"/>
            <w:noWrap w:val="false"/>
          </w:tcPr>
          <w:p>
            <w:pPr>
              <w:ind w:left="0" w:right="0" w:firstLine="0"/>
              <w:jc w:val="left"/>
              <w:spacing w:after="0" w:line="240" w:lineRule="auto"/>
              <w:rPr>
                <w:rFonts w:ascii="宋体" w:eastAsia="宋体"/>
                <w:sz w:val="19"/>
                <w:highlight w:val="none"/>
              </w:rPr>
            </w:pPr>
            <w:r>
              <w:rPr>
                <w:rFonts w:ascii="宋体" w:hAnsi="宋体" w:eastAsia="宋体"/>
                <w:b w:val="0"/>
                <w:sz w:val="19"/>
                <w:highlight w:val="none"/>
              </w:rPr>
              <w:t xml:space="preserve">主持晨会；核查项目人员到岗和排班；审查前一日遗留问题、当日工单及采购人需求；协调人员、备件和外部资源；至少开展一次现场管理检查；16:30前复核任务完成情况并签署《项目管理日志》。</w:t>
            </w:r>
            <w:r/>
          </w:p>
        </w:tc>
      </w:tr>
      <w:tr>
        <w:trPr>
          <w:jc w:val="center"/>
          <w:trHeight w:val="646"/>
        </w:trPr>
        <w:tc>
          <w:tcPr>
            <w:tcMar>
              <w:left w:w="100" w:type="dxa"/>
              <w:top w:w="80" w:type="dxa"/>
              <w:right w:w="100" w:type="dxa"/>
              <w:bottom w:w="80" w:type="dxa"/>
            </w:tcMar>
            <w:tcW w:w="1029" w:type="dxa"/>
            <w:vAlign w:val="center"/>
            <w:textDirection w:val="lrTb"/>
            <w:noWrap w:val="false"/>
          </w:tcPr>
          <w:p>
            <w:pPr>
              <w:ind w:left="0" w:right="0" w:firstLine="0"/>
              <w:jc w:val="left"/>
              <w:spacing w:after="0" w:line="240" w:lineRule="auto"/>
              <w:rPr>
                <w:rFonts w:ascii="宋体" w:eastAsia="宋体"/>
                <w:sz w:val="19"/>
                <w:highlight w:val="none"/>
              </w:rPr>
            </w:pPr>
            <w:r>
              <w:rPr>
                <w:rFonts w:ascii="宋体" w:hAnsi="宋体" w:eastAsia="宋体"/>
                <w:b w:val="0"/>
                <w:sz w:val="19"/>
                <w:highlight w:val="none"/>
              </w:rPr>
              <w:t xml:space="preserve">项目技术负责人</w:t>
            </w:r>
            <w:r/>
          </w:p>
        </w:tc>
        <w:tc>
          <w:tcPr>
            <w:tcMar>
              <w:left w:w="100" w:type="dxa"/>
              <w:top w:w="80" w:type="dxa"/>
              <w:right w:w="100" w:type="dxa"/>
              <w:bottom w:w="80" w:type="dxa"/>
            </w:tcMar>
            <w:tcW w:w="7390" w:type="dxa"/>
            <w:vAlign w:val="center"/>
            <w:textDirection w:val="lrTb"/>
            <w:noWrap w:val="false"/>
          </w:tcPr>
          <w:p>
            <w:pPr>
              <w:ind w:left="0" w:right="0" w:firstLine="0"/>
              <w:jc w:val="left"/>
              <w:spacing w:after="0" w:line="240" w:lineRule="auto"/>
              <w:rPr>
                <w:rFonts w:ascii="宋体" w:eastAsia="宋体"/>
                <w:sz w:val="19"/>
                <w:highlight w:val="none"/>
              </w:rPr>
            </w:pPr>
            <w:r>
              <w:rPr>
                <w:rFonts w:ascii="宋体" w:hAnsi="宋体" w:eastAsia="宋体"/>
                <w:b w:val="0"/>
                <w:sz w:val="19"/>
                <w:highlight w:val="none"/>
              </w:rPr>
              <w:t xml:space="preserve">审查设备告警、运行日志和重大技术风险；审核参数调整、配置变更、数据备份、维修更换及安全技术方案；指导疑难故障处理；复核重大维修结果和技术资料；签署《技术工作日志》。</w:t>
            </w:r>
            <w:r/>
          </w:p>
        </w:tc>
      </w:tr>
      <w:tr>
        <w:trPr>
          <w:jc w:val="center"/>
          <w:trHeight w:val="897"/>
        </w:trPr>
        <w:tc>
          <w:tcPr>
            <w:tcMar>
              <w:left w:w="100" w:type="dxa"/>
              <w:top w:w="80" w:type="dxa"/>
              <w:right w:w="100" w:type="dxa"/>
              <w:bottom w:w="80" w:type="dxa"/>
            </w:tcMar>
            <w:tcW w:w="1029" w:type="dxa"/>
            <w:vAlign w:val="center"/>
            <w:textDirection w:val="lrTb"/>
            <w:noWrap w:val="false"/>
          </w:tcPr>
          <w:p>
            <w:pPr>
              <w:ind w:left="0" w:right="0" w:firstLine="0"/>
              <w:jc w:val="left"/>
              <w:spacing w:after="0" w:line="240" w:lineRule="auto"/>
              <w:rPr>
                <w:rFonts w:ascii="宋体" w:eastAsia="宋体"/>
                <w:sz w:val="19"/>
                <w:highlight w:val="none"/>
              </w:rPr>
            </w:pPr>
            <w:r>
              <w:rPr>
                <w:rFonts w:ascii="宋体" w:hAnsi="宋体" w:eastAsia="宋体"/>
                <w:b w:val="0"/>
                <w:sz w:val="19"/>
                <w:highlight w:val="none"/>
              </w:rPr>
              <w:t xml:space="preserve">项目运维负责人</w:t>
            </w:r>
            <w:r/>
          </w:p>
        </w:tc>
        <w:tc>
          <w:tcPr>
            <w:tcMar>
              <w:left w:w="100" w:type="dxa"/>
              <w:top w:w="80" w:type="dxa"/>
              <w:right w:w="100" w:type="dxa"/>
              <w:bottom w:w="80" w:type="dxa"/>
            </w:tcMar>
            <w:tcW w:w="7390" w:type="dxa"/>
            <w:vAlign w:val="center"/>
            <w:textDirection w:val="lrTb"/>
            <w:noWrap w:val="false"/>
          </w:tcPr>
          <w:p>
            <w:pPr>
              <w:ind w:left="0" w:right="0" w:firstLine="0"/>
              <w:jc w:val="left"/>
              <w:spacing w:after="0" w:line="240" w:lineRule="auto"/>
              <w:rPr>
                <w:rFonts w:ascii="宋体" w:eastAsia="宋体"/>
                <w:sz w:val="19"/>
                <w:highlight w:val="none"/>
              </w:rPr>
            </w:pPr>
            <w:r>
              <w:rPr>
                <w:rFonts w:ascii="宋体" w:hAnsi="宋体" w:eastAsia="宋体"/>
                <w:b w:val="0"/>
                <w:sz w:val="19"/>
                <w:highlight w:val="none"/>
              </w:rPr>
              <w:t xml:space="preserve">组织并复核精密空调、UPS主机、蓄电池组主控及配电设备每日不少于两次巡检；检查DLP大屏运行状态；安排维护人员和应急值班；跟踪报障、到场、修复及工单关闭；核对备件和耗材使用；签署《运维工作日志》。</w:t>
            </w:r>
            <w:r/>
          </w:p>
        </w:tc>
      </w:tr>
    </w:tbl>
    <w:p>
      <w:pPr>
        <w:spacing w:after="0"/>
        <w:widowControl/>
        <w:rPr>
          <w:highlight w:val="none"/>
        </w:rPr>
      </w:pPr>
      <w:r>
        <w:rPr>
          <w:highlight w:val="none"/>
        </w:rPr>
      </w:r>
      <w:r/>
    </w:p>
    <w:p>
      <w:pPr>
        <w:spacing w:after="0"/>
        <w:widowControl/>
        <w:rPr>
          <w:highlight w:val="none"/>
        </w:rPr>
      </w:pPr>
      <w:r>
        <w:rPr>
          <w:highlight w:val="none"/>
        </w:rPr>
      </w:r>
      <w:r/>
    </w:p>
    <w:p>
      <w:pPr>
        <w:ind w:firstLine="420"/>
        <w:pageBreakBefore w:val="0"/>
        <w:spacing w:line="360" w:lineRule="auto"/>
        <w:widowControl w:val="off"/>
        <w:rPr>
          <w:rFonts w:hint="eastAsia" w:ascii="宋体" w:hAnsi="宋体" w:cs="宋体"/>
          <w:b w:val="0"/>
          <w:bCs w:val="0"/>
          <w:szCs w:val="21"/>
          <w:highlight w:val="none"/>
          <w:lang w:val="en-US" w:eastAsia="zh-CN"/>
        </w:rPr>
      </w:pPr>
      <w:r>
        <w:rPr>
          <w:rFonts w:hint="eastAsia" w:ascii="宋体" w:hAnsi="宋体" w:cs="宋体"/>
          <w:b w:val="0"/>
          <w:bCs w:val="0"/>
          <w:szCs w:val="21"/>
          <w:highlight w:val="none"/>
          <w:lang w:val="en-US" w:eastAsia="zh-CN"/>
        </w:rPr>
        <w:t xml:space="preserve">（3）考勤打卡和履职证据</w:t>
      </w:r>
      <w:r/>
    </w:p>
    <w:p>
      <w:pPr>
        <w:ind w:firstLine="420"/>
        <w:pageBreakBefore w:val="0"/>
        <w:spacing w:line="360" w:lineRule="auto"/>
        <w:widowControl w:val="off"/>
        <w:rPr>
          <w:rFonts w:hint="eastAsia" w:ascii="宋体" w:hAnsi="宋体" w:cs="宋体"/>
          <w:b w:val="0"/>
          <w:bCs w:val="0"/>
          <w:szCs w:val="21"/>
          <w:highlight w:val="none"/>
        </w:rPr>
      </w:pPr>
      <w:r>
        <w:rPr>
          <w:rFonts w:hint="eastAsia" w:ascii="宋体" w:hAnsi="宋体" w:cs="宋体"/>
          <w:b w:val="0"/>
          <w:bCs w:val="0"/>
          <w:szCs w:val="21"/>
          <w:highlight w:val="none"/>
          <w:lang w:val="en-US" w:eastAsia="zh-CN"/>
        </w:rPr>
        <w:t xml:space="preserve">3</w:t>
      </w:r>
      <w:r>
        <w:rPr>
          <w:rFonts w:hint="eastAsia" w:ascii="宋体" w:hAnsi="宋体" w:cs="宋体"/>
          <w:b w:val="0"/>
          <w:bCs w:val="0"/>
          <w:szCs w:val="21"/>
          <w:highlight w:val="none"/>
        </w:rPr>
        <w:t xml:space="preserve">.1 三名核心管理人员应使用采购人认可的信息化考勤系统，在采购人指定的项目服务地点进行上、下班打卡。上班打卡有效时段为8:45至9:00，下班打卡有效时段为17:00至17:15。</w:t>
      </w:r>
      <w:r/>
    </w:p>
    <w:p>
      <w:pPr>
        <w:ind w:firstLine="420"/>
        <w:pageBreakBefore w:val="0"/>
        <w:spacing w:line="360" w:lineRule="auto"/>
        <w:widowControl w:val="off"/>
        <w:rPr>
          <w:rFonts w:hint="eastAsia" w:ascii="宋体" w:hAnsi="宋体" w:cs="宋体"/>
          <w:b w:val="0"/>
          <w:bCs w:val="0"/>
          <w:strike/>
          <w:szCs w:val="21"/>
          <w:highlight w:val="none"/>
        </w:rPr>
      </w:pPr>
      <w:r>
        <w:rPr>
          <w:rFonts w:hint="eastAsia" w:ascii="宋体" w:hAnsi="宋体" w:cs="宋体"/>
          <w:b w:val="0"/>
          <w:bCs w:val="0"/>
          <w:szCs w:val="21"/>
          <w:highlight w:val="none"/>
          <w:lang w:val="en-US" w:eastAsia="zh-CN"/>
        </w:rPr>
        <w:t xml:space="preserve">3</w:t>
      </w:r>
      <w:r>
        <w:rPr>
          <w:rFonts w:hint="eastAsia" w:ascii="宋体" w:hAnsi="宋体" w:cs="宋体"/>
          <w:b w:val="0"/>
          <w:bCs w:val="0"/>
          <w:szCs w:val="21"/>
          <w:highlight w:val="none"/>
        </w:rPr>
        <w:t xml:space="preserve">.2 采购人有权结合考勤定位、门禁记录、视频监控、工作日志、现场照片、工单记录、会议签到和随机现场检查等资料核验实际在岗情况。</w:t>
      </w:r>
      <w:r/>
    </w:p>
    <w:p>
      <w:pPr>
        <w:ind w:firstLine="420"/>
        <w:pageBreakBefore w:val="0"/>
        <w:spacing w:line="360" w:lineRule="auto"/>
        <w:widowControl w:val="off"/>
        <w:rPr>
          <w:rFonts w:hint="eastAsia" w:ascii="宋体" w:hAnsi="宋体" w:cs="宋体"/>
          <w:b w:val="0"/>
          <w:bCs w:val="0"/>
          <w:szCs w:val="21"/>
          <w:highlight w:val="none"/>
        </w:rPr>
      </w:pPr>
      <w:r>
        <w:rPr>
          <w:rFonts w:hint="eastAsia" w:ascii="宋体" w:hAnsi="宋体" w:cs="宋体"/>
          <w:b w:val="0"/>
          <w:bCs w:val="0"/>
          <w:szCs w:val="21"/>
          <w:highlight w:val="none"/>
          <w:lang w:val="en-US" w:eastAsia="zh-CN"/>
        </w:rPr>
        <w:t xml:space="preserve">3</w:t>
      </w:r>
      <w:r>
        <w:rPr>
          <w:rFonts w:hint="eastAsia" w:ascii="宋体" w:hAnsi="宋体" w:cs="宋体"/>
          <w:b w:val="0"/>
          <w:bCs w:val="0"/>
          <w:szCs w:val="21"/>
          <w:highlight w:val="none"/>
        </w:rPr>
        <w:t xml:space="preserve">.3 因项目需要外出采购备件、设备送修、参加项目会议或开展其他现场工作，应事先取得采购人同意，并提交外出审批、工作照片、交通或维修单据等证明；经采购人确认后可视为正常出勤。</w:t>
      </w:r>
      <w:r/>
    </w:p>
    <w:p>
      <w:pPr>
        <w:ind w:firstLine="420"/>
        <w:pageBreakBefore w:val="0"/>
        <w:spacing w:line="360" w:lineRule="auto"/>
        <w:widowControl w:val="off"/>
        <w:rPr>
          <w:rFonts w:hint="eastAsia" w:ascii="宋体" w:hAnsi="宋体" w:cs="宋体"/>
          <w:b w:val="0"/>
          <w:bCs w:val="0"/>
          <w:szCs w:val="21"/>
          <w:highlight w:val="none"/>
        </w:rPr>
      </w:pPr>
      <w:r>
        <w:rPr>
          <w:rFonts w:hint="eastAsia" w:ascii="宋体" w:hAnsi="宋体" w:cs="宋体"/>
          <w:b w:val="0"/>
          <w:bCs w:val="0"/>
          <w:szCs w:val="21"/>
          <w:highlight w:val="none"/>
          <w:lang w:val="en-US" w:eastAsia="zh-CN"/>
        </w:rPr>
        <w:t xml:space="preserve">3</w:t>
      </w:r>
      <w:r>
        <w:rPr>
          <w:rFonts w:hint="eastAsia" w:ascii="宋体" w:hAnsi="宋体" w:cs="宋体"/>
          <w:b w:val="0"/>
          <w:bCs w:val="0"/>
          <w:szCs w:val="21"/>
          <w:highlight w:val="none"/>
        </w:rPr>
        <w:t xml:space="preserve">.4 请假应履行书面审批手续并安排符合相应岗位要求的临时替岗人员。突发疾病或紧急情况应在1小时内报告，并于事后2个工作日内补交证明。三名核心管理人员原则上不得同时有两人请假。</w:t>
      </w:r>
      <w:r/>
    </w:p>
    <w:p>
      <w:pPr>
        <w:ind w:firstLine="420"/>
        <w:pageBreakBefore w:val="0"/>
        <w:spacing w:line="360" w:lineRule="auto"/>
        <w:widowControl w:val="off"/>
        <w:rPr>
          <w:rFonts w:hint="eastAsia" w:ascii="宋体" w:hAnsi="宋体" w:cs="宋体"/>
          <w:b w:val="0"/>
          <w:bCs w:val="0"/>
          <w:szCs w:val="21"/>
          <w:highlight w:val="none"/>
        </w:rPr>
      </w:pPr>
      <w:r>
        <w:rPr>
          <w:rFonts w:hint="eastAsia" w:ascii="宋体" w:hAnsi="宋体" w:cs="宋体"/>
          <w:b w:val="0"/>
          <w:bCs w:val="0"/>
          <w:szCs w:val="21"/>
          <w:highlight w:val="none"/>
          <w:lang w:val="en-US" w:eastAsia="zh-CN"/>
        </w:rPr>
        <w:t xml:space="preserve">3</w:t>
      </w:r>
      <w:r>
        <w:rPr>
          <w:rFonts w:hint="eastAsia" w:ascii="宋体" w:hAnsi="宋体" w:cs="宋体"/>
          <w:b w:val="0"/>
          <w:bCs w:val="0"/>
          <w:szCs w:val="21"/>
          <w:highlight w:val="none"/>
        </w:rPr>
        <w:t xml:space="preserve">.5 漏打卡但能通过门禁、工单、会议和现场资料证明正常在岗履职的，按考勤记录不规范处理；不能证明实际在岗的，按迟到、早退或缺勤处理。</w:t>
      </w:r>
      <w:r/>
    </w:p>
    <w:p>
      <w:pPr>
        <w:ind w:firstLine="420"/>
        <w:pageBreakBefore w:val="0"/>
        <w:spacing w:line="360" w:lineRule="auto"/>
        <w:widowControl w:val="off"/>
        <w:rPr>
          <w:rFonts w:hint="eastAsia" w:ascii="宋体" w:hAnsi="宋体" w:cs="宋体"/>
          <w:b w:val="0"/>
          <w:bCs w:val="0"/>
          <w:szCs w:val="21"/>
          <w:highlight w:val="none"/>
          <w:lang w:val="en-US" w:eastAsia="zh-CN"/>
        </w:rPr>
      </w:pPr>
      <w:r>
        <w:rPr>
          <w:rFonts w:hint="eastAsia" w:ascii="宋体" w:hAnsi="宋体" w:cs="宋体"/>
          <w:b w:val="0"/>
          <w:bCs w:val="0"/>
          <w:szCs w:val="21"/>
          <w:highlight w:val="none"/>
          <w:lang w:val="en-US" w:eastAsia="zh-CN"/>
        </w:rPr>
        <w:t xml:space="preserve">（4）考勤及履职考核标准</w:t>
      </w:r>
      <w:r/>
    </w:p>
    <w:tbl>
      <w:tblPr>
        <w:tblStyle w:val="735"/>
        <w:tblW w:w="84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4558"/>
      </w:tblGrid>
      <w:tr>
        <w:trPr>
          <w:jc w:val="center"/>
          <w:trHeight w:val="23"/>
          <w:tblHeader/>
        </w:trPr>
        <w:tc>
          <w:tcPr>
            <w:shd w:val="clear" w:color="auto" w:fill="auto"/>
            <w:tcMar>
              <w:left w:w="100" w:type="dxa"/>
              <w:top w:w="80" w:type="dxa"/>
              <w:right w:w="100" w:type="dxa"/>
              <w:bottom w:w="80" w:type="dxa"/>
            </w:tcMar>
            <w:tcW w:w="3901" w:type="dxa"/>
            <w:vAlign w:val="center"/>
            <w:textDirection w:val="lrTb"/>
            <w:noWrap w:val="false"/>
          </w:tcPr>
          <w:p>
            <w:pPr>
              <w:jc w:val="center"/>
              <w:spacing w:after="0" w:line="276" w:lineRule="auto"/>
              <w:rPr>
                <w:highlight w:val="none"/>
              </w:rPr>
            </w:pPr>
            <w:r>
              <w:rPr>
                <w:rFonts w:ascii="宋体" w:hAnsi="宋体" w:eastAsia="宋体"/>
                <w:b/>
                <w:sz w:val="18"/>
                <w:highlight w:val="none"/>
              </w:rPr>
              <w:t xml:space="preserve">违约情形</w:t>
            </w:r>
            <w:r/>
          </w:p>
        </w:tc>
        <w:tc>
          <w:tcPr>
            <w:shd w:val="clear" w:color="auto" w:fill="auto"/>
            <w:tcMar>
              <w:left w:w="100" w:type="dxa"/>
              <w:top w:w="80" w:type="dxa"/>
              <w:right w:w="100" w:type="dxa"/>
              <w:bottom w:w="80" w:type="dxa"/>
            </w:tcMar>
            <w:tcW w:w="4558" w:type="dxa"/>
            <w:vAlign w:val="center"/>
            <w:textDirection w:val="lrTb"/>
            <w:noWrap w:val="false"/>
          </w:tcPr>
          <w:p>
            <w:pPr>
              <w:jc w:val="center"/>
              <w:spacing w:after="0" w:line="276" w:lineRule="auto"/>
              <w:rPr>
                <w:highlight w:val="none"/>
              </w:rPr>
            </w:pPr>
            <w:r>
              <w:rPr>
                <w:rFonts w:ascii="宋体" w:hAnsi="宋体" w:eastAsia="宋体"/>
                <w:b/>
                <w:sz w:val="18"/>
                <w:highlight w:val="none"/>
              </w:rPr>
              <w:t xml:space="preserve">考核及责任</w:t>
            </w:r>
            <w:r/>
          </w:p>
        </w:tc>
      </w:tr>
      <w:tr>
        <w:trPr>
          <w:jc w:val="center"/>
          <w:trHeight w:val="23"/>
        </w:trPr>
        <w:tc>
          <w:tcPr>
            <w:tcMar>
              <w:left w:w="100" w:type="dxa"/>
              <w:top w:w="80" w:type="dxa"/>
              <w:right w:w="100" w:type="dxa"/>
              <w:bottom w:w="80" w:type="dxa"/>
            </w:tcMar>
            <w:tcW w:w="3901" w:type="dxa"/>
            <w:vAlign w:val="center"/>
            <w:textDirection w:val="lrTb"/>
            <w:noWrap w:val="false"/>
          </w:tcPr>
          <w:p>
            <w:pPr>
              <w:jc w:val="left"/>
              <w:spacing w:after="0" w:line="276" w:lineRule="auto"/>
              <w:rPr>
                <w:highlight w:val="none"/>
              </w:rPr>
            </w:pPr>
            <w:r>
              <w:rPr>
                <w:rFonts w:ascii="宋体" w:hAnsi="宋体" w:eastAsia="宋体"/>
                <w:b w:val="0"/>
                <w:sz w:val="18"/>
                <w:highlight w:val="none"/>
              </w:rPr>
              <w:t xml:space="preserve">迟到、早退不超过30分钟</w:t>
            </w:r>
            <w:r/>
          </w:p>
        </w:tc>
        <w:tc>
          <w:tcPr>
            <w:tcMar>
              <w:left w:w="100" w:type="dxa"/>
              <w:top w:w="80" w:type="dxa"/>
              <w:right w:w="100" w:type="dxa"/>
              <w:bottom w:w="80" w:type="dxa"/>
            </w:tcMar>
            <w:tcW w:w="4558" w:type="dxa"/>
            <w:vAlign w:val="center"/>
            <w:textDirection w:val="lrTb"/>
            <w:noWrap w:val="false"/>
          </w:tcPr>
          <w:p>
            <w:pPr>
              <w:jc w:val="left"/>
              <w:spacing w:after="0" w:line="276" w:lineRule="auto"/>
              <w:rPr>
                <w:highlight w:val="none"/>
              </w:rPr>
            </w:pPr>
            <w:r>
              <w:rPr>
                <w:rFonts w:ascii="宋体" w:hAnsi="宋体" w:eastAsia="宋体"/>
                <w:b w:val="0"/>
                <w:sz w:val="18"/>
                <w:highlight w:val="none"/>
              </w:rPr>
              <w:t xml:space="preserve">每人每次考核扣款</w:t>
            </w:r>
            <w:r>
              <w:rPr>
                <w:rFonts w:hint="eastAsia"/>
                <w:b w:val="0"/>
                <w:sz w:val="18"/>
                <w:highlight w:val="none"/>
                <w:lang w:val="en-US" w:eastAsia="zh-CN"/>
              </w:rPr>
              <w:t xml:space="preserve">10</w:t>
            </w:r>
            <w:r>
              <w:rPr>
                <w:rFonts w:ascii="宋体" w:hAnsi="宋体" w:eastAsia="宋体"/>
                <w:b w:val="0"/>
                <w:sz w:val="18"/>
                <w:highlight w:val="none"/>
              </w:rPr>
              <w:t xml:space="preserve">00元；同一人员当月第3次起，每次追加</w:t>
            </w:r>
            <w:r>
              <w:rPr>
                <w:rFonts w:hint="eastAsia"/>
                <w:b w:val="0"/>
                <w:sz w:val="18"/>
                <w:highlight w:val="none"/>
                <w:lang w:val="en-US" w:eastAsia="zh-CN"/>
              </w:rPr>
              <w:t xml:space="preserve">10</w:t>
            </w:r>
            <w:r>
              <w:rPr>
                <w:rFonts w:ascii="宋体" w:hAnsi="宋体" w:eastAsia="宋体"/>
                <w:b w:val="0"/>
                <w:sz w:val="18"/>
                <w:highlight w:val="none"/>
              </w:rPr>
              <w:t xml:space="preserve">00元。</w:t>
            </w:r>
            <w:r/>
          </w:p>
        </w:tc>
      </w:tr>
      <w:tr>
        <w:trPr>
          <w:jc w:val="center"/>
          <w:trHeight w:val="23"/>
        </w:trPr>
        <w:tc>
          <w:tcPr>
            <w:tcMar>
              <w:left w:w="100" w:type="dxa"/>
              <w:top w:w="80" w:type="dxa"/>
              <w:right w:w="100" w:type="dxa"/>
              <w:bottom w:w="80" w:type="dxa"/>
            </w:tcMar>
            <w:tcW w:w="3901" w:type="dxa"/>
            <w:vAlign w:val="center"/>
            <w:textDirection w:val="lrTb"/>
            <w:noWrap w:val="false"/>
          </w:tcPr>
          <w:p>
            <w:pPr>
              <w:jc w:val="left"/>
              <w:spacing w:after="0" w:line="276" w:lineRule="auto"/>
              <w:rPr>
                <w:highlight w:val="none"/>
              </w:rPr>
            </w:pPr>
            <w:r>
              <w:rPr>
                <w:rFonts w:ascii="宋体" w:hAnsi="宋体" w:eastAsia="宋体"/>
                <w:b w:val="0"/>
                <w:sz w:val="18"/>
                <w:highlight w:val="none"/>
              </w:rPr>
              <w:t xml:space="preserve">迟到、早退超过30分钟、不超过1小时</w:t>
            </w:r>
            <w:r/>
          </w:p>
        </w:tc>
        <w:tc>
          <w:tcPr>
            <w:tcMar>
              <w:left w:w="100" w:type="dxa"/>
              <w:top w:w="80" w:type="dxa"/>
              <w:right w:w="100" w:type="dxa"/>
              <w:bottom w:w="80" w:type="dxa"/>
            </w:tcMar>
            <w:tcW w:w="4558" w:type="dxa"/>
            <w:vAlign w:val="center"/>
            <w:textDirection w:val="lrTb"/>
            <w:noWrap w:val="false"/>
          </w:tcPr>
          <w:p>
            <w:pPr>
              <w:jc w:val="left"/>
              <w:spacing w:after="0" w:line="276" w:lineRule="auto"/>
              <w:rPr>
                <w:highlight w:val="none"/>
              </w:rPr>
            </w:pPr>
            <w:r>
              <w:rPr>
                <w:rFonts w:ascii="宋体" w:hAnsi="宋体" w:eastAsia="宋体"/>
                <w:b w:val="0"/>
                <w:sz w:val="18"/>
                <w:highlight w:val="none"/>
              </w:rPr>
              <w:t xml:space="preserve">每人每次考核扣款</w:t>
            </w:r>
            <w:r>
              <w:rPr>
                <w:rFonts w:hint="eastAsia"/>
                <w:b w:val="0"/>
                <w:sz w:val="18"/>
                <w:highlight w:val="none"/>
                <w:lang w:val="en-US" w:eastAsia="zh-CN"/>
              </w:rPr>
              <w:t xml:space="preserve">2</w:t>
            </w:r>
            <w:r>
              <w:rPr>
                <w:rFonts w:ascii="宋体" w:hAnsi="宋体" w:eastAsia="宋体"/>
                <w:b w:val="0"/>
                <w:sz w:val="18"/>
                <w:highlight w:val="none"/>
              </w:rPr>
              <w:t xml:space="preserve">000元。</w:t>
            </w:r>
            <w:r/>
          </w:p>
        </w:tc>
      </w:tr>
      <w:tr>
        <w:trPr>
          <w:jc w:val="center"/>
          <w:trHeight w:val="23"/>
        </w:trPr>
        <w:tc>
          <w:tcPr>
            <w:tcMar>
              <w:left w:w="100" w:type="dxa"/>
              <w:top w:w="80" w:type="dxa"/>
              <w:right w:w="100" w:type="dxa"/>
              <w:bottom w:w="80" w:type="dxa"/>
            </w:tcMar>
            <w:tcW w:w="3901" w:type="dxa"/>
            <w:vAlign w:val="center"/>
            <w:textDirection w:val="lrTb"/>
            <w:noWrap w:val="false"/>
          </w:tcPr>
          <w:p>
            <w:pPr>
              <w:jc w:val="left"/>
              <w:spacing w:after="0" w:line="276" w:lineRule="auto"/>
              <w:rPr>
                <w:highlight w:val="none"/>
              </w:rPr>
            </w:pPr>
            <w:r>
              <w:rPr>
                <w:rFonts w:ascii="宋体" w:hAnsi="宋体" w:eastAsia="宋体"/>
                <w:b w:val="0"/>
                <w:sz w:val="18"/>
                <w:highlight w:val="none"/>
              </w:rPr>
              <w:t xml:space="preserve">迟到、早退超过1小时或无故离岗1至4小时</w:t>
            </w:r>
            <w:r/>
          </w:p>
        </w:tc>
        <w:tc>
          <w:tcPr>
            <w:tcMar>
              <w:left w:w="100" w:type="dxa"/>
              <w:top w:w="80" w:type="dxa"/>
              <w:right w:w="100" w:type="dxa"/>
              <w:bottom w:w="80" w:type="dxa"/>
            </w:tcMar>
            <w:tcW w:w="4558" w:type="dxa"/>
            <w:vAlign w:val="center"/>
            <w:textDirection w:val="lrTb"/>
            <w:noWrap w:val="false"/>
          </w:tcPr>
          <w:p>
            <w:pPr>
              <w:jc w:val="left"/>
              <w:spacing w:after="0" w:line="276" w:lineRule="auto"/>
              <w:rPr>
                <w:highlight w:val="none"/>
              </w:rPr>
            </w:pPr>
            <w:r>
              <w:rPr>
                <w:rFonts w:ascii="宋体" w:hAnsi="宋体" w:eastAsia="宋体"/>
                <w:b w:val="0"/>
                <w:sz w:val="18"/>
                <w:highlight w:val="none"/>
              </w:rPr>
              <w:t xml:space="preserve">按无故缺勤半天处理，每人每次考核扣款</w:t>
            </w:r>
            <w:r>
              <w:rPr>
                <w:rFonts w:hint="eastAsia"/>
                <w:b w:val="0"/>
                <w:sz w:val="18"/>
                <w:highlight w:val="none"/>
                <w:lang w:val="en-US" w:eastAsia="zh-CN"/>
              </w:rPr>
              <w:t xml:space="preserve">3</w:t>
            </w:r>
            <w:r>
              <w:rPr>
                <w:rFonts w:ascii="宋体" w:hAnsi="宋体" w:eastAsia="宋体"/>
                <w:b w:val="0"/>
                <w:sz w:val="18"/>
                <w:highlight w:val="none"/>
              </w:rPr>
              <w:t xml:space="preserve">000元。</w:t>
            </w:r>
            <w:r/>
          </w:p>
        </w:tc>
      </w:tr>
      <w:tr>
        <w:trPr>
          <w:jc w:val="center"/>
          <w:trHeight w:val="23"/>
        </w:trPr>
        <w:tc>
          <w:tcPr>
            <w:tcMar>
              <w:left w:w="100" w:type="dxa"/>
              <w:top w:w="80" w:type="dxa"/>
              <w:right w:w="100" w:type="dxa"/>
              <w:bottom w:w="80" w:type="dxa"/>
            </w:tcMar>
            <w:tcW w:w="3901" w:type="dxa"/>
            <w:vAlign w:val="center"/>
            <w:textDirection w:val="lrTb"/>
            <w:noWrap w:val="false"/>
          </w:tcPr>
          <w:p>
            <w:pPr>
              <w:jc w:val="left"/>
              <w:spacing w:after="0" w:line="276" w:lineRule="auto"/>
              <w:rPr>
                <w:highlight w:val="none"/>
              </w:rPr>
            </w:pPr>
            <w:r>
              <w:rPr>
                <w:rFonts w:ascii="宋体" w:hAnsi="宋体" w:eastAsia="宋体"/>
                <w:b w:val="0"/>
                <w:sz w:val="18"/>
                <w:highlight w:val="none"/>
              </w:rPr>
              <w:t xml:space="preserve">无故缺勤4小时以上</w:t>
            </w:r>
            <w:r/>
          </w:p>
        </w:tc>
        <w:tc>
          <w:tcPr>
            <w:tcMar>
              <w:left w:w="100" w:type="dxa"/>
              <w:top w:w="80" w:type="dxa"/>
              <w:right w:w="100" w:type="dxa"/>
              <w:bottom w:w="80" w:type="dxa"/>
            </w:tcMar>
            <w:tcW w:w="4558" w:type="dxa"/>
            <w:vAlign w:val="center"/>
            <w:textDirection w:val="lrTb"/>
            <w:noWrap w:val="false"/>
          </w:tcPr>
          <w:p>
            <w:pPr>
              <w:jc w:val="left"/>
              <w:spacing w:after="0" w:line="276" w:lineRule="auto"/>
              <w:rPr>
                <w:highlight w:val="none"/>
              </w:rPr>
            </w:pPr>
            <w:r>
              <w:rPr>
                <w:rFonts w:ascii="宋体" w:hAnsi="宋体" w:eastAsia="宋体"/>
                <w:b w:val="0"/>
                <w:sz w:val="18"/>
                <w:highlight w:val="none"/>
              </w:rPr>
              <w:t xml:space="preserve">按无故缺勤1天处理，每人每日考核扣款</w:t>
            </w:r>
            <w:r>
              <w:rPr>
                <w:rFonts w:hint="eastAsia"/>
                <w:b w:val="0"/>
                <w:sz w:val="18"/>
                <w:highlight w:val="none"/>
                <w:lang w:val="en-US" w:eastAsia="zh-CN"/>
              </w:rPr>
              <w:t xml:space="preserve">5</w:t>
            </w:r>
            <w:r>
              <w:rPr>
                <w:rFonts w:ascii="宋体" w:hAnsi="宋体" w:eastAsia="宋体"/>
                <w:b w:val="0"/>
                <w:sz w:val="18"/>
                <w:highlight w:val="none"/>
              </w:rPr>
              <w:t xml:space="preserve">000元。</w:t>
            </w:r>
            <w:r/>
          </w:p>
        </w:tc>
      </w:tr>
      <w:tr>
        <w:trPr>
          <w:jc w:val="center"/>
          <w:trHeight w:val="23"/>
        </w:trPr>
        <w:tc>
          <w:tcPr>
            <w:tcMar>
              <w:left w:w="100" w:type="dxa"/>
              <w:top w:w="80" w:type="dxa"/>
              <w:right w:w="100" w:type="dxa"/>
              <w:bottom w:w="80" w:type="dxa"/>
            </w:tcMar>
            <w:tcW w:w="3901" w:type="dxa"/>
            <w:vAlign w:val="center"/>
            <w:textDirection w:val="lrTb"/>
            <w:noWrap w:val="false"/>
          </w:tcPr>
          <w:p>
            <w:pPr>
              <w:jc w:val="left"/>
              <w:spacing w:after="0" w:line="276" w:lineRule="auto"/>
              <w:rPr>
                <w:highlight w:val="none"/>
              </w:rPr>
            </w:pPr>
            <w:r>
              <w:rPr>
                <w:rFonts w:ascii="宋体" w:hAnsi="宋体" w:eastAsia="宋体"/>
                <w:b w:val="0"/>
                <w:sz w:val="18"/>
                <w:highlight w:val="none"/>
              </w:rPr>
              <w:t xml:space="preserve">两名及以上核心人员同时无故缺勤</w:t>
            </w:r>
            <w:r/>
          </w:p>
        </w:tc>
        <w:tc>
          <w:tcPr>
            <w:tcMar>
              <w:left w:w="100" w:type="dxa"/>
              <w:top w:w="80" w:type="dxa"/>
              <w:right w:w="100" w:type="dxa"/>
              <w:bottom w:w="80" w:type="dxa"/>
            </w:tcMar>
            <w:tcW w:w="4558" w:type="dxa"/>
            <w:vAlign w:val="center"/>
            <w:textDirection w:val="lrTb"/>
            <w:noWrap w:val="false"/>
          </w:tcPr>
          <w:p>
            <w:pPr>
              <w:jc w:val="left"/>
              <w:spacing w:after="0" w:line="276" w:lineRule="auto"/>
              <w:rPr>
                <w:highlight w:val="none"/>
              </w:rPr>
            </w:pPr>
            <w:r>
              <w:rPr>
                <w:rFonts w:ascii="宋体" w:hAnsi="宋体" w:eastAsia="宋体"/>
                <w:b w:val="0"/>
                <w:sz w:val="18"/>
                <w:highlight w:val="none"/>
              </w:rPr>
              <w:t xml:space="preserve">除分别按缺勤处理外，每次追加考核扣款10000元，并列入严重履约问题。</w:t>
            </w:r>
            <w:r/>
          </w:p>
        </w:tc>
      </w:tr>
      <w:tr>
        <w:trPr>
          <w:jc w:val="center"/>
          <w:trHeight w:val="23"/>
        </w:trPr>
        <w:tc>
          <w:tcPr>
            <w:tcMar>
              <w:left w:w="100" w:type="dxa"/>
              <w:top w:w="80" w:type="dxa"/>
              <w:right w:w="100" w:type="dxa"/>
              <w:bottom w:w="80" w:type="dxa"/>
            </w:tcMar>
            <w:tcW w:w="3901" w:type="dxa"/>
            <w:vAlign w:val="center"/>
            <w:textDirection w:val="lrTb"/>
            <w:noWrap w:val="false"/>
          </w:tcPr>
          <w:p>
            <w:pPr>
              <w:jc w:val="left"/>
              <w:spacing w:after="0" w:line="276" w:lineRule="auto"/>
              <w:rPr>
                <w:highlight w:val="none"/>
              </w:rPr>
            </w:pPr>
            <w:r>
              <w:rPr>
                <w:rFonts w:ascii="宋体" w:hAnsi="宋体" w:eastAsia="宋体"/>
                <w:b w:val="0"/>
                <w:sz w:val="18"/>
                <w:highlight w:val="none"/>
              </w:rPr>
              <w:t xml:space="preserve">同一人员当月累计无故缺勤达到2天</w:t>
            </w:r>
            <w:r/>
          </w:p>
        </w:tc>
        <w:tc>
          <w:tcPr>
            <w:tcMar>
              <w:left w:w="100" w:type="dxa"/>
              <w:top w:w="80" w:type="dxa"/>
              <w:right w:w="100" w:type="dxa"/>
              <w:bottom w:w="80" w:type="dxa"/>
            </w:tcMar>
            <w:tcW w:w="4558" w:type="dxa"/>
            <w:vAlign w:val="center"/>
            <w:textDirection w:val="lrTb"/>
            <w:noWrap w:val="false"/>
          </w:tcPr>
          <w:p>
            <w:pPr>
              <w:jc w:val="left"/>
              <w:spacing w:after="0" w:line="276" w:lineRule="auto"/>
              <w:rPr>
                <w:highlight w:val="none"/>
              </w:rPr>
            </w:pPr>
            <w:r>
              <w:rPr>
                <w:rFonts w:ascii="宋体" w:hAnsi="宋体" w:eastAsia="宋体"/>
                <w:b w:val="0"/>
                <w:sz w:val="18"/>
                <w:highlight w:val="none"/>
              </w:rPr>
              <w:t xml:space="preserve">追加考核扣款10000元，成交供应商提交专项整改报告；该人员当月专项考核不合格。</w:t>
            </w:r>
            <w:r/>
          </w:p>
        </w:tc>
      </w:tr>
      <w:tr>
        <w:trPr>
          <w:jc w:val="center"/>
          <w:trHeight w:val="23"/>
        </w:trPr>
        <w:tc>
          <w:tcPr>
            <w:tcMar>
              <w:left w:w="100" w:type="dxa"/>
              <w:top w:w="80" w:type="dxa"/>
              <w:right w:w="100" w:type="dxa"/>
              <w:bottom w:w="80" w:type="dxa"/>
            </w:tcMar>
            <w:tcW w:w="3901" w:type="dxa"/>
            <w:vAlign w:val="center"/>
            <w:textDirection w:val="lrTb"/>
            <w:noWrap w:val="false"/>
          </w:tcPr>
          <w:p>
            <w:pPr>
              <w:jc w:val="left"/>
              <w:spacing w:after="0" w:line="276" w:lineRule="auto"/>
              <w:rPr>
                <w:highlight w:val="none"/>
              </w:rPr>
            </w:pPr>
            <w:r>
              <w:rPr>
                <w:rFonts w:ascii="宋体" w:hAnsi="宋体" w:eastAsia="宋体"/>
                <w:b w:val="0"/>
                <w:sz w:val="18"/>
                <w:highlight w:val="none"/>
              </w:rPr>
              <w:t xml:space="preserve">同一人员当月累计无故缺勤达到3天</w:t>
            </w:r>
            <w:r/>
          </w:p>
        </w:tc>
        <w:tc>
          <w:tcPr>
            <w:tcMar>
              <w:left w:w="100" w:type="dxa"/>
              <w:top w:w="80" w:type="dxa"/>
              <w:right w:w="100" w:type="dxa"/>
              <w:bottom w:w="80" w:type="dxa"/>
            </w:tcMar>
            <w:tcW w:w="4558" w:type="dxa"/>
            <w:vAlign w:val="center"/>
            <w:textDirection w:val="lrTb"/>
            <w:noWrap w:val="false"/>
          </w:tcPr>
          <w:p>
            <w:pPr>
              <w:jc w:val="left"/>
              <w:spacing w:after="0" w:line="276" w:lineRule="auto"/>
              <w:rPr>
                <w:highlight w:val="none"/>
              </w:rPr>
            </w:pPr>
            <w:r>
              <w:rPr>
                <w:rFonts w:ascii="宋体" w:hAnsi="宋体" w:eastAsia="宋体"/>
                <w:b w:val="0"/>
                <w:sz w:val="18"/>
                <w:highlight w:val="none"/>
              </w:rPr>
              <w:t xml:space="preserve">采购人有权要求更换该人员，并按人员更换条款继续处理。</w:t>
            </w:r>
            <w:r/>
          </w:p>
        </w:tc>
      </w:tr>
      <w:tr>
        <w:trPr>
          <w:jc w:val="center"/>
          <w:trHeight w:val="23"/>
        </w:trPr>
        <w:tc>
          <w:tcPr>
            <w:tcMar>
              <w:left w:w="100" w:type="dxa"/>
              <w:top w:w="80" w:type="dxa"/>
              <w:right w:w="100" w:type="dxa"/>
              <w:bottom w:w="80" w:type="dxa"/>
            </w:tcMar>
            <w:tcW w:w="3901" w:type="dxa"/>
            <w:vAlign w:val="center"/>
            <w:textDirection w:val="lrTb"/>
            <w:noWrap w:val="false"/>
          </w:tcPr>
          <w:p>
            <w:pPr>
              <w:jc w:val="left"/>
              <w:spacing w:after="0" w:line="276" w:lineRule="auto"/>
              <w:rPr>
                <w:highlight w:val="none"/>
              </w:rPr>
            </w:pPr>
            <w:r>
              <w:rPr>
                <w:rFonts w:ascii="宋体" w:hAnsi="宋体" w:eastAsia="宋体"/>
                <w:b w:val="0"/>
                <w:sz w:val="18"/>
                <w:highlight w:val="none"/>
              </w:rPr>
              <w:t xml:space="preserve">未提交或迟交日、周、月计划和报告</w:t>
            </w:r>
            <w:r/>
          </w:p>
        </w:tc>
        <w:tc>
          <w:tcPr>
            <w:tcMar>
              <w:left w:w="100" w:type="dxa"/>
              <w:top w:w="80" w:type="dxa"/>
              <w:right w:w="100" w:type="dxa"/>
              <w:bottom w:w="80" w:type="dxa"/>
            </w:tcMar>
            <w:tcW w:w="4558" w:type="dxa"/>
            <w:vAlign w:val="center"/>
            <w:textDirection w:val="lrTb"/>
            <w:noWrap w:val="false"/>
          </w:tcPr>
          <w:p>
            <w:pPr>
              <w:jc w:val="left"/>
              <w:spacing w:after="0" w:line="276" w:lineRule="auto"/>
              <w:rPr>
                <w:highlight w:val="none"/>
              </w:rPr>
            </w:pPr>
            <w:r>
              <w:rPr>
                <w:rFonts w:ascii="宋体" w:hAnsi="宋体" w:eastAsia="宋体"/>
                <w:b w:val="0"/>
                <w:sz w:val="18"/>
                <w:highlight w:val="none"/>
              </w:rPr>
              <w:t xml:space="preserve">日工作日志每缺1份扣款</w:t>
            </w:r>
            <w:r>
              <w:rPr>
                <w:rFonts w:hint="eastAsia"/>
                <w:b w:val="0"/>
                <w:sz w:val="18"/>
                <w:highlight w:val="none"/>
                <w:lang w:val="en-US" w:eastAsia="zh-CN"/>
              </w:rPr>
              <w:t xml:space="preserve">10</w:t>
            </w:r>
            <w:r>
              <w:rPr>
                <w:rFonts w:ascii="宋体" w:hAnsi="宋体" w:eastAsia="宋体"/>
                <w:b w:val="0"/>
                <w:sz w:val="18"/>
                <w:highlight w:val="none"/>
              </w:rPr>
              <w:t xml:space="preserve">00元；周计划或周报每缺1份扣款</w:t>
            </w:r>
            <w:r>
              <w:rPr>
                <w:rFonts w:hint="eastAsia"/>
                <w:b w:val="0"/>
                <w:sz w:val="18"/>
                <w:highlight w:val="none"/>
                <w:lang w:val="en-US" w:eastAsia="zh-CN"/>
              </w:rPr>
              <w:t xml:space="preserve">2</w:t>
            </w:r>
            <w:r>
              <w:rPr>
                <w:rFonts w:ascii="宋体" w:hAnsi="宋体" w:eastAsia="宋体"/>
                <w:b w:val="0"/>
                <w:sz w:val="18"/>
                <w:highlight w:val="none"/>
              </w:rPr>
              <w:t xml:space="preserve">000元；月度报告每缺1份扣款</w:t>
            </w:r>
            <w:r>
              <w:rPr>
                <w:rFonts w:hint="eastAsia"/>
                <w:b w:val="0"/>
                <w:sz w:val="18"/>
                <w:highlight w:val="none"/>
                <w:lang w:val="en-US" w:eastAsia="zh-CN"/>
              </w:rPr>
              <w:t xml:space="preserve">6</w:t>
            </w:r>
            <w:r>
              <w:rPr>
                <w:rFonts w:ascii="宋体" w:hAnsi="宋体" w:eastAsia="宋体"/>
                <w:b w:val="0"/>
                <w:sz w:val="18"/>
                <w:highlight w:val="none"/>
              </w:rPr>
              <w:t xml:space="preserve">000元。</w:t>
            </w:r>
            <w:r/>
          </w:p>
        </w:tc>
      </w:tr>
      <w:tr>
        <w:trPr>
          <w:jc w:val="center"/>
          <w:trHeight w:val="23"/>
        </w:trPr>
        <w:tc>
          <w:tcPr>
            <w:tcMar>
              <w:left w:w="100" w:type="dxa"/>
              <w:top w:w="80" w:type="dxa"/>
              <w:right w:w="100" w:type="dxa"/>
              <w:bottom w:w="80" w:type="dxa"/>
            </w:tcMar>
            <w:tcW w:w="3901" w:type="dxa"/>
            <w:vAlign w:val="center"/>
            <w:textDirection w:val="lrTb"/>
            <w:noWrap w:val="false"/>
          </w:tcPr>
          <w:p>
            <w:pPr>
              <w:jc w:val="left"/>
              <w:spacing w:after="0" w:line="276" w:lineRule="auto"/>
              <w:rPr>
                <w:highlight w:val="none"/>
              </w:rPr>
            </w:pPr>
            <w:r>
              <w:rPr>
                <w:rFonts w:ascii="宋体" w:hAnsi="宋体" w:eastAsia="宋体"/>
                <w:b w:val="0"/>
                <w:sz w:val="18"/>
                <w:highlight w:val="none"/>
              </w:rPr>
              <w:t xml:space="preserve">虚假考勤、代打卡、远程虚假打卡、篡改记录或虚构工作日志</w:t>
            </w:r>
            <w:r/>
          </w:p>
        </w:tc>
        <w:tc>
          <w:tcPr>
            <w:tcMar>
              <w:left w:w="100" w:type="dxa"/>
              <w:top w:w="80" w:type="dxa"/>
              <w:right w:w="100" w:type="dxa"/>
              <w:bottom w:w="80" w:type="dxa"/>
            </w:tcMar>
            <w:tcW w:w="4558" w:type="dxa"/>
            <w:vAlign w:val="center"/>
            <w:textDirection w:val="lrTb"/>
            <w:noWrap w:val="false"/>
          </w:tcPr>
          <w:p>
            <w:pPr>
              <w:jc w:val="left"/>
              <w:spacing w:after="0" w:line="276" w:lineRule="auto"/>
              <w:rPr>
                <w:highlight w:val="none"/>
              </w:rPr>
            </w:pPr>
            <w:r>
              <w:rPr>
                <w:rFonts w:ascii="宋体" w:hAnsi="宋体" w:eastAsia="宋体"/>
                <w:b w:val="0"/>
                <w:sz w:val="18"/>
                <w:highlight w:val="none"/>
              </w:rPr>
              <w:t xml:space="preserve">第一次每人每次考核扣款10000元；第二次每人每次20000元并要求更换相关人员；服务期内累计发生3次的，采购人有权认定为严重违约并按合同约定处理。</w:t>
            </w:r>
            <w:r/>
          </w:p>
        </w:tc>
      </w:tr>
      <w:tr>
        <w:trPr>
          <w:jc w:val="center"/>
          <w:trHeight w:val="23"/>
        </w:trPr>
        <w:tc>
          <w:tcPr>
            <w:tcMar>
              <w:left w:w="100" w:type="dxa"/>
              <w:top w:w="80" w:type="dxa"/>
              <w:right w:w="100" w:type="dxa"/>
              <w:bottom w:w="80" w:type="dxa"/>
            </w:tcMar>
            <w:tcW w:w="3901" w:type="dxa"/>
            <w:vAlign w:val="center"/>
            <w:textDirection w:val="lrTb"/>
            <w:noWrap w:val="false"/>
          </w:tcPr>
          <w:p>
            <w:pPr>
              <w:jc w:val="left"/>
              <w:spacing w:after="0" w:line="276" w:lineRule="auto"/>
              <w:rPr>
                <w:highlight w:val="none"/>
              </w:rPr>
            </w:pPr>
            <w:r>
              <w:rPr>
                <w:rFonts w:ascii="宋体" w:hAnsi="宋体" w:eastAsia="宋体"/>
                <w:b w:val="0"/>
                <w:sz w:val="18"/>
                <w:highlight w:val="none"/>
              </w:rPr>
              <w:t xml:space="preserve">因缺岗、迟到或未履职导致故障响应延误、重大活动保障失败或造成损失</w:t>
            </w:r>
            <w:r/>
          </w:p>
        </w:tc>
        <w:tc>
          <w:tcPr>
            <w:tcMar>
              <w:left w:w="100" w:type="dxa"/>
              <w:top w:w="80" w:type="dxa"/>
              <w:right w:w="100" w:type="dxa"/>
              <w:bottom w:w="80" w:type="dxa"/>
            </w:tcMar>
            <w:tcW w:w="4558" w:type="dxa"/>
            <w:vAlign w:val="center"/>
            <w:textDirection w:val="lrTb"/>
            <w:noWrap w:val="false"/>
          </w:tcPr>
          <w:p>
            <w:pPr>
              <w:jc w:val="left"/>
              <w:spacing w:after="0" w:line="276" w:lineRule="auto"/>
              <w:rPr>
                <w:highlight w:val="none"/>
              </w:rPr>
            </w:pPr>
            <w:r>
              <w:rPr>
                <w:rFonts w:ascii="宋体" w:hAnsi="宋体" w:eastAsia="宋体"/>
                <w:b w:val="0"/>
                <w:sz w:val="18"/>
                <w:highlight w:val="none"/>
              </w:rPr>
              <w:t xml:space="preserve">除执行上述扣款外，成交供应商还应承担应急替代服务费用并赔偿实际损失。</w:t>
            </w:r>
            <w:r/>
          </w:p>
        </w:tc>
      </w:tr>
    </w:tbl>
    <w:p>
      <w:pPr>
        <w:spacing w:after="0"/>
        <w:widowControl/>
        <w:rPr>
          <w:highlight w:val="none"/>
        </w:rPr>
      </w:pPr>
      <w:r>
        <w:rPr>
          <w:highlight w:val="none"/>
        </w:rPr>
      </w:r>
      <w:r/>
    </w:p>
    <w:p>
      <w:pPr>
        <w:ind w:firstLine="420"/>
        <w:pageBreakBefore w:val="0"/>
        <w:spacing w:line="360" w:lineRule="auto"/>
        <w:widowControl w:val="off"/>
        <w:rPr>
          <w:rFonts w:hint="eastAsia" w:ascii="宋体" w:hAnsi="宋体" w:cs="宋体"/>
          <w:b w:val="0"/>
          <w:bCs w:val="0"/>
          <w:szCs w:val="21"/>
          <w:highlight w:val="none"/>
          <w:lang w:val="en-US" w:eastAsia="zh-CN"/>
        </w:rPr>
      </w:pPr>
      <w:r>
        <w:rPr>
          <w:rFonts w:hint="eastAsia" w:ascii="宋体" w:hAnsi="宋体" w:cs="宋体"/>
          <w:b w:val="0"/>
          <w:bCs w:val="0"/>
          <w:szCs w:val="21"/>
          <w:highlight w:val="none"/>
          <w:lang w:val="en-US" w:eastAsia="zh-CN"/>
        </w:rPr>
        <w:t xml:space="preserve">（5）人员更换及不称职人员处理</w:t>
      </w:r>
      <w:r/>
    </w:p>
    <w:p>
      <w:pPr>
        <w:ind w:firstLine="420"/>
        <w:pageBreakBefore w:val="0"/>
        <w:spacing w:line="360" w:lineRule="auto"/>
        <w:widowControl w:val="off"/>
        <w:rPr>
          <w:rFonts w:hint="eastAsia" w:ascii="宋体" w:hAnsi="宋体" w:cs="宋体"/>
          <w:b w:val="0"/>
          <w:bCs w:val="0"/>
          <w:szCs w:val="21"/>
          <w:highlight w:val="none"/>
        </w:rPr>
      </w:pPr>
      <w:r>
        <w:rPr>
          <w:rFonts w:hint="eastAsia" w:ascii="宋体" w:hAnsi="宋体" w:cs="宋体"/>
          <w:b w:val="0"/>
          <w:bCs w:val="0"/>
          <w:szCs w:val="21"/>
          <w:highlight w:val="none"/>
          <w:lang w:val="en-US" w:eastAsia="zh-CN"/>
        </w:rPr>
        <w:t xml:space="preserve">5</w:t>
      </w:r>
      <w:r>
        <w:rPr>
          <w:rFonts w:hint="eastAsia" w:ascii="宋体" w:hAnsi="宋体" w:cs="宋体"/>
          <w:b w:val="0"/>
          <w:bCs w:val="0"/>
          <w:szCs w:val="21"/>
          <w:highlight w:val="none"/>
        </w:rPr>
        <w:t xml:space="preserve">.1 三名核心管理人员原则上不得更换。确因离职、重大疾病、依法长期休假或其他客观原因需要更换的，成交供应商应原则上提前10个工作日提交书面申请、新人员证明材料和交接计划；新人员的学历、职称、证书、经验及综合能力不得低于响应文件中原承诺人员。</w:t>
      </w:r>
      <w:r/>
    </w:p>
    <w:p>
      <w:pPr>
        <w:ind w:firstLine="420"/>
        <w:pageBreakBefore w:val="0"/>
        <w:spacing w:line="360" w:lineRule="auto"/>
        <w:widowControl w:val="off"/>
        <w:rPr>
          <w:rFonts w:hint="eastAsia" w:ascii="宋体" w:hAnsi="宋体" w:cs="宋体"/>
          <w:b w:val="0"/>
          <w:bCs w:val="0"/>
          <w:szCs w:val="21"/>
          <w:highlight w:val="none"/>
        </w:rPr>
      </w:pPr>
      <w:r>
        <w:rPr>
          <w:rFonts w:hint="eastAsia" w:ascii="宋体" w:hAnsi="宋体" w:cs="宋体"/>
          <w:b w:val="0"/>
          <w:bCs w:val="0"/>
          <w:szCs w:val="21"/>
          <w:highlight w:val="none"/>
          <w:lang w:val="en-US" w:eastAsia="zh-CN"/>
        </w:rPr>
        <w:t xml:space="preserve">5</w:t>
      </w:r>
      <w:r>
        <w:rPr>
          <w:rFonts w:hint="eastAsia" w:ascii="宋体" w:hAnsi="宋体" w:cs="宋体"/>
          <w:b w:val="0"/>
          <w:bCs w:val="0"/>
          <w:szCs w:val="21"/>
          <w:highlight w:val="none"/>
        </w:rPr>
        <w:t xml:space="preserve">.2 除无法提前安排的紧急情形外，新旧人员共同</w:t>
      </w:r>
      <w:r>
        <w:rPr>
          <w:rFonts w:hint="eastAsia" w:ascii="宋体" w:hAnsi="宋体" w:cs="宋体"/>
          <w:b w:val="0"/>
          <w:bCs w:val="0"/>
          <w:szCs w:val="21"/>
          <w:highlight w:val="none"/>
          <w:lang w:eastAsia="zh-CN"/>
        </w:rPr>
        <w:t xml:space="preserve">现场服务</w:t>
      </w:r>
      <w:r>
        <w:rPr>
          <w:rFonts w:hint="eastAsia" w:ascii="宋体" w:hAnsi="宋体" w:cs="宋体"/>
          <w:b w:val="0"/>
          <w:bCs w:val="0"/>
          <w:szCs w:val="21"/>
          <w:highlight w:val="none"/>
        </w:rPr>
        <w:t xml:space="preserve">交接时间不少于5个工作日。人员交接应覆盖设备现状、账号权限、配置备份、未结工单、备件台账、风险事项和项目档案。交接成本由成交供应商承担。</w:t>
      </w:r>
      <w:r/>
    </w:p>
    <w:p>
      <w:pPr>
        <w:ind w:firstLine="420"/>
        <w:pageBreakBefore w:val="0"/>
        <w:spacing w:line="360" w:lineRule="auto"/>
        <w:widowControl w:val="off"/>
        <w:rPr>
          <w:rFonts w:hint="eastAsia" w:ascii="宋体" w:hAnsi="宋体" w:cs="宋体"/>
          <w:b w:val="0"/>
          <w:bCs w:val="0"/>
          <w:szCs w:val="21"/>
          <w:highlight w:val="none"/>
        </w:rPr>
      </w:pPr>
      <w:r>
        <w:rPr>
          <w:rFonts w:hint="eastAsia" w:ascii="宋体" w:hAnsi="宋体" w:cs="宋体"/>
          <w:b w:val="0"/>
          <w:bCs w:val="0"/>
          <w:szCs w:val="21"/>
          <w:highlight w:val="none"/>
          <w:lang w:val="en-US" w:eastAsia="zh-CN"/>
        </w:rPr>
        <w:t xml:space="preserve">5</w:t>
      </w:r>
      <w:r>
        <w:rPr>
          <w:rFonts w:hint="eastAsia" w:ascii="宋体" w:hAnsi="宋体" w:cs="宋体"/>
          <w:b w:val="0"/>
          <w:bCs w:val="0"/>
          <w:szCs w:val="21"/>
          <w:highlight w:val="none"/>
        </w:rPr>
        <w:t xml:space="preserve">.3 临时替岗不等同于正式更换，但替岗人员须经采购人认可，并具备与对应岗位相适应的能力。临时替岗连续超过10个工作日的，应按正式更换程序办理。</w:t>
      </w:r>
      <w:r/>
    </w:p>
    <w:p>
      <w:pPr>
        <w:ind w:firstLine="420"/>
        <w:pageBreakBefore w:val="0"/>
        <w:spacing w:line="360" w:lineRule="auto"/>
        <w:widowControl w:val="off"/>
        <w:rPr>
          <w:rFonts w:hint="eastAsia" w:ascii="宋体" w:hAnsi="宋体" w:cs="宋体"/>
          <w:b w:val="0"/>
          <w:bCs w:val="0"/>
          <w:szCs w:val="21"/>
          <w:highlight w:val="none"/>
        </w:rPr>
      </w:pPr>
      <w:r>
        <w:rPr>
          <w:rFonts w:hint="eastAsia" w:ascii="宋体" w:hAnsi="宋体" w:cs="宋体"/>
          <w:b w:val="0"/>
          <w:bCs w:val="0"/>
          <w:szCs w:val="21"/>
          <w:highlight w:val="none"/>
          <w:lang w:val="en-US" w:eastAsia="zh-CN"/>
        </w:rPr>
        <w:t xml:space="preserve">5</w:t>
      </w:r>
      <w:r>
        <w:rPr>
          <w:rFonts w:hint="eastAsia" w:ascii="宋体" w:hAnsi="宋体" w:cs="宋体"/>
          <w:b w:val="0"/>
          <w:bCs w:val="0"/>
          <w:szCs w:val="21"/>
          <w:highlight w:val="none"/>
        </w:rPr>
        <w:t xml:space="preserve">.4 采购人认定核心管理人员不能胜任岗位、履职不到位或连续考核不合格时，有权要求成交供应商更换。成交供应商应在收到书面通知后5个工作日内配置符合要求的新人员并完成交接。</w:t>
      </w:r>
      <w:r/>
    </w:p>
    <w:tbl>
      <w:tblPr>
        <w:tblStyle w:val="735"/>
        <w:tblW w:w="83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424"/>
        <w:gridCol w:w="4955"/>
      </w:tblGrid>
      <w:tr>
        <w:trPr>
          <w:jc w:val="center"/>
          <w:trHeight w:val="23"/>
          <w:tblHeader/>
        </w:trPr>
        <w:tc>
          <w:tcPr>
            <w:shd w:val="clear" w:color="auto" w:fill="auto"/>
            <w:tcMar>
              <w:left w:w="100" w:type="dxa"/>
              <w:top w:w="80" w:type="dxa"/>
              <w:right w:w="100" w:type="dxa"/>
              <w:bottom w:w="80" w:type="dxa"/>
            </w:tcMar>
            <w:tcW w:w="3424" w:type="dxa"/>
            <w:vAlign w:val="center"/>
            <w:textDirection w:val="lrTb"/>
            <w:noWrap w:val="false"/>
          </w:tcPr>
          <w:p>
            <w:pPr>
              <w:ind w:left="0" w:right="0" w:firstLine="0"/>
              <w:jc w:val="center"/>
              <w:spacing w:after="0" w:line="240" w:lineRule="auto"/>
              <w:rPr>
                <w:rFonts w:ascii="宋体" w:eastAsia="宋体"/>
                <w:b/>
                <w:sz w:val="18"/>
                <w:highlight w:val="none"/>
              </w:rPr>
            </w:pPr>
            <w:r>
              <w:rPr>
                <w:rFonts w:ascii="宋体" w:hAnsi="宋体" w:eastAsia="宋体"/>
                <w:b/>
                <w:sz w:val="18"/>
                <w:highlight w:val="none"/>
              </w:rPr>
              <w:t xml:space="preserve">人员变动情形</w:t>
            </w:r>
            <w:r/>
          </w:p>
        </w:tc>
        <w:tc>
          <w:tcPr>
            <w:shd w:val="clear" w:color="auto" w:fill="auto"/>
            <w:tcMar>
              <w:left w:w="100" w:type="dxa"/>
              <w:top w:w="80" w:type="dxa"/>
              <w:right w:w="100" w:type="dxa"/>
              <w:bottom w:w="80" w:type="dxa"/>
            </w:tcMar>
            <w:tcW w:w="4955" w:type="dxa"/>
            <w:vAlign w:val="center"/>
            <w:textDirection w:val="lrTb"/>
            <w:noWrap w:val="false"/>
          </w:tcPr>
          <w:p>
            <w:pPr>
              <w:ind w:left="0" w:right="0" w:firstLine="0"/>
              <w:jc w:val="center"/>
              <w:spacing w:after="0" w:line="240" w:lineRule="auto"/>
              <w:rPr>
                <w:rFonts w:ascii="宋体" w:eastAsia="宋体"/>
                <w:b/>
                <w:sz w:val="18"/>
                <w:highlight w:val="none"/>
              </w:rPr>
            </w:pPr>
            <w:r>
              <w:rPr>
                <w:rFonts w:ascii="宋体" w:hAnsi="宋体" w:eastAsia="宋体"/>
                <w:b/>
                <w:sz w:val="18"/>
                <w:highlight w:val="none"/>
              </w:rPr>
              <w:t xml:space="preserve">违约责任</w:t>
            </w:r>
            <w:r/>
          </w:p>
        </w:tc>
      </w:tr>
      <w:tr>
        <w:trPr>
          <w:jc w:val="center"/>
          <w:trHeight w:val="23"/>
        </w:trPr>
        <w:tc>
          <w:tcPr>
            <w:tcMar>
              <w:left w:w="100" w:type="dxa"/>
              <w:top w:w="80" w:type="dxa"/>
              <w:right w:w="100" w:type="dxa"/>
              <w:bottom w:w="80" w:type="dxa"/>
            </w:tcMar>
            <w:tcW w:w="3424" w:type="dxa"/>
            <w:vAlign w:val="center"/>
            <w:textDirection w:val="lrTb"/>
            <w:noWrap w:val="false"/>
          </w:tcPr>
          <w:p>
            <w:pPr>
              <w:ind w:left="0" w:right="0" w:firstLine="0"/>
              <w:jc w:val="left"/>
              <w:spacing w:after="0" w:line="240" w:lineRule="auto"/>
              <w:rPr>
                <w:rFonts w:ascii="宋体" w:eastAsia="宋体"/>
                <w:sz w:val="18"/>
                <w:highlight w:val="none"/>
              </w:rPr>
            </w:pPr>
            <w:r>
              <w:rPr>
                <w:rFonts w:ascii="宋体" w:hAnsi="宋体" w:eastAsia="宋体"/>
                <w:b w:val="0"/>
                <w:sz w:val="18"/>
                <w:highlight w:val="none"/>
              </w:rPr>
              <w:t xml:space="preserve">未经批准擅自更换项目经理</w:t>
            </w:r>
            <w:r/>
          </w:p>
        </w:tc>
        <w:tc>
          <w:tcPr>
            <w:tcMar>
              <w:left w:w="100" w:type="dxa"/>
              <w:top w:w="80" w:type="dxa"/>
              <w:right w:w="100" w:type="dxa"/>
              <w:bottom w:w="80" w:type="dxa"/>
            </w:tcMar>
            <w:tcW w:w="4955" w:type="dxa"/>
            <w:vAlign w:val="center"/>
            <w:textDirection w:val="lrTb"/>
            <w:noWrap w:val="false"/>
          </w:tcPr>
          <w:p>
            <w:pPr>
              <w:ind w:left="0" w:right="0" w:firstLine="0"/>
              <w:jc w:val="left"/>
              <w:spacing w:after="0" w:line="240" w:lineRule="auto"/>
              <w:rPr>
                <w:rFonts w:ascii="宋体" w:eastAsia="宋体"/>
                <w:sz w:val="18"/>
                <w:highlight w:val="none"/>
              </w:rPr>
            </w:pPr>
            <w:r>
              <w:rPr>
                <w:rFonts w:ascii="宋体" w:hAnsi="宋体" w:eastAsia="宋体"/>
                <w:b w:val="0"/>
                <w:sz w:val="18"/>
                <w:highlight w:val="none"/>
              </w:rPr>
              <w:t xml:space="preserve">每人每次支付违约金30000元，并在3个工作日内恢复原承诺人员或提交符合要求的新人员。</w:t>
            </w:r>
            <w:r/>
          </w:p>
        </w:tc>
      </w:tr>
      <w:tr>
        <w:trPr>
          <w:jc w:val="center"/>
          <w:trHeight w:val="23"/>
        </w:trPr>
        <w:tc>
          <w:tcPr>
            <w:tcMar>
              <w:left w:w="100" w:type="dxa"/>
              <w:top w:w="80" w:type="dxa"/>
              <w:right w:w="100" w:type="dxa"/>
              <w:bottom w:w="80" w:type="dxa"/>
            </w:tcMar>
            <w:tcW w:w="3424" w:type="dxa"/>
            <w:vAlign w:val="center"/>
            <w:textDirection w:val="lrTb"/>
            <w:noWrap w:val="false"/>
          </w:tcPr>
          <w:p>
            <w:pPr>
              <w:ind w:left="0" w:right="0" w:firstLine="0"/>
              <w:jc w:val="left"/>
              <w:spacing w:after="0" w:line="240" w:lineRule="auto"/>
              <w:rPr>
                <w:rFonts w:ascii="宋体" w:eastAsia="宋体"/>
                <w:sz w:val="18"/>
                <w:highlight w:val="none"/>
              </w:rPr>
            </w:pPr>
            <w:r>
              <w:rPr>
                <w:rFonts w:ascii="宋体" w:hAnsi="宋体" w:eastAsia="宋体"/>
                <w:b w:val="0"/>
                <w:sz w:val="18"/>
                <w:highlight w:val="none"/>
              </w:rPr>
              <w:t xml:space="preserve">未经批准擅自更换项目技术负责人</w:t>
            </w:r>
            <w:r/>
          </w:p>
        </w:tc>
        <w:tc>
          <w:tcPr>
            <w:tcMar>
              <w:left w:w="100" w:type="dxa"/>
              <w:top w:w="80" w:type="dxa"/>
              <w:right w:w="100" w:type="dxa"/>
              <w:bottom w:w="80" w:type="dxa"/>
            </w:tcMar>
            <w:tcW w:w="4955" w:type="dxa"/>
            <w:vAlign w:val="center"/>
            <w:textDirection w:val="lrTb"/>
            <w:noWrap w:val="false"/>
          </w:tcPr>
          <w:p>
            <w:pPr>
              <w:ind w:left="0" w:right="0" w:firstLine="0"/>
              <w:jc w:val="left"/>
              <w:spacing w:after="0" w:line="240" w:lineRule="auto"/>
              <w:rPr>
                <w:rFonts w:ascii="宋体" w:eastAsia="宋体"/>
                <w:sz w:val="18"/>
                <w:highlight w:val="none"/>
              </w:rPr>
            </w:pPr>
            <w:r>
              <w:rPr>
                <w:rFonts w:ascii="宋体" w:hAnsi="宋体" w:eastAsia="宋体"/>
                <w:b w:val="0"/>
                <w:sz w:val="18"/>
                <w:highlight w:val="none"/>
              </w:rPr>
              <w:t xml:space="preserve">每人每次支付违约金25000元，并在3个工作日内完成整改。</w:t>
            </w:r>
            <w:r/>
          </w:p>
        </w:tc>
      </w:tr>
      <w:tr>
        <w:trPr>
          <w:jc w:val="center"/>
          <w:trHeight w:val="23"/>
        </w:trPr>
        <w:tc>
          <w:tcPr>
            <w:tcMar>
              <w:left w:w="100" w:type="dxa"/>
              <w:top w:w="80" w:type="dxa"/>
              <w:right w:w="100" w:type="dxa"/>
              <w:bottom w:w="80" w:type="dxa"/>
            </w:tcMar>
            <w:tcW w:w="3424" w:type="dxa"/>
            <w:vAlign w:val="center"/>
            <w:textDirection w:val="lrTb"/>
            <w:noWrap w:val="false"/>
          </w:tcPr>
          <w:p>
            <w:pPr>
              <w:ind w:left="0" w:right="0" w:firstLine="0"/>
              <w:jc w:val="left"/>
              <w:spacing w:after="0" w:line="240" w:lineRule="auto"/>
              <w:rPr>
                <w:rFonts w:ascii="宋体" w:eastAsia="宋体"/>
                <w:sz w:val="18"/>
                <w:highlight w:val="none"/>
              </w:rPr>
            </w:pPr>
            <w:r>
              <w:rPr>
                <w:rFonts w:ascii="宋体" w:hAnsi="宋体" w:eastAsia="宋体"/>
                <w:b w:val="0"/>
                <w:sz w:val="18"/>
                <w:highlight w:val="none"/>
              </w:rPr>
              <w:t xml:space="preserve">未经批准擅自更换项目运维负责人</w:t>
            </w:r>
            <w:r/>
          </w:p>
        </w:tc>
        <w:tc>
          <w:tcPr>
            <w:tcMar>
              <w:left w:w="100" w:type="dxa"/>
              <w:top w:w="80" w:type="dxa"/>
              <w:right w:w="100" w:type="dxa"/>
              <w:bottom w:w="80" w:type="dxa"/>
            </w:tcMar>
            <w:tcW w:w="4955" w:type="dxa"/>
            <w:vAlign w:val="center"/>
            <w:textDirection w:val="lrTb"/>
            <w:noWrap w:val="false"/>
          </w:tcPr>
          <w:p>
            <w:pPr>
              <w:ind w:left="0" w:right="0" w:firstLine="0"/>
              <w:jc w:val="left"/>
              <w:spacing w:after="0" w:line="240" w:lineRule="auto"/>
              <w:rPr>
                <w:rFonts w:ascii="宋体" w:eastAsia="宋体"/>
                <w:sz w:val="18"/>
                <w:highlight w:val="none"/>
              </w:rPr>
            </w:pPr>
            <w:r>
              <w:rPr>
                <w:rFonts w:ascii="宋体" w:hAnsi="宋体" w:eastAsia="宋体"/>
                <w:b w:val="0"/>
                <w:sz w:val="18"/>
                <w:highlight w:val="none"/>
              </w:rPr>
              <w:t xml:space="preserve">每人每次支付违约金20000元，并在3个工作日内完成整改。</w:t>
            </w:r>
            <w:r/>
          </w:p>
        </w:tc>
      </w:tr>
      <w:tr>
        <w:trPr>
          <w:jc w:val="center"/>
          <w:trHeight w:val="23"/>
        </w:trPr>
        <w:tc>
          <w:tcPr>
            <w:tcMar>
              <w:left w:w="100" w:type="dxa"/>
              <w:top w:w="80" w:type="dxa"/>
              <w:right w:w="100" w:type="dxa"/>
              <w:bottom w:w="80" w:type="dxa"/>
            </w:tcMar>
            <w:tcW w:w="3424" w:type="dxa"/>
            <w:vAlign w:val="center"/>
            <w:textDirection w:val="lrTb"/>
            <w:noWrap w:val="false"/>
          </w:tcPr>
          <w:p>
            <w:pPr>
              <w:ind w:left="0" w:right="0" w:firstLine="0"/>
              <w:jc w:val="left"/>
              <w:spacing w:after="0" w:line="240" w:lineRule="auto"/>
              <w:rPr>
                <w:rFonts w:ascii="宋体" w:eastAsia="宋体"/>
                <w:sz w:val="18"/>
                <w:highlight w:val="none"/>
              </w:rPr>
            </w:pPr>
            <w:r>
              <w:rPr>
                <w:rFonts w:ascii="宋体" w:hAnsi="宋体" w:eastAsia="宋体"/>
                <w:b w:val="0"/>
                <w:sz w:val="18"/>
                <w:highlight w:val="none"/>
              </w:rPr>
              <w:t xml:space="preserve">替换人员条件低于原响应承诺</w:t>
            </w:r>
            <w:r/>
          </w:p>
        </w:tc>
        <w:tc>
          <w:tcPr>
            <w:tcMar>
              <w:left w:w="100" w:type="dxa"/>
              <w:top w:w="80" w:type="dxa"/>
              <w:right w:w="100" w:type="dxa"/>
              <w:bottom w:w="80" w:type="dxa"/>
            </w:tcMar>
            <w:tcW w:w="4955" w:type="dxa"/>
            <w:vAlign w:val="center"/>
            <w:textDirection w:val="lrTb"/>
            <w:noWrap w:val="false"/>
          </w:tcPr>
          <w:p>
            <w:pPr>
              <w:ind w:left="0" w:right="0" w:firstLine="0"/>
              <w:jc w:val="left"/>
              <w:spacing w:after="0" w:line="240" w:lineRule="auto"/>
              <w:rPr>
                <w:rFonts w:ascii="宋体" w:eastAsia="宋体"/>
                <w:sz w:val="18"/>
                <w:highlight w:val="none"/>
              </w:rPr>
            </w:pPr>
            <w:r>
              <w:rPr>
                <w:rFonts w:ascii="宋体" w:hAnsi="宋体" w:eastAsia="宋体"/>
                <w:b w:val="0"/>
                <w:sz w:val="18"/>
                <w:highlight w:val="none"/>
              </w:rPr>
              <w:t xml:space="preserve">视同擅自更换；责令限期整改，每逾期1日追加考核扣款2000元。</w:t>
            </w:r>
            <w:r/>
          </w:p>
        </w:tc>
      </w:tr>
      <w:tr>
        <w:trPr>
          <w:jc w:val="center"/>
          <w:trHeight w:val="23"/>
        </w:trPr>
        <w:tc>
          <w:tcPr>
            <w:tcMar>
              <w:left w:w="100" w:type="dxa"/>
              <w:top w:w="80" w:type="dxa"/>
              <w:right w:w="100" w:type="dxa"/>
              <w:bottom w:w="80" w:type="dxa"/>
            </w:tcMar>
            <w:tcW w:w="3424" w:type="dxa"/>
            <w:vAlign w:val="center"/>
            <w:textDirection w:val="lrTb"/>
            <w:noWrap w:val="false"/>
          </w:tcPr>
          <w:p>
            <w:pPr>
              <w:ind w:left="0" w:right="0" w:firstLine="0"/>
              <w:jc w:val="left"/>
              <w:spacing w:after="0" w:line="240" w:lineRule="auto"/>
              <w:rPr>
                <w:rFonts w:ascii="宋体" w:eastAsia="宋体"/>
                <w:sz w:val="18"/>
                <w:highlight w:val="none"/>
              </w:rPr>
            </w:pPr>
            <w:r>
              <w:rPr>
                <w:rFonts w:ascii="宋体" w:hAnsi="宋体" w:eastAsia="宋体"/>
                <w:b w:val="0"/>
                <w:sz w:val="18"/>
                <w:highlight w:val="none"/>
              </w:rPr>
              <w:t xml:space="preserve">经批准更换但未完成交接、造成工作中断或资料缺失</w:t>
            </w:r>
            <w:r/>
          </w:p>
        </w:tc>
        <w:tc>
          <w:tcPr>
            <w:tcMar>
              <w:left w:w="100" w:type="dxa"/>
              <w:top w:w="80" w:type="dxa"/>
              <w:right w:w="100" w:type="dxa"/>
              <w:bottom w:w="80" w:type="dxa"/>
            </w:tcMar>
            <w:tcW w:w="4955" w:type="dxa"/>
            <w:vAlign w:val="center"/>
            <w:textDirection w:val="lrTb"/>
            <w:noWrap w:val="false"/>
          </w:tcPr>
          <w:p>
            <w:pPr>
              <w:ind w:left="0" w:right="0" w:firstLine="0"/>
              <w:jc w:val="left"/>
              <w:spacing w:after="0" w:line="240" w:lineRule="auto"/>
              <w:rPr>
                <w:rFonts w:ascii="宋体" w:eastAsia="宋体"/>
                <w:sz w:val="18"/>
                <w:highlight w:val="none"/>
              </w:rPr>
            </w:pPr>
            <w:r>
              <w:rPr>
                <w:rFonts w:ascii="宋体" w:hAnsi="宋体" w:eastAsia="宋体"/>
                <w:b w:val="0"/>
                <w:sz w:val="18"/>
                <w:highlight w:val="none"/>
              </w:rPr>
              <w:t xml:space="preserve">每次考核扣款5000元；造成实际损失的另行赔偿。</w:t>
            </w:r>
            <w:r/>
          </w:p>
        </w:tc>
      </w:tr>
      <w:tr>
        <w:trPr>
          <w:jc w:val="center"/>
          <w:trHeight w:val="23"/>
        </w:trPr>
        <w:tc>
          <w:tcPr>
            <w:tcMar>
              <w:left w:w="100" w:type="dxa"/>
              <w:top w:w="80" w:type="dxa"/>
              <w:right w:w="100" w:type="dxa"/>
              <w:bottom w:w="80" w:type="dxa"/>
            </w:tcMar>
            <w:tcW w:w="3424" w:type="dxa"/>
            <w:vAlign w:val="center"/>
            <w:textDirection w:val="lrTb"/>
            <w:noWrap w:val="false"/>
          </w:tcPr>
          <w:p>
            <w:pPr>
              <w:ind w:left="0" w:right="0" w:firstLine="0"/>
              <w:jc w:val="left"/>
              <w:spacing w:after="0" w:line="240" w:lineRule="auto"/>
              <w:rPr>
                <w:rFonts w:ascii="宋体" w:eastAsia="宋体"/>
                <w:sz w:val="18"/>
                <w:highlight w:val="none"/>
              </w:rPr>
            </w:pPr>
            <w:r>
              <w:rPr>
                <w:rFonts w:ascii="宋体" w:hAnsi="宋体" w:eastAsia="宋体"/>
                <w:b w:val="0"/>
                <w:sz w:val="18"/>
                <w:highlight w:val="none"/>
              </w:rPr>
              <w:t xml:space="preserve">未按采购人要求及时更换不称职人员</w:t>
            </w:r>
            <w:r/>
          </w:p>
        </w:tc>
        <w:tc>
          <w:tcPr>
            <w:tcMar>
              <w:left w:w="100" w:type="dxa"/>
              <w:top w:w="80" w:type="dxa"/>
              <w:right w:w="100" w:type="dxa"/>
              <w:bottom w:w="80" w:type="dxa"/>
            </w:tcMar>
            <w:tcW w:w="4955" w:type="dxa"/>
            <w:vAlign w:val="center"/>
            <w:textDirection w:val="lrTb"/>
            <w:noWrap w:val="false"/>
          </w:tcPr>
          <w:p>
            <w:pPr>
              <w:ind w:left="0" w:right="0" w:firstLine="0"/>
              <w:jc w:val="left"/>
              <w:spacing w:after="0" w:line="240" w:lineRule="auto"/>
              <w:rPr>
                <w:rFonts w:ascii="宋体" w:eastAsia="宋体"/>
                <w:sz w:val="18"/>
                <w:highlight w:val="none"/>
              </w:rPr>
            </w:pPr>
            <w:r>
              <w:rPr>
                <w:rFonts w:ascii="宋体" w:hAnsi="宋体" w:eastAsia="宋体"/>
                <w:b w:val="0"/>
                <w:sz w:val="18"/>
                <w:highlight w:val="none"/>
              </w:rPr>
              <w:t xml:space="preserve">整改期限届满后，每逾期1日考核扣款2000元。</w:t>
            </w:r>
            <w:r/>
          </w:p>
        </w:tc>
      </w:tr>
      <w:tr>
        <w:trPr>
          <w:jc w:val="center"/>
          <w:trHeight w:val="23"/>
        </w:trPr>
        <w:tc>
          <w:tcPr>
            <w:tcMar>
              <w:left w:w="100" w:type="dxa"/>
              <w:top w:w="80" w:type="dxa"/>
              <w:right w:w="100" w:type="dxa"/>
              <w:bottom w:w="80" w:type="dxa"/>
            </w:tcMar>
            <w:tcW w:w="3424" w:type="dxa"/>
            <w:vAlign w:val="center"/>
            <w:textDirection w:val="lrTb"/>
            <w:noWrap w:val="false"/>
          </w:tcPr>
          <w:p>
            <w:pPr>
              <w:ind w:left="0" w:right="0" w:firstLine="0"/>
              <w:jc w:val="left"/>
              <w:spacing w:after="0" w:line="240" w:lineRule="auto"/>
              <w:rPr>
                <w:rFonts w:ascii="宋体" w:eastAsia="宋体"/>
                <w:sz w:val="18"/>
                <w:highlight w:val="none"/>
              </w:rPr>
            </w:pPr>
            <w:r>
              <w:rPr>
                <w:rFonts w:ascii="宋体" w:hAnsi="宋体" w:eastAsia="宋体"/>
                <w:b w:val="0"/>
                <w:sz w:val="18"/>
                <w:highlight w:val="none"/>
              </w:rPr>
              <w:t xml:space="preserve">未经批准更换项目经理累计2次，或三名核心人员中累计更换2人且拒不整改</w:t>
            </w:r>
            <w:r/>
          </w:p>
        </w:tc>
        <w:tc>
          <w:tcPr>
            <w:tcMar>
              <w:left w:w="100" w:type="dxa"/>
              <w:top w:w="80" w:type="dxa"/>
              <w:right w:w="100" w:type="dxa"/>
              <w:bottom w:w="80" w:type="dxa"/>
            </w:tcMar>
            <w:tcW w:w="4955" w:type="dxa"/>
            <w:vAlign w:val="center"/>
            <w:textDirection w:val="lrTb"/>
            <w:noWrap w:val="false"/>
          </w:tcPr>
          <w:p>
            <w:pPr>
              <w:ind w:left="0" w:right="0" w:firstLine="0"/>
              <w:jc w:val="left"/>
              <w:spacing w:after="0" w:line="240" w:lineRule="auto"/>
              <w:rPr>
                <w:rFonts w:ascii="宋体" w:eastAsia="宋体"/>
                <w:sz w:val="18"/>
                <w:highlight w:val="none"/>
              </w:rPr>
            </w:pPr>
            <w:r>
              <w:rPr>
                <w:rFonts w:ascii="宋体" w:hAnsi="宋体" w:eastAsia="宋体"/>
                <w:b w:val="0"/>
                <w:sz w:val="18"/>
                <w:highlight w:val="none"/>
              </w:rPr>
              <w:t xml:space="preserve">采购人有权认定为严重违约，依照合同约定采取暂停付款、要求限期整改、委托第三方替代履行或解除合同等措施。</w:t>
            </w:r>
            <w:r/>
          </w:p>
        </w:tc>
      </w:tr>
    </w:tbl>
    <w:p>
      <w:pPr>
        <w:spacing w:after="0"/>
        <w:widowControl/>
        <w:rPr>
          <w:highlight w:val="none"/>
        </w:rPr>
      </w:pPr>
      <w:r>
        <w:rPr>
          <w:highlight w:val="none"/>
        </w:rPr>
      </w:r>
      <w:r/>
    </w:p>
    <w:p>
      <w:pPr>
        <w:ind w:firstLine="420"/>
        <w:pageBreakBefore w:val="0"/>
        <w:spacing w:line="360" w:lineRule="auto"/>
        <w:widowControl w:val="off"/>
        <w:rPr>
          <w:rFonts w:hint="eastAsia" w:ascii="宋体" w:hAnsi="宋体" w:cs="宋体"/>
          <w:b w:val="0"/>
          <w:bCs w:val="0"/>
          <w:szCs w:val="21"/>
          <w:highlight w:val="none"/>
        </w:rPr>
      </w:pPr>
      <w:r>
        <w:rPr>
          <w:rFonts w:hint="eastAsia" w:ascii="宋体" w:hAnsi="宋体" w:cs="宋体"/>
          <w:b w:val="0"/>
          <w:bCs w:val="0"/>
          <w:szCs w:val="21"/>
          <w:highlight w:val="none"/>
          <w:lang w:eastAsia="zh-CN"/>
        </w:rPr>
        <w:t xml:space="preserve">（</w:t>
      </w:r>
      <w:r>
        <w:rPr>
          <w:rFonts w:hint="eastAsia" w:ascii="宋体" w:hAnsi="宋体" w:cs="宋体"/>
          <w:b w:val="0"/>
          <w:bCs w:val="0"/>
          <w:szCs w:val="21"/>
          <w:highlight w:val="none"/>
          <w:lang w:val="en-US" w:eastAsia="zh-CN"/>
        </w:rPr>
        <w:t xml:space="preserve">6</w:t>
      </w:r>
      <w:r>
        <w:rPr>
          <w:rFonts w:hint="eastAsia" w:ascii="宋体" w:hAnsi="宋体" w:cs="宋体"/>
          <w:b w:val="0"/>
          <w:bCs w:val="0"/>
          <w:szCs w:val="21"/>
          <w:highlight w:val="none"/>
          <w:lang w:eastAsia="zh-CN"/>
        </w:rPr>
        <w:t xml:space="preserve">）</w:t>
      </w:r>
      <w:r>
        <w:rPr>
          <w:rFonts w:hint="eastAsia" w:ascii="宋体" w:hAnsi="宋体" w:cs="宋体"/>
          <w:b w:val="0"/>
          <w:bCs w:val="0"/>
          <w:szCs w:val="21"/>
          <w:highlight w:val="none"/>
        </w:rPr>
        <w:t xml:space="preserve"> 考核执行及付款扣减</w:t>
      </w:r>
      <w:r/>
    </w:p>
    <w:p>
      <w:pPr>
        <w:ind w:firstLine="420"/>
        <w:pageBreakBefore w:val="0"/>
        <w:spacing w:line="360" w:lineRule="auto"/>
        <w:widowControl w:val="off"/>
        <w:rPr>
          <w:rFonts w:hint="eastAsia" w:ascii="宋体" w:hAnsi="宋体" w:cs="宋体"/>
          <w:b w:val="0"/>
          <w:bCs w:val="0"/>
          <w:szCs w:val="21"/>
          <w:highlight w:val="none"/>
        </w:rPr>
      </w:pPr>
      <w:r>
        <w:rPr>
          <w:rFonts w:hint="eastAsia" w:ascii="宋体" w:hAnsi="宋体" w:cs="宋体"/>
          <w:b w:val="0"/>
          <w:bCs w:val="0"/>
          <w:szCs w:val="21"/>
          <w:highlight w:val="none"/>
          <w:lang w:val="en-US" w:eastAsia="zh-CN"/>
        </w:rPr>
        <w:t xml:space="preserve">6</w:t>
      </w:r>
      <w:r>
        <w:rPr>
          <w:rFonts w:hint="eastAsia" w:ascii="宋体" w:hAnsi="宋体" w:cs="宋体"/>
          <w:b w:val="0"/>
          <w:bCs w:val="0"/>
          <w:szCs w:val="21"/>
          <w:highlight w:val="none"/>
        </w:rPr>
        <w:t xml:space="preserve">.1 采购人按月对三名核心管理人员的考勤、履职成果、计划完成情况和人员稳定性进行核验，相关结果纳入对应季度履约考核。固定金额扣款、违约金、第三方处置费用及损失赔偿，可从第二期、第三期应付款项或者其他尚未支付的合同款项中直接抵扣；不足部分由成交供应商另行支付。</w:t>
      </w:r>
      <w:r/>
    </w:p>
    <w:p>
      <w:pPr>
        <w:ind w:firstLine="420"/>
        <w:pageBreakBefore w:val="0"/>
        <w:spacing w:line="360" w:lineRule="auto"/>
        <w:widowControl w:val="off"/>
        <w:rPr>
          <w:rFonts w:hint="eastAsia" w:ascii="宋体" w:hAnsi="宋体" w:cs="宋体"/>
          <w:b w:val="0"/>
          <w:bCs w:val="0"/>
          <w:szCs w:val="21"/>
          <w:highlight w:val="none"/>
        </w:rPr>
      </w:pPr>
      <w:r>
        <w:rPr>
          <w:rFonts w:hint="eastAsia" w:ascii="宋体" w:hAnsi="宋体" w:cs="宋体"/>
          <w:b w:val="0"/>
          <w:bCs w:val="0"/>
          <w:szCs w:val="21"/>
          <w:highlight w:val="none"/>
          <w:lang w:val="en-US" w:eastAsia="zh-CN"/>
        </w:rPr>
        <w:t xml:space="preserve">6</w:t>
      </w:r>
      <w:r>
        <w:rPr>
          <w:rFonts w:hint="eastAsia" w:ascii="宋体" w:hAnsi="宋体" w:cs="宋体"/>
          <w:b w:val="0"/>
          <w:bCs w:val="0"/>
          <w:szCs w:val="21"/>
          <w:highlight w:val="none"/>
        </w:rPr>
        <w:t xml:space="preserve">.2 一般性迟到、早退、漏打卡和报告缺失等事项，按照季度考核评分标准扣分；需要另行实施固定金额专项扣款的，每季度累计原则上不超过该季度考核结算基准金额的20%。虚假考勤、擅自更换人员、拒不整改、应急替代履行费用及实际损失赔偿不受前述上限限制。</w:t>
      </w:r>
      <w:r/>
    </w:p>
    <w:p>
      <w:pPr>
        <w:ind w:firstLine="420"/>
        <w:pageBreakBefore w:val="0"/>
        <w:spacing w:line="360" w:lineRule="auto"/>
        <w:widowControl w:val="off"/>
        <w:rPr>
          <w:rFonts w:hint="eastAsia" w:ascii="宋体" w:hAnsi="宋体" w:cs="宋体"/>
          <w:b w:val="0"/>
          <w:bCs w:val="0"/>
          <w:szCs w:val="21"/>
          <w:highlight w:val="none"/>
        </w:rPr>
      </w:pPr>
      <w:r>
        <w:rPr>
          <w:rFonts w:hint="eastAsia" w:ascii="宋体" w:hAnsi="宋体" w:cs="宋体"/>
          <w:b w:val="0"/>
          <w:bCs w:val="0"/>
          <w:szCs w:val="21"/>
          <w:highlight w:val="none"/>
          <w:lang w:val="en-US" w:eastAsia="zh-CN"/>
        </w:rPr>
        <w:t xml:space="preserve">6</w:t>
      </w:r>
      <w:r>
        <w:rPr>
          <w:rFonts w:hint="eastAsia" w:ascii="宋体" w:hAnsi="宋体" w:cs="宋体"/>
          <w:b w:val="0"/>
          <w:bCs w:val="0"/>
          <w:szCs w:val="21"/>
          <w:highlight w:val="none"/>
        </w:rPr>
        <w:t xml:space="preserve">.3 同一行为原则上不重复适用性质相同的扣款标准，按较重标准处理；但同一事件同时造成缺勤、虚假记录、响应延误和实际损失等不同后果的，可分别追究相应责任。</w:t>
      </w:r>
      <w:r/>
    </w:p>
    <w:p>
      <w:pPr>
        <w:ind w:firstLine="420"/>
        <w:pageBreakBefore w:val="0"/>
        <w:spacing w:line="360" w:lineRule="auto"/>
        <w:widowControl w:val="off"/>
        <w:rPr>
          <w:rFonts w:hint="eastAsia" w:ascii="宋体" w:hAnsi="宋体" w:cs="宋体"/>
          <w:b w:val="0"/>
          <w:bCs w:val="0"/>
          <w:szCs w:val="21"/>
          <w:highlight w:val="none"/>
        </w:rPr>
      </w:pPr>
      <w:r>
        <w:rPr>
          <w:rFonts w:hint="eastAsia" w:ascii="宋体" w:hAnsi="宋体" w:cs="宋体"/>
          <w:b w:val="0"/>
          <w:bCs w:val="0"/>
          <w:szCs w:val="21"/>
          <w:highlight w:val="none"/>
          <w:lang w:val="en-US" w:eastAsia="zh-CN"/>
        </w:rPr>
        <w:t xml:space="preserve">6</w:t>
      </w:r>
      <w:r>
        <w:rPr>
          <w:rFonts w:hint="eastAsia" w:ascii="宋体" w:hAnsi="宋体" w:cs="宋体"/>
          <w:b w:val="0"/>
          <w:bCs w:val="0"/>
          <w:szCs w:val="21"/>
          <w:highlight w:val="none"/>
        </w:rPr>
        <w:t xml:space="preserve">.4 成交供应商支付考核扣款或违约金后，仍应继续履行到岗、整改、修复、交接、资料补交和损失赔偿等义务。</w:t>
      </w:r>
      <w:r/>
    </w:p>
    <w:p>
      <w:pPr>
        <w:ind w:firstLine="420"/>
        <w:pageBreakBefore w:val="0"/>
        <w:spacing w:line="360" w:lineRule="auto"/>
        <w:widowControl w:val="off"/>
        <w:rPr>
          <w:rFonts w:hint="eastAsia" w:ascii="宋体" w:hAnsi="宋体" w:cs="宋体"/>
          <w:bCs/>
          <w:sz w:val="21"/>
          <w:szCs w:val="21"/>
          <w:highlight w:val="none"/>
          <w:lang w:val="en-US" w:eastAsia="zh-CN"/>
        </w:rPr>
      </w:pPr>
      <w:r>
        <w:rPr>
          <w:rFonts w:hint="eastAsia" w:ascii="宋体" w:hAnsi="宋体" w:cs="宋体"/>
          <w:b w:val="0"/>
          <w:bCs w:val="0"/>
          <w:szCs w:val="21"/>
          <w:highlight w:val="none"/>
          <w:lang w:eastAsia="zh-CN"/>
        </w:rPr>
        <w:t xml:space="preserve">（</w:t>
      </w:r>
      <w:r>
        <w:rPr>
          <w:rFonts w:hint="eastAsia" w:ascii="宋体" w:hAnsi="宋体" w:cs="宋体"/>
          <w:b w:val="0"/>
          <w:bCs w:val="0"/>
          <w:szCs w:val="21"/>
          <w:highlight w:val="none"/>
          <w:lang w:val="en-US" w:eastAsia="zh-CN"/>
        </w:rPr>
        <w:t xml:space="preserve">7</w:t>
      </w:r>
      <w:r>
        <w:rPr>
          <w:rFonts w:hint="eastAsia" w:ascii="宋体" w:hAnsi="宋体" w:cs="宋体"/>
          <w:b w:val="0"/>
          <w:bCs w:val="0"/>
          <w:szCs w:val="21"/>
          <w:highlight w:val="none"/>
          <w:lang w:eastAsia="zh-CN"/>
        </w:rPr>
        <w:t xml:space="preserve">）</w:t>
      </w:r>
      <w:r>
        <w:rPr>
          <w:rFonts w:hint="eastAsia" w:ascii="宋体" w:hAnsi="宋体" w:cs="宋体"/>
          <w:bCs/>
          <w:sz w:val="21"/>
          <w:szCs w:val="21"/>
          <w:highlight w:val="none"/>
        </w:rPr>
        <w:t xml:space="preserve">特种作业操作</w:t>
      </w:r>
      <w:r>
        <w:rPr>
          <w:rFonts w:hint="eastAsia" w:ascii="宋体" w:hAnsi="宋体" w:cs="宋体"/>
          <w:bCs/>
          <w:sz w:val="21"/>
          <w:szCs w:val="21"/>
          <w:highlight w:val="none"/>
          <w:lang w:val="en-US" w:eastAsia="zh-CN"/>
        </w:rPr>
        <w:t xml:space="preserve">要求</w:t>
      </w:r>
      <w:r/>
    </w:p>
    <w:p>
      <w:pPr>
        <w:ind w:firstLine="420"/>
        <w:pageBreakBefore w:val="0"/>
        <w:spacing w:line="360" w:lineRule="auto"/>
        <w:widowControl w:val="off"/>
        <w:rPr>
          <w:rFonts w:hint="eastAsia" w:ascii="宋体" w:hAnsi="宋体" w:cs="宋体"/>
          <w:bCs/>
          <w:sz w:val="21"/>
          <w:szCs w:val="21"/>
          <w:highlight w:val="none"/>
        </w:rPr>
      </w:pPr>
      <w:r>
        <w:rPr>
          <w:rFonts w:hint="eastAsia" w:ascii="宋体" w:hAnsi="宋体" w:cs="宋体"/>
          <w:bCs/>
          <w:sz w:val="21"/>
          <w:szCs w:val="21"/>
          <w:highlight w:val="none"/>
          <w:lang w:val="en-US" w:eastAsia="zh-CN"/>
        </w:rPr>
        <w:t xml:space="preserve">7.1</w:t>
      </w:r>
      <w:r>
        <w:rPr>
          <w:rFonts w:hint="eastAsia" w:ascii="宋体" w:hAnsi="宋体" w:cs="宋体"/>
          <w:bCs/>
          <w:sz w:val="21"/>
          <w:szCs w:val="21"/>
          <w:highlight w:val="none"/>
        </w:rPr>
        <w:t xml:space="preserve">供应商拟投入本项目的服务人员中，至少有1人持有有效的《中华人民共和国特种作业操作证》，准操项目为“低压电工作业”。</w:t>
      </w:r>
      <w:r/>
    </w:p>
    <w:p>
      <w:pPr>
        <w:ind w:firstLine="420"/>
        <w:pageBreakBefore w:val="0"/>
        <w:spacing w:line="360" w:lineRule="auto"/>
        <w:widowControl w:val="off"/>
        <w:rPr>
          <w:rFonts w:hint="eastAsia" w:ascii="宋体" w:hAnsi="宋体" w:cs="宋体"/>
          <w:bCs/>
          <w:sz w:val="21"/>
          <w:szCs w:val="21"/>
          <w:highlight w:val="none"/>
        </w:rPr>
      </w:pPr>
      <w:r>
        <w:rPr>
          <w:rFonts w:hint="eastAsia" w:ascii="宋体" w:hAnsi="宋体" w:cs="宋体"/>
          <w:bCs/>
          <w:sz w:val="21"/>
          <w:szCs w:val="21"/>
          <w:highlight w:val="none"/>
          <w:lang w:val="en-US" w:eastAsia="zh-CN"/>
        </w:rPr>
        <w:t xml:space="preserve">7.2</w:t>
      </w:r>
      <w:r>
        <w:rPr>
          <w:rFonts w:hint="eastAsia" w:ascii="宋体" w:hAnsi="宋体" w:cs="宋体"/>
          <w:bCs/>
          <w:sz w:val="21"/>
          <w:szCs w:val="21"/>
          <w:highlight w:val="none"/>
        </w:rPr>
        <w:t xml:space="preserve">供应商拟投入本项目的服务人员中，至少有1人持有有效的《中华人民共和国特种作业操作证》，准操项目为“高处安装、维护、拆除作业”。</w:t>
      </w:r>
      <w:r/>
    </w:p>
    <w:p>
      <w:pPr>
        <w:ind w:firstLine="420"/>
        <w:pageBreakBefore w:val="0"/>
        <w:spacing w:line="360" w:lineRule="auto"/>
        <w:widowControl w:val="off"/>
        <w:rPr>
          <w:rFonts w:hint="eastAsia" w:ascii="宋体" w:hAnsi="宋体" w:cs="宋体"/>
          <w:bCs/>
          <w:sz w:val="21"/>
          <w:szCs w:val="21"/>
          <w:highlight w:val="none"/>
        </w:rPr>
      </w:pPr>
      <w:r>
        <w:rPr>
          <w:rFonts w:hint="eastAsia" w:ascii="宋体" w:hAnsi="宋体" w:cs="宋体"/>
          <w:bCs/>
          <w:sz w:val="21"/>
          <w:szCs w:val="21"/>
          <w:highlight w:val="none"/>
          <w:lang w:val="en-US" w:eastAsia="zh-CN"/>
        </w:rPr>
        <w:t xml:space="preserve">7.3</w:t>
      </w:r>
      <w:r>
        <w:rPr>
          <w:rFonts w:hint="eastAsia" w:ascii="宋体" w:hAnsi="宋体" w:cs="宋体"/>
          <w:bCs/>
          <w:sz w:val="21"/>
          <w:szCs w:val="21"/>
          <w:highlight w:val="none"/>
        </w:rPr>
        <w:t xml:space="preserve">上述低压电工作业人员和高处安装、维护、拆除作业人员可以为同一人员，也可以为不同人员；由同一人员承担的，该人员应同时持有上述两类处于有效期内的特种作业操作证。</w:t>
      </w:r>
      <w:r/>
    </w:p>
    <w:p>
      <w:pPr>
        <w:ind w:firstLine="420"/>
        <w:pageBreakBefore w:val="0"/>
        <w:spacing w:line="360" w:lineRule="auto"/>
        <w:widowControl w:val="off"/>
        <w:rPr>
          <w:rFonts w:hint="default" w:ascii="宋体" w:hAnsi="宋体" w:eastAsia="宋体" w:cs="宋体"/>
          <w:b/>
          <w:bCs w:val="0"/>
          <w:sz w:val="21"/>
          <w:szCs w:val="21"/>
          <w:highlight w:val="none"/>
          <w:lang w:val="en-US" w:eastAsia="zh-CN"/>
        </w:rPr>
      </w:pPr>
      <w:r>
        <w:rPr>
          <w:rFonts w:hint="eastAsia" w:ascii="宋体" w:hAnsi="宋体" w:cs="宋体"/>
          <w:bCs/>
          <w:sz w:val="21"/>
          <w:szCs w:val="21"/>
          <w:highlight w:val="none"/>
          <w:lang w:val="en-US" w:eastAsia="zh-CN"/>
        </w:rPr>
        <w:t xml:space="preserve">注：响应文件中必须需提供：（1）</w:t>
      </w:r>
      <w:r>
        <w:rPr>
          <w:rFonts w:hint="eastAsia" w:ascii="宋体" w:hAnsi="宋体" w:cs="宋体"/>
          <w:bCs/>
          <w:sz w:val="21"/>
          <w:szCs w:val="21"/>
          <w:highlight w:val="none"/>
        </w:rPr>
        <w:t xml:space="preserve">有效期内的低压电工作业特种作业操作证</w:t>
      </w:r>
      <w:r>
        <w:rPr>
          <w:rFonts w:hint="eastAsia" w:ascii="宋体" w:hAnsi="宋体" w:cs="宋体"/>
          <w:bCs/>
          <w:sz w:val="21"/>
          <w:szCs w:val="21"/>
          <w:highlight w:val="none"/>
          <w:lang w:eastAsia="zh-CN"/>
        </w:rPr>
        <w:t xml:space="preserve">；</w:t>
      </w:r>
      <w:r>
        <w:rPr>
          <w:rFonts w:hint="eastAsia" w:ascii="宋体" w:hAnsi="宋体" w:cs="宋体"/>
          <w:bCs/>
          <w:sz w:val="21"/>
          <w:szCs w:val="21"/>
          <w:highlight w:val="none"/>
        </w:rPr>
        <w:t xml:space="preserve">（2）有效期内的高处安装、维护、拆除作业特种作业操作证；（3）相关证书官方查询或者核验材料；（4）供应商为上述人员缴纳的最近一期社会保险证明材料。</w:t>
      </w:r>
      <w:r>
        <w:rPr>
          <w:rFonts w:hint="eastAsia" w:ascii="宋体" w:hAnsi="宋体" w:cs="宋体"/>
          <w:b/>
          <w:bCs w:val="0"/>
          <w:sz w:val="21"/>
          <w:szCs w:val="21"/>
          <w:highlight w:val="none"/>
          <w:lang w:val="en-US" w:eastAsia="zh-CN"/>
        </w:rPr>
        <w:t xml:space="preserve">未提供或提供不符视为非实质性响应。</w:t>
      </w:r>
      <w:r/>
    </w:p>
    <w:p>
      <w:pPr>
        <w:ind w:firstLine="420"/>
        <w:pageBreakBefore w:val="0"/>
        <w:spacing w:line="360" w:lineRule="auto"/>
        <w:widowControl w:val="off"/>
        <w:rPr>
          <w:rFonts w:hint="eastAsia" w:ascii="宋体" w:hAnsi="宋体" w:cs="宋体"/>
          <w:b w:val="0"/>
          <w:bCs w:val="0"/>
          <w:szCs w:val="21"/>
          <w:highlight w:val="none"/>
          <w:lang w:eastAsia="zh-CN"/>
        </w:rPr>
      </w:pPr>
      <w:r>
        <w:rPr>
          <w:rFonts w:hint="eastAsia" w:ascii="宋体" w:hAnsi="宋体" w:cs="宋体"/>
          <w:bCs/>
          <w:sz w:val="21"/>
          <w:szCs w:val="21"/>
          <w:highlight w:val="none"/>
          <w:lang w:val="en-US" w:eastAsia="zh-CN"/>
        </w:rPr>
        <w:t xml:space="preserve">7.4</w:t>
      </w:r>
      <w:r>
        <w:rPr>
          <w:rFonts w:hint="eastAsia" w:ascii="宋体" w:hAnsi="宋体" w:cs="宋体"/>
          <w:bCs/>
          <w:sz w:val="21"/>
          <w:szCs w:val="21"/>
          <w:highlight w:val="none"/>
        </w:rPr>
        <w:t xml:space="preserve">在合同履行期间，凡涉及低压电气作业或者高处安装、维护、拆除作业的，均由持有对应有效特种作业操作证的人员实施；未经采购人书面同意，不得擅自更换上述持证人员。证书到期、失效或者人员离职的，供应商应及时配置符合要求的替代人员，并报采购人审核确认。</w:t>
      </w:r>
      <w:r/>
    </w:p>
    <w:p>
      <w:pPr>
        <w:ind w:firstLine="420"/>
        <w:pageBreakBefore w:val="0"/>
        <w:spacing w:line="360" w:lineRule="auto"/>
        <w:widowControl w:val="off"/>
        <w:rPr>
          <w:rFonts w:hint="eastAsia" w:ascii="宋体" w:hAnsi="宋体" w:cs="宋体"/>
          <w:b/>
          <w:bCs/>
          <w:szCs w:val="21"/>
          <w:highlight w:val="none"/>
          <w:lang w:val="en-US" w:eastAsia="zh-CN"/>
        </w:rPr>
      </w:pPr>
      <w:r>
        <w:rPr>
          <w:rFonts w:hint="eastAsia" w:ascii="宋体" w:hAnsi="宋体" w:cs="宋体"/>
          <w:b/>
          <w:bCs/>
          <w:szCs w:val="21"/>
          <w:highlight w:val="none"/>
          <w:lang w:val="en-US" w:eastAsia="zh-CN"/>
        </w:rPr>
        <w:t xml:space="preserve">7、</w:t>
      </w:r>
      <w:r>
        <w:rPr>
          <w:rFonts w:hint="eastAsia" w:ascii="宋体" w:hAnsi="宋体" w:cs="宋体"/>
          <w:b/>
          <w:bCs/>
          <w:szCs w:val="21"/>
          <w:highlight w:val="none"/>
        </w:rPr>
        <w:t xml:space="preserve">备品备件配置要求</w:t>
      </w:r>
      <w:r/>
    </w:p>
    <w:p>
      <w:pPr>
        <w:ind w:firstLine="420"/>
        <w:pageBreakBefore w:val="0"/>
        <w:spacing w:line="360" w:lineRule="auto"/>
        <w:widowControl w:val="off"/>
        <w:rPr>
          <w:rFonts w:hint="eastAsia" w:ascii="宋体" w:hAnsi="宋体" w:cs="宋体"/>
          <w:b w:val="0"/>
          <w:bCs w:val="0"/>
          <w:szCs w:val="21"/>
          <w:highlight w:val="none"/>
        </w:rPr>
      </w:pPr>
      <w:r>
        <w:rPr>
          <w:rFonts w:hint="eastAsia" w:ascii="宋体" w:hAnsi="宋体" w:cs="宋体"/>
          <w:b w:val="0"/>
          <w:bCs w:val="0"/>
          <w:szCs w:val="21"/>
          <w:highlight w:val="none"/>
        </w:rPr>
        <w:t xml:space="preserve">供应商应结合本项目现有设备品牌、型号、接口、安装尺寸</w:t>
      </w:r>
      <w:r>
        <w:rPr>
          <w:rFonts w:hint="eastAsia" w:ascii="宋体" w:hAnsi="宋体" w:cs="宋体"/>
          <w:b w:val="0"/>
          <w:bCs w:val="0"/>
          <w:szCs w:val="21"/>
          <w:highlight w:val="none"/>
        </w:rPr>
        <w:t xml:space="preserve">及系统架构，配置不少于下表数量的备品备件及易耗材料。所提供的备品备件应为全新、未使用、来源合法的合格产品，须与现有设备完全兼容，其技术参数、性能指标、可靠性、接口标准及安全等级不得低于原设备，即应满足同等或更高的参数、档次和性能；采用替代品牌或替代型号的，供应商应提交兼容性说明及参数对照表，并经采购人书面确认后方可使用。下表数量为服务期内最低保障数量，供应商应根据消耗和故障更换情况及时补充，确保备件库存持续满足应急维修需要；备品备件采购、运输、保管、检测、安装、调试、系统恢复及相关辅材费用均包含在响应总价中</w:t>
      </w:r>
      <w:r>
        <w:rPr>
          <w:rFonts w:hint="eastAsia" w:ascii="宋体" w:hAnsi="宋体" w:cs="宋体"/>
          <w:b w:val="0"/>
          <w:bCs w:val="0"/>
          <w:szCs w:val="21"/>
          <w:highlight w:val="none"/>
          <w:lang w:eastAsia="zh-CN"/>
        </w:rPr>
        <w:t xml:space="preserve">，</w:t>
      </w:r>
      <w:r>
        <w:rPr>
          <w:rFonts w:hint="eastAsia" w:ascii="宋体" w:hAnsi="宋体" w:cs="宋体"/>
          <w:b w:val="0"/>
          <w:bCs w:val="0"/>
          <w:szCs w:val="21"/>
          <w:highlight w:val="none"/>
        </w:rPr>
        <w:t xml:space="preserve">合同签订生效后10个工作日内，成交供应商应按照采购文件规定的备品备件名称、技术参数、最低数量和质量要求，将全部备品备件运送至采购人指定地点，完成入库、清点、检验、标识及台账建立，并提交产品合格证明、来源证明、参数资料及兼容性说明。经采购人核对无误并在《备品备件到货清点确认单》上签字确认后，视为备品备件清点到位。备品备件存在缺项、数量不足、质量不合格、参数或兼容性不符合要求等情形的，不视为清点到位。</w:t>
      </w:r>
      <w:r/>
    </w:p>
    <w:p>
      <w:pPr>
        <w:ind w:firstLine="420"/>
        <w:pageBreakBefore w:val="0"/>
        <w:spacing w:line="360" w:lineRule="auto"/>
        <w:widowControl w:val="off"/>
        <w:rPr>
          <w:rFonts w:hint="eastAsia" w:ascii="宋体" w:hAnsi="宋体" w:cs="宋体"/>
          <w:b w:val="0"/>
          <w:bCs w:val="0"/>
          <w:szCs w:val="21"/>
          <w:highlight w:val="none"/>
        </w:rPr>
      </w:pPr>
      <w:r>
        <w:rPr>
          <w:rFonts w:hint="eastAsia" w:ascii="宋体" w:hAnsi="宋体" w:cs="宋体"/>
          <w:b w:val="0"/>
          <w:bCs w:val="0"/>
          <w:szCs w:val="21"/>
          <w:highlight w:val="none"/>
        </w:rPr>
        <w:t xml:space="preserve">1）DLP大屏系统备品备件最低配置表</w:t>
      </w:r>
      <w:r/>
    </w:p>
    <w:tbl>
      <w:tblPr>
        <w:tblStyle w:val="704"/>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5"/>
        <w:gridCol w:w="1907"/>
        <w:gridCol w:w="3939"/>
        <w:gridCol w:w="1146"/>
        <w:gridCol w:w="765"/>
      </w:tblGrid>
      <w:tr>
        <w:trPr>
          <w:jc w:val="center"/>
          <w:trHeight w:val="0"/>
          <w:tblHeader/>
        </w:trPr>
        <w:tc>
          <w:tcPr>
            <w:tcW w:w="765" w:type="dxa"/>
            <w:vAlign w:val="center"/>
            <w:textDirection w:val="lrTb"/>
            <w:noWrap w:val="false"/>
          </w:tcPr>
          <w:p>
            <w:pPr>
              <w:ind w:left="0" w:right="0" w:firstLine="0"/>
              <w:jc w:val="center"/>
              <w:spacing w:line="240" w:lineRule="auto"/>
              <w:rPr>
                <w:rFonts w:ascii="宋体" w:eastAsia="宋体"/>
                <w:b/>
                <w:sz w:val="19"/>
                <w:highlight w:val="none"/>
              </w:rPr>
            </w:pPr>
            <w:r>
              <w:rPr>
                <w:rFonts w:ascii="宋体" w:hAnsi="宋体" w:eastAsia="宋体"/>
                <w:b/>
                <w:sz w:val="19"/>
                <w:highlight w:val="none"/>
              </w:rPr>
              <w:t xml:space="preserve">序号</w:t>
            </w:r>
            <w:r/>
          </w:p>
        </w:tc>
        <w:tc>
          <w:tcPr>
            <w:tcW w:w="1907" w:type="dxa"/>
            <w:vAlign w:val="center"/>
            <w:textDirection w:val="lrTb"/>
            <w:noWrap w:val="false"/>
          </w:tcPr>
          <w:p>
            <w:pPr>
              <w:ind w:left="0" w:right="0" w:firstLine="0"/>
              <w:jc w:val="center"/>
              <w:spacing w:line="240" w:lineRule="auto"/>
              <w:rPr>
                <w:rFonts w:ascii="宋体" w:eastAsia="宋体"/>
                <w:b/>
                <w:sz w:val="19"/>
                <w:highlight w:val="none"/>
              </w:rPr>
            </w:pPr>
            <w:r>
              <w:rPr>
                <w:rFonts w:ascii="宋体" w:hAnsi="宋体" w:eastAsia="宋体"/>
                <w:b/>
                <w:sz w:val="19"/>
                <w:highlight w:val="none"/>
              </w:rPr>
              <w:t xml:space="preserve">备品备件名称</w:t>
            </w:r>
            <w:r/>
          </w:p>
        </w:tc>
        <w:tc>
          <w:tcPr>
            <w:tcW w:w="3939" w:type="dxa"/>
            <w:vAlign w:val="center"/>
            <w:textDirection w:val="lrTb"/>
            <w:noWrap w:val="false"/>
          </w:tcPr>
          <w:p>
            <w:pPr>
              <w:ind w:left="0" w:right="0" w:firstLine="0"/>
              <w:jc w:val="center"/>
              <w:spacing w:line="240" w:lineRule="auto"/>
              <w:rPr>
                <w:rFonts w:ascii="宋体" w:eastAsia="宋体"/>
                <w:b/>
                <w:sz w:val="19"/>
                <w:highlight w:val="none"/>
              </w:rPr>
            </w:pPr>
            <w:r>
              <w:rPr>
                <w:rFonts w:ascii="宋体" w:hAnsi="宋体" w:eastAsia="宋体"/>
                <w:b/>
                <w:sz w:val="19"/>
                <w:highlight w:val="none"/>
              </w:rPr>
              <w:t xml:space="preserve">主要技术及兼容要求</w:t>
            </w:r>
            <w:r/>
          </w:p>
        </w:tc>
        <w:tc>
          <w:tcPr>
            <w:tcW w:w="1146" w:type="dxa"/>
            <w:vAlign w:val="center"/>
            <w:textDirection w:val="lrTb"/>
            <w:noWrap w:val="false"/>
          </w:tcPr>
          <w:p>
            <w:pPr>
              <w:ind w:left="0" w:right="0" w:firstLine="0"/>
              <w:jc w:val="center"/>
              <w:spacing w:line="240" w:lineRule="auto"/>
              <w:rPr>
                <w:rFonts w:ascii="宋体" w:eastAsia="宋体"/>
                <w:b/>
                <w:sz w:val="19"/>
                <w:highlight w:val="none"/>
              </w:rPr>
            </w:pPr>
            <w:r>
              <w:rPr>
                <w:rFonts w:ascii="宋体" w:hAnsi="宋体" w:eastAsia="宋体"/>
                <w:b/>
                <w:sz w:val="19"/>
                <w:highlight w:val="none"/>
              </w:rPr>
              <w:t xml:space="preserve">最低数量</w:t>
            </w:r>
            <w:r/>
          </w:p>
        </w:tc>
        <w:tc>
          <w:tcPr>
            <w:tcW w:w="765" w:type="dxa"/>
            <w:vAlign w:val="center"/>
            <w:textDirection w:val="lrTb"/>
            <w:noWrap w:val="false"/>
          </w:tcPr>
          <w:p>
            <w:pPr>
              <w:ind w:left="0" w:right="0" w:firstLine="0"/>
              <w:jc w:val="center"/>
              <w:spacing w:line="240" w:lineRule="auto"/>
              <w:rPr>
                <w:rFonts w:ascii="宋体" w:eastAsia="宋体"/>
                <w:b/>
                <w:sz w:val="19"/>
                <w:highlight w:val="none"/>
              </w:rPr>
            </w:pPr>
            <w:r>
              <w:rPr>
                <w:rFonts w:ascii="宋体" w:hAnsi="宋体" w:eastAsia="宋体"/>
                <w:b/>
                <w:sz w:val="19"/>
                <w:highlight w:val="none"/>
              </w:rPr>
              <w:t xml:space="preserve">单位</w:t>
            </w:r>
            <w:r/>
          </w:p>
        </w:tc>
      </w:tr>
      <w:tr>
        <w:trPr>
          <w:jc w:val="center"/>
          <w:trHeight w:val="0"/>
        </w:trPr>
        <w:tc>
          <w:tcPr>
            <w:tcW w:w="765" w:type="dxa"/>
            <w:vAlign w:val="center"/>
            <w:textDirection w:val="lrTb"/>
            <w:noWrap w:val="false"/>
          </w:tcPr>
          <w:p>
            <w:pPr>
              <w:ind w:left="0" w:right="0" w:firstLine="0"/>
              <w:jc w:val="center"/>
              <w:spacing w:line="240" w:lineRule="auto"/>
              <w:rPr>
                <w:rFonts w:ascii="宋体" w:eastAsia="宋体"/>
                <w:sz w:val="19"/>
                <w:highlight w:val="none"/>
              </w:rPr>
            </w:pPr>
            <w:r>
              <w:rPr>
                <w:rFonts w:ascii="宋体" w:hAnsi="宋体" w:eastAsia="宋体"/>
                <w:b w:val="0"/>
                <w:sz w:val="19"/>
                <w:highlight w:val="none"/>
              </w:rPr>
              <w:t xml:space="preserve">1</w:t>
            </w:r>
            <w:r/>
          </w:p>
        </w:tc>
        <w:tc>
          <w:tcPr>
            <w:tcW w:w="1907" w:type="dxa"/>
            <w:vAlign w:val="center"/>
            <w:textDirection w:val="lrTb"/>
            <w:noWrap w:val="false"/>
          </w:tcPr>
          <w:p>
            <w:pPr>
              <w:ind w:left="0" w:right="0" w:firstLine="0"/>
              <w:jc w:val="left"/>
              <w:spacing w:line="240" w:lineRule="auto"/>
              <w:rPr>
                <w:rFonts w:hint="default" w:ascii="宋体" w:eastAsia="宋体"/>
                <w:sz w:val="19"/>
                <w:highlight w:val="none"/>
                <w:lang w:val="en-US" w:eastAsia="zh-CN"/>
              </w:rPr>
            </w:pPr>
            <w:r>
              <w:rPr>
                <w:rFonts w:hint="eastAsia" w:ascii="宋体" w:hAnsi="宋体"/>
                <w:b w:val="0"/>
                <w:sz w:val="19"/>
                <w:highlight w:val="none"/>
                <w:lang w:val="en-US" w:eastAsia="zh-CN"/>
              </w:rPr>
              <w:t xml:space="preserve">DLP投影单元核心配件（包含投影机芯，电源模块）</w:t>
            </w:r>
            <w:r/>
          </w:p>
        </w:tc>
        <w:tc>
          <w:tcPr>
            <w:tcW w:w="3939" w:type="dxa"/>
            <w:vAlign w:val="center"/>
            <w:textDirection w:val="lrTb"/>
            <w:noWrap w:val="false"/>
          </w:tcPr>
          <w:p>
            <w:pPr>
              <w:ind w:left="0" w:right="0" w:firstLine="0"/>
              <w:jc w:val="left"/>
              <w:spacing w:line="240" w:lineRule="auto"/>
              <w:rPr>
                <w:rFonts w:ascii="宋体" w:eastAsia="宋体"/>
                <w:sz w:val="19"/>
                <w:highlight w:val="none"/>
              </w:rPr>
            </w:pPr>
            <w:r>
              <w:rPr>
                <w:rFonts w:ascii="宋体" w:hAnsi="宋体" w:eastAsia="宋体"/>
                <w:b w:val="0"/>
                <w:sz w:val="19"/>
                <w:highlight w:val="none"/>
              </w:rPr>
              <w:t xml:space="preserve">与现有单元结构、分辨率、亮度、色彩、通信接口及控制软件完全兼容，可直接替换并完成拼接校准。</w:t>
            </w:r>
            <w:r/>
          </w:p>
        </w:tc>
        <w:tc>
          <w:tcPr>
            <w:tcW w:w="1146" w:type="dxa"/>
            <w:vAlign w:val="center"/>
            <w:textDirection w:val="lrTb"/>
            <w:noWrap w:val="false"/>
          </w:tcPr>
          <w:p>
            <w:pPr>
              <w:ind w:left="0" w:right="0" w:firstLine="0"/>
              <w:jc w:val="center"/>
              <w:spacing w:line="240" w:lineRule="auto"/>
              <w:rPr>
                <w:rFonts w:ascii="宋体" w:eastAsia="宋体"/>
                <w:sz w:val="19"/>
                <w:highlight w:val="none"/>
              </w:rPr>
            </w:pPr>
            <w:r>
              <w:rPr>
                <w:rFonts w:ascii="宋体" w:hAnsi="宋体" w:eastAsia="宋体"/>
                <w:b w:val="0"/>
                <w:sz w:val="19"/>
                <w:highlight w:val="none"/>
              </w:rPr>
              <w:t xml:space="preserve">4</w:t>
            </w:r>
            <w:r/>
          </w:p>
        </w:tc>
        <w:tc>
          <w:tcPr>
            <w:tcW w:w="765" w:type="dxa"/>
            <w:vAlign w:val="center"/>
            <w:textDirection w:val="lrTb"/>
            <w:noWrap w:val="false"/>
          </w:tcPr>
          <w:p>
            <w:pPr>
              <w:ind w:left="0" w:right="0" w:firstLine="0"/>
              <w:jc w:val="center"/>
              <w:spacing w:line="240" w:lineRule="auto"/>
              <w:rPr>
                <w:rFonts w:ascii="宋体" w:eastAsia="宋体"/>
                <w:sz w:val="19"/>
                <w:highlight w:val="none"/>
              </w:rPr>
            </w:pPr>
            <w:r>
              <w:rPr>
                <w:rFonts w:ascii="宋体" w:hAnsi="宋体" w:eastAsia="宋体"/>
                <w:b w:val="0"/>
                <w:sz w:val="19"/>
                <w:highlight w:val="none"/>
              </w:rPr>
              <w:t xml:space="preserve">套</w:t>
            </w:r>
            <w:r/>
          </w:p>
        </w:tc>
      </w:tr>
      <w:tr>
        <w:trPr>
          <w:jc w:val="center"/>
          <w:trHeight w:val="0"/>
        </w:trPr>
        <w:tc>
          <w:tcPr>
            <w:tcW w:w="765" w:type="dxa"/>
            <w:vAlign w:val="center"/>
            <w:textDirection w:val="lrTb"/>
            <w:noWrap w:val="false"/>
          </w:tcPr>
          <w:p>
            <w:pPr>
              <w:ind w:left="0" w:right="0" w:firstLine="0"/>
              <w:jc w:val="center"/>
              <w:spacing w:line="240" w:lineRule="auto"/>
              <w:rPr>
                <w:rFonts w:ascii="宋体" w:eastAsia="宋体"/>
                <w:sz w:val="19"/>
                <w:highlight w:val="none"/>
              </w:rPr>
            </w:pPr>
            <w:r>
              <w:rPr>
                <w:rFonts w:ascii="宋体" w:hAnsi="宋体" w:eastAsia="宋体"/>
                <w:b w:val="0"/>
                <w:sz w:val="19"/>
                <w:highlight w:val="none"/>
              </w:rPr>
              <w:t xml:space="preserve">2</w:t>
            </w:r>
            <w:r/>
          </w:p>
        </w:tc>
        <w:tc>
          <w:tcPr>
            <w:tcW w:w="1907" w:type="dxa"/>
            <w:vAlign w:val="center"/>
            <w:textDirection w:val="lrTb"/>
            <w:noWrap w:val="false"/>
          </w:tcPr>
          <w:p>
            <w:pPr>
              <w:ind w:left="0" w:right="0" w:firstLine="0"/>
              <w:jc w:val="left"/>
              <w:spacing w:line="240" w:lineRule="auto"/>
              <w:rPr>
                <w:rFonts w:hint="eastAsia" w:ascii="宋体" w:eastAsia="宋体"/>
                <w:sz w:val="19"/>
                <w:highlight w:val="none"/>
                <w:lang w:eastAsia="zh-CN"/>
              </w:rPr>
            </w:pPr>
            <w:r>
              <w:rPr>
                <w:rFonts w:ascii="宋体" w:hAnsi="宋体" w:eastAsia="宋体"/>
                <w:b w:val="0"/>
                <w:sz w:val="19"/>
                <w:highlight w:val="none"/>
              </w:rPr>
              <w:t xml:space="preserve">显示投影/光学引擎组件</w:t>
            </w:r>
            <w:r>
              <w:rPr>
                <w:rFonts w:hint="eastAsia" w:ascii="宋体" w:hAnsi="宋体"/>
                <w:b w:val="0"/>
                <w:sz w:val="19"/>
                <w:highlight w:val="none"/>
                <w:lang w:eastAsia="zh-CN"/>
              </w:rPr>
              <w:t xml:space="preserve">（</w:t>
            </w:r>
            <w:r>
              <w:rPr>
                <w:rFonts w:hint="eastAsia" w:ascii="宋体" w:hAnsi="宋体"/>
                <w:b w:val="0"/>
                <w:sz w:val="19"/>
                <w:highlight w:val="none"/>
                <w:lang w:val="en-US" w:eastAsia="zh-CN"/>
              </w:rPr>
              <w:t xml:space="preserve">包含配套电源板、主控板、信号输入板</w:t>
            </w:r>
            <w:r>
              <w:rPr>
                <w:rFonts w:hint="eastAsia" w:ascii="宋体" w:hAnsi="宋体"/>
                <w:b w:val="0"/>
                <w:sz w:val="19"/>
                <w:highlight w:val="none"/>
                <w:lang w:eastAsia="zh-CN"/>
              </w:rPr>
              <w:t xml:space="preserve">）</w:t>
            </w:r>
            <w:r/>
          </w:p>
        </w:tc>
        <w:tc>
          <w:tcPr>
            <w:tcW w:w="3939" w:type="dxa"/>
            <w:vAlign w:val="center"/>
            <w:textDirection w:val="lrTb"/>
            <w:noWrap w:val="false"/>
          </w:tcPr>
          <w:p>
            <w:pPr>
              <w:ind w:left="0" w:right="0" w:firstLine="0"/>
              <w:jc w:val="left"/>
              <w:spacing w:line="240" w:lineRule="auto"/>
              <w:rPr>
                <w:rFonts w:ascii="宋体" w:eastAsia="宋体"/>
                <w:sz w:val="19"/>
                <w:highlight w:val="none"/>
              </w:rPr>
            </w:pPr>
            <w:r>
              <w:rPr>
                <w:rFonts w:ascii="宋体" w:hAnsi="宋体" w:eastAsia="宋体"/>
                <w:b w:val="0"/>
                <w:sz w:val="19"/>
                <w:highlight w:val="none"/>
              </w:rPr>
              <w:t xml:space="preserve">光学结构、成像芯片、亮度及色彩性能不低于原组件，安装尺寸及控制接口与原机一致。</w:t>
            </w:r>
            <w:r/>
          </w:p>
        </w:tc>
        <w:tc>
          <w:tcPr>
            <w:tcW w:w="1146" w:type="dxa"/>
            <w:vAlign w:val="center"/>
            <w:textDirection w:val="lrTb"/>
            <w:noWrap w:val="false"/>
          </w:tcPr>
          <w:p>
            <w:pPr>
              <w:ind w:left="0" w:right="0" w:firstLine="0"/>
              <w:jc w:val="center"/>
              <w:spacing w:line="240" w:lineRule="auto"/>
              <w:rPr>
                <w:rFonts w:ascii="宋体" w:eastAsia="宋体"/>
                <w:sz w:val="19"/>
                <w:highlight w:val="none"/>
              </w:rPr>
            </w:pPr>
            <w:r>
              <w:rPr>
                <w:rFonts w:ascii="宋体" w:hAnsi="宋体" w:eastAsia="宋体"/>
                <w:b w:val="0"/>
                <w:sz w:val="19"/>
                <w:highlight w:val="none"/>
              </w:rPr>
              <w:t xml:space="preserve">4</w:t>
            </w:r>
            <w:r/>
          </w:p>
        </w:tc>
        <w:tc>
          <w:tcPr>
            <w:tcW w:w="765" w:type="dxa"/>
            <w:vAlign w:val="center"/>
            <w:textDirection w:val="lrTb"/>
            <w:noWrap w:val="false"/>
          </w:tcPr>
          <w:p>
            <w:pPr>
              <w:ind w:left="0" w:right="0" w:firstLine="0"/>
              <w:jc w:val="center"/>
              <w:spacing w:line="240" w:lineRule="auto"/>
              <w:rPr>
                <w:rFonts w:ascii="宋体" w:eastAsia="宋体"/>
                <w:sz w:val="19"/>
                <w:highlight w:val="none"/>
              </w:rPr>
            </w:pPr>
            <w:r>
              <w:rPr>
                <w:rFonts w:ascii="宋体" w:hAnsi="宋体" w:eastAsia="宋体"/>
                <w:b w:val="0"/>
                <w:sz w:val="19"/>
                <w:highlight w:val="none"/>
              </w:rPr>
              <w:t xml:space="preserve">套</w:t>
            </w:r>
            <w:r/>
          </w:p>
        </w:tc>
      </w:tr>
      <w:tr>
        <w:trPr>
          <w:jc w:val="center"/>
          <w:trHeight w:val="0"/>
        </w:trPr>
        <w:tc>
          <w:tcPr>
            <w:tcW w:w="765" w:type="dxa"/>
            <w:vAlign w:val="center"/>
            <w:textDirection w:val="lrTb"/>
            <w:noWrap w:val="false"/>
          </w:tcPr>
          <w:p>
            <w:pPr>
              <w:ind w:left="0" w:right="0" w:firstLine="0"/>
              <w:jc w:val="center"/>
              <w:spacing w:line="240" w:lineRule="auto"/>
              <w:rPr>
                <w:rFonts w:hint="eastAsia" w:ascii="宋体" w:eastAsia="宋体"/>
                <w:sz w:val="19"/>
                <w:highlight w:val="none"/>
                <w:lang w:eastAsia="zh-CN"/>
              </w:rPr>
            </w:pPr>
            <w:r>
              <w:rPr>
                <w:rFonts w:hint="eastAsia" w:ascii="宋体" w:hAnsi="宋体"/>
                <w:b w:val="0"/>
                <w:sz w:val="19"/>
                <w:highlight w:val="none"/>
                <w:lang w:val="en-US" w:eastAsia="zh-CN"/>
              </w:rPr>
              <w:t xml:space="preserve">4</w:t>
            </w:r>
            <w:r/>
          </w:p>
        </w:tc>
        <w:tc>
          <w:tcPr>
            <w:tcW w:w="1907" w:type="dxa"/>
            <w:vAlign w:val="center"/>
            <w:textDirection w:val="lrTb"/>
            <w:noWrap w:val="false"/>
          </w:tcPr>
          <w:p>
            <w:pPr>
              <w:ind w:left="0" w:right="0" w:firstLine="0"/>
              <w:jc w:val="left"/>
              <w:spacing w:line="240" w:lineRule="auto"/>
              <w:rPr>
                <w:rFonts w:hint="eastAsia" w:ascii="宋体" w:eastAsia="宋体"/>
                <w:sz w:val="19"/>
                <w:highlight w:val="none"/>
                <w:lang w:eastAsia="zh-CN"/>
              </w:rPr>
            </w:pPr>
            <w:r>
              <w:rPr>
                <w:rFonts w:ascii="宋体" w:hAnsi="宋体" w:eastAsia="宋体"/>
                <w:b w:val="0"/>
                <w:sz w:val="19"/>
                <w:highlight w:val="none"/>
              </w:rPr>
              <w:t xml:space="preserve">Ark多屏处理器应急备用整机</w:t>
            </w:r>
            <w:r/>
          </w:p>
        </w:tc>
        <w:tc>
          <w:tcPr>
            <w:tcW w:w="3939" w:type="dxa"/>
            <w:vAlign w:val="center"/>
            <w:textDirection w:val="lrTb"/>
            <w:noWrap w:val="false"/>
          </w:tcPr>
          <w:p>
            <w:pPr>
              <w:ind w:left="0" w:right="0" w:firstLine="0"/>
              <w:jc w:val="left"/>
              <w:spacing w:line="240" w:lineRule="auto"/>
              <w:rPr>
                <w:rFonts w:ascii="宋体" w:eastAsia="宋体"/>
                <w:sz w:val="19"/>
                <w:highlight w:val="none"/>
              </w:rPr>
            </w:pPr>
            <w:r>
              <w:rPr>
                <w:rFonts w:ascii="宋体" w:hAnsi="宋体" w:eastAsia="宋体"/>
                <w:b w:val="0"/>
                <w:sz w:val="19"/>
                <w:highlight w:val="none"/>
              </w:rPr>
              <w:t xml:space="preserve">输入输出规模、处理能力、图像同步、窗口拼接及控制协议不低于现有设备，至少满足64路DVI输出及现有输入接入需求。</w:t>
            </w:r>
            <w:r/>
          </w:p>
        </w:tc>
        <w:tc>
          <w:tcPr>
            <w:tcW w:w="1146" w:type="dxa"/>
            <w:vAlign w:val="center"/>
            <w:textDirection w:val="lrTb"/>
            <w:noWrap w:val="false"/>
          </w:tcPr>
          <w:p>
            <w:pPr>
              <w:ind w:left="0" w:right="0" w:firstLine="0"/>
              <w:jc w:val="center"/>
              <w:spacing w:line="240" w:lineRule="auto"/>
              <w:rPr>
                <w:rFonts w:ascii="宋体" w:eastAsia="宋体"/>
                <w:sz w:val="19"/>
                <w:highlight w:val="none"/>
              </w:rPr>
            </w:pPr>
            <w:r>
              <w:rPr>
                <w:rFonts w:ascii="宋体" w:hAnsi="宋体" w:eastAsia="宋体"/>
                <w:b w:val="0"/>
                <w:sz w:val="19"/>
                <w:highlight w:val="none"/>
              </w:rPr>
              <w:t xml:space="preserve">1</w:t>
            </w:r>
            <w:r/>
          </w:p>
        </w:tc>
        <w:tc>
          <w:tcPr>
            <w:tcW w:w="765" w:type="dxa"/>
            <w:vAlign w:val="center"/>
            <w:textDirection w:val="lrTb"/>
            <w:noWrap w:val="false"/>
          </w:tcPr>
          <w:p>
            <w:pPr>
              <w:ind w:left="0" w:right="0" w:firstLine="0"/>
              <w:jc w:val="center"/>
              <w:spacing w:line="240" w:lineRule="auto"/>
              <w:rPr>
                <w:rFonts w:ascii="宋体" w:eastAsia="宋体"/>
                <w:sz w:val="19"/>
                <w:highlight w:val="none"/>
              </w:rPr>
            </w:pPr>
            <w:r>
              <w:rPr>
                <w:rFonts w:ascii="宋体" w:hAnsi="宋体" w:eastAsia="宋体"/>
                <w:b w:val="0"/>
                <w:sz w:val="19"/>
                <w:highlight w:val="none"/>
              </w:rPr>
              <w:t xml:space="preserve">套</w:t>
            </w:r>
            <w:r/>
          </w:p>
        </w:tc>
      </w:tr>
      <w:tr>
        <w:trPr>
          <w:jc w:val="center"/>
          <w:trHeight w:val="0"/>
        </w:trPr>
        <w:tc>
          <w:tcPr>
            <w:tcW w:w="765" w:type="dxa"/>
            <w:vAlign w:val="center"/>
            <w:textDirection w:val="lrTb"/>
            <w:noWrap w:val="false"/>
          </w:tcPr>
          <w:p>
            <w:pPr>
              <w:ind w:left="0" w:right="0" w:firstLine="0"/>
              <w:jc w:val="center"/>
              <w:spacing w:line="240" w:lineRule="auto"/>
              <w:rPr>
                <w:rFonts w:hint="eastAsia" w:ascii="宋体" w:eastAsia="宋体"/>
                <w:sz w:val="19"/>
                <w:highlight w:val="none"/>
                <w:lang w:eastAsia="zh-CN"/>
              </w:rPr>
            </w:pPr>
            <w:r>
              <w:rPr>
                <w:rFonts w:hint="eastAsia" w:ascii="宋体" w:hAnsi="宋体"/>
                <w:b w:val="0"/>
                <w:sz w:val="19"/>
                <w:highlight w:val="none"/>
                <w:lang w:val="en-US" w:eastAsia="zh-CN"/>
              </w:rPr>
              <w:t xml:space="preserve">5</w:t>
            </w:r>
            <w:r/>
          </w:p>
        </w:tc>
        <w:tc>
          <w:tcPr>
            <w:tcW w:w="1907" w:type="dxa"/>
            <w:vAlign w:val="center"/>
            <w:textDirection w:val="lrTb"/>
            <w:noWrap w:val="false"/>
          </w:tcPr>
          <w:p>
            <w:pPr>
              <w:ind w:left="0" w:right="0" w:firstLine="0"/>
              <w:jc w:val="left"/>
              <w:spacing w:line="240" w:lineRule="auto"/>
              <w:rPr>
                <w:rFonts w:ascii="宋体" w:eastAsia="宋体"/>
                <w:sz w:val="19"/>
                <w:highlight w:val="none"/>
              </w:rPr>
            </w:pPr>
            <w:r>
              <w:rPr>
                <w:rFonts w:ascii="宋体" w:hAnsi="宋体" w:eastAsia="宋体"/>
                <w:b w:val="0"/>
                <w:sz w:val="19"/>
                <w:highlight w:val="none"/>
              </w:rPr>
              <w:t xml:space="preserve">多屏处理器主控卡</w:t>
            </w:r>
            <w:r/>
          </w:p>
        </w:tc>
        <w:tc>
          <w:tcPr>
            <w:tcW w:w="3939" w:type="dxa"/>
            <w:vAlign w:val="center"/>
            <w:textDirection w:val="lrTb"/>
            <w:noWrap w:val="false"/>
          </w:tcPr>
          <w:p>
            <w:pPr>
              <w:ind w:left="0" w:right="0" w:firstLine="0"/>
              <w:jc w:val="left"/>
              <w:spacing w:line="240" w:lineRule="auto"/>
              <w:rPr>
                <w:rFonts w:ascii="宋体" w:eastAsia="宋体"/>
                <w:sz w:val="19"/>
                <w:highlight w:val="none"/>
              </w:rPr>
            </w:pPr>
            <w:r>
              <w:rPr>
                <w:rFonts w:ascii="宋体" w:hAnsi="宋体" w:eastAsia="宋体"/>
                <w:b w:val="0"/>
                <w:sz w:val="19"/>
                <w:highlight w:val="none"/>
              </w:rPr>
              <w:t xml:space="preserve">固件、背板接口、控制协议及系统软件兼容现有多屏处理器。</w:t>
            </w:r>
            <w:r/>
          </w:p>
        </w:tc>
        <w:tc>
          <w:tcPr>
            <w:tcW w:w="1146" w:type="dxa"/>
            <w:vAlign w:val="center"/>
            <w:textDirection w:val="lrTb"/>
            <w:noWrap w:val="false"/>
          </w:tcPr>
          <w:p>
            <w:pPr>
              <w:ind w:left="0" w:right="0" w:firstLine="0"/>
              <w:jc w:val="center"/>
              <w:spacing w:line="240" w:lineRule="auto"/>
              <w:rPr>
                <w:rFonts w:ascii="宋体" w:eastAsia="宋体"/>
                <w:sz w:val="19"/>
                <w:highlight w:val="none"/>
              </w:rPr>
            </w:pPr>
            <w:r>
              <w:rPr>
                <w:rFonts w:ascii="宋体" w:hAnsi="宋体" w:eastAsia="宋体"/>
                <w:b w:val="0"/>
                <w:sz w:val="19"/>
                <w:highlight w:val="none"/>
              </w:rPr>
              <w:t xml:space="preserve">2</w:t>
            </w:r>
            <w:r/>
          </w:p>
        </w:tc>
        <w:tc>
          <w:tcPr>
            <w:tcW w:w="765" w:type="dxa"/>
            <w:vAlign w:val="center"/>
            <w:textDirection w:val="lrTb"/>
            <w:noWrap w:val="false"/>
          </w:tcPr>
          <w:p>
            <w:pPr>
              <w:ind w:left="0" w:right="0" w:firstLine="0"/>
              <w:jc w:val="center"/>
              <w:spacing w:line="240" w:lineRule="auto"/>
              <w:rPr>
                <w:rFonts w:ascii="宋体" w:eastAsia="宋体"/>
                <w:sz w:val="19"/>
                <w:highlight w:val="none"/>
              </w:rPr>
            </w:pPr>
            <w:r>
              <w:rPr>
                <w:rFonts w:ascii="宋体" w:hAnsi="宋体" w:eastAsia="宋体"/>
                <w:b w:val="0"/>
                <w:sz w:val="19"/>
                <w:highlight w:val="none"/>
              </w:rPr>
              <w:t xml:space="preserve">块</w:t>
            </w:r>
            <w:r/>
          </w:p>
        </w:tc>
      </w:tr>
      <w:tr>
        <w:trPr>
          <w:jc w:val="center"/>
          <w:trHeight w:val="0"/>
        </w:trPr>
        <w:tc>
          <w:tcPr>
            <w:tcW w:w="765" w:type="dxa"/>
            <w:vAlign w:val="center"/>
            <w:textDirection w:val="lrTb"/>
            <w:noWrap w:val="false"/>
          </w:tcPr>
          <w:p>
            <w:pPr>
              <w:ind w:left="0" w:right="0" w:firstLine="0"/>
              <w:jc w:val="center"/>
              <w:spacing w:line="240" w:lineRule="auto"/>
              <w:rPr>
                <w:rFonts w:hint="eastAsia" w:ascii="宋体" w:eastAsia="宋体"/>
                <w:sz w:val="19"/>
                <w:highlight w:val="none"/>
                <w:lang w:eastAsia="zh-CN"/>
              </w:rPr>
            </w:pPr>
            <w:r>
              <w:rPr>
                <w:rFonts w:hint="eastAsia" w:ascii="宋体" w:hAnsi="宋体"/>
                <w:b w:val="0"/>
                <w:sz w:val="19"/>
                <w:highlight w:val="none"/>
                <w:lang w:val="en-US" w:eastAsia="zh-CN"/>
              </w:rPr>
              <w:t xml:space="preserve">6</w:t>
            </w:r>
            <w:r/>
          </w:p>
        </w:tc>
        <w:tc>
          <w:tcPr>
            <w:tcW w:w="1907" w:type="dxa"/>
            <w:vAlign w:val="center"/>
            <w:textDirection w:val="lrTb"/>
            <w:noWrap w:val="false"/>
          </w:tcPr>
          <w:p>
            <w:pPr>
              <w:ind w:left="0" w:right="0" w:firstLine="0"/>
              <w:jc w:val="left"/>
              <w:spacing w:line="240" w:lineRule="auto"/>
              <w:rPr>
                <w:rFonts w:ascii="宋体" w:eastAsia="宋体"/>
                <w:sz w:val="19"/>
                <w:highlight w:val="none"/>
              </w:rPr>
            </w:pPr>
            <w:r>
              <w:rPr>
                <w:rFonts w:ascii="宋体" w:hAnsi="宋体" w:eastAsia="宋体"/>
                <w:b w:val="0"/>
                <w:sz w:val="19"/>
                <w:highlight w:val="none"/>
              </w:rPr>
              <w:t xml:space="preserve">多屏处理器DVI输出卡</w:t>
            </w:r>
            <w:r/>
          </w:p>
        </w:tc>
        <w:tc>
          <w:tcPr>
            <w:tcW w:w="3939" w:type="dxa"/>
            <w:vAlign w:val="center"/>
            <w:textDirection w:val="lrTb"/>
            <w:noWrap w:val="false"/>
          </w:tcPr>
          <w:p>
            <w:pPr>
              <w:ind w:left="0" w:right="0" w:firstLine="0"/>
              <w:jc w:val="left"/>
              <w:spacing w:line="240" w:lineRule="auto"/>
              <w:rPr>
                <w:rFonts w:ascii="宋体" w:eastAsia="宋体"/>
                <w:sz w:val="19"/>
                <w:highlight w:val="none"/>
              </w:rPr>
            </w:pPr>
            <w:r>
              <w:rPr>
                <w:rFonts w:ascii="宋体" w:hAnsi="宋体" w:eastAsia="宋体"/>
                <w:b w:val="0"/>
                <w:sz w:val="19"/>
                <w:highlight w:val="none"/>
              </w:rPr>
              <w:t xml:space="preserve">单卡通道数、输出分辨率、同步性能及接口数量不低于原输出卡。</w:t>
            </w:r>
            <w:r/>
          </w:p>
        </w:tc>
        <w:tc>
          <w:tcPr>
            <w:tcW w:w="1146" w:type="dxa"/>
            <w:vAlign w:val="center"/>
            <w:textDirection w:val="lrTb"/>
            <w:noWrap w:val="false"/>
          </w:tcPr>
          <w:p>
            <w:pPr>
              <w:ind w:left="0" w:right="0" w:firstLine="0"/>
              <w:jc w:val="center"/>
              <w:spacing w:line="240" w:lineRule="auto"/>
              <w:rPr>
                <w:rFonts w:ascii="宋体" w:eastAsia="宋体"/>
                <w:sz w:val="19"/>
                <w:highlight w:val="none"/>
              </w:rPr>
            </w:pPr>
            <w:r>
              <w:rPr>
                <w:rFonts w:ascii="宋体" w:hAnsi="宋体" w:eastAsia="宋体"/>
                <w:b w:val="0"/>
                <w:sz w:val="19"/>
                <w:highlight w:val="none"/>
              </w:rPr>
              <w:t xml:space="preserve">4</w:t>
            </w:r>
            <w:r/>
          </w:p>
        </w:tc>
        <w:tc>
          <w:tcPr>
            <w:tcW w:w="765" w:type="dxa"/>
            <w:vAlign w:val="center"/>
            <w:textDirection w:val="lrTb"/>
            <w:noWrap w:val="false"/>
          </w:tcPr>
          <w:p>
            <w:pPr>
              <w:ind w:left="0" w:right="0" w:firstLine="0"/>
              <w:jc w:val="center"/>
              <w:spacing w:line="240" w:lineRule="auto"/>
              <w:rPr>
                <w:rFonts w:ascii="宋体" w:eastAsia="宋体"/>
                <w:sz w:val="19"/>
                <w:highlight w:val="none"/>
              </w:rPr>
            </w:pPr>
            <w:r>
              <w:rPr>
                <w:rFonts w:ascii="宋体" w:hAnsi="宋体" w:eastAsia="宋体"/>
                <w:b w:val="0"/>
                <w:sz w:val="19"/>
                <w:highlight w:val="none"/>
              </w:rPr>
              <w:t xml:space="preserve">块</w:t>
            </w:r>
            <w:r/>
          </w:p>
        </w:tc>
      </w:tr>
      <w:tr>
        <w:trPr>
          <w:jc w:val="center"/>
          <w:trHeight w:val="0"/>
        </w:trPr>
        <w:tc>
          <w:tcPr>
            <w:tcW w:w="765" w:type="dxa"/>
            <w:vAlign w:val="center"/>
            <w:textDirection w:val="lrTb"/>
            <w:noWrap w:val="false"/>
          </w:tcPr>
          <w:p>
            <w:pPr>
              <w:ind w:left="0" w:right="0" w:firstLine="0"/>
              <w:jc w:val="center"/>
              <w:spacing w:line="240" w:lineRule="auto"/>
              <w:rPr>
                <w:rFonts w:hint="eastAsia" w:ascii="宋体" w:eastAsia="宋体"/>
                <w:sz w:val="19"/>
                <w:highlight w:val="none"/>
                <w:lang w:eastAsia="zh-CN"/>
              </w:rPr>
            </w:pPr>
            <w:r>
              <w:rPr>
                <w:rFonts w:hint="eastAsia" w:ascii="宋体" w:hAnsi="宋体"/>
                <w:b w:val="0"/>
                <w:sz w:val="19"/>
                <w:highlight w:val="none"/>
                <w:lang w:val="en-US" w:eastAsia="zh-CN"/>
              </w:rPr>
              <w:t xml:space="preserve">7</w:t>
            </w:r>
            <w:r/>
          </w:p>
        </w:tc>
        <w:tc>
          <w:tcPr>
            <w:tcW w:w="1907" w:type="dxa"/>
            <w:vAlign w:val="center"/>
            <w:textDirection w:val="lrTb"/>
            <w:noWrap w:val="false"/>
          </w:tcPr>
          <w:p>
            <w:pPr>
              <w:ind w:left="0" w:right="0" w:firstLine="0"/>
              <w:jc w:val="left"/>
              <w:spacing w:line="240" w:lineRule="auto"/>
              <w:rPr>
                <w:rFonts w:ascii="宋体" w:eastAsia="宋体"/>
                <w:sz w:val="19"/>
                <w:highlight w:val="none"/>
              </w:rPr>
            </w:pPr>
            <w:r>
              <w:rPr>
                <w:rFonts w:ascii="宋体" w:hAnsi="宋体" w:eastAsia="宋体"/>
                <w:b w:val="0"/>
                <w:sz w:val="19"/>
                <w:highlight w:val="none"/>
              </w:rPr>
              <w:t xml:space="preserve">多屏处理器DVI输入卡</w:t>
            </w:r>
            <w:r/>
          </w:p>
        </w:tc>
        <w:tc>
          <w:tcPr>
            <w:tcW w:w="3939" w:type="dxa"/>
            <w:vAlign w:val="center"/>
            <w:textDirection w:val="lrTb"/>
            <w:noWrap w:val="false"/>
          </w:tcPr>
          <w:p>
            <w:pPr>
              <w:ind w:left="0" w:right="0" w:firstLine="0"/>
              <w:jc w:val="left"/>
              <w:spacing w:line="240" w:lineRule="auto"/>
              <w:rPr>
                <w:rFonts w:ascii="宋体" w:eastAsia="宋体"/>
                <w:sz w:val="19"/>
                <w:highlight w:val="none"/>
              </w:rPr>
            </w:pPr>
            <w:r>
              <w:rPr>
                <w:rFonts w:ascii="宋体" w:hAnsi="宋体" w:eastAsia="宋体"/>
                <w:b w:val="0"/>
                <w:sz w:val="19"/>
                <w:highlight w:val="none"/>
              </w:rPr>
              <w:t xml:space="preserve">支持现有DVI信号格式、分辨率及EDID管理，与原机背板兼容。</w:t>
            </w:r>
            <w:r/>
          </w:p>
        </w:tc>
        <w:tc>
          <w:tcPr>
            <w:tcW w:w="1146" w:type="dxa"/>
            <w:vAlign w:val="center"/>
            <w:textDirection w:val="lrTb"/>
            <w:noWrap w:val="false"/>
          </w:tcPr>
          <w:p>
            <w:pPr>
              <w:ind w:left="0" w:right="0" w:firstLine="0"/>
              <w:jc w:val="center"/>
              <w:spacing w:line="240" w:lineRule="auto"/>
              <w:rPr>
                <w:rFonts w:ascii="宋体" w:eastAsia="宋体"/>
                <w:sz w:val="19"/>
                <w:highlight w:val="none"/>
              </w:rPr>
            </w:pPr>
            <w:r>
              <w:rPr>
                <w:rFonts w:ascii="宋体" w:hAnsi="宋体" w:eastAsia="宋体"/>
                <w:b w:val="0"/>
                <w:sz w:val="19"/>
                <w:highlight w:val="none"/>
              </w:rPr>
              <w:t xml:space="preserve">2</w:t>
            </w:r>
            <w:r/>
          </w:p>
        </w:tc>
        <w:tc>
          <w:tcPr>
            <w:tcW w:w="765" w:type="dxa"/>
            <w:vAlign w:val="center"/>
            <w:textDirection w:val="lrTb"/>
            <w:noWrap w:val="false"/>
          </w:tcPr>
          <w:p>
            <w:pPr>
              <w:ind w:left="0" w:right="0" w:firstLine="0"/>
              <w:jc w:val="center"/>
              <w:spacing w:line="240" w:lineRule="auto"/>
              <w:rPr>
                <w:rFonts w:ascii="宋体" w:eastAsia="宋体"/>
                <w:sz w:val="19"/>
                <w:highlight w:val="none"/>
              </w:rPr>
            </w:pPr>
            <w:r>
              <w:rPr>
                <w:rFonts w:ascii="宋体" w:hAnsi="宋体" w:eastAsia="宋体"/>
                <w:b w:val="0"/>
                <w:sz w:val="19"/>
                <w:highlight w:val="none"/>
              </w:rPr>
              <w:t xml:space="preserve">块</w:t>
            </w:r>
            <w:r/>
          </w:p>
        </w:tc>
      </w:tr>
      <w:tr>
        <w:trPr>
          <w:jc w:val="center"/>
          <w:trHeight w:val="0"/>
        </w:trPr>
        <w:tc>
          <w:tcPr>
            <w:tcW w:w="765" w:type="dxa"/>
            <w:vAlign w:val="center"/>
            <w:textDirection w:val="lrTb"/>
            <w:noWrap w:val="false"/>
          </w:tcPr>
          <w:p>
            <w:pPr>
              <w:ind w:left="0" w:right="0" w:firstLine="0"/>
              <w:jc w:val="center"/>
              <w:spacing w:line="240" w:lineRule="auto"/>
              <w:rPr>
                <w:rFonts w:hint="eastAsia" w:ascii="宋体" w:eastAsia="宋体"/>
                <w:sz w:val="19"/>
                <w:highlight w:val="none"/>
                <w:lang w:eastAsia="zh-CN"/>
              </w:rPr>
            </w:pPr>
            <w:r>
              <w:rPr>
                <w:rFonts w:hint="eastAsia" w:ascii="宋体" w:hAnsi="宋体"/>
                <w:b w:val="0"/>
                <w:sz w:val="19"/>
                <w:highlight w:val="none"/>
                <w:lang w:val="en-US" w:eastAsia="zh-CN"/>
              </w:rPr>
              <w:t xml:space="preserve">8</w:t>
            </w:r>
            <w:r/>
          </w:p>
        </w:tc>
        <w:tc>
          <w:tcPr>
            <w:tcW w:w="1907" w:type="dxa"/>
            <w:vAlign w:val="center"/>
            <w:textDirection w:val="lrTb"/>
            <w:noWrap w:val="false"/>
          </w:tcPr>
          <w:p>
            <w:pPr>
              <w:ind w:left="0" w:right="0" w:firstLine="0"/>
              <w:jc w:val="left"/>
              <w:spacing w:line="240" w:lineRule="auto"/>
              <w:rPr>
                <w:rFonts w:ascii="宋体" w:eastAsia="宋体"/>
                <w:sz w:val="19"/>
                <w:highlight w:val="none"/>
              </w:rPr>
            </w:pPr>
            <w:r>
              <w:rPr>
                <w:rFonts w:ascii="宋体" w:hAnsi="宋体" w:eastAsia="宋体"/>
                <w:b w:val="0"/>
                <w:sz w:val="19"/>
                <w:highlight w:val="none"/>
              </w:rPr>
              <w:t xml:space="preserve">多屏处理器HDMI输入卡</w:t>
            </w:r>
            <w:r/>
          </w:p>
        </w:tc>
        <w:tc>
          <w:tcPr>
            <w:tcW w:w="3939" w:type="dxa"/>
            <w:vAlign w:val="center"/>
            <w:textDirection w:val="lrTb"/>
            <w:noWrap w:val="false"/>
          </w:tcPr>
          <w:p>
            <w:pPr>
              <w:ind w:left="0" w:right="0" w:firstLine="0"/>
              <w:jc w:val="left"/>
              <w:spacing w:line="240" w:lineRule="auto"/>
              <w:rPr>
                <w:rFonts w:ascii="宋体" w:eastAsia="宋体"/>
                <w:sz w:val="19"/>
                <w:highlight w:val="none"/>
              </w:rPr>
            </w:pPr>
            <w:r>
              <w:rPr>
                <w:rFonts w:ascii="宋体" w:hAnsi="宋体" w:eastAsia="宋体"/>
                <w:b w:val="0"/>
                <w:sz w:val="19"/>
                <w:highlight w:val="none"/>
              </w:rPr>
              <w:t xml:space="preserve">支持现有HDMI输入、分辨率及音视频兼容要求，与原机背板兼容。</w:t>
            </w:r>
            <w:r/>
          </w:p>
        </w:tc>
        <w:tc>
          <w:tcPr>
            <w:tcW w:w="1146" w:type="dxa"/>
            <w:vAlign w:val="center"/>
            <w:textDirection w:val="lrTb"/>
            <w:noWrap w:val="false"/>
          </w:tcPr>
          <w:p>
            <w:pPr>
              <w:ind w:left="0" w:right="0" w:firstLine="0"/>
              <w:jc w:val="center"/>
              <w:spacing w:line="240" w:lineRule="auto"/>
              <w:rPr>
                <w:rFonts w:ascii="宋体" w:eastAsia="宋体"/>
                <w:sz w:val="19"/>
                <w:highlight w:val="none"/>
              </w:rPr>
            </w:pPr>
            <w:r>
              <w:rPr>
                <w:rFonts w:ascii="宋体" w:hAnsi="宋体" w:eastAsia="宋体"/>
                <w:b w:val="0"/>
                <w:sz w:val="19"/>
                <w:highlight w:val="none"/>
              </w:rPr>
              <w:t xml:space="preserve">2</w:t>
            </w:r>
            <w:r/>
          </w:p>
        </w:tc>
        <w:tc>
          <w:tcPr>
            <w:tcW w:w="765" w:type="dxa"/>
            <w:vAlign w:val="center"/>
            <w:textDirection w:val="lrTb"/>
            <w:noWrap w:val="false"/>
          </w:tcPr>
          <w:p>
            <w:pPr>
              <w:ind w:left="0" w:right="0" w:firstLine="0"/>
              <w:jc w:val="center"/>
              <w:spacing w:line="240" w:lineRule="auto"/>
              <w:rPr>
                <w:rFonts w:ascii="宋体" w:eastAsia="宋体"/>
                <w:sz w:val="19"/>
                <w:highlight w:val="none"/>
              </w:rPr>
            </w:pPr>
            <w:r>
              <w:rPr>
                <w:rFonts w:ascii="宋体" w:hAnsi="宋体" w:eastAsia="宋体"/>
                <w:b w:val="0"/>
                <w:sz w:val="19"/>
                <w:highlight w:val="none"/>
              </w:rPr>
              <w:t xml:space="preserve">块</w:t>
            </w:r>
            <w:r/>
          </w:p>
        </w:tc>
      </w:tr>
      <w:tr>
        <w:trPr>
          <w:jc w:val="center"/>
          <w:trHeight w:val="0"/>
        </w:trPr>
        <w:tc>
          <w:tcPr>
            <w:tcW w:w="765" w:type="dxa"/>
            <w:vAlign w:val="center"/>
            <w:textDirection w:val="lrTb"/>
            <w:noWrap w:val="false"/>
          </w:tcPr>
          <w:p>
            <w:pPr>
              <w:ind w:left="0" w:right="0" w:firstLine="0"/>
              <w:jc w:val="center"/>
              <w:spacing w:line="240" w:lineRule="auto"/>
              <w:rPr>
                <w:rFonts w:hint="eastAsia" w:ascii="宋体" w:eastAsia="宋体"/>
                <w:sz w:val="19"/>
                <w:highlight w:val="none"/>
                <w:lang w:eastAsia="zh-CN"/>
              </w:rPr>
            </w:pPr>
            <w:r>
              <w:rPr>
                <w:rFonts w:hint="eastAsia" w:ascii="宋体" w:hAnsi="宋体"/>
                <w:b w:val="0"/>
                <w:sz w:val="19"/>
                <w:highlight w:val="none"/>
                <w:lang w:val="en-US" w:eastAsia="zh-CN"/>
              </w:rPr>
              <w:t xml:space="preserve">9</w:t>
            </w:r>
            <w:r/>
          </w:p>
        </w:tc>
        <w:tc>
          <w:tcPr>
            <w:tcW w:w="1907" w:type="dxa"/>
            <w:vAlign w:val="center"/>
            <w:textDirection w:val="lrTb"/>
            <w:noWrap w:val="false"/>
          </w:tcPr>
          <w:p>
            <w:pPr>
              <w:ind w:left="0" w:right="0" w:firstLine="0"/>
              <w:jc w:val="left"/>
              <w:spacing w:line="240" w:lineRule="auto"/>
              <w:rPr>
                <w:rFonts w:ascii="宋体" w:eastAsia="宋体"/>
                <w:sz w:val="19"/>
                <w:highlight w:val="none"/>
              </w:rPr>
            </w:pPr>
            <w:r>
              <w:rPr>
                <w:rFonts w:ascii="宋体" w:hAnsi="宋体" w:eastAsia="宋体"/>
                <w:b w:val="0"/>
                <w:sz w:val="19"/>
                <w:highlight w:val="none"/>
              </w:rPr>
              <w:t xml:space="preserve">多屏处理器Video/RGB输入卡</w:t>
            </w:r>
            <w:r/>
          </w:p>
        </w:tc>
        <w:tc>
          <w:tcPr>
            <w:tcW w:w="3939" w:type="dxa"/>
            <w:vAlign w:val="center"/>
            <w:textDirection w:val="lrTb"/>
            <w:noWrap w:val="false"/>
          </w:tcPr>
          <w:p>
            <w:pPr>
              <w:ind w:left="0" w:right="0" w:firstLine="0"/>
              <w:jc w:val="left"/>
              <w:spacing w:line="240" w:lineRule="auto"/>
              <w:rPr>
                <w:rFonts w:ascii="宋体" w:eastAsia="宋体"/>
                <w:sz w:val="19"/>
                <w:highlight w:val="none"/>
              </w:rPr>
            </w:pPr>
            <w:r>
              <w:rPr>
                <w:rFonts w:ascii="宋体" w:hAnsi="宋体" w:eastAsia="宋体"/>
                <w:b w:val="0"/>
                <w:sz w:val="19"/>
                <w:highlight w:val="none"/>
              </w:rPr>
              <w:t xml:space="preserve">兼容现有Video、RGB信号输入，通道数及图像质量不低于原卡。</w:t>
            </w:r>
            <w:r/>
          </w:p>
        </w:tc>
        <w:tc>
          <w:tcPr>
            <w:tcW w:w="1146" w:type="dxa"/>
            <w:vAlign w:val="center"/>
            <w:textDirection w:val="lrTb"/>
            <w:noWrap w:val="false"/>
          </w:tcPr>
          <w:p>
            <w:pPr>
              <w:ind w:left="0" w:right="0" w:firstLine="0"/>
              <w:jc w:val="center"/>
              <w:spacing w:line="240" w:lineRule="auto"/>
              <w:rPr>
                <w:rFonts w:ascii="宋体" w:eastAsia="宋体"/>
                <w:sz w:val="19"/>
                <w:highlight w:val="none"/>
              </w:rPr>
            </w:pPr>
            <w:r>
              <w:rPr>
                <w:rFonts w:ascii="宋体" w:hAnsi="宋体" w:eastAsia="宋体"/>
                <w:b w:val="0"/>
                <w:sz w:val="19"/>
                <w:highlight w:val="none"/>
              </w:rPr>
              <w:t xml:space="preserve">2</w:t>
            </w:r>
            <w:r/>
          </w:p>
        </w:tc>
        <w:tc>
          <w:tcPr>
            <w:tcW w:w="765" w:type="dxa"/>
            <w:vAlign w:val="center"/>
            <w:textDirection w:val="lrTb"/>
            <w:noWrap w:val="false"/>
          </w:tcPr>
          <w:p>
            <w:pPr>
              <w:ind w:left="0" w:right="0" w:firstLine="0"/>
              <w:jc w:val="center"/>
              <w:spacing w:line="240" w:lineRule="auto"/>
              <w:rPr>
                <w:rFonts w:ascii="宋体" w:eastAsia="宋体"/>
                <w:sz w:val="19"/>
                <w:highlight w:val="none"/>
              </w:rPr>
            </w:pPr>
            <w:r>
              <w:rPr>
                <w:rFonts w:ascii="宋体" w:hAnsi="宋体" w:eastAsia="宋体"/>
                <w:b w:val="0"/>
                <w:sz w:val="19"/>
                <w:highlight w:val="none"/>
              </w:rPr>
              <w:t xml:space="preserve">块</w:t>
            </w:r>
            <w:r/>
          </w:p>
        </w:tc>
      </w:tr>
      <w:tr>
        <w:trPr>
          <w:jc w:val="center"/>
          <w:trHeight w:val="0"/>
        </w:trPr>
        <w:tc>
          <w:tcPr>
            <w:tcW w:w="765" w:type="dxa"/>
            <w:vAlign w:val="center"/>
            <w:textDirection w:val="lrTb"/>
            <w:noWrap w:val="false"/>
          </w:tcPr>
          <w:p>
            <w:pPr>
              <w:ind w:left="0" w:right="0" w:firstLine="0"/>
              <w:jc w:val="center"/>
              <w:spacing w:line="240" w:lineRule="auto"/>
              <w:rPr>
                <w:rFonts w:hint="default" w:ascii="宋体" w:eastAsia="宋体"/>
                <w:sz w:val="19"/>
                <w:highlight w:val="none"/>
                <w:lang w:val="en-US" w:eastAsia="zh-CN"/>
              </w:rPr>
            </w:pPr>
            <w:r>
              <w:rPr>
                <w:rFonts w:hint="eastAsia" w:ascii="宋体" w:hAnsi="宋体"/>
                <w:b w:val="0"/>
                <w:sz w:val="19"/>
                <w:highlight w:val="none"/>
                <w:lang w:val="en-US" w:eastAsia="zh-CN"/>
              </w:rPr>
              <w:t xml:space="preserve">10</w:t>
            </w:r>
            <w:r/>
          </w:p>
        </w:tc>
        <w:tc>
          <w:tcPr>
            <w:tcW w:w="1907" w:type="dxa"/>
            <w:vAlign w:val="center"/>
            <w:textDirection w:val="lrTb"/>
            <w:noWrap w:val="false"/>
          </w:tcPr>
          <w:p>
            <w:pPr>
              <w:ind w:left="0" w:right="0" w:firstLine="0"/>
              <w:jc w:val="left"/>
              <w:spacing w:line="240" w:lineRule="auto"/>
              <w:rPr>
                <w:rFonts w:ascii="宋体" w:eastAsia="宋体"/>
                <w:sz w:val="19"/>
                <w:highlight w:val="none"/>
              </w:rPr>
            </w:pPr>
            <w:r>
              <w:rPr>
                <w:rFonts w:ascii="宋体" w:hAnsi="宋体" w:eastAsia="宋体"/>
                <w:b w:val="0"/>
                <w:sz w:val="19"/>
                <w:highlight w:val="none"/>
              </w:rPr>
              <w:t xml:space="preserve">多屏处理器电源模块</w:t>
            </w:r>
            <w:r/>
          </w:p>
        </w:tc>
        <w:tc>
          <w:tcPr>
            <w:tcW w:w="3939" w:type="dxa"/>
            <w:vAlign w:val="center"/>
            <w:textDirection w:val="lrTb"/>
            <w:noWrap w:val="false"/>
          </w:tcPr>
          <w:p>
            <w:pPr>
              <w:ind w:left="0" w:right="0" w:firstLine="0"/>
              <w:jc w:val="left"/>
              <w:spacing w:line="240" w:lineRule="auto"/>
              <w:rPr>
                <w:rFonts w:ascii="宋体" w:eastAsia="宋体"/>
                <w:sz w:val="19"/>
                <w:highlight w:val="none"/>
              </w:rPr>
            </w:pPr>
            <w:r>
              <w:rPr>
                <w:rFonts w:ascii="宋体" w:hAnsi="宋体" w:eastAsia="宋体"/>
                <w:b w:val="0"/>
                <w:sz w:val="19"/>
                <w:highlight w:val="none"/>
              </w:rPr>
              <w:t xml:space="preserve">输出功率、冗余能力、保护功能及安装接口不低于原模块。</w:t>
            </w:r>
            <w:r/>
          </w:p>
        </w:tc>
        <w:tc>
          <w:tcPr>
            <w:tcW w:w="1146" w:type="dxa"/>
            <w:vAlign w:val="center"/>
            <w:textDirection w:val="lrTb"/>
            <w:noWrap w:val="false"/>
          </w:tcPr>
          <w:p>
            <w:pPr>
              <w:ind w:left="0" w:right="0" w:firstLine="0"/>
              <w:jc w:val="center"/>
              <w:spacing w:line="240" w:lineRule="auto"/>
              <w:rPr>
                <w:rFonts w:ascii="宋体" w:eastAsia="宋体"/>
                <w:sz w:val="19"/>
                <w:highlight w:val="none"/>
              </w:rPr>
            </w:pPr>
            <w:r>
              <w:rPr>
                <w:rFonts w:ascii="宋体" w:hAnsi="宋体" w:eastAsia="宋体"/>
                <w:b w:val="0"/>
                <w:sz w:val="19"/>
                <w:highlight w:val="none"/>
              </w:rPr>
              <w:t xml:space="preserve">4</w:t>
            </w:r>
            <w:r/>
          </w:p>
        </w:tc>
        <w:tc>
          <w:tcPr>
            <w:tcW w:w="765" w:type="dxa"/>
            <w:vAlign w:val="center"/>
            <w:textDirection w:val="lrTb"/>
            <w:noWrap w:val="false"/>
          </w:tcPr>
          <w:p>
            <w:pPr>
              <w:ind w:left="0" w:right="0" w:firstLine="0"/>
              <w:jc w:val="center"/>
              <w:spacing w:line="240" w:lineRule="auto"/>
              <w:rPr>
                <w:rFonts w:ascii="宋体" w:eastAsia="宋体"/>
                <w:sz w:val="19"/>
                <w:highlight w:val="none"/>
              </w:rPr>
            </w:pPr>
            <w:r>
              <w:rPr>
                <w:rFonts w:ascii="宋体" w:hAnsi="宋体" w:eastAsia="宋体"/>
                <w:b w:val="0"/>
                <w:sz w:val="19"/>
                <w:highlight w:val="none"/>
              </w:rPr>
              <w:t xml:space="preserve">块</w:t>
            </w:r>
            <w:r/>
          </w:p>
        </w:tc>
      </w:tr>
      <w:tr>
        <w:trPr>
          <w:jc w:val="center"/>
          <w:trHeight w:val="0"/>
        </w:trPr>
        <w:tc>
          <w:tcPr>
            <w:tcW w:w="765" w:type="dxa"/>
            <w:vAlign w:val="center"/>
            <w:textDirection w:val="lrTb"/>
            <w:noWrap w:val="false"/>
          </w:tcPr>
          <w:p>
            <w:pPr>
              <w:ind w:left="0" w:right="0" w:firstLine="0"/>
              <w:jc w:val="center"/>
              <w:spacing w:line="240" w:lineRule="auto"/>
              <w:rPr>
                <w:rFonts w:hint="default" w:ascii="宋体" w:eastAsia="宋体"/>
                <w:sz w:val="19"/>
                <w:highlight w:val="none"/>
                <w:lang w:val="en-US" w:eastAsia="zh-CN"/>
              </w:rPr>
            </w:pPr>
            <w:r>
              <w:rPr>
                <w:rFonts w:hint="eastAsia" w:ascii="宋体" w:hAnsi="宋体"/>
                <w:b w:val="0"/>
                <w:sz w:val="19"/>
                <w:highlight w:val="none"/>
                <w:lang w:val="en-US" w:eastAsia="zh-CN"/>
              </w:rPr>
              <w:t xml:space="preserve">11</w:t>
            </w:r>
            <w:r/>
          </w:p>
        </w:tc>
        <w:tc>
          <w:tcPr>
            <w:tcW w:w="1907" w:type="dxa"/>
            <w:vAlign w:val="center"/>
            <w:textDirection w:val="lrTb"/>
            <w:noWrap w:val="false"/>
          </w:tcPr>
          <w:p>
            <w:pPr>
              <w:ind w:left="0" w:right="0" w:firstLine="0"/>
              <w:jc w:val="left"/>
              <w:spacing w:line="240" w:lineRule="auto"/>
              <w:rPr>
                <w:rFonts w:ascii="宋体" w:eastAsia="宋体"/>
                <w:sz w:val="19"/>
                <w:highlight w:val="none"/>
              </w:rPr>
            </w:pPr>
            <w:r>
              <w:rPr>
                <w:rFonts w:ascii="宋体" w:hAnsi="宋体" w:eastAsia="宋体"/>
                <w:b w:val="0"/>
                <w:sz w:val="19"/>
                <w:highlight w:val="none"/>
              </w:rPr>
              <w:t xml:space="preserve">多屏处理器散热风扇</w:t>
            </w:r>
            <w:r/>
          </w:p>
        </w:tc>
        <w:tc>
          <w:tcPr>
            <w:tcW w:w="3939" w:type="dxa"/>
            <w:vAlign w:val="center"/>
            <w:textDirection w:val="lrTb"/>
            <w:noWrap w:val="false"/>
          </w:tcPr>
          <w:p>
            <w:pPr>
              <w:ind w:left="0" w:right="0" w:firstLine="0"/>
              <w:jc w:val="left"/>
              <w:spacing w:line="240" w:lineRule="auto"/>
              <w:rPr>
                <w:rFonts w:ascii="宋体" w:eastAsia="宋体"/>
                <w:sz w:val="19"/>
                <w:highlight w:val="none"/>
              </w:rPr>
            </w:pPr>
            <w:r>
              <w:rPr>
                <w:rFonts w:ascii="宋体" w:hAnsi="宋体" w:eastAsia="宋体"/>
                <w:b w:val="0"/>
                <w:sz w:val="19"/>
                <w:highlight w:val="none"/>
              </w:rPr>
              <w:t xml:space="preserve">风量、转速、寿命、噪声及告警反馈不低于原风扇。</w:t>
            </w:r>
            <w:r/>
          </w:p>
        </w:tc>
        <w:tc>
          <w:tcPr>
            <w:tcW w:w="1146" w:type="dxa"/>
            <w:vAlign w:val="center"/>
            <w:textDirection w:val="lrTb"/>
            <w:noWrap w:val="false"/>
          </w:tcPr>
          <w:p>
            <w:pPr>
              <w:ind w:left="0" w:right="0" w:firstLine="0"/>
              <w:jc w:val="center"/>
              <w:spacing w:line="240" w:lineRule="auto"/>
              <w:rPr>
                <w:rFonts w:ascii="宋体" w:eastAsia="宋体"/>
                <w:sz w:val="19"/>
                <w:highlight w:val="none"/>
              </w:rPr>
            </w:pPr>
            <w:r>
              <w:rPr>
                <w:rFonts w:ascii="宋体" w:hAnsi="宋体" w:eastAsia="宋体"/>
                <w:b w:val="0"/>
                <w:sz w:val="19"/>
                <w:highlight w:val="none"/>
              </w:rPr>
              <w:t xml:space="preserve">8</w:t>
            </w:r>
            <w:r/>
          </w:p>
        </w:tc>
        <w:tc>
          <w:tcPr>
            <w:tcW w:w="765" w:type="dxa"/>
            <w:vAlign w:val="center"/>
            <w:textDirection w:val="lrTb"/>
            <w:noWrap w:val="false"/>
          </w:tcPr>
          <w:p>
            <w:pPr>
              <w:ind w:left="0" w:right="0" w:firstLine="0"/>
              <w:jc w:val="center"/>
              <w:spacing w:line="240" w:lineRule="auto"/>
              <w:rPr>
                <w:rFonts w:ascii="宋体" w:eastAsia="宋体"/>
                <w:sz w:val="19"/>
                <w:highlight w:val="none"/>
              </w:rPr>
            </w:pPr>
            <w:r>
              <w:rPr>
                <w:rFonts w:ascii="宋体" w:hAnsi="宋体" w:eastAsia="宋体"/>
                <w:b w:val="0"/>
                <w:sz w:val="19"/>
                <w:highlight w:val="none"/>
              </w:rPr>
              <w:t xml:space="preserve">只</w:t>
            </w:r>
            <w:r/>
          </w:p>
        </w:tc>
      </w:tr>
    </w:tbl>
    <w:p>
      <w:pPr>
        <w:ind w:firstLine="420"/>
        <w:pageBreakBefore w:val="0"/>
        <w:spacing w:line="360" w:lineRule="auto"/>
        <w:widowControl w:val="off"/>
        <w:rPr>
          <w:rFonts w:hint="default" w:ascii="宋体" w:hAnsi="宋体" w:eastAsia="宋体" w:cs="宋体"/>
          <w:b w:val="0"/>
          <w:bCs w:val="0"/>
          <w:szCs w:val="21"/>
          <w:highlight w:val="none"/>
          <w:lang w:val="en-US" w:eastAsia="zh-CN"/>
        </w:rPr>
      </w:pPr>
      <w:r>
        <w:rPr>
          <w:rFonts w:hint="eastAsia" w:ascii="宋体" w:hAnsi="宋体" w:cs="宋体"/>
          <w:b w:val="0"/>
          <w:bCs w:val="0"/>
          <w:szCs w:val="21"/>
          <w:highlight w:val="none"/>
          <w:lang w:val="en-US" w:eastAsia="zh-CN"/>
        </w:rPr>
        <w:t xml:space="preserve">除以上耗材外，其他与项目有关的耗材投标人也应考虑，其相关费用包含在该项目服务费内，由投标人自行承担。</w:t>
      </w:r>
      <w:r/>
    </w:p>
    <w:p>
      <w:pPr>
        <w:ind w:left="0" w:firstLine="0"/>
        <w:rPr>
          <w:highlight w:val="none"/>
        </w:rPr>
      </w:pPr>
      <w:r>
        <w:rPr>
          <w:highlight w:val="none"/>
        </w:rPr>
      </w:r>
      <w:r/>
    </w:p>
    <w:p>
      <w:pPr>
        <w:ind w:firstLine="420"/>
        <w:pageBreakBefore w:val="0"/>
        <w:spacing w:line="360" w:lineRule="auto"/>
        <w:widowControl w:val="off"/>
        <w:rPr>
          <w:rFonts w:hint="eastAsia" w:ascii="宋体" w:hAnsi="宋体" w:cs="宋体"/>
          <w:b/>
          <w:bCs/>
          <w:szCs w:val="21"/>
          <w:highlight w:val="none"/>
        </w:rPr>
      </w:pPr>
      <w:r>
        <w:rPr>
          <w:rFonts w:hint="eastAsia" w:ascii="宋体" w:hAnsi="宋体" w:cs="宋体"/>
          <w:b/>
          <w:bCs/>
          <w:szCs w:val="21"/>
          <w:highlight w:val="none"/>
          <w:lang w:val="en-US" w:eastAsia="zh-CN"/>
        </w:rPr>
        <w:t xml:space="preserve">8</w:t>
      </w:r>
      <w:r>
        <w:rPr>
          <w:rFonts w:hint="eastAsia" w:ascii="宋体" w:hAnsi="宋体" w:cs="宋体"/>
          <w:b/>
          <w:bCs/>
          <w:szCs w:val="21"/>
          <w:highlight w:val="none"/>
        </w:rPr>
        <w:t xml:space="preserve">.验收要求</w:t>
      </w:r>
      <w:r/>
    </w:p>
    <w:p>
      <w:pPr>
        <w:ind w:firstLine="420"/>
        <w:pageBreakBefore w:val="0"/>
        <w:spacing w:line="360" w:lineRule="auto"/>
        <w:widowControl w:val="off"/>
        <w:rPr>
          <w:rFonts w:hint="eastAsia" w:ascii="宋体" w:hAnsi="宋体" w:cs="宋体"/>
          <w:b w:val="0"/>
          <w:bCs w:val="0"/>
          <w:szCs w:val="21"/>
          <w:highlight w:val="none"/>
        </w:rPr>
      </w:pPr>
      <w:r>
        <w:rPr>
          <w:rFonts w:hint="eastAsia" w:ascii="宋体" w:hAnsi="宋体" w:cs="宋体"/>
          <w:b w:val="0"/>
          <w:bCs w:val="0"/>
          <w:szCs w:val="21"/>
          <w:highlight w:val="none"/>
        </w:rPr>
        <w:t xml:space="preserve">（1）实施主体：苏州市交通运输应急指挥中心</w:t>
      </w:r>
      <w:r/>
    </w:p>
    <w:p>
      <w:pPr>
        <w:ind w:firstLine="420"/>
        <w:pageBreakBefore w:val="0"/>
        <w:spacing w:line="360" w:lineRule="auto"/>
        <w:widowControl w:val="off"/>
        <w:rPr>
          <w:rFonts w:hint="eastAsia" w:ascii="宋体" w:hAnsi="宋体" w:cs="宋体"/>
          <w:b w:val="0"/>
          <w:bCs w:val="0"/>
          <w:szCs w:val="21"/>
          <w:highlight w:val="none"/>
          <w:lang w:eastAsia="zh-CN"/>
        </w:rPr>
      </w:pPr>
      <w:r>
        <w:rPr>
          <w:rFonts w:hint="eastAsia" w:ascii="宋体" w:hAnsi="宋体" w:cs="宋体"/>
          <w:b w:val="0"/>
          <w:bCs w:val="0"/>
          <w:szCs w:val="21"/>
          <w:highlight w:val="none"/>
        </w:rPr>
        <w:t xml:space="preserve">（2）验收时间：合同中期</w:t>
      </w:r>
      <w:r>
        <w:rPr>
          <w:rFonts w:hint="eastAsia" w:ascii="宋体" w:hAnsi="宋体" w:cs="宋体"/>
          <w:b w:val="0"/>
          <w:bCs w:val="0"/>
          <w:szCs w:val="21"/>
          <w:highlight w:val="none"/>
          <w:lang w:eastAsia="zh-CN"/>
        </w:rPr>
        <w:t xml:space="preserve">履约核</w:t>
      </w:r>
      <w:r>
        <w:rPr>
          <w:rFonts w:hint="eastAsia" w:ascii="宋体" w:hAnsi="宋体" w:cs="宋体"/>
          <w:b w:val="0"/>
          <w:bCs w:val="0"/>
          <w:szCs w:val="21"/>
          <w:highlight w:val="none"/>
        </w:rPr>
        <w:t xml:space="preserve">应在合同履行满6个月且乙方提交完整中期考核资料后5个工作日内启动；最终履约验收应在服务期届满、全部服务完成且交付材料齐全后5个工作日内启动。</w:t>
      </w:r>
      <w:r/>
    </w:p>
    <w:p>
      <w:pPr>
        <w:ind w:firstLine="420"/>
        <w:pageBreakBefore w:val="0"/>
        <w:spacing w:line="360" w:lineRule="auto"/>
        <w:widowControl w:val="off"/>
        <w:rPr>
          <w:rFonts w:hint="eastAsia" w:ascii="宋体" w:hAnsi="宋体" w:cs="宋体"/>
          <w:b w:val="0"/>
          <w:bCs w:val="0"/>
          <w:szCs w:val="21"/>
          <w:highlight w:val="none"/>
        </w:rPr>
      </w:pPr>
      <w:r>
        <w:rPr>
          <w:rFonts w:hint="eastAsia" w:ascii="宋体" w:hAnsi="宋体" w:cs="宋体"/>
          <w:b w:val="0"/>
          <w:bCs w:val="0"/>
          <w:szCs w:val="21"/>
          <w:highlight w:val="none"/>
        </w:rPr>
        <w:t xml:space="preserve">（3）验收及阶段确认方式：本项目在合同履行满6个月时开展中期</w:t>
      </w:r>
      <w:r>
        <w:rPr>
          <w:rFonts w:hint="eastAsia" w:ascii="宋体" w:hAnsi="宋体" w:cs="宋体"/>
          <w:b w:val="0"/>
          <w:bCs w:val="0"/>
          <w:szCs w:val="21"/>
          <w:highlight w:val="none"/>
          <w:lang w:eastAsia="zh-CN"/>
        </w:rPr>
        <w:t xml:space="preserve">履约核</w:t>
      </w:r>
      <w:r>
        <w:rPr>
          <w:rFonts w:hint="eastAsia" w:ascii="宋体" w:hAnsi="宋体" w:cs="宋体"/>
          <w:b w:val="0"/>
          <w:bCs w:val="0"/>
          <w:szCs w:val="21"/>
          <w:highlight w:val="none"/>
        </w:rPr>
        <w:t xml:space="preserve">和阶段性履约确认，作为第二期付款依据；中期</w:t>
      </w:r>
      <w:r>
        <w:rPr>
          <w:rFonts w:hint="eastAsia" w:ascii="宋体" w:hAnsi="宋体" w:cs="宋体"/>
          <w:b w:val="0"/>
          <w:bCs w:val="0"/>
          <w:szCs w:val="21"/>
          <w:highlight w:val="none"/>
          <w:lang w:eastAsia="zh-CN"/>
        </w:rPr>
        <w:t xml:space="preserve">履约核</w:t>
      </w:r>
      <w:r>
        <w:rPr>
          <w:rFonts w:hint="eastAsia" w:ascii="宋体" w:hAnsi="宋体" w:cs="宋体"/>
          <w:b w:val="0"/>
          <w:bCs w:val="0"/>
          <w:szCs w:val="21"/>
          <w:highlight w:val="none"/>
        </w:rPr>
        <w:t xml:space="preserve">和阶段性确认不替代最终履约验收。合同服务期届满、全部服务内容完成且交付资料齐全后，组织一次最终履约验收。</w:t>
      </w:r>
      <w:r/>
    </w:p>
    <w:p>
      <w:pPr>
        <w:ind w:firstLine="420"/>
        <w:pageBreakBefore w:val="0"/>
        <w:spacing w:line="360" w:lineRule="auto"/>
        <w:widowControl w:val="off"/>
        <w:rPr>
          <w:rFonts w:hint="eastAsia" w:ascii="宋体" w:hAnsi="宋体" w:cs="宋体"/>
          <w:b w:val="0"/>
          <w:bCs w:val="0"/>
          <w:szCs w:val="21"/>
          <w:highlight w:val="none"/>
        </w:rPr>
      </w:pPr>
      <w:r>
        <w:rPr>
          <w:rFonts w:hint="eastAsia" w:ascii="宋体" w:hAnsi="宋体" w:cs="宋体"/>
          <w:b w:val="0"/>
          <w:bCs w:val="0"/>
          <w:szCs w:val="21"/>
          <w:highlight w:val="none"/>
        </w:rPr>
        <w:t xml:space="preserve">（4）验收内容与标准：</w:t>
      </w:r>
      <w:r/>
    </w:p>
    <w:p>
      <w:pPr>
        <w:ind w:firstLine="420"/>
        <w:pageBreakBefore w:val="0"/>
        <w:spacing w:line="360" w:lineRule="auto"/>
        <w:widowControl w:val="off"/>
        <w:rPr>
          <w:rFonts w:hint="eastAsia" w:ascii="宋体" w:hAnsi="宋体" w:cs="宋体"/>
          <w:b w:val="0"/>
          <w:bCs w:val="0"/>
          <w:szCs w:val="21"/>
        </w:rPr>
      </w:pPr>
      <w:r>
        <w:rPr>
          <w:rFonts w:hint="eastAsia" w:ascii="宋体" w:hAnsi="宋体" w:cs="宋体"/>
          <w:b w:val="0"/>
          <w:bCs w:val="0"/>
          <w:szCs w:val="21"/>
          <w:highlight w:val="none"/>
        </w:rPr>
        <w:t xml:space="preserve">1）文档审查：对《普查报告》、《巡检服务规程》、季度运维档案、培训材料、</w:t>
      </w:r>
      <w:r>
        <w:rPr>
          <w:rFonts w:hint="eastAsia" w:ascii="宋体" w:hAnsi="宋体" w:cs="宋体"/>
          <w:b w:val="0"/>
          <w:bCs w:val="0"/>
          <w:szCs w:val="21"/>
        </w:rPr>
        <w:t xml:space="preserve">应急演练材料等相关服务文档进行审查，文档内容完整视为合格。</w:t>
      </w:r>
      <w:r/>
    </w:p>
    <w:p>
      <w:pPr>
        <w:ind w:firstLine="420"/>
        <w:pageBreakBefore w:val="0"/>
        <w:spacing w:line="360" w:lineRule="auto"/>
        <w:widowControl w:val="off"/>
        <w:rPr>
          <w:rFonts w:hint="eastAsia" w:ascii="宋体" w:hAnsi="宋体" w:cs="宋体"/>
          <w:b w:val="0"/>
          <w:bCs w:val="0"/>
          <w:szCs w:val="21"/>
        </w:rPr>
      </w:pPr>
      <w:r>
        <w:rPr>
          <w:rFonts w:hint="eastAsia" w:ascii="宋体" w:hAnsi="宋体" w:cs="宋体"/>
          <w:b w:val="0"/>
          <w:bCs w:val="0"/>
          <w:szCs w:val="21"/>
        </w:rPr>
        <w:t xml:space="preserve">2）服务审查：完成采购文件要求的各项服务内容。</w:t>
      </w:r>
      <w:r/>
    </w:p>
    <w:p>
      <w:pPr>
        <w:ind w:firstLine="420"/>
        <w:pageBreakBefore w:val="0"/>
        <w:spacing w:line="360" w:lineRule="auto"/>
        <w:widowControl w:val="off"/>
        <w:rPr>
          <w:rFonts w:hint="eastAsia" w:ascii="宋体" w:hAnsi="宋体" w:cs="宋体"/>
          <w:b w:val="0"/>
          <w:bCs w:val="0"/>
          <w:szCs w:val="21"/>
        </w:rPr>
      </w:pPr>
      <w:r>
        <w:rPr>
          <w:rFonts w:hint="eastAsia" w:ascii="宋体" w:hAnsi="宋体" w:cs="宋体"/>
          <w:b w:val="0"/>
          <w:bCs w:val="0"/>
          <w:szCs w:val="21"/>
        </w:rPr>
        <w:t xml:space="preserve">（5）.采购人将根据《江苏省财政厅关于印发&lt;江苏省政府采购履约验收管理办法&gt;的通知》(苏财规(2024)7号)相关要求，组织项目履约验收基本工作。</w:t>
      </w:r>
      <w:r/>
    </w:p>
    <w:p>
      <w:pPr>
        <w:ind w:firstLine="420"/>
        <w:pageBreakBefore w:val="0"/>
        <w:spacing w:line="360" w:lineRule="auto"/>
        <w:widowControl w:val="off"/>
        <w:rPr>
          <w:rFonts w:hint="eastAsia" w:ascii="宋体" w:hAnsi="宋体" w:cs="宋体"/>
          <w:b w:val="0"/>
          <w:bCs w:val="0"/>
          <w:szCs w:val="21"/>
        </w:rPr>
      </w:pPr>
      <w:r>
        <w:rPr>
          <w:rFonts w:hint="eastAsia" w:ascii="宋体" w:hAnsi="宋体" w:cs="宋体"/>
          <w:b w:val="0"/>
          <w:bCs w:val="0"/>
          <w:szCs w:val="21"/>
        </w:rPr>
        <w:t xml:space="preserve">（6）.采购文件、响应文件、政府采购合同等是履约验收工作的重要依据。在政府采购合同约定的履行验收条件达到时，成交供应商可以主动联系采购人启动履约验收工作。</w:t>
      </w:r>
      <w:r/>
    </w:p>
    <w:p>
      <w:pPr>
        <w:ind w:firstLine="420"/>
        <w:pageBreakBefore w:val="0"/>
        <w:spacing w:line="360" w:lineRule="auto"/>
        <w:widowControl w:val="off"/>
        <w:rPr>
          <w:rFonts w:hint="eastAsia" w:ascii="宋体" w:hAnsi="宋体" w:cs="宋体"/>
          <w:b w:val="0"/>
          <w:bCs w:val="0"/>
          <w:szCs w:val="21"/>
        </w:rPr>
      </w:pPr>
      <w:r>
        <w:rPr>
          <w:rFonts w:hint="eastAsia" w:ascii="宋体" w:hAnsi="宋体" w:cs="宋体"/>
          <w:b w:val="0"/>
          <w:bCs w:val="0"/>
          <w:szCs w:val="21"/>
        </w:rPr>
        <w:t xml:space="preserve">（7）.采购人在组织履约验收前，将根据项目特点制定验收方案，明确履约验收的时间、方式、程序等内容,并可以根据项目特点对服务期内的服务实施情况进行分期考核，综合考核情况和服务效果进行验收。成交供应商应根据验收方案内容做好相应配合工作。</w:t>
      </w:r>
      <w:r/>
    </w:p>
    <w:p>
      <w:pPr>
        <w:ind w:firstLine="420"/>
        <w:pageBreakBefore w:val="0"/>
        <w:spacing w:line="360" w:lineRule="auto"/>
        <w:widowControl w:val="off"/>
        <w:rPr>
          <w:rFonts w:hint="eastAsia" w:ascii="宋体" w:hAnsi="宋体" w:cs="宋体"/>
          <w:b w:val="0"/>
          <w:bCs w:val="0"/>
          <w:szCs w:val="21"/>
          <w:highlight w:val="none"/>
        </w:rPr>
      </w:pPr>
      <w:r>
        <w:rPr>
          <w:rFonts w:hint="eastAsia" w:ascii="宋体" w:hAnsi="宋体" w:cs="宋体"/>
          <w:b w:val="0"/>
          <w:bCs w:val="0"/>
          <w:szCs w:val="21"/>
        </w:rPr>
        <w:t xml:space="preserve">（8）.采购人</w:t>
      </w:r>
      <w:r>
        <w:rPr>
          <w:rFonts w:hint="eastAsia" w:ascii="宋体" w:hAnsi="宋体" w:cs="宋体"/>
          <w:b w:val="0"/>
          <w:bCs w:val="0"/>
          <w:szCs w:val="21"/>
          <w:highlight w:val="none"/>
        </w:rPr>
        <w:t xml:space="preserve">将按照验收标准要求组织验收，验收内容和标准至少包括服务质量、用户满意度、服务过程文档资料、数据准确性等内容。</w:t>
      </w:r>
      <w:r/>
    </w:p>
    <w:p>
      <w:pPr>
        <w:ind w:firstLine="420"/>
        <w:pageBreakBefore w:val="0"/>
        <w:spacing w:line="360" w:lineRule="auto"/>
        <w:widowControl w:val="off"/>
        <w:rPr>
          <w:rFonts w:hint="eastAsia" w:ascii="宋体" w:hAnsi="宋体" w:cs="宋体"/>
          <w:b/>
          <w:bCs/>
          <w:szCs w:val="21"/>
          <w:highlight w:val="none"/>
        </w:rPr>
      </w:pPr>
      <w:r>
        <w:rPr>
          <w:rFonts w:hint="eastAsia" w:ascii="宋体" w:hAnsi="宋体" w:cs="宋体"/>
          <w:b/>
          <w:bCs/>
          <w:szCs w:val="21"/>
          <w:highlight w:val="none"/>
        </w:rPr>
        <w:t xml:space="preserve">（五）考核要求</w:t>
      </w:r>
      <w:r/>
    </w:p>
    <w:p>
      <w:pPr>
        <w:ind w:left="0" w:firstLine="420"/>
        <w:jc w:val="both"/>
        <w:spacing w:before="0" w:after="0" w:line="360" w:lineRule="auto"/>
        <w:rPr>
          <w:rFonts w:hint="default" w:ascii="宋体" w:hAnsi="宋体" w:eastAsia="宋体"/>
          <w:b/>
          <w:bCs/>
          <w:sz w:val="21"/>
          <w:highlight w:val="none"/>
          <w:lang w:val="en-US" w:eastAsia="zh-CN"/>
        </w:rPr>
      </w:pPr>
      <w:r>
        <w:rPr>
          <w:rFonts w:ascii="宋体" w:hAnsi="宋体" w:eastAsia="宋体"/>
          <w:b/>
          <w:bCs/>
          <w:sz w:val="21"/>
          <w:highlight w:val="none"/>
        </w:rPr>
        <w:t xml:space="preserve">1.</w:t>
      </w:r>
      <w:r>
        <w:rPr>
          <w:rFonts w:hint="eastAsia" w:ascii="宋体" w:hAnsi="宋体"/>
          <w:b/>
          <w:bCs/>
          <w:sz w:val="21"/>
          <w:highlight w:val="none"/>
          <w:lang w:val="en-US" w:eastAsia="zh-CN"/>
        </w:rPr>
        <w:t xml:space="preserve">考核标准</w:t>
      </w:r>
      <w:r/>
    </w:p>
    <w:p>
      <w:pPr>
        <w:ind w:left="0" w:firstLine="420"/>
        <w:jc w:val="both"/>
        <w:spacing w:before="0" w:after="0" w:line="360" w:lineRule="auto"/>
        <w:rPr>
          <w:rFonts w:ascii="宋体" w:hAnsi="宋体" w:eastAsia="宋体"/>
          <w:b w:val="0"/>
          <w:sz w:val="21"/>
          <w:highlight w:val="none"/>
        </w:rPr>
      </w:pPr>
      <w:r>
        <w:rPr>
          <w:rFonts w:ascii="宋体" w:hAnsi="宋体" w:eastAsia="宋体"/>
          <w:b w:val="0"/>
          <w:sz w:val="21"/>
          <w:highlight w:val="none"/>
        </w:rPr>
        <w:t xml:space="preserve">本项目每满3个月为一个季度考核周期，共设置四个季度考核周期。第一、第二季度考核结果用于第二期付款，第三、第四季度考核结果用于第三期付款。因合同依法提前终止等原因不足完整季度的，按实际服务期间进行考核和据实结算。</w:t>
      </w:r>
      <w:r/>
    </w:p>
    <w:p>
      <w:pPr>
        <w:ind w:left="0" w:firstLine="420"/>
        <w:jc w:val="both"/>
        <w:spacing w:before="0" w:after="0" w:line="360" w:lineRule="auto"/>
        <w:rPr>
          <w:highlight w:val="none"/>
        </w:rPr>
      </w:pPr>
      <w:r>
        <w:rPr>
          <w:rFonts w:ascii="宋体" w:hAnsi="宋体" w:eastAsia="宋体"/>
          <w:b w:val="0"/>
          <w:sz w:val="21"/>
          <w:highlight w:val="none"/>
        </w:rPr>
        <w:t xml:space="preserve">1.</w:t>
      </w:r>
      <w:r>
        <w:rPr>
          <w:rFonts w:hint="eastAsia" w:ascii="宋体" w:hAnsi="宋体"/>
          <w:b w:val="0"/>
          <w:sz w:val="21"/>
          <w:highlight w:val="none"/>
          <w:lang w:val="en-US" w:eastAsia="zh-CN"/>
        </w:rPr>
        <w:t xml:space="preserve">2</w:t>
      </w:r>
      <w:r>
        <w:rPr>
          <w:rFonts w:ascii="宋体" w:hAnsi="宋体" w:eastAsia="宋体"/>
          <w:b w:val="0"/>
          <w:sz w:val="21"/>
          <w:highlight w:val="none"/>
        </w:rPr>
        <w:t xml:space="preserve"> 同一违约事实原则上按最能反映其后果的考核事项扣分；如同时造成响应延误、设备停机、备件缺失、记录不实、安全风险或第三方费用等相互独立的后果，可分别扣分并追究相应责任。考核扣分、付款扣减不替代乙方的返工、修复、赔偿、违约金及其他合同责任。</w:t>
      </w:r>
      <w:r/>
    </w:p>
    <w:p>
      <w:pPr>
        <w:ind w:left="0" w:firstLine="420"/>
        <w:jc w:val="both"/>
        <w:spacing w:before="0" w:after="0" w:line="360" w:lineRule="auto"/>
        <w:rPr>
          <w:highlight w:val="none"/>
        </w:rPr>
      </w:pPr>
      <w:r>
        <w:rPr>
          <w:rFonts w:ascii="宋体" w:hAnsi="宋体" w:eastAsia="宋体"/>
          <w:b w:val="0"/>
          <w:sz w:val="21"/>
          <w:highlight w:val="none"/>
        </w:rPr>
        <w:t xml:space="preserve">1.</w:t>
      </w:r>
      <w:r>
        <w:rPr>
          <w:rFonts w:hint="eastAsia" w:ascii="宋体" w:hAnsi="宋体"/>
          <w:b w:val="0"/>
          <w:sz w:val="21"/>
          <w:highlight w:val="none"/>
          <w:lang w:val="en-US" w:eastAsia="zh-CN"/>
        </w:rPr>
        <w:t xml:space="preserve">3</w:t>
      </w:r>
      <w:r>
        <w:rPr>
          <w:rFonts w:ascii="宋体" w:hAnsi="宋体" w:eastAsia="宋体"/>
          <w:b w:val="0"/>
          <w:sz w:val="21"/>
          <w:highlight w:val="none"/>
        </w:rPr>
        <w:t xml:space="preserve"> 因不可抗力或甲方原因确实不能履约的，乙方应立即报告、采取减损措施并在2个工作日内提交书面证据，经甲方书面确认后方可免除相应责任。乙方自身人员、资金、供应链、备件采购周期、内部审批或节假日安排等，不构成当然免责理由。</w:t>
      </w:r>
      <w:r/>
    </w:p>
    <w:p>
      <w:pPr>
        <w:ind w:left="0" w:firstLine="420"/>
        <w:jc w:val="both"/>
        <w:spacing w:before="0" w:after="0" w:line="360" w:lineRule="auto"/>
        <w:rPr>
          <w:rFonts w:hint="eastAsia" w:ascii="宋体" w:hAnsi="宋体"/>
          <w:b/>
          <w:bCs/>
          <w:sz w:val="21"/>
          <w:highlight w:val="none"/>
          <w:lang w:val="en-US" w:eastAsia="zh-CN"/>
        </w:rPr>
      </w:pPr>
      <w:r>
        <w:rPr>
          <w:rFonts w:hint="eastAsia" w:ascii="宋体" w:hAnsi="宋体"/>
          <w:b/>
          <w:bCs/>
          <w:sz w:val="21"/>
          <w:highlight w:val="none"/>
          <w:lang w:val="en-US" w:eastAsia="zh-CN"/>
        </w:rPr>
        <w:t xml:space="preserve">2.考核付款</w:t>
      </w:r>
      <w:r/>
    </w:p>
    <w:p>
      <w:pPr>
        <w:ind w:left="0" w:firstLine="420"/>
        <w:jc w:val="both"/>
        <w:spacing w:before="0" w:after="0" w:line="360" w:lineRule="auto"/>
        <w:rPr>
          <w:rFonts w:hint="eastAsia"/>
          <w:highlight w:val="none"/>
        </w:rPr>
      </w:pPr>
      <w:r>
        <w:rPr>
          <w:rFonts w:hint="eastAsia"/>
          <w:highlight w:val="none"/>
        </w:rPr>
        <w:t xml:space="preserve">2.1 第一期合同价款，即合同总价款50%的支付，以合同生效、乙方提交合法有效发票及完整付款申请材料为条件，不适用考核付款系数。第二期、第三期款项以甲方确认的相应季度考核结果为支付依据。</w:t>
      </w:r>
      <w:r/>
    </w:p>
    <w:p>
      <w:pPr>
        <w:ind w:left="0" w:firstLine="420"/>
        <w:jc w:val="both"/>
        <w:spacing w:before="0" w:after="0" w:line="360" w:lineRule="auto"/>
        <w:rPr>
          <w:highlight w:val="none"/>
        </w:rPr>
      </w:pPr>
      <w:r>
        <w:rPr>
          <w:rFonts w:hint="eastAsia"/>
          <w:highlight w:val="none"/>
        </w:rPr>
        <w:t xml:space="preserve">乙方未提交合法有效发票、付款申请、季度考核确认表、季度运维档案、整改闭环材料、备件库存台账或者甲方要求的其他合同内证明材料的，视为对应款项付款条件尚未成就。</w:t>
      </w:r>
      <w:r/>
    </w:p>
    <w:p>
      <w:pPr>
        <w:ind w:left="0" w:firstLine="420"/>
        <w:jc w:val="both"/>
        <w:spacing w:before="0" w:after="0" w:line="360" w:lineRule="auto"/>
        <w:rPr>
          <w:rFonts w:hint="eastAsia"/>
          <w:highlight w:val="none"/>
        </w:rPr>
      </w:pPr>
      <w:r>
        <w:rPr>
          <w:rFonts w:hint="eastAsia"/>
          <w:highlight w:val="none"/>
        </w:rPr>
        <w:t xml:space="preserve">2.2 各季度因考核得分形成的付款扣减为履约质量扣减，扣减金额不结转至以后季度，不因以后季度考核得分提高而补付。第二期、第三期款项分别按照所包含季度的考核结果独立计算。甲方暂缓支付存在争议或者未完成整改的部分，不影响无争议部分按合同约定办理。</w:t>
      </w:r>
      <w:r/>
    </w:p>
    <w:p>
      <w:pPr>
        <w:ind w:left="0" w:firstLine="420"/>
        <w:jc w:val="both"/>
        <w:spacing w:before="0" w:after="0" w:line="360" w:lineRule="auto"/>
        <w:rPr>
          <w:highlight w:val="none"/>
        </w:rPr>
      </w:pPr>
      <w:r>
        <w:rPr>
          <w:rFonts w:ascii="宋体" w:hAnsi="宋体" w:eastAsia="宋体"/>
          <w:b w:val="0"/>
          <w:sz w:val="21"/>
          <w:highlight w:val="none"/>
        </w:rPr>
        <w:t xml:space="preserve">2.3 甲方因乙方未及时响应、未在规定时间恢复设备、备件不足、技术能力不足或其他乙方原因，委托第三方抢修、采购临时代用设备、恢复数据、实施安全处置所发生的合理费用，可从任何一期未付款项中据实抵扣；不足部分由乙方另行支付。</w:t>
      </w:r>
      <w:r/>
    </w:p>
    <w:p>
      <w:pPr>
        <w:ind w:left="0" w:firstLine="0"/>
        <w:jc w:val="left"/>
        <w:keepNext/>
        <w:spacing w:before="0" w:after="0" w:line="360" w:lineRule="auto"/>
        <w:rPr>
          <w:highlight w:val="none"/>
        </w:rPr>
      </w:pPr>
      <w:r>
        <w:rPr>
          <w:rFonts w:ascii="宋体" w:hAnsi="宋体" w:eastAsia="宋体"/>
          <w:b/>
          <w:sz w:val="21"/>
          <w:highlight w:val="none"/>
        </w:rPr>
        <w:t xml:space="preserve">3.考核得分与付款系数</w:t>
      </w:r>
      <w:r/>
    </w:p>
    <w:tbl>
      <w:tblPr>
        <w:tblStyle w:val="735"/>
        <w:tblW w:w="8522"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808"/>
        <w:gridCol w:w="959"/>
        <w:gridCol w:w="5755"/>
      </w:tblGrid>
      <w:tr>
        <w:trPr>
          <w:jc w:val="center"/>
          <w:trHeight w:val="0"/>
          <w:tblHeader/>
        </w:trPr>
        <w:tc>
          <w:tcPr>
            <w:shd w:val="clear" w:color="auto" w:fill="d9e2f3"/>
            <w:tcBorders>
              <w:top w:val="single" w:color="auto" w:sz="12" w:space="0"/>
              <w:left w:val="single" w:color="auto" w:sz="12" w:space="0"/>
              <w:bottom w:val="none" w:color="000000" w:sz="4" w:space="0"/>
              <w:right w:val="none" w:color="000000" w:sz="4" w:space="0"/>
            </w:tcBorders>
            <w:tcMar>
              <w:left w:w="60" w:type="dxa"/>
              <w:top w:w="45" w:type="dxa"/>
              <w:right w:w="60" w:type="dxa"/>
              <w:bottom w:w="45" w:type="dxa"/>
            </w:tcMar>
            <w:tcW w:w="1808" w:type="dxa"/>
            <w:vAlign w:val="center"/>
            <w:textDirection w:val="lrTb"/>
            <w:noWrap w:val="false"/>
          </w:tcPr>
          <w:p>
            <w:pPr>
              <w:ind w:left="0" w:right="0" w:firstLine="0"/>
              <w:jc w:val="center"/>
              <w:spacing w:before="0" w:after="0" w:line="240" w:lineRule="auto"/>
              <w:widowControl w:val="off"/>
              <w:rPr>
                <w:rFonts w:ascii="宋体" w:eastAsia="宋体"/>
                <w:b/>
                <w:sz w:val="18"/>
                <w:highlight w:val="none"/>
              </w:rPr>
            </w:pPr>
            <w:r>
              <w:rPr>
                <w:rFonts w:ascii="宋体" w:hAnsi="宋体" w:eastAsia="宋体"/>
                <w:b/>
                <w:sz w:val="18"/>
                <w:highlight w:val="none"/>
              </w:rPr>
              <w:t xml:space="preserve">季度/年度考核得分</w:t>
            </w:r>
            <w:r/>
          </w:p>
        </w:tc>
        <w:tc>
          <w:tcPr>
            <w:shd w:val="clear" w:color="auto" w:fill="d9e2f3"/>
            <w:tcBorders>
              <w:top w:val="single" w:color="auto" w:sz="12" w:space="0"/>
              <w:left w:val="single" w:color="auto" w:sz="4" w:space="0"/>
              <w:bottom w:val="none" w:color="000000" w:sz="4" w:space="0"/>
              <w:right w:val="none" w:color="000000" w:sz="4" w:space="0"/>
            </w:tcBorders>
            <w:tcMar>
              <w:left w:w="60" w:type="dxa"/>
              <w:top w:w="45" w:type="dxa"/>
              <w:right w:w="60" w:type="dxa"/>
              <w:bottom w:w="45" w:type="dxa"/>
            </w:tcMar>
            <w:tcW w:w="959" w:type="dxa"/>
            <w:vAlign w:val="center"/>
            <w:textDirection w:val="lrTb"/>
            <w:noWrap w:val="false"/>
          </w:tcPr>
          <w:p>
            <w:pPr>
              <w:ind w:left="0" w:right="0" w:firstLine="0"/>
              <w:jc w:val="center"/>
              <w:spacing w:before="0" w:after="0" w:line="240" w:lineRule="auto"/>
              <w:widowControl w:val="off"/>
              <w:rPr>
                <w:rFonts w:ascii="宋体" w:eastAsia="宋体"/>
                <w:b/>
                <w:sz w:val="18"/>
                <w:highlight w:val="none"/>
              </w:rPr>
            </w:pPr>
            <w:r>
              <w:rPr>
                <w:rFonts w:ascii="宋体" w:hAnsi="宋体" w:eastAsia="宋体"/>
                <w:b/>
                <w:sz w:val="18"/>
                <w:highlight w:val="none"/>
              </w:rPr>
              <w:t xml:space="preserve">付款系数</w:t>
            </w:r>
            <w:r/>
          </w:p>
        </w:tc>
        <w:tc>
          <w:tcPr>
            <w:shd w:val="clear" w:color="auto" w:fill="d9e2f3"/>
            <w:tcBorders>
              <w:top w:val="single" w:color="auto" w:sz="12" w:space="0"/>
              <w:left w:val="single" w:color="auto" w:sz="4" w:space="0"/>
              <w:bottom w:val="none" w:color="000000" w:sz="4" w:space="0"/>
              <w:right w:val="single" w:color="auto" w:sz="12" w:space="0"/>
            </w:tcBorders>
            <w:tcMar>
              <w:left w:w="60" w:type="dxa"/>
              <w:top w:w="45" w:type="dxa"/>
              <w:right w:w="60" w:type="dxa"/>
              <w:bottom w:w="45" w:type="dxa"/>
            </w:tcMar>
            <w:tcW w:w="5755" w:type="dxa"/>
            <w:vAlign w:val="center"/>
            <w:textDirection w:val="lrTb"/>
            <w:noWrap w:val="false"/>
          </w:tcPr>
          <w:p>
            <w:pPr>
              <w:ind w:left="0" w:right="0" w:firstLine="0"/>
              <w:jc w:val="center"/>
              <w:spacing w:before="0" w:after="0" w:line="240" w:lineRule="auto"/>
              <w:widowControl w:val="off"/>
              <w:rPr>
                <w:rFonts w:ascii="宋体" w:eastAsia="宋体"/>
                <w:b/>
                <w:sz w:val="18"/>
                <w:highlight w:val="none"/>
              </w:rPr>
            </w:pPr>
            <w:r>
              <w:rPr>
                <w:rFonts w:ascii="宋体" w:hAnsi="宋体" w:eastAsia="宋体"/>
                <w:b/>
                <w:sz w:val="18"/>
                <w:highlight w:val="none"/>
              </w:rPr>
              <w:t xml:space="preserve">处理要求</w:t>
            </w:r>
            <w:r/>
          </w:p>
        </w:tc>
      </w:tr>
      <w:tr>
        <w:trPr>
          <w:jc w:val="center"/>
          <w:trHeight w:val="0"/>
        </w:trPr>
        <w:tc>
          <w:tcPr>
            <w:tcBorders>
              <w:top w:val="single" w:color="auto" w:sz="4" w:space="0"/>
              <w:left w:val="single" w:color="auto" w:sz="12" w:space="0"/>
              <w:bottom w:val="none" w:color="000000" w:sz="4" w:space="0"/>
              <w:right w:val="none" w:color="000000" w:sz="4" w:space="0"/>
            </w:tcBorders>
            <w:tcMar>
              <w:left w:w="60" w:type="dxa"/>
              <w:top w:w="45" w:type="dxa"/>
              <w:right w:w="60" w:type="dxa"/>
              <w:bottom w:w="45" w:type="dxa"/>
            </w:tcMar>
            <w:tcW w:w="1808" w:type="dxa"/>
            <w:vAlign w:val="center"/>
            <w:textDirection w:val="lrTb"/>
            <w:noWrap w:val="false"/>
          </w:tcPr>
          <w:p>
            <w:pPr>
              <w:ind w:left="0" w:right="0" w:firstLine="0"/>
              <w:jc w:val="center"/>
              <w:spacing w:before="0" w:after="0" w:line="240" w:lineRule="auto"/>
              <w:widowControl w:val="off"/>
              <w:rPr>
                <w:rFonts w:ascii="宋体" w:eastAsia="宋体"/>
                <w:sz w:val="18"/>
                <w:highlight w:val="none"/>
              </w:rPr>
            </w:pPr>
            <w:r>
              <w:rPr>
                <w:rFonts w:ascii="宋体" w:hAnsi="宋体" w:eastAsia="宋体"/>
                <w:b w:val="0"/>
                <w:sz w:val="18"/>
                <w:highlight w:val="none"/>
              </w:rPr>
              <w:t xml:space="preserve">95分及以上</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959" w:type="dxa"/>
            <w:vAlign w:val="center"/>
            <w:textDirection w:val="lrTb"/>
            <w:noWrap w:val="false"/>
          </w:tcPr>
          <w:p>
            <w:pPr>
              <w:ind w:left="0" w:right="0" w:firstLine="0"/>
              <w:jc w:val="center"/>
              <w:spacing w:before="0" w:after="0" w:line="240" w:lineRule="auto"/>
              <w:widowControl w:val="off"/>
              <w:rPr>
                <w:rFonts w:ascii="宋体" w:eastAsia="宋体"/>
                <w:sz w:val="18"/>
                <w:highlight w:val="none"/>
              </w:rPr>
            </w:pPr>
            <w:r>
              <w:rPr>
                <w:rFonts w:ascii="宋体" w:hAnsi="宋体" w:eastAsia="宋体"/>
                <w:b w:val="0"/>
                <w:sz w:val="18"/>
                <w:highlight w:val="none"/>
              </w:rPr>
              <w:t xml:space="preserve">100%</w:t>
            </w:r>
            <w:r/>
          </w:p>
        </w:tc>
        <w:tc>
          <w:tcPr>
            <w:tcBorders>
              <w:top w:val="single" w:color="auto" w:sz="4" w:space="0"/>
              <w:left w:val="single" w:color="auto" w:sz="4" w:space="0"/>
              <w:bottom w:val="none" w:color="000000" w:sz="4" w:space="0"/>
              <w:right w:val="single" w:color="auto" w:sz="12" w:space="0"/>
            </w:tcBorders>
            <w:tcMar>
              <w:left w:w="60" w:type="dxa"/>
              <w:top w:w="45" w:type="dxa"/>
              <w:right w:w="60" w:type="dxa"/>
              <w:bottom w:w="45" w:type="dxa"/>
            </w:tcMar>
            <w:tcW w:w="5755" w:type="dxa"/>
            <w:vAlign w:val="center"/>
            <w:textDirection w:val="lrTb"/>
            <w:noWrap w:val="false"/>
          </w:tcPr>
          <w:p>
            <w:pPr>
              <w:ind w:left="0" w:right="0" w:firstLine="0"/>
              <w:jc w:val="left"/>
              <w:spacing w:before="0" w:after="0" w:line="240" w:lineRule="auto"/>
              <w:widowControl w:val="off"/>
              <w:rPr>
                <w:rFonts w:ascii="宋体" w:eastAsia="宋体"/>
                <w:sz w:val="18"/>
                <w:highlight w:val="none"/>
              </w:rPr>
            </w:pPr>
            <w:r>
              <w:rPr>
                <w:rFonts w:ascii="宋体" w:hAnsi="宋体" w:eastAsia="宋体"/>
                <w:b w:val="0"/>
                <w:sz w:val="18"/>
                <w:highlight w:val="none"/>
              </w:rPr>
              <w:t xml:space="preserve">正常结算；一般整改事项仍须在限期内闭环。</w:t>
            </w:r>
            <w:r/>
          </w:p>
        </w:tc>
      </w:tr>
      <w:tr>
        <w:trPr>
          <w:jc w:val="center"/>
          <w:trHeight w:val="0"/>
        </w:trPr>
        <w:tc>
          <w:tcPr>
            <w:tcBorders>
              <w:top w:val="single" w:color="auto" w:sz="4" w:space="0"/>
              <w:left w:val="single" w:color="auto" w:sz="12" w:space="0"/>
              <w:bottom w:val="none" w:color="000000" w:sz="4" w:space="0"/>
              <w:right w:val="none" w:color="000000" w:sz="4" w:space="0"/>
            </w:tcBorders>
            <w:tcMar>
              <w:left w:w="60" w:type="dxa"/>
              <w:top w:w="45" w:type="dxa"/>
              <w:right w:w="60" w:type="dxa"/>
              <w:bottom w:w="45" w:type="dxa"/>
            </w:tcMar>
            <w:tcW w:w="1808" w:type="dxa"/>
            <w:vAlign w:val="center"/>
            <w:textDirection w:val="lrTb"/>
            <w:noWrap w:val="false"/>
          </w:tcPr>
          <w:p>
            <w:pPr>
              <w:ind w:left="0" w:right="0" w:firstLine="0"/>
              <w:jc w:val="center"/>
              <w:spacing w:before="0" w:after="0" w:line="240" w:lineRule="auto"/>
              <w:widowControl w:val="off"/>
              <w:rPr>
                <w:rFonts w:ascii="宋体" w:eastAsia="宋体"/>
                <w:sz w:val="18"/>
                <w:highlight w:val="none"/>
              </w:rPr>
            </w:pPr>
            <w:r>
              <w:rPr>
                <w:rFonts w:ascii="宋体" w:hAnsi="宋体" w:eastAsia="宋体"/>
                <w:b w:val="0"/>
                <w:sz w:val="18"/>
                <w:highlight w:val="none"/>
              </w:rPr>
              <w:t xml:space="preserve">90分及以上、低于95分</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959" w:type="dxa"/>
            <w:vAlign w:val="center"/>
            <w:textDirection w:val="lrTb"/>
            <w:noWrap w:val="false"/>
          </w:tcPr>
          <w:p>
            <w:pPr>
              <w:ind w:left="0" w:right="0" w:firstLine="0"/>
              <w:jc w:val="center"/>
              <w:spacing w:before="0" w:after="0" w:line="240" w:lineRule="auto"/>
              <w:widowControl w:val="off"/>
              <w:rPr>
                <w:rFonts w:ascii="宋体" w:eastAsia="宋体"/>
                <w:sz w:val="18"/>
                <w:highlight w:val="none"/>
              </w:rPr>
            </w:pPr>
            <w:r>
              <w:rPr>
                <w:rFonts w:ascii="宋体" w:hAnsi="宋体" w:eastAsia="宋体"/>
                <w:b w:val="0"/>
                <w:sz w:val="18"/>
                <w:highlight w:val="none"/>
              </w:rPr>
              <w:t xml:space="preserve">95%</w:t>
            </w:r>
            <w:r/>
          </w:p>
        </w:tc>
        <w:tc>
          <w:tcPr>
            <w:tcBorders>
              <w:top w:val="single" w:color="auto" w:sz="4" w:space="0"/>
              <w:left w:val="single" w:color="auto" w:sz="4" w:space="0"/>
              <w:bottom w:val="none" w:color="000000" w:sz="4" w:space="0"/>
              <w:right w:val="single" w:color="auto" w:sz="12" w:space="0"/>
            </w:tcBorders>
            <w:tcMar>
              <w:left w:w="60" w:type="dxa"/>
              <w:top w:w="45" w:type="dxa"/>
              <w:right w:w="60" w:type="dxa"/>
              <w:bottom w:w="45" w:type="dxa"/>
            </w:tcMar>
            <w:tcW w:w="5755" w:type="dxa"/>
            <w:vAlign w:val="center"/>
            <w:textDirection w:val="lrTb"/>
            <w:noWrap w:val="false"/>
          </w:tcPr>
          <w:p>
            <w:pPr>
              <w:ind w:left="0" w:right="0" w:firstLine="0"/>
              <w:jc w:val="left"/>
              <w:spacing w:before="0" w:after="0" w:line="240" w:lineRule="auto"/>
              <w:widowControl w:val="off"/>
              <w:rPr>
                <w:rFonts w:ascii="宋体" w:eastAsia="宋体"/>
                <w:sz w:val="18"/>
                <w:highlight w:val="none"/>
              </w:rPr>
            </w:pPr>
            <w:r>
              <w:rPr>
                <w:rFonts w:ascii="宋体" w:hAnsi="宋体" w:eastAsia="宋体"/>
                <w:b w:val="0"/>
                <w:sz w:val="18"/>
                <w:highlight w:val="none"/>
              </w:rPr>
              <w:t xml:space="preserve">扣减本期基准金额的5%，并限期整改。</w:t>
            </w:r>
            <w:r/>
          </w:p>
        </w:tc>
      </w:tr>
      <w:tr>
        <w:trPr>
          <w:jc w:val="center"/>
          <w:trHeight w:val="0"/>
        </w:trPr>
        <w:tc>
          <w:tcPr>
            <w:tcBorders>
              <w:top w:val="single" w:color="auto" w:sz="4" w:space="0"/>
              <w:left w:val="single" w:color="auto" w:sz="12" w:space="0"/>
              <w:bottom w:val="none" w:color="000000" w:sz="4" w:space="0"/>
              <w:right w:val="none" w:color="000000" w:sz="4" w:space="0"/>
            </w:tcBorders>
            <w:tcMar>
              <w:left w:w="60" w:type="dxa"/>
              <w:top w:w="45" w:type="dxa"/>
              <w:right w:w="60" w:type="dxa"/>
              <w:bottom w:w="45" w:type="dxa"/>
            </w:tcMar>
            <w:tcW w:w="1808" w:type="dxa"/>
            <w:vAlign w:val="center"/>
            <w:textDirection w:val="lrTb"/>
            <w:noWrap w:val="false"/>
          </w:tcPr>
          <w:p>
            <w:pPr>
              <w:ind w:left="0" w:right="0" w:firstLine="0"/>
              <w:jc w:val="center"/>
              <w:spacing w:before="0" w:after="0" w:line="240" w:lineRule="auto"/>
              <w:widowControl w:val="off"/>
              <w:rPr>
                <w:rFonts w:ascii="宋体" w:eastAsia="宋体"/>
                <w:sz w:val="18"/>
                <w:highlight w:val="none"/>
              </w:rPr>
            </w:pPr>
            <w:r>
              <w:rPr>
                <w:rFonts w:ascii="宋体" w:hAnsi="宋体" w:eastAsia="宋体"/>
                <w:b w:val="0"/>
                <w:sz w:val="18"/>
                <w:highlight w:val="none"/>
              </w:rPr>
              <w:t xml:space="preserve">85分及以上、低于90分</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959" w:type="dxa"/>
            <w:vAlign w:val="center"/>
            <w:textDirection w:val="lrTb"/>
            <w:noWrap w:val="false"/>
          </w:tcPr>
          <w:p>
            <w:pPr>
              <w:ind w:left="0" w:right="0" w:firstLine="0"/>
              <w:jc w:val="center"/>
              <w:spacing w:before="0" w:after="0" w:line="240" w:lineRule="auto"/>
              <w:widowControl w:val="off"/>
              <w:rPr>
                <w:rFonts w:ascii="宋体" w:eastAsia="宋体"/>
                <w:sz w:val="18"/>
                <w:highlight w:val="none"/>
              </w:rPr>
            </w:pPr>
            <w:r>
              <w:rPr>
                <w:rFonts w:ascii="宋体" w:hAnsi="宋体" w:eastAsia="宋体"/>
                <w:b w:val="0"/>
                <w:sz w:val="18"/>
                <w:highlight w:val="none"/>
              </w:rPr>
              <w:t xml:space="preserve">90%</w:t>
            </w:r>
            <w:r/>
          </w:p>
        </w:tc>
        <w:tc>
          <w:tcPr>
            <w:tcBorders>
              <w:top w:val="single" w:color="auto" w:sz="4" w:space="0"/>
              <w:left w:val="single" w:color="auto" w:sz="4" w:space="0"/>
              <w:bottom w:val="none" w:color="000000" w:sz="4" w:space="0"/>
              <w:right w:val="single" w:color="auto" w:sz="12" w:space="0"/>
            </w:tcBorders>
            <w:tcMar>
              <w:left w:w="60" w:type="dxa"/>
              <w:top w:w="45" w:type="dxa"/>
              <w:right w:w="60" w:type="dxa"/>
              <w:bottom w:w="45" w:type="dxa"/>
            </w:tcMar>
            <w:tcW w:w="5755" w:type="dxa"/>
            <w:vAlign w:val="center"/>
            <w:textDirection w:val="lrTb"/>
            <w:noWrap w:val="false"/>
          </w:tcPr>
          <w:p>
            <w:pPr>
              <w:ind w:left="0" w:right="0" w:firstLine="0"/>
              <w:jc w:val="left"/>
              <w:spacing w:before="0" w:after="0" w:line="240" w:lineRule="auto"/>
              <w:widowControl w:val="off"/>
              <w:rPr>
                <w:rFonts w:ascii="宋体" w:eastAsia="宋体"/>
                <w:sz w:val="18"/>
                <w:highlight w:val="none"/>
              </w:rPr>
            </w:pPr>
            <w:r>
              <w:rPr>
                <w:rFonts w:ascii="宋体" w:hAnsi="宋体" w:eastAsia="宋体"/>
                <w:b w:val="0"/>
                <w:sz w:val="18"/>
                <w:highlight w:val="none"/>
              </w:rPr>
              <w:t xml:space="preserve">扣减本期基准金额的10%，项目负责人书面说明并整改。</w:t>
            </w:r>
            <w:r/>
          </w:p>
        </w:tc>
      </w:tr>
      <w:tr>
        <w:trPr>
          <w:jc w:val="center"/>
          <w:trHeight w:val="0"/>
        </w:trPr>
        <w:tc>
          <w:tcPr>
            <w:tcBorders>
              <w:top w:val="single" w:color="auto" w:sz="4" w:space="0"/>
              <w:left w:val="single" w:color="auto" w:sz="12" w:space="0"/>
              <w:bottom w:val="none" w:color="000000" w:sz="4" w:space="0"/>
              <w:right w:val="none" w:color="000000" w:sz="4" w:space="0"/>
            </w:tcBorders>
            <w:tcMar>
              <w:left w:w="60" w:type="dxa"/>
              <w:top w:w="45" w:type="dxa"/>
              <w:right w:w="60" w:type="dxa"/>
              <w:bottom w:w="45" w:type="dxa"/>
            </w:tcMar>
            <w:tcW w:w="1808" w:type="dxa"/>
            <w:vAlign w:val="center"/>
            <w:textDirection w:val="lrTb"/>
            <w:noWrap w:val="false"/>
          </w:tcPr>
          <w:p>
            <w:pPr>
              <w:ind w:left="0" w:right="0" w:firstLine="0"/>
              <w:jc w:val="center"/>
              <w:spacing w:before="0" w:after="0" w:line="240" w:lineRule="auto"/>
              <w:widowControl w:val="off"/>
              <w:rPr>
                <w:rFonts w:ascii="宋体" w:eastAsia="宋体"/>
                <w:sz w:val="18"/>
                <w:highlight w:val="none"/>
              </w:rPr>
            </w:pPr>
            <w:r>
              <w:rPr>
                <w:rFonts w:ascii="宋体" w:hAnsi="宋体" w:eastAsia="宋体"/>
                <w:b w:val="0"/>
                <w:sz w:val="18"/>
                <w:highlight w:val="none"/>
              </w:rPr>
              <w:t xml:space="preserve">80分及以上、低于85分</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959" w:type="dxa"/>
            <w:vAlign w:val="center"/>
            <w:textDirection w:val="lrTb"/>
            <w:noWrap w:val="false"/>
          </w:tcPr>
          <w:p>
            <w:pPr>
              <w:ind w:left="0" w:right="0" w:firstLine="0"/>
              <w:jc w:val="center"/>
              <w:spacing w:before="0" w:after="0" w:line="240" w:lineRule="auto"/>
              <w:widowControl w:val="off"/>
              <w:rPr>
                <w:rFonts w:ascii="宋体" w:eastAsia="宋体"/>
                <w:sz w:val="18"/>
                <w:highlight w:val="none"/>
              </w:rPr>
            </w:pPr>
            <w:r>
              <w:rPr>
                <w:rFonts w:ascii="宋体" w:hAnsi="宋体" w:eastAsia="宋体"/>
                <w:b w:val="0"/>
                <w:sz w:val="18"/>
                <w:highlight w:val="none"/>
              </w:rPr>
              <w:t xml:space="preserve">80%</w:t>
            </w:r>
            <w:r/>
          </w:p>
        </w:tc>
        <w:tc>
          <w:tcPr>
            <w:tcBorders>
              <w:top w:val="single" w:color="auto" w:sz="4" w:space="0"/>
              <w:left w:val="single" w:color="auto" w:sz="4" w:space="0"/>
              <w:bottom w:val="none" w:color="000000" w:sz="4" w:space="0"/>
              <w:right w:val="single" w:color="auto" w:sz="12" w:space="0"/>
            </w:tcBorders>
            <w:tcMar>
              <w:left w:w="60" w:type="dxa"/>
              <w:top w:w="45" w:type="dxa"/>
              <w:right w:w="60" w:type="dxa"/>
              <w:bottom w:w="45" w:type="dxa"/>
            </w:tcMar>
            <w:tcW w:w="5755" w:type="dxa"/>
            <w:vAlign w:val="center"/>
            <w:textDirection w:val="lrTb"/>
            <w:noWrap w:val="false"/>
          </w:tcPr>
          <w:p>
            <w:pPr>
              <w:ind w:left="0" w:right="0" w:firstLine="0"/>
              <w:jc w:val="left"/>
              <w:spacing w:before="0" w:after="0" w:line="240" w:lineRule="auto"/>
              <w:widowControl w:val="off"/>
              <w:rPr>
                <w:rFonts w:ascii="宋体" w:eastAsia="宋体"/>
                <w:sz w:val="18"/>
                <w:highlight w:val="none"/>
              </w:rPr>
            </w:pPr>
            <w:r>
              <w:rPr>
                <w:rFonts w:ascii="宋体" w:hAnsi="宋体" w:eastAsia="宋体"/>
                <w:b w:val="0"/>
                <w:sz w:val="18"/>
                <w:highlight w:val="none"/>
              </w:rPr>
              <w:t xml:space="preserve">扣减本期基准金额的20%，技术负责人驻场整改并接受复验。</w:t>
            </w:r>
            <w:r/>
          </w:p>
        </w:tc>
      </w:tr>
      <w:tr>
        <w:trPr>
          <w:jc w:val="center"/>
          <w:trHeight w:val="0"/>
        </w:trPr>
        <w:tc>
          <w:tcPr>
            <w:tcBorders>
              <w:top w:val="single" w:color="auto" w:sz="4" w:space="0"/>
              <w:left w:val="single" w:color="auto" w:sz="12" w:space="0"/>
              <w:bottom w:val="none" w:color="000000" w:sz="4" w:space="0"/>
              <w:right w:val="none" w:color="000000" w:sz="4" w:space="0"/>
            </w:tcBorders>
            <w:tcMar>
              <w:left w:w="60" w:type="dxa"/>
              <w:top w:w="45" w:type="dxa"/>
              <w:right w:w="60" w:type="dxa"/>
              <w:bottom w:w="45" w:type="dxa"/>
            </w:tcMar>
            <w:tcW w:w="1808" w:type="dxa"/>
            <w:vAlign w:val="center"/>
            <w:textDirection w:val="lrTb"/>
            <w:noWrap w:val="false"/>
          </w:tcPr>
          <w:p>
            <w:pPr>
              <w:ind w:left="0" w:right="0" w:firstLine="0"/>
              <w:jc w:val="center"/>
              <w:spacing w:before="0" w:after="0" w:line="240" w:lineRule="auto"/>
              <w:widowControl w:val="off"/>
              <w:rPr>
                <w:rFonts w:ascii="宋体" w:eastAsia="宋体"/>
                <w:sz w:val="18"/>
                <w:highlight w:val="none"/>
              </w:rPr>
            </w:pPr>
            <w:r>
              <w:rPr>
                <w:rFonts w:ascii="宋体" w:hAnsi="宋体" w:eastAsia="宋体"/>
                <w:b w:val="0"/>
                <w:sz w:val="18"/>
                <w:highlight w:val="none"/>
              </w:rPr>
              <w:t xml:space="preserve">70分及以上、低于80分</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959" w:type="dxa"/>
            <w:vAlign w:val="center"/>
            <w:textDirection w:val="lrTb"/>
            <w:noWrap w:val="false"/>
          </w:tcPr>
          <w:p>
            <w:pPr>
              <w:ind w:left="0" w:right="0" w:firstLine="0"/>
              <w:jc w:val="center"/>
              <w:spacing w:before="0" w:after="0" w:line="240" w:lineRule="auto"/>
              <w:widowControl w:val="off"/>
              <w:rPr>
                <w:rFonts w:ascii="宋体" w:eastAsia="宋体"/>
                <w:sz w:val="18"/>
                <w:highlight w:val="none"/>
              </w:rPr>
            </w:pPr>
            <w:r>
              <w:rPr>
                <w:rFonts w:ascii="宋体" w:hAnsi="宋体" w:eastAsia="宋体"/>
                <w:b w:val="0"/>
                <w:sz w:val="18"/>
                <w:highlight w:val="none"/>
              </w:rPr>
              <w:t xml:space="preserve">60%</w:t>
            </w:r>
            <w:r/>
          </w:p>
        </w:tc>
        <w:tc>
          <w:tcPr>
            <w:tcBorders>
              <w:top w:val="single" w:color="auto" w:sz="4" w:space="0"/>
              <w:left w:val="single" w:color="auto" w:sz="4" w:space="0"/>
              <w:bottom w:val="none" w:color="000000" w:sz="4" w:space="0"/>
              <w:right w:val="single" w:color="auto" w:sz="12" w:space="0"/>
            </w:tcBorders>
            <w:tcMar>
              <w:left w:w="60" w:type="dxa"/>
              <w:top w:w="45" w:type="dxa"/>
              <w:right w:w="60" w:type="dxa"/>
              <w:bottom w:w="45" w:type="dxa"/>
            </w:tcMar>
            <w:tcW w:w="5755" w:type="dxa"/>
            <w:vAlign w:val="center"/>
            <w:textDirection w:val="lrTb"/>
            <w:noWrap w:val="false"/>
          </w:tcPr>
          <w:p>
            <w:pPr>
              <w:ind w:left="0" w:right="0" w:firstLine="0"/>
              <w:jc w:val="left"/>
              <w:spacing w:before="0" w:after="0" w:line="240" w:lineRule="auto"/>
              <w:widowControl w:val="off"/>
              <w:rPr>
                <w:rFonts w:ascii="宋体" w:eastAsia="宋体"/>
                <w:sz w:val="18"/>
                <w:highlight w:val="none"/>
              </w:rPr>
            </w:pPr>
            <w:r>
              <w:rPr>
                <w:rFonts w:ascii="宋体" w:hAnsi="宋体" w:eastAsia="宋体"/>
                <w:b w:val="0"/>
                <w:sz w:val="18"/>
                <w:highlight w:val="none"/>
              </w:rPr>
              <w:t xml:space="preserve">扣减本期基准金额的40%，甲方可约谈乙方负责人并要求专项整改。</w:t>
            </w:r>
            <w:r/>
          </w:p>
        </w:tc>
      </w:tr>
      <w:tr>
        <w:trPr>
          <w:jc w:val="center"/>
          <w:trHeight w:val="0"/>
        </w:trPr>
        <w:tc>
          <w:tcPr>
            <w:tcBorders>
              <w:top w:val="single" w:color="auto" w:sz="4" w:space="0"/>
              <w:left w:val="single" w:color="auto" w:sz="12" w:space="0"/>
              <w:bottom w:val="none" w:color="000000" w:sz="4" w:space="0"/>
              <w:right w:val="none" w:color="000000" w:sz="4" w:space="0"/>
            </w:tcBorders>
            <w:tcMar>
              <w:left w:w="60" w:type="dxa"/>
              <w:top w:w="45" w:type="dxa"/>
              <w:right w:w="60" w:type="dxa"/>
              <w:bottom w:w="45" w:type="dxa"/>
            </w:tcMar>
            <w:tcW w:w="1808" w:type="dxa"/>
            <w:vAlign w:val="center"/>
            <w:textDirection w:val="lrTb"/>
            <w:noWrap w:val="false"/>
          </w:tcPr>
          <w:p>
            <w:pPr>
              <w:ind w:left="0" w:right="0" w:firstLine="0"/>
              <w:jc w:val="center"/>
              <w:spacing w:before="0" w:after="0" w:line="240" w:lineRule="auto"/>
              <w:widowControl w:val="off"/>
              <w:rPr>
                <w:rFonts w:ascii="宋体" w:eastAsia="宋体"/>
                <w:sz w:val="18"/>
                <w:highlight w:val="none"/>
              </w:rPr>
            </w:pPr>
            <w:r>
              <w:rPr>
                <w:rFonts w:ascii="宋体" w:hAnsi="宋体" w:eastAsia="宋体"/>
                <w:b w:val="0"/>
                <w:sz w:val="18"/>
                <w:highlight w:val="none"/>
              </w:rPr>
              <w:t xml:space="preserve">60分及以上、低于70分</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959" w:type="dxa"/>
            <w:vAlign w:val="center"/>
            <w:textDirection w:val="lrTb"/>
            <w:noWrap w:val="false"/>
          </w:tcPr>
          <w:p>
            <w:pPr>
              <w:ind w:left="0" w:right="0" w:firstLine="0"/>
              <w:jc w:val="center"/>
              <w:spacing w:before="0" w:after="0" w:line="240" w:lineRule="auto"/>
              <w:widowControl w:val="off"/>
              <w:rPr>
                <w:rFonts w:ascii="宋体" w:eastAsia="宋体"/>
                <w:sz w:val="18"/>
                <w:highlight w:val="none"/>
              </w:rPr>
            </w:pPr>
            <w:r>
              <w:rPr>
                <w:rFonts w:ascii="宋体" w:hAnsi="宋体" w:eastAsia="宋体"/>
                <w:b w:val="0"/>
                <w:sz w:val="18"/>
                <w:highlight w:val="none"/>
              </w:rPr>
              <w:t xml:space="preserve">30%</w:t>
            </w:r>
            <w:r/>
          </w:p>
        </w:tc>
        <w:tc>
          <w:tcPr>
            <w:tcBorders>
              <w:top w:val="single" w:color="auto" w:sz="4" w:space="0"/>
              <w:left w:val="single" w:color="auto" w:sz="4" w:space="0"/>
              <w:bottom w:val="none" w:color="000000" w:sz="4" w:space="0"/>
              <w:right w:val="single" w:color="auto" w:sz="12" w:space="0"/>
            </w:tcBorders>
            <w:tcMar>
              <w:left w:w="60" w:type="dxa"/>
              <w:top w:w="45" w:type="dxa"/>
              <w:right w:w="60" w:type="dxa"/>
              <w:bottom w:w="45" w:type="dxa"/>
            </w:tcMar>
            <w:tcW w:w="5755" w:type="dxa"/>
            <w:vAlign w:val="center"/>
            <w:textDirection w:val="lrTb"/>
            <w:noWrap w:val="false"/>
          </w:tcPr>
          <w:p>
            <w:pPr>
              <w:ind w:left="0" w:right="0" w:firstLine="0"/>
              <w:jc w:val="left"/>
              <w:spacing w:before="0" w:after="0" w:line="240" w:lineRule="auto"/>
              <w:widowControl w:val="off"/>
              <w:rPr>
                <w:rFonts w:ascii="宋体" w:eastAsia="宋体"/>
                <w:sz w:val="18"/>
                <w:highlight w:val="none"/>
              </w:rPr>
            </w:pPr>
            <w:r>
              <w:rPr>
                <w:rFonts w:ascii="宋体" w:hAnsi="宋体" w:eastAsia="宋体"/>
                <w:b w:val="0"/>
                <w:sz w:val="18"/>
                <w:highlight w:val="none"/>
              </w:rPr>
              <w:t xml:space="preserve">仅支付本期基准金额的30%；列为严重履约风险，复验合格后方可办理。</w:t>
            </w:r>
            <w:r/>
          </w:p>
        </w:tc>
      </w:tr>
      <w:tr>
        <w:trPr>
          <w:jc w:val="center"/>
          <w:trHeight w:val="0"/>
        </w:trPr>
        <w:tc>
          <w:tcPr>
            <w:tcBorders>
              <w:top w:val="single" w:color="auto" w:sz="4" w:space="0"/>
              <w:left w:val="single" w:color="auto" w:sz="12" w:space="0"/>
              <w:bottom w:val="single" w:color="auto" w:sz="12" w:space="0"/>
              <w:right w:val="none" w:color="000000" w:sz="4" w:space="0"/>
            </w:tcBorders>
            <w:tcMar>
              <w:left w:w="60" w:type="dxa"/>
              <w:top w:w="45" w:type="dxa"/>
              <w:right w:w="60" w:type="dxa"/>
              <w:bottom w:w="45" w:type="dxa"/>
            </w:tcMar>
            <w:tcW w:w="1808" w:type="dxa"/>
            <w:vAlign w:val="center"/>
            <w:textDirection w:val="lrTb"/>
            <w:noWrap w:val="false"/>
          </w:tcPr>
          <w:p>
            <w:pPr>
              <w:ind w:left="0" w:right="0" w:firstLine="0"/>
              <w:jc w:val="center"/>
              <w:spacing w:before="0" w:after="0" w:line="240" w:lineRule="auto"/>
              <w:widowControl w:val="off"/>
              <w:rPr>
                <w:rFonts w:ascii="宋体" w:eastAsia="宋体"/>
                <w:sz w:val="18"/>
                <w:highlight w:val="none"/>
              </w:rPr>
            </w:pPr>
            <w:r>
              <w:rPr>
                <w:rFonts w:ascii="宋体" w:hAnsi="宋体" w:eastAsia="宋体"/>
                <w:b w:val="0"/>
                <w:sz w:val="18"/>
                <w:highlight w:val="none"/>
              </w:rPr>
              <w:t xml:space="preserve">低于60分</w:t>
            </w:r>
            <w:r/>
          </w:p>
        </w:tc>
        <w:tc>
          <w:tcPr>
            <w:tcBorders>
              <w:top w:val="single" w:color="auto" w:sz="4" w:space="0"/>
              <w:left w:val="single" w:color="auto" w:sz="4" w:space="0"/>
              <w:bottom w:val="single" w:color="auto" w:sz="12" w:space="0"/>
              <w:right w:val="none" w:color="000000" w:sz="4" w:space="0"/>
            </w:tcBorders>
            <w:tcMar>
              <w:left w:w="60" w:type="dxa"/>
              <w:top w:w="45" w:type="dxa"/>
              <w:right w:w="60" w:type="dxa"/>
              <w:bottom w:w="45" w:type="dxa"/>
            </w:tcMar>
            <w:tcW w:w="959" w:type="dxa"/>
            <w:vAlign w:val="center"/>
            <w:textDirection w:val="lrTb"/>
            <w:noWrap w:val="false"/>
          </w:tcPr>
          <w:p>
            <w:pPr>
              <w:ind w:left="0" w:right="0" w:firstLine="0"/>
              <w:jc w:val="center"/>
              <w:spacing w:before="0" w:after="0" w:line="240" w:lineRule="auto"/>
              <w:widowControl w:val="off"/>
              <w:rPr>
                <w:rFonts w:ascii="宋体" w:eastAsia="宋体"/>
                <w:sz w:val="18"/>
                <w:highlight w:val="none"/>
              </w:rPr>
            </w:pPr>
            <w:r>
              <w:rPr>
                <w:rFonts w:ascii="宋体" w:hAnsi="宋体" w:eastAsia="宋体"/>
                <w:b w:val="0"/>
                <w:sz w:val="18"/>
                <w:highlight w:val="none"/>
              </w:rPr>
              <w:t xml:space="preserve">0%</w:t>
            </w:r>
            <w:r/>
          </w:p>
        </w:tc>
        <w:tc>
          <w:tcPr>
            <w:tcBorders>
              <w:top w:val="single" w:color="auto" w:sz="4" w:space="0"/>
              <w:left w:val="single" w:color="auto" w:sz="4" w:space="0"/>
              <w:bottom w:val="single" w:color="auto" w:sz="12" w:space="0"/>
              <w:right w:val="single" w:color="auto" w:sz="12" w:space="0"/>
            </w:tcBorders>
            <w:tcMar>
              <w:left w:w="60" w:type="dxa"/>
              <w:top w:w="45" w:type="dxa"/>
              <w:right w:w="60" w:type="dxa"/>
              <w:bottom w:w="45" w:type="dxa"/>
            </w:tcMar>
            <w:tcW w:w="5755" w:type="dxa"/>
            <w:vAlign w:val="center"/>
            <w:textDirection w:val="lrTb"/>
            <w:noWrap w:val="false"/>
          </w:tcPr>
          <w:p>
            <w:pPr>
              <w:ind w:left="0" w:right="0" w:firstLine="0"/>
              <w:jc w:val="left"/>
              <w:spacing w:before="0" w:after="0" w:line="240" w:lineRule="auto"/>
              <w:widowControl w:val="off"/>
              <w:rPr>
                <w:rFonts w:ascii="宋体" w:eastAsia="宋体"/>
                <w:sz w:val="18"/>
                <w:highlight w:val="none"/>
              </w:rPr>
            </w:pPr>
            <w:r>
              <w:rPr>
                <w:rFonts w:ascii="宋体" w:hAnsi="宋体" w:eastAsia="宋体"/>
                <w:b w:val="0"/>
                <w:sz w:val="18"/>
                <w:highlight w:val="none"/>
              </w:rPr>
              <w:t xml:space="preserve">当期不予付款；甲方可要求更换团队、委托第三方处置、追究违约责任或解除合同。</w:t>
            </w:r>
            <w:r/>
          </w:p>
        </w:tc>
      </w:tr>
    </w:tbl>
    <w:p>
      <w:pPr>
        <w:ind w:left="0" w:firstLine="420"/>
        <w:jc w:val="both"/>
        <w:spacing w:before="0" w:after="0" w:line="360" w:lineRule="auto"/>
        <w:rPr>
          <w:rFonts w:ascii="宋体" w:hAnsi="宋体" w:eastAsia="宋体"/>
          <w:b w:val="0"/>
          <w:sz w:val="21"/>
          <w:highlight w:val="none"/>
        </w:rPr>
      </w:pPr>
      <w:r>
        <w:rPr>
          <w:rFonts w:hint="eastAsia" w:ascii="宋体" w:hAnsi="宋体" w:eastAsia="宋体"/>
          <w:b w:val="0"/>
          <w:sz w:val="21"/>
          <w:highlight w:val="none"/>
        </w:rPr>
        <w:t xml:space="preserve">3.1 每季度考核结算基准金额为合同总价款的12.5%。每季度实际考核结算金额按照下列公式计算：</w:t>
      </w:r>
      <w:r>
        <w:rPr>
          <w:rFonts w:hint="eastAsia" w:ascii="宋体" w:hAnsi="宋体" w:eastAsia="宋体"/>
          <w:b w:val="0"/>
          <w:sz w:val="21"/>
          <w:highlight w:val="none"/>
        </w:rPr>
        <w:br/>
      </w:r>
      <w:r>
        <w:rPr>
          <w:rFonts w:hint="eastAsia" w:ascii="宋体" w:hAnsi="宋体" w:eastAsia="宋体"/>
          <w:b w:val="0"/>
          <w:sz w:val="21"/>
          <w:highlight w:val="none"/>
        </w:rPr>
        <w:t xml:space="preserve">每季度实际考核结算金额＝合同总价款×12.5%×该</w:t>
      </w:r>
      <w:r>
        <w:rPr>
          <w:rFonts w:hint="eastAsia" w:ascii="宋体" w:hAnsi="宋体"/>
          <w:b w:val="0"/>
          <w:sz w:val="21"/>
          <w:highlight w:val="none"/>
          <w:lang w:eastAsia="zh-CN"/>
        </w:rPr>
        <w:t xml:space="preserve">季度考核付款系数</w:t>
      </w:r>
      <w:r>
        <w:rPr>
          <w:rFonts w:hint="eastAsia" w:ascii="宋体" w:hAnsi="宋体" w:eastAsia="宋体"/>
          <w:b w:val="0"/>
          <w:sz w:val="21"/>
          <w:highlight w:val="none"/>
        </w:rPr>
        <w:t xml:space="preserve">。</w:t>
      </w:r>
      <w:r/>
    </w:p>
    <w:p>
      <w:pPr>
        <w:ind w:left="0" w:firstLine="420"/>
        <w:jc w:val="both"/>
        <w:spacing w:before="0" w:after="0" w:line="360" w:lineRule="auto"/>
        <w:rPr>
          <w:rFonts w:ascii="宋体" w:hAnsi="宋体" w:eastAsia="宋体"/>
          <w:b w:val="0"/>
          <w:sz w:val="21"/>
          <w:highlight w:val="none"/>
        </w:rPr>
      </w:pPr>
      <w:r>
        <w:rPr>
          <w:rFonts w:hint="eastAsia" w:ascii="宋体" w:hAnsi="宋体" w:eastAsia="宋体"/>
          <w:b w:val="0"/>
          <w:sz w:val="21"/>
          <w:highlight w:val="none"/>
        </w:rPr>
        <w:t xml:space="preserve">3.2 第二期应付款金额为第一季度实际考核结算金额与第二季度实际考核结算金额之和；第三期应付款金额为第三季度实际考核结算金额与第四季度实际考核结算金额之和。</w:t>
      </w:r>
      <w:r/>
    </w:p>
    <w:p>
      <w:pPr>
        <w:ind w:left="0" w:firstLine="420"/>
        <w:jc w:val="both"/>
        <w:spacing w:before="0" w:after="0" w:line="360" w:lineRule="auto"/>
        <w:rPr>
          <w:rFonts w:ascii="宋体" w:hAnsi="宋体" w:eastAsia="宋体"/>
          <w:b w:val="0"/>
          <w:sz w:val="21"/>
          <w:highlight w:val="none"/>
        </w:rPr>
      </w:pPr>
      <w:r>
        <w:rPr>
          <w:rFonts w:hint="eastAsia" w:ascii="宋体" w:hAnsi="宋体" w:eastAsia="宋体"/>
          <w:b w:val="0"/>
          <w:sz w:val="21"/>
          <w:highlight w:val="none"/>
        </w:rPr>
        <w:t xml:space="preserve">3.3 任一季度考核得分低于60分或者发生一票否决事项的，该</w:t>
      </w:r>
      <w:r>
        <w:rPr>
          <w:rFonts w:hint="eastAsia" w:ascii="宋体" w:hAnsi="宋体"/>
          <w:b w:val="0"/>
          <w:sz w:val="21"/>
          <w:highlight w:val="none"/>
          <w:lang w:eastAsia="zh-CN"/>
        </w:rPr>
        <w:t xml:space="preserve">季度考核付款系数</w:t>
      </w:r>
      <w:r>
        <w:rPr>
          <w:rFonts w:hint="eastAsia" w:ascii="宋体" w:hAnsi="宋体" w:eastAsia="宋体"/>
          <w:b w:val="0"/>
          <w:sz w:val="21"/>
          <w:highlight w:val="none"/>
        </w:rPr>
        <w:t xml:space="preserve">为0%，该季度对应考核结算金额不予支付。累计两个季度考核得分低于70分的，甲方有权暂缓支付第三期款项，要求专项整改、调整服务团队，并按照合同约定追究违约责任或者依法解除合同。</w:t>
      </w:r>
      <w:r/>
    </w:p>
    <w:p>
      <w:pPr>
        <w:ind w:left="0" w:firstLine="420"/>
        <w:jc w:val="both"/>
        <w:spacing w:before="0" w:after="0" w:line="360" w:lineRule="auto"/>
        <w:rPr>
          <w:highlight w:val="none"/>
        </w:rPr>
      </w:pPr>
      <w:r>
        <w:rPr>
          <w:highlight w:val="none"/>
        </w:rPr>
      </w:r>
      <w:r/>
    </w:p>
    <w:p>
      <w:pPr>
        <w:ind w:left="0" w:firstLine="0"/>
        <w:jc w:val="left"/>
        <w:keepNext/>
        <w:spacing w:before="0" w:after="0" w:line="360" w:lineRule="auto"/>
        <w:rPr>
          <w:highlight w:val="none"/>
        </w:rPr>
      </w:pPr>
      <w:r>
        <w:rPr>
          <w:rFonts w:ascii="宋体" w:hAnsi="宋体" w:eastAsia="宋体"/>
          <w:b/>
          <w:sz w:val="21"/>
          <w:highlight w:val="none"/>
        </w:rPr>
        <w:t xml:space="preserve">4.考核组织、程序及证据规则</w:t>
      </w:r>
      <w:r/>
    </w:p>
    <w:p>
      <w:pPr>
        <w:ind w:left="0" w:firstLine="420"/>
        <w:jc w:val="both"/>
        <w:spacing w:before="0" w:after="0" w:line="360" w:lineRule="auto"/>
        <w:rPr>
          <w:highlight w:val="none"/>
        </w:rPr>
      </w:pPr>
      <w:r>
        <w:rPr>
          <w:rFonts w:ascii="宋体" w:hAnsi="宋体" w:eastAsia="宋体"/>
          <w:b w:val="0"/>
          <w:sz w:val="21"/>
          <w:highlight w:val="none"/>
        </w:rPr>
        <w:t xml:space="preserve">4.1 甲方可成立由设备管理、信息化、安全、财务及使用部门人员组成的考核小组，必要时邀请第三方专业机构参与检查、检测和技术认定。乙方项目负责人、技术负责人应按通知参加，不得无故缺席。</w:t>
      </w:r>
      <w:r/>
    </w:p>
    <w:p>
      <w:pPr>
        <w:ind w:left="0" w:firstLine="420"/>
        <w:jc w:val="both"/>
        <w:spacing w:before="0" w:after="0" w:line="360" w:lineRule="auto"/>
        <w:rPr>
          <w:rFonts w:ascii="宋体" w:hAnsi="宋体" w:eastAsia="宋体"/>
          <w:b w:val="0"/>
          <w:sz w:val="21"/>
          <w:highlight w:val="none"/>
        </w:rPr>
      </w:pPr>
      <w:r>
        <w:rPr>
          <w:rFonts w:ascii="宋体" w:hAnsi="宋体" w:eastAsia="宋体"/>
          <w:b w:val="0"/>
          <w:sz w:val="21"/>
          <w:highlight w:val="none"/>
        </w:rPr>
        <w:t xml:space="preserve">4.2 乙方应在每季度结束后</w:t>
      </w:r>
      <w:r>
        <w:rPr>
          <w:rFonts w:hint="eastAsia" w:ascii="宋体" w:hAnsi="宋体"/>
          <w:b w:val="0"/>
          <w:sz w:val="21"/>
          <w:highlight w:val="none"/>
          <w:lang w:val="en-US" w:eastAsia="zh-CN"/>
        </w:rPr>
        <w:t xml:space="preserve">5</w:t>
      </w:r>
      <w:r>
        <w:rPr>
          <w:rFonts w:ascii="宋体" w:hAnsi="宋体" w:eastAsia="宋体"/>
          <w:b w:val="0"/>
          <w:sz w:val="21"/>
          <w:highlight w:val="none"/>
        </w:rPr>
        <w:t xml:space="preserve">个工作日内提交季度运维档案、自评表、巡检和维护完成情况统计、故障闭环清单、备件库存台账及人员考勤材料。第二季度结束后，乙方应同时提交中期付款申请及第一、第二季度考核确认材料；第四季度结束后，乙方应同时提交期末付款申请、第三、第四季度考核确认材料及最终履约验收资料。超过规定期限5个工作日仍未完整提交的，甲方可暂缓相应第二期或者第三期款项。</w:t>
      </w:r>
      <w:r/>
    </w:p>
    <w:p>
      <w:pPr>
        <w:ind w:left="0" w:firstLine="420"/>
        <w:jc w:val="both"/>
        <w:spacing w:before="0" w:after="0" w:line="360" w:lineRule="auto"/>
        <w:rPr>
          <w:highlight w:val="none"/>
        </w:rPr>
      </w:pPr>
      <w:r>
        <w:rPr>
          <w:rFonts w:ascii="宋体" w:hAnsi="宋体" w:eastAsia="宋体"/>
          <w:b w:val="0"/>
          <w:sz w:val="21"/>
          <w:highlight w:val="none"/>
        </w:rPr>
        <w:t xml:space="preserve">4.3 甲方可采用现场检查、随机抽查、设备告警和运行日志、门禁及监控记录、电话录音、工单时间戳、照片视频、配置备份、仪器检测数据、库存盘点、投诉记录、第三方报告等作为考核依据。仅有乙方单方制作且无法与客观记录相互印证的材料，甲方有权不予采信。</w:t>
      </w:r>
      <w:r/>
    </w:p>
    <w:p>
      <w:pPr>
        <w:ind w:left="0" w:firstLine="420"/>
        <w:jc w:val="both"/>
        <w:spacing w:before="0" w:after="0" w:line="360" w:lineRule="auto"/>
        <w:rPr>
          <w:highlight w:val="none"/>
        </w:rPr>
      </w:pPr>
      <w:r>
        <w:rPr>
          <w:rFonts w:ascii="宋体" w:hAnsi="宋体" w:eastAsia="宋体"/>
          <w:b w:val="0"/>
          <w:sz w:val="21"/>
          <w:highlight w:val="none"/>
        </w:rPr>
        <w:t xml:space="preserve">4.4 甲方将初评结果送达乙方后，乙方如有异议，应在2个工作日内一次性提交书面说明及可核验证据；逾期未提交的，视为认可。乙方拒绝签字的，由两名以上甲方人员记录送达及拒签情况，考核结果仍然有效。</w:t>
      </w:r>
      <w:r/>
    </w:p>
    <w:p>
      <w:pPr>
        <w:ind w:left="0" w:firstLine="420"/>
        <w:jc w:val="both"/>
        <w:spacing w:before="0" w:after="0" w:line="360" w:lineRule="auto"/>
        <w:rPr>
          <w:highlight w:val="none"/>
        </w:rPr>
      </w:pPr>
      <w:r>
        <w:rPr>
          <w:rFonts w:ascii="宋体" w:hAnsi="宋体" w:eastAsia="宋体"/>
          <w:b w:val="0"/>
          <w:sz w:val="21"/>
          <w:highlight w:val="none"/>
        </w:rPr>
        <w:t xml:space="preserve">4.5 一般问题应在2个工作日内整改；影响设备运行、安全或备件保障的重大问题应在24小时内整改；正在发生的故障、安全隐患及应急事件应立即处置。整改完成后须提交前后对比照片、检测数据、工单及责任人签字材料。</w:t>
      </w:r>
      <w:r/>
    </w:p>
    <w:p>
      <w:pPr>
        <w:ind w:left="0" w:firstLine="420"/>
        <w:jc w:val="both"/>
        <w:spacing w:before="0" w:after="0" w:line="360" w:lineRule="auto"/>
        <w:rPr>
          <w:highlight w:val="none"/>
        </w:rPr>
      </w:pPr>
      <w:r>
        <w:rPr>
          <w:rFonts w:ascii="宋体" w:hAnsi="宋体" w:eastAsia="宋体"/>
          <w:b w:val="0"/>
          <w:sz w:val="21"/>
          <w:highlight w:val="none"/>
        </w:rPr>
        <w:t xml:space="preserve">4.6 每项考核分值扣完为止，不计负分；但专项扣款、第三方费用、设备或数据损失、赔偿责任不受对应考核分值上限限制。</w:t>
      </w:r>
      <w:r/>
    </w:p>
    <w:p>
      <w:pPr>
        <w:ind w:left="0" w:firstLine="0"/>
        <w:jc w:val="left"/>
        <w:keepNext/>
        <w:spacing w:before="0" w:after="0" w:line="360" w:lineRule="auto"/>
        <w:rPr>
          <w:highlight w:val="none"/>
        </w:rPr>
      </w:pPr>
      <w:r>
        <w:rPr>
          <w:rFonts w:ascii="宋体" w:hAnsi="宋体" w:eastAsia="宋体"/>
          <w:b/>
          <w:sz w:val="21"/>
          <w:highlight w:val="none"/>
        </w:rPr>
        <w:t xml:space="preserve">5.故障分级及响应要求</w:t>
      </w:r>
      <w:r/>
    </w:p>
    <w:tbl>
      <w:tblPr>
        <w:tblStyle w:val="735"/>
        <w:tblW w:w="8522"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870"/>
        <w:gridCol w:w="3440"/>
        <w:gridCol w:w="3212"/>
      </w:tblGrid>
      <w:tr>
        <w:trPr>
          <w:jc w:val="center"/>
          <w:trHeight w:val="0"/>
          <w:tblHeader/>
        </w:trPr>
        <w:tc>
          <w:tcPr>
            <w:shd w:val="clear" w:color="auto" w:fill="d9e2f3"/>
            <w:tcBorders>
              <w:top w:val="single" w:color="auto" w:sz="12" w:space="0"/>
              <w:left w:val="single" w:color="auto" w:sz="12" w:space="0"/>
              <w:bottom w:val="none" w:color="000000" w:sz="4" w:space="0"/>
              <w:right w:val="none" w:color="000000" w:sz="4" w:space="0"/>
            </w:tcBorders>
            <w:tcMar>
              <w:left w:w="60" w:type="dxa"/>
              <w:top w:w="45" w:type="dxa"/>
              <w:right w:w="60" w:type="dxa"/>
              <w:bottom w:w="45" w:type="dxa"/>
            </w:tcMar>
            <w:tcW w:w="1870" w:type="dxa"/>
            <w:vAlign w:val="center"/>
            <w:textDirection w:val="lrTb"/>
            <w:noWrap w:val="false"/>
          </w:tcPr>
          <w:p>
            <w:pPr>
              <w:ind w:left="0" w:right="0" w:firstLine="0"/>
              <w:jc w:val="center"/>
              <w:spacing w:before="0" w:after="0" w:line="240" w:lineRule="auto"/>
              <w:widowControl w:val="off"/>
              <w:rPr>
                <w:rFonts w:ascii="宋体" w:eastAsia="宋体"/>
                <w:b/>
                <w:sz w:val="21"/>
                <w:szCs w:val="21"/>
                <w:highlight w:val="none"/>
              </w:rPr>
            </w:pPr>
            <w:r>
              <w:rPr>
                <w:rFonts w:ascii="宋体" w:hAnsi="宋体" w:eastAsia="宋体"/>
                <w:b/>
                <w:sz w:val="21"/>
                <w:szCs w:val="21"/>
                <w:highlight w:val="none"/>
              </w:rPr>
              <w:t xml:space="preserve">故障级别</w:t>
            </w:r>
            <w:r/>
          </w:p>
        </w:tc>
        <w:tc>
          <w:tcPr>
            <w:shd w:val="clear" w:color="auto" w:fill="d9e2f3"/>
            <w:tcBorders>
              <w:top w:val="single" w:color="auto" w:sz="12" w:space="0"/>
              <w:left w:val="single" w:color="auto" w:sz="4" w:space="0"/>
              <w:bottom w:val="none" w:color="000000" w:sz="4" w:space="0"/>
              <w:right w:val="none" w:color="000000" w:sz="4" w:space="0"/>
            </w:tcBorders>
            <w:tcMar>
              <w:left w:w="60" w:type="dxa"/>
              <w:top w:w="45" w:type="dxa"/>
              <w:right w:w="60" w:type="dxa"/>
              <w:bottom w:w="45" w:type="dxa"/>
            </w:tcMar>
            <w:tcW w:w="3440" w:type="dxa"/>
            <w:vAlign w:val="center"/>
            <w:textDirection w:val="lrTb"/>
            <w:noWrap w:val="false"/>
          </w:tcPr>
          <w:p>
            <w:pPr>
              <w:ind w:left="0" w:right="0" w:firstLine="0"/>
              <w:jc w:val="center"/>
              <w:spacing w:before="0" w:after="0" w:line="240" w:lineRule="auto"/>
              <w:widowControl w:val="off"/>
              <w:rPr>
                <w:rFonts w:ascii="宋体" w:eastAsia="宋体"/>
                <w:b/>
                <w:sz w:val="21"/>
                <w:szCs w:val="21"/>
                <w:highlight w:val="none"/>
              </w:rPr>
            </w:pPr>
            <w:r>
              <w:rPr>
                <w:rFonts w:ascii="宋体" w:hAnsi="宋体" w:eastAsia="宋体"/>
                <w:b/>
                <w:sz w:val="21"/>
                <w:szCs w:val="21"/>
                <w:highlight w:val="none"/>
              </w:rPr>
              <w:t xml:space="preserve">典型情形</w:t>
            </w:r>
            <w:r/>
          </w:p>
        </w:tc>
        <w:tc>
          <w:tcPr>
            <w:shd w:val="clear" w:color="auto" w:fill="d9e2f3"/>
            <w:tcBorders>
              <w:top w:val="single" w:color="auto" w:sz="12" w:space="0"/>
              <w:left w:val="single" w:color="auto" w:sz="4" w:space="0"/>
              <w:bottom w:val="none" w:color="000000" w:sz="4" w:space="0"/>
              <w:right w:val="single" w:color="auto" w:sz="12" w:space="0"/>
            </w:tcBorders>
            <w:tcMar>
              <w:left w:w="60" w:type="dxa"/>
              <w:top w:w="45" w:type="dxa"/>
              <w:right w:w="60" w:type="dxa"/>
              <w:bottom w:w="45" w:type="dxa"/>
            </w:tcMar>
            <w:tcW w:w="3212" w:type="dxa"/>
            <w:vAlign w:val="center"/>
            <w:textDirection w:val="lrTb"/>
            <w:noWrap w:val="false"/>
          </w:tcPr>
          <w:p>
            <w:pPr>
              <w:ind w:left="0" w:right="0" w:firstLine="0"/>
              <w:jc w:val="center"/>
              <w:spacing w:before="0" w:after="0" w:line="240" w:lineRule="auto"/>
              <w:widowControl w:val="off"/>
              <w:rPr>
                <w:rFonts w:ascii="宋体" w:eastAsia="宋体"/>
                <w:b/>
                <w:sz w:val="21"/>
                <w:szCs w:val="21"/>
                <w:highlight w:val="none"/>
              </w:rPr>
            </w:pPr>
            <w:r>
              <w:rPr>
                <w:rFonts w:ascii="宋体" w:hAnsi="宋体" w:eastAsia="宋体"/>
                <w:b/>
                <w:sz w:val="21"/>
                <w:szCs w:val="21"/>
                <w:highlight w:val="none"/>
              </w:rPr>
              <w:t xml:space="preserve">响应和处置要求</w:t>
            </w:r>
            <w:r/>
          </w:p>
        </w:tc>
      </w:tr>
      <w:tr>
        <w:trPr>
          <w:jc w:val="center"/>
          <w:trHeight w:val="0"/>
        </w:trPr>
        <w:tc>
          <w:tcPr>
            <w:tcBorders>
              <w:top w:val="single" w:color="auto" w:sz="4" w:space="0"/>
              <w:left w:val="single" w:color="auto" w:sz="12" w:space="0"/>
              <w:bottom w:val="none" w:color="000000" w:sz="4" w:space="0"/>
              <w:right w:val="none" w:color="000000" w:sz="4" w:space="0"/>
            </w:tcBorders>
            <w:tcMar>
              <w:left w:w="60" w:type="dxa"/>
              <w:top w:w="45" w:type="dxa"/>
              <w:right w:w="60" w:type="dxa"/>
              <w:bottom w:w="45" w:type="dxa"/>
            </w:tcMar>
            <w:tcW w:w="1870" w:type="dxa"/>
            <w:vAlign w:val="center"/>
            <w:textDirection w:val="lrTb"/>
            <w:noWrap w:val="false"/>
          </w:tcPr>
          <w:p>
            <w:pPr>
              <w:ind w:left="0" w:right="0" w:firstLine="0"/>
              <w:jc w:val="center"/>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Ⅰ级（重大）</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3440" w:type="dxa"/>
            <w:vAlign w:val="center"/>
            <w:textDirection w:val="lrTb"/>
            <w:noWrap w:val="false"/>
          </w:tcPr>
          <w:p>
            <w:pPr>
              <w:ind w:left="0" w:right="0" w:firstLine="0"/>
              <w:jc w:val="lef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UPS主机、ATS、核心配电发生故障或存在供电中断风险；DLP大屏大面积黑屏、核心处理器故障；多台精密空调故障并可能影响机房安全；发生火灾、电气、数据泄露等重大风险。</w:t>
            </w:r>
            <w:r/>
          </w:p>
        </w:tc>
        <w:tc>
          <w:tcPr>
            <w:tcBorders>
              <w:top w:val="single" w:color="auto" w:sz="4" w:space="0"/>
              <w:left w:val="single" w:color="auto" w:sz="4" w:space="0"/>
              <w:bottom w:val="none" w:color="000000" w:sz="4" w:space="0"/>
              <w:right w:val="single" w:color="auto" w:sz="12" w:space="0"/>
            </w:tcBorders>
            <w:tcMar>
              <w:left w:w="60" w:type="dxa"/>
              <w:top w:w="45" w:type="dxa"/>
              <w:right w:w="60" w:type="dxa"/>
              <w:bottom w:w="45" w:type="dxa"/>
            </w:tcMar>
            <w:tcW w:w="3212" w:type="dxa"/>
            <w:vAlign w:val="center"/>
            <w:textDirection w:val="lrTb"/>
            <w:noWrap w:val="false"/>
          </w:tcPr>
          <w:p>
            <w:pPr>
              <w:ind w:left="0" w:right="0" w:firstLine="0"/>
              <w:jc w:val="lef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接报后5分钟内响应并启动应急机制；立即报告甲方；工作日0.5小时、非工作日1小时内到场；持续处置直至恢复；每30分钟报告进展。</w:t>
            </w:r>
            <w:r/>
          </w:p>
        </w:tc>
      </w:tr>
      <w:tr>
        <w:trPr>
          <w:jc w:val="center"/>
          <w:trHeight w:val="0"/>
        </w:trPr>
        <w:tc>
          <w:tcPr>
            <w:tcBorders>
              <w:top w:val="single" w:color="auto" w:sz="4" w:space="0"/>
              <w:left w:val="single" w:color="auto" w:sz="12" w:space="0"/>
              <w:bottom w:val="none" w:color="000000" w:sz="4" w:space="0"/>
              <w:right w:val="none" w:color="000000" w:sz="4" w:space="0"/>
            </w:tcBorders>
            <w:tcMar>
              <w:left w:w="60" w:type="dxa"/>
              <w:top w:w="45" w:type="dxa"/>
              <w:right w:w="60" w:type="dxa"/>
              <w:bottom w:w="45" w:type="dxa"/>
            </w:tcMar>
            <w:tcW w:w="1870" w:type="dxa"/>
            <w:vAlign w:val="center"/>
            <w:textDirection w:val="lrTb"/>
            <w:noWrap w:val="false"/>
          </w:tcPr>
          <w:p>
            <w:pPr>
              <w:ind w:left="0" w:right="0" w:firstLine="0"/>
              <w:jc w:val="center"/>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Ⅱ级（较大）</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3440" w:type="dxa"/>
            <w:vAlign w:val="center"/>
            <w:textDirection w:val="lrTb"/>
            <w:noWrap w:val="false"/>
          </w:tcPr>
          <w:p>
            <w:pPr>
              <w:ind w:left="0" w:right="0" w:firstLine="0"/>
              <w:jc w:val="lef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部分显示单元、输入输出通道、单台精密空调、单套配电回路或监控功能故障，对业务有明显影响但尚未造成整体中断。</w:t>
            </w:r>
            <w:r/>
          </w:p>
        </w:tc>
        <w:tc>
          <w:tcPr>
            <w:tcBorders>
              <w:top w:val="single" w:color="auto" w:sz="4" w:space="0"/>
              <w:left w:val="single" w:color="auto" w:sz="4" w:space="0"/>
              <w:bottom w:val="none" w:color="000000" w:sz="4" w:space="0"/>
              <w:right w:val="single" w:color="auto" w:sz="12" w:space="0"/>
            </w:tcBorders>
            <w:tcMar>
              <w:left w:w="60" w:type="dxa"/>
              <w:top w:w="45" w:type="dxa"/>
              <w:right w:w="60" w:type="dxa"/>
              <w:bottom w:w="45" w:type="dxa"/>
            </w:tcMar>
            <w:tcW w:w="3212" w:type="dxa"/>
            <w:vAlign w:val="center"/>
            <w:textDirection w:val="lrTb"/>
            <w:noWrap w:val="false"/>
          </w:tcPr>
          <w:p>
            <w:pPr>
              <w:ind w:left="0" w:right="0" w:firstLine="0"/>
              <w:jc w:val="lef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接报后5分钟内响应；按采购文件时限到场；优先在4小时内恢复主要功能或提供临时代用方案；24小时内完成修复或提交经甲方认可的书面处置计划。</w:t>
            </w:r>
            <w:r/>
          </w:p>
        </w:tc>
      </w:tr>
      <w:tr>
        <w:trPr>
          <w:jc w:val="center"/>
          <w:trHeight w:val="0"/>
        </w:trPr>
        <w:tc>
          <w:tcPr>
            <w:tcBorders>
              <w:top w:val="single" w:color="auto" w:sz="4" w:space="0"/>
              <w:left w:val="single" w:color="auto" w:sz="12" w:space="0"/>
              <w:bottom w:val="single" w:color="auto" w:sz="12" w:space="0"/>
              <w:right w:val="none" w:color="000000" w:sz="4" w:space="0"/>
            </w:tcBorders>
            <w:tcMar>
              <w:left w:w="60" w:type="dxa"/>
              <w:top w:w="45" w:type="dxa"/>
              <w:right w:w="60" w:type="dxa"/>
              <w:bottom w:w="45" w:type="dxa"/>
            </w:tcMar>
            <w:tcW w:w="1870" w:type="dxa"/>
            <w:vAlign w:val="center"/>
            <w:textDirection w:val="lrTb"/>
            <w:noWrap w:val="false"/>
          </w:tcPr>
          <w:p>
            <w:pPr>
              <w:ind w:left="0" w:right="0" w:firstLine="0"/>
              <w:jc w:val="center"/>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Ⅲ级（一般）</w:t>
            </w:r>
            <w:r/>
          </w:p>
        </w:tc>
        <w:tc>
          <w:tcPr>
            <w:tcBorders>
              <w:top w:val="single" w:color="auto" w:sz="4" w:space="0"/>
              <w:left w:val="single" w:color="auto" w:sz="4" w:space="0"/>
              <w:bottom w:val="single" w:color="auto" w:sz="12" w:space="0"/>
              <w:right w:val="none" w:color="000000" w:sz="4" w:space="0"/>
            </w:tcBorders>
            <w:tcMar>
              <w:left w:w="60" w:type="dxa"/>
              <w:top w:w="45" w:type="dxa"/>
              <w:right w:w="60" w:type="dxa"/>
              <w:bottom w:w="45" w:type="dxa"/>
            </w:tcMar>
            <w:tcW w:w="3440" w:type="dxa"/>
            <w:vAlign w:val="center"/>
            <w:textDirection w:val="lrTb"/>
            <w:noWrap w:val="false"/>
          </w:tcPr>
          <w:p>
            <w:pPr>
              <w:ind w:left="0" w:right="0" w:firstLine="0"/>
              <w:jc w:val="lef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单个非核心模块、一般告警、参数优化、连接线缆、显示偏差及不影响整体运行的普通故障或维护需求。</w:t>
            </w:r>
            <w:r/>
          </w:p>
        </w:tc>
        <w:tc>
          <w:tcPr>
            <w:tcBorders>
              <w:top w:val="single" w:color="auto" w:sz="4" w:space="0"/>
              <w:left w:val="single" w:color="auto" w:sz="4" w:space="0"/>
              <w:bottom w:val="single" w:color="auto" w:sz="12" w:space="0"/>
              <w:right w:val="single" w:color="auto" w:sz="12" w:space="0"/>
            </w:tcBorders>
            <w:tcMar>
              <w:left w:w="60" w:type="dxa"/>
              <w:top w:w="45" w:type="dxa"/>
              <w:right w:w="60" w:type="dxa"/>
              <w:bottom w:w="45" w:type="dxa"/>
            </w:tcMar>
            <w:tcW w:w="3212" w:type="dxa"/>
            <w:vAlign w:val="center"/>
            <w:textDirection w:val="lrTb"/>
            <w:noWrap w:val="false"/>
          </w:tcPr>
          <w:p>
            <w:pPr>
              <w:ind w:left="0" w:right="0" w:firstLine="0"/>
              <w:jc w:val="lef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接报后10分钟内响应；按采购文件时限到场或经甲方同意远程处置；24小时内完成处理。</w:t>
            </w:r>
            <w:r/>
          </w:p>
        </w:tc>
      </w:tr>
    </w:tbl>
    <w:p>
      <w:pPr>
        <w:ind w:left="0" w:firstLine="420"/>
        <w:jc w:val="both"/>
        <w:spacing w:before="0" w:after="0" w:line="360" w:lineRule="auto"/>
        <w:rPr>
          <w:highlight w:val="none"/>
        </w:rPr>
      </w:pPr>
      <w:r>
        <w:rPr>
          <w:rFonts w:ascii="宋体" w:hAnsi="宋体" w:eastAsia="宋体"/>
          <w:b w:val="0"/>
          <w:sz w:val="21"/>
          <w:highlight w:val="none"/>
        </w:rPr>
        <w:t xml:space="preserve">5.1 故障级别由甲方根据影响范围、业务重要性、安全风险和恢复难度确定；乙方不得以内部判断降低故障等级或延迟响应。不能在24小时内永久修复的，应先提供同档次或更高档次的备件、临时代用设备或经甲方认可的替代方案，并持续跟踪直至彻底修复。</w:t>
      </w:r>
      <w:r/>
    </w:p>
    <w:p>
      <w:pPr>
        <w:ind w:left="0" w:firstLine="0"/>
        <w:jc w:val="left"/>
        <w:keepNext/>
        <w:spacing w:before="0" w:after="0" w:line="360" w:lineRule="auto"/>
        <w:rPr>
          <w:highlight w:val="none"/>
        </w:rPr>
      </w:pPr>
      <w:r>
        <w:rPr>
          <w:rFonts w:ascii="宋体" w:hAnsi="宋体" w:eastAsia="宋体"/>
          <w:b/>
          <w:sz w:val="21"/>
          <w:highlight w:val="none"/>
        </w:rPr>
        <w:t xml:space="preserve">6.季度履约考核评分细则（满分100分）</w:t>
      </w:r>
      <w:r/>
    </w:p>
    <w:tbl>
      <w:tblPr>
        <w:tblStyle w:val="735"/>
        <w:tblW w:w="8522"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35"/>
        <w:gridCol w:w="1576"/>
        <w:gridCol w:w="3051"/>
        <w:gridCol w:w="3029"/>
        <w:gridCol w:w="431"/>
      </w:tblGrid>
      <w:tr>
        <w:trPr>
          <w:jc w:val="center"/>
          <w:trHeight w:val="0"/>
          <w:tblHeader/>
        </w:trPr>
        <w:tc>
          <w:tcPr>
            <w:shd w:val="clear" w:color="auto" w:fill="d9e2f3"/>
            <w:tcBorders>
              <w:top w:val="single" w:color="auto" w:sz="12" w:space="0"/>
              <w:left w:val="single" w:color="auto" w:sz="12" w:space="0"/>
              <w:bottom w:val="none" w:color="000000" w:sz="4" w:space="0"/>
              <w:right w:val="none" w:color="000000" w:sz="4" w:space="0"/>
            </w:tcBorders>
            <w:tcMar>
              <w:left w:w="60" w:type="dxa"/>
              <w:top w:w="45" w:type="dxa"/>
              <w:right w:w="60" w:type="dxa"/>
              <w:bottom w:w="45" w:type="dxa"/>
            </w:tcMar>
            <w:tcW w:w="431" w:type="dxa"/>
            <w:vAlign w:val="center"/>
            <w:textDirection w:val="lrTb"/>
            <w:noWrap w:val="false"/>
          </w:tcPr>
          <w:p>
            <w:pPr>
              <w:ind w:left="0" w:right="0" w:firstLine="0"/>
              <w:jc w:val="center"/>
              <w:keepNext/>
              <w:spacing w:before="0" w:after="0" w:line="240" w:lineRule="auto"/>
              <w:widowControl w:val="off"/>
              <w:rPr>
                <w:rFonts w:ascii="宋体" w:eastAsia="宋体"/>
                <w:b/>
                <w:sz w:val="21"/>
                <w:szCs w:val="21"/>
                <w:highlight w:val="none"/>
              </w:rPr>
            </w:pPr>
            <w:r>
              <w:rPr>
                <w:rFonts w:ascii="宋体" w:hAnsi="宋体" w:eastAsia="宋体"/>
                <w:b/>
                <w:sz w:val="21"/>
                <w:szCs w:val="21"/>
                <w:highlight w:val="none"/>
              </w:rPr>
              <w:t xml:space="preserve">序号</w:t>
            </w:r>
            <w:r/>
          </w:p>
        </w:tc>
        <w:tc>
          <w:tcPr>
            <w:shd w:val="clear" w:color="auto" w:fill="d9e2f3"/>
            <w:tcBorders>
              <w:top w:val="single" w:color="auto" w:sz="12" w:space="0"/>
              <w:left w:val="single" w:color="auto" w:sz="4" w:space="0"/>
              <w:bottom w:val="none" w:color="000000" w:sz="4" w:space="0"/>
              <w:right w:val="none" w:color="000000" w:sz="4" w:space="0"/>
            </w:tcBorders>
            <w:tcMar>
              <w:left w:w="60" w:type="dxa"/>
              <w:top w:w="45" w:type="dxa"/>
              <w:right w:w="60" w:type="dxa"/>
              <w:bottom w:w="45" w:type="dxa"/>
            </w:tcMar>
            <w:tcW w:w="1577" w:type="dxa"/>
            <w:vAlign w:val="center"/>
            <w:textDirection w:val="lrTb"/>
            <w:noWrap w:val="false"/>
          </w:tcPr>
          <w:p>
            <w:pPr>
              <w:ind w:left="0" w:right="0" w:firstLine="0"/>
              <w:jc w:val="center"/>
              <w:keepNext/>
              <w:spacing w:before="0" w:after="0" w:line="240" w:lineRule="auto"/>
              <w:widowControl w:val="off"/>
              <w:rPr>
                <w:rFonts w:ascii="宋体" w:eastAsia="宋体"/>
                <w:b/>
                <w:sz w:val="21"/>
                <w:szCs w:val="21"/>
                <w:highlight w:val="none"/>
              </w:rPr>
            </w:pPr>
            <w:r>
              <w:rPr>
                <w:rFonts w:ascii="宋体" w:hAnsi="宋体" w:eastAsia="宋体"/>
                <w:b/>
                <w:sz w:val="21"/>
                <w:szCs w:val="21"/>
                <w:highlight w:val="none"/>
              </w:rPr>
              <w:t xml:space="preserve">考核类别</w:t>
            </w:r>
            <w:r/>
          </w:p>
        </w:tc>
        <w:tc>
          <w:tcPr>
            <w:shd w:val="clear" w:color="auto" w:fill="d9e2f3"/>
            <w:tcBorders>
              <w:top w:val="single" w:color="auto" w:sz="12" w:space="0"/>
              <w:left w:val="single" w:color="auto" w:sz="4" w:space="0"/>
              <w:bottom w:val="none" w:color="000000" w:sz="4" w:space="0"/>
              <w:right w:val="none" w:color="000000" w:sz="4" w:space="0"/>
            </w:tcBorders>
            <w:tcMar>
              <w:left w:w="60" w:type="dxa"/>
              <w:top w:w="45" w:type="dxa"/>
              <w:right w:w="60" w:type="dxa"/>
              <w:bottom w:w="45" w:type="dxa"/>
            </w:tcMar>
            <w:tcW w:w="3053" w:type="dxa"/>
            <w:vAlign w:val="center"/>
            <w:textDirection w:val="lrTb"/>
            <w:noWrap w:val="false"/>
          </w:tcPr>
          <w:p>
            <w:pPr>
              <w:ind w:left="0" w:right="0" w:firstLine="0"/>
              <w:jc w:val="center"/>
              <w:keepNext/>
              <w:spacing w:before="0" w:after="0" w:line="240" w:lineRule="auto"/>
              <w:widowControl w:val="off"/>
              <w:rPr>
                <w:rFonts w:ascii="宋体" w:eastAsia="宋体"/>
                <w:b/>
                <w:sz w:val="21"/>
                <w:szCs w:val="21"/>
                <w:highlight w:val="none"/>
              </w:rPr>
            </w:pPr>
            <w:r>
              <w:rPr>
                <w:rFonts w:ascii="宋体" w:hAnsi="宋体" w:eastAsia="宋体"/>
                <w:b/>
                <w:sz w:val="21"/>
                <w:szCs w:val="21"/>
                <w:highlight w:val="none"/>
              </w:rPr>
              <w:t xml:space="preserve">考核事项及履约标准</w:t>
            </w:r>
            <w:r/>
          </w:p>
        </w:tc>
        <w:tc>
          <w:tcPr>
            <w:shd w:val="clear" w:color="auto" w:fill="d9e2f3"/>
            <w:tcBorders>
              <w:top w:val="single" w:color="auto" w:sz="12" w:space="0"/>
              <w:left w:val="single" w:color="auto" w:sz="4" w:space="0"/>
              <w:bottom w:val="none" w:color="000000" w:sz="4" w:space="0"/>
              <w:right w:val="none" w:color="000000" w:sz="4" w:space="0"/>
            </w:tcBorders>
            <w:tcMar>
              <w:left w:w="60" w:type="dxa"/>
              <w:top w:w="45" w:type="dxa"/>
              <w:right w:w="60" w:type="dxa"/>
              <w:bottom w:w="45" w:type="dxa"/>
            </w:tcMar>
            <w:tcW w:w="3031" w:type="dxa"/>
            <w:vAlign w:val="center"/>
            <w:textDirection w:val="lrTb"/>
            <w:noWrap w:val="false"/>
          </w:tcPr>
          <w:p>
            <w:pPr>
              <w:ind w:left="0" w:right="0" w:firstLine="0"/>
              <w:jc w:val="center"/>
              <w:keepNext/>
              <w:spacing w:before="0" w:after="0" w:line="240" w:lineRule="auto"/>
              <w:widowControl w:val="off"/>
              <w:rPr>
                <w:rFonts w:ascii="宋体" w:eastAsia="宋体"/>
                <w:b/>
                <w:sz w:val="21"/>
                <w:szCs w:val="21"/>
                <w:highlight w:val="none"/>
              </w:rPr>
            </w:pPr>
            <w:r>
              <w:rPr>
                <w:rFonts w:ascii="宋体" w:hAnsi="宋体" w:eastAsia="宋体"/>
                <w:b/>
                <w:sz w:val="21"/>
                <w:szCs w:val="21"/>
                <w:highlight w:val="none"/>
              </w:rPr>
              <w:t xml:space="preserve">扣分标准</w:t>
            </w:r>
            <w:r/>
          </w:p>
        </w:tc>
        <w:tc>
          <w:tcPr>
            <w:shd w:val="clear" w:color="auto" w:fill="d9e2f3"/>
            <w:tcBorders>
              <w:top w:val="single" w:color="auto" w:sz="12" w:space="0"/>
              <w:left w:val="single" w:color="auto" w:sz="4" w:space="0"/>
              <w:bottom w:val="none" w:color="000000" w:sz="4" w:space="0"/>
              <w:right w:val="single" w:color="auto" w:sz="12" w:space="0"/>
            </w:tcBorders>
            <w:tcMar>
              <w:left w:w="60" w:type="dxa"/>
              <w:top w:w="45" w:type="dxa"/>
              <w:right w:w="60" w:type="dxa"/>
              <w:bottom w:w="45" w:type="dxa"/>
            </w:tcMar>
            <w:tcW w:w="431" w:type="dxa"/>
            <w:vAlign w:val="center"/>
            <w:textDirection w:val="lrTb"/>
            <w:noWrap w:val="false"/>
          </w:tcPr>
          <w:p>
            <w:pPr>
              <w:ind w:left="0" w:right="0" w:firstLine="0"/>
              <w:jc w:val="center"/>
              <w:keepNext/>
              <w:spacing w:before="0" w:after="0" w:line="240" w:lineRule="auto"/>
              <w:widowControl w:val="off"/>
              <w:rPr>
                <w:rFonts w:ascii="宋体" w:eastAsia="宋体"/>
                <w:b/>
                <w:sz w:val="21"/>
                <w:szCs w:val="21"/>
                <w:highlight w:val="none"/>
              </w:rPr>
            </w:pPr>
            <w:r>
              <w:rPr>
                <w:rFonts w:ascii="宋体" w:hAnsi="宋体" w:eastAsia="宋体"/>
                <w:b/>
                <w:sz w:val="21"/>
                <w:szCs w:val="21"/>
                <w:highlight w:val="none"/>
              </w:rPr>
              <w:t xml:space="preserve">分值</w:t>
            </w:r>
            <w:r/>
          </w:p>
        </w:tc>
      </w:tr>
      <w:tr>
        <w:trPr>
          <w:jc w:val="center"/>
          <w:trHeight w:val="0"/>
        </w:trPr>
        <w:tc>
          <w:tcPr>
            <w:tcBorders>
              <w:top w:val="single" w:color="auto" w:sz="4" w:space="0"/>
              <w:left w:val="single" w:color="auto" w:sz="12" w:space="0"/>
              <w:bottom w:val="none" w:color="000000" w:sz="4" w:space="0"/>
              <w:right w:val="none" w:color="000000" w:sz="4" w:space="0"/>
            </w:tcBorders>
            <w:tcMar>
              <w:left w:w="60" w:type="dxa"/>
              <w:top w:w="45" w:type="dxa"/>
              <w:right w:w="60" w:type="dxa"/>
              <w:bottom w:w="45" w:type="dxa"/>
            </w:tcMar>
            <w:tcW w:w="431" w:type="dxa"/>
            <w:vAlign w:val="center"/>
            <w:textDirection w:val="lrTb"/>
            <w:noWrap w:val="false"/>
          </w:tcPr>
          <w:p>
            <w:pPr>
              <w:ind w:left="0" w:right="0" w:firstLine="0"/>
              <w:jc w:val="center"/>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1.1</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1577" w:type="dxa"/>
            <w:vAlign w:val="center"/>
            <w:textDirection w:val="lrTb"/>
            <w:noWrap w:val="false"/>
          </w:tcPr>
          <w:p>
            <w:pPr>
              <w:ind w:left="0" w:right="0" w:firstLine="0"/>
              <w:jc w:val="center"/>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项目启动与组织管理</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3053" w:type="dxa"/>
            <w:vAlign w:val="center"/>
            <w:textDirection w:val="lrTb"/>
            <w:noWrap w:val="false"/>
          </w:tcPr>
          <w:p>
            <w:pPr>
              <w:ind w:left="0" w:right="0" w:firstLine="0"/>
              <w:jc w:val="lef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实施方案及制度：合同生效后5个工作日内提交实施方案、排班、通讯录、应急预案、安全和保密制度，内容覆盖DLP大屏、精密空调、UPS及配电系统。</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3031" w:type="dxa"/>
            <w:vAlign w:val="center"/>
            <w:textDirection w:val="lrTb"/>
            <w:noWrap w:val="false"/>
          </w:tcPr>
          <w:p>
            <w:pPr>
              <w:ind w:left="0" w:right="0" w:firstLine="0"/>
              <w:jc w:val="lef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每逾期1个工作日扣0.2分；每缺1项关键内容扣0.2分；退回修改后仍不合格扣0.5分。</w:t>
            </w:r>
            <w:r/>
          </w:p>
        </w:tc>
        <w:tc>
          <w:tcPr>
            <w:tcBorders>
              <w:top w:val="single" w:color="auto" w:sz="4" w:space="0"/>
              <w:left w:val="single" w:color="auto" w:sz="4" w:space="0"/>
              <w:bottom w:val="none" w:color="000000" w:sz="4" w:space="0"/>
              <w:right w:val="single" w:color="auto" w:sz="12" w:space="0"/>
            </w:tcBorders>
            <w:tcMar>
              <w:left w:w="60" w:type="dxa"/>
              <w:top w:w="45" w:type="dxa"/>
              <w:right w:w="60" w:type="dxa"/>
              <w:bottom w:w="45" w:type="dxa"/>
            </w:tcMar>
            <w:tcW w:w="431" w:type="dxa"/>
            <w:vAlign w:val="center"/>
            <w:textDirection w:val="lrTb"/>
            <w:noWrap w:val="false"/>
          </w:tcPr>
          <w:p>
            <w:pPr>
              <w:ind w:left="0" w:right="0" w:firstLine="0"/>
              <w:jc w:val="righ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1</w:t>
            </w:r>
            <w:r/>
          </w:p>
        </w:tc>
      </w:tr>
      <w:tr>
        <w:trPr>
          <w:jc w:val="center"/>
          <w:trHeight w:val="0"/>
        </w:trPr>
        <w:tc>
          <w:tcPr>
            <w:tcBorders>
              <w:top w:val="single" w:color="auto" w:sz="4" w:space="0"/>
              <w:left w:val="single" w:color="auto" w:sz="12" w:space="0"/>
              <w:bottom w:val="none" w:color="000000" w:sz="4" w:space="0"/>
              <w:right w:val="none" w:color="000000" w:sz="4" w:space="0"/>
            </w:tcBorders>
            <w:tcMar>
              <w:left w:w="60" w:type="dxa"/>
              <w:top w:w="45" w:type="dxa"/>
              <w:right w:w="60" w:type="dxa"/>
              <w:bottom w:w="45" w:type="dxa"/>
            </w:tcMar>
            <w:tcW w:w="431" w:type="dxa"/>
            <w:vAlign w:val="center"/>
            <w:textDirection w:val="lrTb"/>
            <w:noWrap w:val="false"/>
          </w:tcPr>
          <w:p>
            <w:pPr>
              <w:ind w:left="0" w:right="0" w:firstLine="0"/>
              <w:jc w:val="center"/>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1.2</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1577" w:type="dxa"/>
            <w:vAlign w:val="center"/>
            <w:textDirection w:val="lrTb"/>
            <w:noWrap w:val="false"/>
          </w:tcPr>
          <w:p>
            <w:pPr>
              <w:ind w:left="0" w:right="0" w:firstLine="0"/>
              <w:jc w:val="center"/>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项目启动与组织管理</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3053" w:type="dxa"/>
            <w:vAlign w:val="center"/>
            <w:textDirection w:val="lrTb"/>
            <w:noWrap w:val="false"/>
          </w:tcPr>
          <w:p>
            <w:pPr>
              <w:ind w:left="0" w:right="0" w:firstLine="0"/>
              <w:jc w:val="lef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团队配置：持续保持不少于</w:t>
            </w:r>
            <w:r>
              <w:rPr>
                <w:rFonts w:hint="eastAsia" w:ascii="宋体" w:hAnsi="宋体"/>
                <w:b w:val="0"/>
                <w:sz w:val="21"/>
                <w:szCs w:val="21"/>
                <w:highlight w:val="none"/>
                <w:lang w:val="en-US" w:eastAsia="zh-CN"/>
              </w:rPr>
              <w:t xml:space="preserve">11</w:t>
            </w:r>
            <w:r>
              <w:rPr>
                <w:rFonts w:ascii="宋体" w:hAnsi="宋体" w:eastAsia="宋体"/>
                <w:b w:val="0"/>
                <w:sz w:val="21"/>
                <w:szCs w:val="21"/>
                <w:highlight w:val="none"/>
              </w:rPr>
              <w:t xml:space="preserve">人的维护团队，含</w:t>
            </w:r>
            <w:r>
              <w:rPr>
                <w:rFonts w:hint="eastAsia" w:ascii="宋体" w:hAnsi="宋体" w:cs="宋体"/>
                <w:b w:val="0"/>
                <w:bCs w:val="0"/>
                <w:szCs w:val="21"/>
                <w:highlight w:val="none"/>
              </w:rPr>
              <w:t xml:space="preserve">项目经理1名、项目技术负责人1名、项目运维负责人1名</w:t>
            </w:r>
            <w:r>
              <w:rPr>
                <w:rFonts w:ascii="宋体" w:hAnsi="宋体" w:eastAsia="宋体"/>
                <w:b w:val="0"/>
                <w:sz w:val="21"/>
                <w:szCs w:val="21"/>
                <w:highlight w:val="none"/>
              </w:rPr>
              <w:t xml:space="preserve">、其他成员不少于</w:t>
            </w:r>
            <w:r>
              <w:rPr>
                <w:rFonts w:hint="eastAsia" w:ascii="宋体" w:hAnsi="宋体"/>
                <w:b w:val="0"/>
                <w:sz w:val="21"/>
                <w:szCs w:val="21"/>
                <w:highlight w:val="none"/>
                <w:lang w:val="en-US" w:eastAsia="zh-CN"/>
              </w:rPr>
              <w:t xml:space="preserve">8</w:t>
            </w:r>
            <w:r>
              <w:rPr>
                <w:rFonts w:ascii="宋体" w:hAnsi="宋体" w:eastAsia="宋体"/>
                <w:b w:val="0"/>
                <w:sz w:val="21"/>
                <w:szCs w:val="21"/>
                <w:highlight w:val="none"/>
              </w:rPr>
              <w:t xml:space="preserve">名</w:t>
            </w:r>
            <w:r>
              <w:rPr>
                <w:rFonts w:hint="eastAsia" w:ascii="宋体" w:hAnsi="宋体"/>
                <w:b w:val="0"/>
                <w:sz w:val="21"/>
                <w:szCs w:val="21"/>
                <w:highlight w:val="none"/>
                <w:lang w:eastAsia="zh-CN"/>
              </w:rPr>
              <w:t xml:space="preserve">。</w:t>
            </w:r>
            <w:r>
              <w:rPr>
                <w:rFonts w:hint="eastAsia" w:ascii="宋体" w:hAnsi="宋体"/>
                <w:b w:val="0"/>
                <w:sz w:val="21"/>
                <w:szCs w:val="21"/>
                <w:highlight w:val="none"/>
                <w:lang w:val="en-US" w:eastAsia="zh-CN"/>
              </w:rPr>
              <w:t xml:space="preserve">其中，</w:t>
            </w:r>
            <w:r>
              <w:rPr>
                <w:rFonts w:ascii="宋体" w:hAnsi="宋体" w:eastAsia="宋体"/>
                <w:b w:val="0"/>
                <w:sz w:val="21"/>
                <w:szCs w:val="21"/>
                <w:highlight w:val="none"/>
              </w:rPr>
              <w:t xml:space="preserve">至少1人持有效</w:t>
            </w:r>
            <w:r>
              <w:rPr>
                <w:rFonts w:hint="eastAsia" w:ascii="宋体" w:hAnsi="宋体" w:cs="宋体"/>
                <w:bCs/>
                <w:sz w:val="21"/>
                <w:szCs w:val="21"/>
                <w:highlight w:val="none"/>
              </w:rPr>
              <w:t xml:space="preserve">《中华人民共和国特种作业操作证》准操项目为</w:t>
            </w:r>
            <w:r>
              <w:rPr>
                <w:rFonts w:hint="eastAsia" w:ascii="宋体" w:hAnsi="宋体"/>
                <w:b w:val="0"/>
                <w:sz w:val="21"/>
                <w:szCs w:val="21"/>
                <w:highlight w:val="none"/>
                <w:lang w:eastAsia="zh-CN"/>
              </w:rPr>
              <w:t xml:space="preserve">“</w:t>
            </w:r>
            <w:r>
              <w:rPr>
                <w:rFonts w:hint="eastAsia" w:ascii="宋体" w:hAnsi="宋体" w:cs="宋体"/>
                <w:bCs/>
                <w:sz w:val="21"/>
                <w:szCs w:val="21"/>
                <w:highlight w:val="none"/>
              </w:rPr>
              <w:t xml:space="preserve">低压电工作业</w:t>
            </w:r>
            <w:r>
              <w:rPr>
                <w:rFonts w:hint="eastAsia" w:ascii="宋体" w:hAnsi="宋体"/>
                <w:b w:val="0"/>
                <w:sz w:val="21"/>
                <w:szCs w:val="21"/>
                <w:highlight w:val="none"/>
                <w:lang w:eastAsia="zh-CN"/>
              </w:rPr>
              <w:t xml:space="preserve">”；</w:t>
            </w:r>
            <w:r>
              <w:rPr>
                <w:rFonts w:ascii="宋体" w:hAnsi="宋体" w:eastAsia="宋体"/>
                <w:b w:val="0"/>
                <w:sz w:val="21"/>
                <w:szCs w:val="21"/>
                <w:highlight w:val="none"/>
              </w:rPr>
              <w:t xml:space="preserve">至少1人持有效</w:t>
            </w:r>
            <w:r>
              <w:rPr>
                <w:rFonts w:hint="eastAsia" w:ascii="宋体" w:hAnsi="宋体" w:cs="宋体"/>
                <w:bCs/>
                <w:sz w:val="21"/>
                <w:szCs w:val="21"/>
                <w:highlight w:val="none"/>
              </w:rPr>
              <w:t xml:space="preserve">《中华人民共和国特种作业操作证》准操项目为</w:t>
            </w:r>
            <w:r>
              <w:rPr>
                <w:rFonts w:hint="eastAsia" w:ascii="宋体" w:hAnsi="宋体"/>
                <w:b w:val="0"/>
                <w:sz w:val="21"/>
                <w:szCs w:val="21"/>
                <w:highlight w:val="none"/>
                <w:lang w:eastAsia="zh-CN"/>
              </w:rPr>
              <w:t xml:space="preserve">“</w:t>
            </w:r>
            <w:r>
              <w:rPr>
                <w:rFonts w:hint="eastAsia" w:ascii="宋体" w:hAnsi="宋体" w:cs="宋体"/>
                <w:bCs/>
                <w:sz w:val="21"/>
                <w:szCs w:val="21"/>
                <w:highlight w:val="none"/>
              </w:rPr>
              <w:t xml:space="preserve">高处安装、维护、拆除作业</w:t>
            </w:r>
            <w:r>
              <w:rPr>
                <w:rFonts w:hint="eastAsia" w:ascii="宋体" w:hAnsi="宋体"/>
                <w:b w:val="0"/>
                <w:sz w:val="21"/>
                <w:szCs w:val="21"/>
                <w:highlight w:val="none"/>
                <w:lang w:eastAsia="zh-CN"/>
              </w:rPr>
              <w:t xml:space="preserve">”；</w:t>
            </w:r>
            <w:r>
              <w:rPr>
                <w:rFonts w:hint="eastAsia" w:ascii="宋体" w:hAnsi="宋体" w:cs="宋体"/>
                <w:bCs/>
                <w:sz w:val="21"/>
                <w:szCs w:val="21"/>
                <w:highlight w:val="none"/>
              </w:rPr>
              <w:t xml:space="preserve">低压电工作业人员和高处安装、维护、拆除作业人员可以为同一人员，也可以为不同人员</w:t>
            </w:r>
            <w:r>
              <w:rPr>
                <w:rFonts w:ascii="宋体" w:hAnsi="宋体" w:eastAsia="宋体"/>
                <w:b w:val="0"/>
                <w:sz w:val="21"/>
                <w:szCs w:val="21"/>
                <w:highlight w:val="none"/>
              </w:rPr>
              <w:t xml:space="preserve">。</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3031" w:type="dxa"/>
            <w:vAlign w:val="center"/>
            <w:textDirection w:val="lrTb"/>
            <w:noWrap w:val="false"/>
          </w:tcPr>
          <w:p>
            <w:pPr>
              <w:ind w:left="0" w:right="0" w:firstLine="0"/>
              <w:jc w:val="lef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每少1人每1日扣0.2分；缺项目负责人或技术负责人每人每日扣0.5分；无有效电工作业证</w:t>
            </w:r>
            <w:r>
              <w:rPr>
                <w:rFonts w:hint="eastAsia" w:ascii="宋体" w:hAnsi="宋体"/>
                <w:b w:val="0"/>
                <w:sz w:val="21"/>
                <w:szCs w:val="21"/>
                <w:highlight w:val="none"/>
                <w:lang w:val="en-US" w:eastAsia="zh-CN"/>
              </w:rPr>
              <w:t xml:space="preserve">或无有效</w:t>
            </w:r>
            <w:r>
              <w:rPr>
                <w:rFonts w:hint="eastAsia" w:ascii="宋体" w:hAnsi="宋体" w:cs="宋体"/>
                <w:bCs/>
                <w:sz w:val="21"/>
                <w:szCs w:val="21"/>
                <w:highlight w:val="none"/>
              </w:rPr>
              <w:t xml:space="preserve">高处安装、维护、拆除作业</w:t>
            </w:r>
            <w:r>
              <w:rPr>
                <w:rFonts w:hint="eastAsia" w:ascii="宋体" w:hAnsi="宋体" w:cs="宋体"/>
                <w:bCs/>
                <w:sz w:val="21"/>
                <w:szCs w:val="21"/>
                <w:highlight w:val="none"/>
                <w:lang w:val="en-US" w:eastAsia="zh-CN"/>
              </w:rPr>
              <w:t xml:space="preserve">证</w:t>
            </w:r>
            <w:r>
              <w:rPr>
                <w:rFonts w:ascii="宋体" w:hAnsi="宋体" w:eastAsia="宋体"/>
                <w:b w:val="0"/>
                <w:sz w:val="21"/>
                <w:szCs w:val="21"/>
                <w:highlight w:val="none"/>
              </w:rPr>
              <w:t xml:space="preserve">每日扣1分；未经同意更换人员每人次扣0.5分。</w:t>
            </w:r>
            <w:r/>
          </w:p>
        </w:tc>
        <w:tc>
          <w:tcPr>
            <w:tcBorders>
              <w:top w:val="single" w:color="auto" w:sz="4" w:space="0"/>
              <w:left w:val="single" w:color="auto" w:sz="4" w:space="0"/>
              <w:bottom w:val="none" w:color="000000" w:sz="4" w:space="0"/>
              <w:right w:val="single" w:color="auto" w:sz="12" w:space="0"/>
            </w:tcBorders>
            <w:tcMar>
              <w:left w:w="60" w:type="dxa"/>
              <w:top w:w="45" w:type="dxa"/>
              <w:right w:w="60" w:type="dxa"/>
              <w:bottom w:w="45" w:type="dxa"/>
            </w:tcMar>
            <w:tcW w:w="431" w:type="dxa"/>
            <w:vAlign w:val="center"/>
            <w:textDirection w:val="lrTb"/>
            <w:noWrap w:val="false"/>
          </w:tcPr>
          <w:p>
            <w:pPr>
              <w:ind w:left="0" w:right="0" w:firstLine="0"/>
              <w:jc w:val="righ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3</w:t>
            </w:r>
            <w:r/>
          </w:p>
        </w:tc>
      </w:tr>
      <w:tr>
        <w:trPr>
          <w:jc w:val="center"/>
          <w:trHeight w:val="0"/>
        </w:trPr>
        <w:tc>
          <w:tcPr>
            <w:tcBorders>
              <w:top w:val="single" w:color="auto" w:sz="4" w:space="0"/>
              <w:left w:val="single" w:color="auto" w:sz="12" w:space="0"/>
              <w:bottom w:val="none" w:color="000000" w:sz="4" w:space="0"/>
              <w:right w:val="none" w:color="000000" w:sz="4" w:space="0"/>
            </w:tcBorders>
            <w:tcMar>
              <w:left w:w="60" w:type="dxa"/>
              <w:top w:w="45" w:type="dxa"/>
              <w:right w:w="60" w:type="dxa"/>
              <w:bottom w:w="45" w:type="dxa"/>
            </w:tcMar>
            <w:tcW w:w="431" w:type="dxa"/>
            <w:vAlign w:val="center"/>
            <w:textDirection w:val="lrTb"/>
            <w:noWrap w:val="false"/>
          </w:tcPr>
          <w:p>
            <w:pPr>
              <w:ind w:left="0" w:right="0" w:firstLine="0"/>
              <w:jc w:val="center"/>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1.3</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1577" w:type="dxa"/>
            <w:vAlign w:val="center"/>
            <w:textDirection w:val="lrTb"/>
            <w:noWrap w:val="false"/>
          </w:tcPr>
          <w:p>
            <w:pPr>
              <w:ind w:left="0" w:right="0" w:firstLine="0"/>
              <w:jc w:val="center"/>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项目启动与组织管理</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3053" w:type="dxa"/>
            <w:vAlign w:val="center"/>
            <w:textDirection w:val="lrTb"/>
            <w:noWrap w:val="false"/>
          </w:tcPr>
          <w:p>
            <w:pPr>
              <w:ind w:left="0" w:right="0" w:firstLine="0"/>
              <w:jc w:val="lef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24小时值守通讯：维护电话、项目负责人和技术负责人通信畅通，值班人员能够立即受理工单。</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3031" w:type="dxa"/>
            <w:vAlign w:val="center"/>
            <w:textDirection w:val="lrTb"/>
            <w:noWrap w:val="false"/>
          </w:tcPr>
          <w:p>
            <w:pPr>
              <w:ind w:left="0" w:right="0" w:firstLine="0"/>
              <w:jc w:val="lef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电话5分钟内无人接听每次扣0.5分；15分钟内仍无法联系每次扣1分；连续失联按严重违约处理。</w:t>
            </w:r>
            <w:r/>
          </w:p>
        </w:tc>
        <w:tc>
          <w:tcPr>
            <w:tcBorders>
              <w:top w:val="single" w:color="auto" w:sz="4" w:space="0"/>
              <w:left w:val="single" w:color="auto" w:sz="4" w:space="0"/>
              <w:bottom w:val="none" w:color="000000" w:sz="4" w:space="0"/>
              <w:right w:val="single" w:color="auto" w:sz="12" w:space="0"/>
            </w:tcBorders>
            <w:tcMar>
              <w:left w:w="60" w:type="dxa"/>
              <w:top w:w="45" w:type="dxa"/>
              <w:right w:w="60" w:type="dxa"/>
              <w:bottom w:w="45" w:type="dxa"/>
            </w:tcMar>
            <w:tcW w:w="431" w:type="dxa"/>
            <w:vAlign w:val="center"/>
            <w:textDirection w:val="lrTb"/>
            <w:noWrap w:val="false"/>
          </w:tcPr>
          <w:p>
            <w:pPr>
              <w:ind w:left="0" w:right="0" w:firstLine="0"/>
              <w:jc w:val="righ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1</w:t>
            </w:r>
            <w:r/>
          </w:p>
        </w:tc>
      </w:tr>
      <w:tr>
        <w:trPr>
          <w:jc w:val="center"/>
          <w:trHeight w:val="0"/>
        </w:trPr>
        <w:tc>
          <w:tcPr>
            <w:tcBorders>
              <w:top w:val="single" w:color="auto" w:sz="4" w:space="0"/>
              <w:left w:val="single" w:color="auto" w:sz="12" w:space="0"/>
              <w:bottom w:val="none" w:color="000000" w:sz="4" w:space="0"/>
              <w:right w:val="none" w:color="000000" w:sz="4" w:space="0"/>
            </w:tcBorders>
            <w:tcMar>
              <w:left w:w="60" w:type="dxa"/>
              <w:top w:w="45" w:type="dxa"/>
              <w:right w:w="60" w:type="dxa"/>
              <w:bottom w:w="45" w:type="dxa"/>
            </w:tcMar>
            <w:tcW w:w="431" w:type="dxa"/>
            <w:vAlign w:val="center"/>
            <w:textDirection w:val="lrTb"/>
            <w:noWrap w:val="false"/>
          </w:tcPr>
          <w:p>
            <w:pPr>
              <w:ind w:left="0" w:right="0" w:firstLine="0"/>
              <w:jc w:val="center"/>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1.4</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1577" w:type="dxa"/>
            <w:vAlign w:val="center"/>
            <w:textDirection w:val="lrTb"/>
            <w:noWrap w:val="false"/>
          </w:tcPr>
          <w:p>
            <w:pPr>
              <w:ind w:left="0" w:right="0" w:firstLine="0"/>
              <w:jc w:val="center"/>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项目启动与组织管理</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3053" w:type="dxa"/>
            <w:vAlign w:val="center"/>
            <w:textDirection w:val="lrTb"/>
            <w:noWrap w:val="false"/>
          </w:tcPr>
          <w:p>
            <w:pPr>
              <w:ind w:left="0" w:right="0" w:firstLine="0"/>
              <w:jc w:val="lef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工具仪器及防护用品：配备适用的电气、制冷、信号、网络检测工具及安全防护用品；需计量的仪器在有效期内。</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3031" w:type="dxa"/>
            <w:vAlign w:val="center"/>
            <w:textDirection w:val="lrTb"/>
            <w:noWrap w:val="false"/>
          </w:tcPr>
          <w:p>
            <w:pPr>
              <w:ind w:left="0" w:right="0" w:firstLine="0"/>
              <w:jc w:val="lef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每缺1类必要工具扣0.2分；使用失准、过期或不合格仪器每次扣0.5分；影响判断或造成损失的另行追责。</w:t>
            </w:r>
            <w:r/>
          </w:p>
        </w:tc>
        <w:tc>
          <w:tcPr>
            <w:tcBorders>
              <w:top w:val="single" w:color="auto" w:sz="4" w:space="0"/>
              <w:left w:val="single" w:color="auto" w:sz="4" w:space="0"/>
              <w:bottom w:val="none" w:color="000000" w:sz="4" w:space="0"/>
              <w:right w:val="single" w:color="auto" w:sz="12" w:space="0"/>
            </w:tcBorders>
            <w:tcMar>
              <w:left w:w="60" w:type="dxa"/>
              <w:top w:w="45" w:type="dxa"/>
              <w:right w:w="60" w:type="dxa"/>
              <w:bottom w:w="45" w:type="dxa"/>
            </w:tcMar>
            <w:tcW w:w="431" w:type="dxa"/>
            <w:vAlign w:val="center"/>
            <w:textDirection w:val="lrTb"/>
            <w:noWrap w:val="false"/>
          </w:tcPr>
          <w:p>
            <w:pPr>
              <w:ind w:left="0" w:right="0" w:firstLine="0"/>
              <w:jc w:val="righ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1</w:t>
            </w:r>
            <w:r/>
          </w:p>
        </w:tc>
      </w:tr>
      <w:tr>
        <w:trPr>
          <w:jc w:val="center"/>
          <w:trHeight w:val="0"/>
        </w:trPr>
        <w:tc>
          <w:tcPr>
            <w:tcBorders>
              <w:top w:val="single" w:color="auto" w:sz="4" w:space="0"/>
              <w:left w:val="single" w:color="auto" w:sz="12" w:space="0"/>
              <w:bottom w:val="none" w:color="000000" w:sz="4" w:space="0"/>
              <w:right w:val="none" w:color="000000" w:sz="4" w:space="0"/>
            </w:tcBorders>
            <w:tcMar>
              <w:left w:w="60" w:type="dxa"/>
              <w:top w:w="45" w:type="dxa"/>
              <w:right w:w="60" w:type="dxa"/>
              <w:bottom w:w="45" w:type="dxa"/>
            </w:tcMar>
            <w:tcW w:w="431" w:type="dxa"/>
            <w:vAlign w:val="center"/>
            <w:textDirection w:val="lrTb"/>
            <w:noWrap w:val="false"/>
          </w:tcPr>
          <w:p>
            <w:pPr>
              <w:ind w:left="0" w:right="0" w:firstLine="0"/>
              <w:jc w:val="center"/>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1.5</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1577" w:type="dxa"/>
            <w:vAlign w:val="center"/>
            <w:textDirection w:val="lrTb"/>
            <w:noWrap w:val="false"/>
          </w:tcPr>
          <w:p>
            <w:pPr>
              <w:ind w:left="0" w:right="0" w:firstLine="0"/>
              <w:jc w:val="center"/>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项目启动与组织管理</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3053" w:type="dxa"/>
            <w:vAlign w:val="center"/>
            <w:textDirection w:val="lrTb"/>
            <w:noWrap w:val="false"/>
          </w:tcPr>
          <w:p>
            <w:pPr>
              <w:ind w:left="0" w:right="0" w:firstLine="0"/>
              <w:jc w:val="lef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首次普查与运行基线：合同签订后15个工作日内完成首次普查，建立设备、配置、安装位置、照片、运行参数及风险清单。</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3031" w:type="dxa"/>
            <w:vAlign w:val="center"/>
            <w:textDirection w:val="lrTb"/>
            <w:noWrap w:val="false"/>
          </w:tcPr>
          <w:p>
            <w:pPr>
              <w:ind w:left="0" w:right="0" w:firstLine="0"/>
              <w:jc w:val="lef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每逾期1个工作日扣0.5分；每漏1台/套设备扣0.1分；品牌、型号、数量或照片错误每处扣0.1分；未建立风险清单扣0.5分。</w:t>
            </w:r>
            <w:r/>
          </w:p>
        </w:tc>
        <w:tc>
          <w:tcPr>
            <w:tcBorders>
              <w:top w:val="single" w:color="auto" w:sz="4" w:space="0"/>
              <w:left w:val="single" w:color="auto" w:sz="4" w:space="0"/>
              <w:bottom w:val="none" w:color="000000" w:sz="4" w:space="0"/>
              <w:right w:val="single" w:color="auto" w:sz="12" w:space="0"/>
            </w:tcBorders>
            <w:tcMar>
              <w:left w:w="60" w:type="dxa"/>
              <w:top w:w="45" w:type="dxa"/>
              <w:right w:w="60" w:type="dxa"/>
              <w:bottom w:w="45" w:type="dxa"/>
            </w:tcMar>
            <w:tcW w:w="431" w:type="dxa"/>
            <w:vAlign w:val="center"/>
            <w:textDirection w:val="lrTb"/>
            <w:noWrap w:val="false"/>
          </w:tcPr>
          <w:p>
            <w:pPr>
              <w:ind w:left="0" w:right="0" w:firstLine="0"/>
              <w:jc w:val="righ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2</w:t>
            </w:r>
            <w:r/>
          </w:p>
        </w:tc>
      </w:tr>
      <w:tr>
        <w:trPr>
          <w:jc w:val="center"/>
          <w:trHeight w:val="0"/>
        </w:trPr>
        <w:tc>
          <w:tcPr>
            <w:tcBorders>
              <w:top w:val="single" w:color="auto" w:sz="4" w:space="0"/>
              <w:left w:val="single" w:color="auto" w:sz="12" w:space="0"/>
              <w:bottom w:val="none" w:color="000000" w:sz="4" w:space="0"/>
              <w:right w:val="none" w:color="000000" w:sz="4" w:space="0"/>
            </w:tcBorders>
            <w:tcMar>
              <w:left w:w="60" w:type="dxa"/>
              <w:top w:w="45" w:type="dxa"/>
              <w:right w:w="60" w:type="dxa"/>
              <w:bottom w:w="45" w:type="dxa"/>
            </w:tcMar>
            <w:tcW w:w="431" w:type="dxa"/>
            <w:vAlign w:val="center"/>
            <w:textDirection w:val="lrTb"/>
            <w:noWrap w:val="false"/>
          </w:tcPr>
          <w:p>
            <w:pPr>
              <w:ind w:left="0" w:right="0" w:firstLine="0"/>
              <w:jc w:val="center"/>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1.6</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1577" w:type="dxa"/>
            <w:vAlign w:val="center"/>
            <w:textDirection w:val="lrTb"/>
            <w:noWrap w:val="false"/>
          </w:tcPr>
          <w:p>
            <w:pPr>
              <w:ind w:left="0" w:right="0" w:firstLine="0"/>
              <w:jc w:val="center"/>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项目启动与组织管理</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3053" w:type="dxa"/>
            <w:vAlign w:val="center"/>
            <w:textDirection w:val="lrTb"/>
            <w:noWrap w:val="false"/>
          </w:tcPr>
          <w:p>
            <w:pPr>
              <w:ind w:left="0" w:right="0" w:firstLine="0"/>
              <w:jc w:val="lef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制度执行与报告机制：落实变更审批、备份恢复、故障升级、现场安全、备件领用、保密和档案制度。</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3031" w:type="dxa"/>
            <w:vAlign w:val="center"/>
            <w:textDirection w:val="lrTb"/>
            <w:noWrap w:val="false"/>
          </w:tcPr>
          <w:p>
            <w:pPr>
              <w:ind w:left="0" w:right="0" w:firstLine="0"/>
              <w:jc w:val="lef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每发现1项制度未执行扣0.5分；未按甲方要求报告重大事项每次扣1分。</w:t>
            </w:r>
            <w:r/>
          </w:p>
        </w:tc>
        <w:tc>
          <w:tcPr>
            <w:tcBorders>
              <w:top w:val="single" w:color="auto" w:sz="4" w:space="0"/>
              <w:left w:val="single" w:color="auto" w:sz="4" w:space="0"/>
              <w:bottom w:val="none" w:color="000000" w:sz="4" w:space="0"/>
              <w:right w:val="single" w:color="auto" w:sz="12" w:space="0"/>
            </w:tcBorders>
            <w:tcMar>
              <w:left w:w="60" w:type="dxa"/>
              <w:top w:w="45" w:type="dxa"/>
              <w:right w:w="60" w:type="dxa"/>
              <w:bottom w:w="45" w:type="dxa"/>
            </w:tcMar>
            <w:tcW w:w="431" w:type="dxa"/>
            <w:vAlign w:val="center"/>
            <w:textDirection w:val="lrTb"/>
            <w:noWrap w:val="false"/>
          </w:tcPr>
          <w:p>
            <w:pPr>
              <w:ind w:left="0" w:right="0" w:firstLine="0"/>
              <w:jc w:val="righ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1</w:t>
            </w:r>
            <w:r/>
          </w:p>
        </w:tc>
      </w:tr>
      <w:tr>
        <w:trPr>
          <w:jc w:val="center"/>
          <w:trHeight w:val="0"/>
        </w:trPr>
        <w:tc>
          <w:tcPr>
            <w:tcBorders>
              <w:top w:val="single" w:color="auto" w:sz="4" w:space="0"/>
              <w:left w:val="single" w:color="auto" w:sz="12" w:space="0"/>
              <w:bottom w:val="none" w:color="000000" w:sz="4" w:space="0"/>
              <w:right w:val="none" w:color="000000" w:sz="4" w:space="0"/>
            </w:tcBorders>
            <w:tcMar>
              <w:left w:w="60" w:type="dxa"/>
              <w:top w:w="45" w:type="dxa"/>
              <w:right w:w="60" w:type="dxa"/>
              <w:bottom w:w="45" w:type="dxa"/>
            </w:tcMar>
            <w:tcW w:w="431" w:type="dxa"/>
            <w:vAlign w:val="center"/>
            <w:textDirection w:val="lrTb"/>
            <w:noWrap w:val="false"/>
          </w:tcPr>
          <w:p>
            <w:pPr>
              <w:ind w:left="0" w:right="0" w:firstLine="0"/>
              <w:jc w:val="center"/>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1.7</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1577" w:type="dxa"/>
            <w:vAlign w:val="center"/>
            <w:textDirection w:val="lrTb"/>
            <w:noWrap w:val="false"/>
          </w:tcPr>
          <w:p>
            <w:pPr>
              <w:ind w:left="0" w:right="0" w:firstLine="0"/>
              <w:jc w:val="center"/>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项目启动与组织管理</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3053" w:type="dxa"/>
            <w:vAlign w:val="center"/>
            <w:textDirection w:val="lrTb"/>
            <w:noWrap w:val="false"/>
          </w:tcPr>
          <w:p>
            <w:pPr>
              <w:ind w:left="0" w:right="0" w:firstLine="0"/>
              <w:jc w:val="lef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人员稳定及现场纪律：人员身份、考勤、着装、工牌和进出管理符合要求，未经同意不得随意更换。</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3031" w:type="dxa"/>
            <w:vAlign w:val="center"/>
            <w:textDirection w:val="lrTb"/>
            <w:noWrap w:val="false"/>
          </w:tcPr>
          <w:p>
            <w:pPr>
              <w:ind w:left="0" w:right="0" w:firstLine="0"/>
              <w:jc w:val="lef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迟到、早退、无证进入或不服从现场管理每人次扣0.2分；擅自更换每人次扣0.5分；考勤造假一票否决。</w:t>
            </w:r>
            <w:r/>
          </w:p>
        </w:tc>
        <w:tc>
          <w:tcPr>
            <w:tcBorders>
              <w:top w:val="single" w:color="auto" w:sz="4" w:space="0"/>
              <w:left w:val="single" w:color="auto" w:sz="4" w:space="0"/>
              <w:bottom w:val="none" w:color="000000" w:sz="4" w:space="0"/>
              <w:right w:val="single" w:color="auto" w:sz="12" w:space="0"/>
            </w:tcBorders>
            <w:tcMar>
              <w:left w:w="60" w:type="dxa"/>
              <w:top w:w="45" w:type="dxa"/>
              <w:right w:w="60" w:type="dxa"/>
              <w:bottom w:w="45" w:type="dxa"/>
            </w:tcMar>
            <w:tcW w:w="431" w:type="dxa"/>
            <w:vAlign w:val="center"/>
            <w:textDirection w:val="lrTb"/>
            <w:noWrap w:val="false"/>
          </w:tcPr>
          <w:p>
            <w:pPr>
              <w:ind w:left="0" w:right="0" w:firstLine="0"/>
              <w:jc w:val="righ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1</w:t>
            </w:r>
            <w:r/>
          </w:p>
        </w:tc>
      </w:tr>
      <w:tr>
        <w:trPr>
          <w:jc w:val="center"/>
          <w:trHeight w:val="0"/>
        </w:trPr>
        <w:tc>
          <w:tcPr>
            <w:tcBorders>
              <w:top w:val="single" w:color="auto" w:sz="4" w:space="0"/>
              <w:left w:val="single" w:color="auto" w:sz="12" w:space="0"/>
              <w:bottom w:val="none" w:color="000000" w:sz="4" w:space="0"/>
              <w:right w:val="none" w:color="000000" w:sz="4" w:space="0"/>
            </w:tcBorders>
            <w:tcMar>
              <w:left w:w="60" w:type="dxa"/>
              <w:top w:w="45" w:type="dxa"/>
              <w:right w:w="60" w:type="dxa"/>
              <w:bottom w:w="45" w:type="dxa"/>
            </w:tcMar>
            <w:tcW w:w="431" w:type="dxa"/>
            <w:vAlign w:val="center"/>
            <w:textDirection w:val="lrTb"/>
            <w:noWrap w:val="false"/>
          </w:tcPr>
          <w:p>
            <w:pPr>
              <w:ind w:left="0" w:right="0" w:firstLine="0"/>
              <w:jc w:val="center"/>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2.1</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1577" w:type="dxa"/>
            <w:vAlign w:val="center"/>
            <w:textDirection w:val="lrTb"/>
            <w:noWrap w:val="false"/>
          </w:tcPr>
          <w:p>
            <w:pPr>
              <w:ind w:left="0" w:right="0" w:firstLine="0"/>
              <w:jc w:val="center"/>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DLP大屏巡检维护</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3053" w:type="dxa"/>
            <w:vAlign w:val="center"/>
            <w:textDirection w:val="lrTb"/>
            <w:noWrap w:val="false"/>
          </w:tcPr>
          <w:p>
            <w:pPr>
              <w:ind w:left="0" w:right="0" w:firstLine="0"/>
              <w:jc w:val="lef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每周巡检：每周至少1次对显示单元、底座、多屏处理器、LED屏、无线投屏、级联器、软件、APP及线缆进行全覆盖巡检。</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3031" w:type="dxa"/>
            <w:vAlign w:val="center"/>
            <w:textDirection w:val="lrTb"/>
            <w:noWrap w:val="false"/>
          </w:tcPr>
          <w:p>
            <w:pPr>
              <w:ind w:left="0" w:right="0" w:firstLine="0"/>
              <w:jc w:val="lef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每少1次扣1分；每漏1类设备扣0.2分；巡检无客观记录或记录时间与现场不符每次扣0.5分。</w:t>
            </w:r>
            <w:r/>
          </w:p>
        </w:tc>
        <w:tc>
          <w:tcPr>
            <w:tcBorders>
              <w:top w:val="single" w:color="auto" w:sz="4" w:space="0"/>
              <w:left w:val="single" w:color="auto" w:sz="4" w:space="0"/>
              <w:bottom w:val="none" w:color="000000" w:sz="4" w:space="0"/>
              <w:right w:val="single" w:color="auto" w:sz="12" w:space="0"/>
            </w:tcBorders>
            <w:tcMar>
              <w:left w:w="60" w:type="dxa"/>
              <w:top w:w="45" w:type="dxa"/>
              <w:right w:w="60" w:type="dxa"/>
              <w:bottom w:w="45" w:type="dxa"/>
            </w:tcMar>
            <w:tcW w:w="431" w:type="dxa"/>
            <w:vAlign w:val="center"/>
            <w:textDirection w:val="lrTb"/>
            <w:noWrap w:val="false"/>
          </w:tcPr>
          <w:p>
            <w:pPr>
              <w:ind w:left="0" w:right="0" w:firstLine="0"/>
              <w:jc w:val="righ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3</w:t>
            </w:r>
            <w:r/>
          </w:p>
        </w:tc>
      </w:tr>
      <w:tr>
        <w:trPr>
          <w:jc w:val="center"/>
          <w:trHeight w:val="0"/>
        </w:trPr>
        <w:tc>
          <w:tcPr>
            <w:tcBorders>
              <w:top w:val="single" w:color="auto" w:sz="4" w:space="0"/>
              <w:left w:val="single" w:color="auto" w:sz="12" w:space="0"/>
              <w:bottom w:val="none" w:color="000000" w:sz="4" w:space="0"/>
              <w:right w:val="none" w:color="000000" w:sz="4" w:space="0"/>
            </w:tcBorders>
            <w:tcMar>
              <w:left w:w="60" w:type="dxa"/>
              <w:top w:w="45" w:type="dxa"/>
              <w:right w:w="60" w:type="dxa"/>
              <w:bottom w:w="45" w:type="dxa"/>
            </w:tcMar>
            <w:tcW w:w="431" w:type="dxa"/>
            <w:vAlign w:val="center"/>
            <w:textDirection w:val="lrTb"/>
            <w:noWrap w:val="false"/>
          </w:tcPr>
          <w:p>
            <w:pPr>
              <w:ind w:left="0" w:right="0" w:firstLine="0"/>
              <w:jc w:val="center"/>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2.2</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1577" w:type="dxa"/>
            <w:vAlign w:val="center"/>
            <w:textDirection w:val="lrTb"/>
            <w:noWrap w:val="false"/>
          </w:tcPr>
          <w:p>
            <w:pPr>
              <w:ind w:left="0" w:right="0" w:firstLine="0"/>
              <w:jc w:val="center"/>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DLP大屏巡检维护</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3053" w:type="dxa"/>
            <w:vAlign w:val="center"/>
            <w:textDirection w:val="lrTb"/>
            <w:noWrap w:val="false"/>
          </w:tcPr>
          <w:p>
            <w:pPr>
              <w:ind w:left="0" w:right="0" w:firstLine="0"/>
              <w:jc w:val="lef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拼接效果优化：每周至少1次优化拼接效果；重大活动或节假日按甲方要求增加服务。</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3031" w:type="dxa"/>
            <w:vAlign w:val="center"/>
            <w:textDirection w:val="lrTb"/>
            <w:noWrap w:val="false"/>
          </w:tcPr>
          <w:p>
            <w:pPr>
              <w:ind w:left="0" w:right="0" w:firstLine="0"/>
              <w:jc w:val="lef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每少1次扣0.5分；未按要求增加服务每次扣1分；调校后仍存在明显错位、色差且未复核每次扣0.5分。</w:t>
            </w:r>
            <w:r/>
          </w:p>
        </w:tc>
        <w:tc>
          <w:tcPr>
            <w:tcBorders>
              <w:top w:val="single" w:color="auto" w:sz="4" w:space="0"/>
              <w:left w:val="single" w:color="auto" w:sz="4" w:space="0"/>
              <w:bottom w:val="none" w:color="000000" w:sz="4" w:space="0"/>
              <w:right w:val="single" w:color="auto" w:sz="12" w:space="0"/>
            </w:tcBorders>
            <w:tcMar>
              <w:left w:w="60" w:type="dxa"/>
              <w:top w:w="45" w:type="dxa"/>
              <w:right w:w="60" w:type="dxa"/>
              <w:bottom w:w="45" w:type="dxa"/>
            </w:tcMar>
            <w:tcW w:w="431" w:type="dxa"/>
            <w:vAlign w:val="center"/>
            <w:textDirection w:val="lrTb"/>
            <w:noWrap w:val="false"/>
          </w:tcPr>
          <w:p>
            <w:pPr>
              <w:ind w:left="0" w:right="0" w:firstLine="0"/>
              <w:jc w:val="righ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2</w:t>
            </w:r>
            <w:r/>
          </w:p>
        </w:tc>
      </w:tr>
      <w:tr>
        <w:trPr>
          <w:jc w:val="center"/>
          <w:trHeight w:val="0"/>
        </w:trPr>
        <w:tc>
          <w:tcPr>
            <w:tcBorders>
              <w:top w:val="single" w:color="auto" w:sz="4" w:space="0"/>
              <w:left w:val="single" w:color="auto" w:sz="12" w:space="0"/>
              <w:bottom w:val="none" w:color="000000" w:sz="4" w:space="0"/>
              <w:right w:val="none" w:color="000000" w:sz="4" w:space="0"/>
            </w:tcBorders>
            <w:tcMar>
              <w:left w:w="60" w:type="dxa"/>
              <w:top w:w="45" w:type="dxa"/>
              <w:right w:w="60" w:type="dxa"/>
              <w:bottom w:w="45" w:type="dxa"/>
            </w:tcMar>
            <w:tcW w:w="431" w:type="dxa"/>
            <w:vAlign w:val="center"/>
            <w:textDirection w:val="lrTb"/>
            <w:noWrap w:val="false"/>
          </w:tcPr>
          <w:p>
            <w:pPr>
              <w:ind w:left="0" w:right="0" w:firstLine="0"/>
              <w:jc w:val="center"/>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2.3</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1577" w:type="dxa"/>
            <w:vAlign w:val="center"/>
            <w:textDirection w:val="lrTb"/>
            <w:noWrap w:val="false"/>
          </w:tcPr>
          <w:p>
            <w:pPr>
              <w:ind w:left="0" w:right="0" w:firstLine="0"/>
              <w:jc w:val="center"/>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DLP大屏巡检维护</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3053" w:type="dxa"/>
            <w:vAlign w:val="center"/>
            <w:textDirection w:val="lrTb"/>
            <w:noWrap w:val="false"/>
          </w:tcPr>
          <w:p>
            <w:pPr>
              <w:ind w:left="0" w:right="0" w:firstLine="0"/>
              <w:jc w:val="lef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显示单元月检：每月至少1次检查64套显示单元的横纵坐标、亮度、色彩、清晰度、告警及运行状态。</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3031" w:type="dxa"/>
            <w:vAlign w:val="center"/>
            <w:textDirection w:val="lrTb"/>
            <w:noWrap w:val="false"/>
          </w:tcPr>
          <w:p>
            <w:pPr>
              <w:ind w:left="0" w:right="0" w:firstLine="0"/>
              <w:jc w:val="lef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整月未实施扣2分；每漏1套扣0.1分；发现异常未记录或未处理每项扣0.3分。</w:t>
            </w:r>
            <w:r/>
          </w:p>
        </w:tc>
        <w:tc>
          <w:tcPr>
            <w:tcBorders>
              <w:top w:val="single" w:color="auto" w:sz="4" w:space="0"/>
              <w:left w:val="single" w:color="auto" w:sz="4" w:space="0"/>
              <w:bottom w:val="none" w:color="000000" w:sz="4" w:space="0"/>
              <w:right w:val="single" w:color="auto" w:sz="12" w:space="0"/>
            </w:tcBorders>
            <w:tcMar>
              <w:left w:w="60" w:type="dxa"/>
              <w:top w:w="45" w:type="dxa"/>
              <w:right w:w="60" w:type="dxa"/>
              <w:bottom w:w="45" w:type="dxa"/>
            </w:tcMar>
            <w:tcW w:w="431" w:type="dxa"/>
            <w:vAlign w:val="center"/>
            <w:textDirection w:val="lrTb"/>
            <w:noWrap w:val="false"/>
          </w:tcPr>
          <w:p>
            <w:pPr>
              <w:ind w:left="0" w:right="0" w:firstLine="0"/>
              <w:jc w:val="righ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2</w:t>
            </w:r>
            <w:r/>
          </w:p>
        </w:tc>
      </w:tr>
      <w:tr>
        <w:trPr>
          <w:jc w:val="center"/>
          <w:trHeight w:val="0"/>
        </w:trPr>
        <w:tc>
          <w:tcPr>
            <w:tcBorders>
              <w:top w:val="single" w:color="auto" w:sz="4" w:space="0"/>
              <w:left w:val="single" w:color="auto" w:sz="12" w:space="0"/>
              <w:bottom w:val="none" w:color="000000" w:sz="4" w:space="0"/>
              <w:right w:val="none" w:color="000000" w:sz="4" w:space="0"/>
            </w:tcBorders>
            <w:tcMar>
              <w:left w:w="60" w:type="dxa"/>
              <w:top w:w="45" w:type="dxa"/>
              <w:right w:w="60" w:type="dxa"/>
              <w:bottom w:w="45" w:type="dxa"/>
            </w:tcMar>
            <w:tcW w:w="431" w:type="dxa"/>
            <w:vAlign w:val="center"/>
            <w:textDirection w:val="lrTb"/>
            <w:noWrap w:val="false"/>
          </w:tcPr>
          <w:p>
            <w:pPr>
              <w:ind w:left="0" w:right="0" w:firstLine="0"/>
              <w:jc w:val="center"/>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2.4</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1577" w:type="dxa"/>
            <w:vAlign w:val="center"/>
            <w:textDirection w:val="lrTb"/>
            <w:noWrap w:val="false"/>
          </w:tcPr>
          <w:p>
            <w:pPr>
              <w:ind w:left="0" w:right="0" w:firstLine="0"/>
              <w:jc w:val="center"/>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DLP大屏巡检维护</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3053" w:type="dxa"/>
            <w:vAlign w:val="center"/>
            <w:textDirection w:val="lrTb"/>
            <w:noWrap w:val="false"/>
          </w:tcPr>
          <w:p>
            <w:pPr>
              <w:ind w:left="0" w:right="0" w:firstLine="0"/>
              <w:jc w:val="lef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处理器及投屏设备月检：每月至少1次维护Ark多屏处理器、级联器、无线投屏服务器、输入输出通道和管理软件。</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3031" w:type="dxa"/>
            <w:vAlign w:val="center"/>
            <w:textDirection w:val="lrTb"/>
            <w:noWrap w:val="false"/>
          </w:tcPr>
          <w:p>
            <w:pPr>
              <w:ind w:left="0" w:right="0" w:firstLine="0"/>
              <w:jc w:val="lef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每漏1台/套设备扣0.5分；异常告警未处置每项扣0.5分；输入输出通道未经测试扣0.5分。</w:t>
            </w:r>
            <w:r/>
          </w:p>
        </w:tc>
        <w:tc>
          <w:tcPr>
            <w:tcBorders>
              <w:top w:val="single" w:color="auto" w:sz="4" w:space="0"/>
              <w:left w:val="single" w:color="auto" w:sz="4" w:space="0"/>
              <w:bottom w:val="none" w:color="000000" w:sz="4" w:space="0"/>
              <w:right w:val="single" w:color="auto" w:sz="12" w:space="0"/>
            </w:tcBorders>
            <w:tcMar>
              <w:left w:w="60" w:type="dxa"/>
              <w:top w:w="45" w:type="dxa"/>
              <w:right w:w="60" w:type="dxa"/>
              <w:bottom w:w="45" w:type="dxa"/>
            </w:tcMar>
            <w:tcW w:w="431" w:type="dxa"/>
            <w:vAlign w:val="center"/>
            <w:textDirection w:val="lrTb"/>
            <w:noWrap w:val="false"/>
          </w:tcPr>
          <w:p>
            <w:pPr>
              <w:ind w:left="0" w:right="0" w:firstLine="0"/>
              <w:jc w:val="righ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2</w:t>
            </w:r>
            <w:r/>
          </w:p>
        </w:tc>
      </w:tr>
      <w:tr>
        <w:trPr>
          <w:jc w:val="center"/>
          <w:trHeight w:val="0"/>
        </w:trPr>
        <w:tc>
          <w:tcPr>
            <w:tcBorders>
              <w:top w:val="single" w:color="auto" w:sz="4" w:space="0"/>
              <w:left w:val="single" w:color="auto" w:sz="12" w:space="0"/>
              <w:bottom w:val="none" w:color="000000" w:sz="4" w:space="0"/>
              <w:right w:val="none" w:color="000000" w:sz="4" w:space="0"/>
            </w:tcBorders>
            <w:tcMar>
              <w:left w:w="60" w:type="dxa"/>
              <w:top w:w="45" w:type="dxa"/>
              <w:right w:w="60" w:type="dxa"/>
              <w:bottom w:w="45" w:type="dxa"/>
            </w:tcMar>
            <w:tcW w:w="431" w:type="dxa"/>
            <w:vAlign w:val="center"/>
            <w:textDirection w:val="lrTb"/>
            <w:noWrap w:val="false"/>
          </w:tcPr>
          <w:p>
            <w:pPr>
              <w:ind w:left="0" w:right="0" w:firstLine="0"/>
              <w:jc w:val="center"/>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2.5</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1577" w:type="dxa"/>
            <w:vAlign w:val="center"/>
            <w:textDirection w:val="lrTb"/>
            <w:noWrap w:val="false"/>
          </w:tcPr>
          <w:p>
            <w:pPr>
              <w:ind w:left="0" w:right="0" w:firstLine="0"/>
              <w:jc w:val="center"/>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DLP大屏巡检维护</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3053" w:type="dxa"/>
            <w:vAlign w:val="center"/>
            <w:textDirection w:val="lrTb"/>
            <w:noWrap w:val="false"/>
          </w:tcPr>
          <w:p>
            <w:pPr>
              <w:ind w:left="0" w:right="0" w:firstLine="0"/>
              <w:jc w:val="lef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季度清灰整理：每季度至少1次对显示单元、处理器、级联器、投屏设备、专用线缆及电缆检查、整理、清灰，并留存前后照片。</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3031" w:type="dxa"/>
            <w:vAlign w:val="center"/>
            <w:textDirection w:val="lrTb"/>
            <w:noWrap w:val="false"/>
          </w:tcPr>
          <w:p>
            <w:pPr>
              <w:ind w:left="0" w:right="0" w:firstLine="0"/>
              <w:jc w:val="lef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每漏1类设备扣0.5分；未完成清灰扣1分；无前后对比照片扣0.5分；施工造成连接松动每处扣0.5分。</w:t>
            </w:r>
            <w:r/>
          </w:p>
        </w:tc>
        <w:tc>
          <w:tcPr>
            <w:tcBorders>
              <w:top w:val="single" w:color="auto" w:sz="4" w:space="0"/>
              <w:left w:val="single" w:color="auto" w:sz="4" w:space="0"/>
              <w:bottom w:val="none" w:color="000000" w:sz="4" w:space="0"/>
              <w:right w:val="single" w:color="auto" w:sz="12" w:space="0"/>
            </w:tcBorders>
            <w:tcMar>
              <w:left w:w="60" w:type="dxa"/>
              <w:top w:w="45" w:type="dxa"/>
              <w:right w:w="60" w:type="dxa"/>
              <w:bottom w:w="45" w:type="dxa"/>
            </w:tcMar>
            <w:tcW w:w="431" w:type="dxa"/>
            <w:vAlign w:val="center"/>
            <w:textDirection w:val="lrTb"/>
            <w:noWrap w:val="false"/>
          </w:tcPr>
          <w:p>
            <w:pPr>
              <w:ind w:left="0" w:right="0" w:firstLine="0"/>
              <w:jc w:val="righ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2</w:t>
            </w:r>
            <w:r/>
          </w:p>
        </w:tc>
      </w:tr>
      <w:tr>
        <w:trPr>
          <w:jc w:val="center"/>
          <w:trHeight w:val="0"/>
        </w:trPr>
        <w:tc>
          <w:tcPr>
            <w:tcBorders>
              <w:top w:val="single" w:color="auto" w:sz="4" w:space="0"/>
              <w:left w:val="single" w:color="auto" w:sz="12" w:space="0"/>
              <w:bottom w:val="none" w:color="000000" w:sz="4" w:space="0"/>
              <w:right w:val="none" w:color="000000" w:sz="4" w:space="0"/>
            </w:tcBorders>
            <w:tcMar>
              <w:left w:w="60" w:type="dxa"/>
              <w:top w:w="45" w:type="dxa"/>
              <w:right w:w="60" w:type="dxa"/>
              <w:bottom w:w="45" w:type="dxa"/>
            </w:tcMar>
            <w:tcW w:w="431" w:type="dxa"/>
            <w:vAlign w:val="center"/>
            <w:textDirection w:val="lrTb"/>
            <w:noWrap w:val="false"/>
          </w:tcPr>
          <w:p>
            <w:pPr>
              <w:ind w:left="0" w:right="0" w:firstLine="0"/>
              <w:jc w:val="center"/>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2.6</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1577" w:type="dxa"/>
            <w:vAlign w:val="center"/>
            <w:textDirection w:val="lrTb"/>
            <w:noWrap w:val="false"/>
          </w:tcPr>
          <w:p>
            <w:pPr>
              <w:ind w:left="0" w:right="0" w:firstLine="0"/>
              <w:jc w:val="center"/>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DLP大屏巡检维护</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3053" w:type="dxa"/>
            <w:vAlign w:val="center"/>
            <w:textDirection w:val="lrTb"/>
            <w:noWrap w:val="false"/>
          </w:tcPr>
          <w:p>
            <w:pPr>
              <w:ind w:left="0" w:right="0" w:firstLine="0"/>
              <w:jc w:val="lef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配置备份及软件支持：修改任何参数前完成备份并经甲方同意，必要时提供软件安装、调试和恢复。</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3031" w:type="dxa"/>
            <w:vAlign w:val="center"/>
            <w:textDirection w:val="lrTb"/>
            <w:noWrap w:val="false"/>
          </w:tcPr>
          <w:p>
            <w:pPr>
              <w:ind w:left="0" w:right="0" w:firstLine="0"/>
              <w:jc w:val="lef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未经审批或未备份每次扣1分；备份不可用扣0.5分；因操作造成故障或数据丢失另行追责。</w:t>
            </w:r>
            <w:r/>
          </w:p>
        </w:tc>
        <w:tc>
          <w:tcPr>
            <w:tcBorders>
              <w:top w:val="single" w:color="auto" w:sz="4" w:space="0"/>
              <w:left w:val="single" w:color="auto" w:sz="4" w:space="0"/>
              <w:bottom w:val="none" w:color="000000" w:sz="4" w:space="0"/>
              <w:right w:val="single" w:color="auto" w:sz="12" w:space="0"/>
            </w:tcBorders>
            <w:tcMar>
              <w:left w:w="60" w:type="dxa"/>
              <w:top w:w="45" w:type="dxa"/>
              <w:right w:w="60" w:type="dxa"/>
              <w:bottom w:w="45" w:type="dxa"/>
            </w:tcMar>
            <w:tcW w:w="431" w:type="dxa"/>
            <w:vAlign w:val="center"/>
            <w:textDirection w:val="lrTb"/>
            <w:noWrap w:val="false"/>
          </w:tcPr>
          <w:p>
            <w:pPr>
              <w:ind w:left="0" w:right="0" w:firstLine="0"/>
              <w:jc w:val="righ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1</w:t>
            </w:r>
            <w:r/>
          </w:p>
        </w:tc>
      </w:tr>
      <w:tr>
        <w:trPr>
          <w:jc w:val="center"/>
          <w:trHeight w:val="0"/>
        </w:trPr>
        <w:tc>
          <w:tcPr>
            <w:tcBorders>
              <w:top w:val="single" w:color="auto" w:sz="4" w:space="0"/>
              <w:left w:val="single" w:color="auto" w:sz="12" w:space="0"/>
              <w:bottom w:val="none" w:color="000000" w:sz="4" w:space="0"/>
              <w:right w:val="none" w:color="000000" w:sz="4" w:space="0"/>
            </w:tcBorders>
            <w:tcMar>
              <w:left w:w="60" w:type="dxa"/>
              <w:top w:w="45" w:type="dxa"/>
              <w:right w:w="60" w:type="dxa"/>
              <w:bottom w:w="45" w:type="dxa"/>
            </w:tcMar>
            <w:tcW w:w="431" w:type="dxa"/>
            <w:vAlign w:val="center"/>
            <w:textDirection w:val="lrTb"/>
            <w:noWrap w:val="false"/>
          </w:tcPr>
          <w:p>
            <w:pPr>
              <w:ind w:left="0" w:right="0" w:firstLine="0"/>
              <w:jc w:val="center"/>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3.1</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1577" w:type="dxa"/>
            <w:vAlign w:val="center"/>
            <w:textDirection w:val="lrTb"/>
            <w:noWrap w:val="false"/>
          </w:tcPr>
          <w:p>
            <w:pPr>
              <w:ind w:left="0" w:right="0" w:firstLine="0"/>
              <w:jc w:val="center"/>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精密空调巡检维护</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3053" w:type="dxa"/>
            <w:vAlign w:val="center"/>
            <w:textDirection w:val="lrTb"/>
            <w:noWrap w:val="false"/>
          </w:tcPr>
          <w:p>
            <w:pPr>
              <w:ind w:left="0" w:right="0" w:firstLine="0"/>
              <w:jc w:val="lef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每日两次巡检：每天至少2次检查机房温湿度、7套空调主机运行状态及告警。</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3031" w:type="dxa"/>
            <w:vAlign w:val="center"/>
            <w:textDirection w:val="lrTb"/>
            <w:noWrap w:val="false"/>
          </w:tcPr>
          <w:p>
            <w:pPr>
              <w:ind w:left="0" w:right="0" w:firstLine="0"/>
              <w:jc w:val="lef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每少1次扣0.2分；连续漏检2次扣0.5分；漏检导致告警未发现每次扣1分。</w:t>
            </w:r>
            <w:r/>
          </w:p>
        </w:tc>
        <w:tc>
          <w:tcPr>
            <w:tcBorders>
              <w:top w:val="single" w:color="auto" w:sz="4" w:space="0"/>
              <w:left w:val="single" w:color="auto" w:sz="4" w:space="0"/>
              <w:bottom w:val="none" w:color="000000" w:sz="4" w:space="0"/>
              <w:right w:val="single" w:color="auto" w:sz="12" w:space="0"/>
            </w:tcBorders>
            <w:tcMar>
              <w:left w:w="60" w:type="dxa"/>
              <w:top w:w="45" w:type="dxa"/>
              <w:right w:w="60" w:type="dxa"/>
              <w:bottom w:w="45" w:type="dxa"/>
            </w:tcMar>
            <w:tcW w:w="431" w:type="dxa"/>
            <w:vAlign w:val="center"/>
            <w:textDirection w:val="lrTb"/>
            <w:noWrap w:val="false"/>
          </w:tcPr>
          <w:p>
            <w:pPr>
              <w:ind w:left="0" w:right="0" w:firstLine="0"/>
              <w:jc w:val="righ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3</w:t>
            </w:r>
            <w:r/>
          </w:p>
        </w:tc>
      </w:tr>
      <w:tr>
        <w:trPr>
          <w:jc w:val="center"/>
          <w:trHeight w:val="0"/>
        </w:trPr>
        <w:tc>
          <w:tcPr>
            <w:tcBorders>
              <w:top w:val="single" w:color="auto" w:sz="4" w:space="0"/>
              <w:left w:val="single" w:color="auto" w:sz="12" w:space="0"/>
              <w:bottom w:val="none" w:color="000000" w:sz="4" w:space="0"/>
              <w:right w:val="none" w:color="000000" w:sz="4" w:space="0"/>
            </w:tcBorders>
            <w:tcMar>
              <w:left w:w="60" w:type="dxa"/>
              <w:top w:w="45" w:type="dxa"/>
              <w:right w:w="60" w:type="dxa"/>
              <w:bottom w:w="45" w:type="dxa"/>
            </w:tcMar>
            <w:tcW w:w="431" w:type="dxa"/>
            <w:vAlign w:val="center"/>
            <w:textDirection w:val="lrTb"/>
            <w:noWrap w:val="false"/>
          </w:tcPr>
          <w:p>
            <w:pPr>
              <w:ind w:left="0" w:right="0" w:firstLine="0"/>
              <w:jc w:val="center"/>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3.2</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1577" w:type="dxa"/>
            <w:vAlign w:val="center"/>
            <w:textDirection w:val="lrTb"/>
            <w:noWrap w:val="false"/>
          </w:tcPr>
          <w:p>
            <w:pPr>
              <w:ind w:left="0" w:right="0" w:firstLine="0"/>
              <w:jc w:val="center"/>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精密空调巡检维护</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3053" w:type="dxa"/>
            <w:vAlign w:val="center"/>
            <w:textDirection w:val="lrTb"/>
            <w:noWrap w:val="false"/>
          </w:tcPr>
          <w:p>
            <w:pPr>
              <w:ind w:left="0" w:right="0" w:firstLine="0"/>
              <w:jc w:val="lef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月度全面检查：每月至少1次检查工作电路、接点、电压电流、传感器、制冷管路、安全阀及负荷变频状态。</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3031" w:type="dxa"/>
            <w:vAlign w:val="center"/>
            <w:textDirection w:val="lrTb"/>
            <w:noWrap w:val="false"/>
          </w:tcPr>
          <w:p>
            <w:pPr>
              <w:ind w:left="0" w:right="0" w:firstLine="0"/>
              <w:jc w:val="lef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每漏1套设备扣0.3分；每漏1类关键检测项扣0.3分；未记录实测数据扣0.5分。</w:t>
            </w:r>
            <w:r/>
          </w:p>
        </w:tc>
        <w:tc>
          <w:tcPr>
            <w:tcBorders>
              <w:top w:val="single" w:color="auto" w:sz="4" w:space="0"/>
              <w:left w:val="single" w:color="auto" w:sz="4" w:space="0"/>
              <w:bottom w:val="none" w:color="000000" w:sz="4" w:space="0"/>
              <w:right w:val="single" w:color="auto" w:sz="12" w:space="0"/>
            </w:tcBorders>
            <w:tcMar>
              <w:left w:w="60" w:type="dxa"/>
              <w:top w:w="45" w:type="dxa"/>
              <w:right w:w="60" w:type="dxa"/>
              <w:bottom w:w="45" w:type="dxa"/>
            </w:tcMar>
            <w:tcW w:w="431" w:type="dxa"/>
            <w:vAlign w:val="center"/>
            <w:textDirection w:val="lrTb"/>
            <w:noWrap w:val="false"/>
          </w:tcPr>
          <w:p>
            <w:pPr>
              <w:ind w:left="0" w:right="0" w:firstLine="0"/>
              <w:jc w:val="righ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3</w:t>
            </w:r>
            <w:r/>
          </w:p>
        </w:tc>
      </w:tr>
      <w:tr>
        <w:trPr>
          <w:jc w:val="center"/>
          <w:trHeight w:val="0"/>
        </w:trPr>
        <w:tc>
          <w:tcPr>
            <w:tcBorders>
              <w:top w:val="single" w:color="auto" w:sz="4" w:space="0"/>
              <w:left w:val="single" w:color="auto" w:sz="12" w:space="0"/>
              <w:bottom w:val="none" w:color="000000" w:sz="4" w:space="0"/>
              <w:right w:val="none" w:color="000000" w:sz="4" w:space="0"/>
            </w:tcBorders>
            <w:tcMar>
              <w:left w:w="60" w:type="dxa"/>
              <w:top w:w="45" w:type="dxa"/>
              <w:right w:w="60" w:type="dxa"/>
              <w:bottom w:w="45" w:type="dxa"/>
            </w:tcMar>
            <w:tcW w:w="431" w:type="dxa"/>
            <w:vAlign w:val="center"/>
            <w:textDirection w:val="lrTb"/>
            <w:noWrap w:val="false"/>
          </w:tcPr>
          <w:p>
            <w:pPr>
              <w:ind w:left="0" w:right="0" w:firstLine="0"/>
              <w:jc w:val="center"/>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3.3</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1577" w:type="dxa"/>
            <w:vAlign w:val="center"/>
            <w:textDirection w:val="lrTb"/>
            <w:noWrap w:val="false"/>
          </w:tcPr>
          <w:p>
            <w:pPr>
              <w:ind w:left="0" w:right="0" w:firstLine="0"/>
              <w:jc w:val="center"/>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精密空调巡检维护</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3053" w:type="dxa"/>
            <w:vAlign w:val="center"/>
            <w:textDirection w:val="lrTb"/>
            <w:noWrap w:val="false"/>
          </w:tcPr>
          <w:p>
            <w:pPr>
              <w:ind w:left="0" w:right="0" w:firstLine="0"/>
              <w:jc w:val="lef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季度专业清洗：每季度至少1次对外机冷凝器、内机蒸发器专业除垢、清洗，施工前后留存记录。</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3031" w:type="dxa"/>
            <w:vAlign w:val="center"/>
            <w:textDirection w:val="lrTb"/>
            <w:noWrap w:val="false"/>
          </w:tcPr>
          <w:p>
            <w:pPr>
              <w:ind w:left="0" w:right="0" w:firstLine="0"/>
              <w:jc w:val="lef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每漏1套扣0.5分；清洗不彻底或造成翅片、管路损坏每次扣1分；无记录扣0.5分。</w:t>
            </w:r>
            <w:r/>
          </w:p>
        </w:tc>
        <w:tc>
          <w:tcPr>
            <w:tcBorders>
              <w:top w:val="single" w:color="auto" w:sz="4" w:space="0"/>
              <w:left w:val="single" w:color="auto" w:sz="4" w:space="0"/>
              <w:bottom w:val="none" w:color="000000" w:sz="4" w:space="0"/>
              <w:right w:val="single" w:color="auto" w:sz="12" w:space="0"/>
            </w:tcBorders>
            <w:tcMar>
              <w:left w:w="60" w:type="dxa"/>
              <w:top w:w="45" w:type="dxa"/>
              <w:right w:w="60" w:type="dxa"/>
              <w:bottom w:w="45" w:type="dxa"/>
            </w:tcMar>
            <w:tcW w:w="431" w:type="dxa"/>
            <w:vAlign w:val="center"/>
            <w:textDirection w:val="lrTb"/>
            <w:noWrap w:val="false"/>
          </w:tcPr>
          <w:p>
            <w:pPr>
              <w:ind w:left="0" w:right="0" w:firstLine="0"/>
              <w:jc w:val="righ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2</w:t>
            </w:r>
            <w:r/>
          </w:p>
        </w:tc>
      </w:tr>
      <w:tr>
        <w:trPr>
          <w:jc w:val="center"/>
          <w:trHeight w:val="0"/>
        </w:trPr>
        <w:tc>
          <w:tcPr>
            <w:tcBorders>
              <w:top w:val="single" w:color="auto" w:sz="4" w:space="0"/>
              <w:left w:val="single" w:color="auto" w:sz="12" w:space="0"/>
              <w:bottom w:val="none" w:color="000000" w:sz="4" w:space="0"/>
              <w:right w:val="none" w:color="000000" w:sz="4" w:space="0"/>
            </w:tcBorders>
            <w:tcMar>
              <w:left w:w="60" w:type="dxa"/>
              <w:top w:w="45" w:type="dxa"/>
              <w:right w:w="60" w:type="dxa"/>
              <w:bottom w:w="45" w:type="dxa"/>
            </w:tcMar>
            <w:tcW w:w="431" w:type="dxa"/>
            <w:vAlign w:val="center"/>
            <w:textDirection w:val="lrTb"/>
            <w:noWrap w:val="false"/>
          </w:tcPr>
          <w:p>
            <w:pPr>
              <w:ind w:left="0" w:right="0" w:firstLine="0"/>
              <w:jc w:val="center"/>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3.4</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1577" w:type="dxa"/>
            <w:vAlign w:val="center"/>
            <w:textDirection w:val="lrTb"/>
            <w:noWrap w:val="false"/>
          </w:tcPr>
          <w:p>
            <w:pPr>
              <w:ind w:left="0" w:right="0" w:firstLine="0"/>
              <w:jc w:val="center"/>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精密空调巡检维护</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3053" w:type="dxa"/>
            <w:vAlign w:val="center"/>
            <w:textDirection w:val="lrTb"/>
            <w:noWrap w:val="false"/>
          </w:tcPr>
          <w:p>
            <w:pPr>
              <w:ind w:left="0" w:right="0" w:firstLine="0"/>
              <w:jc w:val="lef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季度过滤网更换：按季度完成7套精密空调过滤网更换，规格、过滤等级、风阻和阻燃性能符合要求。</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3031" w:type="dxa"/>
            <w:vAlign w:val="center"/>
            <w:textDirection w:val="lrTb"/>
            <w:noWrap w:val="false"/>
          </w:tcPr>
          <w:p>
            <w:pPr>
              <w:ind w:left="0" w:right="0" w:firstLine="0"/>
              <w:jc w:val="lef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每少更换1套扣0.5分；使用不合格或旧过滤网每套扣1分；无领用和更换记录扣0.5分。</w:t>
            </w:r>
            <w:r/>
          </w:p>
        </w:tc>
        <w:tc>
          <w:tcPr>
            <w:tcBorders>
              <w:top w:val="single" w:color="auto" w:sz="4" w:space="0"/>
              <w:left w:val="single" w:color="auto" w:sz="4" w:space="0"/>
              <w:bottom w:val="none" w:color="000000" w:sz="4" w:space="0"/>
              <w:right w:val="single" w:color="auto" w:sz="12" w:space="0"/>
            </w:tcBorders>
            <w:tcMar>
              <w:left w:w="60" w:type="dxa"/>
              <w:top w:w="45" w:type="dxa"/>
              <w:right w:w="60" w:type="dxa"/>
              <w:bottom w:w="45" w:type="dxa"/>
            </w:tcMar>
            <w:tcW w:w="431" w:type="dxa"/>
            <w:vAlign w:val="center"/>
            <w:textDirection w:val="lrTb"/>
            <w:noWrap w:val="false"/>
          </w:tcPr>
          <w:p>
            <w:pPr>
              <w:ind w:left="0" w:right="0" w:firstLine="0"/>
              <w:jc w:val="righ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2</w:t>
            </w:r>
            <w:r/>
          </w:p>
        </w:tc>
      </w:tr>
      <w:tr>
        <w:trPr>
          <w:jc w:val="center"/>
          <w:trHeight w:val="0"/>
        </w:trPr>
        <w:tc>
          <w:tcPr>
            <w:tcBorders>
              <w:top w:val="single" w:color="auto" w:sz="4" w:space="0"/>
              <w:left w:val="single" w:color="auto" w:sz="12" w:space="0"/>
              <w:bottom w:val="none" w:color="000000" w:sz="4" w:space="0"/>
              <w:right w:val="none" w:color="000000" w:sz="4" w:space="0"/>
            </w:tcBorders>
            <w:tcMar>
              <w:left w:w="60" w:type="dxa"/>
              <w:top w:w="45" w:type="dxa"/>
              <w:right w:w="60" w:type="dxa"/>
              <w:bottom w:w="45" w:type="dxa"/>
            </w:tcMar>
            <w:tcW w:w="431" w:type="dxa"/>
            <w:vAlign w:val="center"/>
            <w:textDirection w:val="lrTb"/>
            <w:noWrap w:val="false"/>
          </w:tcPr>
          <w:p>
            <w:pPr>
              <w:ind w:left="0" w:right="0" w:firstLine="0"/>
              <w:jc w:val="center"/>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3.5</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1577" w:type="dxa"/>
            <w:vAlign w:val="center"/>
            <w:textDirection w:val="lrTb"/>
            <w:noWrap w:val="false"/>
          </w:tcPr>
          <w:p>
            <w:pPr>
              <w:ind w:left="0" w:right="0" w:firstLine="0"/>
              <w:jc w:val="center"/>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精密空调巡检维护</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3053" w:type="dxa"/>
            <w:vAlign w:val="center"/>
            <w:textDirection w:val="lrTb"/>
            <w:noWrap w:val="false"/>
          </w:tcPr>
          <w:p>
            <w:pPr>
              <w:ind w:left="0" w:right="0" w:firstLine="0"/>
              <w:jc w:val="lef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告警及环境异常处置：及时确认温湿度和空调告警，查明原因并恢复至采购人设定的运行范围。</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3031" w:type="dxa"/>
            <w:vAlign w:val="center"/>
            <w:textDirection w:val="lrTb"/>
            <w:noWrap w:val="false"/>
          </w:tcPr>
          <w:p>
            <w:pPr>
              <w:ind w:left="0" w:right="0" w:firstLine="0"/>
              <w:jc w:val="lef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告警10分钟内未确认每次扣0.5分；未报告或处置不当每次扣0.5分；造成环境持续异常扣1分。</w:t>
            </w:r>
            <w:r/>
          </w:p>
        </w:tc>
        <w:tc>
          <w:tcPr>
            <w:tcBorders>
              <w:top w:val="single" w:color="auto" w:sz="4" w:space="0"/>
              <w:left w:val="single" w:color="auto" w:sz="4" w:space="0"/>
              <w:bottom w:val="none" w:color="000000" w:sz="4" w:space="0"/>
              <w:right w:val="single" w:color="auto" w:sz="12" w:space="0"/>
            </w:tcBorders>
            <w:tcMar>
              <w:left w:w="60" w:type="dxa"/>
              <w:top w:w="45" w:type="dxa"/>
              <w:right w:w="60" w:type="dxa"/>
              <w:bottom w:w="45" w:type="dxa"/>
            </w:tcMar>
            <w:tcW w:w="431" w:type="dxa"/>
            <w:vAlign w:val="center"/>
            <w:textDirection w:val="lrTb"/>
            <w:noWrap w:val="false"/>
          </w:tcPr>
          <w:p>
            <w:pPr>
              <w:ind w:left="0" w:right="0" w:firstLine="0"/>
              <w:jc w:val="righ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1</w:t>
            </w:r>
            <w:r/>
          </w:p>
        </w:tc>
      </w:tr>
      <w:tr>
        <w:trPr>
          <w:jc w:val="center"/>
          <w:trHeight w:val="0"/>
        </w:trPr>
        <w:tc>
          <w:tcPr>
            <w:tcBorders>
              <w:top w:val="single" w:color="auto" w:sz="4" w:space="0"/>
              <w:left w:val="single" w:color="auto" w:sz="12" w:space="0"/>
              <w:bottom w:val="none" w:color="000000" w:sz="4" w:space="0"/>
              <w:right w:val="none" w:color="000000" w:sz="4" w:space="0"/>
            </w:tcBorders>
            <w:tcMar>
              <w:left w:w="60" w:type="dxa"/>
              <w:top w:w="45" w:type="dxa"/>
              <w:right w:w="60" w:type="dxa"/>
              <w:bottom w:w="45" w:type="dxa"/>
            </w:tcMar>
            <w:tcW w:w="431" w:type="dxa"/>
            <w:vAlign w:val="center"/>
            <w:textDirection w:val="lrTb"/>
            <w:noWrap w:val="false"/>
          </w:tcPr>
          <w:p>
            <w:pPr>
              <w:ind w:left="0" w:right="0" w:firstLine="0"/>
              <w:jc w:val="center"/>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3.6</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1577" w:type="dxa"/>
            <w:vAlign w:val="center"/>
            <w:textDirection w:val="lrTb"/>
            <w:noWrap w:val="false"/>
          </w:tcPr>
          <w:p>
            <w:pPr>
              <w:ind w:left="0" w:right="0" w:firstLine="0"/>
              <w:jc w:val="center"/>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精密空调巡检维护</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3053" w:type="dxa"/>
            <w:vAlign w:val="center"/>
            <w:textDirection w:val="lrTb"/>
            <w:noWrap w:val="false"/>
          </w:tcPr>
          <w:p>
            <w:pPr>
              <w:ind w:left="0" w:right="0" w:firstLine="0"/>
              <w:jc w:val="lef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隐患排查闭环：对泄漏、异常振动、过热、排水、压力及电气隐患形成清单并闭环。</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3031" w:type="dxa"/>
            <w:vAlign w:val="center"/>
            <w:textDirection w:val="lrTb"/>
            <w:noWrap w:val="false"/>
          </w:tcPr>
          <w:p>
            <w:pPr>
              <w:ind w:left="0" w:right="0" w:firstLine="0"/>
              <w:jc w:val="lef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发现隐患未登记每项扣0.2分；应发现而未发现或未按期整改每项扣0.5分。</w:t>
            </w:r>
            <w:r/>
          </w:p>
        </w:tc>
        <w:tc>
          <w:tcPr>
            <w:tcBorders>
              <w:top w:val="single" w:color="auto" w:sz="4" w:space="0"/>
              <w:left w:val="single" w:color="auto" w:sz="4" w:space="0"/>
              <w:bottom w:val="none" w:color="000000" w:sz="4" w:space="0"/>
              <w:right w:val="single" w:color="auto" w:sz="12" w:space="0"/>
            </w:tcBorders>
            <w:tcMar>
              <w:left w:w="60" w:type="dxa"/>
              <w:top w:w="45" w:type="dxa"/>
              <w:right w:w="60" w:type="dxa"/>
              <w:bottom w:w="45" w:type="dxa"/>
            </w:tcMar>
            <w:tcW w:w="431" w:type="dxa"/>
            <w:vAlign w:val="center"/>
            <w:textDirection w:val="lrTb"/>
            <w:noWrap w:val="false"/>
          </w:tcPr>
          <w:p>
            <w:pPr>
              <w:ind w:left="0" w:right="0" w:firstLine="0"/>
              <w:jc w:val="righ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1</w:t>
            </w:r>
            <w:r/>
          </w:p>
        </w:tc>
      </w:tr>
      <w:tr>
        <w:trPr>
          <w:jc w:val="center"/>
          <w:trHeight w:val="0"/>
        </w:trPr>
        <w:tc>
          <w:tcPr>
            <w:tcBorders>
              <w:top w:val="single" w:color="auto" w:sz="4" w:space="0"/>
              <w:left w:val="single" w:color="auto" w:sz="12" w:space="0"/>
              <w:bottom w:val="none" w:color="000000" w:sz="4" w:space="0"/>
              <w:right w:val="none" w:color="000000" w:sz="4" w:space="0"/>
            </w:tcBorders>
            <w:tcMar>
              <w:left w:w="60" w:type="dxa"/>
              <w:top w:w="45" w:type="dxa"/>
              <w:right w:w="60" w:type="dxa"/>
              <w:bottom w:w="45" w:type="dxa"/>
            </w:tcMar>
            <w:tcW w:w="431" w:type="dxa"/>
            <w:vAlign w:val="center"/>
            <w:textDirection w:val="lrTb"/>
            <w:noWrap w:val="false"/>
          </w:tcPr>
          <w:p>
            <w:pPr>
              <w:ind w:left="0" w:right="0" w:firstLine="0"/>
              <w:jc w:val="center"/>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4.1</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1577" w:type="dxa"/>
            <w:vAlign w:val="center"/>
            <w:textDirection w:val="lrTb"/>
            <w:noWrap w:val="false"/>
          </w:tcPr>
          <w:p>
            <w:pPr>
              <w:ind w:left="0" w:right="0" w:firstLine="0"/>
              <w:jc w:val="center"/>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UPS及配电巡检维护</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3053" w:type="dxa"/>
            <w:vAlign w:val="center"/>
            <w:textDirection w:val="lrTb"/>
            <w:noWrap w:val="false"/>
          </w:tcPr>
          <w:p>
            <w:pPr>
              <w:ind w:left="0" w:right="0" w:firstLine="0"/>
              <w:jc w:val="lef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每日两次巡检：每天至少2次检查UPS主机、蓄电池组主控、精密配电柜电路及告警信息。</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3031" w:type="dxa"/>
            <w:vAlign w:val="center"/>
            <w:textDirection w:val="lrTb"/>
            <w:noWrap w:val="false"/>
          </w:tcPr>
          <w:p>
            <w:pPr>
              <w:ind w:left="0" w:right="0" w:firstLine="0"/>
              <w:jc w:val="lef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每少1次扣0.2分；连续漏检2次扣0.5分；漏检导致异常扩大每次扣1分。</w:t>
            </w:r>
            <w:r/>
          </w:p>
        </w:tc>
        <w:tc>
          <w:tcPr>
            <w:tcBorders>
              <w:top w:val="single" w:color="auto" w:sz="4" w:space="0"/>
              <w:left w:val="single" w:color="auto" w:sz="4" w:space="0"/>
              <w:bottom w:val="none" w:color="000000" w:sz="4" w:space="0"/>
              <w:right w:val="single" w:color="auto" w:sz="12" w:space="0"/>
            </w:tcBorders>
            <w:tcMar>
              <w:left w:w="60" w:type="dxa"/>
              <w:top w:w="45" w:type="dxa"/>
              <w:right w:w="60" w:type="dxa"/>
              <w:bottom w:w="45" w:type="dxa"/>
            </w:tcMar>
            <w:tcW w:w="431" w:type="dxa"/>
            <w:vAlign w:val="center"/>
            <w:textDirection w:val="lrTb"/>
            <w:noWrap w:val="false"/>
          </w:tcPr>
          <w:p>
            <w:pPr>
              <w:ind w:left="0" w:right="0" w:firstLine="0"/>
              <w:jc w:val="righ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3</w:t>
            </w:r>
            <w:r/>
          </w:p>
        </w:tc>
      </w:tr>
      <w:tr>
        <w:trPr>
          <w:jc w:val="center"/>
          <w:trHeight w:val="0"/>
        </w:trPr>
        <w:tc>
          <w:tcPr>
            <w:tcBorders>
              <w:top w:val="single" w:color="auto" w:sz="4" w:space="0"/>
              <w:left w:val="single" w:color="auto" w:sz="12" w:space="0"/>
              <w:bottom w:val="none" w:color="000000" w:sz="4" w:space="0"/>
              <w:right w:val="none" w:color="000000" w:sz="4" w:space="0"/>
            </w:tcBorders>
            <w:tcMar>
              <w:left w:w="60" w:type="dxa"/>
              <w:top w:w="45" w:type="dxa"/>
              <w:right w:w="60" w:type="dxa"/>
              <w:bottom w:w="45" w:type="dxa"/>
            </w:tcMar>
            <w:tcW w:w="431" w:type="dxa"/>
            <w:vAlign w:val="center"/>
            <w:textDirection w:val="lrTb"/>
            <w:noWrap w:val="false"/>
          </w:tcPr>
          <w:p>
            <w:pPr>
              <w:ind w:left="0" w:right="0" w:firstLine="0"/>
              <w:jc w:val="center"/>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4.2</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1577" w:type="dxa"/>
            <w:vAlign w:val="center"/>
            <w:textDirection w:val="lrTb"/>
            <w:noWrap w:val="false"/>
          </w:tcPr>
          <w:p>
            <w:pPr>
              <w:ind w:left="0" w:right="0" w:firstLine="0"/>
              <w:jc w:val="center"/>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UPS及配电巡检维护</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3053" w:type="dxa"/>
            <w:vAlign w:val="center"/>
            <w:textDirection w:val="lrTb"/>
            <w:noWrap w:val="false"/>
          </w:tcPr>
          <w:p>
            <w:pPr>
              <w:ind w:left="0" w:right="0" w:firstLine="0"/>
              <w:jc w:val="lef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UPS季度维护：每季度至少1次对2台UPS主机及逆变器电容进行维护保养，记录关键参数、告警及部件状态。</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3031" w:type="dxa"/>
            <w:vAlign w:val="center"/>
            <w:textDirection w:val="lrTb"/>
            <w:noWrap w:val="false"/>
          </w:tcPr>
          <w:p>
            <w:pPr>
              <w:ind w:left="0" w:right="0" w:firstLine="0"/>
              <w:jc w:val="lef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每漏1台扣1.5分；未记录关键参数扣0.5分；未发现明显老化、过热或鼓包隐患每项扣0.5分。</w:t>
            </w:r>
            <w:r/>
          </w:p>
        </w:tc>
        <w:tc>
          <w:tcPr>
            <w:tcBorders>
              <w:top w:val="single" w:color="auto" w:sz="4" w:space="0"/>
              <w:left w:val="single" w:color="auto" w:sz="4" w:space="0"/>
              <w:bottom w:val="none" w:color="000000" w:sz="4" w:space="0"/>
              <w:right w:val="single" w:color="auto" w:sz="12" w:space="0"/>
            </w:tcBorders>
            <w:tcMar>
              <w:left w:w="60" w:type="dxa"/>
              <w:top w:w="45" w:type="dxa"/>
              <w:right w:w="60" w:type="dxa"/>
              <w:bottom w:w="45" w:type="dxa"/>
            </w:tcMar>
            <w:tcW w:w="431" w:type="dxa"/>
            <w:vAlign w:val="center"/>
            <w:textDirection w:val="lrTb"/>
            <w:noWrap w:val="false"/>
          </w:tcPr>
          <w:p>
            <w:pPr>
              <w:ind w:left="0" w:right="0" w:firstLine="0"/>
              <w:jc w:val="righ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3</w:t>
            </w:r>
            <w:r/>
          </w:p>
        </w:tc>
      </w:tr>
      <w:tr>
        <w:trPr>
          <w:jc w:val="center"/>
          <w:trHeight w:val="0"/>
        </w:trPr>
        <w:tc>
          <w:tcPr>
            <w:tcBorders>
              <w:top w:val="single" w:color="auto" w:sz="4" w:space="0"/>
              <w:left w:val="single" w:color="auto" w:sz="12" w:space="0"/>
              <w:bottom w:val="none" w:color="000000" w:sz="4" w:space="0"/>
              <w:right w:val="none" w:color="000000" w:sz="4" w:space="0"/>
            </w:tcBorders>
            <w:tcMar>
              <w:left w:w="60" w:type="dxa"/>
              <w:top w:w="45" w:type="dxa"/>
              <w:right w:w="60" w:type="dxa"/>
              <w:bottom w:w="45" w:type="dxa"/>
            </w:tcMar>
            <w:tcW w:w="431" w:type="dxa"/>
            <w:vAlign w:val="center"/>
            <w:textDirection w:val="lrTb"/>
            <w:noWrap w:val="false"/>
          </w:tcPr>
          <w:p>
            <w:pPr>
              <w:ind w:left="0" w:right="0" w:firstLine="0"/>
              <w:jc w:val="center"/>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4.3</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1577" w:type="dxa"/>
            <w:vAlign w:val="center"/>
            <w:textDirection w:val="lrTb"/>
            <w:noWrap w:val="false"/>
          </w:tcPr>
          <w:p>
            <w:pPr>
              <w:ind w:left="0" w:right="0" w:firstLine="0"/>
              <w:jc w:val="center"/>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UPS及配电巡检维护</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3053" w:type="dxa"/>
            <w:vAlign w:val="center"/>
            <w:textDirection w:val="lrTb"/>
            <w:noWrap w:val="false"/>
          </w:tcPr>
          <w:p>
            <w:pPr>
              <w:ind w:left="0" w:right="0" w:firstLine="0"/>
              <w:jc w:val="lef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配电柜季度清灰：每季度至少1次对ATS、UPS输入/输出、空调及电源列头柜进行停送电风险评估、检查和清灰。</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3031" w:type="dxa"/>
            <w:vAlign w:val="center"/>
            <w:textDirection w:val="lrTb"/>
            <w:noWrap w:val="false"/>
          </w:tcPr>
          <w:p>
            <w:pPr>
              <w:ind w:left="0" w:right="0" w:firstLine="0"/>
              <w:jc w:val="lef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每漏1面柜扣0.2分；无审批或安全措施扣1分；清灰后端子松动、误告警每处扣0.5分。</w:t>
            </w:r>
            <w:r/>
          </w:p>
        </w:tc>
        <w:tc>
          <w:tcPr>
            <w:tcBorders>
              <w:top w:val="single" w:color="auto" w:sz="4" w:space="0"/>
              <w:left w:val="single" w:color="auto" w:sz="4" w:space="0"/>
              <w:bottom w:val="none" w:color="000000" w:sz="4" w:space="0"/>
              <w:right w:val="single" w:color="auto" w:sz="12" w:space="0"/>
            </w:tcBorders>
            <w:tcMar>
              <w:left w:w="60" w:type="dxa"/>
              <w:top w:w="45" w:type="dxa"/>
              <w:right w:w="60" w:type="dxa"/>
              <w:bottom w:w="45" w:type="dxa"/>
            </w:tcMar>
            <w:tcW w:w="431" w:type="dxa"/>
            <w:vAlign w:val="center"/>
            <w:textDirection w:val="lrTb"/>
            <w:noWrap w:val="false"/>
          </w:tcPr>
          <w:p>
            <w:pPr>
              <w:ind w:left="0" w:right="0" w:firstLine="0"/>
              <w:jc w:val="righ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2</w:t>
            </w:r>
            <w:r/>
          </w:p>
        </w:tc>
      </w:tr>
      <w:tr>
        <w:trPr>
          <w:jc w:val="center"/>
          <w:trHeight w:val="0"/>
        </w:trPr>
        <w:tc>
          <w:tcPr>
            <w:tcBorders>
              <w:top w:val="single" w:color="auto" w:sz="4" w:space="0"/>
              <w:left w:val="single" w:color="auto" w:sz="12" w:space="0"/>
              <w:bottom w:val="none" w:color="000000" w:sz="4" w:space="0"/>
              <w:right w:val="none" w:color="000000" w:sz="4" w:space="0"/>
            </w:tcBorders>
            <w:tcMar>
              <w:left w:w="60" w:type="dxa"/>
              <w:top w:w="45" w:type="dxa"/>
              <w:right w:w="60" w:type="dxa"/>
              <w:bottom w:w="45" w:type="dxa"/>
            </w:tcMar>
            <w:tcW w:w="431" w:type="dxa"/>
            <w:vAlign w:val="center"/>
            <w:textDirection w:val="lrTb"/>
            <w:noWrap w:val="false"/>
          </w:tcPr>
          <w:p>
            <w:pPr>
              <w:ind w:left="0" w:right="0" w:firstLine="0"/>
              <w:jc w:val="center"/>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4.4</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1577" w:type="dxa"/>
            <w:vAlign w:val="center"/>
            <w:textDirection w:val="lrTb"/>
            <w:noWrap w:val="false"/>
          </w:tcPr>
          <w:p>
            <w:pPr>
              <w:ind w:left="0" w:right="0" w:firstLine="0"/>
              <w:jc w:val="center"/>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UPS及配电巡检维护</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3053" w:type="dxa"/>
            <w:vAlign w:val="center"/>
            <w:textDirection w:val="lrTb"/>
            <w:noWrap w:val="false"/>
          </w:tcPr>
          <w:p>
            <w:pPr>
              <w:ind w:left="0" w:right="0" w:firstLine="0"/>
              <w:jc w:val="lef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UPS过滤网更换：按季度完成2台UPS过滤网更换，规格、风阻及阻燃性能符合原设备要求。</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3031" w:type="dxa"/>
            <w:vAlign w:val="center"/>
            <w:textDirection w:val="lrTb"/>
            <w:noWrap w:val="false"/>
          </w:tcPr>
          <w:p>
            <w:pPr>
              <w:ind w:left="0" w:right="0" w:firstLine="0"/>
              <w:jc w:val="lef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每少更换1套扣1分；使用不合格或旧件每套扣1分；未形成记录扣0.5分。</w:t>
            </w:r>
            <w:r/>
          </w:p>
        </w:tc>
        <w:tc>
          <w:tcPr>
            <w:tcBorders>
              <w:top w:val="single" w:color="auto" w:sz="4" w:space="0"/>
              <w:left w:val="single" w:color="auto" w:sz="4" w:space="0"/>
              <w:bottom w:val="none" w:color="000000" w:sz="4" w:space="0"/>
              <w:right w:val="single" w:color="auto" w:sz="12" w:space="0"/>
            </w:tcBorders>
            <w:tcMar>
              <w:left w:w="60" w:type="dxa"/>
              <w:top w:w="45" w:type="dxa"/>
              <w:right w:w="60" w:type="dxa"/>
              <w:bottom w:w="45" w:type="dxa"/>
            </w:tcMar>
            <w:tcW w:w="431" w:type="dxa"/>
            <w:vAlign w:val="center"/>
            <w:textDirection w:val="lrTb"/>
            <w:noWrap w:val="false"/>
          </w:tcPr>
          <w:p>
            <w:pPr>
              <w:ind w:left="0" w:right="0" w:firstLine="0"/>
              <w:jc w:val="righ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2</w:t>
            </w:r>
            <w:r/>
          </w:p>
        </w:tc>
      </w:tr>
      <w:tr>
        <w:trPr>
          <w:jc w:val="center"/>
          <w:trHeight w:val="0"/>
        </w:trPr>
        <w:tc>
          <w:tcPr>
            <w:tcBorders>
              <w:top w:val="single" w:color="auto" w:sz="4" w:space="0"/>
              <w:left w:val="single" w:color="auto" w:sz="12" w:space="0"/>
              <w:bottom w:val="none" w:color="000000" w:sz="4" w:space="0"/>
              <w:right w:val="none" w:color="000000" w:sz="4" w:space="0"/>
            </w:tcBorders>
            <w:tcMar>
              <w:left w:w="60" w:type="dxa"/>
              <w:top w:w="45" w:type="dxa"/>
              <w:right w:w="60" w:type="dxa"/>
              <w:bottom w:w="45" w:type="dxa"/>
            </w:tcMar>
            <w:tcW w:w="431" w:type="dxa"/>
            <w:vAlign w:val="center"/>
            <w:textDirection w:val="lrTb"/>
            <w:noWrap w:val="false"/>
          </w:tcPr>
          <w:p>
            <w:pPr>
              <w:ind w:left="0" w:right="0" w:firstLine="0"/>
              <w:jc w:val="center"/>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4.5</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1577" w:type="dxa"/>
            <w:vAlign w:val="center"/>
            <w:textDirection w:val="lrTb"/>
            <w:noWrap w:val="false"/>
          </w:tcPr>
          <w:p>
            <w:pPr>
              <w:ind w:left="0" w:right="0" w:firstLine="0"/>
              <w:jc w:val="center"/>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UPS及配电巡检维护</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3053" w:type="dxa"/>
            <w:vAlign w:val="center"/>
            <w:textDirection w:val="lrTb"/>
            <w:noWrap w:val="false"/>
          </w:tcPr>
          <w:p>
            <w:pPr>
              <w:ind w:left="0" w:right="0" w:firstLine="0"/>
              <w:jc w:val="lef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蓄电池监控检查：检查蓄电池监测主机、采集模块、单体电压、温度、内阻趋势和通信告警，异常及时复核。</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3031" w:type="dxa"/>
            <w:vAlign w:val="center"/>
            <w:textDirection w:val="lrTb"/>
            <w:noWrap w:val="false"/>
          </w:tcPr>
          <w:p>
            <w:pPr>
              <w:ind w:left="0" w:right="0" w:firstLine="0"/>
              <w:jc w:val="lef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未按季度形成趋势分析扣0.5分；异常单体未复测、未报告每节扣0.2分；监控离线未处置每次扣0.5分。</w:t>
            </w:r>
            <w:r/>
          </w:p>
        </w:tc>
        <w:tc>
          <w:tcPr>
            <w:tcBorders>
              <w:top w:val="single" w:color="auto" w:sz="4" w:space="0"/>
              <w:left w:val="single" w:color="auto" w:sz="4" w:space="0"/>
              <w:bottom w:val="none" w:color="000000" w:sz="4" w:space="0"/>
              <w:right w:val="single" w:color="auto" w:sz="12" w:space="0"/>
            </w:tcBorders>
            <w:tcMar>
              <w:left w:w="60" w:type="dxa"/>
              <w:top w:w="45" w:type="dxa"/>
              <w:right w:w="60" w:type="dxa"/>
              <w:bottom w:w="45" w:type="dxa"/>
            </w:tcMar>
            <w:tcW w:w="431" w:type="dxa"/>
            <w:vAlign w:val="center"/>
            <w:textDirection w:val="lrTb"/>
            <w:noWrap w:val="false"/>
          </w:tcPr>
          <w:p>
            <w:pPr>
              <w:ind w:left="0" w:right="0" w:firstLine="0"/>
              <w:jc w:val="righ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2</w:t>
            </w:r>
            <w:r/>
          </w:p>
        </w:tc>
      </w:tr>
      <w:tr>
        <w:trPr>
          <w:jc w:val="center"/>
          <w:trHeight w:val="0"/>
        </w:trPr>
        <w:tc>
          <w:tcPr>
            <w:tcBorders>
              <w:top w:val="single" w:color="auto" w:sz="4" w:space="0"/>
              <w:left w:val="single" w:color="auto" w:sz="12" w:space="0"/>
              <w:bottom w:val="none" w:color="000000" w:sz="4" w:space="0"/>
              <w:right w:val="none" w:color="000000" w:sz="4" w:space="0"/>
            </w:tcBorders>
            <w:tcMar>
              <w:left w:w="60" w:type="dxa"/>
              <w:top w:w="45" w:type="dxa"/>
              <w:right w:w="60" w:type="dxa"/>
              <w:bottom w:w="45" w:type="dxa"/>
            </w:tcMar>
            <w:tcW w:w="431" w:type="dxa"/>
            <w:vAlign w:val="center"/>
            <w:textDirection w:val="lrTb"/>
            <w:noWrap w:val="false"/>
          </w:tcPr>
          <w:p>
            <w:pPr>
              <w:ind w:left="0" w:right="0" w:firstLine="0"/>
              <w:jc w:val="center"/>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4.6</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1577" w:type="dxa"/>
            <w:vAlign w:val="center"/>
            <w:textDirection w:val="lrTb"/>
            <w:noWrap w:val="false"/>
          </w:tcPr>
          <w:p>
            <w:pPr>
              <w:ind w:left="0" w:right="0" w:firstLine="0"/>
              <w:jc w:val="center"/>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UPS及配电巡检维护</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3053" w:type="dxa"/>
            <w:vAlign w:val="center"/>
            <w:textDirection w:val="lrTb"/>
            <w:noWrap w:val="false"/>
          </w:tcPr>
          <w:p>
            <w:pPr>
              <w:ind w:left="0" w:right="0" w:firstLine="0"/>
              <w:jc w:val="lef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电气安全与参数核验：执行操作票、挂牌、验电、绝缘防护和双人复核，核验电压、电流、负载及保护装置。</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3031" w:type="dxa"/>
            <w:vAlign w:val="center"/>
            <w:textDirection w:val="lrTb"/>
            <w:noWrap w:val="false"/>
          </w:tcPr>
          <w:p>
            <w:pPr>
              <w:ind w:left="0" w:right="0" w:firstLine="0"/>
              <w:jc w:val="lef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每发现1项一般违规扣0.5分；无审批擅自操作、误停电或形成重大风险扣2分并按严重违约处理。</w:t>
            </w:r>
            <w:r/>
          </w:p>
        </w:tc>
        <w:tc>
          <w:tcPr>
            <w:tcBorders>
              <w:top w:val="single" w:color="auto" w:sz="4" w:space="0"/>
              <w:left w:val="single" w:color="auto" w:sz="4" w:space="0"/>
              <w:bottom w:val="none" w:color="000000" w:sz="4" w:space="0"/>
              <w:right w:val="single" w:color="auto" w:sz="12" w:space="0"/>
            </w:tcBorders>
            <w:tcMar>
              <w:left w:w="60" w:type="dxa"/>
              <w:top w:w="45" w:type="dxa"/>
              <w:right w:w="60" w:type="dxa"/>
              <w:bottom w:w="45" w:type="dxa"/>
            </w:tcMar>
            <w:tcW w:w="431" w:type="dxa"/>
            <w:vAlign w:val="center"/>
            <w:textDirection w:val="lrTb"/>
            <w:noWrap w:val="false"/>
          </w:tcPr>
          <w:p>
            <w:pPr>
              <w:ind w:left="0" w:right="0" w:firstLine="0"/>
              <w:jc w:val="righ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2</w:t>
            </w:r>
            <w:r/>
          </w:p>
        </w:tc>
      </w:tr>
      <w:tr>
        <w:trPr>
          <w:jc w:val="center"/>
          <w:trHeight w:val="0"/>
        </w:trPr>
        <w:tc>
          <w:tcPr>
            <w:tcBorders>
              <w:top w:val="single" w:color="auto" w:sz="4" w:space="0"/>
              <w:left w:val="single" w:color="auto" w:sz="12" w:space="0"/>
              <w:bottom w:val="none" w:color="000000" w:sz="4" w:space="0"/>
              <w:right w:val="none" w:color="000000" w:sz="4" w:space="0"/>
            </w:tcBorders>
            <w:tcMar>
              <w:left w:w="60" w:type="dxa"/>
              <w:top w:w="45" w:type="dxa"/>
              <w:right w:w="60" w:type="dxa"/>
              <w:bottom w:w="45" w:type="dxa"/>
            </w:tcMar>
            <w:tcW w:w="431" w:type="dxa"/>
            <w:vAlign w:val="center"/>
            <w:textDirection w:val="lrTb"/>
            <w:noWrap w:val="false"/>
          </w:tcPr>
          <w:p>
            <w:pPr>
              <w:ind w:left="0" w:right="0" w:firstLine="0"/>
              <w:jc w:val="center"/>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5.1</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1577" w:type="dxa"/>
            <w:vAlign w:val="center"/>
            <w:textDirection w:val="lrTb"/>
            <w:noWrap w:val="false"/>
          </w:tcPr>
          <w:p>
            <w:pPr>
              <w:ind w:left="0" w:right="0" w:firstLine="0"/>
              <w:jc w:val="center"/>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故障及应急服务</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3053" w:type="dxa"/>
            <w:vAlign w:val="center"/>
            <w:textDirection w:val="lrTb"/>
            <w:noWrap w:val="false"/>
          </w:tcPr>
          <w:p>
            <w:pPr>
              <w:ind w:left="0" w:right="0" w:firstLine="0"/>
              <w:jc w:val="lef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报障受理：Ⅰ、Ⅱ级故障5分钟内响应，Ⅲ级故障10分钟内响应，准确登记报障时间、影响和联系人。</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3031" w:type="dxa"/>
            <w:vAlign w:val="center"/>
            <w:textDirection w:val="lrTb"/>
            <w:noWrap w:val="false"/>
          </w:tcPr>
          <w:p>
            <w:pPr>
              <w:ind w:left="0" w:right="0" w:firstLine="0"/>
              <w:jc w:val="lef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每延迟5分钟扣0.5分；未登记或信息明显错误每次扣0.5分；故意修改时间记录一票否决。</w:t>
            </w:r>
            <w:r/>
          </w:p>
        </w:tc>
        <w:tc>
          <w:tcPr>
            <w:tcBorders>
              <w:top w:val="single" w:color="auto" w:sz="4" w:space="0"/>
              <w:left w:val="single" w:color="auto" w:sz="4" w:space="0"/>
              <w:bottom w:val="none" w:color="000000" w:sz="4" w:space="0"/>
              <w:right w:val="single" w:color="auto" w:sz="12" w:space="0"/>
            </w:tcBorders>
            <w:tcMar>
              <w:left w:w="60" w:type="dxa"/>
              <w:top w:w="45" w:type="dxa"/>
              <w:right w:w="60" w:type="dxa"/>
              <w:bottom w:w="45" w:type="dxa"/>
            </w:tcMar>
            <w:tcW w:w="431" w:type="dxa"/>
            <w:vAlign w:val="center"/>
            <w:textDirection w:val="lrTb"/>
            <w:noWrap w:val="false"/>
          </w:tcPr>
          <w:p>
            <w:pPr>
              <w:ind w:left="0" w:right="0" w:firstLine="0"/>
              <w:jc w:val="righ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2</w:t>
            </w:r>
            <w:r/>
          </w:p>
        </w:tc>
      </w:tr>
      <w:tr>
        <w:trPr>
          <w:jc w:val="center"/>
          <w:trHeight w:val="0"/>
        </w:trPr>
        <w:tc>
          <w:tcPr>
            <w:tcBorders>
              <w:top w:val="single" w:color="auto" w:sz="4" w:space="0"/>
              <w:left w:val="single" w:color="auto" w:sz="12" w:space="0"/>
              <w:bottom w:val="none" w:color="000000" w:sz="4" w:space="0"/>
              <w:right w:val="none" w:color="000000" w:sz="4" w:space="0"/>
            </w:tcBorders>
            <w:tcMar>
              <w:left w:w="60" w:type="dxa"/>
              <w:top w:w="45" w:type="dxa"/>
              <w:right w:w="60" w:type="dxa"/>
              <w:bottom w:w="45" w:type="dxa"/>
            </w:tcMar>
            <w:tcW w:w="431" w:type="dxa"/>
            <w:vAlign w:val="center"/>
            <w:textDirection w:val="lrTb"/>
            <w:noWrap w:val="false"/>
          </w:tcPr>
          <w:p>
            <w:pPr>
              <w:ind w:left="0" w:right="0" w:firstLine="0"/>
              <w:jc w:val="center"/>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5.2</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1577" w:type="dxa"/>
            <w:vAlign w:val="center"/>
            <w:textDirection w:val="lrTb"/>
            <w:noWrap w:val="false"/>
          </w:tcPr>
          <w:p>
            <w:pPr>
              <w:ind w:left="0" w:right="0" w:firstLine="0"/>
              <w:jc w:val="center"/>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故障及应急服务</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3053" w:type="dxa"/>
            <w:vAlign w:val="center"/>
            <w:textDirection w:val="lrTb"/>
            <w:noWrap w:val="false"/>
          </w:tcPr>
          <w:p>
            <w:pPr>
              <w:ind w:left="0" w:right="0" w:firstLine="0"/>
              <w:jc w:val="lef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到场时限：工作日0.5小时内到场，非工作日1小时内到场；到场时间以门禁、定位、签字或甲方记录为准。</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3031" w:type="dxa"/>
            <w:vAlign w:val="center"/>
            <w:textDirection w:val="lrTb"/>
            <w:noWrap w:val="false"/>
          </w:tcPr>
          <w:p>
            <w:pPr>
              <w:ind w:left="0" w:right="0" w:firstLine="0"/>
              <w:jc w:val="lef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每迟到10分钟扣0.5分；超过规定时限2倍每次本项直接扣2分并另行专项扣款；未到场本项扣完。</w:t>
            </w:r>
            <w:r/>
          </w:p>
        </w:tc>
        <w:tc>
          <w:tcPr>
            <w:tcBorders>
              <w:top w:val="single" w:color="auto" w:sz="4" w:space="0"/>
              <w:left w:val="single" w:color="auto" w:sz="4" w:space="0"/>
              <w:bottom w:val="none" w:color="000000" w:sz="4" w:space="0"/>
              <w:right w:val="single" w:color="auto" w:sz="12" w:space="0"/>
            </w:tcBorders>
            <w:tcMar>
              <w:left w:w="60" w:type="dxa"/>
              <w:top w:w="45" w:type="dxa"/>
              <w:right w:w="60" w:type="dxa"/>
              <w:bottom w:w="45" w:type="dxa"/>
            </w:tcMar>
            <w:tcW w:w="431" w:type="dxa"/>
            <w:vAlign w:val="center"/>
            <w:textDirection w:val="lrTb"/>
            <w:noWrap w:val="false"/>
          </w:tcPr>
          <w:p>
            <w:pPr>
              <w:ind w:left="0" w:right="0" w:firstLine="0"/>
              <w:jc w:val="righ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5</w:t>
            </w:r>
            <w:r/>
          </w:p>
        </w:tc>
      </w:tr>
      <w:tr>
        <w:trPr>
          <w:jc w:val="center"/>
          <w:trHeight w:val="0"/>
        </w:trPr>
        <w:tc>
          <w:tcPr>
            <w:tcBorders>
              <w:top w:val="single" w:color="auto" w:sz="4" w:space="0"/>
              <w:left w:val="single" w:color="auto" w:sz="12" w:space="0"/>
              <w:bottom w:val="none" w:color="000000" w:sz="4" w:space="0"/>
              <w:right w:val="none" w:color="000000" w:sz="4" w:space="0"/>
            </w:tcBorders>
            <w:tcMar>
              <w:left w:w="60" w:type="dxa"/>
              <w:top w:w="45" w:type="dxa"/>
              <w:right w:w="60" w:type="dxa"/>
              <w:bottom w:w="45" w:type="dxa"/>
            </w:tcMar>
            <w:tcW w:w="431" w:type="dxa"/>
            <w:vAlign w:val="center"/>
            <w:textDirection w:val="lrTb"/>
            <w:noWrap w:val="false"/>
          </w:tcPr>
          <w:p>
            <w:pPr>
              <w:ind w:left="0" w:right="0" w:firstLine="0"/>
              <w:jc w:val="center"/>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5.3</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1577" w:type="dxa"/>
            <w:vAlign w:val="center"/>
            <w:textDirection w:val="lrTb"/>
            <w:noWrap w:val="false"/>
          </w:tcPr>
          <w:p>
            <w:pPr>
              <w:ind w:left="0" w:right="0" w:firstLine="0"/>
              <w:jc w:val="center"/>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故障及应急服务</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3053" w:type="dxa"/>
            <w:vAlign w:val="center"/>
            <w:textDirection w:val="lrTb"/>
            <w:noWrap w:val="false"/>
          </w:tcPr>
          <w:p>
            <w:pPr>
              <w:ind w:left="0" w:right="0" w:firstLine="0"/>
              <w:jc w:val="lef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诊断、升级与方案：到场后迅速定位故障；Ⅰ级立即升级项目负责人、技术负责人及甲方；需停机或更换设备的先提交方案。</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3031" w:type="dxa"/>
            <w:vAlign w:val="center"/>
            <w:textDirection w:val="lrTb"/>
            <w:noWrap w:val="false"/>
          </w:tcPr>
          <w:p>
            <w:pPr>
              <w:ind w:left="0" w:right="0" w:firstLine="0"/>
              <w:jc w:val="lef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诊断明显迟延每次扣0.5分；未升级报告扣1分；未经同意停机、拆机或变更每次扣1分。</w:t>
            </w:r>
            <w:r/>
          </w:p>
        </w:tc>
        <w:tc>
          <w:tcPr>
            <w:tcBorders>
              <w:top w:val="single" w:color="auto" w:sz="4" w:space="0"/>
              <w:left w:val="single" w:color="auto" w:sz="4" w:space="0"/>
              <w:bottom w:val="none" w:color="000000" w:sz="4" w:space="0"/>
              <w:right w:val="single" w:color="auto" w:sz="12" w:space="0"/>
            </w:tcBorders>
            <w:tcMar>
              <w:left w:w="60" w:type="dxa"/>
              <w:top w:w="45" w:type="dxa"/>
              <w:right w:w="60" w:type="dxa"/>
              <w:bottom w:w="45" w:type="dxa"/>
            </w:tcMar>
            <w:tcW w:w="431" w:type="dxa"/>
            <w:vAlign w:val="center"/>
            <w:textDirection w:val="lrTb"/>
            <w:noWrap w:val="false"/>
          </w:tcPr>
          <w:p>
            <w:pPr>
              <w:ind w:left="0" w:right="0" w:firstLine="0"/>
              <w:jc w:val="righ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2</w:t>
            </w:r>
            <w:r/>
          </w:p>
        </w:tc>
      </w:tr>
      <w:tr>
        <w:trPr>
          <w:jc w:val="center"/>
          <w:trHeight w:val="0"/>
        </w:trPr>
        <w:tc>
          <w:tcPr>
            <w:tcBorders>
              <w:top w:val="single" w:color="auto" w:sz="4" w:space="0"/>
              <w:left w:val="single" w:color="auto" w:sz="12" w:space="0"/>
              <w:bottom w:val="none" w:color="000000" w:sz="4" w:space="0"/>
              <w:right w:val="none" w:color="000000" w:sz="4" w:space="0"/>
            </w:tcBorders>
            <w:tcMar>
              <w:left w:w="60" w:type="dxa"/>
              <w:top w:w="45" w:type="dxa"/>
              <w:right w:w="60" w:type="dxa"/>
              <w:bottom w:w="45" w:type="dxa"/>
            </w:tcMar>
            <w:tcW w:w="431" w:type="dxa"/>
            <w:vAlign w:val="center"/>
            <w:textDirection w:val="lrTb"/>
            <w:noWrap w:val="false"/>
          </w:tcPr>
          <w:p>
            <w:pPr>
              <w:ind w:left="0" w:right="0" w:firstLine="0"/>
              <w:jc w:val="center"/>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5.4</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1577" w:type="dxa"/>
            <w:vAlign w:val="center"/>
            <w:textDirection w:val="lrTb"/>
            <w:noWrap w:val="false"/>
          </w:tcPr>
          <w:p>
            <w:pPr>
              <w:ind w:left="0" w:right="0" w:firstLine="0"/>
              <w:jc w:val="center"/>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故障及应急服务</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3053" w:type="dxa"/>
            <w:vAlign w:val="center"/>
            <w:textDirection w:val="lrTb"/>
            <w:noWrap w:val="false"/>
          </w:tcPr>
          <w:p>
            <w:pPr>
              <w:ind w:left="0" w:right="0" w:firstLine="0"/>
              <w:jc w:val="lef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恢复与修复时限：优先在4小时内恢复主要功能或提供临时代用方案，原则上24小时内完成维护或故障排除。</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3031" w:type="dxa"/>
            <w:vAlign w:val="center"/>
            <w:textDirection w:val="lrTb"/>
            <w:noWrap w:val="false"/>
          </w:tcPr>
          <w:p>
            <w:pPr>
              <w:ind w:left="0" w:right="0" w:firstLine="0"/>
              <w:jc w:val="lef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4小时内无临时方案每次扣1分；超过24小时每延迟1小时扣1分；未持续处置或擅自撤离每次扣1分；本项扣完后仍可专项扣款。</w:t>
            </w:r>
            <w:r/>
          </w:p>
        </w:tc>
        <w:tc>
          <w:tcPr>
            <w:tcBorders>
              <w:top w:val="single" w:color="auto" w:sz="4" w:space="0"/>
              <w:left w:val="single" w:color="auto" w:sz="4" w:space="0"/>
              <w:bottom w:val="none" w:color="000000" w:sz="4" w:space="0"/>
              <w:right w:val="single" w:color="auto" w:sz="12" w:space="0"/>
            </w:tcBorders>
            <w:tcMar>
              <w:left w:w="60" w:type="dxa"/>
              <w:top w:w="45" w:type="dxa"/>
              <w:right w:w="60" w:type="dxa"/>
              <w:bottom w:w="45" w:type="dxa"/>
            </w:tcMar>
            <w:tcW w:w="431" w:type="dxa"/>
            <w:vAlign w:val="center"/>
            <w:textDirection w:val="lrTb"/>
            <w:noWrap w:val="false"/>
          </w:tcPr>
          <w:p>
            <w:pPr>
              <w:ind w:left="0" w:right="0" w:firstLine="0"/>
              <w:jc w:val="righ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5</w:t>
            </w:r>
            <w:r/>
          </w:p>
        </w:tc>
      </w:tr>
      <w:tr>
        <w:trPr>
          <w:jc w:val="center"/>
          <w:trHeight w:val="0"/>
        </w:trPr>
        <w:tc>
          <w:tcPr>
            <w:tcBorders>
              <w:top w:val="single" w:color="auto" w:sz="4" w:space="0"/>
              <w:left w:val="single" w:color="auto" w:sz="12" w:space="0"/>
              <w:bottom w:val="none" w:color="000000" w:sz="4" w:space="0"/>
              <w:right w:val="none" w:color="000000" w:sz="4" w:space="0"/>
            </w:tcBorders>
            <w:tcMar>
              <w:left w:w="60" w:type="dxa"/>
              <w:top w:w="45" w:type="dxa"/>
              <w:right w:w="60" w:type="dxa"/>
              <w:bottom w:w="45" w:type="dxa"/>
            </w:tcMar>
            <w:tcW w:w="431" w:type="dxa"/>
            <w:vAlign w:val="center"/>
            <w:textDirection w:val="lrTb"/>
            <w:noWrap w:val="false"/>
          </w:tcPr>
          <w:p>
            <w:pPr>
              <w:ind w:left="0" w:right="0" w:firstLine="0"/>
              <w:jc w:val="center"/>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5.5</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1577" w:type="dxa"/>
            <w:vAlign w:val="center"/>
            <w:textDirection w:val="lrTb"/>
            <w:noWrap w:val="false"/>
          </w:tcPr>
          <w:p>
            <w:pPr>
              <w:ind w:left="0" w:right="0" w:firstLine="0"/>
              <w:jc w:val="center"/>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故障及应急服务</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3053" w:type="dxa"/>
            <w:vAlign w:val="center"/>
            <w:textDirection w:val="lrTb"/>
            <w:noWrap w:val="false"/>
          </w:tcPr>
          <w:p>
            <w:pPr>
              <w:ind w:left="0" w:right="0" w:firstLine="0"/>
              <w:jc w:val="lef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备件和临时代用：现场不能修复时立即提供同档次或更高档次且兼容的备件、模块或临时代用设备。</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3031" w:type="dxa"/>
            <w:vAlign w:val="center"/>
            <w:textDirection w:val="lrTb"/>
            <w:noWrap w:val="false"/>
          </w:tcPr>
          <w:p>
            <w:pPr>
              <w:ind w:left="0" w:right="0" w:firstLine="0"/>
              <w:jc w:val="lef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应提供而未提供每次扣1分；因备件不足延误修复每次扣2分；使用低参数、不兼容或翻新件一票否决。</w:t>
            </w:r>
            <w:r/>
          </w:p>
        </w:tc>
        <w:tc>
          <w:tcPr>
            <w:tcBorders>
              <w:top w:val="single" w:color="auto" w:sz="4" w:space="0"/>
              <w:left w:val="single" w:color="auto" w:sz="4" w:space="0"/>
              <w:bottom w:val="none" w:color="000000" w:sz="4" w:space="0"/>
              <w:right w:val="single" w:color="auto" w:sz="12" w:space="0"/>
            </w:tcBorders>
            <w:tcMar>
              <w:left w:w="60" w:type="dxa"/>
              <w:top w:w="45" w:type="dxa"/>
              <w:right w:w="60" w:type="dxa"/>
              <w:bottom w:w="45" w:type="dxa"/>
            </w:tcMar>
            <w:tcW w:w="431" w:type="dxa"/>
            <w:vAlign w:val="center"/>
            <w:textDirection w:val="lrTb"/>
            <w:noWrap w:val="false"/>
          </w:tcPr>
          <w:p>
            <w:pPr>
              <w:ind w:left="0" w:right="0" w:firstLine="0"/>
              <w:jc w:val="righ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2</w:t>
            </w:r>
            <w:r/>
          </w:p>
        </w:tc>
      </w:tr>
      <w:tr>
        <w:trPr>
          <w:jc w:val="center"/>
          <w:trHeight w:val="0"/>
        </w:trPr>
        <w:tc>
          <w:tcPr>
            <w:tcBorders>
              <w:top w:val="single" w:color="auto" w:sz="4" w:space="0"/>
              <w:left w:val="single" w:color="auto" w:sz="12" w:space="0"/>
              <w:bottom w:val="none" w:color="000000" w:sz="4" w:space="0"/>
              <w:right w:val="none" w:color="000000" w:sz="4" w:space="0"/>
            </w:tcBorders>
            <w:tcMar>
              <w:left w:w="60" w:type="dxa"/>
              <w:top w:w="45" w:type="dxa"/>
              <w:right w:w="60" w:type="dxa"/>
              <w:bottom w:w="45" w:type="dxa"/>
            </w:tcMar>
            <w:tcW w:w="431" w:type="dxa"/>
            <w:vAlign w:val="center"/>
            <w:textDirection w:val="lrTb"/>
            <w:noWrap w:val="false"/>
          </w:tcPr>
          <w:p>
            <w:pPr>
              <w:ind w:left="0" w:right="0" w:firstLine="0"/>
              <w:jc w:val="center"/>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5.6</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1577" w:type="dxa"/>
            <w:vAlign w:val="center"/>
            <w:textDirection w:val="lrTb"/>
            <w:noWrap w:val="false"/>
          </w:tcPr>
          <w:p>
            <w:pPr>
              <w:ind w:left="0" w:right="0" w:firstLine="0"/>
              <w:jc w:val="center"/>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故障及应急服务</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3053" w:type="dxa"/>
            <w:vAlign w:val="center"/>
            <w:textDirection w:val="lrTb"/>
            <w:noWrap w:val="false"/>
          </w:tcPr>
          <w:p>
            <w:pPr>
              <w:ind w:left="0" w:right="0" w:firstLine="0"/>
              <w:jc w:val="lef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维修质量与重复故障：修复后完成检测、观察、用户确认和原因分析；同一原因故障不得反复发生。</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3031" w:type="dxa"/>
            <w:vAlign w:val="center"/>
            <w:textDirection w:val="lrTb"/>
            <w:noWrap w:val="false"/>
          </w:tcPr>
          <w:p>
            <w:pPr>
              <w:ind w:left="0" w:right="0" w:firstLine="0"/>
              <w:jc w:val="lef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修复后未测试或未确认每次扣0.5分；30日内同一原因重复故障每次扣1分；返修造成扩大损失另行追责。</w:t>
            </w:r>
            <w:r/>
          </w:p>
        </w:tc>
        <w:tc>
          <w:tcPr>
            <w:tcBorders>
              <w:top w:val="single" w:color="auto" w:sz="4" w:space="0"/>
              <w:left w:val="single" w:color="auto" w:sz="4" w:space="0"/>
              <w:bottom w:val="none" w:color="000000" w:sz="4" w:space="0"/>
              <w:right w:val="single" w:color="auto" w:sz="12" w:space="0"/>
            </w:tcBorders>
            <w:tcMar>
              <w:left w:w="60" w:type="dxa"/>
              <w:top w:w="45" w:type="dxa"/>
              <w:right w:w="60" w:type="dxa"/>
              <w:bottom w:w="45" w:type="dxa"/>
            </w:tcMar>
            <w:tcW w:w="431" w:type="dxa"/>
            <w:vAlign w:val="center"/>
            <w:textDirection w:val="lrTb"/>
            <w:noWrap w:val="false"/>
          </w:tcPr>
          <w:p>
            <w:pPr>
              <w:ind w:left="0" w:right="0" w:firstLine="0"/>
              <w:jc w:val="righ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2</w:t>
            </w:r>
            <w:r/>
          </w:p>
        </w:tc>
      </w:tr>
      <w:tr>
        <w:trPr>
          <w:jc w:val="center"/>
          <w:trHeight w:val="0"/>
        </w:trPr>
        <w:tc>
          <w:tcPr>
            <w:tcBorders>
              <w:top w:val="single" w:color="auto" w:sz="4" w:space="0"/>
              <w:left w:val="single" w:color="auto" w:sz="12" w:space="0"/>
              <w:bottom w:val="none" w:color="000000" w:sz="4" w:space="0"/>
              <w:right w:val="none" w:color="000000" w:sz="4" w:space="0"/>
            </w:tcBorders>
            <w:tcMar>
              <w:left w:w="60" w:type="dxa"/>
              <w:top w:w="45" w:type="dxa"/>
              <w:right w:w="60" w:type="dxa"/>
              <w:bottom w:w="45" w:type="dxa"/>
            </w:tcMar>
            <w:tcW w:w="431" w:type="dxa"/>
            <w:vAlign w:val="center"/>
            <w:textDirection w:val="lrTb"/>
            <w:noWrap w:val="false"/>
          </w:tcPr>
          <w:p>
            <w:pPr>
              <w:ind w:left="0" w:right="0" w:firstLine="0"/>
              <w:jc w:val="center"/>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5.7</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1577" w:type="dxa"/>
            <w:vAlign w:val="center"/>
            <w:textDirection w:val="lrTb"/>
            <w:noWrap w:val="false"/>
          </w:tcPr>
          <w:p>
            <w:pPr>
              <w:ind w:left="0" w:right="0" w:firstLine="0"/>
              <w:jc w:val="center"/>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故障及应急服务</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3053" w:type="dxa"/>
            <w:vAlign w:val="center"/>
            <w:textDirection w:val="lrTb"/>
            <w:noWrap w:val="false"/>
          </w:tcPr>
          <w:p>
            <w:pPr>
              <w:ind w:left="0" w:right="0" w:firstLine="0"/>
              <w:jc w:val="lef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重大活动现场保障：按甲方要求加派资深工程师，提供7×24小时技术支持，提前检查并制定保障和回退方案。</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3031" w:type="dxa"/>
            <w:vAlign w:val="center"/>
            <w:textDirection w:val="lrTb"/>
            <w:noWrap w:val="false"/>
          </w:tcPr>
          <w:p>
            <w:pPr>
              <w:ind w:left="0" w:right="0" w:firstLine="0"/>
              <w:jc w:val="lef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人员不足、迟到或擅离每人次扣0.5分；未提前检查或无保障方案每次扣1分；影响活动每次扣2分。</w:t>
            </w:r>
            <w:r/>
          </w:p>
        </w:tc>
        <w:tc>
          <w:tcPr>
            <w:tcBorders>
              <w:top w:val="single" w:color="auto" w:sz="4" w:space="0"/>
              <w:left w:val="single" w:color="auto" w:sz="4" w:space="0"/>
              <w:bottom w:val="none" w:color="000000" w:sz="4" w:space="0"/>
              <w:right w:val="single" w:color="auto" w:sz="12" w:space="0"/>
            </w:tcBorders>
            <w:tcMar>
              <w:left w:w="60" w:type="dxa"/>
              <w:top w:w="45" w:type="dxa"/>
              <w:right w:w="60" w:type="dxa"/>
              <w:bottom w:w="45" w:type="dxa"/>
            </w:tcMar>
            <w:tcW w:w="431" w:type="dxa"/>
            <w:vAlign w:val="center"/>
            <w:textDirection w:val="lrTb"/>
            <w:noWrap w:val="false"/>
          </w:tcPr>
          <w:p>
            <w:pPr>
              <w:ind w:left="0" w:right="0" w:firstLine="0"/>
              <w:jc w:val="righ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2</w:t>
            </w:r>
            <w:r/>
          </w:p>
        </w:tc>
      </w:tr>
      <w:tr>
        <w:trPr>
          <w:jc w:val="center"/>
          <w:trHeight w:val="0"/>
        </w:trPr>
        <w:tc>
          <w:tcPr>
            <w:tcBorders>
              <w:top w:val="single" w:color="auto" w:sz="4" w:space="0"/>
              <w:left w:val="single" w:color="auto" w:sz="12" w:space="0"/>
              <w:bottom w:val="none" w:color="000000" w:sz="4" w:space="0"/>
              <w:right w:val="none" w:color="000000" w:sz="4" w:space="0"/>
            </w:tcBorders>
            <w:tcMar>
              <w:left w:w="60" w:type="dxa"/>
              <w:top w:w="45" w:type="dxa"/>
              <w:right w:w="60" w:type="dxa"/>
              <w:bottom w:w="45" w:type="dxa"/>
            </w:tcMar>
            <w:tcW w:w="431" w:type="dxa"/>
            <w:vAlign w:val="center"/>
            <w:textDirection w:val="lrTb"/>
            <w:noWrap w:val="false"/>
          </w:tcPr>
          <w:p>
            <w:pPr>
              <w:ind w:left="0" w:right="0" w:firstLine="0"/>
              <w:jc w:val="center"/>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5.8</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1577" w:type="dxa"/>
            <w:vAlign w:val="center"/>
            <w:textDirection w:val="lrTb"/>
            <w:noWrap w:val="false"/>
          </w:tcPr>
          <w:p>
            <w:pPr>
              <w:ind w:left="0" w:right="0" w:firstLine="0"/>
              <w:jc w:val="center"/>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故障及应急服务</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3053" w:type="dxa"/>
            <w:vAlign w:val="center"/>
            <w:textDirection w:val="lrTb"/>
            <w:noWrap w:val="false"/>
          </w:tcPr>
          <w:p>
            <w:pPr>
              <w:ind w:left="0" w:right="0" w:firstLine="0"/>
              <w:jc w:val="lef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应急演练：服务期内至少完成1次覆盖DLP、精密空调、UPS或配电故障的应急演练并提交材料。</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3031" w:type="dxa"/>
            <w:vAlign w:val="center"/>
            <w:textDirection w:val="lrTb"/>
            <w:noWrap w:val="false"/>
          </w:tcPr>
          <w:p>
            <w:pPr>
              <w:ind w:left="0" w:right="0" w:firstLine="0"/>
              <w:jc w:val="lef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未按计划实施扣1分；方案、签到、过程记录、照片、总结每缺1项扣0.2分。</w:t>
            </w:r>
            <w:r/>
          </w:p>
        </w:tc>
        <w:tc>
          <w:tcPr>
            <w:tcBorders>
              <w:top w:val="single" w:color="auto" w:sz="4" w:space="0"/>
              <w:left w:val="single" w:color="auto" w:sz="4" w:space="0"/>
              <w:bottom w:val="none" w:color="000000" w:sz="4" w:space="0"/>
              <w:right w:val="single" w:color="auto" w:sz="12" w:space="0"/>
            </w:tcBorders>
            <w:tcMar>
              <w:left w:w="60" w:type="dxa"/>
              <w:top w:w="45" w:type="dxa"/>
              <w:right w:w="60" w:type="dxa"/>
              <w:bottom w:w="45" w:type="dxa"/>
            </w:tcMar>
            <w:tcW w:w="431" w:type="dxa"/>
            <w:vAlign w:val="center"/>
            <w:textDirection w:val="lrTb"/>
            <w:noWrap w:val="false"/>
          </w:tcPr>
          <w:p>
            <w:pPr>
              <w:ind w:left="0" w:right="0" w:firstLine="0"/>
              <w:jc w:val="righ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1</w:t>
            </w:r>
            <w:r/>
          </w:p>
        </w:tc>
      </w:tr>
      <w:tr>
        <w:trPr>
          <w:jc w:val="center"/>
          <w:trHeight w:val="0"/>
        </w:trPr>
        <w:tc>
          <w:tcPr>
            <w:tcBorders>
              <w:top w:val="single" w:color="auto" w:sz="4" w:space="0"/>
              <w:left w:val="single" w:color="auto" w:sz="12" w:space="0"/>
              <w:bottom w:val="none" w:color="000000" w:sz="4" w:space="0"/>
              <w:right w:val="none" w:color="000000" w:sz="4" w:space="0"/>
            </w:tcBorders>
            <w:tcMar>
              <w:left w:w="60" w:type="dxa"/>
              <w:top w:w="45" w:type="dxa"/>
              <w:right w:w="60" w:type="dxa"/>
              <w:bottom w:w="45" w:type="dxa"/>
            </w:tcMar>
            <w:tcW w:w="431" w:type="dxa"/>
            <w:vAlign w:val="center"/>
            <w:textDirection w:val="lrTb"/>
            <w:noWrap w:val="false"/>
          </w:tcPr>
          <w:p>
            <w:pPr>
              <w:ind w:left="0" w:right="0" w:firstLine="0"/>
              <w:jc w:val="center"/>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5.9</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1577" w:type="dxa"/>
            <w:vAlign w:val="center"/>
            <w:textDirection w:val="lrTb"/>
            <w:noWrap w:val="false"/>
          </w:tcPr>
          <w:p>
            <w:pPr>
              <w:ind w:left="0" w:right="0" w:firstLine="0"/>
              <w:jc w:val="center"/>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故障及应急服务</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3053" w:type="dxa"/>
            <w:vAlign w:val="center"/>
            <w:textDirection w:val="lrTb"/>
            <w:noWrap w:val="false"/>
          </w:tcPr>
          <w:p>
            <w:pPr>
              <w:ind w:left="0" w:right="0" w:firstLine="0"/>
              <w:jc w:val="lef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过程通报与闭环：Ⅰ级故障每30分钟、Ⅱ级故障每60分钟报告进展，恢复后提交故障报告和预防措施。</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3031" w:type="dxa"/>
            <w:vAlign w:val="center"/>
            <w:textDirection w:val="lrTb"/>
            <w:noWrap w:val="false"/>
          </w:tcPr>
          <w:p>
            <w:pPr>
              <w:ind w:left="0" w:right="0" w:firstLine="0"/>
              <w:jc w:val="lef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每漏报1次扣0.2分；恢复后2个工作日内未交报告扣0.5分；无预防措施扣0.5分。</w:t>
            </w:r>
            <w:r/>
          </w:p>
        </w:tc>
        <w:tc>
          <w:tcPr>
            <w:tcBorders>
              <w:top w:val="single" w:color="auto" w:sz="4" w:space="0"/>
              <w:left w:val="single" w:color="auto" w:sz="4" w:space="0"/>
              <w:bottom w:val="none" w:color="000000" w:sz="4" w:space="0"/>
              <w:right w:val="single" w:color="auto" w:sz="12" w:space="0"/>
            </w:tcBorders>
            <w:tcMar>
              <w:left w:w="60" w:type="dxa"/>
              <w:top w:w="45" w:type="dxa"/>
              <w:right w:w="60" w:type="dxa"/>
              <w:bottom w:w="45" w:type="dxa"/>
            </w:tcMar>
            <w:tcW w:w="431" w:type="dxa"/>
            <w:vAlign w:val="center"/>
            <w:textDirection w:val="lrTb"/>
            <w:noWrap w:val="false"/>
          </w:tcPr>
          <w:p>
            <w:pPr>
              <w:ind w:left="0" w:right="0" w:firstLine="0"/>
              <w:jc w:val="righ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1</w:t>
            </w:r>
            <w:r/>
          </w:p>
        </w:tc>
      </w:tr>
      <w:tr>
        <w:trPr>
          <w:jc w:val="center"/>
          <w:trHeight w:val="0"/>
        </w:trPr>
        <w:tc>
          <w:tcPr>
            <w:tcBorders>
              <w:top w:val="single" w:color="auto" w:sz="4" w:space="0"/>
              <w:left w:val="single" w:color="auto" w:sz="12" w:space="0"/>
              <w:bottom w:val="none" w:color="000000" w:sz="4" w:space="0"/>
              <w:right w:val="none" w:color="000000" w:sz="4" w:space="0"/>
            </w:tcBorders>
            <w:tcMar>
              <w:left w:w="60" w:type="dxa"/>
              <w:top w:w="45" w:type="dxa"/>
              <w:right w:w="60" w:type="dxa"/>
              <w:bottom w:w="45" w:type="dxa"/>
            </w:tcMar>
            <w:tcW w:w="431" w:type="dxa"/>
            <w:vAlign w:val="center"/>
            <w:textDirection w:val="lrTb"/>
            <w:noWrap w:val="false"/>
          </w:tcPr>
          <w:p>
            <w:pPr>
              <w:ind w:left="0" w:right="0" w:firstLine="0"/>
              <w:jc w:val="center"/>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6.1</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1577" w:type="dxa"/>
            <w:vAlign w:val="center"/>
            <w:textDirection w:val="lrTb"/>
            <w:noWrap w:val="false"/>
          </w:tcPr>
          <w:p>
            <w:pPr>
              <w:ind w:left="0" w:right="0" w:firstLine="0"/>
              <w:jc w:val="center"/>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备品备件保障</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3053" w:type="dxa"/>
            <w:vAlign w:val="center"/>
            <w:textDirection w:val="lrTb"/>
            <w:noWrap w:val="false"/>
          </w:tcPr>
          <w:p>
            <w:pPr>
              <w:ind w:left="0" w:right="0" w:firstLine="0"/>
              <w:jc w:val="lef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初始库存建立：</w:t>
            </w:r>
            <w:r>
              <w:rPr>
                <w:rFonts w:hint="eastAsia" w:ascii="宋体" w:hAnsi="宋体" w:eastAsia="宋体"/>
                <w:b w:val="0"/>
                <w:sz w:val="21"/>
                <w:szCs w:val="21"/>
                <w:highlight w:val="none"/>
              </w:rPr>
              <w:t xml:space="preserve">合同签订生效后10个工作日内，按照采购文件备品备件最低配置表完成全部备品备件到货、入库、清点、检验和台账建立，提交清单、合格证明、来源证明、参数资料、兼容性材料及存放地点，并取得采购人书面确认</w:t>
            </w:r>
            <w:r>
              <w:rPr>
                <w:rFonts w:ascii="宋体" w:hAnsi="宋体" w:eastAsia="宋体"/>
                <w:b w:val="0"/>
                <w:sz w:val="21"/>
                <w:szCs w:val="21"/>
                <w:highlight w:val="none"/>
              </w:rPr>
              <w:t xml:space="preserve">。</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3031" w:type="dxa"/>
            <w:vAlign w:val="center"/>
            <w:textDirection w:val="lrTb"/>
            <w:noWrap w:val="false"/>
          </w:tcPr>
          <w:p>
            <w:pPr>
              <w:ind w:left="0" w:right="0" w:firstLine="0"/>
              <w:jc w:val="lef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每逾期1日扣0.5分；一般备件每缺1项/件扣0.1分，核心整机、主控板、功率模块等每缺1项/件扣0.5分。</w:t>
            </w:r>
            <w:r>
              <w:rPr>
                <w:rFonts w:hint="eastAsia" w:ascii="宋体" w:hAnsi="宋体" w:eastAsia="宋体"/>
                <w:b w:val="0"/>
                <w:sz w:val="21"/>
                <w:szCs w:val="21"/>
                <w:highlight w:val="none"/>
              </w:rPr>
              <w:t xml:space="preserve">未完成全部备品备件清点确认的，第一期付款条件不成就；考核扣分不替代乙方继续补齐备品备件的义务</w:t>
            </w:r>
            <w:r/>
          </w:p>
        </w:tc>
        <w:tc>
          <w:tcPr>
            <w:tcBorders>
              <w:top w:val="single" w:color="auto" w:sz="4" w:space="0"/>
              <w:left w:val="single" w:color="auto" w:sz="4" w:space="0"/>
              <w:bottom w:val="none" w:color="000000" w:sz="4" w:space="0"/>
              <w:right w:val="single" w:color="auto" w:sz="12" w:space="0"/>
            </w:tcBorders>
            <w:tcMar>
              <w:left w:w="60" w:type="dxa"/>
              <w:top w:w="45" w:type="dxa"/>
              <w:right w:w="60" w:type="dxa"/>
              <w:bottom w:w="45" w:type="dxa"/>
            </w:tcMar>
            <w:tcW w:w="431" w:type="dxa"/>
            <w:vAlign w:val="center"/>
            <w:textDirection w:val="lrTb"/>
            <w:noWrap w:val="false"/>
          </w:tcPr>
          <w:p>
            <w:pPr>
              <w:ind w:left="0" w:right="0" w:firstLine="0"/>
              <w:jc w:val="righ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4</w:t>
            </w:r>
            <w:r/>
          </w:p>
        </w:tc>
      </w:tr>
      <w:tr>
        <w:trPr>
          <w:jc w:val="center"/>
          <w:trHeight w:val="0"/>
        </w:trPr>
        <w:tc>
          <w:tcPr>
            <w:tcBorders>
              <w:top w:val="single" w:color="auto" w:sz="4" w:space="0"/>
              <w:left w:val="single" w:color="auto" w:sz="12" w:space="0"/>
              <w:bottom w:val="none" w:color="000000" w:sz="4" w:space="0"/>
              <w:right w:val="none" w:color="000000" w:sz="4" w:space="0"/>
            </w:tcBorders>
            <w:tcMar>
              <w:left w:w="60" w:type="dxa"/>
              <w:top w:w="45" w:type="dxa"/>
              <w:right w:w="60" w:type="dxa"/>
              <w:bottom w:w="45" w:type="dxa"/>
            </w:tcMar>
            <w:tcW w:w="431" w:type="dxa"/>
            <w:vAlign w:val="center"/>
            <w:textDirection w:val="lrTb"/>
            <w:noWrap w:val="false"/>
          </w:tcPr>
          <w:p>
            <w:pPr>
              <w:ind w:left="0" w:right="0" w:firstLine="0"/>
              <w:jc w:val="center"/>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6.2</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1577" w:type="dxa"/>
            <w:vAlign w:val="center"/>
            <w:textDirection w:val="lrTb"/>
            <w:noWrap w:val="false"/>
          </w:tcPr>
          <w:p>
            <w:pPr>
              <w:ind w:left="0" w:right="0" w:firstLine="0"/>
              <w:jc w:val="center"/>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备品备件保障</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3053" w:type="dxa"/>
            <w:vAlign w:val="center"/>
            <w:textDirection w:val="lrTb"/>
            <w:noWrap w:val="false"/>
          </w:tcPr>
          <w:p>
            <w:pPr>
              <w:ind w:left="0" w:right="0" w:firstLine="0"/>
              <w:jc w:val="lef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持续库存和随机盘点：服务期内持续保持最低数量，接受甲方不预先通知的现场盘点或视频核验。</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3031" w:type="dxa"/>
            <w:vAlign w:val="center"/>
            <w:textDirection w:val="lrTb"/>
            <w:noWrap w:val="false"/>
          </w:tcPr>
          <w:p>
            <w:pPr>
              <w:ind w:left="0" w:right="0" w:firstLine="0"/>
              <w:jc w:val="lef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一般备件短缺每项/件扣0.2分；核心备件短缺每项/件扣1分；账物不符每处扣0.2分；拒绝盘点本项扣完。</w:t>
            </w:r>
            <w:r/>
          </w:p>
        </w:tc>
        <w:tc>
          <w:tcPr>
            <w:tcBorders>
              <w:top w:val="single" w:color="auto" w:sz="4" w:space="0"/>
              <w:left w:val="single" w:color="auto" w:sz="4" w:space="0"/>
              <w:bottom w:val="none" w:color="000000" w:sz="4" w:space="0"/>
              <w:right w:val="single" w:color="auto" w:sz="12" w:space="0"/>
            </w:tcBorders>
            <w:tcMar>
              <w:left w:w="60" w:type="dxa"/>
              <w:top w:w="45" w:type="dxa"/>
              <w:right w:w="60" w:type="dxa"/>
              <w:bottom w:w="45" w:type="dxa"/>
            </w:tcMar>
            <w:tcW w:w="431" w:type="dxa"/>
            <w:vAlign w:val="center"/>
            <w:textDirection w:val="lrTb"/>
            <w:noWrap w:val="false"/>
          </w:tcPr>
          <w:p>
            <w:pPr>
              <w:ind w:left="0" w:right="0" w:firstLine="0"/>
              <w:jc w:val="righ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4</w:t>
            </w:r>
            <w:r/>
          </w:p>
        </w:tc>
      </w:tr>
      <w:tr>
        <w:trPr>
          <w:jc w:val="center"/>
          <w:trHeight w:val="0"/>
        </w:trPr>
        <w:tc>
          <w:tcPr>
            <w:tcBorders>
              <w:top w:val="single" w:color="auto" w:sz="4" w:space="0"/>
              <w:left w:val="single" w:color="auto" w:sz="12" w:space="0"/>
              <w:bottom w:val="none" w:color="000000" w:sz="4" w:space="0"/>
              <w:right w:val="none" w:color="000000" w:sz="4" w:space="0"/>
            </w:tcBorders>
            <w:tcMar>
              <w:left w:w="60" w:type="dxa"/>
              <w:top w:w="45" w:type="dxa"/>
              <w:right w:w="60" w:type="dxa"/>
              <w:bottom w:w="45" w:type="dxa"/>
            </w:tcMar>
            <w:tcW w:w="431" w:type="dxa"/>
            <w:vAlign w:val="center"/>
            <w:textDirection w:val="lrTb"/>
            <w:noWrap w:val="false"/>
          </w:tcPr>
          <w:p>
            <w:pPr>
              <w:ind w:left="0" w:right="0" w:firstLine="0"/>
              <w:jc w:val="center"/>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6.3</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1577" w:type="dxa"/>
            <w:vAlign w:val="center"/>
            <w:textDirection w:val="lrTb"/>
            <w:noWrap w:val="false"/>
          </w:tcPr>
          <w:p>
            <w:pPr>
              <w:ind w:left="0" w:right="0" w:firstLine="0"/>
              <w:jc w:val="center"/>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备品备件保障</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3053" w:type="dxa"/>
            <w:vAlign w:val="center"/>
            <w:textDirection w:val="lrTb"/>
            <w:noWrap w:val="false"/>
          </w:tcPr>
          <w:p>
            <w:pPr>
              <w:ind w:left="0" w:right="0" w:firstLine="0"/>
              <w:jc w:val="lef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质量、来源及兼容性：备件全新、合法、合格，与原系统软硬件、接口和安装尺寸兼容，参数不得低于原设备。</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3031" w:type="dxa"/>
            <w:vAlign w:val="center"/>
            <w:textDirection w:val="lrTb"/>
            <w:noWrap w:val="false"/>
          </w:tcPr>
          <w:p>
            <w:pPr>
              <w:ind w:left="0" w:right="0" w:firstLine="0"/>
              <w:jc w:val="lef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每缺1份合格或来源证明扣0.2分；未经确认使用替代型号扣1分；假冒、翻新、拆机、低参数或不兼容备件一票否决。</w:t>
            </w:r>
            <w:r/>
          </w:p>
        </w:tc>
        <w:tc>
          <w:tcPr>
            <w:tcBorders>
              <w:top w:val="single" w:color="auto" w:sz="4" w:space="0"/>
              <w:left w:val="single" w:color="auto" w:sz="4" w:space="0"/>
              <w:bottom w:val="none" w:color="000000" w:sz="4" w:space="0"/>
              <w:right w:val="single" w:color="auto" w:sz="12" w:space="0"/>
            </w:tcBorders>
            <w:tcMar>
              <w:left w:w="60" w:type="dxa"/>
              <w:top w:w="45" w:type="dxa"/>
              <w:right w:w="60" w:type="dxa"/>
              <w:bottom w:w="45" w:type="dxa"/>
            </w:tcMar>
            <w:tcW w:w="431" w:type="dxa"/>
            <w:vAlign w:val="center"/>
            <w:textDirection w:val="lrTb"/>
            <w:noWrap w:val="false"/>
          </w:tcPr>
          <w:p>
            <w:pPr>
              <w:ind w:left="0" w:right="0" w:firstLine="0"/>
              <w:jc w:val="righ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2</w:t>
            </w:r>
            <w:r/>
          </w:p>
        </w:tc>
      </w:tr>
      <w:tr>
        <w:trPr>
          <w:jc w:val="center"/>
          <w:trHeight w:val="0"/>
        </w:trPr>
        <w:tc>
          <w:tcPr>
            <w:tcBorders>
              <w:top w:val="single" w:color="auto" w:sz="4" w:space="0"/>
              <w:left w:val="single" w:color="auto" w:sz="12" w:space="0"/>
              <w:bottom w:val="none" w:color="000000" w:sz="4" w:space="0"/>
              <w:right w:val="none" w:color="000000" w:sz="4" w:space="0"/>
            </w:tcBorders>
            <w:tcMar>
              <w:left w:w="60" w:type="dxa"/>
              <w:top w:w="45" w:type="dxa"/>
              <w:right w:w="60" w:type="dxa"/>
              <w:bottom w:w="45" w:type="dxa"/>
            </w:tcMar>
            <w:tcW w:w="431" w:type="dxa"/>
            <w:vAlign w:val="center"/>
            <w:textDirection w:val="lrTb"/>
            <w:noWrap w:val="false"/>
          </w:tcPr>
          <w:p>
            <w:pPr>
              <w:ind w:left="0" w:right="0" w:firstLine="0"/>
              <w:jc w:val="center"/>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6.4</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1577" w:type="dxa"/>
            <w:vAlign w:val="center"/>
            <w:textDirection w:val="lrTb"/>
            <w:noWrap w:val="false"/>
          </w:tcPr>
          <w:p>
            <w:pPr>
              <w:ind w:left="0" w:right="0" w:firstLine="0"/>
              <w:jc w:val="center"/>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备品备件保障</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3053" w:type="dxa"/>
            <w:vAlign w:val="center"/>
            <w:textDirection w:val="lrTb"/>
            <w:noWrap w:val="false"/>
          </w:tcPr>
          <w:p>
            <w:pPr>
              <w:ind w:left="0" w:right="0" w:firstLine="0"/>
              <w:jc w:val="lef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使用后补库：备件投入使用后5个工作日内完成补库，恢复最低库存。</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3031" w:type="dxa"/>
            <w:vAlign w:val="center"/>
            <w:textDirection w:val="lrTb"/>
            <w:noWrap w:val="false"/>
          </w:tcPr>
          <w:p>
            <w:pPr>
              <w:ind w:left="0" w:right="0" w:firstLine="0"/>
              <w:jc w:val="lef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每逾期1日每项扣0.2分；核心备件每逾期1日每项扣0.5分；因未补库影响后续故障处理另加扣分。</w:t>
            </w:r>
            <w:r/>
          </w:p>
        </w:tc>
        <w:tc>
          <w:tcPr>
            <w:tcBorders>
              <w:top w:val="single" w:color="auto" w:sz="4" w:space="0"/>
              <w:left w:val="single" w:color="auto" w:sz="4" w:space="0"/>
              <w:bottom w:val="none" w:color="000000" w:sz="4" w:space="0"/>
              <w:right w:val="single" w:color="auto" w:sz="12" w:space="0"/>
            </w:tcBorders>
            <w:tcMar>
              <w:left w:w="60" w:type="dxa"/>
              <w:top w:w="45" w:type="dxa"/>
              <w:right w:w="60" w:type="dxa"/>
              <w:bottom w:w="45" w:type="dxa"/>
            </w:tcMar>
            <w:tcW w:w="431" w:type="dxa"/>
            <w:vAlign w:val="center"/>
            <w:textDirection w:val="lrTb"/>
            <w:noWrap w:val="false"/>
          </w:tcPr>
          <w:p>
            <w:pPr>
              <w:ind w:left="0" w:right="0" w:firstLine="0"/>
              <w:jc w:val="righ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2</w:t>
            </w:r>
            <w:r/>
          </w:p>
        </w:tc>
      </w:tr>
      <w:tr>
        <w:trPr>
          <w:jc w:val="center"/>
          <w:trHeight w:val="0"/>
        </w:trPr>
        <w:tc>
          <w:tcPr>
            <w:tcBorders>
              <w:top w:val="single" w:color="auto" w:sz="4" w:space="0"/>
              <w:left w:val="single" w:color="auto" w:sz="12" w:space="0"/>
              <w:bottom w:val="none" w:color="000000" w:sz="4" w:space="0"/>
              <w:right w:val="none" w:color="000000" w:sz="4" w:space="0"/>
            </w:tcBorders>
            <w:tcMar>
              <w:left w:w="60" w:type="dxa"/>
              <w:top w:w="45" w:type="dxa"/>
              <w:right w:w="60" w:type="dxa"/>
              <w:bottom w:w="45" w:type="dxa"/>
            </w:tcMar>
            <w:tcW w:w="431" w:type="dxa"/>
            <w:vAlign w:val="center"/>
            <w:textDirection w:val="lrTb"/>
            <w:noWrap w:val="false"/>
          </w:tcPr>
          <w:p>
            <w:pPr>
              <w:ind w:left="0" w:right="0" w:firstLine="0"/>
              <w:jc w:val="center"/>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6.5</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1577" w:type="dxa"/>
            <w:vAlign w:val="center"/>
            <w:textDirection w:val="lrTb"/>
            <w:noWrap w:val="false"/>
          </w:tcPr>
          <w:p>
            <w:pPr>
              <w:ind w:left="0" w:right="0" w:firstLine="0"/>
              <w:jc w:val="center"/>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备品备件保障</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3053" w:type="dxa"/>
            <w:vAlign w:val="center"/>
            <w:textDirection w:val="lrTb"/>
            <w:noWrap w:val="false"/>
          </w:tcPr>
          <w:p>
            <w:pPr>
              <w:ind w:left="0" w:right="0" w:firstLine="0"/>
              <w:jc w:val="lef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领用台账及故障件移交：领用、更换、检测、去向和补库记录完整；更换下来的故障件、损坏件及时移交甲方。</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3031" w:type="dxa"/>
            <w:vAlign w:val="center"/>
            <w:textDirection w:val="lrTb"/>
            <w:noWrap w:val="false"/>
          </w:tcPr>
          <w:p>
            <w:pPr>
              <w:ind w:left="0" w:right="0" w:firstLine="0"/>
              <w:jc w:val="lef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每缺1条记录扣0.1分；故障件未移交每件扣0.5分；擅自处置按严重违约处理。</w:t>
            </w:r>
            <w:r/>
          </w:p>
        </w:tc>
        <w:tc>
          <w:tcPr>
            <w:tcBorders>
              <w:top w:val="single" w:color="auto" w:sz="4" w:space="0"/>
              <w:left w:val="single" w:color="auto" w:sz="4" w:space="0"/>
              <w:bottom w:val="none" w:color="000000" w:sz="4" w:space="0"/>
              <w:right w:val="single" w:color="auto" w:sz="12" w:space="0"/>
            </w:tcBorders>
            <w:tcMar>
              <w:left w:w="60" w:type="dxa"/>
              <w:top w:w="45" w:type="dxa"/>
              <w:right w:w="60" w:type="dxa"/>
              <w:bottom w:w="45" w:type="dxa"/>
            </w:tcMar>
            <w:tcW w:w="431" w:type="dxa"/>
            <w:vAlign w:val="center"/>
            <w:textDirection w:val="lrTb"/>
            <w:noWrap w:val="false"/>
          </w:tcPr>
          <w:p>
            <w:pPr>
              <w:ind w:left="0" w:right="0" w:firstLine="0"/>
              <w:jc w:val="righ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1</w:t>
            </w:r>
            <w:r/>
          </w:p>
        </w:tc>
      </w:tr>
      <w:tr>
        <w:trPr>
          <w:jc w:val="center"/>
          <w:trHeight w:val="0"/>
        </w:trPr>
        <w:tc>
          <w:tcPr>
            <w:tcBorders>
              <w:top w:val="single" w:color="auto" w:sz="4" w:space="0"/>
              <w:left w:val="single" w:color="auto" w:sz="12" w:space="0"/>
              <w:bottom w:val="none" w:color="000000" w:sz="4" w:space="0"/>
              <w:right w:val="none" w:color="000000" w:sz="4" w:space="0"/>
            </w:tcBorders>
            <w:tcMar>
              <w:left w:w="60" w:type="dxa"/>
              <w:top w:w="45" w:type="dxa"/>
              <w:right w:w="60" w:type="dxa"/>
              <w:bottom w:w="45" w:type="dxa"/>
            </w:tcMar>
            <w:tcW w:w="431" w:type="dxa"/>
            <w:vAlign w:val="center"/>
            <w:textDirection w:val="lrTb"/>
            <w:noWrap w:val="false"/>
          </w:tcPr>
          <w:p>
            <w:pPr>
              <w:ind w:left="0" w:right="0" w:firstLine="0"/>
              <w:jc w:val="center"/>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6.6</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1577" w:type="dxa"/>
            <w:vAlign w:val="center"/>
            <w:textDirection w:val="lrTb"/>
            <w:noWrap w:val="false"/>
          </w:tcPr>
          <w:p>
            <w:pPr>
              <w:ind w:left="0" w:right="0" w:firstLine="0"/>
              <w:jc w:val="center"/>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备品备件保障</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3053" w:type="dxa"/>
            <w:vAlign w:val="center"/>
            <w:textDirection w:val="lrTb"/>
            <w:noWrap w:val="false"/>
          </w:tcPr>
          <w:p>
            <w:pPr>
              <w:ind w:left="0" w:right="0" w:firstLine="0"/>
              <w:jc w:val="lef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仓储和有效性：按防潮、防尘、防静电、阻燃、温湿度和保质期要求存放，定期通电或检测。</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3031" w:type="dxa"/>
            <w:vAlign w:val="center"/>
            <w:textDirection w:val="lrTb"/>
            <w:noWrap w:val="false"/>
          </w:tcPr>
          <w:p>
            <w:pPr>
              <w:ind w:left="0" w:right="0" w:firstLine="0"/>
              <w:jc w:val="lef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每发现1项不符合扣0.2分；过期、锈蚀、受潮或检测不合格仍计入库存每件扣0.5分。</w:t>
            </w:r>
            <w:r/>
          </w:p>
        </w:tc>
        <w:tc>
          <w:tcPr>
            <w:tcBorders>
              <w:top w:val="single" w:color="auto" w:sz="4" w:space="0"/>
              <w:left w:val="single" w:color="auto" w:sz="4" w:space="0"/>
              <w:bottom w:val="none" w:color="000000" w:sz="4" w:space="0"/>
              <w:right w:val="single" w:color="auto" w:sz="12" w:space="0"/>
            </w:tcBorders>
            <w:tcMar>
              <w:left w:w="60" w:type="dxa"/>
              <w:top w:w="45" w:type="dxa"/>
              <w:right w:w="60" w:type="dxa"/>
              <w:bottom w:w="45" w:type="dxa"/>
            </w:tcMar>
            <w:tcW w:w="431" w:type="dxa"/>
            <w:vAlign w:val="center"/>
            <w:textDirection w:val="lrTb"/>
            <w:noWrap w:val="false"/>
          </w:tcPr>
          <w:p>
            <w:pPr>
              <w:ind w:left="0" w:right="0" w:firstLine="0"/>
              <w:jc w:val="righ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1</w:t>
            </w:r>
            <w:r/>
          </w:p>
        </w:tc>
      </w:tr>
      <w:tr>
        <w:trPr>
          <w:jc w:val="center"/>
          <w:trHeight w:val="0"/>
        </w:trPr>
        <w:tc>
          <w:tcPr>
            <w:tcBorders>
              <w:top w:val="single" w:color="auto" w:sz="4" w:space="0"/>
              <w:left w:val="single" w:color="auto" w:sz="12" w:space="0"/>
              <w:bottom w:val="none" w:color="000000" w:sz="4" w:space="0"/>
              <w:right w:val="none" w:color="000000" w:sz="4" w:space="0"/>
            </w:tcBorders>
            <w:tcMar>
              <w:left w:w="60" w:type="dxa"/>
              <w:top w:w="45" w:type="dxa"/>
              <w:right w:w="60" w:type="dxa"/>
              <w:bottom w:w="45" w:type="dxa"/>
            </w:tcMar>
            <w:tcW w:w="431" w:type="dxa"/>
            <w:vAlign w:val="center"/>
            <w:textDirection w:val="lrTb"/>
            <w:noWrap w:val="false"/>
          </w:tcPr>
          <w:p>
            <w:pPr>
              <w:ind w:left="0" w:right="0" w:firstLine="0"/>
              <w:jc w:val="center"/>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7.1</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1577" w:type="dxa"/>
            <w:vAlign w:val="center"/>
            <w:textDirection w:val="lrTb"/>
            <w:noWrap w:val="false"/>
          </w:tcPr>
          <w:p>
            <w:pPr>
              <w:ind w:left="0" w:right="0" w:firstLine="0"/>
              <w:jc w:val="center"/>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文档培训与交付</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3053" w:type="dxa"/>
            <w:vAlign w:val="center"/>
            <w:textDirection w:val="lrTb"/>
            <w:noWrap w:val="false"/>
          </w:tcPr>
          <w:p>
            <w:pPr>
              <w:ind w:left="0" w:right="0" w:firstLine="0"/>
              <w:jc w:val="lef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两次普查报告：首次普查按期完成；第二次普查在服务期结束前15个工作日完成，内容含设备名称、数量、品牌、型号、位置、功能及照片。</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3031" w:type="dxa"/>
            <w:vAlign w:val="center"/>
            <w:textDirection w:val="lrTb"/>
            <w:noWrap w:val="false"/>
          </w:tcPr>
          <w:p>
            <w:pPr>
              <w:ind w:left="0" w:right="0" w:firstLine="0"/>
              <w:jc w:val="lef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每份每逾期1日扣0.2分；每缺1类信息扣0.2分；设备变化未更新每项扣0.1分。</w:t>
            </w:r>
            <w:r/>
          </w:p>
        </w:tc>
        <w:tc>
          <w:tcPr>
            <w:tcBorders>
              <w:top w:val="single" w:color="auto" w:sz="4" w:space="0"/>
              <w:left w:val="single" w:color="auto" w:sz="4" w:space="0"/>
              <w:bottom w:val="none" w:color="000000" w:sz="4" w:space="0"/>
              <w:right w:val="single" w:color="auto" w:sz="12" w:space="0"/>
            </w:tcBorders>
            <w:tcMar>
              <w:left w:w="60" w:type="dxa"/>
              <w:top w:w="45" w:type="dxa"/>
              <w:right w:w="60" w:type="dxa"/>
              <w:bottom w:w="45" w:type="dxa"/>
            </w:tcMar>
            <w:tcW w:w="431" w:type="dxa"/>
            <w:vAlign w:val="center"/>
            <w:textDirection w:val="lrTb"/>
            <w:noWrap w:val="false"/>
          </w:tcPr>
          <w:p>
            <w:pPr>
              <w:ind w:left="0" w:right="0" w:firstLine="0"/>
              <w:jc w:val="righ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2</w:t>
            </w:r>
            <w:r/>
          </w:p>
        </w:tc>
      </w:tr>
      <w:tr>
        <w:trPr>
          <w:jc w:val="center"/>
          <w:trHeight w:val="0"/>
        </w:trPr>
        <w:tc>
          <w:tcPr>
            <w:tcBorders>
              <w:top w:val="single" w:color="auto" w:sz="4" w:space="0"/>
              <w:left w:val="single" w:color="auto" w:sz="12" w:space="0"/>
              <w:bottom w:val="none" w:color="000000" w:sz="4" w:space="0"/>
              <w:right w:val="none" w:color="000000" w:sz="4" w:space="0"/>
            </w:tcBorders>
            <w:tcMar>
              <w:left w:w="60" w:type="dxa"/>
              <w:top w:w="45" w:type="dxa"/>
              <w:right w:w="60" w:type="dxa"/>
              <w:bottom w:w="45" w:type="dxa"/>
            </w:tcMar>
            <w:tcW w:w="431" w:type="dxa"/>
            <w:vAlign w:val="center"/>
            <w:textDirection w:val="lrTb"/>
            <w:noWrap w:val="false"/>
          </w:tcPr>
          <w:p>
            <w:pPr>
              <w:ind w:left="0" w:right="0" w:firstLine="0"/>
              <w:jc w:val="center"/>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7.2</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1577" w:type="dxa"/>
            <w:vAlign w:val="center"/>
            <w:textDirection w:val="lrTb"/>
            <w:noWrap w:val="false"/>
          </w:tcPr>
          <w:p>
            <w:pPr>
              <w:ind w:left="0" w:right="0" w:firstLine="0"/>
              <w:jc w:val="center"/>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文档培训与交付</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3053" w:type="dxa"/>
            <w:vAlign w:val="center"/>
            <w:textDirection w:val="lrTb"/>
            <w:noWrap w:val="false"/>
          </w:tcPr>
          <w:p>
            <w:pPr>
              <w:ind w:left="0" w:right="0" w:firstLine="0"/>
              <w:jc w:val="lef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巡检服务规程：合同签订后15个工作日内提交覆盖DLP、精密空调、UPS及配电的规程并经甲方认可。</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3031" w:type="dxa"/>
            <w:vAlign w:val="center"/>
            <w:textDirection w:val="lrTb"/>
            <w:noWrap w:val="false"/>
          </w:tcPr>
          <w:p>
            <w:pPr>
              <w:ind w:left="0" w:right="0" w:firstLine="0"/>
              <w:jc w:val="lef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每逾期1日扣0.2分；内容缺项或不可操作每项扣0.2分；退回后仍不完善扣0.5分。</w:t>
            </w:r>
            <w:r/>
          </w:p>
        </w:tc>
        <w:tc>
          <w:tcPr>
            <w:tcBorders>
              <w:top w:val="single" w:color="auto" w:sz="4" w:space="0"/>
              <w:left w:val="single" w:color="auto" w:sz="4" w:space="0"/>
              <w:bottom w:val="none" w:color="000000" w:sz="4" w:space="0"/>
              <w:right w:val="single" w:color="auto" w:sz="12" w:space="0"/>
            </w:tcBorders>
            <w:tcMar>
              <w:left w:w="60" w:type="dxa"/>
              <w:top w:w="45" w:type="dxa"/>
              <w:right w:w="60" w:type="dxa"/>
              <w:bottom w:w="45" w:type="dxa"/>
            </w:tcMar>
            <w:tcW w:w="431" w:type="dxa"/>
            <w:vAlign w:val="center"/>
            <w:textDirection w:val="lrTb"/>
            <w:noWrap w:val="false"/>
          </w:tcPr>
          <w:p>
            <w:pPr>
              <w:ind w:left="0" w:right="0" w:firstLine="0"/>
              <w:jc w:val="righ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1</w:t>
            </w:r>
            <w:r/>
          </w:p>
        </w:tc>
      </w:tr>
      <w:tr>
        <w:trPr>
          <w:jc w:val="center"/>
          <w:trHeight w:val="0"/>
        </w:trPr>
        <w:tc>
          <w:tcPr>
            <w:tcBorders>
              <w:top w:val="single" w:color="auto" w:sz="4" w:space="0"/>
              <w:left w:val="single" w:color="auto" w:sz="12" w:space="0"/>
              <w:bottom w:val="none" w:color="000000" w:sz="4" w:space="0"/>
              <w:right w:val="none" w:color="000000" w:sz="4" w:space="0"/>
            </w:tcBorders>
            <w:tcMar>
              <w:left w:w="60" w:type="dxa"/>
              <w:top w:w="45" w:type="dxa"/>
              <w:right w:w="60" w:type="dxa"/>
              <w:bottom w:w="45" w:type="dxa"/>
            </w:tcMar>
            <w:tcW w:w="431" w:type="dxa"/>
            <w:vAlign w:val="center"/>
            <w:textDirection w:val="lrTb"/>
            <w:noWrap w:val="false"/>
          </w:tcPr>
          <w:p>
            <w:pPr>
              <w:ind w:left="0" w:right="0" w:firstLine="0"/>
              <w:jc w:val="center"/>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7.3</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1577" w:type="dxa"/>
            <w:vAlign w:val="center"/>
            <w:textDirection w:val="lrTb"/>
            <w:noWrap w:val="false"/>
          </w:tcPr>
          <w:p>
            <w:pPr>
              <w:ind w:left="0" w:right="0" w:firstLine="0"/>
              <w:jc w:val="center"/>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文档培训与交付</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3053" w:type="dxa"/>
            <w:vAlign w:val="center"/>
            <w:textDirection w:val="lrTb"/>
            <w:noWrap w:val="false"/>
          </w:tcPr>
          <w:p>
            <w:pPr>
              <w:ind w:left="0" w:right="0" w:firstLine="0"/>
              <w:jc w:val="lef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季度运维档案：季度结束后5个工作日内提交9类巡检、维护和故障处理记录，项目负责人签字，内容完整可核验。</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3031" w:type="dxa"/>
            <w:vAlign w:val="center"/>
            <w:textDirection w:val="lrTb"/>
            <w:noWrap w:val="false"/>
          </w:tcPr>
          <w:p>
            <w:pPr>
              <w:ind w:left="0" w:right="0" w:firstLine="0"/>
              <w:jc w:val="lef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每缺1类记录扣0.5分；每逾期1日扣0.2分；未签字、无时间戳或无法与日志印证每项扣0.2分。</w:t>
            </w:r>
            <w:r/>
          </w:p>
        </w:tc>
        <w:tc>
          <w:tcPr>
            <w:tcBorders>
              <w:top w:val="single" w:color="auto" w:sz="4" w:space="0"/>
              <w:left w:val="single" w:color="auto" w:sz="4" w:space="0"/>
              <w:bottom w:val="none" w:color="000000" w:sz="4" w:space="0"/>
              <w:right w:val="single" w:color="auto" w:sz="12" w:space="0"/>
            </w:tcBorders>
            <w:tcMar>
              <w:left w:w="60" w:type="dxa"/>
              <w:top w:w="45" w:type="dxa"/>
              <w:right w:w="60" w:type="dxa"/>
              <w:bottom w:w="45" w:type="dxa"/>
            </w:tcMar>
            <w:tcW w:w="431" w:type="dxa"/>
            <w:vAlign w:val="center"/>
            <w:textDirection w:val="lrTb"/>
            <w:noWrap w:val="false"/>
          </w:tcPr>
          <w:p>
            <w:pPr>
              <w:ind w:left="0" w:right="0" w:firstLine="0"/>
              <w:jc w:val="righ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3</w:t>
            </w:r>
            <w:r/>
          </w:p>
        </w:tc>
      </w:tr>
      <w:tr>
        <w:trPr>
          <w:jc w:val="center"/>
          <w:trHeight w:val="0"/>
        </w:trPr>
        <w:tc>
          <w:tcPr>
            <w:tcBorders>
              <w:top w:val="single" w:color="auto" w:sz="4" w:space="0"/>
              <w:left w:val="single" w:color="auto" w:sz="12" w:space="0"/>
              <w:bottom w:val="none" w:color="000000" w:sz="4" w:space="0"/>
              <w:right w:val="none" w:color="000000" w:sz="4" w:space="0"/>
            </w:tcBorders>
            <w:tcMar>
              <w:left w:w="60" w:type="dxa"/>
              <w:top w:w="45" w:type="dxa"/>
              <w:right w:w="60" w:type="dxa"/>
              <w:bottom w:w="45" w:type="dxa"/>
            </w:tcMar>
            <w:tcW w:w="431" w:type="dxa"/>
            <w:vAlign w:val="center"/>
            <w:textDirection w:val="lrTb"/>
            <w:noWrap w:val="false"/>
          </w:tcPr>
          <w:p>
            <w:pPr>
              <w:ind w:left="0" w:right="0" w:firstLine="0"/>
              <w:jc w:val="center"/>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7.4</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1577" w:type="dxa"/>
            <w:vAlign w:val="center"/>
            <w:textDirection w:val="lrTb"/>
            <w:noWrap w:val="false"/>
          </w:tcPr>
          <w:p>
            <w:pPr>
              <w:ind w:left="0" w:right="0" w:firstLine="0"/>
              <w:jc w:val="center"/>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文档培训与交付</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3053" w:type="dxa"/>
            <w:vAlign w:val="center"/>
            <w:textDirection w:val="lrTb"/>
            <w:noWrap w:val="false"/>
          </w:tcPr>
          <w:p>
            <w:pPr>
              <w:ind w:left="0" w:right="0" w:firstLine="0"/>
              <w:jc w:val="lef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故障记录质量：故障记录包含报障、响应、到场、修复时间，现象、范围、原因、方案、建议及维修前后照片。</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3031" w:type="dxa"/>
            <w:vAlign w:val="center"/>
            <w:textDirection w:val="lrTb"/>
            <w:noWrap w:val="false"/>
          </w:tcPr>
          <w:p>
            <w:pPr>
              <w:ind w:left="0" w:right="0" w:firstLine="0"/>
              <w:jc w:val="lef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每缺1项必填内容扣0.1分；每缺1组前后照片扣0.2分；重大故障无原因分析扣0.5分。</w:t>
            </w:r>
            <w:r/>
          </w:p>
        </w:tc>
        <w:tc>
          <w:tcPr>
            <w:tcBorders>
              <w:top w:val="single" w:color="auto" w:sz="4" w:space="0"/>
              <w:left w:val="single" w:color="auto" w:sz="4" w:space="0"/>
              <w:bottom w:val="none" w:color="000000" w:sz="4" w:space="0"/>
              <w:right w:val="single" w:color="auto" w:sz="12" w:space="0"/>
            </w:tcBorders>
            <w:tcMar>
              <w:left w:w="60" w:type="dxa"/>
              <w:top w:w="45" w:type="dxa"/>
              <w:right w:w="60" w:type="dxa"/>
              <w:bottom w:w="45" w:type="dxa"/>
            </w:tcMar>
            <w:tcW w:w="431" w:type="dxa"/>
            <w:vAlign w:val="center"/>
            <w:textDirection w:val="lrTb"/>
            <w:noWrap w:val="false"/>
          </w:tcPr>
          <w:p>
            <w:pPr>
              <w:ind w:left="0" w:right="0" w:firstLine="0"/>
              <w:jc w:val="righ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1</w:t>
            </w:r>
            <w:r/>
          </w:p>
        </w:tc>
      </w:tr>
      <w:tr>
        <w:trPr>
          <w:jc w:val="center"/>
          <w:trHeight w:val="0"/>
        </w:trPr>
        <w:tc>
          <w:tcPr>
            <w:tcBorders>
              <w:top w:val="single" w:color="auto" w:sz="4" w:space="0"/>
              <w:left w:val="single" w:color="auto" w:sz="12" w:space="0"/>
              <w:bottom w:val="none" w:color="000000" w:sz="4" w:space="0"/>
              <w:right w:val="none" w:color="000000" w:sz="4" w:space="0"/>
            </w:tcBorders>
            <w:tcMar>
              <w:left w:w="60" w:type="dxa"/>
              <w:top w:w="45" w:type="dxa"/>
              <w:right w:w="60" w:type="dxa"/>
              <w:bottom w:w="45" w:type="dxa"/>
            </w:tcMar>
            <w:tcW w:w="431" w:type="dxa"/>
            <w:vAlign w:val="center"/>
            <w:textDirection w:val="lrTb"/>
            <w:noWrap w:val="false"/>
          </w:tcPr>
          <w:p>
            <w:pPr>
              <w:ind w:left="0" w:right="0" w:firstLine="0"/>
              <w:jc w:val="center"/>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7.5</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1577" w:type="dxa"/>
            <w:vAlign w:val="center"/>
            <w:textDirection w:val="lrTb"/>
            <w:noWrap w:val="false"/>
          </w:tcPr>
          <w:p>
            <w:pPr>
              <w:ind w:left="0" w:right="0" w:firstLine="0"/>
              <w:jc w:val="center"/>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文档培训与交付</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3053" w:type="dxa"/>
            <w:vAlign w:val="center"/>
            <w:textDirection w:val="lrTb"/>
            <w:noWrap w:val="false"/>
          </w:tcPr>
          <w:p>
            <w:pPr>
              <w:ind w:left="0" w:right="0" w:firstLine="0"/>
              <w:jc w:val="lef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月度分析报告：每月汇总巡检完成率、告警、故障、备件消耗、风险和下月计划。</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3031" w:type="dxa"/>
            <w:vAlign w:val="center"/>
            <w:textDirection w:val="lrTb"/>
            <w:noWrap w:val="false"/>
          </w:tcPr>
          <w:p>
            <w:pPr>
              <w:ind w:left="0" w:right="0" w:firstLine="0"/>
              <w:jc w:val="lef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每缺1月扣0.5分；统计错误或未提出风险措施每处扣0.2分。</w:t>
            </w:r>
            <w:r/>
          </w:p>
        </w:tc>
        <w:tc>
          <w:tcPr>
            <w:tcBorders>
              <w:top w:val="single" w:color="auto" w:sz="4" w:space="0"/>
              <w:left w:val="single" w:color="auto" w:sz="4" w:space="0"/>
              <w:bottom w:val="none" w:color="000000" w:sz="4" w:space="0"/>
              <w:right w:val="single" w:color="auto" w:sz="12" w:space="0"/>
            </w:tcBorders>
            <w:tcMar>
              <w:left w:w="60" w:type="dxa"/>
              <w:top w:w="45" w:type="dxa"/>
              <w:right w:w="60" w:type="dxa"/>
              <w:bottom w:w="45" w:type="dxa"/>
            </w:tcMar>
            <w:tcW w:w="431" w:type="dxa"/>
            <w:vAlign w:val="center"/>
            <w:textDirection w:val="lrTb"/>
            <w:noWrap w:val="false"/>
          </w:tcPr>
          <w:p>
            <w:pPr>
              <w:ind w:left="0" w:right="0" w:firstLine="0"/>
              <w:jc w:val="righ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1</w:t>
            </w:r>
            <w:r/>
          </w:p>
        </w:tc>
      </w:tr>
      <w:tr>
        <w:trPr>
          <w:jc w:val="center"/>
          <w:trHeight w:val="0"/>
        </w:trPr>
        <w:tc>
          <w:tcPr>
            <w:tcBorders>
              <w:top w:val="single" w:color="auto" w:sz="4" w:space="0"/>
              <w:left w:val="single" w:color="auto" w:sz="12" w:space="0"/>
              <w:bottom w:val="none" w:color="000000" w:sz="4" w:space="0"/>
              <w:right w:val="none" w:color="000000" w:sz="4" w:space="0"/>
            </w:tcBorders>
            <w:tcMar>
              <w:left w:w="60" w:type="dxa"/>
              <w:top w:w="45" w:type="dxa"/>
              <w:right w:w="60" w:type="dxa"/>
              <w:bottom w:w="45" w:type="dxa"/>
            </w:tcMar>
            <w:tcW w:w="431" w:type="dxa"/>
            <w:vAlign w:val="center"/>
            <w:textDirection w:val="lrTb"/>
            <w:noWrap w:val="false"/>
          </w:tcPr>
          <w:p>
            <w:pPr>
              <w:ind w:left="0" w:right="0" w:firstLine="0"/>
              <w:jc w:val="center"/>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7.6</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1577" w:type="dxa"/>
            <w:vAlign w:val="center"/>
            <w:textDirection w:val="lrTb"/>
            <w:noWrap w:val="false"/>
          </w:tcPr>
          <w:p>
            <w:pPr>
              <w:ind w:left="0" w:right="0" w:firstLine="0"/>
              <w:jc w:val="center"/>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文档培训与交付</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3053" w:type="dxa"/>
            <w:vAlign w:val="center"/>
            <w:textDirection w:val="lrTb"/>
            <w:noWrap w:val="false"/>
          </w:tcPr>
          <w:p>
            <w:pPr>
              <w:ind w:left="0" w:right="0" w:firstLine="0"/>
              <w:jc w:val="lef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培训服务：分别完成DLP大屏、精密空调、UPS主机等日常操作培训，提供课件、签到、照片和效果记录。</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3031" w:type="dxa"/>
            <w:vAlign w:val="center"/>
            <w:textDirection w:val="lrTb"/>
            <w:noWrap w:val="false"/>
          </w:tcPr>
          <w:p>
            <w:pPr>
              <w:ind w:left="0" w:right="0" w:firstLine="0"/>
              <w:jc w:val="lef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每缺1类系统培训扣0.4分；每缺1类材料扣0.2分；培训内容与现场设备不符扣0.5分。</w:t>
            </w:r>
            <w:r/>
          </w:p>
        </w:tc>
        <w:tc>
          <w:tcPr>
            <w:tcBorders>
              <w:top w:val="single" w:color="auto" w:sz="4" w:space="0"/>
              <w:left w:val="single" w:color="auto" w:sz="4" w:space="0"/>
              <w:bottom w:val="none" w:color="000000" w:sz="4" w:space="0"/>
              <w:right w:val="single" w:color="auto" w:sz="12" w:space="0"/>
            </w:tcBorders>
            <w:tcMar>
              <w:left w:w="60" w:type="dxa"/>
              <w:top w:w="45" w:type="dxa"/>
              <w:right w:w="60" w:type="dxa"/>
              <w:bottom w:w="45" w:type="dxa"/>
            </w:tcMar>
            <w:tcW w:w="431" w:type="dxa"/>
            <w:vAlign w:val="center"/>
            <w:textDirection w:val="lrTb"/>
            <w:noWrap w:val="false"/>
          </w:tcPr>
          <w:p>
            <w:pPr>
              <w:ind w:left="0" w:right="0" w:firstLine="0"/>
              <w:jc w:val="righ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1</w:t>
            </w:r>
            <w:r/>
          </w:p>
        </w:tc>
      </w:tr>
      <w:tr>
        <w:trPr>
          <w:jc w:val="center"/>
          <w:trHeight w:val="0"/>
        </w:trPr>
        <w:tc>
          <w:tcPr>
            <w:tcBorders>
              <w:top w:val="single" w:color="auto" w:sz="4" w:space="0"/>
              <w:left w:val="single" w:color="auto" w:sz="12" w:space="0"/>
              <w:bottom w:val="none" w:color="000000" w:sz="4" w:space="0"/>
              <w:right w:val="none" w:color="000000" w:sz="4" w:space="0"/>
            </w:tcBorders>
            <w:tcMar>
              <w:left w:w="60" w:type="dxa"/>
              <w:top w:w="45" w:type="dxa"/>
              <w:right w:w="60" w:type="dxa"/>
              <w:bottom w:w="45" w:type="dxa"/>
            </w:tcMar>
            <w:tcW w:w="431" w:type="dxa"/>
            <w:vAlign w:val="center"/>
            <w:textDirection w:val="lrTb"/>
            <w:noWrap w:val="false"/>
          </w:tcPr>
          <w:p>
            <w:pPr>
              <w:ind w:left="0" w:right="0" w:firstLine="0"/>
              <w:jc w:val="center"/>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7.7</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1577" w:type="dxa"/>
            <w:vAlign w:val="center"/>
            <w:textDirection w:val="lrTb"/>
            <w:noWrap w:val="false"/>
          </w:tcPr>
          <w:p>
            <w:pPr>
              <w:ind w:left="0" w:right="0" w:firstLine="0"/>
              <w:jc w:val="center"/>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文档培训与交付</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3053" w:type="dxa"/>
            <w:vAlign w:val="center"/>
            <w:textDirection w:val="lrTb"/>
            <w:noWrap w:val="false"/>
          </w:tcPr>
          <w:p>
            <w:pPr>
              <w:ind w:left="0" w:right="0" w:firstLine="0"/>
              <w:jc w:val="lef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年度档案及移交：服务期结束提交完整电子和纸质档案、配置备份、台账、故障件清单及未结事项说明。</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3031" w:type="dxa"/>
            <w:vAlign w:val="center"/>
            <w:textDirection w:val="lrTb"/>
            <w:noWrap w:val="false"/>
          </w:tcPr>
          <w:p>
            <w:pPr>
              <w:ind w:left="0" w:right="0" w:firstLine="0"/>
              <w:jc w:val="lef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每缺1类档案扣0.2分；无法打开、版本错误或交接不清每项扣0.2分；未完成移交本项扣完。</w:t>
            </w:r>
            <w:r/>
          </w:p>
        </w:tc>
        <w:tc>
          <w:tcPr>
            <w:tcBorders>
              <w:top w:val="single" w:color="auto" w:sz="4" w:space="0"/>
              <w:left w:val="single" w:color="auto" w:sz="4" w:space="0"/>
              <w:bottom w:val="none" w:color="000000" w:sz="4" w:space="0"/>
              <w:right w:val="single" w:color="auto" w:sz="12" w:space="0"/>
            </w:tcBorders>
            <w:tcMar>
              <w:left w:w="60" w:type="dxa"/>
              <w:top w:w="45" w:type="dxa"/>
              <w:right w:w="60" w:type="dxa"/>
              <w:bottom w:w="45" w:type="dxa"/>
            </w:tcMar>
            <w:tcW w:w="431" w:type="dxa"/>
            <w:vAlign w:val="center"/>
            <w:textDirection w:val="lrTb"/>
            <w:noWrap w:val="false"/>
          </w:tcPr>
          <w:p>
            <w:pPr>
              <w:ind w:left="0" w:right="0" w:firstLine="0"/>
              <w:jc w:val="righ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1</w:t>
            </w:r>
            <w:r/>
          </w:p>
        </w:tc>
      </w:tr>
      <w:tr>
        <w:trPr>
          <w:jc w:val="center"/>
          <w:trHeight w:val="0"/>
        </w:trPr>
        <w:tc>
          <w:tcPr>
            <w:tcBorders>
              <w:top w:val="single" w:color="auto" w:sz="4" w:space="0"/>
              <w:left w:val="single" w:color="auto" w:sz="12" w:space="0"/>
              <w:bottom w:val="none" w:color="000000" w:sz="4" w:space="0"/>
              <w:right w:val="none" w:color="000000" w:sz="4" w:space="0"/>
            </w:tcBorders>
            <w:tcMar>
              <w:left w:w="60" w:type="dxa"/>
              <w:top w:w="45" w:type="dxa"/>
              <w:right w:w="60" w:type="dxa"/>
              <w:bottom w:w="45" w:type="dxa"/>
            </w:tcMar>
            <w:tcW w:w="431" w:type="dxa"/>
            <w:vAlign w:val="center"/>
            <w:textDirection w:val="lrTb"/>
            <w:noWrap w:val="false"/>
          </w:tcPr>
          <w:p>
            <w:pPr>
              <w:ind w:left="0" w:right="0" w:firstLine="0"/>
              <w:jc w:val="center"/>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8.1</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1577" w:type="dxa"/>
            <w:vAlign w:val="center"/>
            <w:textDirection w:val="lrTb"/>
            <w:noWrap w:val="false"/>
          </w:tcPr>
          <w:p>
            <w:pPr>
              <w:ind w:left="0" w:right="0" w:firstLine="0"/>
              <w:jc w:val="center"/>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安全保密与协同</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3053" w:type="dxa"/>
            <w:vAlign w:val="center"/>
            <w:textDirection w:val="lrTb"/>
            <w:noWrap w:val="false"/>
          </w:tcPr>
          <w:p>
            <w:pPr>
              <w:ind w:left="0" w:right="0" w:firstLine="0"/>
              <w:jc w:val="lef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安全文明施工：遵守甲方安全制度，持证电工实施相关作业，执行审批、监护、挂牌、验电、防静电和现场恢复。</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3031" w:type="dxa"/>
            <w:vAlign w:val="center"/>
            <w:textDirection w:val="lrTb"/>
            <w:noWrap w:val="false"/>
          </w:tcPr>
          <w:p>
            <w:pPr>
              <w:ind w:left="0" w:right="0" w:firstLine="0"/>
              <w:jc w:val="lef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一般违规每次扣0.5分；无证、带电违规、擅自停送电每次扣2分；造成事故一票否决。</w:t>
            </w:r>
            <w:r/>
          </w:p>
        </w:tc>
        <w:tc>
          <w:tcPr>
            <w:tcBorders>
              <w:top w:val="single" w:color="auto" w:sz="4" w:space="0"/>
              <w:left w:val="single" w:color="auto" w:sz="4" w:space="0"/>
              <w:bottom w:val="none" w:color="000000" w:sz="4" w:space="0"/>
              <w:right w:val="single" w:color="auto" w:sz="12" w:space="0"/>
            </w:tcBorders>
            <w:tcMar>
              <w:left w:w="60" w:type="dxa"/>
              <w:top w:w="45" w:type="dxa"/>
              <w:right w:w="60" w:type="dxa"/>
              <w:bottom w:w="45" w:type="dxa"/>
            </w:tcMar>
            <w:tcW w:w="431" w:type="dxa"/>
            <w:vAlign w:val="center"/>
            <w:textDirection w:val="lrTb"/>
            <w:noWrap w:val="false"/>
          </w:tcPr>
          <w:p>
            <w:pPr>
              <w:ind w:left="0" w:right="0" w:firstLine="0"/>
              <w:jc w:val="righ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2</w:t>
            </w:r>
            <w:r/>
          </w:p>
        </w:tc>
      </w:tr>
      <w:tr>
        <w:trPr>
          <w:jc w:val="center"/>
          <w:trHeight w:val="0"/>
        </w:trPr>
        <w:tc>
          <w:tcPr>
            <w:tcBorders>
              <w:top w:val="single" w:color="auto" w:sz="4" w:space="0"/>
              <w:left w:val="single" w:color="auto" w:sz="12" w:space="0"/>
              <w:bottom w:val="none" w:color="000000" w:sz="4" w:space="0"/>
              <w:right w:val="none" w:color="000000" w:sz="4" w:space="0"/>
            </w:tcBorders>
            <w:tcMar>
              <w:left w:w="60" w:type="dxa"/>
              <w:top w:w="45" w:type="dxa"/>
              <w:right w:w="60" w:type="dxa"/>
              <w:bottom w:w="45" w:type="dxa"/>
            </w:tcMar>
            <w:tcW w:w="431" w:type="dxa"/>
            <w:vAlign w:val="center"/>
            <w:textDirection w:val="lrTb"/>
            <w:noWrap w:val="false"/>
          </w:tcPr>
          <w:p>
            <w:pPr>
              <w:ind w:left="0" w:right="0" w:firstLine="0"/>
              <w:jc w:val="center"/>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8.2</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1577" w:type="dxa"/>
            <w:vAlign w:val="center"/>
            <w:textDirection w:val="lrTb"/>
            <w:noWrap w:val="false"/>
          </w:tcPr>
          <w:p>
            <w:pPr>
              <w:ind w:left="0" w:right="0" w:firstLine="0"/>
              <w:jc w:val="center"/>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安全保密与协同</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3053" w:type="dxa"/>
            <w:vAlign w:val="center"/>
            <w:textDirection w:val="lrTb"/>
            <w:noWrap w:val="false"/>
          </w:tcPr>
          <w:p>
            <w:pPr>
              <w:ind w:left="0" w:right="0" w:firstLine="0"/>
              <w:jc w:val="lef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保密和数据安全：不得披露、复制、带离采购人信息；账号、配置、日志和备份按甲方要求保存和交接。</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3031" w:type="dxa"/>
            <w:vAlign w:val="center"/>
            <w:textDirection w:val="lrTb"/>
            <w:noWrap w:val="false"/>
          </w:tcPr>
          <w:p>
            <w:pPr>
              <w:ind w:left="0" w:right="0" w:firstLine="0"/>
              <w:jc w:val="lef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一般管理不规范每次扣0.5分；未经同意外传、使用外部介质或云服务每次扣1分；造成泄密或数据损失一票否决。</w:t>
            </w:r>
            <w:r/>
          </w:p>
        </w:tc>
        <w:tc>
          <w:tcPr>
            <w:tcBorders>
              <w:top w:val="single" w:color="auto" w:sz="4" w:space="0"/>
              <w:left w:val="single" w:color="auto" w:sz="4" w:space="0"/>
              <w:bottom w:val="none" w:color="000000" w:sz="4" w:space="0"/>
              <w:right w:val="single" w:color="auto" w:sz="12" w:space="0"/>
            </w:tcBorders>
            <w:tcMar>
              <w:left w:w="60" w:type="dxa"/>
              <w:top w:w="45" w:type="dxa"/>
              <w:right w:w="60" w:type="dxa"/>
              <w:bottom w:w="45" w:type="dxa"/>
            </w:tcMar>
            <w:tcW w:w="431" w:type="dxa"/>
            <w:vAlign w:val="center"/>
            <w:textDirection w:val="lrTb"/>
            <w:noWrap w:val="false"/>
          </w:tcPr>
          <w:p>
            <w:pPr>
              <w:ind w:left="0" w:right="0" w:firstLine="0"/>
              <w:jc w:val="righ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2</w:t>
            </w:r>
            <w:r/>
          </w:p>
        </w:tc>
      </w:tr>
      <w:tr>
        <w:trPr>
          <w:jc w:val="center"/>
          <w:trHeight w:val="0"/>
        </w:trPr>
        <w:tc>
          <w:tcPr>
            <w:tcBorders>
              <w:top w:val="single" w:color="auto" w:sz="4" w:space="0"/>
              <w:left w:val="single" w:color="auto" w:sz="12" w:space="0"/>
              <w:bottom w:val="none" w:color="000000" w:sz="4" w:space="0"/>
              <w:right w:val="none" w:color="000000" w:sz="4" w:space="0"/>
            </w:tcBorders>
            <w:tcMar>
              <w:left w:w="60" w:type="dxa"/>
              <w:top w:w="45" w:type="dxa"/>
              <w:right w:w="60" w:type="dxa"/>
              <w:bottom w:w="45" w:type="dxa"/>
            </w:tcMar>
            <w:tcW w:w="431" w:type="dxa"/>
            <w:vAlign w:val="center"/>
            <w:textDirection w:val="lrTb"/>
            <w:noWrap w:val="false"/>
          </w:tcPr>
          <w:p>
            <w:pPr>
              <w:ind w:left="0" w:right="0" w:firstLine="0"/>
              <w:jc w:val="center"/>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8.3</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1577" w:type="dxa"/>
            <w:vAlign w:val="center"/>
            <w:textDirection w:val="lrTb"/>
            <w:noWrap w:val="false"/>
          </w:tcPr>
          <w:p>
            <w:pPr>
              <w:ind w:left="0" w:right="0" w:firstLine="0"/>
              <w:jc w:val="center"/>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安全保密与协同</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3053" w:type="dxa"/>
            <w:vAlign w:val="center"/>
            <w:textDirection w:val="lrTb"/>
            <w:noWrap w:val="false"/>
          </w:tcPr>
          <w:p>
            <w:pPr>
              <w:ind w:left="0" w:right="0" w:firstLine="0"/>
              <w:jc w:val="lef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变更及现场管理：服从甲方指挥，施工不影响正常办公；可能影响业务的操作须提前通知并取得书面同意。</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3031" w:type="dxa"/>
            <w:vAlign w:val="center"/>
            <w:textDirection w:val="lrTb"/>
            <w:noWrap w:val="false"/>
          </w:tcPr>
          <w:p>
            <w:pPr>
              <w:ind w:left="0" w:right="0" w:firstLine="0"/>
              <w:jc w:val="lef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未通知或未经同意施工每次扣0.5分；现场未清理、线缆标识错误或遗留隐患每项扣0.2分。</w:t>
            </w:r>
            <w:r/>
          </w:p>
        </w:tc>
        <w:tc>
          <w:tcPr>
            <w:tcBorders>
              <w:top w:val="single" w:color="auto" w:sz="4" w:space="0"/>
              <w:left w:val="single" w:color="auto" w:sz="4" w:space="0"/>
              <w:bottom w:val="none" w:color="000000" w:sz="4" w:space="0"/>
              <w:right w:val="single" w:color="auto" w:sz="12" w:space="0"/>
            </w:tcBorders>
            <w:tcMar>
              <w:left w:w="60" w:type="dxa"/>
              <w:top w:w="45" w:type="dxa"/>
              <w:right w:w="60" w:type="dxa"/>
              <w:bottom w:w="45" w:type="dxa"/>
            </w:tcMar>
            <w:tcW w:w="431" w:type="dxa"/>
            <w:vAlign w:val="center"/>
            <w:textDirection w:val="lrTb"/>
            <w:noWrap w:val="false"/>
          </w:tcPr>
          <w:p>
            <w:pPr>
              <w:ind w:left="0" w:right="0" w:firstLine="0"/>
              <w:jc w:val="righ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1</w:t>
            </w:r>
            <w:r/>
          </w:p>
        </w:tc>
      </w:tr>
      <w:tr>
        <w:trPr>
          <w:jc w:val="center"/>
          <w:trHeight w:val="0"/>
        </w:trPr>
        <w:tc>
          <w:tcPr>
            <w:tcBorders>
              <w:top w:val="single" w:color="auto" w:sz="4" w:space="0"/>
              <w:left w:val="single" w:color="auto" w:sz="12" w:space="0"/>
              <w:bottom w:val="single" w:color="auto" w:sz="12" w:space="0"/>
              <w:right w:val="none" w:color="000000" w:sz="4" w:space="0"/>
            </w:tcBorders>
            <w:tcMar>
              <w:left w:w="60" w:type="dxa"/>
              <w:top w:w="45" w:type="dxa"/>
              <w:right w:w="60" w:type="dxa"/>
              <w:bottom w:w="45" w:type="dxa"/>
            </w:tcMar>
            <w:tcW w:w="431" w:type="dxa"/>
            <w:vAlign w:val="center"/>
            <w:textDirection w:val="lrTb"/>
            <w:noWrap w:val="false"/>
          </w:tcPr>
          <w:p>
            <w:pPr>
              <w:ind w:left="0" w:right="0" w:firstLine="0"/>
              <w:jc w:val="center"/>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8.4</w:t>
            </w:r>
            <w:r/>
          </w:p>
        </w:tc>
        <w:tc>
          <w:tcPr>
            <w:tcBorders>
              <w:top w:val="single" w:color="auto" w:sz="4" w:space="0"/>
              <w:left w:val="single" w:color="auto" w:sz="4" w:space="0"/>
              <w:bottom w:val="single" w:color="auto" w:sz="12" w:space="0"/>
              <w:right w:val="none" w:color="000000" w:sz="4" w:space="0"/>
            </w:tcBorders>
            <w:tcMar>
              <w:left w:w="60" w:type="dxa"/>
              <w:top w:w="45" w:type="dxa"/>
              <w:right w:w="60" w:type="dxa"/>
              <w:bottom w:w="45" w:type="dxa"/>
            </w:tcMar>
            <w:tcW w:w="1577" w:type="dxa"/>
            <w:vAlign w:val="center"/>
            <w:textDirection w:val="lrTb"/>
            <w:noWrap w:val="false"/>
          </w:tcPr>
          <w:p>
            <w:pPr>
              <w:ind w:left="0" w:right="0" w:firstLine="0"/>
              <w:jc w:val="center"/>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安全保密与协同</w:t>
            </w:r>
            <w:r/>
          </w:p>
        </w:tc>
        <w:tc>
          <w:tcPr>
            <w:tcBorders>
              <w:top w:val="single" w:color="auto" w:sz="4" w:space="0"/>
              <w:left w:val="single" w:color="auto" w:sz="4" w:space="0"/>
              <w:bottom w:val="single" w:color="auto" w:sz="12" w:space="0"/>
              <w:right w:val="none" w:color="000000" w:sz="4" w:space="0"/>
            </w:tcBorders>
            <w:tcMar>
              <w:left w:w="60" w:type="dxa"/>
              <w:top w:w="45" w:type="dxa"/>
              <w:right w:w="60" w:type="dxa"/>
              <w:bottom w:w="45" w:type="dxa"/>
            </w:tcMar>
            <w:tcW w:w="3053" w:type="dxa"/>
            <w:vAlign w:val="center"/>
            <w:textDirection w:val="lrTb"/>
            <w:noWrap w:val="false"/>
          </w:tcPr>
          <w:p>
            <w:pPr>
              <w:ind w:left="0" w:right="0" w:firstLine="0"/>
              <w:jc w:val="lef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投诉与配合：及时落实甲方合理要求，无有效投诉；按要求参加会议、检查、保障和问题复盘。</w:t>
            </w:r>
            <w:r/>
          </w:p>
        </w:tc>
        <w:tc>
          <w:tcPr>
            <w:tcBorders>
              <w:top w:val="single" w:color="auto" w:sz="4" w:space="0"/>
              <w:left w:val="single" w:color="auto" w:sz="4" w:space="0"/>
              <w:bottom w:val="single" w:color="auto" w:sz="12" w:space="0"/>
              <w:right w:val="none" w:color="000000" w:sz="4" w:space="0"/>
            </w:tcBorders>
            <w:tcMar>
              <w:left w:w="60" w:type="dxa"/>
              <w:top w:w="45" w:type="dxa"/>
              <w:right w:w="60" w:type="dxa"/>
              <w:bottom w:w="45" w:type="dxa"/>
            </w:tcMar>
            <w:tcW w:w="3031" w:type="dxa"/>
            <w:vAlign w:val="center"/>
            <w:textDirection w:val="lrTb"/>
            <w:noWrap w:val="false"/>
          </w:tcPr>
          <w:p>
            <w:pPr>
              <w:ind w:left="0" w:right="0" w:firstLine="0"/>
              <w:jc w:val="lef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每发生1次有效投诉扣0.5分；拒不配合或未按要求参加每次扣0.5分；同类投诉重复发生本项扣完。</w:t>
            </w:r>
            <w:r/>
          </w:p>
        </w:tc>
        <w:tc>
          <w:tcPr>
            <w:tcBorders>
              <w:top w:val="single" w:color="auto" w:sz="4" w:space="0"/>
              <w:left w:val="single" w:color="auto" w:sz="4" w:space="0"/>
              <w:bottom w:val="single" w:color="auto" w:sz="12" w:space="0"/>
              <w:right w:val="single" w:color="auto" w:sz="12" w:space="0"/>
            </w:tcBorders>
            <w:tcMar>
              <w:left w:w="60" w:type="dxa"/>
              <w:top w:w="45" w:type="dxa"/>
              <w:right w:w="60" w:type="dxa"/>
              <w:bottom w:w="45" w:type="dxa"/>
            </w:tcMar>
            <w:tcW w:w="431" w:type="dxa"/>
            <w:vAlign w:val="center"/>
            <w:textDirection w:val="lrTb"/>
            <w:noWrap w:val="false"/>
          </w:tcPr>
          <w:p>
            <w:pPr>
              <w:ind w:left="0" w:right="0" w:firstLine="0"/>
              <w:jc w:val="right"/>
              <w:keepNex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1</w:t>
            </w:r>
            <w:r/>
          </w:p>
        </w:tc>
      </w:tr>
    </w:tbl>
    <w:p>
      <w:pPr>
        <w:ind w:left="0" w:firstLine="420"/>
        <w:jc w:val="both"/>
        <w:spacing w:before="0" w:after="0" w:line="360" w:lineRule="auto"/>
        <w:rPr>
          <w:highlight w:val="none"/>
        </w:rPr>
      </w:pPr>
      <w:r>
        <w:rPr>
          <w:rFonts w:ascii="宋体" w:hAnsi="宋体" w:eastAsia="宋体"/>
          <w:b w:val="0"/>
          <w:sz w:val="21"/>
          <w:highlight w:val="none"/>
        </w:rPr>
        <w:t xml:space="preserve">说明：各项扣分累计至该项分值扣完为止。巡检、维护、故障、备件、人员和档案记录存在伪造、补录掩盖事实或故意篡改的，不受该项分值限制，直接按一票否决事项处理。</w:t>
      </w:r>
      <w:r/>
    </w:p>
    <w:p>
      <w:pPr>
        <w:ind w:left="0" w:firstLine="0"/>
        <w:jc w:val="left"/>
        <w:keepNext/>
        <w:spacing w:before="0" w:after="0" w:line="360" w:lineRule="auto"/>
        <w:rPr>
          <w:highlight w:val="none"/>
        </w:rPr>
      </w:pPr>
      <w:r>
        <w:rPr>
          <w:rFonts w:ascii="宋体" w:hAnsi="宋体" w:eastAsia="宋体"/>
          <w:b/>
          <w:sz w:val="21"/>
          <w:highlight w:val="none"/>
        </w:rPr>
        <w:t xml:space="preserve">7.一票否决及严重违约事项</w:t>
      </w:r>
      <w:r/>
    </w:p>
    <w:tbl>
      <w:tblPr>
        <w:tblStyle w:val="735"/>
        <w:tblW w:w="8522"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54"/>
        <w:gridCol w:w="4637"/>
        <w:gridCol w:w="3331"/>
      </w:tblGrid>
      <w:tr>
        <w:trPr>
          <w:jc w:val="center"/>
          <w:trHeight w:val="0"/>
          <w:tblHeader/>
        </w:trPr>
        <w:tc>
          <w:tcPr>
            <w:shd w:val="clear" w:color="auto" w:fill="f4cccc"/>
            <w:tcBorders>
              <w:top w:val="single" w:color="auto" w:sz="12" w:space="0"/>
              <w:left w:val="single" w:color="auto" w:sz="12" w:space="0"/>
              <w:bottom w:val="none" w:color="000000" w:sz="4" w:space="0"/>
              <w:right w:val="none" w:color="000000" w:sz="4" w:space="0"/>
            </w:tcBorders>
            <w:tcMar>
              <w:left w:w="60" w:type="dxa"/>
              <w:top w:w="45" w:type="dxa"/>
              <w:right w:w="60" w:type="dxa"/>
              <w:bottom w:w="45" w:type="dxa"/>
            </w:tcMar>
            <w:tcW w:w="554" w:type="dxa"/>
            <w:vAlign w:val="center"/>
            <w:textDirection w:val="lrTb"/>
            <w:noWrap w:val="false"/>
          </w:tcPr>
          <w:p>
            <w:pPr>
              <w:ind w:left="0" w:right="0" w:firstLine="0"/>
              <w:jc w:val="center"/>
              <w:spacing w:before="0" w:after="0" w:line="240" w:lineRule="auto"/>
              <w:widowControl w:val="off"/>
              <w:rPr>
                <w:rFonts w:ascii="宋体" w:eastAsia="宋体"/>
                <w:b/>
                <w:sz w:val="21"/>
                <w:szCs w:val="21"/>
                <w:highlight w:val="none"/>
              </w:rPr>
            </w:pPr>
            <w:r>
              <w:rPr>
                <w:rFonts w:ascii="宋体" w:hAnsi="宋体" w:eastAsia="宋体"/>
                <w:b/>
                <w:sz w:val="21"/>
                <w:szCs w:val="21"/>
                <w:highlight w:val="none"/>
              </w:rPr>
              <w:t xml:space="preserve">序号</w:t>
            </w:r>
            <w:r/>
          </w:p>
        </w:tc>
        <w:tc>
          <w:tcPr>
            <w:shd w:val="clear" w:color="auto" w:fill="f4cccc"/>
            <w:tcBorders>
              <w:top w:val="single" w:color="auto" w:sz="12" w:space="0"/>
              <w:left w:val="single" w:color="auto" w:sz="4" w:space="0"/>
              <w:bottom w:val="none" w:color="000000" w:sz="4" w:space="0"/>
              <w:right w:val="none" w:color="000000" w:sz="4" w:space="0"/>
            </w:tcBorders>
            <w:tcMar>
              <w:left w:w="60" w:type="dxa"/>
              <w:top w:w="45" w:type="dxa"/>
              <w:right w:w="60" w:type="dxa"/>
              <w:bottom w:w="45" w:type="dxa"/>
            </w:tcMar>
            <w:tcW w:w="4637" w:type="dxa"/>
            <w:vAlign w:val="center"/>
            <w:textDirection w:val="lrTb"/>
            <w:noWrap w:val="false"/>
          </w:tcPr>
          <w:p>
            <w:pPr>
              <w:ind w:left="0" w:right="0" w:firstLine="0"/>
              <w:jc w:val="center"/>
              <w:spacing w:before="0" w:after="0" w:line="240" w:lineRule="auto"/>
              <w:widowControl w:val="off"/>
              <w:rPr>
                <w:rFonts w:ascii="宋体" w:eastAsia="宋体"/>
                <w:b/>
                <w:sz w:val="21"/>
                <w:szCs w:val="21"/>
                <w:highlight w:val="none"/>
              </w:rPr>
            </w:pPr>
            <w:r>
              <w:rPr>
                <w:rFonts w:ascii="宋体" w:hAnsi="宋体" w:eastAsia="宋体"/>
                <w:b/>
                <w:sz w:val="21"/>
                <w:szCs w:val="21"/>
                <w:highlight w:val="none"/>
              </w:rPr>
              <w:t xml:space="preserve">一票否决情形</w:t>
            </w:r>
            <w:r/>
          </w:p>
        </w:tc>
        <w:tc>
          <w:tcPr>
            <w:shd w:val="clear" w:color="auto" w:fill="f4cccc"/>
            <w:tcBorders>
              <w:top w:val="single" w:color="auto" w:sz="12" w:space="0"/>
              <w:left w:val="single" w:color="auto" w:sz="4" w:space="0"/>
              <w:bottom w:val="none" w:color="000000" w:sz="4" w:space="0"/>
              <w:right w:val="single" w:color="auto" w:sz="12" w:space="0"/>
            </w:tcBorders>
            <w:tcMar>
              <w:left w:w="60" w:type="dxa"/>
              <w:top w:w="45" w:type="dxa"/>
              <w:right w:w="60" w:type="dxa"/>
              <w:bottom w:w="45" w:type="dxa"/>
            </w:tcMar>
            <w:tcW w:w="3331" w:type="dxa"/>
            <w:vAlign w:val="center"/>
            <w:textDirection w:val="lrTb"/>
            <w:noWrap w:val="false"/>
          </w:tcPr>
          <w:p>
            <w:pPr>
              <w:ind w:left="0" w:right="0" w:firstLine="0"/>
              <w:jc w:val="center"/>
              <w:spacing w:before="0" w:after="0" w:line="240" w:lineRule="auto"/>
              <w:widowControl w:val="off"/>
              <w:rPr>
                <w:rFonts w:ascii="宋体" w:eastAsia="宋体"/>
                <w:b/>
                <w:sz w:val="21"/>
                <w:szCs w:val="21"/>
                <w:highlight w:val="none"/>
              </w:rPr>
            </w:pPr>
            <w:r>
              <w:rPr>
                <w:rFonts w:ascii="宋体" w:hAnsi="宋体" w:eastAsia="宋体"/>
                <w:b/>
                <w:sz w:val="21"/>
                <w:szCs w:val="21"/>
                <w:highlight w:val="none"/>
              </w:rPr>
              <w:t xml:space="preserve">最低处理措施</w:t>
            </w:r>
            <w:r/>
          </w:p>
        </w:tc>
      </w:tr>
      <w:tr>
        <w:trPr>
          <w:jc w:val="center"/>
          <w:trHeight w:val="0"/>
        </w:trPr>
        <w:tc>
          <w:tcPr>
            <w:tcBorders>
              <w:top w:val="single" w:color="auto" w:sz="4" w:space="0"/>
              <w:left w:val="single" w:color="auto" w:sz="12" w:space="0"/>
              <w:bottom w:val="none" w:color="000000" w:sz="4" w:space="0"/>
              <w:right w:val="none" w:color="000000" w:sz="4" w:space="0"/>
            </w:tcBorders>
            <w:tcMar>
              <w:left w:w="60" w:type="dxa"/>
              <w:top w:w="45" w:type="dxa"/>
              <w:right w:w="60" w:type="dxa"/>
              <w:bottom w:w="45" w:type="dxa"/>
            </w:tcMar>
            <w:tcW w:w="554" w:type="dxa"/>
            <w:vAlign w:val="center"/>
            <w:textDirection w:val="lrTb"/>
            <w:noWrap w:val="false"/>
          </w:tcPr>
          <w:p>
            <w:pPr>
              <w:ind w:left="0" w:right="0" w:firstLine="0"/>
              <w:jc w:val="center"/>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1</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4637" w:type="dxa"/>
            <w:vAlign w:val="center"/>
            <w:textDirection w:val="lrTb"/>
            <w:noWrap w:val="false"/>
          </w:tcPr>
          <w:p>
            <w:pPr>
              <w:ind w:left="0" w:right="0" w:firstLine="0"/>
              <w:jc w:val="center"/>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伪造、篡改、虚构或指使他人补造巡检、维护、故障、人员考勤、备件库存、培训、演练、检测、发票、合格证明等资料。</w:t>
            </w:r>
            <w:r/>
          </w:p>
        </w:tc>
        <w:tc>
          <w:tcPr>
            <w:tcBorders>
              <w:top w:val="single" w:color="auto" w:sz="4" w:space="0"/>
              <w:left w:val="single" w:color="auto" w:sz="4" w:space="0"/>
              <w:bottom w:val="none" w:color="000000" w:sz="4" w:space="0"/>
              <w:right w:val="single" w:color="auto" w:sz="12" w:space="0"/>
            </w:tcBorders>
            <w:tcMar>
              <w:left w:w="60" w:type="dxa"/>
              <w:top w:w="45" w:type="dxa"/>
              <w:right w:w="60" w:type="dxa"/>
              <w:bottom w:w="45" w:type="dxa"/>
            </w:tcMar>
            <w:tcW w:w="3331" w:type="dxa"/>
            <w:vAlign w:val="center"/>
            <w:textDirection w:val="lrTb"/>
            <w:noWrap w:val="false"/>
          </w:tcPr>
          <w:p>
            <w:pPr>
              <w:ind w:left="0" w:right="0" w:firstLine="0"/>
              <w:jc w:val="lef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当季得分记0分、</w:t>
            </w:r>
            <w:r>
              <w:rPr>
                <w:rFonts w:hint="eastAsia" w:ascii="宋体" w:hAnsi="宋体"/>
                <w:b w:val="0"/>
                <w:sz w:val="21"/>
                <w:szCs w:val="21"/>
                <w:highlight w:val="none"/>
                <w:lang w:eastAsia="zh-CN"/>
              </w:rPr>
              <w:t xml:space="preserve">当季对应考核结算金额不予支付</w:t>
            </w:r>
            <w:r>
              <w:rPr>
                <w:rFonts w:ascii="宋体" w:hAnsi="宋体" w:eastAsia="宋体"/>
                <w:b w:val="0"/>
                <w:sz w:val="21"/>
                <w:szCs w:val="21"/>
                <w:highlight w:val="none"/>
              </w:rPr>
              <w:t xml:space="preserve">；甲方可解除合同并追究责任。</w:t>
            </w:r>
            <w:r/>
          </w:p>
        </w:tc>
      </w:tr>
      <w:tr>
        <w:trPr>
          <w:jc w:val="center"/>
          <w:trHeight w:val="0"/>
        </w:trPr>
        <w:tc>
          <w:tcPr>
            <w:tcBorders>
              <w:top w:val="single" w:color="auto" w:sz="4" w:space="0"/>
              <w:left w:val="single" w:color="auto" w:sz="12" w:space="0"/>
              <w:bottom w:val="none" w:color="000000" w:sz="4" w:space="0"/>
              <w:right w:val="none" w:color="000000" w:sz="4" w:space="0"/>
            </w:tcBorders>
            <w:tcMar>
              <w:left w:w="60" w:type="dxa"/>
              <w:top w:w="45" w:type="dxa"/>
              <w:right w:w="60" w:type="dxa"/>
              <w:bottom w:w="45" w:type="dxa"/>
            </w:tcMar>
            <w:tcW w:w="554" w:type="dxa"/>
            <w:vAlign w:val="center"/>
            <w:textDirection w:val="lrTb"/>
            <w:noWrap w:val="false"/>
          </w:tcPr>
          <w:p>
            <w:pPr>
              <w:ind w:left="0" w:right="0" w:firstLine="0"/>
              <w:jc w:val="center"/>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2</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4637" w:type="dxa"/>
            <w:vAlign w:val="center"/>
            <w:textDirection w:val="lrTb"/>
            <w:noWrap w:val="false"/>
          </w:tcPr>
          <w:p>
            <w:pPr>
              <w:ind w:left="0" w:right="0" w:firstLine="0"/>
              <w:jc w:val="center"/>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提供或使用假冒伪劣、翻新、拆机、来源不合法、参数低于原设备或不兼容的备品备件；未经书面同意擅自使用替代产品。</w:t>
            </w:r>
            <w:r/>
          </w:p>
        </w:tc>
        <w:tc>
          <w:tcPr>
            <w:tcBorders>
              <w:top w:val="single" w:color="auto" w:sz="4" w:space="0"/>
              <w:left w:val="single" w:color="auto" w:sz="4" w:space="0"/>
              <w:bottom w:val="none" w:color="000000" w:sz="4" w:space="0"/>
              <w:right w:val="single" w:color="auto" w:sz="12" w:space="0"/>
            </w:tcBorders>
            <w:tcMar>
              <w:left w:w="60" w:type="dxa"/>
              <w:top w:w="45" w:type="dxa"/>
              <w:right w:w="60" w:type="dxa"/>
              <w:bottom w:w="45" w:type="dxa"/>
            </w:tcMar>
            <w:tcW w:w="3331" w:type="dxa"/>
            <w:vAlign w:val="center"/>
            <w:textDirection w:val="lrTb"/>
            <w:noWrap w:val="false"/>
          </w:tcPr>
          <w:p>
            <w:pPr>
              <w:ind w:left="0" w:right="0" w:firstLine="0"/>
              <w:jc w:val="lef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无偿更换并承担停机、损坏、第三方处置费用；当季0分，</w:t>
            </w:r>
            <w:r>
              <w:rPr>
                <w:rFonts w:hint="eastAsia" w:ascii="宋体" w:hAnsi="宋体"/>
                <w:b w:val="0"/>
                <w:sz w:val="21"/>
                <w:szCs w:val="21"/>
                <w:highlight w:val="none"/>
                <w:lang w:eastAsia="zh-CN"/>
              </w:rPr>
              <w:t xml:space="preserve">第三期结算款</w:t>
            </w:r>
            <w:r>
              <w:rPr>
                <w:rFonts w:ascii="宋体" w:hAnsi="宋体" w:eastAsia="宋体"/>
                <w:b w:val="0"/>
                <w:sz w:val="21"/>
                <w:szCs w:val="21"/>
                <w:highlight w:val="none"/>
              </w:rPr>
              <w:t xml:space="preserve">原则上不予支付。</w:t>
            </w:r>
            <w:r/>
          </w:p>
        </w:tc>
      </w:tr>
      <w:tr>
        <w:trPr>
          <w:jc w:val="center"/>
          <w:trHeight w:val="0"/>
        </w:trPr>
        <w:tc>
          <w:tcPr>
            <w:tcBorders>
              <w:top w:val="single" w:color="auto" w:sz="4" w:space="0"/>
              <w:left w:val="single" w:color="auto" w:sz="12" w:space="0"/>
              <w:bottom w:val="none" w:color="000000" w:sz="4" w:space="0"/>
              <w:right w:val="none" w:color="000000" w:sz="4" w:space="0"/>
            </w:tcBorders>
            <w:tcMar>
              <w:left w:w="60" w:type="dxa"/>
              <w:top w:w="45" w:type="dxa"/>
              <w:right w:w="60" w:type="dxa"/>
              <w:bottom w:w="45" w:type="dxa"/>
            </w:tcMar>
            <w:tcW w:w="554" w:type="dxa"/>
            <w:vAlign w:val="center"/>
            <w:textDirection w:val="lrTb"/>
            <w:noWrap w:val="false"/>
          </w:tcPr>
          <w:p>
            <w:pPr>
              <w:ind w:left="0" w:right="0" w:firstLine="0"/>
              <w:jc w:val="center"/>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3</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4637" w:type="dxa"/>
            <w:vAlign w:val="center"/>
            <w:textDirection w:val="lrTb"/>
            <w:noWrap w:val="false"/>
          </w:tcPr>
          <w:p>
            <w:pPr>
              <w:ind w:left="0" w:right="0" w:firstLine="0"/>
              <w:jc w:val="center"/>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未经甲方书面同意转包、违法分包，或由响应文件承诺团队以外且不具备能力、资质的人员承担核心服务。</w:t>
            </w:r>
            <w:r/>
          </w:p>
        </w:tc>
        <w:tc>
          <w:tcPr>
            <w:tcBorders>
              <w:top w:val="single" w:color="auto" w:sz="4" w:space="0"/>
              <w:left w:val="single" w:color="auto" w:sz="4" w:space="0"/>
              <w:bottom w:val="none" w:color="000000" w:sz="4" w:space="0"/>
              <w:right w:val="single" w:color="auto" w:sz="12" w:space="0"/>
            </w:tcBorders>
            <w:tcMar>
              <w:left w:w="60" w:type="dxa"/>
              <w:top w:w="45" w:type="dxa"/>
              <w:right w:w="60" w:type="dxa"/>
              <w:bottom w:w="45" w:type="dxa"/>
            </w:tcMar>
            <w:tcW w:w="3331" w:type="dxa"/>
            <w:vAlign w:val="center"/>
            <w:textDirection w:val="lrTb"/>
            <w:noWrap w:val="false"/>
          </w:tcPr>
          <w:p>
            <w:pPr>
              <w:ind w:left="0" w:right="0" w:firstLine="0"/>
              <w:jc w:val="lef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当季0分；甲方可立即解除合同并要求赔偿。</w:t>
            </w:r>
            <w:r/>
          </w:p>
        </w:tc>
      </w:tr>
      <w:tr>
        <w:trPr>
          <w:jc w:val="center"/>
          <w:trHeight w:val="0"/>
        </w:trPr>
        <w:tc>
          <w:tcPr>
            <w:tcBorders>
              <w:top w:val="single" w:color="auto" w:sz="4" w:space="0"/>
              <w:left w:val="single" w:color="auto" w:sz="12" w:space="0"/>
              <w:bottom w:val="none" w:color="000000" w:sz="4" w:space="0"/>
              <w:right w:val="none" w:color="000000" w:sz="4" w:space="0"/>
            </w:tcBorders>
            <w:tcMar>
              <w:left w:w="60" w:type="dxa"/>
              <w:top w:w="45" w:type="dxa"/>
              <w:right w:w="60" w:type="dxa"/>
              <w:bottom w:w="45" w:type="dxa"/>
            </w:tcMar>
            <w:tcW w:w="554" w:type="dxa"/>
            <w:vAlign w:val="center"/>
            <w:textDirection w:val="lrTb"/>
            <w:noWrap w:val="false"/>
          </w:tcPr>
          <w:p>
            <w:pPr>
              <w:ind w:left="0" w:right="0" w:firstLine="0"/>
              <w:jc w:val="center"/>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4</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4637" w:type="dxa"/>
            <w:vAlign w:val="center"/>
            <w:textDirection w:val="lrTb"/>
            <w:noWrap w:val="false"/>
          </w:tcPr>
          <w:p>
            <w:pPr>
              <w:ind w:left="0" w:right="0" w:firstLine="0"/>
              <w:jc w:val="center"/>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泄露采购人信息、账号、配置、日志、图纸、视频或其他资料，造成网络安全、数据安全或保密事件。</w:t>
            </w:r>
            <w:r/>
          </w:p>
        </w:tc>
        <w:tc>
          <w:tcPr>
            <w:tcBorders>
              <w:top w:val="single" w:color="auto" w:sz="4" w:space="0"/>
              <w:left w:val="single" w:color="auto" w:sz="4" w:space="0"/>
              <w:bottom w:val="none" w:color="000000" w:sz="4" w:space="0"/>
              <w:right w:val="single" w:color="auto" w:sz="12" w:space="0"/>
            </w:tcBorders>
            <w:tcMar>
              <w:left w:w="60" w:type="dxa"/>
              <w:top w:w="45" w:type="dxa"/>
              <w:right w:w="60" w:type="dxa"/>
              <w:bottom w:w="45" w:type="dxa"/>
            </w:tcMar>
            <w:tcW w:w="3331" w:type="dxa"/>
            <w:vAlign w:val="center"/>
            <w:textDirection w:val="lrTb"/>
            <w:noWrap w:val="false"/>
          </w:tcPr>
          <w:p>
            <w:pPr>
              <w:ind w:left="0" w:right="0" w:firstLine="0"/>
              <w:jc w:val="lef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当季0分；</w:t>
            </w:r>
            <w:r>
              <w:rPr>
                <w:rFonts w:hint="eastAsia" w:ascii="宋体" w:hAnsi="宋体"/>
                <w:b w:val="0"/>
                <w:sz w:val="21"/>
                <w:szCs w:val="21"/>
                <w:highlight w:val="none"/>
                <w:lang w:eastAsia="zh-CN"/>
              </w:rPr>
              <w:t xml:space="preserve">第三期结算款</w:t>
            </w:r>
            <w:r>
              <w:rPr>
                <w:rFonts w:ascii="宋体" w:hAnsi="宋体" w:eastAsia="宋体"/>
                <w:b w:val="0"/>
                <w:sz w:val="21"/>
                <w:szCs w:val="21"/>
                <w:highlight w:val="none"/>
              </w:rPr>
              <w:t xml:space="preserve">不予支付；承担恢复、调查、处置及赔偿责任。</w:t>
            </w:r>
            <w:r/>
          </w:p>
        </w:tc>
      </w:tr>
      <w:tr>
        <w:trPr>
          <w:jc w:val="center"/>
          <w:trHeight w:val="0"/>
        </w:trPr>
        <w:tc>
          <w:tcPr>
            <w:tcBorders>
              <w:top w:val="single" w:color="auto" w:sz="4" w:space="0"/>
              <w:left w:val="single" w:color="auto" w:sz="12" w:space="0"/>
              <w:bottom w:val="none" w:color="000000" w:sz="4" w:space="0"/>
              <w:right w:val="none" w:color="000000" w:sz="4" w:space="0"/>
            </w:tcBorders>
            <w:tcMar>
              <w:left w:w="60" w:type="dxa"/>
              <w:top w:w="45" w:type="dxa"/>
              <w:right w:w="60" w:type="dxa"/>
              <w:bottom w:w="45" w:type="dxa"/>
            </w:tcMar>
            <w:tcW w:w="554" w:type="dxa"/>
            <w:vAlign w:val="center"/>
            <w:textDirection w:val="lrTb"/>
            <w:noWrap w:val="false"/>
          </w:tcPr>
          <w:p>
            <w:pPr>
              <w:ind w:left="0" w:right="0" w:firstLine="0"/>
              <w:jc w:val="center"/>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5</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4637" w:type="dxa"/>
            <w:vAlign w:val="center"/>
            <w:textDirection w:val="lrTb"/>
            <w:noWrap w:val="false"/>
          </w:tcPr>
          <w:p>
            <w:pPr>
              <w:ind w:left="0" w:right="0" w:firstLine="0"/>
              <w:jc w:val="center"/>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未经审批擅自停送电、修改核心配置、拆卸关键设备或绕过保护，造成重大停机、设备损坏、数据损坏或业务影响。</w:t>
            </w:r>
            <w:r/>
          </w:p>
        </w:tc>
        <w:tc>
          <w:tcPr>
            <w:tcBorders>
              <w:top w:val="single" w:color="auto" w:sz="4" w:space="0"/>
              <w:left w:val="single" w:color="auto" w:sz="4" w:space="0"/>
              <w:bottom w:val="none" w:color="000000" w:sz="4" w:space="0"/>
              <w:right w:val="single" w:color="auto" w:sz="12" w:space="0"/>
            </w:tcBorders>
            <w:tcMar>
              <w:left w:w="60" w:type="dxa"/>
              <w:top w:w="45" w:type="dxa"/>
              <w:right w:w="60" w:type="dxa"/>
              <w:bottom w:w="45" w:type="dxa"/>
            </w:tcMar>
            <w:tcW w:w="3331" w:type="dxa"/>
            <w:vAlign w:val="center"/>
            <w:textDirection w:val="lrTb"/>
            <w:noWrap w:val="false"/>
          </w:tcPr>
          <w:p>
            <w:pPr>
              <w:ind w:left="0" w:right="0" w:firstLine="0"/>
              <w:jc w:val="lef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当季0分；无偿恢复并赔偿全部损失；甲方可解除合同。</w:t>
            </w:r>
            <w:r/>
          </w:p>
        </w:tc>
      </w:tr>
      <w:tr>
        <w:trPr>
          <w:jc w:val="center"/>
          <w:trHeight w:val="0"/>
        </w:trPr>
        <w:tc>
          <w:tcPr>
            <w:tcBorders>
              <w:top w:val="single" w:color="auto" w:sz="4" w:space="0"/>
              <w:left w:val="single" w:color="auto" w:sz="12" w:space="0"/>
              <w:bottom w:val="none" w:color="000000" w:sz="4" w:space="0"/>
              <w:right w:val="none" w:color="000000" w:sz="4" w:space="0"/>
            </w:tcBorders>
            <w:tcMar>
              <w:left w:w="60" w:type="dxa"/>
              <w:top w:w="45" w:type="dxa"/>
              <w:right w:w="60" w:type="dxa"/>
              <w:bottom w:w="45" w:type="dxa"/>
            </w:tcMar>
            <w:tcW w:w="554" w:type="dxa"/>
            <w:vAlign w:val="center"/>
            <w:textDirection w:val="lrTb"/>
            <w:noWrap w:val="false"/>
          </w:tcPr>
          <w:p>
            <w:pPr>
              <w:ind w:left="0" w:right="0" w:firstLine="0"/>
              <w:jc w:val="center"/>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6</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4637" w:type="dxa"/>
            <w:vAlign w:val="center"/>
            <w:textDirection w:val="lrTb"/>
            <w:noWrap w:val="false"/>
          </w:tcPr>
          <w:p>
            <w:pPr>
              <w:ind w:left="0" w:right="0" w:firstLine="0"/>
              <w:jc w:val="center"/>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Ⅰ级故障发生后维护电话、项目负责人和技术负责人连续60分钟无法联系，或无正当理由拒绝到场、停止处置，造成严重影响。</w:t>
            </w:r>
            <w:r/>
          </w:p>
        </w:tc>
        <w:tc>
          <w:tcPr>
            <w:tcBorders>
              <w:top w:val="single" w:color="auto" w:sz="4" w:space="0"/>
              <w:left w:val="single" w:color="auto" w:sz="4" w:space="0"/>
              <w:bottom w:val="none" w:color="000000" w:sz="4" w:space="0"/>
              <w:right w:val="single" w:color="auto" w:sz="12" w:space="0"/>
            </w:tcBorders>
            <w:tcMar>
              <w:left w:w="60" w:type="dxa"/>
              <w:top w:w="45" w:type="dxa"/>
              <w:right w:w="60" w:type="dxa"/>
              <w:bottom w:w="45" w:type="dxa"/>
            </w:tcMar>
            <w:tcW w:w="3331" w:type="dxa"/>
            <w:vAlign w:val="center"/>
            <w:textDirection w:val="lrTb"/>
            <w:noWrap w:val="false"/>
          </w:tcPr>
          <w:p>
            <w:pPr>
              <w:ind w:left="0" w:right="0" w:firstLine="0"/>
              <w:jc w:val="lef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当季0分；甲方可直接委托第三方处置并由乙方承担全部费用。</w:t>
            </w:r>
            <w:r/>
          </w:p>
        </w:tc>
      </w:tr>
      <w:tr>
        <w:trPr>
          <w:jc w:val="center"/>
          <w:trHeight w:val="0"/>
        </w:trPr>
        <w:tc>
          <w:tcPr>
            <w:tcBorders>
              <w:top w:val="single" w:color="auto" w:sz="4" w:space="0"/>
              <w:left w:val="single" w:color="auto" w:sz="12" w:space="0"/>
              <w:bottom w:val="none" w:color="000000" w:sz="4" w:space="0"/>
              <w:right w:val="none" w:color="000000" w:sz="4" w:space="0"/>
            </w:tcBorders>
            <w:tcMar>
              <w:left w:w="60" w:type="dxa"/>
              <w:top w:w="45" w:type="dxa"/>
              <w:right w:w="60" w:type="dxa"/>
              <w:bottom w:w="45" w:type="dxa"/>
            </w:tcMar>
            <w:tcW w:w="554" w:type="dxa"/>
            <w:vAlign w:val="center"/>
            <w:textDirection w:val="lrTb"/>
            <w:noWrap w:val="false"/>
          </w:tcPr>
          <w:p>
            <w:pPr>
              <w:ind w:left="0" w:right="0" w:firstLine="0"/>
              <w:jc w:val="center"/>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7</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4637" w:type="dxa"/>
            <w:vAlign w:val="center"/>
            <w:textDirection w:val="lrTb"/>
            <w:noWrap w:val="false"/>
          </w:tcPr>
          <w:p>
            <w:pPr>
              <w:ind w:left="0" w:right="0" w:firstLine="0"/>
              <w:jc w:val="center"/>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因乙方违章操作、无证作业、防护不到位或管理失职，发生火灾、触电、重大人身伤害或其他较大安全事故。</w:t>
            </w:r>
            <w:r/>
          </w:p>
        </w:tc>
        <w:tc>
          <w:tcPr>
            <w:tcBorders>
              <w:top w:val="single" w:color="auto" w:sz="4" w:space="0"/>
              <w:left w:val="single" w:color="auto" w:sz="4" w:space="0"/>
              <w:bottom w:val="none" w:color="000000" w:sz="4" w:space="0"/>
              <w:right w:val="single" w:color="auto" w:sz="12" w:space="0"/>
            </w:tcBorders>
            <w:tcMar>
              <w:left w:w="60" w:type="dxa"/>
              <w:top w:w="45" w:type="dxa"/>
              <w:right w:w="60" w:type="dxa"/>
              <w:bottom w:w="45" w:type="dxa"/>
            </w:tcMar>
            <w:tcW w:w="3331" w:type="dxa"/>
            <w:vAlign w:val="center"/>
            <w:textDirection w:val="lrTb"/>
            <w:noWrap w:val="false"/>
          </w:tcPr>
          <w:p>
            <w:pPr>
              <w:ind w:left="0" w:right="0" w:firstLine="0"/>
              <w:jc w:val="lef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当季0分；甲方可解除合同；乙方承担全部法律和经济责任。</w:t>
            </w:r>
            <w:r/>
          </w:p>
        </w:tc>
      </w:tr>
      <w:tr>
        <w:trPr>
          <w:jc w:val="center"/>
          <w:trHeight w:val="0"/>
        </w:trPr>
        <w:tc>
          <w:tcPr>
            <w:tcBorders>
              <w:top w:val="single" w:color="auto" w:sz="4" w:space="0"/>
              <w:left w:val="single" w:color="auto" w:sz="12" w:space="0"/>
              <w:bottom w:val="single" w:color="auto" w:sz="12" w:space="0"/>
              <w:right w:val="none" w:color="000000" w:sz="4" w:space="0"/>
            </w:tcBorders>
            <w:tcMar>
              <w:left w:w="60" w:type="dxa"/>
              <w:top w:w="45" w:type="dxa"/>
              <w:right w:w="60" w:type="dxa"/>
              <w:bottom w:w="45" w:type="dxa"/>
            </w:tcMar>
            <w:tcW w:w="554" w:type="dxa"/>
            <w:vAlign w:val="center"/>
            <w:textDirection w:val="lrTb"/>
            <w:noWrap w:val="false"/>
          </w:tcPr>
          <w:p>
            <w:pPr>
              <w:ind w:left="0" w:right="0" w:firstLine="0"/>
              <w:jc w:val="center"/>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8</w:t>
            </w:r>
            <w:r/>
          </w:p>
        </w:tc>
        <w:tc>
          <w:tcPr>
            <w:tcBorders>
              <w:top w:val="single" w:color="auto" w:sz="4" w:space="0"/>
              <w:left w:val="single" w:color="auto" w:sz="4" w:space="0"/>
              <w:bottom w:val="single" w:color="auto" w:sz="12" w:space="0"/>
              <w:right w:val="none" w:color="000000" w:sz="4" w:space="0"/>
            </w:tcBorders>
            <w:tcMar>
              <w:left w:w="60" w:type="dxa"/>
              <w:top w:w="45" w:type="dxa"/>
              <w:right w:w="60" w:type="dxa"/>
              <w:bottom w:w="45" w:type="dxa"/>
            </w:tcMar>
            <w:tcW w:w="4637" w:type="dxa"/>
            <w:vAlign w:val="center"/>
            <w:textDirection w:val="lrTb"/>
            <w:noWrap w:val="false"/>
          </w:tcPr>
          <w:p>
            <w:pPr>
              <w:ind w:left="0" w:right="0" w:firstLine="0"/>
              <w:jc w:val="center"/>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拒绝甲方检查、盘点或取证，故意隐匿、转移备件、故障件、日志、录像或其他履约证据，且经书面通知仍不改正。</w:t>
            </w:r>
            <w:r/>
          </w:p>
        </w:tc>
        <w:tc>
          <w:tcPr>
            <w:tcBorders>
              <w:top w:val="single" w:color="auto" w:sz="4" w:space="0"/>
              <w:left w:val="single" w:color="auto" w:sz="4" w:space="0"/>
              <w:bottom w:val="single" w:color="auto" w:sz="12" w:space="0"/>
              <w:right w:val="single" w:color="auto" w:sz="12" w:space="0"/>
            </w:tcBorders>
            <w:tcMar>
              <w:left w:w="60" w:type="dxa"/>
              <w:top w:w="45" w:type="dxa"/>
              <w:right w:w="60" w:type="dxa"/>
              <w:bottom w:w="45" w:type="dxa"/>
            </w:tcMar>
            <w:tcW w:w="3331" w:type="dxa"/>
            <w:vAlign w:val="center"/>
            <w:textDirection w:val="lrTb"/>
            <w:noWrap w:val="false"/>
          </w:tcPr>
          <w:p>
            <w:pPr>
              <w:ind w:left="0" w:right="0" w:firstLine="0"/>
              <w:jc w:val="lef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当季0分；年度验收原则上判定不合格，甲方可解除合同。</w:t>
            </w:r>
            <w:r/>
          </w:p>
        </w:tc>
      </w:tr>
    </w:tbl>
    <w:p>
      <w:pPr>
        <w:ind w:left="0" w:firstLine="0"/>
        <w:jc w:val="left"/>
        <w:keepNext/>
        <w:spacing w:before="0" w:after="0" w:line="360" w:lineRule="auto"/>
        <w:rPr>
          <w:highlight w:val="none"/>
        </w:rPr>
      </w:pPr>
      <w:r>
        <w:rPr>
          <w:rFonts w:ascii="宋体" w:hAnsi="宋体" w:eastAsia="宋体"/>
          <w:b/>
          <w:sz w:val="21"/>
          <w:highlight w:val="none"/>
        </w:rPr>
        <w:t xml:space="preserve">8.专项扣款、整改及合同处置</w:t>
      </w:r>
      <w:r/>
    </w:p>
    <w:tbl>
      <w:tblPr>
        <w:tblStyle w:val="735"/>
        <w:tblW w:w="8522"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57"/>
        <w:gridCol w:w="1111"/>
        <w:gridCol w:w="6854"/>
      </w:tblGrid>
      <w:tr>
        <w:trPr>
          <w:jc w:val="center"/>
          <w:trHeight w:val="0"/>
          <w:tblHeader/>
        </w:trPr>
        <w:tc>
          <w:tcPr>
            <w:shd w:val="clear" w:color="auto" w:fill="fff2cc"/>
            <w:tcBorders>
              <w:top w:val="single" w:color="auto" w:sz="12" w:space="0"/>
              <w:left w:val="single" w:color="auto" w:sz="12" w:space="0"/>
              <w:bottom w:val="none" w:color="000000" w:sz="4" w:space="0"/>
              <w:right w:val="none" w:color="000000" w:sz="4" w:space="0"/>
            </w:tcBorders>
            <w:tcMar>
              <w:left w:w="60" w:type="dxa"/>
              <w:top w:w="45" w:type="dxa"/>
              <w:right w:w="60" w:type="dxa"/>
              <w:bottom w:w="45" w:type="dxa"/>
            </w:tcMar>
            <w:tcW w:w="557" w:type="dxa"/>
            <w:vAlign w:val="center"/>
            <w:textDirection w:val="lrTb"/>
            <w:noWrap w:val="false"/>
          </w:tcPr>
          <w:p>
            <w:pPr>
              <w:ind w:left="0" w:right="0" w:firstLine="0"/>
              <w:jc w:val="center"/>
              <w:spacing w:before="0" w:after="0" w:line="240" w:lineRule="auto"/>
              <w:widowControl w:val="off"/>
              <w:rPr>
                <w:rFonts w:ascii="宋体" w:eastAsia="宋体"/>
                <w:b/>
                <w:sz w:val="21"/>
                <w:szCs w:val="21"/>
                <w:highlight w:val="none"/>
              </w:rPr>
            </w:pPr>
            <w:r>
              <w:rPr>
                <w:rFonts w:ascii="宋体" w:hAnsi="宋体" w:eastAsia="宋体"/>
                <w:b/>
                <w:sz w:val="21"/>
                <w:szCs w:val="21"/>
                <w:highlight w:val="none"/>
              </w:rPr>
              <w:t xml:space="preserve">序号</w:t>
            </w:r>
            <w:r/>
          </w:p>
        </w:tc>
        <w:tc>
          <w:tcPr>
            <w:shd w:val="clear" w:color="auto" w:fill="fff2cc"/>
            <w:tcBorders>
              <w:top w:val="single" w:color="auto" w:sz="12" w:space="0"/>
              <w:left w:val="single" w:color="auto" w:sz="4" w:space="0"/>
              <w:bottom w:val="none" w:color="000000" w:sz="4" w:space="0"/>
              <w:right w:val="none" w:color="000000" w:sz="4" w:space="0"/>
            </w:tcBorders>
            <w:tcMar>
              <w:left w:w="60" w:type="dxa"/>
              <w:top w:w="45" w:type="dxa"/>
              <w:right w:w="60" w:type="dxa"/>
              <w:bottom w:w="45" w:type="dxa"/>
            </w:tcMar>
            <w:tcW w:w="1111" w:type="dxa"/>
            <w:vAlign w:val="center"/>
            <w:textDirection w:val="lrTb"/>
            <w:noWrap w:val="false"/>
          </w:tcPr>
          <w:p>
            <w:pPr>
              <w:ind w:left="0" w:right="0" w:firstLine="0"/>
              <w:jc w:val="center"/>
              <w:spacing w:before="0" w:after="0" w:line="240" w:lineRule="auto"/>
              <w:widowControl w:val="off"/>
              <w:rPr>
                <w:rFonts w:ascii="宋体" w:eastAsia="宋体"/>
                <w:b/>
                <w:sz w:val="21"/>
                <w:szCs w:val="21"/>
                <w:highlight w:val="none"/>
              </w:rPr>
            </w:pPr>
            <w:r>
              <w:rPr>
                <w:rFonts w:ascii="宋体" w:hAnsi="宋体" w:eastAsia="宋体"/>
                <w:b/>
                <w:sz w:val="21"/>
                <w:szCs w:val="21"/>
                <w:highlight w:val="none"/>
              </w:rPr>
              <w:t xml:space="preserve">事项</w:t>
            </w:r>
            <w:r/>
          </w:p>
        </w:tc>
        <w:tc>
          <w:tcPr>
            <w:shd w:val="clear" w:color="auto" w:fill="fff2cc"/>
            <w:tcBorders>
              <w:top w:val="single" w:color="auto" w:sz="12" w:space="0"/>
              <w:left w:val="single" w:color="auto" w:sz="4" w:space="0"/>
              <w:bottom w:val="none" w:color="000000" w:sz="4" w:space="0"/>
              <w:right w:val="single" w:color="auto" w:sz="12" w:space="0"/>
            </w:tcBorders>
            <w:tcMar>
              <w:left w:w="60" w:type="dxa"/>
              <w:top w:w="45" w:type="dxa"/>
              <w:right w:w="60" w:type="dxa"/>
              <w:bottom w:w="45" w:type="dxa"/>
            </w:tcMar>
            <w:tcW w:w="6853" w:type="dxa"/>
            <w:vAlign w:val="center"/>
            <w:textDirection w:val="lrTb"/>
            <w:noWrap w:val="false"/>
          </w:tcPr>
          <w:p>
            <w:pPr>
              <w:ind w:left="0" w:right="0" w:firstLine="0"/>
              <w:jc w:val="center"/>
              <w:spacing w:before="0" w:after="0" w:line="240" w:lineRule="auto"/>
              <w:widowControl w:val="off"/>
              <w:rPr>
                <w:rFonts w:ascii="宋体" w:eastAsia="宋体"/>
                <w:b/>
                <w:sz w:val="21"/>
                <w:szCs w:val="21"/>
                <w:highlight w:val="none"/>
              </w:rPr>
            </w:pPr>
            <w:r>
              <w:rPr>
                <w:rFonts w:ascii="宋体" w:hAnsi="宋体" w:eastAsia="宋体"/>
                <w:b/>
                <w:sz w:val="21"/>
                <w:szCs w:val="21"/>
                <w:highlight w:val="none"/>
              </w:rPr>
              <w:t xml:space="preserve">专项处理规则</w:t>
            </w:r>
            <w:r/>
          </w:p>
        </w:tc>
      </w:tr>
      <w:tr>
        <w:trPr>
          <w:jc w:val="center"/>
          <w:trHeight w:val="0"/>
        </w:trPr>
        <w:tc>
          <w:tcPr>
            <w:tcBorders>
              <w:top w:val="single" w:color="auto" w:sz="4" w:space="0"/>
              <w:left w:val="single" w:color="auto" w:sz="12" w:space="0"/>
              <w:bottom w:val="none" w:color="000000" w:sz="4" w:space="0"/>
              <w:right w:val="none" w:color="000000" w:sz="4" w:space="0"/>
            </w:tcBorders>
            <w:tcMar>
              <w:left w:w="60" w:type="dxa"/>
              <w:top w:w="45" w:type="dxa"/>
              <w:right w:w="60" w:type="dxa"/>
              <w:bottom w:w="45" w:type="dxa"/>
            </w:tcMar>
            <w:tcW w:w="557" w:type="dxa"/>
            <w:vAlign w:val="center"/>
            <w:textDirection w:val="lrTb"/>
            <w:noWrap w:val="false"/>
          </w:tcPr>
          <w:p>
            <w:pPr>
              <w:ind w:left="0" w:right="0" w:firstLine="0"/>
              <w:jc w:val="center"/>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1</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1111" w:type="dxa"/>
            <w:vAlign w:val="center"/>
            <w:textDirection w:val="lrTb"/>
            <w:noWrap w:val="false"/>
          </w:tcPr>
          <w:p>
            <w:pPr>
              <w:ind w:left="0" w:right="0" w:firstLine="0"/>
              <w:jc w:val="lef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严重到场延误</w:t>
            </w:r>
            <w:r/>
          </w:p>
        </w:tc>
        <w:tc>
          <w:tcPr>
            <w:tcBorders>
              <w:top w:val="single" w:color="auto" w:sz="4" w:space="0"/>
              <w:left w:val="single" w:color="auto" w:sz="4" w:space="0"/>
              <w:bottom w:val="none" w:color="000000" w:sz="4" w:space="0"/>
              <w:right w:val="single" w:color="auto" w:sz="12" w:space="0"/>
            </w:tcBorders>
            <w:tcMar>
              <w:left w:w="60" w:type="dxa"/>
              <w:top w:w="45" w:type="dxa"/>
              <w:right w:w="60" w:type="dxa"/>
              <w:bottom w:w="45" w:type="dxa"/>
            </w:tcMar>
            <w:tcW w:w="6853" w:type="dxa"/>
            <w:vAlign w:val="center"/>
            <w:textDirection w:val="lrTb"/>
            <w:noWrap w:val="false"/>
          </w:tcPr>
          <w:p>
            <w:pPr>
              <w:ind w:left="0" w:right="0" w:firstLine="0"/>
              <w:jc w:val="lef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超过采购文件规定到场时限2倍的，除考核扣分外，每次另扣</w:t>
            </w:r>
            <w:r>
              <w:rPr>
                <w:rFonts w:hint="eastAsia" w:ascii="宋体" w:hAnsi="宋体"/>
                <w:b w:val="0"/>
                <w:sz w:val="21"/>
                <w:szCs w:val="21"/>
                <w:highlight w:val="none"/>
                <w:lang w:eastAsia="zh-CN"/>
              </w:rPr>
              <w:t xml:space="preserve">当季考核结算基准金额</w:t>
            </w:r>
            <w:r>
              <w:rPr>
                <w:rFonts w:ascii="宋体" w:hAnsi="宋体" w:eastAsia="宋体"/>
                <w:b w:val="0"/>
                <w:sz w:val="21"/>
                <w:szCs w:val="21"/>
                <w:highlight w:val="none"/>
              </w:rPr>
              <w:t xml:space="preserve">的1%；未到场或因此造成业务中断的，每次另扣2%。</w:t>
            </w:r>
            <w:r/>
          </w:p>
        </w:tc>
      </w:tr>
      <w:tr>
        <w:trPr>
          <w:jc w:val="center"/>
          <w:trHeight w:val="0"/>
        </w:trPr>
        <w:tc>
          <w:tcPr>
            <w:tcBorders>
              <w:top w:val="single" w:color="auto" w:sz="4" w:space="0"/>
              <w:left w:val="single" w:color="auto" w:sz="12" w:space="0"/>
              <w:bottom w:val="none" w:color="000000" w:sz="4" w:space="0"/>
              <w:right w:val="none" w:color="000000" w:sz="4" w:space="0"/>
            </w:tcBorders>
            <w:tcMar>
              <w:left w:w="60" w:type="dxa"/>
              <w:top w:w="45" w:type="dxa"/>
              <w:right w:w="60" w:type="dxa"/>
              <w:bottom w:w="45" w:type="dxa"/>
            </w:tcMar>
            <w:tcW w:w="557" w:type="dxa"/>
            <w:vAlign w:val="center"/>
            <w:textDirection w:val="lrTb"/>
            <w:noWrap w:val="false"/>
          </w:tcPr>
          <w:p>
            <w:pPr>
              <w:ind w:left="0" w:right="0" w:firstLine="0"/>
              <w:jc w:val="center"/>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2</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1111" w:type="dxa"/>
            <w:vAlign w:val="center"/>
            <w:textDirection w:val="lrTb"/>
            <w:noWrap w:val="false"/>
          </w:tcPr>
          <w:p>
            <w:pPr>
              <w:ind w:left="0" w:right="0" w:firstLine="0"/>
              <w:jc w:val="lef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修复超时</w:t>
            </w:r>
            <w:r/>
          </w:p>
        </w:tc>
        <w:tc>
          <w:tcPr>
            <w:tcBorders>
              <w:top w:val="single" w:color="auto" w:sz="4" w:space="0"/>
              <w:left w:val="single" w:color="auto" w:sz="4" w:space="0"/>
              <w:bottom w:val="none" w:color="000000" w:sz="4" w:space="0"/>
              <w:right w:val="single" w:color="auto" w:sz="12" w:space="0"/>
            </w:tcBorders>
            <w:tcMar>
              <w:left w:w="60" w:type="dxa"/>
              <w:top w:w="45" w:type="dxa"/>
              <w:right w:w="60" w:type="dxa"/>
              <w:bottom w:w="45" w:type="dxa"/>
            </w:tcMar>
            <w:tcW w:w="6853" w:type="dxa"/>
            <w:vAlign w:val="center"/>
            <w:textDirection w:val="lrTb"/>
            <w:noWrap w:val="false"/>
          </w:tcPr>
          <w:p>
            <w:pPr>
              <w:ind w:left="0" w:right="0" w:firstLine="0"/>
              <w:jc w:val="lef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超过24小时仍未恢复且未提供甲方认可的临时方案的，每延迟满4小时另扣</w:t>
            </w:r>
            <w:r>
              <w:rPr>
                <w:rFonts w:hint="eastAsia" w:ascii="宋体" w:hAnsi="宋体"/>
                <w:b w:val="0"/>
                <w:sz w:val="21"/>
                <w:szCs w:val="21"/>
                <w:highlight w:val="none"/>
                <w:lang w:eastAsia="zh-CN"/>
              </w:rPr>
              <w:t xml:space="preserve">当季考核结算基准金额</w:t>
            </w:r>
            <w:r>
              <w:rPr>
                <w:rFonts w:ascii="宋体" w:hAnsi="宋体" w:eastAsia="宋体"/>
                <w:b w:val="0"/>
                <w:sz w:val="21"/>
                <w:szCs w:val="21"/>
                <w:highlight w:val="none"/>
              </w:rPr>
              <w:t xml:space="preserve">的1%，单次最高可扣</w:t>
            </w:r>
            <w:r>
              <w:rPr>
                <w:rFonts w:hint="eastAsia" w:ascii="宋体" w:hAnsi="宋体"/>
                <w:b w:val="0"/>
                <w:sz w:val="21"/>
                <w:szCs w:val="21"/>
                <w:highlight w:val="none"/>
                <w:lang w:eastAsia="zh-CN"/>
              </w:rPr>
              <w:t xml:space="preserve">当季考核结算基准金额</w:t>
            </w:r>
            <w:r>
              <w:rPr>
                <w:rFonts w:ascii="宋体" w:hAnsi="宋体" w:eastAsia="宋体"/>
                <w:b w:val="0"/>
                <w:sz w:val="21"/>
                <w:szCs w:val="21"/>
                <w:highlight w:val="none"/>
              </w:rPr>
              <w:t xml:space="preserve">的10%；第三方费用和损失另计。</w:t>
            </w:r>
            <w:r/>
          </w:p>
        </w:tc>
      </w:tr>
      <w:tr>
        <w:trPr>
          <w:jc w:val="center"/>
          <w:trHeight w:val="0"/>
        </w:trPr>
        <w:tc>
          <w:tcPr>
            <w:tcBorders>
              <w:top w:val="single" w:color="auto" w:sz="4" w:space="0"/>
              <w:left w:val="single" w:color="auto" w:sz="12" w:space="0"/>
              <w:bottom w:val="none" w:color="000000" w:sz="4" w:space="0"/>
              <w:right w:val="none" w:color="000000" w:sz="4" w:space="0"/>
            </w:tcBorders>
            <w:tcMar>
              <w:left w:w="60" w:type="dxa"/>
              <w:top w:w="45" w:type="dxa"/>
              <w:right w:w="60" w:type="dxa"/>
              <w:bottom w:w="45" w:type="dxa"/>
            </w:tcMar>
            <w:tcW w:w="557" w:type="dxa"/>
            <w:vAlign w:val="center"/>
            <w:textDirection w:val="lrTb"/>
            <w:noWrap w:val="false"/>
          </w:tcPr>
          <w:p>
            <w:pPr>
              <w:ind w:left="0" w:right="0" w:firstLine="0"/>
              <w:jc w:val="center"/>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3</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1111" w:type="dxa"/>
            <w:vAlign w:val="center"/>
            <w:textDirection w:val="lrTb"/>
            <w:noWrap w:val="false"/>
          </w:tcPr>
          <w:p>
            <w:pPr>
              <w:ind w:left="0" w:right="0" w:firstLine="0"/>
              <w:jc w:val="lef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项目团队不足</w:t>
            </w:r>
            <w:r/>
          </w:p>
        </w:tc>
        <w:tc>
          <w:tcPr>
            <w:tcBorders>
              <w:top w:val="single" w:color="auto" w:sz="4" w:space="0"/>
              <w:left w:val="single" w:color="auto" w:sz="4" w:space="0"/>
              <w:bottom w:val="none" w:color="000000" w:sz="4" w:space="0"/>
              <w:right w:val="single" w:color="auto" w:sz="12" w:space="0"/>
            </w:tcBorders>
            <w:tcMar>
              <w:left w:w="60" w:type="dxa"/>
              <w:top w:w="45" w:type="dxa"/>
              <w:right w:w="60" w:type="dxa"/>
              <w:bottom w:w="45" w:type="dxa"/>
            </w:tcMar>
            <w:tcW w:w="6853" w:type="dxa"/>
            <w:vAlign w:val="center"/>
            <w:textDirection w:val="lrTb"/>
            <w:noWrap w:val="false"/>
          </w:tcPr>
          <w:p>
            <w:pPr>
              <w:ind w:left="0" w:right="0" w:firstLine="0"/>
              <w:jc w:val="lef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项目负责人或技术负责人缺岗，每人每日另扣</w:t>
            </w:r>
            <w:r>
              <w:rPr>
                <w:rFonts w:hint="eastAsia" w:ascii="宋体" w:hAnsi="宋体"/>
                <w:b w:val="0"/>
                <w:sz w:val="21"/>
                <w:szCs w:val="21"/>
                <w:highlight w:val="none"/>
                <w:lang w:eastAsia="zh-CN"/>
              </w:rPr>
              <w:t xml:space="preserve">当季考核结算基准金额</w:t>
            </w:r>
            <w:r>
              <w:rPr>
                <w:rFonts w:ascii="宋体" w:hAnsi="宋体" w:eastAsia="宋体"/>
                <w:b w:val="0"/>
                <w:sz w:val="21"/>
                <w:szCs w:val="21"/>
                <w:highlight w:val="none"/>
              </w:rPr>
              <w:t xml:space="preserve">的0.5%；其他人员低于最低配置，每人每日另扣0.2%；连续5日未恢复的，甲方可要求整体更换团队。</w:t>
            </w:r>
            <w:r/>
          </w:p>
        </w:tc>
      </w:tr>
      <w:tr>
        <w:trPr>
          <w:jc w:val="center"/>
          <w:trHeight w:val="0"/>
        </w:trPr>
        <w:tc>
          <w:tcPr>
            <w:tcBorders>
              <w:top w:val="single" w:color="auto" w:sz="4" w:space="0"/>
              <w:left w:val="single" w:color="auto" w:sz="12" w:space="0"/>
              <w:bottom w:val="none" w:color="000000" w:sz="4" w:space="0"/>
              <w:right w:val="none" w:color="000000" w:sz="4" w:space="0"/>
            </w:tcBorders>
            <w:tcMar>
              <w:left w:w="60" w:type="dxa"/>
              <w:top w:w="45" w:type="dxa"/>
              <w:right w:w="60" w:type="dxa"/>
              <w:bottom w:w="45" w:type="dxa"/>
            </w:tcMar>
            <w:tcW w:w="557" w:type="dxa"/>
            <w:vAlign w:val="center"/>
            <w:textDirection w:val="lrTb"/>
            <w:noWrap w:val="false"/>
          </w:tcPr>
          <w:p>
            <w:pPr>
              <w:ind w:left="0" w:right="0" w:firstLine="0"/>
              <w:jc w:val="center"/>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4</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1111" w:type="dxa"/>
            <w:vAlign w:val="center"/>
            <w:textDirection w:val="lrTb"/>
            <w:noWrap w:val="false"/>
          </w:tcPr>
          <w:p>
            <w:pPr>
              <w:ind w:left="0" w:right="0" w:firstLine="0"/>
              <w:jc w:val="lef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备件库存不足</w:t>
            </w:r>
            <w:r/>
          </w:p>
        </w:tc>
        <w:tc>
          <w:tcPr>
            <w:tcBorders>
              <w:top w:val="single" w:color="auto" w:sz="4" w:space="0"/>
              <w:left w:val="single" w:color="auto" w:sz="4" w:space="0"/>
              <w:bottom w:val="none" w:color="000000" w:sz="4" w:space="0"/>
              <w:right w:val="single" w:color="auto" w:sz="12" w:space="0"/>
            </w:tcBorders>
            <w:tcMar>
              <w:left w:w="60" w:type="dxa"/>
              <w:top w:w="45" w:type="dxa"/>
              <w:right w:w="60" w:type="dxa"/>
              <w:bottom w:w="45" w:type="dxa"/>
            </w:tcMar>
            <w:tcW w:w="6853" w:type="dxa"/>
            <w:vAlign w:val="center"/>
            <w:textDirection w:val="lrTb"/>
            <w:noWrap w:val="false"/>
          </w:tcPr>
          <w:p>
            <w:pPr>
              <w:ind w:left="0" w:right="0" w:firstLine="0"/>
              <w:jc w:val="lef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核心整机、主控板、功率模块、压缩机等高值或关键备件每缺1项/件每日另扣</w:t>
            </w:r>
            <w:r>
              <w:rPr>
                <w:rFonts w:hint="eastAsia" w:ascii="宋体" w:hAnsi="宋体"/>
                <w:b w:val="0"/>
                <w:sz w:val="21"/>
                <w:szCs w:val="21"/>
                <w:highlight w:val="none"/>
                <w:lang w:eastAsia="zh-CN"/>
              </w:rPr>
              <w:t xml:space="preserve">当季考核结算基准金额</w:t>
            </w:r>
            <w:r>
              <w:rPr>
                <w:rFonts w:ascii="宋体" w:hAnsi="宋体" w:eastAsia="宋体"/>
                <w:b w:val="0"/>
                <w:sz w:val="21"/>
                <w:szCs w:val="21"/>
                <w:highlight w:val="none"/>
              </w:rPr>
              <w:t xml:space="preserve">的0.5%；其他备件每缺1项/件每日另扣0.1%。</w:t>
            </w:r>
            <w:r/>
          </w:p>
        </w:tc>
      </w:tr>
      <w:tr>
        <w:trPr>
          <w:jc w:val="center"/>
          <w:trHeight w:val="0"/>
        </w:trPr>
        <w:tc>
          <w:tcPr>
            <w:tcBorders>
              <w:top w:val="single" w:color="auto" w:sz="4" w:space="0"/>
              <w:left w:val="single" w:color="auto" w:sz="12" w:space="0"/>
              <w:bottom w:val="none" w:color="000000" w:sz="4" w:space="0"/>
              <w:right w:val="none" w:color="000000" w:sz="4" w:space="0"/>
            </w:tcBorders>
            <w:tcMar>
              <w:left w:w="60" w:type="dxa"/>
              <w:top w:w="45" w:type="dxa"/>
              <w:right w:w="60" w:type="dxa"/>
              <w:bottom w:w="45" w:type="dxa"/>
            </w:tcMar>
            <w:tcW w:w="557" w:type="dxa"/>
            <w:vAlign w:val="center"/>
            <w:textDirection w:val="lrTb"/>
            <w:noWrap w:val="false"/>
          </w:tcPr>
          <w:p>
            <w:pPr>
              <w:ind w:left="0" w:right="0" w:firstLine="0"/>
              <w:jc w:val="center"/>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5</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1111" w:type="dxa"/>
            <w:vAlign w:val="center"/>
            <w:textDirection w:val="lrTb"/>
            <w:noWrap w:val="false"/>
          </w:tcPr>
          <w:p>
            <w:pPr>
              <w:ind w:left="0" w:right="0" w:firstLine="0"/>
              <w:jc w:val="lef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资料严重逾期</w:t>
            </w:r>
            <w:r/>
          </w:p>
        </w:tc>
        <w:tc>
          <w:tcPr>
            <w:tcBorders>
              <w:top w:val="single" w:color="auto" w:sz="4" w:space="0"/>
              <w:left w:val="single" w:color="auto" w:sz="4" w:space="0"/>
              <w:bottom w:val="none" w:color="000000" w:sz="4" w:space="0"/>
              <w:right w:val="single" w:color="auto" w:sz="12" w:space="0"/>
            </w:tcBorders>
            <w:tcMar>
              <w:left w:w="60" w:type="dxa"/>
              <w:top w:w="45" w:type="dxa"/>
              <w:right w:w="60" w:type="dxa"/>
              <w:bottom w:w="45" w:type="dxa"/>
            </w:tcMar>
            <w:tcW w:w="6853" w:type="dxa"/>
            <w:vAlign w:val="center"/>
            <w:textDirection w:val="lrTb"/>
            <w:noWrap w:val="false"/>
          </w:tcPr>
          <w:p>
            <w:pPr>
              <w:ind w:left="0" w:right="0" w:firstLine="0"/>
              <w:jc w:val="lef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季度运维档案超过规定期限5个工作日仍未提交的，每类资料每日另扣</w:t>
            </w:r>
            <w:r>
              <w:rPr>
                <w:rFonts w:hint="eastAsia" w:ascii="宋体" w:hAnsi="宋体"/>
                <w:b w:val="0"/>
                <w:sz w:val="21"/>
                <w:szCs w:val="21"/>
                <w:highlight w:val="none"/>
                <w:lang w:eastAsia="zh-CN"/>
              </w:rPr>
              <w:t xml:space="preserve">当季考核结算基准金额</w:t>
            </w:r>
            <w:r>
              <w:rPr>
                <w:rFonts w:ascii="宋体" w:hAnsi="宋体" w:eastAsia="宋体"/>
                <w:b w:val="0"/>
                <w:sz w:val="21"/>
                <w:szCs w:val="21"/>
                <w:highlight w:val="none"/>
              </w:rPr>
              <w:t xml:space="preserve">的0.2%；超过10个工作日的，当季付款可暂缓至完整提交并复核通过。</w:t>
            </w:r>
            <w:r/>
          </w:p>
        </w:tc>
      </w:tr>
      <w:tr>
        <w:trPr>
          <w:jc w:val="center"/>
          <w:trHeight w:val="0"/>
        </w:trPr>
        <w:tc>
          <w:tcPr>
            <w:tcBorders>
              <w:top w:val="single" w:color="auto" w:sz="4" w:space="0"/>
              <w:left w:val="single" w:color="auto" w:sz="12" w:space="0"/>
              <w:bottom w:val="none" w:color="000000" w:sz="4" w:space="0"/>
              <w:right w:val="none" w:color="000000" w:sz="4" w:space="0"/>
            </w:tcBorders>
            <w:tcMar>
              <w:left w:w="60" w:type="dxa"/>
              <w:top w:w="45" w:type="dxa"/>
              <w:right w:w="60" w:type="dxa"/>
              <w:bottom w:w="45" w:type="dxa"/>
            </w:tcMar>
            <w:tcW w:w="557" w:type="dxa"/>
            <w:vAlign w:val="center"/>
            <w:textDirection w:val="lrTb"/>
            <w:noWrap w:val="false"/>
          </w:tcPr>
          <w:p>
            <w:pPr>
              <w:ind w:left="0" w:right="0" w:firstLine="0"/>
              <w:jc w:val="center"/>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6</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1111" w:type="dxa"/>
            <w:vAlign w:val="center"/>
            <w:textDirection w:val="lrTb"/>
            <w:noWrap w:val="false"/>
          </w:tcPr>
          <w:p>
            <w:pPr>
              <w:ind w:left="0" w:right="0" w:firstLine="0"/>
              <w:jc w:val="lef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未经批准的变更或停机</w:t>
            </w:r>
            <w:r/>
          </w:p>
        </w:tc>
        <w:tc>
          <w:tcPr>
            <w:tcBorders>
              <w:top w:val="single" w:color="auto" w:sz="4" w:space="0"/>
              <w:left w:val="single" w:color="auto" w:sz="4" w:space="0"/>
              <w:bottom w:val="none" w:color="000000" w:sz="4" w:space="0"/>
              <w:right w:val="single" w:color="auto" w:sz="12" w:space="0"/>
            </w:tcBorders>
            <w:tcMar>
              <w:left w:w="60" w:type="dxa"/>
              <w:top w:w="45" w:type="dxa"/>
              <w:right w:w="60" w:type="dxa"/>
              <w:bottom w:w="45" w:type="dxa"/>
            </w:tcMar>
            <w:tcW w:w="6853" w:type="dxa"/>
            <w:vAlign w:val="center"/>
            <w:textDirection w:val="lrTb"/>
            <w:noWrap w:val="false"/>
          </w:tcPr>
          <w:p>
            <w:pPr>
              <w:ind w:left="0" w:right="0" w:firstLine="0"/>
              <w:jc w:val="lef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每次另扣</w:t>
            </w:r>
            <w:r>
              <w:rPr>
                <w:rFonts w:hint="eastAsia" w:ascii="宋体" w:hAnsi="宋体"/>
                <w:b w:val="0"/>
                <w:sz w:val="21"/>
                <w:szCs w:val="21"/>
                <w:highlight w:val="none"/>
                <w:lang w:eastAsia="zh-CN"/>
              </w:rPr>
              <w:t xml:space="preserve">当季考核结算基准金额</w:t>
            </w:r>
            <w:r>
              <w:rPr>
                <w:rFonts w:ascii="宋体" w:hAnsi="宋体" w:eastAsia="宋体"/>
                <w:b w:val="0"/>
                <w:sz w:val="21"/>
                <w:szCs w:val="21"/>
                <w:highlight w:val="none"/>
              </w:rPr>
              <w:t xml:space="preserve">的2%；造成设备、数据或业务损失的，乙方另行承担恢复和赔偿责任。</w:t>
            </w:r>
            <w:r/>
          </w:p>
        </w:tc>
      </w:tr>
      <w:tr>
        <w:trPr>
          <w:jc w:val="center"/>
          <w:trHeight w:val="0"/>
        </w:trPr>
        <w:tc>
          <w:tcPr>
            <w:tcBorders>
              <w:top w:val="single" w:color="auto" w:sz="4" w:space="0"/>
              <w:left w:val="single" w:color="auto" w:sz="12" w:space="0"/>
              <w:bottom w:val="none" w:color="000000" w:sz="4" w:space="0"/>
              <w:right w:val="none" w:color="000000" w:sz="4" w:space="0"/>
            </w:tcBorders>
            <w:tcMar>
              <w:left w:w="60" w:type="dxa"/>
              <w:top w:w="45" w:type="dxa"/>
              <w:right w:w="60" w:type="dxa"/>
              <w:bottom w:w="45" w:type="dxa"/>
            </w:tcMar>
            <w:tcW w:w="557" w:type="dxa"/>
            <w:vAlign w:val="center"/>
            <w:textDirection w:val="lrTb"/>
            <w:noWrap w:val="false"/>
          </w:tcPr>
          <w:p>
            <w:pPr>
              <w:ind w:left="0" w:right="0" w:firstLine="0"/>
              <w:jc w:val="center"/>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7</w:t>
            </w:r>
            <w:r/>
          </w:p>
        </w:tc>
        <w:tc>
          <w:tcPr>
            <w:tcBorders>
              <w:top w:val="single" w:color="auto" w:sz="4" w:space="0"/>
              <w:left w:val="single" w:color="auto" w:sz="4" w:space="0"/>
              <w:bottom w:val="none" w:color="000000" w:sz="4" w:space="0"/>
              <w:right w:val="none" w:color="000000" w:sz="4" w:space="0"/>
            </w:tcBorders>
            <w:tcMar>
              <w:left w:w="60" w:type="dxa"/>
              <w:top w:w="45" w:type="dxa"/>
              <w:right w:w="60" w:type="dxa"/>
              <w:bottom w:w="45" w:type="dxa"/>
            </w:tcMar>
            <w:tcW w:w="1111" w:type="dxa"/>
            <w:vAlign w:val="center"/>
            <w:textDirection w:val="lrTb"/>
            <w:noWrap w:val="false"/>
          </w:tcPr>
          <w:p>
            <w:pPr>
              <w:ind w:left="0" w:right="0" w:firstLine="0"/>
              <w:jc w:val="lef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有效投诉及重复问题</w:t>
            </w:r>
            <w:r/>
          </w:p>
        </w:tc>
        <w:tc>
          <w:tcPr>
            <w:tcBorders>
              <w:top w:val="single" w:color="auto" w:sz="4" w:space="0"/>
              <w:left w:val="single" w:color="auto" w:sz="4" w:space="0"/>
              <w:bottom w:val="none" w:color="000000" w:sz="4" w:space="0"/>
              <w:right w:val="single" w:color="auto" w:sz="12" w:space="0"/>
            </w:tcBorders>
            <w:tcMar>
              <w:left w:w="60" w:type="dxa"/>
              <w:top w:w="45" w:type="dxa"/>
              <w:right w:w="60" w:type="dxa"/>
              <w:bottom w:w="45" w:type="dxa"/>
            </w:tcMar>
            <w:tcW w:w="6853" w:type="dxa"/>
            <w:vAlign w:val="center"/>
            <w:textDirection w:val="lrTb"/>
            <w:noWrap w:val="false"/>
          </w:tcPr>
          <w:p>
            <w:pPr>
              <w:ind w:left="0" w:right="0" w:firstLine="0"/>
              <w:jc w:val="lef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一般有效投诉每次另扣</w:t>
            </w:r>
            <w:r>
              <w:rPr>
                <w:rFonts w:hint="eastAsia" w:ascii="宋体" w:hAnsi="宋体"/>
                <w:b w:val="0"/>
                <w:sz w:val="21"/>
                <w:szCs w:val="21"/>
                <w:highlight w:val="none"/>
                <w:lang w:eastAsia="zh-CN"/>
              </w:rPr>
              <w:t xml:space="preserve">当季考核结算基准金额</w:t>
            </w:r>
            <w:r>
              <w:rPr>
                <w:rFonts w:ascii="宋体" w:hAnsi="宋体" w:eastAsia="宋体"/>
                <w:b w:val="0"/>
                <w:sz w:val="21"/>
                <w:szCs w:val="21"/>
                <w:highlight w:val="none"/>
              </w:rPr>
              <w:t xml:space="preserve">的0.5%；同类问题在整改后30日内再次发生的，每次另扣1%。</w:t>
            </w:r>
            <w:r/>
          </w:p>
        </w:tc>
      </w:tr>
      <w:tr>
        <w:trPr>
          <w:jc w:val="center"/>
          <w:trHeight w:val="0"/>
        </w:trPr>
        <w:tc>
          <w:tcPr>
            <w:tcBorders>
              <w:top w:val="single" w:color="auto" w:sz="4" w:space="0"/>
              <w:left w:val="single" w:color="auto" w:sz="12" w:space="0"/>
              <w:bottom w:val="single" w:color="auto" w:sz="12" w:space="0"/>
              <w:right w:val="none" w:color="000000" w:sz="4" w:space="0"/>
            </w:tcBorders>
            <w:tcMar>
              <w:left w:w="60" w:type="dxa"/>
              <w:top w:w="45" w:type="dxa"/>
              <w:right w:w="60" w:type="dxa"/>
              <w:bottom w:w="45" w:type="dxa"/>
            </w:tcMar>
            <w:tcW w:w="557" w:type="dxa"/>
            <w:vAlign w:val="center"/>
            <w:textDirection w:val="lrTb"/>
            <w:noWrap w:val="false"/>
          </w:tcPr>
          <w:p>
            <w:pPr>
              <w:ind w:left="0" w:right="0" w:firstLine="0"/>
              <w:jc w:val="center"/>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8</w:t>
            </w:r>
            <w:r/>
          </w:p>
        </w:tc>
        <w:tc>
          <w:tcPr>
            <w:tcBorders>
              <w:top w:val="single" w:color="auto" w:sz="4" w:space="0"/>
              <w:left w:val="single" w:color="auto" w:sz="4" w:space="0"/>
              <w:bottom w:val="single" w:color="auto" w:sz="12" w:space="0"/>
              <w:right w:val="none" w:color="000000" w:sz="4" w:space="0"/>
            </w:tcBorders>
            <w:tcMar>
              <w:left w:w="60" w:type="dxa"/>
              <w:top w:w="45" w:type="dxa"/>
              <w:right w:w="60" w:type="dxa"/>
              <w:bottom w:w="45" w:type="dxa"/>
            </w:tcMar>
            <w:tcW w:w="1111" w:type="dxa"/>
            <w:vAlign w:val="center"/>
            <w:textDirection w:val="lrTb"/>
            <w:noWrap w:val="false"/>
          </w:tcPr>
          <w:p>
            <w:pPr>
              <w:ind w:left="0" w:right="0" w:firstLine="0"/>
              <w:jc w:val="lef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第三方应急处置</w:t>
            </w:r>
            <w:r/>
          </w:p>
        </w:tc>
        <w:tc>
          <w:tcPr>
            <w:tcBorders>
              <w:top w:val="single" w:color="auto" w:sz="4" w:space="0"/>
              <w:left w:val="single" w:color="auto" w:sz="4" w:space="0"/>
              <w:bottom w:val="single" w:color="auto" w:sz="12" w:space="0"/>
              <w:right w:val="single" w:color="auto" w:sz="12" w:space="0"/>
            </w:tcBorders>
            <w:tcMar>
              <w:left w:w="60" w:type="dxa"/>
              <w:top w:w="45" w:type="dxa"/>
              <w:right w:w="60" w:type="dxa"/>
              <w:bottom w:w="45" w:type="dxa"/>
            </w:tcMar>
            <w:tcW w:w="6853" w:type="dxa"/>
            <w:vAlign w:val="center"/>
            <w:textDirection w:val="lrTb"/>
            <w:noWrap w:val="false"/>
          </w:tcPr>
          <w:p>
            <w:pPr>
              <w:ind w:left="0" w:right="0" w:firstLine="0"/>
              <w:jc w:val="left"/>
              <w:spacing w:before="0" w:after="0" w:line="240" w:lineRule="auto"/>
              <w:widowControl w:val="off"/>
              <w:rPr>
                <w:rFonts w:ascii="宋体" w:eastAsia="宋体"/>
                <w:sz w:val="21"/>
                <w:szCs w:val="21"/>
                <w:highlight w:val="none"/>
              </w:rPr>
            </w:pPr>
            <w:r>
              <w:rPr>
                <w:rFonts w:ascii="宋体" w:hAnsi="宋体" w:eastAsia="宋体"/>
                <w:b w:val="0"/>
                <w:sz w:val="21"/>
                <w:szCs w:val="21"/>
                <w:highlight w:val="none"/>
              </w:rPr>
              <w:t xml:space="preserve">甲方因乙方违约委托第三方抢修、检测、采购临时代用设备或恢复系统的，相关合理费用由乙方全额承担，并可直接从未付款项中抵扣。</w:t>
            </w:r>
            <w:r/>
          </w:p>
        </w:tc>
      </w:tr>
    </w:tbl>
    <w:p>
      <w:pPr>
        <w:ind w:left="0" w:firstLine="420"/>
        <w:jc w:val="both"/>
        <w:spacing w:before="0" w:after="0" w:line="360" w:lineRule="auto"/>
        <w:rPr>
          <w:rFonts w:ascii="宋体" w:hAnsi="宋体" w:eastAsia="宋体"/>
          <w:b w:val="0"/>
          <w:sz w:val="21"/>
          <w:highlight w:val="none"/>
        </w:rPr>
      </w:pPr>
      <w:r>
        <w:rPr>
          <w:rFonts w:ascii="宋体" w:hAnsi="宋体" w:eastAsia="宋体"/>
          <w:b w:val="0"/>
          <w:sz w:val="21"/>
          <w:highlight w:val="none"/>
        </w:rPr>
        <w:t xml:space="preserve">8.1 专项扣款与季度考核付款系数可以同时适用，但同一违约事实对应的同类固定比例专项扣款原则上不重复计算。专项扣款、实际损失及第三方费用超过当季考核结算金额的，可从第二期、第三期或者其他尚未支付的合同款项中继续抵扣；仍不足的，由乙方另行支付。</w:t>
      </w:r>
      <w:r/>
    </w:p>
    <w:p>
      <w:pPr>
        <w:ind w:left="0" w:firstLine="420"/>
        <w:jc w:val="both"/>
        <w:spacing w:before="0" w:after="0" w:line="360" w:lineRule="auto"/>
        <w:rPr>
          <w:highlight w:val="none"/>
        </w:rPr>
      </w:pPr>
      <w:r>
        <w:rPr>
          <w:rFonts w:ascii="宋体" w:hAnsi="宋体" w:eastAsia="宋体"/>
          <w:b w:val="0"/>
          <w:sz w:val="21"/>
          <w:highlight w:val="none"/>
        </w:rPr>
        <w:t xml:space="preserve">8.2 乙方在一个季度内被书面整改3次及以上、连续两个季度低于80分、累计两个季度低于70分，或发生一票否决事项的，甲方可要求乙方限期更换项目负责人、技术负责人或全部维护团队，并可依法解除合同。</w:t>
      </w:r>
      <w:r/>
    </w:p>
    <w:p>
      <w:pPr>
        <w:ind w:left="0" w:firstLine="0"/>
        <w:jc w:val="left"/>
        <w:keepNext/>
        <w:spacing w:before="0" w:after="0" w:line="360" w:lineRule="auto"/>
        <w:rPr>
          <w:rFonts w:ascii="宋体" w:hAnsi="宋体" w:eastAsia="宋体"/>
          <w:b/>
          <w:sz w:val="21"/>
          <w:highlight w:val="none"/>
        </w:rPr>
      </w:pPr>
      <w:r>
        <w:rPr>
          <w:rFonts w:ascii="宋体" w:hAnsi="宋体" w:eastAsia="宋体"/>
          <w:b/>
          <w:sz w:val="21"/>
          <w:highlight w:val="none"/>
        </w:rPr>
        <w:t xml:space="preserve">9.年度综合评价、最终履约验收及第三期结算</w:t>
      </w:r>
      <w:r/>
    </w:p>
    <w:p>
      <w:pPr>
        <w:ind w:left="0" w:firstLine="420"/>
        <w:jc w:val="both"/>
        <w:spacing w:before="0" w:after="0" w:line="360" w:lineRule="auto"/>
        <w:rPr>
          <w:rFonts w:ascii="宋体" w:hAnsi="宋体" w:eastAsia="宋体"/>
          <w:b w:val="0"/>
          <w:sz w:val="21"/>
          <w:highlight w:val="none"/>
        </w:rPr>
      </w:pPr>
      <w:r>
        <w:rPr>
          <w:rFonts w:ascii="宋体" w:hAnsi="宋体" w:eastAsia="宋体"/>
          <w:b w:val="0"/>
          <w:sz w:val="21"/>
          <w:highlight w:val="none"/>
        </w:rPr>
        <w:t xml:space="preserve">9.1 四个季度均应分别进行履约考核。季度考核结算金额按季度核算，但按照合同约定在合同中期和合同结束后分两次集中支付。第二期付款不代表甲方对前两个季度隐蔽缺陷、资料真实性或者乙方后续责任的最终认可。</w:t>
      </w:r>
      <w:r/>
    </w:p>
    <w:p>
      <w:pPr>
        <w:ind w:left="0" w:firstLine="420"/>
        <w:jc w:val="both"/>
        <w:spacing w:before="0" w:after="0" w:line="360" w:lineRule="auto"/>
        <w:rPr>
          <w:rFonts w:ascii="宋体" w:hAnsi="宋体" w:eastAsia="宋体"/>
          <w:b w:val="0"/>
          <w:sz w:val="21"/>
          <w:highlight w:val="none"/>
        </w:rPr>
      </w:pPr>
      <w:r>
        <w:rPr>
          <w:rFonts w:ascii="宋体" w:hAnsi="宋体" w:eastAsia="宋体"/>
          <w:b w:val="0"/>
          <w:sz w:val="21"/>
          <w:highlight w:val="none"/>
        </w:rPr>
        <w:t xml:space="preserve">9.2 合同服务期届满后，乙方完成全部服务内容，提交全部交付资料，备品备件库存符合合同要求，故障件移交完毕，整改事项全部闭环且最终履约验收合格的，甲方按照第三、第四季度考核结果计算并办理第三期款项。</w:t>
      </w:r>
      <w:r/>
    </w:p>
    <w:p>
      <w:pPr>
        <w:ind w:left="0" w:firstLine="420"/>
        <w:jc w:val="both"/>
        <w:spacing w:before="0" w:after="0" w:line="360" w:lineRule="auto"/>
        <w:rPr>
          <w:rFonts w:ascii="宋体" w:hAnsi="宋体" w:eastAsia="宋体"/>
          <w:b w:val="0"/>
          <w:sz w:val="21"/>
          <w:highlight w:val="none"/>
        </w:rPr>
      </w:pPr>
      <w:r>
        <w:rPr>
          <w:rFonts w:ascii="宋体" w:hAnsi="宋体" w:eastAsia="宋体"/>
          <w:b w:val="0"/>
          <w:sz w:val="21"/>
          <w:highlight w:val="none"/>
        </w:rPr>
        <w:t xml:space="preserve">9.3 存在未完成整改、未结故障、备品备件库存未恢复、档案缺失、故障件未移交、赔偿事项未处理或者其他影响最终履约验收情形的，甲方有权暂缓第三期款项；限期整改后仍不合格的，按照验收不合格及合同违约相关约定处理。</w:t>
      </w:r>
      <w:r/>
    </w:p>
    <w:p>
      <w:pPr>
        <w:ind w:left="0" w:firstLine="420"/>
        <w:jc w:val="both"/>
        <w:spacing w:before="0" w:after="0" w:line="360" w:lineRule="auto"/>
        <w:rPr>
          <w:highlight w:val="none"/>
        </w:rPr>
      </w:pPr>
      <w:r>
        <w:rPr>
          <w:rFonts w:ascii="宋体" w:hAnsi="宋体" w:eastAsia="宋体"/>
          <w:b w:val="0"/>
          <w:sz w:val="21"/>
          <w:highlight w:val="none"/>
        </w:rPr>
        <w:t xml:space="preserve">9.4 合同因财政政策、设备更新改造或采购人依法调整服务范围而提前终止的，按实际合格服务期限和考核结果据实结算；因乙方违约解除合同的，未形成合格履约成果的款项不予支付，已支付但无对应合格成果的部分乙方应予返还。</w:t>
      </w:r>
      <w:r/>
    </w:p>
    <w:p>
      <w:pPr>
        <w:pStyle w:val="705"/>
        <w:rPr>
          <w:rFonts w:hint="eastAsia"/>
          <w:highlight w:val="none"/>
          <w:lang w:val="en-US" w:eastAsia="zh-CN"/>
        </w:rPr>
      </w:pPr>
      <w:r>
        <w:rPr>
          <w:rFonts w:hint="eastAsia"/>
          <w:highlight w:val="none"/>
          <w:lang w:val="en-US" w:eastAsia="zh-CN"/>
        </w:rPr>
      </w:r>
      <w:r/>
    </w:p>
    <w:p>
      <w:pPr>
        <w:ind w:firstLine="42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en-US" w:eastAsia="zh-CN"/>
        </w:rPr>
        <w:t xml:space="preserve">七</w:t>
      </w:r>
      <w:r>
        <w:rPr>
          <w:rFonts w:hint="eastAsia" w:ascii="宋体" w:hAnsi="宋体" w:cs="宋体"/>
          <w:szCs w:val="21"/>
          <w:highlight w:val="none"/>
        </w:rPr>
        <w:t xml:space="preserve">、综合说明</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1.响应单位按照采购文件的要求提交响应文件，并对所提供的全部资料的真实性承担法律责任。</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2.此次响应报价应综合考量完成本项目全部内容所需的服务、设备、材料、人工、食宿、差旅、加班、税费、相关劳务支出</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代理服务费</w:t>
      </w:r>
      <w:r>
        <w:rPr>
          <w:rFonts w:hint="eastAsia" w:ascii="宋体" w:hAnsi="宋体" w:cs="宋体"/>
          <w:szCs w:val="21"/>
          <w:highlight w:val="none"/>
        </w:rPr>
        <w:t xml:space="preserve">等履行本合同所发生的全部费用以及乙方的企业利润、税金和政策性文件规定及合同包含的所有风险、责任等各项应有费用。除非本合同另有约定或经甲乙双方协商同意，乙方不得再要求追加任何其他费用。同时，除本合同另有约定外，乙方所报价格在本合同实施期间不因市场变化因素而变动。</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3.成交单位将根据采购文件、响应文件的相关约定，承担合同责任，履行合同义务。</w:t>
      </w:r>
      <w:r/>
    </w:p>
    <w:p>
      <w:pPr>
        <w:ind w:firstLine="420"/>
        <w:spacing w:line="360" w:lineRule="auto"/>
        <w:rPr>
          <w:highlight w:val="none"/>
        </w:rPr>
      </w:pPr>
      <w:r>
        <w:rPr>
          <w:rFonts w:hint="eastAsia" w:ascii="宋体" w:hAnsi="宋体" w:cs="宋体"/>
          <w:szCs w:val="21"/>
          <w:highlight w:val="none"/>
        </w:rPr>
        <w:t xml:space="preserve">4.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rPr>
          <w:highlight w:val="none"/>
        </w:rPr>
        <w:br w:type="page" w:clear="all"/>
      </w:r>
      <w:r/>
    </w:p>
    <w:p>
      <w:pPr>
        <w:jc w:val="center"/>
        <w:spacing w:before="75" w:after="75"/>
        <w:widowControl/>
        <w:rPr>
          <w:rFonts w:ascii="宋体" w:hAnsi="宋体" w:cs="宋体"/>
          <w:b/>
          <w:sz w:val="43"/>
        </w:rPr>
      </w:pPr>
      <w:r>
        <w:rPr>
          <w:rFonts w:hint="eastAsia" w:ascii="宋体" w:hAnsi="宋体" w:cs="宋体"/>
          <w:b/>
          <w:sz w:val="43"/>
          <w:highlight w:val="none"/>
        </w:rPr>
        <w:t xml:space="preserve">第五章  </w:t>
      </w:r>
      <w:r>
        <w:rPr>
          <w:rFonts w:hint="eastAsia"/>
          <w:b/>
          <w:sz w:val="44"/>
          <w:szCs w:val="44"/>
          <w:highlight w:val="none"/>
        </w:rPr>
        <w:t xml:space="preserve">合同及主要条</w:t>
      </w:r>
      <w:r>
        <w:rPr>
          <w:rFonts w:hint="eastAsia"/>
          <w:b/>
          <w:sz w:val="44"/>
          <w:szCs w:val="44"/>
        </w:rPr>
        <w:t xml:space="preserve">款</w:t>
      </w:r>
      <w:r/>
    </w:p>
    <w:p>
      <w:pPr>
        <w:jc w:val="right"/>
        <w:spacing w:line="400" w:lineRule="exact"/>
        <w:rPr>
          <w:rFonts w:ascii="宋体" w:hAnsi="宋体"/>
          <w:sz w:val="18"/>
          <w:szCs w:val="18"/>
        </w:rPr>
      </w:pPr>
      <w:r>
        <w:rPr>
          <w:rFonts w:ascii="宋体" w:hAnsi="宋体"/>
          <w:sz w:val="18"/>
          <w:szCs w:val="18"/>
        </w:rPr>
      </w:r>
      <w:r/>
    </w:p>
    <w:p>
      <w:pPr>
        <w:ind w:firstLine="480"/>
        <w:jc w:val="center"/>
        <w:spacing w:line="360" w:lineRule="auto"/>
        <w:rPr>
          <w:rFonts w:ascii="宋体" w:hAnsi="宋体" w:cs="宋体"/>
          <w:color w:val="000000"/>
          <w:sz w:val="32"/>
          <w:szCs w:val="32"/>
        </w:rPr>
      </w:pPr>
      <w:r>
        <w:rPr>
          <w:rFonts w:hint="eastAsia" w:ascii="楷体_GB2312" w:eastAsia="楷体_GB2312"/>
          <w:b/>
          <w:bCs/>
          <w:sz w:val="44"/>
          <w:szCs w:val="44"/>
        </w:rPr>
        <w:t xml:space="preserve">政府采购合同书</w:t>
      </w:r>
      <w:r/>
    </w:p>
    <w:p>
      <w:pPr>
        <w:ind w:left="0"/>
        <w:jc w:val="left"/>
        <w:spacing w:line="360" w:lineRule="auto"/>
        <w:rPr>
          <w:rFonts w:ascii="宋体" w:hAnsi="宋体"/>
          <w:b/>
          <w:sz w:val="21"/>
        </w:rPr>
      </w:pPr>
      <w:r>
        <w:rPr>
          <w:rFonts w:hint="eastAsia" w:ascii="宋体" w:hAnsi="宋体"/>
          <w:b/>
          <w:sz w:val="21"/>
        </w:rPr>
        <w:t xml:space="preserve">项目名称：</w:t>
      </w:r>
      <w:r/>
    </w:p>
    <w:p>
      <w:pPr>
        <w:ind w:left="0"/>
        <w:jc w:val="left"/>
        <w:spacing w:line="360" w:lineRule="auto"/>
        <w:rPr>
          <w:rFonts w:ascii="宋体" w:hAnsi="宋体"/>
          <w:b/>
          <w:sz w:val="21"/>
        </w:rPr>
      </w:pPr>
      <w:r>
        <w:rPr>
          <w:rFonts w:hint="eastAsia" w:ascii="宋体" w:hAnsi="宋体"/>
          <w:b/>
          <w:sz w:val="21"/>
        </w:rPr>
        <w:t xml:space="preserve">项目编号：</w:t>
      </w:r>
      <w:r/>
    </w:p>
    <w:p>
      <w:pPr>
        <w:rPr>
          <w:rFonts w:ascii="Times New Roman" w:hAnsi="Times New Roman"/>
        </w:rPr>
      </w:pPr>
      <w:r>
        <w:rPr>
          <w:rFonts w:ascii="Times New Roman" w:hAnsi="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根据《中华人民共和国民法典》和《</w:t>
      </w:r>
      <w:r>
        <w:rPr>
          <w:rFonts w:ascii="宋体" w:hAnsi="宋体"/>
          <w:color w:val="000000"/>
          <w:sz w:val="21"/>
          <w:szCs w:val="21"/>
        </w:rPr>
        <w:t xml:space="preserve">中华人民共和国</w:t>
      </w:r>
      <w:r>
        <w:rPr>
          <w:rFonts w:hint="eastAsia" w:ascii="宋体" w:hAnsi="宋体"/>
          <w:color w:val="000000"/>
          <w:sz w:val="21"/>
          <w:szCs w:val="21"/>
        </w:rPr>
        <w:t xml:space="preserve">政府采购</w:t>
      </w:r>
      <w:r>
        <w:rPr>
          <w:rFonts w:ascii="宋体" w:hAnsi="宋体"/>
          <w:color w:val="000000"/>
          <w:sz w:val="21"/>
          <w:szCs w:val="21"/>
        </w:rPr>
        <w:t xml:space="preserve">法</w:t>
      </w:r>
      <w:r>
        <w:rPr>
          <w:rFonts w:hint="eastAsia" w:ascii="宋体" w:hAnsi="宋体"/>
          <w:color w:val="000000"/>
          <w:sz w:val="21"/>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一、定义</w:t>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以下术语有特定的含义：</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服务是指根据合同规定乙方应承担</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color w:val="000000"/>
          <w:sz w:val="21"/>
          <w:szCs w:val="21"/>
        </w:rPr>
        <w:t xml:space="preserve">等工作和合同中规定乙方应承担的其它义务。</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合同价款是指根据成交单位的</w:t>
      </w:r>
      <w:r>
        <w:rPr>
          <w:rFonts w:hint="eastAsia" w:ascii="宋体" w:hAnsi="宋体"/>
          <w:sz w:val="21"/>
          <w:szCs w:val="21"/>
        </w:rPr>
        <w:t xml:space="preserve">响应文</w:t>
      </w:r>
      <w:r>
        <w:rPr>
          <w:rFonts w:hint="eastAsia" w:ascii="宋体" w:hAnsi="宋体"/>
          <w:color w:val="000000"/>
          <w:sz w:val="21"/>
          <w:szCs w:val="21"/>
        </w:rPr>
        <w:t xml:space="preserve">件和合同规定，乙方在正确地履行合同义务后甲方应支付给乙方的价款。</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甲方是指合同中明确规定的实际购买和接受服务的单位。</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乙方是指合同中规定的提供服务的单位。</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二、合同项目及期限</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.乙方负责</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sz w:val="21"/>
          <w:szCs w:val="21"/>
        </w:rPr>
        <w:t xml:space="preserve">的服务工作。</w:t>
      </w:r>
      <w:r/>
    </w:p>
    <w:p>
      <w:pPr>
        <w:ind w:left="0" w:firstLine="420"/>
        <w:spacing w:line="360" w:lineRule="auto"/>
        <w:widowControl w:val="off"/>
        <w:rPr>
          <w:rFonts w:ascii="宋体" w:hAnsi="宋体"/>
          <w:bCs/>
          <w:sz w:val="21"/>
          <w:szCs w:val="21"/>
        </w:rPr>
      </w:pPr>
      <w:r>
        <w:rPr>
          <w:rFonts w:ascii="宋体" w:hAnsi="宋体"/>
          <w:bCs/>
          <w:sz w:val="21"/>
          <w:szCs w:val="21"/>
        </w:rPr>
        <w:t xml:space="preserve">1</w:t>
      </w:r>
      <w:r>
        <w:rPr>
          <w:rFonts w:hint="eastAsia" w:ascii="宋体" w:hAnsi="宋体"/>
          <w:bCs/>
          <w:sz w:val="21"/>
          <w:szCs w:val="21"/>
        </w:rPr>
        <w:t xml:space="preserve">.</w:t>
      </w:r>
      <w:r>
        <w:rPr>
          <w:rFonts w:ascii="宋体" w:hAnsi="宋体"/>
          <w:bCs/>
          <w:sz w:val="21"/>
          <w:szCs w:val="21"/>
        </w:rPr>
        <w:t xml:space="preserve">1</w:t>
      </w:r>
      <w:r>
        <w:rPr>
          <w:rFonts w:hint="eastAsia" w:ascii="宋体" w:hAnsi="宋体"/>
          <w:bCs/>
          <w:sz w:val="21"/>
          <w:szCs w:val="21"/>
        </w:rPr>
        <w:t xml:space="preserve"> 普查登记服务</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对采购人的DLP大屏、精密空调、UPS主机等涉及的所有设备进行2次普查登记服务，形成详细的《普查报告》并上交给采购人，《普查报告》中应包括设备名称、数量、品牌、型号、安装位置、功能及照片。</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第1次普查登记服务应在合同签订之日起15个工作日内完成，形成《普查报告》后立即提交至采购人。</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第2次普查登记服务应在服务期结束前15个工作日内完成，形成《普查报告》并随项目验收材料一同提交至采购人。</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《普查报告》由供应商项目负责人签字有效，《普查报告》上交至采购人后，由采购人工作人员签字确认后视为该项工作完成。</w:t>
      </w:r>
      <w:r/>
    </w:p>
    <w:p>
      <w:pPr>
        <w:ind w:left="0" w:firstLine="420"/>
        <w:spacing w:line="360" w:lineRule="auto"/>
        <w:widowControl w:val="off"/>
        <w:rPr>
          <w:rFonts w:ascii="宋体" w:hAnsi="宋体"/>
          <w:bCs/>
          <w:sz w:val="21"/>
          <w:szCs w:val="21"/>
        </w:rPr>
      </w:pPr>
      <w:r>
        <w:rPr>
          <w:rFonts w:ascii="宋体" w:hAnsi="宋体"/>
          <w:bCs/>
          <w:sz w:val="21"/>
          <w:szCs w:val="21"/>
        </w:rPr>
        <w:t xml:space="preserve">1.2</w:t>
      </w:r>
      <w:r>
        <w:rPr>
          <w:rFonts w:hint="eastAsia" w:ascii="宋体" w:hAnsi="宋体"/>
          <w:bCs/>
          <w:sz w:val="21"/>
          <w:szCs w:val="21"/>
        </w:rPr>
        <w:t xml:space="preserve">苏州市交通运输应急指挥中心DLP大屏运维服务</w:t>
      </w:r>
      <w:r/>
    </w:p>
    <w:p>
      <w:pPr>
        <w:ind w:left="0" w:firstLine="420"/>
        <w:spacing w:line="360" w:lineRule="auto"/>
        <w:widowControl w:val="off"/>
        <w:rPr>
          <w:rFonts w:ascii="宋体" w:hAnsi="宋体"/>
          <w:bCs/>
          <w:sz w:val="21"/>
          <w:szCs w:val="21"/>
        </w:rPr>
      </w:pPr>
      <w:r>
        <w:rPr>
          <w:rFonts w:ascii="宋体" w:hAnsi="宋体"/>
          <w:bCs/>
          <w:sz w:val="21"/>
          <w:szCs w:val="21"/>
        </w:rPr>
        <w:t xml:space="preserve">1.2.1 </w:t>
      </w:r>
      <w:r>
        <w:rPr>
          <w:rFonts w:hint="eastAsia" w:ascii="宋体" w:hAnsi="宋体"/>
          <w:bCs/>
          <w:sz w:val="21"/>
          <w:szCs w:val="21"/>
        </w:rPr>
        <w:t xml:space="preserve">DLP大屏巡检服务内容</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每周至少一次对DLP大屏进行巡检服务，包括对显示单元、显示单元底座、多屏处理器、双基色LED显示屏、无线投屏伺服器、级联器、数字拼接墙显示应用管理系统、移动端APP及配套线缆的运行状况进行巡检，并形成《DLP大屏巡检记录表》。</w:t>
      </w:r>
      <w:r/>
    </w:p>
    <w:p>
      <w:pPr>
        <w:ind w:left="0" w:firstLine="420"/>
        <w:spacing w:line="360" w:lineRule="auto"/>
        <w:widowControl w:val="off"/>
        <w:rPr>
          <w:rFonts w:ascii="宋体" w:hAnsi="宋体"/>
          <w:bCs/>
          <w:sz w:val="21"/>
          <w:szCs w:val="21"/>
        </w:rPr>
      </w:pPr>
      <w:r>
        <w:rPr>
          <w:rFonts w:ascii="宋体" w:hAnsi="宋体"/>
          <w:bCs/>
          <w:sz w:val="21"/>
          <w:szCs w:val="21"/>
        </w:rPr>
        <w:t xml:space="preserve">1.2.2 </w:t>
      </w:r>
      <w:r>
        <w:rPr>
          <w:rFonts w:hint="eastAsia" w:ascii="宋体" w:hAnsi="宋体"/>
          <w:bCs/>
          <w:sz w:val="21"/>
          <w:szCs w:val="21"/>
        </w:rPr>
        <w:t xml:space="preserve">DLP大屏维护服务内容</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（1）每周至少1次对屏幕显示的拼接效果进行优化，保障大屏系统处于最佳运行状态，如遇重大活动或节假日，采购人可根据需求增加服务次数；</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（2）每月至少1次对显示单元的显示效果进行检查，确保横向、纵向坐标对齐，符合显示标准；每月至少1次对Ark多屏处理器、级联器及无线投屏伺服器进行维护，检查设备运行状态，对异常告警进行维护；</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（3）每季度至少1次对显示单元、Ark多屏处理器、级联器、无线投屏伺服器、专用线缆及电缆进行检查整理及清灰，每次检查整理及清灰前后均要以照片形式对设备状态进行记录；</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（4）供应商应将上述服务形成《DLP大屏维护记录表》。</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（5）其他维护要求：</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①维护人员每次修改大屏幕显示系统设备参数之前，必须先进行备份，必要时进行数据恢复，所有设备参数配置调整与修改，都必须经过采购人同意，并形成修改记录，将备份材料交由采购人存档；</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②必要时维护人员须提供大屏连接软件的安装、调试及数据备份服务；</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③在重大活动期间，采购人可按需要求供应商加派资深工程师在现场做好技术支持工作，为采购人提供7×24小时的技术支持服务，以确保活动顺利进行；</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④服务期内供应商应及时对采购人提出的其他DLP大屏维护内容进行响应及维护。</w:t>
      </w:r>
      <w:r/>
    </w:p>
    <w:p>
      <w:pPr>
        <w:ind w:left="0" w:firstLine="420"/>
        <w:spacing w:line="360" w:lineRule="auto"/>
        <w:widowControl w:val="off"/>
        <w:rPr>
          <w:rFonts w:ascii="宋体" w:hAnsi="宋体"/>
          <w:bCs/>
          <w:sz w:val="21"/>
          <w:szCs w:val="21"/>
        </w:rPr>
      </w:pPr>
      <w:r>
        <w:rPr>
          <w:rFonts w:ascii="宋体" w:hAnsi="宋体"/>
          <w:bCs/>
          <w:sz w:val="21"/>
          <w:szCs w:val="21"/>
        </w:rPr>
        <w:t xml:space="preserve">1.2.3</w:t>
      </w:r>
      <w:r>
        <w:rPr>
          <w:rFonts w:hint="eastAsia" w:ascii="宋体" w:hAnsi="宋体"/>
          <w:bCs/>
          <w:sz w:val="21"/>
          <w:szCs w:val="21"/>
        </w:rPr>
        <w:t xml:space="preserve"> DLP大屏故障处理服务内容</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1）服务期内供应商应及时对DLP大屏故障进行处理，对于所有的DLP大屏设备，供应商必须备有充足的设备备件（不低于原设备档次和性能），当设备无法现场修复时，供应商应负责提供备件供临时使用，并形成《DLP大屏故障处理记录表》，需详细记录报障时间、到场响应时间、故障修复时间、故障现象、故障影响范围、故障原因、故障解决方案、后续建议及维修前后设备状态的照片等内容。</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（2）其他故障处理要求：</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①供应商应按照采购人指定的时间地点对大屏设备等进行维修更换，维修更换前应向采购人提供具体实施方案和时间安排，经同意后方可实施，实施过程中不应干扰采购人正常工作；</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②维修所需的设备及零配件费用由供应商承担。</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1</w:t>
      </w:r>
      <w:r>
        <w:rPr>
          <w:rFonts w:ascii="宋体" w:hAnsi="宋体"/>
          <w:bCs/>
          <w:sz w:val="21"/>
          <w:szCs w:val="21"/>
        </w:rPr>
        <w:t xml:space="preserve">.3</w:t>
      </w:r>
      <w:r>
        <w:rPr>
          <w:rFonts w:hint="eastAsia" w:ascii="宋体" w:hAnsi="宋体"/>
          <w:bCs/>
          <w:sz w:val="21"/>
          <w:szCs w:val="21"/>
        </w:rPr>
        <w:t xml:space="preserve">苏州市交通运输应急指挥中心精密空调运维服务</w:t>
      </w:r>
      <w:r/>
    </w:p>
    <w:p>
      <w:pPr>
        <w:ind w:left="0" w:firstLine="420"/>
        <w:spacing w:line="360" w:lineRule="auto"/>
        <w:widowControl w:val="off"/>
        <w:rPr>
          <w:rFonts w:ascii="宋体" w:hAnsi="宋体"/>
          <w:bCs/>
          <w:sz w:val="21"/>
          <w:szCs w:val="21"/>
        </w:rPr>
      </w:pPr>
      <w:r>
        <w:rPr>
          <w:rFonts w:ascii="宋体" w:hAnsi="宋体"/>
          <w:bCs/>
          <w:sz w:val="21"/>
          <w:szCs w:val="21"/>
        </w:rPr>
        <w:t xml:space="preserve">1.</w:t>
      </w:r>
      <w:r>
        <w:rPr>
          <w:rFonts w:hint="eastAsia" w:ascii="宋体" w:hAnsi="宋体"/>
          <w:bCs/>
          <w:sz w:val="21"/>
          <w:szCs w:val="21"/>
        </w:rPr>
        <w:t xml:space="preserve">3.</w:t>
      </w:r>
      <w:r>
        <w:rPr>
          <w:rFonts w:ascii="宋体" w:hAnsi="宋体"/>
          <w:bCs/>
          <w:sz w:val="21"/>
          <w:szCs w:val="21"/>
        </w:rPr>
        <w:t xml:space="preserve">1</w:t>
      </w:r>
      <w:r>
        <w:rPr>
          <w:rFonts w:hint="eastAsia" w:ascii="宋体" w:hAnsi="宋体"/>
          <w:bCs/>
          <w:sz w:val="21"/>
          <w:szCs w:val="21"/>
        </w:rPr>
        <w:t xml:space="preserve">精密空调巡检服务内容</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（1）每天至少2次对机房温湿度、空调主机告警信息进行巡检；</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（2）每月至少1次对精密空调的所有工作电路、各处接点、工作电压电流、机组传感器、制冷系统管、卸荷安全阀及机组负荷变频状况进行巡检；</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（3）供应商应将上述服务形成《精密空调巡检记录表》。</w:t>
      </w:r>
      <w:r/>
    </w:p>
    <w:p>
      <w:pPr>
        <w:ind w:left="0" w:firstLine="420"/>
        <w:spacing w:line="360" w:lineRule="auto"/>
        <w:widowControl w:val="off"/>
        <w:rPr>
          <w:rFonts w:ascii="宋体" w:hAnsi="宋体"/>
          <w:bCs/>
          <w:sz w:val="21"/>
          <w:szCs w:val="21"/>
        </w:rPr>
      </w:pPr>
      <w:r>
        <w:rPr>
          <w:rFonts w:ascii="宋体" w:hAnsi="宋体"/>
          <w:bCs/>
          <w:sz w:val="21"/>
          <w:szCs w:val="21"/>
        </w:rPr>
        <w:t xml:space="preserve">1.</w:t>
      </w:r>
      <w:r>
        <w:rPr>
          <w:rFonts w:hint="eastAsia" w:ascii="宋体" w:hAnsi="宋体"/>
          <w:bCs/>
          <w:sz w:val="21"/>
          <w:szCs w:val="21"/>
        </w:rPr>
        <w:t xml:space="preserve">3.</w:t>
      </w:r>
      <w:r>
        <w:rPr>
          <w:rFonts w:ascii="宋体" w:hAnsi="宋体"/>
          <w:bCs/>
          <w:sz w:val="21"/>
          <w:szCs w:val="21"/>
        </w:rPr>
        <w:t xml:space="preserve">2</w:t>
      </w:r>
      <w:r>
        <w:rPr>
          <w:rFonts w:hint="eastAsia" w:ascii="宋体" w:hAnsi="宋体"/>
          <w:bCs/>
          <w:sz w:val="21"/>
          <w:szCs w:val="21"/>
        </w:rPr>
        <w:t xml:space="preserve">精密空调维护服务内容</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（1）每季度至少1次对精密空调外机冷凝器、内机蒸发器进行专业除垢、清洗；每季度至少1次对精密空调的过滤网进行更换，并形成《精密空调维护记录表》；</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（2）服务期内供应商应及时对采购人提出的其他精密空调维护内容进行响应及维护。</w:t>
      </w:r>
      <w:r/>
    </w:p>
    <w:p>
      <w:pPr>
        <w:ind w:left="0" w:firstLine="420"/>
        <w:spacing w:line="360" w:lineRule="auto"/>
        <w:widowControl w:val="off"/>
        <w:rPr>
          <w:rFonts w:ascii="宋体" w:hAnsi="宋体"/>
          <w:bCs/>
          <w:sz w:val="21"/>
          <w:szCs w:val="21"/>
        </w:rPr>
      </w:pPr>
      <w:r>
        <w:rPr>
          <w:rFonts w:ascii="宋体" w:hAnsi="宋体"/>
          <w:bCs/>
          <w:sz w:val="21"/>
          <w:szCs w:val="21"/>
        </w:rPr>
        <w:t xml:space="preserve">1.</w:t>
      </w:r>
      <w:r>
        <w:rPr>
          <w:rFonts w:hint="eastAsia" w:ascii="宋体" w:hAnsi="宋体"/>
          <w:bCs/>
          <w:sz w:val="21"/>
          <w:szCs w:val="21"/>
        </w:rPr>
        <w:t xml:space="preserve">3.</w:t>
      </w:r>
      <w:r>
        <w:rPr>
          <w:rFonts w:ascii="宋体" w:hAnsi="宋体"/>
          <w:bCs/>
          <w:sz w:val="21"/>
          <w:szCs w:val="21"/>
        </w:rPr>
        <w:t xml:space="preserve">3</w:t>
      </w:r>
      <w:r>
        <w:rPr>
          <w:rFonts w:hint="eastAsia" w:ascii="宋体" w:hAnsi="宋体"/>
          <w:bCs/>
          <w:sz w:val="21"/>
          <w:szCs w:val="21"/>
        </w:rPr>
        <w:t xml:space="preserve">精密空调故障处理服务内容</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服务期内供应商应及时对精密空调故障进行处理，对于所有的精密空调设备，供应商必须备有充足的设备备件（不低于原设备档次和性能），当设备无法现场修复时，供应商应负责提供备件供临时使用，并形成《精密空调故障处理记录表》，需详细记录报障时间、到场响应时间、故障修复时间、故障现象、故障影响范围、故障原因、故障解决方案、后续建议及维修前后设备状态的照片等内容。</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1</w:t>
      </w:r>
      <w:r>
        <w:rPr>
          <w:rFonts w:ascii="宋体" w:hAnsi="宋体"/>
          <w:bCs/>
          <w:sz w:val="21"/>
          <w:szCs w:val="21"/>
        </w:rPr>
        <w:t xml:space="preserve">.4</w:t>
      </w:r>
      <w:r>
        <w:rPr>
          <w:rFonts w:hint="eastAsia" w:ascii="宋体" w:hAnsi="宋体"/>
          <w:bCs/>
          <w:sz w:val="21"/>
          <w:szCs w:val="21"/>
        </w:rPr>
        <w:t xml:space="preserve">苏州市交通运输应急指挥中心UPS主机等运维服务</w:t>
      </w:r>
      <w:r/>
    </w:p>
    <w:p>
      <w:pPr>
        <w:ind w:left="0" w:firstLine="420"/>
        <w:spacing w:line="360" w:lineRule="auto"/>
        <w:widowControl w:val="off"/>
        <w:rPr>
          <w:rFonts w:ascii="宋体" w:hAnsi="宋体"/>
          <w:bCs/>
          <w:sz w:val="21"/>
          <w:szCs w:val="21"/>
        </w:rPr>
      </w:pPr>
      <w:r>
        <w:rPr>
          <w:rFonts w:ascii="宋体" w:hAnsi="宋体"/>
          <w:bCs/>
          <w:sz w:val="21"/>
          <w:szCs w:val="21"/>
        </w:rPr>
        <w:t xml:space="preserve">1.</w:t>
      </w:r>
      <w:r>
        <w:rPr>
          <w:rFonts w:hint="eastAsia" w:ascii="宋体" w:hAnsi="宋体"/>
          <w:bCs/>
          <w:sz w:val="21"/>
          <w:szCs w:val="21"/>
        </w:rPr>
        <w:t xml:space="preserve">4.</w:t>
      </w:r>
      <w:r>
        <w:rPr>
          <w:rFonts w:ascii="宋体" w:hAnsi="宋体"/>
          <w:bCs/>
          <w:sz w:val="21"/>
          <w:szCs w:val="21"/>
        </w:rPr>
        <w:t xml:space="preserve">1</w:t>
      </w:r>
      <w:r>
        <w:rPr>
          <w:rFonts w:hint="eastAsia" w:ascii="宋体" w:hAnsi="宋体"/>
          <w:bCs/>
          <w:sz w:val="21"/>
          <w:szCs w:val="21"/>
        </w:rPr>
        <w:t xml:space="preserve"> UPS主机等巡检服务内容</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每天至少2次对UPS主机、蓄电池组主控、精密配电柜电路告警信息进行巡检，并形成《UPS主机等巡检记录表》。</w:t>
      </w:r>
      <w:r/>
    </w:p>
    <w:p>
      <w:pPr>
        <w:ind w:left="0" w:firstLine="420"/>
        <w:spacing w:line="360" w:lineRule="auto"/>
        <w:widowControl w:val="off"/>
        <w:rPr>
          <w:rFonts w:ascii="宋体" w:hAnsi="宋体"/>
          <w:bCs/>
          <w:sz w:val="21"/>
          <w:szCs w:val="21"/>
        </w:rPr>
      </w:pPr>
      <w:r>
        <w:rPr>
          <w:rFonts w:ascii="宋体" w:hAnsi="宋体"/>
          <w:bCs/>
          <w:sz w:val="21"/>
          <w:szCs w:val="21"/>
        </w:rPr>
        <w:t xml:space="preserve">1.</w:t>
      </w:r>
      <w:r>
        <w:rPr>
          <w:rFonts w:hint="eastAsia" w:ascii="宋体" w:hAnsi="宋体"/>
          <w:bCs/>
          <w:sz w:val="21"/>
          <w:szCs w:val="21"/>
        </w:rPr>
        <w:t xml:space="preserve">4.</w:t>
      </w:r>
      <w:r>
        <w:rPr>
          <w:rFonts w:ascii="宋体" w:hAnsi="宋体"/>
          <w:bCs/>
          <w:sz w:val="21"/>
          <w:szCs w:val="21"/>
        </w:rPr>
        <w:t xml:space="preserve">2</w:t>
      </w:r>
      <w:r>
        <w:rPr>
          <w:rFonts w:hint="eastAsia" w:ascii="宋体" w:hAnsi="宋体"/>
          <w:bCs/>
          <w:sz w:val="21"/>
          <w:szCs w:val="21"/>
        </w:rPr>
        <w:t xml:space="preserve"> UPS主机等维护服务内容</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（1）每季度至少1次对UPS主机、UPS逆变器电容进行维护保养；每季度至少1次对动力配电柜进行清灰；每季度至少1次对UPS主机的过滤网进行更换，并形成《UPS主机等维护记录表》；</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（2）服务期内供应商应及时对采购人提出的其他UPS主机等维护内容进行响应及维护。</w:t>
      </w:r>
      <w:r/>
    </w:p>
    <w:p>
      <w:pPr>
        <w:ind w:left="0" w:firstLine="420"/>
        <w:spacing w:line="360" w:lineRule="auto"/>
        <w:widowControl w:val="off"/>
        <w:rPr>
          <w:rFonts w:ascii="宋体" w:hAnsi="宋体"/>
          <w:bCs/>
          <w:sz w:val="21"/>
          <w:szCs w:val="21"/>
        </w:rPr>
      </w:pPr>
      <w:r>
        <w:rPr>
          <w:rFonts w:ascii="宋体" w:hAnsi="宋体"/>
          <w:bCs/>
          <w:sz w:val="21"/>
          <w:szCs w:val="21"/>
        </w:rPr>
        <w:t xml:space="preserve">1.</w:t>
      </w:r>
      <w:r>
        <w:rPr>
          <w:rFonts w:hint="eastAsia" w:ascii="宋体" w:hAnsi="宋体"/>
          <w:bCs/>
          <w:sz w:val="21"/>
          <w:szCs w:val="21"/>
        </w:rPr>
        <w:t xml:space="preserve">4.</w:t>
      </w:r>
      <w:r>
        <w:rPr>
          <w:rFonts w:ascii="宋体" w:hAnsi="宋体"/>
          <w:bCs/>
          <w:sz w:val="21"/>
          <w:szCs w:val="21"/>
        </w:rPr>
        <w:t xml:space="preserve">3</w:t>
      </w:r>
      <w:r>
        <w:rPr>
          <w:rFonts w:hint="eastAsia" w:ascii="宋体" w:hAnsi="宋体"/>
          <w:bCs/>
          <w:sz w:val="21"/>
          <w:szCs w:val="21"/>
        </w:rPr>
        <w:t xml:space="preserve"> UPS主机等故障处理服务内容</w:t>
      </w:r>
      <w:r/>
    </w:p>
    <w:p>
      <w:pPr>
        <w:ind w:left="0" w:firstLine="420"/>
        <w:spacing w:line="360" w:lineRule="auto"/>
        <w:widowControl w:val="off"/>
        <w:rPr>
          <w:rFonts w:ascii="宋体" w:hAnsi="宋体"/>
          <w:bCs/>
          <w:sz w:val="21"/>
          <w:szCs w:val="21"/>
          <w:highlight w:val="none"/>
        </w:rPr>
      </w:pPr>
      <w:r>
        <w:rPr>
          <w:rFonts w:hint="eastAsia" w:ascii="宋体" w:hAnsi="宋体"/>
          <w:bCs/>
          <w:sz w:val="21"/>
          <w:szCs w:val="21"/>
        </w:rPr>
        <w:t xml:space="preserve">服务期内供应商应及时对UPS主机等故障进行处理，对于所有的UPS主机等设备，供应商必须备有充足的设备备件（不低于原设备档次和性能），当设备无法现场修复时，供应商应负责提供备件供临时使用，并形成《UPS主机等故障处理记录表》，需详细记录报障时间、到场响应时间、故障修复时间、故障现象、故障影响范围、故障原因、故障解决方案</w:t>
      </w:r>
      <w:r>
        <w:rPr>
          <w:rFonts w:hint="eastAsia" w:ascii="宋体" w:hAnsi="宋体"/>
          <w:bCs/>
          <w:sz w:val="21"/>
          <w:szCs w:val="21"/>
          <w:highlight w:val="none"/>
        </w:rPr>
        <w:t xml:space="preserve">、后续建议及维修前后设备状态的照片等内容。</w:t>
      </w:r>
      <w:r/>
    </w:p>
    <w:p>
      <w:pPr>
        <w:ind w:left="0" w:firstLine="420"/>
        <w:spacing w:line="360" w:lineRule="auto"/>
        <w:widowControl w:val="off"/>
        <w:rPr>
          <w:rFonts w:ascii="宋体" w:hAnsi="宋体"/>
          <w:bCs/>
          <w:sz w:val="21"/>
          <w:szCs w:val="21"/>
          <w:highlight w:val="none"/>
        </w:rPr>
      </w:pPr>
      <w:r>
        <w:rPr>
          <w:rFonts w:hint="eastAsia" w:ascii="宋体" w:hAnsi="宋体"/>
          <w:bCs/>
          <w:sz w:val="21"/>
          <w:szCs w:val="21"/>
          <w:highlight w:val="none"/>
        </w:rPr>
        <w:t xml:space="preserve">1</w:t>
      </w:r>
      <w:r>
        <w:rPr>
          <w:rFonts w:ascii="宋体" w:hAnsi="宋体"/>
          <w:bCs/>
          <w:sz w:val="21"/>
          <w:szCs w:val="21"/>
          <w:highlight w:val="none"/>
        </w:rPr>
        <w:t xml:space="preserve">.5</w:t>
      </w:r>
      <w:r>
        <w:rPr>
          <w:rFonts w:hint="eastAsia" w:ascii="宋体" w:hAnsi="宋体"/>
          <w:bCs/>
          <w:sz w:val="21"/>
          <w:szCs w:val="21"/>
          <w:highlight w:val="none"/>
        </w:rPr>
        <w:t xml:space="preserve">其他服务要求</w:t>
      </w:r>
      <w:r/>
    </w:p>
    <w:p>
      <w:pPr>
        <w:ind w:left="0" w:firstLine="420"/>
        <w:spacing w:line="360" w:lineRule="auto"/>
        <w:widowControl w:val="off"/>
        <w:rPr>
          <w:rFonts w:hint="eastAsia" w:ascii="宋体" w:hAnsi="宋体"/>
          <w:bCs/>
          <w:sz w:val="21"/>
          <w:szCs w:val="21"/>
          <w:highlight w:val="none"/>
        </w:rPr>
      </w:pPr>
      <w:r>
        <w:rPr>
          <w:rFonts w:hint="eastAsia" w:ascii="宋体" w:hAnsi="宋体"/>
          <w:bCs/>
          <w:sz w:val="21"/>
          <w:szCs w:val="21"/>
          <w:highlight w:val="none"/>
        </w:rPr>
        <w:t xml:space="preserve">（1）</w:t>
      </w:r>
      <w:r>
        <w:rPr>
          <w:rFonts w:hint="eastAsia" w:ascii="宋体" w:hAnsi="宋体" w:cs="宋体"/>
          <w:b w:val="0"/>
          <w:bCs w:val="0"/>
          <w:szCs w:val="21"/>
          <w:highlight w:val="none"/>
        </w:rPr>
        <w:t xml:space="preserve">合同签订生效后10个工作日内，</w:t>
      </w:r>
      <w:r>
        <w:rPr>
          <w:rFonts w:hint="eastAsia" w:ascii="宋体" w:hAnsi="宋体" w:cs="宋体"/>
          <w:b w:val="0"/>
          <w:bCs w:val="0"/>
          <w:szCs w:val="21"/>
          <w:highlight w:val="none"/>
          <w:lang w:val="en-US" w:eastAsia="zh-CN"/>
        </w:rPr>
        <w:t xml:space="preserve">乙方</w:t>
      </w:r>
      <w:r>
        <w:rPr>
          <w:rFonts w:hint="eastAsia" w:ascii="宋体" w:hAnsi="宋体" w:cs="宋体"/>
          <w:b w:val="0"/>
          <w:bCs w:val="0"/>
          <w:szCs w:val="21"/>
          <w:highlight w:val="none"/>
        </w:rPr>
        <w:t xml:space="preserve">应按照采购文件规定的备品备件名称、技术参数、最低数量和质量要求，将全部备品备件运送至</w:t>
      </w:r>
      <w:r>
        <w:rPr>
          <w:rFonts w:hint="eastAsia" w:ascii="宋体" w:hAnsi="宋体" w:cs="宋体"/>
          <w:b w:val="0"/>
          <w:bCs w:val="0"/>
          <w:szCs w:val="21"/>
          <w:highlight w:val="none"/>
          <w:lang w:val="en-US" w:eastAsia="zh-CN"/>
        </w:rPr>
        <w:t xml:space="preserve">甲方</w:t>
      </w:r>
      <w:r>
        <w:rPr>
          <w:rFonts w:hint="eastAsia" w:ascii="宋体" w:hAnsi="宋体" w:cs="宋体"/>
          <w:b w:val="0"/>
          <w:bCs w:val="0"/>
          <w:szCs w:val="21"/>
          <w:highlight w:val="none"/>
        </w:rPr>
        <w:t xml:space="preserve">指定地点，完成入库、清点、检验、标识及台账建立，并提交产品合格证明、来源证明、参数资料及兼容性说明。经</w:t>
      </w:r>
      <w:r>
        <w:rPr>
          <w:rFonts w:hint="eastAsia" w:ascii="宋体" w:hAnsi="宋体" w:cs="宋体"/>
          <w:b w:val="0"/>
          <w:bCs w:val="0"/>
          <w:szCs w:val="21"/>
          <w:highlight w:val="none"/>
          <w:lang w:val="en-US" w:eastAsia="zh-CN"/>
        </w:rPr>
        <w:t xml:space="preserve">甲方</w:t>
      </w:r>
      <w:r>
        <w:rPr>
          <w:rFonts w:hint="eastAsia" w:ascii="宋体" w:hAnsi="宋体" w:cs="宋体"/>
          <w:b w:val="0"/>
          <w:bCs w:val="0"/>
          <w:szCs w:val="21"/>
          <w:highlight w:val="none"/>
        </w:rPr>
        <w:t xml:space="preserve">核对无误并在《备品备件到货清点确认单》上签字确认后，视为备品备件清点到位。备品备件存在缺项、数量不足、质量不合格、参数或兼容性不符合要求等情形的，不视为清点到位。</w:t>
      </w:r>
      <w:r/>
    </w:p>
    <w:p>
      <w:pPr>
        <w:ind w:left="0" w:firstLine="420"/>
        <w:spacing w:line="360" w:lineRule="auto"/>
        <w:widowControl w:val="off"/>
        <w:rPr>
          <w:rFonts w:ascii="宋体" w:hAnsi="宋体"/>
          <w:bCs/>
          <w:sz w:val="21"/>
          <w:szCs w:val="21"/>
          <w:highlight w:val="none"/>
        </w:rPr>
      </w:pPr>
      <w:r>
        <w:rPr>
          <w:rFonts w:hint="eastAsia" w:ascii="宋体" w:hAnsi="宋体"/>
          <w:bCs/>
          <w:sz w:val="21"/>
          <w:szCs w:val="21"/>
          <w:highlight w:val="none"/>
          <w:lang w:eastAsia="zh-CN"/>
        </w:rPr>
        <w:t xml:space="preserve">（</w:t>
      </w:r>
      <w:r>
        <w:rPr>
          <w:rFonts w:hint="eastAsia" w:ascii="宋体" w:hAnsi="宋体"/>
          <w:bCs/>
          <w:sz w:val="21"/>
          <w:szCs w:val="21"/>
          <w:highlight w:val="none"/>
          <w:lang w:val="en-US" w:eastAsia="zh-CN"/>
        </w:rPr>
        <w:t xml:space="preserve">2</w:t>
      </w:r>
      <w:r>
        <w:rPr>
          <w:rFonts w:hint="eastAsia" w:ascii="宋体" w:hAnsi="宋体"/>
          <w:bCs/>
          <w:sz w:val="21"/>
          <w:szCs w:val="21"/>
          <w:highlight w:val="none"/>
          <w:lang w:eastAsia="zh-CN"/>
        </w:rPr>
        <w:t xml:space="preserve">）</w:t>
      </w:r>
      <w:r>
        <w:rPr>
          <w:rFonts w:hint="eastAsia" w:ascii="宋体" w:hAnsi="宋体"/>
          <w:bCs/>
          <w:sz w:val="21"/>
          <w:szCs w:val="21"/>
          <w:highlight w:val="none"/>
        </w:rPr>
        <w:t xml:space="preserve">合同签订后15个工作日内向采购人提供《巡检服务规程》，内容须</w:t>
      </w:r>
      <w:r>
        <w:rPr>
          <w:rFonts w:hint="eastAsia" w:ascii="宋体" w:hAnsi="宋体"/>
          <w:sz w:val="21"/>
          <w:szCs w:val="21"/>
          <w:highlight w:val="none"/>
        </w:rPr>
        <w:t xml:space="preserve">涵盖</w:t>
      </w:r>
      <w:r>
        <w:rPr>
          <w:rFonts w:hint="eastAsia" w:ascii="宋体" w:hAnsi="宋体"/>
          <w:bCs/>
          <w:sz w:val="21"/>
          <w:szCs w:val="21"/>
          <w:highlight w:val="none"/>
        </w:rPr>
        <w:t xml:space="preserve">DLP大屏、精密空调、UPS主机等。</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w:t>
      </w:r>
      <w:r>
        <w:rPr>
          <w:rFonts w:hint="eastAsia" w:ascii="宋体" w:hAnsi="宋体"/>
          <w:bCs/>
          <w:sz w:val="21"/>
          <w:szCs w:val="21"/>
          <w:lang w:val="en-US" w:eastAsia="zh-CN"/>
        </w:rPr>
        <w:t xml:space="preserve">3</w:t>
      </w:r>
      <w:r>
        <w:rPr>
          <w:rFonts w:hint="eastAsia" w:ascii="宋体" w:hAnsi="宋体"/>
          <w:bCs/>
          <w:sz w:val="21"/>
          <w:szCs w:val="21"/>
        </w:rPr>
        <w:t xml:space="preserve">）到场响应时间要求：在本项目服务范围内，由采购人发出的所有维护要求及故障处理要求，供应商应严格按照如下时间要求进行到场响应：</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工作日须在0.5个小时内到达现场，24个小时内完成维护或故障排除；</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非工作日须在1个小时内到达现场，24个小时内完成维护或故障排除。</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w:t>
      </w:r>
      <w:r>
        <w:rPr>
          <w:rFonts w:hint="eastAsia" w:ascii="宋体" w:hAnsi="宋体"/>
          <w:bCs/>
          <w:sz w:val="21"/>
          <w:szCs w:val="21"/>
          <w:lang w:val="en-US" w:eastAsia="zh-CN"/>
        </w:rPr>
        <w:t xml:space="preserve">4</w:t>
      </w:r>
      <w:r>
        <w:rPr>
          <w:rFonts w:hint="eastAsia" w:ascii="宋体" w:hAnsi="宋体"/>
          <w:bCs/>
          <w:sz w:val="21"/>
          <w:szCs w:val="21"/>
        </w:rPr>
        <w:t xml:space="preserve">）季度运维档案要求：服务每满3个月为1个季度，每个季度服务期满后5个工作日内，供应商应上交一套季度运维档案，包括该季度的《DLP大屏巡检记录表》《DLP大屏维护记录表》《DLP大屏故障处理记录表》《精密空调巡检记录表》《精密空调维护记录表》《精密空调故障处理记录表》《UPS主机等巡检记录表》《UPS主机等维护记录表》《UPS主机等故障处理记录表》。季度运维档案由供应商项目负责人签字有效，季度运维档案上交至采购人后，由采购人工作人员签字确认后视为该项工作完成。</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w:t>
      </w:r>
      <w:r>
        <w:rPr>
          <w:rFonts w:hint="eastAsia" w:ascii="宋体" w:hAnsi="宋体"/>
          <w:bCs/>
          <w:sz w:val="21"/>
          <w:szCs w:val="21"/>
          <w:lang w:val="en-US" w:eastAsia="zh-CN"/>
        </w:rPr>
        <w:t xml:space="preserve">5</w:t>
      </w:r>
      <w:r>
        <w:rPr>
          <w:rFonts w:hint="eastAsia" w:ascii="宋体" w:hAnsi="宋体"/>
          <w:bCs/>
          <w:sz w:val="21"/>
          <w:szCs w:val="21"/>
        </w:rPr>
        <w:t xml:space="preserve">）培训服务：服务期内供应商须针对DLP大屏、精密空调、UPS主机等日常操作对采购人分别进行1次培训，并提供包括培训内容、教材、培训现场照片等材料。</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w:t>
      </w:r>
      <w:r>
        <w:rPr>
          <w:rFonts w:hint="eastAsia" w:ascii="宋体" w:hAnsi="宋体"/>
          <w:bCs/>
          <w:sz w:val="21"/>
          <w:szCs w:val="21"/>
          <w:lang w:val="en-US" w:eastAsia="zh-CN"/>
        </w:rPr>
        <w:t xml:space="preserve">6</w:t>
      </w:r>
      <w:r>
        <w:rPr>
          <w:rFonts w:hint="eastAsia" w:ascii="宋体" w:hAnsi="宋体"/>
          <w:bCs/>
          <w:sz w:val="21"/>
          <w:szCs w:val="21"/>
        </w:rPr>
        <w:t xml:space="preserve">）应急演练服务：在本项目服务期内，供应商须针对本项目至少进行一次应急演练，并在应急演练结束后提交相关文档材料及现场照片。</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w:t>
      </w:r>
      <w:r>
        <w:rPr>
          <w:rFonts w:hint="eastAsia" w:ascii="宋体" w:hAnsi="宋体"/>
          <w:bCs/>
          <w:sz w:val="21"/>
          <w:szCs w:val="21"/>
          <w:lang w:val="en-US" w:eastAsia="zh-CN"/>
        </w:rPr>
        <w:t xml:space="preserve">7</w:t>
      </w:r>
      <w:r>
        <w:rPr>
          <w:rFonts w:hint="eastAsia" w:ascii="宋体" w:hAnsi="宋体"/>
          <w:bCs/>
          <w:sz w:val="21"/>
          <w:szCs w:val="21"/>
        </w:rPr>
        <w:t xml:space="preserve">）为保障运维服务的质量，供应商应制定合理有效的维护管理机制、行为规范、现场服务规范及故障记录规范，并为服务人员配备必要的维保工具，以便服务人员能够在日常维护过程中更加快速、有效地为采购人提供服务，且须确保维护人员具备相应技术常识和专业知识，采取必要防护措施，保证文明和安全施工、检修，在服务期内发生安全事故，由供应商负全责，与采购人无关。</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w:t>
      </w:r>
      <w:r>
        <w:rPr>
          <w:rFonts w:hint="eastAsia" w:ascii="宋体" w:hAnsi="宋体"/>
          <w:bCs/>
          <w:sz w:val="21"/>
          <w:szCs w:val="21"/>
          <w:lang w:val="en-US" w:eastAsia="zh-CN"/>
        </w:rPr>
        <w:t xml:space="preserve">8</w:t>
      </w:r>
      <w:r>
        <w:rPr>
          <w:rFonts w:hint="eastAsia" w:ascii="宋体" w:hAnsi="宋体"/>
          <w:bCs/>
          <w:sz w:val="21"/>
          <w:szCs w:val="21"/>
        </w:rPr>
        <w:t xml:space="preserve">）供应商的所有服务人员须服从采购人指定管理人员的合理正确的管理和指示，并对采购人设备管理人员进行设备日常正常运行使用的知识指导和培训。</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w:t>
      </w:r>
      <w:r>
        <w:rPr>
          <w:rFonts w:hint="eastAsia" w:ascii="宋体" w:hAnsi="宋体"/>
          <w:bCs/>
          <w:sz w:val="21"/>
          <w:szCs w:val="21"/>
          <w:lang w:val="en-US" w:eastAsia="zh-CN"/>
        </w:rPr>
        <w:t xml:space="preserve">9</w:t>
      </w:r>
      <w:r>
        <w:rPr>
          <w:rFonts w:hint="eastAsia" w:ascii="宋体" w:hAnsi="宋体"/>
          <w:bCs/>
          <w:sz w:val="21"/>
          <w:szCs w:val="21"/>
        </w:rPr>
        <w:t xml:space="preserve">）供应商的检修不得影响采购人正常办公，如有个别可能有影响的施工内容，须事前通知采购人，并经采购人同意后方可实施。</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w:t>
      </w:r>
      <w:r>
        <w:rPr>
          <w:rFonts w:hint="eastAsia" w:ascii="宋体" w:hAnsi="宋体"/>
          <w:bCs/>
          <w:sz w:val="21"/>
          <w:szCs w:val="21"/>
          <w:lang w:val="en-US" w:eastAsia="zh-CN"/>
        </w:rPr>
        <w:t xml:space="preserve">10</w:t>
      </w:r>
      <w:r>
        <w:rPr>
          <w:rFonts w:hint="eastAsia" w:ascii="宋体" w:hAnsi="宋体"/>
          <w:bCs/>
          <w:sz w:val="21"/>
          <w:szCs w:val="21"/>
        </w:rPr>
        <w:t xml:space="preserve">）采购人设备发生大规模病毒灾难、软硬件升级、需大规模手工维护设备、重大接待以及采购人认为工作需要时，供应商须根据采购人发出的需求及时增加相应人数的工程师配合采购人进行以上工作，必须在采购人规定的期限内完成，不得影响正常工作使用。</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（1</w:t>
      </w:r>
      <w:r>
        <w:rPr>
          <w:rFonts w:hint="eastAsia" w:ascii="宋体" w:hAnsi="宋体"/>
          <w:bCs/>
          <w:sz w:val="21"/>
          <w:szCs w:val="21"/>
          <w:lang w:val="en-US" w:eastAsia="zh-CN"/>
        </w:rPr>
        <w:t xml:space="preserve">1</w:t>
      </w:r>
      <w:r>
        <w:rPr>
          <w:rFonts w:hint="eastAsia" w:ascii="宋体" w:hAnsi="宋体"/>
          <w:bCs/>
          <w:sz w:val="21"/>
          <w:szCs w:val="21"/>
        </w:rPr>
        <w:t xml:space="preserve">）若因供应商维护工作不及时，不按时提交维护报告，或出现因缺少备件而使故障未能得到及时解决而影响系统使用，造成严重后果的，采购人有权随时解除合同，供应商须承担由此给采购人造成的损失。</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（1</w:t>
      </w:r>
      <w:r>
        <w:rPr>
          <w:rFonts w:hint="eastAsia" w:ascii="宋体" w:hAnsi="宋体"/>
          <w:bCs/>
          <w:sz w:val="21"/>
          <w:szCs w:val="21"/>
          <w:lang w:val="en-US" w:eastAsia="zh-CN"/>
        </w:rPr>
        <w:t xml:space="preserve">2</w:t>
      </w:r>
      <w:r>
        <w:rPr>
          <w:rFonts w:hint="eastAsia" w:ascii="宋体" w:hAnsi="宋体"/>
          <w:bCs/>
          <w:sz w:val="21"/>
          <w:szCs w:val="21"/>
        </w:rPr>
        <w:t xml:space="preserve">）供应商不得以任何方式将采购人的相关信息进行披露、发表或传播，应与采购人签订相关保密协议，保密协议将作为技术服务合同的附件。</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（1</w:t>
      </w:r>
      <w:r>
        <w:rPr>
          <w:rFonts w:hint="eastAsia" w:ascii="宋体" w:hAnsi="宋体"/>
          <w:bCs/>
          <w:sz w:val="21"/>
          <w:szCs w:val="21"/>
          <w:lang w:val="en-US" w:eastAsia="zh-CN"/>
        </w:rPr>
        <w:t xml:space="preserve">3</w:t>
      </w:r>
      <w:r>
        <w:rPr>
          <w:rFonts w:hint="eastAsia" w:ascii="宋体" w:hAnsi="宋体"/>
          <w:bCs/>
          <w:sz w:val="21"/>
          <w:szCs w:val="21"/>
        </w:rPr>
        <w:t xml:space="preserve">）供应商维护人员必须严格遵守采购人的各项规章制度、管理办法及安全规定，承担相关安全责任，保持维护电话24小时通信畅通。</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（1</w:t>
      </w:r>
      <w:r>
        <w:rPr>
          <w:rFonts w:hint="eastAsia" w:ascii="宋体" w:hAnsi="宋体"/>
          <w:bCs/>
          <w:sz w:val="21"/>
          <w:szCs w:val="21"/>
          <w:lang w:val="en-US" w:eastAsia="zh-CN"/>
        </w:rPr>
        <w:t xml:space="preserve">4</w:t>
      </w:r>
      <w:r>
        <w:rPr>
          <w:rFonts w:hint="eastAsia" w:ascii="宋体" w:hAnsi="宋体"/>
          <w:bCs/>
          <w:sz w:val="21"/>
          <w:szCs w:val="21"/>
        </w:rPr>
        <w:t xml:space="preserve">）根据采购人的实际需要，完成主管部门提出的其他合理要求与服务。</w:t>
      </w:r>
      <w:r/>
    </w:p>
    <w:p>
      <w:pPr>
        <w:ind w:left="0" w:firstLine="420"/>
        <w:spacing w:line="360" w:lineRule="auto"/>
        <w:widowControl w:val="off"/>
        <w:rPr>
          <w:rFonts w:ascii="宋体" w:hAnsi="宋体"/>
          <w:bCs/>
          <w:sz w:val="21"/>
          <w:szCs w:val="21"/>
          <w:highlight w:val="none"/>
        </w:rPr>
      </w:pPr>
      <w:r>
        <w:rPr>
          <w:rFonts w:hint="eastAsia" w:ascii="宋体" w:hAnsi="宋体"/>
          <w:bCs/>
          <w:sz w:val="21"/>
          <w:szCs w:val="21"/>
        </w:rPr>
        <w:t xml:space="preserve">（1</w:t>
      </w:r>
      <w:r>
        <w:rPr>
          <w:rFonts w:hint="eastAsia" w:ascii="宋体" w:hAnsi="宋体"/>
          <w:bCs/>
          <w:sz w:val="21"/>
          <w:szCs w:val="21"/>
          <w:lang w:val="en-US" w:eastAsia="zh-CN"/>
        </w:rPr>
        <w:t xml:space="preserve">5</w:t>
      </w:r>
      <w:r>
        <w:rPr>
          <w:rFonts w:hint="eastAsia" w:ascii="宋体" w:hAnsi="宋体"/>
          <w:bCs/>
          <w:sz w:val="21"/>
          <w:szCs w:val="21"/>
        </w:rPr>
        <w:t xml:space="preserve">）若合同履行期间，本项目设备维护预算受财政政策影响或相关设备设施列入更新改造计划，则设备维护</w:t>
      </w:r>
      <w:r>
        <w:rPr>
          <w:rFonts w:hint="eastAsia" w:ascii="宋体" w:hAnsi="宋体"/>
          <w:bCs/>
          <w:sz w:val="21"/>
          <w:szCs w:val="21"/>
          <w:highlight w:val="none"/>
        </w:rPr>
        <w:t xml:space="preserve">费用根据实际服务期限按比例核减。</w:t>
      </w:r>
      <w:r/>
    </w:p>
    <w:p>
      <w:pPr>
        <w:ind w:left="0" w:firstLine="420"/>
        <w:spacing w:line="360" w:lineRule="auto"/>
        <w:widowControl w:val="off"/>
        <w:rPr>
          <w:rFonts w:ascii="宋体" w:hAnsi="宋体"/>
          <w:bCs/>
          <w:sz w:val="21"/>
          <w:szCs w:val="21"/>
          <w:highlight w:val="none"/>
        </w:rPr>
      </w:pPr>
      <w:r>
        <w:rPr>
          <w:rFonts w:hint="eastAsia" w:ascii="宋体" w:hAnsi="宋体"/>
          <w:bCs/>
          <w:sz w:val="21"/>
          <w:szCs w:val="21"/>
          <w:highlight w:val="none"/>
        </w:rPr>
        <w:t xml:space="preserve">1</w:t>
      </w:r>
      <w:r>
        <w:rPr>
          <w:rFonts w:ascii="宋体" w:hAnsi="宋体"/>
          <w:bCs/>
          <w:sz w:val="21"/>
          <w:szCs w:val="21"/>
          <w:highlight w:val="none"/>
        </w:rPr>
        <w:t xml:space="preserve">.6</w:t>
      </w:r>
      <w:r>
        <w:rPr>
          <w:rFonts w:hint="eastAsia" w:ascii="宋体" w:hAnsi="宋体"/>
          <w:bCs/>
          <w:sz w:val="21"/>
          <w:szCs w:val="21"/>
          <w:highlight w:val="none"/>
        </w:rPr>
        <w:t xml:space="preserve">验收要求</w:t>
      </w:r>
      <w:r/>
    </w:p>
    <w:p>
      <w:pPr>
        <w:ind w:left="0" w:firstLine="420"/>
        <w:spacing w:line="360" w:lineRule="auto"/>
        <w:widowControl w:val="off"/>
        <w:rPr>
          <w:rFonts w:ascii="宋体" w:hAnsi="宋体"/>
          <w:bCs/>
          <w:sz w:val="21"/>
          <w:szCs w:val="21"/>
          <w:highlight w:val="none"/>
        </w:rPr>
      </w:pPr>
      <w:r>
        <w:rPr>
          <w:rFonts w:hint="eastAsia" w:ascii="宋体" w:hAnsi="宋体"/>
          <w:bCs/>
          <w:sz w:val="21"/>
          <w:szCs w:val="21"/>
          <w:highlight w:val="none"/>
        </w:rPr>
        <w:t xml:space="preserve">（1）实施主体：苏州市交通运输应急指挥中心</w:t>
      </w:r>
      <w:r/>
    </w:p>
    <w:p>
      <w:pPr>
        <w:ind w:left="0" w:firstLine="420"/>
        <w:spacing w:line="360" w:lineRule="auto"/>
        <w:widowControl w:val="off"/>
        <w:rPr>
          <w:rFonts w:hint="eastAsia" w:ascii="宋体" w:hAnsi="宋体"/>
          <w:bCs/>
          <w:sz w:val="21"/>
          <w:szCs w:val="21"/>
          <w:highlight w:val="none"/>
        </w:rPr>
      </w:pPr>
      <w:r>
        <w:rPr>
          <w:rFonts w:hint="eastAsia" w:ascii="宋体" w:hAnsi="宋体"/>
          <w:bCs/>
          <w:sz w:val="21"/>
          <w:szCs w:val="21"/>
          <w:highlight w:val="none"/>
        </w:rPr>
        <w:t xml:space="preserve">（2）验收及阶段考核时间：合同履行满6个月，且乙方提交完整的第一、第二季度履约资料后，甲方应在5个工作日内启动中期履约考核和阶段性履约确认；合同服务期届满，乙方完成全部服务内容并提交完整交付资料后，甲方应在5个工作日内启动最终履约验收。</w:t>
      </w:r>
      <w:r/>
    </w:p>
    <w:p>
      <w:pPr>
        <w:ind w:left="0" w:firstLine="420"/>
        <w:spacing w:line="360" w:lineRule="auto"/>
        <w:widowControl w:val="off"/>
        <w:rPr>
          <w:rFonts w:hint="eastAsia" w:ascii="宋体" w:hAnsi="宋体"/>
          <w:bCs/>
          <w:sz w:val="21"/>
          <w:szCs w:val="21"/>
          <w:highlight w:val="none"/>
        </w:rPr>
      </w:pPr>
      <w:r>
        <w:rPr>
          <w:rFonts w:hint="eastAsia" w:ascii="宋体" w:hAnsi="宋体"/>
          <w:bCs/>
          <w:sz w:val="21"/>
          <w:szCs w:val="21"/>
          <w:highlight w:val="none"/>
        </w:rPr>
        <w:t xml:space="preserve">（3）验收及阶段确认方式：中期履约考核和阶段性履约确认作为第二期付款依据，但不替代最终履约验收。合同服务期届满、全部服务内容完成、整改事项闭环且交付资料齐全后，由甲方组织一次最终履约验收。</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（4）验收内容与标准：</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1）文档审查：对《普查报告》、《巡检服务规程》、季度运维档案、培训材料、应急演练材料等相关服务文档进行审查，文档内容完整视为合格。</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2）服务审查：完成采购文件要求的各项服务内容。</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2.服务期限：</w:t>
      </w:r>
      <w:r>
        <w:rPr>
          <w:rFonts w:hint="eastAsia" w:ascii="宋体" w:hAnsi="宋体"/>
          <w:sz w:val="21"/>
          <w:szCs w:val="21"/>
          <w:lang w:val="en-US" w:eastAsia="zh-CN"/>
        </w:rPr>
        <w:t xml:space="preserve">12个月</w:t>
      </w:r>
      <w:r>
        <w:rPr>
          <w:rFonts w:hint="eastAsia" w:ascii="宋体" w:hAnsi="宋体"/>
          <w:sz w:val="21"/>
          <w:szCs w:val="21"/>
        </w:rPr>
        <w:t xml:space="preserve">，自xx年xx月xx日起至xx年xx月xx日止。</w:t>
      </w:r>
      <w:r/>
    </w:p>
    <w:p>
      <w:pPr>
        <w:ind w:left="0" w:firstLine="420"/>
        <w:spacing w:line="360" w:lineRule="auto"/>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服务地点：根据甲方指定地点。</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color w:val="000000"/>
          <w:sz w:val="21"/>
          <w:szCs w:val="21"/>
        </w:rPr>
        <w:t xml:space="preserve">三、合同总价款：</w:t>
      </w:r>
      <w:r>
        <w:rPr>
          <w:rFonts w:hint="eastAsia" w:ascii="宋体" w:hAnsi="宋体"/>
          <w:b/>
          <w:sz w:val="21"/>
          <w:szCs w:val="21"/>
        </w:rPr>
        <w:t xml:space="preserve">（含税）</w:t>
      </w:r>
      <w:r>
        <w:rPr>
          <w:rFonts w:hint="eastAsia" w:ascii="宋体" w:hAnsi="宋体"/>
          <w:sz w:val="21"/>
          <w:szCs w:val="21"/>
        </w:rPr>
        <w:t xml:space="preserve">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 </w:t>
      </w:r>
      <w:r>
        <w:rPr>
          <w:rFonts w:ascii="宋体" w:hAnsi="宋体"/>
          <w:sz w:val="21"/>
          <w:szCs w:val="21"/>
          <w:u w:val="single"/>
        </w:rPr>
        <w:t xml:space="preserve">           </w:t>
      </w:r>
      <w:r>
        <w:rPr>
          <w:rFonts w:hint="eastAsia" w:ascii="宋体" w:hAnsi="宋体"/>
          <w:sz w:val="21"/>
          <w:szCs w:val="21"/>
        </w:rPr>
        <w:t xml:space="preserve">。其中未含税价款大写人民币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，小写¥</w:t>
      </w:r>
      <w:r>
        <w:rPr>
          <w:rFonts w:ascii="宋体" w:hAnsi="宋体"/>
          <w:sz w:val="21"/>
          <w:szCs w:val="21"/>
          <w:u w:val="single"/>
        </w:rPr>
        <w:t xml:space="preserve">            </w:t>
      </w:r>
      <w:r>
        <w:rPr>
          <w:rFonts w:hint="eastAsia" w:ascii="宋体" w:hAnsi="宋体"/>
          <w:sz w:val="21"/>
          <w:szCs w:val="21"/>
        </w:rPr>
        <w:t xml:space="preserve">。增值税税金（增值税税率</w:t>
      </w:r>
      <w:r>
        <w:rPr>
          <w:rFonts w:ascii="宋体" w:hAnsi="宋体"/>
          <w:sz w:val="21"/>
          <w:szCs w:val="21"/>
          <w:u w:val="single"/>
        </w:rPr>
        <w:t xml:space="preserve">  </w:t>
      </w:r>
      <w:r>
        <w:rPr>
          <w:rFonts w:ascii="宋体" w:hAnsi="宋体"/>
          <w:sz w:val="21"/>
          <w:szCs w:val="21"/>
        </w:rPr>
        <w:t xml:space="preserve">%</w:t>
      </w:r>
      <w:r>
        <w:rPr>
          <w:rFonts w:hint="eastAsia" w:ascii="宋体" w:hAnsi="宋体"/>
          <w:sz w:val="21"/>
          <w:szCs w:val="21"/>
        </w:rPr>
        <w:t xml:space="preserve">）大写人民币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，小写¥</w:t>
      </w:r>
      <w:r>
        <w:rPr>
          <w:rFonts w:ascii="宋体" w:hAnsi="宋体"/>
          <w:sz w:val="21"/>
          <w:szCs w:val="21"/>
        </w:rPr>
        <w:t xml:space="preserve"> </w:t>
      </w:r>
      <w:r>
        <w:rPr>
          <w:rFonts w:ascii="宋体" w:hAnsi="宋体"/>
          <w:sz w:val="21"/>
          <w:szCs w:val="21"/>
          <w:u w:val="single"/>
        </w:rPr>
        <w:t xml:space="preserve">           </w:t>
      </w:r>
      <w:r>
        <w:rPr>
          <w:rFonts w:hint="eastAsia" w:ascii="宋体" w:hAnsi="宋体"/>
          <w:sz w:val="21"/>
          <w:szCs w:val="21"/>
        </w:rPr>
        <w:t xml:space="preserve">。尾数差实际以开具发票为准</w:t>
      </w:r>
      <w:r>
        <w:rPr>
          <w:rFonts w:hint="eastAsia" w:ascii="宋体" w:hAnsi="宋体"/>
          <w:szCs w:val="21"/>
        </w:rPr>
        <w:t xml:space="preserve">。</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pStyle w:val="734"/>
        <w:ind w:left="400" w:firstLine="0"/>
      </w:pPr>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四、付款方式</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1.付款步骤：</w:t>
      </w:r>
      <w:r/>
    </w:p>
    <w:p>
      <w:pPr>
        <w:ind w:left="0" w:firstLine="422"/>
        <w:spacing w:line="360" w:lineRule="auto"/>
        <w:widowControl w:val="off"/>
        <w:rPr>
          <w:rFonts w:hint="eastAsia" w:ascii="宋体" w:hAnsi="宋体"/>
          <w:b w:val="0"/>
          <w:bCs/>
          <w:sz w:val="21"/>
          <w:szCs w:val="21"/>
          <w:highlight w:val="none"/>
        </w:rPr>
      </w:pPr>
      <w:r>
        <w:rPr>
          <w:rFonts w:hint="eastAsia" w:ascii="宋体" w:hAnsi="宋体"/>
          <w:b w:val="0"/>
          <w:bCs/>
          <w:sz w:val="21"/>
          <w:szCs w:val="21"/>
          <w:highlight w:val="none"/>
        </w:rPr>
        <w:t xml:space="preserve">1.本合同价款分三期支付。</w:t>
      </w:r>
      <w:r/>
    </w:p>
    <w:p>
      <w:pPr>
        <w:ind w:left="0" w:firstLine="422"/>
        <w:spacing w:line="360" w:lineRule="auto"/>
        <w:widowControl w:val="off"/>
        <w:rPr>
          <w:rFonts w:hint="eastAsia" w:ascii="宋体" w:hAnsi="宋体"/>
          <w:b w:val="0"/>
          <w:bCs/>
          <w:sz w:val="21"/>
          <w:szCs w:val="21"/>
          <w:highlight w:val="none"/>
        </w:rPr>
      </w:pPr>
      <w:r>
        <w:rPr>
          <w:rFonts w:hint="eastAsia" w:ascii="宋体" w:hAnsi="宋体"/>
          <w:b w:val="0"/>
          <w:bCs/>
          <w:sz w:val="21"/>
          <w:szCs w:val="21"/>
          <w:highlight w:val="none"/>
        </w:rPr>
        <w:t xml:space="preserve">（1）第一期付款：本合同签订生效后，乙方向甲方提交付款申请及合法有效的增值税普通发票。甲方自收到合法有效发票之日起30日内，向乙方支付合同总价款的50%。</w:t>
      </w:r>
      <w:r/>
    </w:p>
    <w:p>
      <w:pPr>
        <w:ind w:left="0" w:firstLine="422"/>
        <w:spacing w:line="360" w:lineRule="auto"/>
        <w:widowControl w:val="off"/>
        <w:rPr>
          <w:rFonts w:hint="eastAsia" w:ascii="宋体" w:hAnsi="宋体"/>
          <w:b w:val="0"/>
          <w:bCs/>
          <w:sz w:val="21"/>
          <w:szCs w:val="21"/>
          <w:highlight w:val="none"/>
        </w:rPr>
      </w:pPr>
      <w:r>
        <w:rPr>
          <w:rFonts w:hint="eastAsia" w:ascii="宋体" w:hAnsi="宋体"/>
          <w:b w:val="0"/>
          <w:bCs/>
          <w:sz w:val="21"/>
          <w:szCs w:val="21"/>
          <w:highlight w:val="none"/>
        </w:rPr>
        <w:t xml:space="preserve">（2）履约考核结算基准金额：剩余合同总价款的50%作为履约考核结算款，按照四个季度分别核算，每季度考核结算基准金额为合同总价款的12.5%。每季度实际考核结算金额＝合同总价款×12.5%×该季度付款系数。季度付款系数按照合同附件《履约考核及付款系数办法》确定。</w:t>
      </w:r>
      <w:r/>
    </w:p>
    <w:p>
      <w:pPr>
        <w:ind w:left="0" w:firstLine="422"/>
        <w:spacing w:line="360" w:lineRule="auto"/>
        <w:widowControl w:val="off"/>
        <w:rPr>
          <w:rFonts w:hint="eastAsia" w:ascii="宋体" w:hAnsi="宋体"/>
          <w:b w:val="0"/>
          <w:bCs/>
          <w:sz w:val="21"/>
          <w:szCs w:val="21"/>
          <w:highlight w:val="none"/>
        </w:rPr>
      </w:pPr>
      <w:r>
        <w:rPr>
          <w:rFonts w:hint="eastAsia" w:ascii="宋体" w:hAnsi="宋体"/>
          <w:b w:val="0"/>
          <w:bCs/>
          <w:sz w:val="21"/>
          <w:szCs w:val="21"/>
          <w:highlight w:val="none"/>
        </w:rPr>
        <w:t xml:space="preserve">（3）第二期付款：合同履行满6个月，乙方完成前两个季度服务内容并提交第一、第二季度完整运维档案、考核确认材料、整改闭环材料、备品备件库存台账、付款申请及合法有效发票后，甲方支付第一季度和第二季度实际考核结算金额之和。甲方自收到完整付款申请材料和合法有效发票之日起30日内办理支付。</w:t>
      </w:r>
      <w:r/>
    </w:p>
    <w:p>
      <w:pPr>
        <w:ind w:left="0" w:firstLine="422"/>
        <w:spacing w:line="360" w:lineRule="auto"/>
        <w:widowControl w:val="off"/>
        <w:rPr>
          <w:rFonts w:hint="eastAsia" w:ascii="宋体" w:hAnsi="宋体"/>
          <w:b w:val="0"/>
          <w:bCs/>
          <w:sz w:val="21"/>
          <w:szCs w:val="21"/>
          <w:highlight w:val="none"/>
        </w:rPr>
      </w:pPr>
      <w:r>
        <w:rPr>
          <w:rFonts w:hint="eastAsia" w:ascii="宋体" w:hAnsi="宋体"/>
          <w:b w:val="0"/>
          <w:bCs/>
          <w:sz w:val="21"/>
          <w:szCs w:val="21"/>
          <w:highlight w:val="none"/>
        </w:rPr>
        <w:t xml:space="preserve">（4）第三期付款：合同服务期届满，乙方完成全部服务内容，提交第三、第四季度运维档案及全部最终交付资料，备品备件库存符合合同要求，整改事项全部闭环，并通过甲方组织的最终履约验收后，甲方支付第三季度和第四季度实际考核结算金额之和。甲方自收到完整付款申请材料和合法有效发票之日起30日内办理支付。</w:t>
      </w:r>
      <w:r/>
    </w:p>
    <w:p>
      <w:pPr>
        <w:ind w:left="0" w:firstLine="422"/>
        <w:spacing w:line="360" w:lineRule="auto"/>
        <w:widowControl w:val="off"/>
        <w:rPr>
          <w:rFonts w:hint="eastAsia" w:ascii="宋体" w:hAnsi="宋体"/>
          <w:b w:val="0"/>
          <w:bCs/>
          <w:sz w:val="21"/>
          <w:szCs w:val="21"/>
          <w:highlight w:val="none"/>
        </w:rPr>
      </w:pPr>
      <w:r>
        <w:rPr>
          <w:rFonts w:hint="eastAsia" w:ascii="宋体" w:hAnsi="宋体"/>
          <w:b w:val="0"/>
          <w:bCs/>
          <w:sz w:val="21"/>
          <w:szCs w:val="21"/>
          <w:highlight w:val="none"/>
        </w:rPr>
        <w:t xml:space="preserve">（5）各季度因考核得分产生的付款扣减不结转至以后季度，也不因以后季度得分提高而补付。固定金额扣款、违约金、第三方处置费用和赔偿款可从第二期、第三期或者其他尚未支付的合同款项中抵扣；不足部分由乙方另行支付。</w:t>
      </w:r>
      <w:r/>
    </w:p>
    <w:p>
      <w:pPr>
        <w:ind w:left="0" w:firstLine="422"/>
        <w:spacing w:line="360" w:lineRule="auto"/>
        <w:widowControl w:val="off"/>
        <w:rPr>
          <w:rFonts w:hint="eastAsia" w:ascii="宋体" w:hAnsi="宋体"/>
          <w:b w:val="0"/>
          <w:bCs/>
          <w:sz w:val="21"/>
          <w:szCs w:val="21"/>
          <w:highlight w:val="none"/>
        </w:rPr>
      </w:pPr>
      <w:r>
        <w:rPr>
          <w:rFonts w:hint="eastAsia" w:ascii="宋体" w:hAnsi="宋体"/>
          <w:b w:val="0"/>
          <w:bCs/>
          <w:sz w:val="21"/>
          <w:szCs w:val="21"/>
          <w:highlight w:val="none"/>
        </w:rPr>
        <w:t xml:space="preserve">（6）乙方未提供合法有效发票、付款申请、考核确认材料、运维档案、整改闭环材料、备品备件库存台账或者甲方要求的其他合同内付款证明材料的，视为对应付款条件尚未成就。</w:t>
      </w:r>
      <w:r/>
    </w:p>
    <w:p>
      <w:pPr>
        <w:ind w:left="0" w:firstLine="422"/>
        <w:spacing w:line="360" w:lineRule="auto"/>
        <w:widowControl w:val="off"/>
        <w:rPr>
          <w:rFonts w:hint="eastAsia" w:ascii="宋体" w:hAnsi="宋体"/>
          <w:b w:val="0"/>
          <w:bCs/>
          <w:sz w:val="21"/>
          <w:szCs w:val="21"/>
          <w:highlight w:val="none"/>
        </w:rPr>
      </w:pPr>
      <w:r>
        <w:rPr>
          <w:rFonts w:hint="eastAsia" w:ascii="宋体" w:hAnsi="宋体"/>
          <w:b w:val="0"/>
          <w:bCs/>
          <w:sz w:val="21"/>
          <w:szCs w:val="21"/>
          <w:highlight w:val="none"/>
        </w:rPr>
        <w:t xml:space="preserve">（7）甲方实际支付金额以财政支付审核结果及本合同约定为准。因乙方账户、发票或者付款资料错误导致付款延迟的，相应责任由乙方承担。</w:t>
      </w:r>
      <w:r/>
    </w:p>
    <w:p>
      <w:pPr>
        <w:ind w:left="0" w:firstLine="422"/>
        <w:spacing w:line="360" w:lineRule="auto"/>
        <w:widowControl w:val="off"/>
        <w:rPr>
          <w:rFonts w:ascii="宋体" w:hAnsi="宋体"/>
          <w:b w:val="0"/>
          <w:bCs/>
          <w:sz w:val="21"/>
          <w:szCs w:val="21"/>
          <w:highlight w:val="none"/>
        </w:rPr>
      </w:pPr>
      <w:r>
        <w:rPr>
          <w:rFonts w:hint="eastAsia" w:ascii="宋体" w:hAnsi="宋体"/>
          <w:b w:val="0"/>
          <w:bCs/>
          <w:sz w:val="21"/>
          <w:szCs w:val="21"/>
          <w:highlight w:val="none"/>
        </w:rPr>
        <w:t xml:space="preserve">（</w:t>
      </w:r>
      <w:r>
        <w:rPr>
          <w:rFonts w:hint="eastAsia" w:ascii="宋体" w:hAnsi="宋体"/>
          <w:b w:val="0"/>
          <w:bCs/>
          <w:sz w:val="21"/>
          <w:szCs w:val="21"/>
          <w:highlight w:val="none"/>
          <w:lang w:val="en-US" w:eastAsia="zh-CN"/>
        </w:rPr>
        <w:t xml:space="preserve">8</w:t>
      </w:r>
      <w:r>
        <w:rPr>
          <w:rFonts w:hint="eastAsia" w:ascii="宋体" w:hAnsi="宋体"/>
          <w:b w:val="0"/>
          <w:bCs/>
          <w:sz w:val="21"/>
          <w:szCs w:val="21"/>
          <w:highlight w:val="none"/>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widowControl w:val="off"/>
        <w:rPr>
          <w:rFonts w:ascii="宋体" w:hAnsi="宋体"/>
          <w:sz w:val="21"/>
          <w:szCs w:val="21"/>
        </w:rPr>
      </w:pPr>
      <w:r>
        <w:rPr>
          <w:rFonts w:ascii="宋体" w:hAnsi="宋体"/>
          <w:sz w:val="21"/>
          <w:szCs w:val="21"/>
          <w:highlight w:val="none"/>
        </w:rPr>
        <w:t xml:space="preserve">2</w:t>
      </w:r>
      <w:r>
        <w:rPr>
          <w:rFonts w:hint="eastAsia" w:ascii="宋体" w:hAnsi="宋体"/>
          <w:sz w:val="21"/>
          <w:szCs w:val="21"/>
          <w:highlight w:val="none"/>
        </w:rPr>
        <w:t xml:space="preserve">.根据国家现行税法对甲方征收的与本合同有关的税费均由甲方承担；根据国家</w:t>
      </w:r>
      <w:r>
        <w:rPr>
          <w:rFonts w:hint="eastAsia" w:ascii="宋体" w:hAnsi="宋体"/>
          <w:sz w:val="21"/>
          <w:szCs w:val="21"/>
        </w:rPr>
        <w:t xml:space="preserve">现行税法对乙方征收的与本合同有关的一切税费均由乙方承担。如乙方在履约过程中产生额外的收益，归甲方所有。</w:t>
      </w:r>
      <w:r/>
    </w:p>
    <w:p>
      <w:pPr>
        <w:pStyle w:val="705"/>
        <w:ind w:left="0" w:firstLine="420"/>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 支付方式：本次</w:t>
      </w:r>
      <w:r>
        <w:rPr>
          <w:rFonts w:hint="eastAsia" w:ascii="宋体" w:hAnsi="宋体"/>
          <w:sz w:val="21"/>
          <w:szCs w:val="21"/>
          <w:lang w:val="en-US" w:eastAsia="zh-CN"/>
        </w:rPr>
        <w:t xml:space="preserve">合同款项</w:t>
      </w:r>
      <w:r>
        <w:rPr>
          <w:rFonts w:hint="eastAsia" w:ascii="宋体" w:hAnsi="宋体"/>
          <w:sz w:val="21"/>
          <w:szCs w:val="21"/>
        </w:rPr>
        <w:t xml:space="preserve">以数字人民币形式支付。乙方账户信息如下：</w:t>
      </w:r>
      <w:r/>
    </w:p>
    <w:p>
      <w:pPr>
        <w:pStyle w:val="705"/>
        <w:ind w:left="0" w:firstLine="420"/>
        <w:rPr>
          <w:rFonts w:ascii="宋体" w:hAnsi="宋体"/>
          <w:sz w:val="21"/>
          <w:szCs w:val="21"/>
        </w:rPr>
      </w:pPr>
      <w:r>
        <w:rPr>
          <w:rFonts w:hint="eastAsia" w:ascii="宋体" w:hAnsi="宋体"/>
          <w:sz w:val="21"/>
          <w:szCs w:val="21"/>
        </w:rPr>
        <w:t xml:space="preserve">开户名称：</w:t>
      </w:r>
      <w:r/>
    </w:p>
    <w:p>
      <w:pPr>
        <w:pStyle w:val="705"/>
        <w:ind w:left="0" w:firstLine="420"/>
        <w:rPr>
          <w:rFonts w:ascii="宋体" w:hAnsi="宋体"/>
          <w:sz w:val="21"/>
          <w:szCs w:val="21"/>
        </w:rPr>
      </w:pPr>
      <w:r>
        <w:rPr>
          <w:rFonts w:hint="eastAsia" w:ascii="宋体" w:hAnsi="宋体"/>
          <w:sz w:val="21"/>
          <w:szCs w:val="21"/>
        </w:rPr>
        <w:t xml:space="preserve">开户银行：</w:t>
      </w:r>
      <w:r/>
    </w:p>
    <w:p>
      <w:pPr>
        <w:ind w:left="0" w:firstLine="420"/>
        <w:spacing w:line="360" w:lineRule="auto"/>
        <w:widowControl w:val="off"/>
        <w:rPr>
          <w:rFonts w:ascii="宋体" w:hAnsi="宋体"/>
          <w:sz w:val="21"/>
          <w:szCs w:val="21"/>
        </w:rPr>
      </w:pPr>
      <w:r>
        <w:rPr>
          <w:rFonts w:hint="eastAsia" w:ascii="宋体" w:hAnsi="宋体"/>
          <w:sz w:val="21"/>
          <w:szCs w:val="21"/>
        </w:rPr>
        <w:t xml:space="preserve">数字人民币账户（数币钱包I</w:t>
      </w:r>
      <w:r>
        <w:rPr>
          <w:rFonts w:ascii="宋体" w:hAnsi="宋体"/>
          <w:sz w:val="21"/>
          <w:szCs w:val="21"/>
        </w:rPr>
        <w:t xml:space="preserve">D</w:t>
      </w:r>
      <w:r>
        <w:rPr>
          <w:rFonts w:hint="eastAsia" w:ascii="宋体" w:hAnsi="宋体"/>
          <w:sz w:val="21"/>
          <w:szCs w:val="21"/>
        </w:rPr>
        <w:t xml:space="preserve">）：</w:t>
      </w:r>
      <w:r/>
    </w:p>
    <w:p>
      <w:pPr>
        <w:pStyle w:val="705"/>
      </w:p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五、甲、乙双方的责任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1.甲方责任：</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1</w:t>
      </w:r>
      <w:r>
        <w:rPr>
          <w:rFonts w:hint="eastAsia" w:ascii="宋体" w:hAnsi="宋体"/>
          <w:color w:val="000000"/>
          <w:sz w:val="21"/>
          <w:szCs w:val="21"/>
        </w:rPr>
        <w:t xml:space="preserve">依本合同约定按期支付合同款项；</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w:t>
      </w:r>
      <w:r>
        <w:rPr>
          <w:rFonts w:hint="eastAsia" w:ascii="宋体" w:hAnsi="宋体"/>
          <w:color w:val="000000"/>
          <w:sz w:val="21"/>
          <w:szCs w:val="21"/>
        </w:rPr>
        <w:t xml:space="preserve">2依本合同约定及时组织验收；</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w:t>
      </w:r>
      <w:r>
        <w:rPr>
          <w:rFonts w:hint="eastAsia" w:ascii="宋体" w:hAnsi="宋体"/>
          <w:color w:val="000000"/>
          <w:sz w:val="21"/>
          <w:szCs w:val="21"/>
        </w:rPr>
        <w:t xml:space="preserve">3协助乙方进行项目的相关协调工作及约定期限内提供相关资料以利于开展项目。</w:t>
      </w:r>
      <w:r/>
    </w:p>
    <w:p>
      <w:pPr>
        <w:ind w:left="0" w:firstLine="420"/>
        <w:spacing w:line="360" w:lineRule="auto"/>
        <w:rPr>
          <w:rFonts w:ascii="宋体" w:hAnsi="宋体"/>
          <w:sz w:val="21"/>
          <w:szCs w:val="21"/>
        </w:rPr>
      </w:pPr>
      <w:r>
        <w:rPr>
          <w:rFonts w:hint="eastAsia" w:ascii="宋体" w:hAnsi="宋体"/>
          <w:sz w:val="21"/>
          <w:szCs w:val="21"/>
        </w:rPr>
        <w:t xml:space="preserve">2.乙方责任：</w:t>
      </w:r>
      <w:r/>
    </w:p>
    <w:p>
      <w:pPr>
        <w:ind w:left="0" w:firstLine="420"/>
        <w:spacing w:line="360" w:lineRule="auto"/>
        <w:rPr>
          <w:rFonts w:ascii="宋体" w:hAnsi="宋体"/>
          <w:sz w:val="21"/>
          <w:szCs w:val="21"/>
        </w:rPr>
      </w:pPr>
      <w:r>
        <w:rPr>
          <w:rFonts w:hint="eastAsia" w:ascii="宋体" w:hAnsi="宋体"/>
          <w:sz w:val="21"/>
          <w:szCs w:val="21"/>
        </w:rPr>
        <w:t xml:space="preserve">乙方负责完成本次采购要求的全部服务工作，乙方应按采购文件以及合同约定的技术规范、标准进行实施，并保证按期、保质保量完成项目的实施工作，对提交的项目质量负责。</w:t>
      </w:r>
      <w:r/>
    </w:p>
    <w:p>
      <w:pPr>
        <w:ind w:left="0" w:firstLine="420"/>
        <w:spacing w:line="360" w:lineRule="auto"/>
        <w:rPr>
          <w:rFonts w:ascii="宋体" w:hAnsi="宋体"/>
          <w:sz w:val="21"/>
          <w:szCs w:val="21"/>
        </w:rPr>
      </w:pPr>
      <w:r>
        <w:rPr>
          <w:rFonts w:ascii="宋体" w:hAnsi="宋体"/>
          <w:sz w:val="21"/>
          <w:szCs w:val="21"/>
        </w:rPr>
      </w:r>
      <w:r/>
    </w:p>
    <w:p>
      <w:pPr>
        <w:ind w:left="0" w:firstLine="422"/>
        <w:spacing w:line="360" w:lineRule="auto"/>
        <w:rPr>
          <w:rFonts w:ascii="宋体" w:hAnsi="宋体"/>
          <w:b/>
          <w:sz w:val="21"/>
          <w:szCs w:val="21"/>
        </w:rPr>
      </w:pPr>
      <w:r>
        <w:rPr>
          <w:rFonts w:hint="eastAsia" w:ascii="宋体" w:hAnsi="宋体"/>
          <w:b/>
          <w:color w:val="000000"/>
          <w:sz w:val="21"/>
          <w:szCs w:val="21"/>
        </w:rPr>
        <w:t xml:space="preserve">六、违约责任</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1.甲方违约责任：</w:t>
      </w:r>
      <w:r/>
    </w:p>
    <w:p>
      <w:pPr>
        <w:ind w:left="0" w:firstLine="420"/>
        <w:spacing w:line="360" w:lineRule="auto"/>
        <w:widowControl w:val="off"/>
        <w:rPr>
          <w:rFonts w:ascii="宋体" w:hAnsi="宋体"/>
          <w:sz w:val="21"/>
          <w:szCs w:val="21"/>
        </w:rPr>
      </w:pPr>
      <w:r>
        <w:rPr>
          <w:rFonts w:ascii="宋体" w:hAnsi="宋体"/>
          <w:sz w:val="21"/>
          <w:szCs w:val="21"/>
        </w:rPr>
        <w:t xml:space="preserve">1.1在合同生效后，甲方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要求解除合同的，应向乙方偿付合同总价款2%的违约金，违约金不足以补偿损失的，乙方有权要求甲方补足。</w:t>
      </w:r>
      <w:r/>
    </w:p>
    <w:p>
      <w:pPr>
        <w:ind w:left="0" w:firstLine="420"/>
        <w:spacing w:line="360" w:lineRule="auto"/>
        <w:widowControl w:val="off"/>
        <w:rPr>
          <w:rFonts w:ascii="宋体" w:hAnsi="宋体"/>
          <w:sz w:val="21"/>
          <w:szCs w:val="21"/>
        </w:rPr>
      </w:pPr>
      <w:r>
        <w:rPr>
          <w:rFonts w:ascii="宋体" w:hAnsi="宋体"/>
          <w:sz w:val="21"/>
          <w:szCs w:val="21"/>
        </w:rPr>
        <w:t xml:space="preserve">1.2甲方无正当理由逾期付款的应按照逾期付款金额的每天万分之</w:t>
      </w:r>
      <w:r>
        <w:rPr>
          <w:rFonts w:hint="eastAsia" w:ascii="宋体" w:hAnsi="宋体"/>
          <w:sz w:val="21"/>
          <w:szCs w:val="21"/>
        </w:rPr>
        <w:t xml:space="preserve">一</w:t>
      </w:r>
      <w:r>
        <w:rPr>
          <w:rFonts w:ascii="宋体" w:hAnsi="宋体"/>
          <w:sz w:val="21"/>
          <w:szCs w:val="21"/>
        </w:rPr>
        <w:t xml:space="preserve">支付逾期付款违约金</w:t>
      </w:r>
      <w:r>
        <w:rPr>
          <w:rFonts w:hint="eastAsia" w:ascii="宋体" w:hAnsi="宋体"/>
          <w:sz w:val="21"/>
          <w:szCs w:val="21"/>
        </w:rPr>
        <w:t xml:space="preserve">，总额不超总价款的2%</w:t>
      </w:r>
      <w:r>
        <w:rPr>
          <w:rFonts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.1 </w:t>
      </w:r>
      <w:r>
        <w:rPr>
          <w:rFonts w:hint="eastAsia" w:ascii="宋体" w:hAnsi="宋体"/>
          <w:sz w:val="21"/>
          <w:szCs w:val="21"/>
        </w:rPr>
        <w:t xml:space="preserve">在合同生效后，乙方无故要求解除合同的，应向甲方偿付合同总价款</w:t>
      </w:r>
      <w:r>
        <w:rPr>
          <w:rFonts w:ascii="宋体" w:hAnsi="宋体"/>
          <w:sz w:val="21"/>
          <w:szCs w:val="21"/>
        </w:rPr>
        <w:t xml:space="preserve">2</w:t>
      </w:r>
      <w:r>
        <w:rPr>
          <w:rFonts w:hint="eastAsia" w:ascii="宋体" w:hAnsi="宋体"/>
          <w:sz w:val="21"/>
          <w:szCs w:val="21"/>
        </w:rPr>
        <w:t xml:space="preserve">%的违约金，违约金不足以补偿损失的，甲方有权要求乙方补足。</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2.2乙方</w:t>
      </w:r>
      <w:r>
        <w:rPr>
          <w:rFonts w:hint="eastAsia" w:ascii="宋体" w:hAnsi="宋体"/>
          <w:sz w:val="21"/>
          <w:szCs w:val="21"/>
          <w:highlight w:val="none"/>
          <w:lang w:val="en-US" w:eastAsia="zh-CN"/>
        </w:rPr>
        <w:t xml:space="preserve">未按采购文件在规定时间内将符合技术参数、最低数量和质量要求的备品备件全部运送至甲方指定地点，并完成</w:t>
      </w:r>
      <w:r>
        <w:rPr>
          <w:rFonts w:hint="eastAsia" w:ascii="宋体" w:hAnsi="宋体"/>
          <w:sz w:val="21"/>
          <w:szCs w:val="21"/>
          <w:highlight w:val="none"/>
        </w:rPr>
        <w:t xml:space="preserve">入库、清点、检验、标识及台账建立</w:t>
      </w:r>
      <w:r>
        <w:rPr>
          <w:rFonts w:hint="eastAsia" w:ascii="宋体" w:hAnsi="宋体"/>
          <w:sz w:val="21"/>
          <w:szCs w:val="21"/>
          <w:highlight w:val="none"/>
          <w:lang w:val="en-US" w:eastAsia="zh-CN"/>
        </w:rPr>
        <w:t xml:space="preserve">的，甲方有权解除合同，</w:t>
      </w:r>
      <w:r>
        <w:rPr>
          <w:rFonts w:hint="eastAsia" w:ascii="宋体" w:hAnsi="宋体"/>
          <w:sz w:val="21"/>
          <w:szCs w:val="21"/>
          <w:highlight w:val="none"/>
        </w:rPr>
        <w:t xml:space="preserve">乙方向甲方偿付合同总价款</w:t>
      </w:r>
      <w:r>
        <w:rPr>
          <w:rFonts w:ascii="宋体" w:hAnsi="宋体"/>
          <w:sz w:val="21"/>
          <w:szCs w:val="21"/>
          <w:highlight w:val="none"/>
        </w:rPr>
        <w:t xml:space="preserve">2</w:t>
      </w:r>
      <w:r>
        <w:rPr>
          <w:rFonts w:hint="eastAsia" w:ascii="宋体" w:hAnsi="宋体"/>
          <w:sz w:val="21"/>
          <w:szCs w:val="21"/>
          <w:highlight w:val="none"/>
        </w:rPr>
        <w:t xml:space="preserve">%的违约金，违约金不足以补偿损失的甲方有权要求乙方补足。</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lang w:val="en-US" w:eastAsia="zh-CN"/>
        </w:rPr>
        <w:t xml:space="preserve">2.3</w:t>
      </w:r>
      <w:r>
        <w:rPr>
          <w:rFonts w:hint="eastAsia" w:ascii="宋体" w:hAnsi="宋体"/>
          <w:color w:val="000000"/>
          <w:sz w:val="21"/>
          <w:szCs w:val="21"/>
        </w:rPr>
        <w:t xml:space="preserve">乙方未按合同规定的质量要求提供服务，不能完成合同时，</w:t>
      </w:r>
      <w:r>
        <w:rPr>
          <w:rFonts w:hint="eastAsia" w:ascii="宋体" w:hAnsi="宋体"/>
          <w:sz w:val="21"/>
          <w:szCs w:val="21"/>
        </w:rPr>
        <w:t xml:space="preserve">甲方有权解除合同，乙方向甲方偿付合同总价款</w:t>
      </w:r>
      <w:r>
        <w:rPr>
          <w:rFonts w:ascii="宋体" w:hAnsi="宋体"/>
          <w:sz w:val="21"/>
          <w:szCs w:val="21"/>
        </w:rPr>
        <w:t xml:space="preserve">2</w:t>
      </w:r>
      <w:r>
        <w:rPr>
          <w:rFonts w:hint="eastAsia" w:ascii="宋体" w:hAnsi="宋体"/>
          <w:sz w:val="21"/>
          <w:szCs w:val="21"/>
        </w:rPr>
        <w:t xml:space="preserve">%的违约金，违约金不足以补偿损失的甲方有权要求乙方补足。</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lang w:val="en-US" w:eastAsia="zh-CN"/>
        </w:rPr>
        <w:t xml:space="preserve">4</w:t>
      </w:r>
      <w:r>
        <w:rPr>
          <w:rFonts w:hint="eastAsia" w:ascii="宋体" w:hAnsi="宋体"/>
          <w:color w:val="000000"/>
          <w:sz w:val="21"/>
          <w:szCs w:val="21"/>
        </w:rPr>
        <w:t xml:space="preserve">乙方必须自己完成合同内容，不得自行分包，否则，甲方有权按乙方不能完成合同处理。</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lang w:val="en-US" w:eastAsia="zh-CN"/>
        </w:rPr>
        <w:t xml:space="preserve">5</w:t>
      </w:r>
      <w:r>
        <w:rPr>
          <w:rFonts w:hint="eastAsia" w:ascii="宋体" w:hAnsi="宋体"/>
          <w:color w:val="000000"/>
          <w:sz w:val="21"/>
          <w:szCs w:val="21"/>
        </w:rPr>
        <w:t xml:space="preserve">乙方应执行国家有关规定（如苏州最低工资标准和其他规定），负责乙方员工的生病、事故、伤残、死亡和劳务纠纷，甲方不承担任何相关责任。</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lang w:val="en-US" w:eastAsia="zh-CN"/>
        </w:rPr>
        <w:t xml:space="preserve">6</w:t>
      </w:r>
      <w:r>
        <w:rPr>
          <w:rFonts w:hint="eastAsia" w:ascii="宋体" w:hAnsi="宋体"/>
          <w:color w:val="000000"/>
          <w:sz w:val="21"/>
          <w:szCs w:val="21"/>
        </w:rPr>
        <w:t xml:space="preserve">乙方负有对自己员工的安全责任，甲方不承担任何相关责任。</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rPr>
          <w:rFonts w:ascii="宋体" w:hAnsi="宋体"/>
          <w:b/>
          <w:color w:val="000000"/>
          <w:sz w:val="21"/>
          <w:szCs w:val="21"/>
        </w:rPr>
      </w:pPr>
      <w:r>
        <w:rPr>
          <w:rFonts w:hint="eastAsia" w:ascii="宋体" w:hAnsi="宋体"/>
          <w:b/>
          <w:color w:val="000000"/>
          <w:sz w:val="21"/>
          <w:szCs w:val="21"/>
        </w:rPr>
        <w:t xml:space="preserve">七、不可抗力</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八、争端的解决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2.如果调解不成，双方中的任何一方可向人民法院提起诉讼。诉讼由</w:t>
      </w:r>
      <w:r>
        <w:rPr>
          <w:rFonts w:hint="eastAsia" w:ascii="宋体" w:hAnsi="宋体"/>
          <w:color w:val="000000"/>
          <w:sz w:val="21"/>
          <w:szCs w:val="21"/>
          <w:lang w:val="en-US" w:eastAsia="zh-CN"/>
        </w:rPr>
        <w:t xml:space="preserve">甲方所在地</w:t>
      </w:r>
      <w:r>
        <w:rPr>
          <w:rFonts w:hint="eastAsia" w:ascii="宋体" w:hAnsi="宋体"/>
          <w:color w:val="000000"/>
          <w:sz w:val="21"/>
          <w:szCs w:val="21"/>
        </w:rPr>
        <w:t xml:space="preserve">人民法院管辖。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3.诉讼费由败诉方负担。</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4.因合同部分履行引发诉讼的，在诉讼期间，除正在进行诉讼的部分外，本合同的其它部分应继续执行。</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九、违约终止合同</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1.在甲方因乙方违约而按合同约定采取的任何补救措施不受影响的情况下，甲方可在下列情况下向乙方发出书面通知，提出终止部分或全部合同。</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1.1 如果乙方未能在合同规定的限期或甲方同意延长的限期内提供部分或全部服务。</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1.2 如果乙方未能履行合同规定的其它任何义务。</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3.如果甲方违约，应承担相应的违约责任。 </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widowControl w:val="off"/>
        <w:rPr>
          <w:rFonts w:ascii="宋体" w:hAnsi="宋体"/>
          <w:color w:val="000000"/>
          <w:sz w:val="21"/>
          <w:szCs w:val="21"/>
        </w:rPr>
      </w:pPr>
      <w:r>
        <w:rPr>
          <w:rFonts w:hint="eastAsia" w:ascii="宋体" w:hAnsi="宋体"/>
          <w:b/>
          <w:color w:val="000000"/>
          <w:sz w:val="21"/>
          <w:szCs w:val="21"/>
        </w:rPr>
        <w:t xml:space="preserve">十、破产终止合同：</w:t>
      </w:r>
      <w:r>
        <w:rPr>
          <w:rFonts w:hint="eastAsia" w:ascii="宋体" w:hAnsi="宋体"/>
          <w:color w:val="000000"/>
          <w:sz w:val="21"/>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widowControl w:val="off"/>
        <w:rPr>
          <w:rFonts w:ascii="宋体" w:hAnsi="宋体"/>
          <w:color w:val="000000"/>
          <w:sz w:val="21"/>
          <w:szCs w:val="21"/>
        </w:rPr>
      </w:pPr>
      <w:r>
        <w:rPr>
          <w:rFonts w:hint="eastAsia" w:ascii="宋体" w:hAnsi="宋体"/>
          <w:b/>
          <w:color w:val="000000"/>
          <w:sz w:val="21"/>
          <w:szCs w:val="21"/>
        </w:rPr>
        <w:t xml:space="preserve">十一、政府采购法对政府采购合同变更终止的规定：</w:t>
      </w:r>
      <w:r>
        <w:rPr>
          <w:rFonts w:hint="eastAsia" w:ascii="宋体" w:hAnsi="宋体"/>
          <w:color w:val="000000"/>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widowControl w:val="off"/>
        <w:rPr>
          <w:rFonts w:ascii="宋体" w:hAnsi="宋体"/>
          <w:color w:val="000000"/>
          <w:sz w:val="21"/>
          <w:szCs w:val="21"/>
        </w:rPr>
      </w:pPr>
      <w:r>
        <w:rPr>
          <w:rFonts w:hint="eastAsia" w:ascii="宋体" w:hAnsi="宋体"/>
          <w:b/>
          <w:color w:val="000000"/>
          <w:sz w:val="21"/>
          <w:szCs w:val="21"/>
        </w:rPr>
        <w:t xml:space="preserve">十二、合同转让和分包：</w:t>
      </w:r>
      <w:r>
        <w:rPr>
          <w:rFonts w:hint="eastAsia" w:ascii="宋体" w:hAnsi="宋体"/>
          <w:color w:val="000000"/>
          <w:sz w:val="21"/>
          <w:szCs w:val="21"/>
        </w:rPr>
        <w:t xml:space="preserve">本项目不得转让和分包。</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widowControl w:val="off"/>
        <w:rPr>
          <w:rFonts w:ascii="宋体" w:hAnsi="宋体"/>
          <w:color w:val="000000"/>
          <w:sz w:val="21"/>
          <w:szCs w:val="21"/>
        </w:rPr>
      </w:pPr>
      <w:r>
        <w:rPr>
          <w:rFonts w:hint="eastAsia" w:ascii="宋体" w:hAnsi="宋体"/>
          <w:b/>
          <w:color w:val="000000"/>
          <w:sz w:val="21"/>
          <w:szCs w:val="21"/>
        </w:rPr>
        <w:t xml:space="preserve">十三、需要补充的合同条款：</w:t>
      </w:r>
      <w:r>
        <w:rPr>
          <w:rFonts w:hint="eastAsia" w:ascii="宋体" w:hAnsi="宋体"/>
          <w:color w:val="000000"/>
          <w:sz w:val="21"/>
          <w:szCs w:val="21"/>
        </w:rPr>
        <w:t xml:space="preserve">（根据评审过程中或者商务谈判时商定的条款和条件在订立合同时标明）。</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 </w:t>
      </w:r>
      <w:r>
        <w:rPr>
          <w:rFonts w:ascii="宋体" w:hAnsi="宋体"/>
          <w:color w:val="000000"/>
          <w:sz w:val="21"/>
          <w:szCs w:val="21"/>
        </w:rPr>
        <w:t xml:space="preserve">   </w:t>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十四、合同生效</w:t>
      </w:r>
      <w:r/>
    </w:p>
    <w:p>
      <w:pPr>
        <w:ind w:left="0" w:firstLine="420"/>
        <w:spacing w:line="360" w:lineRule="auto"/>
        <w:widowControl w:val="off"/>
        <w:rPr>
          <w:rFonts w:ascii="宋体" w:hAnsi="宋体"/>
          <w:sz w:val="21"/>
          <w:szCs w:val="21"/>
        </w:rPr>
      </w:pPr>
      <w:r>
        <w:rPr>
          <w:rFonts w:hint="eastAsia" w:ascii="宋体" w:hAnsi="宋体"/>
          <w:color w:val="000000"/>
          <w:sz w:val="21"/>
          <w:szCs w:val="21"/>
        </w:rPr>
        <w:t xml:space="preserve">1.双方签约人为各自法定代表人或被授权代表。</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2.本合同系指本文件及其附件中的所有部分，采购文件、成交单位的响应文件、成交通知书、成交单位在采购过程中的澄清和承诺等为本合同不可缺少的组成部分。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360" w:lineRule="auto"/>
        <w:widowControl w:val="off"/>
        <w:rPr>
          <w:rFonts w:ascii="宋体" w:hAnsi="宋体"/>
          <w:sz w:val="21"/>
          <w:szCs w:val="21"/>
          <w:highlight w:val="none"/>
        </w:rPr>
      </w:pPr>
      <w:r>
        <w:rPr>
          <w:rFonts w:hint="eastAsia" w:ascii="宋体" w:hAnsi="宋体"/>
          <w:sz w:val="21"/>
          <w:szCs w:val="21"/>
        </w:rPr>
        <w:t xml:space="preserve">4.本合同壹</w:t>
      </w:r>
      <w:r>
        <w:rPr>
          <w:rFonts w:hint="eastAsia" w:ascii="宋体" w:hAnsi="宋体"/>
          <w:sz w:val="21"/>
          <w:szCs w:val="21"/>
          <w:highlight w:val="none"/>
        </w:rPr>
        <w:t xml:space="preserve">式</w:t>
      </w:r>
      <w:r>
        <w:rPr>
          <w:rFonts w:hint="eastAsia" w:ascii="宋体" w:hAnsi="宋体"/>
          <w:b/>
          <w:sz w:val="21"/>
          <w:szCs w:val="21"/>
          <w:highlight w:val="none"/>
          <w:lang w:val="en-US" w:eastAsia="zh-CN"/>
        </w:rPr>
        <w:t xml:space="preserve">伍</w:t>
      </w:r>
      <w:r>
        <w:rPr>
          <w:rFonts w:hint="eastAsia" w:ascii="宋体" w:hAnsi="宋体"/>
          <w:sz w:val="21"/>
          <w:szCs w:val="21"/>
          <w:highlight w:val="none"/>
        </w:rPr>
        <w:t xml:space="preserve">份，甲乙双方各执</w:t>
      </w:r>
      <w:r>
        <w:rPr>
          <w:rFonts w:hint="eastAsia" w:ascii="宋体" w:hAnsi="宋体"/>
          <w:b/>
          <w:sz w:val="21"/>
          <w:szCs w:val="21"/>
          <w:highlight w:val="none"/>
        </w:rPr>
        <w:t xml:space="preserve">贰</w:t>
      </w:r>
      <w:r>
        <w:rPr>
          <w:rFonts w:hint="eastAsia" w:ascii="宋体" w:hAnsi="宋体"/>
          <w:sz w:val="21"/>
          <w:szCs w:val="21"/>
          <w:highlight w:val="none"/>
        </w:rPr>
        <w:t xml:space="preserve">份，</w:t>
      </w:r>
      <w:r>
        <w:rPr>
          <w:rFonts w:hint="eastAsia" w:ascii="宋体" w:hAnsi="宋体"/>
          <w:sz w:val="21"/>
          <w:szCs w:val="21"/>
          <w:highlight w:val="none"/>
          <w:lang w:val="en-US" w:eastAsia="zh-CN"/>
        </w:rPr>
        <w:t xml:space="preserve">招标代理执</w:t>
      </w:r>
      <w:r>
        <w:rPr>
          <w:rFonts w:hint="eastAsia" w:ascii="宋体" w:hAnsi="宋体"/>
          <w:b/>
          <w:bCs/>
          <w:sz w:val="21"/>
          <w:szCs w:val="21"/>
          <w:highlight w:val="none"/>
          <w:lang w:val="en-US" w:eastAsia="zh-CN"/>
        </w:rPr>
        <w:t xml:space="preserve">壹</w:t>
      </w:r>
      <w:r>
        <w:rPr>
          <w:rFonts w:hint="eastAsia" w:ascii="宋体" w:hAnsi="宋体"/>
          <w:sz w:val="21"/>
          <w:szCs w:val="21"/>
          <w:highlight w:val="none"/>
          <w:lang w:val="en-US" w:eastAsia="zh-CN"/>
        </w:rPr>
        <w:t xml:space="preserve">份，</w:t>
      </w:r>
      <w:r>
        <w:rPr>
          <w:rFonts w:hint="eastAsia" w:ascii="宋体" w:hAnsi="宋体"/>
          <w:sz w:val="21"/>
          <w:szCs w:val="21"/>
          <w:highlight w:val="none"/>
        </w:rPr>
        <w:t xml:space="preserve">各份具有同等法律效力。</w:t>
      </w:r>
      <w:r/>
    </w:p>
    <w:p>
      <w:pPr>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5.本合同应按照中华人民共和国的现行法律进行解释。</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6.合同修改：除甲乙双方签署书面修改、补充协议，并成为本合同不可分割的一部分之外，本合同条件不得有任何变化或修改。 </w:t>
      </w:r>
      <w:r/>
    </w:p>
    <w:p>
      <w:pPr>
        <w:pStyle w:val="734"/>
        <w:ind w:left="400"/>
      </w:pPr>
      <w:r/>
      <w:r/>
    </w:p>
    <w:p>
      <w:pPr>
        <w:ind w:left="0"/>
        <w:spacing w:line="360" w:lineRule="auto"/>
        <w:widowControl w:val="off"/>
        <w:rPr>
          <w:rFonts w:ascii="宋体" w:hAnsi="宋体"/>
          <w:sz w:val="21"/>
          <w:szCs w:val="21"/>
        </w:rPr>
      </w:pPr>
      <w:r>
        <w:rPr>
          <w:rFonts w:hint="eastAsia" w:ascii="宋体" w:hAnsi="宋体"/>
          <w:sz w:val="21"/>
          <w:szCs w:val="21"/>
        </w:rPr>
        <w:t xml:space="preserve">甲方（公章）：                     </w:t>
      </w:r>
      <w:r>
        <w:rPr>
          <w:rFonts w:ascii="宋体" w:hAnsi="宋体"/>
          <w:sz w:val="21"/>
          <w:szCs w:val="21"/>
        </w:rPr>
        <w:t xml:space="preserve">   </w:t>
      </w:r>
      <w:r>
        <w:rPr>
          <w:rFonts w:hint="eastAsia" w:ascii="宋体" w:hAnsi="宋体"/>
          <w:sz w:val="21"/>
          <w:szCs w:val="21"/>
        </w:rPr>
        <w:t xml:space="preserve">     乙方（公章）：</w:t>
      </w:r>
      <w:r/>
    </w:p>
    <w:p>
      <w:pPr>
        <w:ind w:left="0"/>
        <w:spacing w:line="360" w:lineRule="auto"/>
        <w:widowControl w:val="off"/>
        <w:rPr>
          <w:rFonts w:ascii="宋体" w:hAnsi="宋体"/>
          <w:sz w:val="21"/>
          <w:szCs w:val="21"/>
        </w:rPr>
      </w:pPr>
      <w:r>
        <w:rPr>
          <w:rFonts w:hint="eastAsia" w:ascii="宋体" w:hAnsi="宋体"/>
          <w:sz w:val="21"/>
          <w:szCs w:val="21"/>
        </w:rPr>
        <w:t xml:space="preserve">法定代表人或授权代表（签字或盖章）：       法定代表人或授权代表（签字或盖章）： </w:t>
      </w:r>
      <w:r/>
    </w:p>
    <w:p>
      <w:pPr>
        <w:ind w:left="0"/>
        <w:spacing w:line="360" w:lineRule="auto"/>
        <w:widowControl w:val="off"/>
      </w:pPr>
      <w:r>
        <w:rPr>
          <w:rFonts w:hint="eastAsia" w:ascii="宋体" w:hAnsi="宋体"/>
          <w:sz w:val="21"/>
          <w:szCs w:val="21"/>
        </w:rPr>
        <w:t xml:space="preserve">签约日期：                                </w:t>
      </w:r>
      <w:r>
        <w:rPr>
          <w:rFonts w:ascii="宋体" w:hAnsi="宋体"/>
          <w:sz w:val="21"/>
          <w:szCs w:val="21"/>
        </w:rPr>
        <w:t xml:space="preserve"> </w:t>
      </w:r>
      <w:r>
        <w:rPr>
          <w:rFonts w:hint="eastAsia" w:ascii="宋体" w:hAnsi="宋体"/>
          <w:sz w:val="21"/>
          <w:szCs w:val="21"/>
        </w:rPr>
        <w:t xml:space="preserve">签约日期： </w:t>
      </w:r>
      <w:r/>
    </w:p>
    <w:p>
      <w:pPr>
        <w:ind w:left="0"/>
        <w:spacing w:line="360" w:lineRule="auto"/>
        <w:widowControl w:val="off"/>
        <w:rPr>
          <w:rFonts w:ascii="宋体" w:hAnsi="宋体" w:cs="宋体"/>
          <w:bCs/>
        </w:rPr>
      </w:pPr>
      <w:r>
        <w:rPr>
          <w:rFonts w:hint="eastAsia" w:ascii="宋体" w:hAnsi="宋体"/>
          <w:sz w:val="21"/>
          <w:szCs w:val="21"/>
        </w:rPr>
        <w:t xml:space="preserve">合同签订地：</w:t>
      </w:r>
      <w:r>
        <w:rPr>
          <w:rFonts w:hint="eastAsia"/>
          <w:b/>
          <w:sz w:val="44"/>
          <w:szCs w:val="44"/>
        </w:rPr>
        <w:br w:type="page" w:clear="all"/>
      </w:r>
      <w:r/>
    </w:p>
    <w:p>
      <w:pPr>
        <w:jc w:val="center"/>
        <w:spacing w:line="360" w:lineRule="auto"/>
        <w:rPr>
          <w:rFonts w:ascii="宋体" w:hAnsi="宋体"/>
          <w:b/>
          <w:sz w:val="44"/>
          <w:szCs w:val="44"/>
        </w:rPr>
        <w:outlineLvl w:val="0"/>
      </w:pPr>
      <w:r/>
      <w:bookmarkStart w:id="33" w:name="_Toc73000678"/>
      <w:r/>
      <w:bookmarkStart w:id="34" w:name="_Toc68611039"/>
      <w:r>
        <w:rPr>
          <w:rFonts w:hint="eastAsia" w:ascii="宋体" w:hAnsi="宋体"/>
          <w:b/>
          <w:sz w:val="44"/>
          <w:szCs w:val="44"/>
        </w:rPr>
        <w:t xml:space="preserve">第六章 </w:t>
      </w:r>
      <w:bookmarkStart w:id="35" w:name="评分要点"/>
      <w:r/>
      <w:bookmarkEnd w:id="35"/>
      <w:r>
        <w:rPr>
          <w:rFonts w:hint="eastAsia" w:ascii="宋体" w:hAnsi="宋体"/>
          <w:b/>
          <w:sz w:val="44"/>
          <w:szCs w:val="44"/>
        </w:rPr>
        <w:t xml:space="preserve">评审办法和评分标准</w:t>
      </w:r>
      <w:bookmarkEnd w:id="33"/>
      <w:r/>
      <w:bookmarkEnd w:id="34"/>
      <w:r/>
      <w:r/>
    </w:p>
    <w:p>
      <w:pPr>
        <w:ind w:firstLine="422"/>
        <w:spacing w:line="360" w:lineRule="auto"/>
        <w:rPr>
          <w:rFonts w:ascii="宋体" w:hAnsi="宋体"/>
          <w:b/>
          <w:szCs w:val="21"/>
        </w:rPr>
      </w:pPr>
      <w:r/>
      <w:bookmarkStart w:id="36" w:name="_Toc17476"/>
      <w:r/>
      <w:bookmarkStart w:id="37" w:name="_Toc16264"/>
      <w:r/>
      <w:bookmarkStart w:id="38" w:name="_Toc698"/>
      <w:r>
        <w:rPr>
          <w:rFonts w:hint="eastAsia" w:ascii="宋体" w:hAnsi="宋体"/>
          <w:b/>
          <w:szCs w:val="21"/>
        </w:rPr>
        <w:t xml:space="preserve">一、评审办法：</w:t>
      </w:r>
      <w:bookmarkEnd w:id="36"/>
      <w:r/>
      <w:bookmarkEnd w:id="37"/>
      <w:r/>
      <w:bookmarkEnd w:id="38"/>
      <w:r/>
      <w:r/>
    </w:p>
    <w:p>
      <w:pPr>
        <w:ind w:firstLine="420"/>
        <w:spacing w:line="360" w:lineRule="auto"/>
        <w:rPr>
          <w:rFonts w:ascii="宋体" w:hAnsi="宋体" w:cs="宋体"/>
        </w:rPr>
      </w:pPr>
      <w:r>
        <w:rPr>
          <w:rFonts w:hint="eastAsia" w:ascii="宋体" w:hAnsi="宋体" w:cs="宋体"/>
        </w:rPr>
        <w:t xml:space="preserve">1.本次磋商采用</w:t>
      </w:r>
      <w:r>
        <w:rPr>
          <w:rFonts w:hint="eastAsia" w:ascii="宋体" w:hAnsi="宋体" w:cs="宋体"/>
          <w:b/>
        </w:rPr>
        <w:t xml:space="preserve">综合评分法</w:t>
      </w:r>
      <w:r>
        <w:rPr>
          <w:rFonts w:hint="eastAsia" w:ascii="宋体" w:hAnsi="宋体" w:cs="宋体"/>
        </w:rPr>
        <w:t xml:space="preserve">，即在响应文件满足采购文件全部实质性要求且按评审因素的量化指标评审得分最高的供应商为成交候选供应商。采购人书面授权磋商小组直接确定成交供应商。</w:t>
      </w:r>
      <w:r/>
    </w:p>
    <w:p>
      <w:pPr>
        <w:ind w:firstLine="420"/>
        <w:spacing w:line="360" w:lineRule="auto"/>
        <w:rPr>
          <w:rFonts w:ascii="宋体" w:hAnsi="宋体" w:cs="宋体"/>
        </w:rPr>
      </w:pPr>
      <w:r>
        <w:rPr>
          <w:rFonts w:hint="eastAsia" w:ascii="宋体" w:hAnsi="宋体" w:cs="宋体"/>
        </w:rPr>
        <w:t xml:space="preserve">2.磋商小组各成员独立对每个进入打分程序的有效磋商供应商的响应文件技术和资质部分以打分的形式进行评审和评价。</w:t>
      </w:r>
      <w:r/>
    </w:p>
    <w:p>
      <w:pPr>
        <w:ind w:firstLine="420"/>
        <w:spacing w:line="360" w:lineRule="auto"/>
        <w:rPr>
          <w:rFonts w:ascii="宋体" w:hAnsi="宋体" w:cs="宋体"/>
        </w:rPr>
      </w:pPr>
      <w:r>
        <w:rPr>
          <w:rFonts w:hint="eastAsia" w:ascii="宋体" w:hAnsi="宋体" w:cs="宋体"/>
        </w:rPr>
        <w:t xml:space="preserve">3.对评委的评分（除价格分外）进行统计汇总，直接算术平均计算出每个磋商供应商的得分，加上价格得分即为每个磋商供应商的综合得分。</w:t>
      </w:r>
      <w:r/>
    </w:p>
    <w:p>
      <w:pPr>
        <w:ind w:firstLine="420"/>
        <w:spacing w:line="360" w:lineRule="auto"/>
        <w:rPr>
          <w:rFonts w:ascii="宋体" w:hAnsi="宋体" w:cs="宋体"/>
        </w:rPr>
      </w:pPr>
      <w:r>
        <w:rPr>
          <w:rFonts w:hint="eastAsia" w:ascii="宋体" w:hAnsi="宋体" w:cs="宋体"/>
        </w:rPr>
        <w:t xml:space="preserve">4.如出现评审总得分最高的磋商供应商有两个或两个以上的，以磋商报价较低者优先作为成交供应商，如果磋商报价也相同的，则由磋商小组按照技术指标优劣顺序确定成交供应商。</w:t>
      </w:r>
      <w:r/>
    </w:p>
    <w:p>
      <w:pPr>
        <w:ind w:firstLine="420"/>
        <w:spacing w:line="360" w:lineRule="auto"/>
        <w:rPr>
          <w:rFonts w:ascii="宋体" w:hAnsi="宋体" w:cs="宋体"/>
        </w:rPr>
      </w:pPr>
      <w:r>
        <w:rPr>
          <w:rFonts w:hint="eastAsia" w:ascii="宋体" w:hAnsi="宋体" w:cs="宋体"/>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firstLine="420"/>
        <w:spacing w:line="360" w:lineRule="auto"/>
        <w:rPr>
          <w:rFonts w:ascii="宋体" w:hAnsi="宋体" w:cs="宋体"/>
        </w:rPr>
      </w:pPr>
      <w:r>
        <w:rPr>
          <w:rFonts w:hint="eastAsia" w:ascii="宋体" w:hAnsi="宋体" w:cs="宋体"/>
        </w:rPr>
        <w:t xml:space="preserve">6.针对中小型企业、残疾人福利企业和监狱企业的评审：</w:t>
      </w:r>
      <w:r/>
    </w:p>
    <w:p>
      <w:pPr>
        <w:ind w:firstLine="480"/>
        <w:spacing w:line="360" w:lineRule="auto"/>
        <w:rPr>
          <w:rFonts w:ascii="宋体" w:hAnsi="宋体"/>
          <w:szCs w:val="21"/>
        </w:rPr>
      </w:pPr>
      <w:r>
        <w:rPr>
          <w:rFonts w:hint="eastAsia" w:ascii="宋体" w:hAnsi="宋体"/>
          <w:szCs w:val="21"/>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w:t>
      </w:r>
      <w:r>
        <w:rPr>
          <w:rFonts w:ascii="宋体" w:hAnsi="宋体"/>
          <w:szCs w:val="21"/>
        </w:rPr>
        <w:t xml:space="preserve">&gt;</w:t>
      </w:r>
      <w:r>
        <w:rPr>
          <w:rFonts w:hint="eastAsia" w:ascii="宋体" w:hAnsi="宋体"/>
          <w:szCs w:val="21"/>
        </w:rPr>
        <w:t xml:space="preserve">的通知》（苏财购〔202</w:t>
      </w:r>
      <w:r>
        <w:rPr>
          <w:rFonts w:ascii="宋体" w:hAnsi="宋体"/>
          <w:szCs w:val="21"/>
        </w:rPr>
        <w:t xml:space="preserve">2</w:t>
      </w:r>
      <w:r>
        <w:rPr>
          <w:rFonts w:hint="eastAsia" w:ascii="宋体" w:hAnsi="宋体"/>
          <w:szCs w:val="21"/>
        </w:rPr>
        <w:t xml:space="preserve">〕</w:t>
      </w:r>
      <w:r>
        <w:rPr>
          <w:rFonts w:ascii="宋体" w:hAnsi="宋体"/>
          <w:szCs w:val="21"/>
        </w:rPr>
        <w:t xml:space="preserve">16</w:t>
      </w:r>
      <w:r>
        <w:rPr>
          <w:rFonts w:hint="eastAsia" w:ascii="宋体" w:hAnsi="宋体"/>
          <w:szCs w:val="21"/>
        </w:rPr>
        <w:t xml:space="preserve">号）的有关规定，</w:t>
      </w:r>
      <w:r>
        <w:rPr>
          <w:rFonts w:hint="eastAsia" w:ascii="宋体" w:hAnsi="宋体"/>
          <w:b/>
          <w:bCs/>
          <w:szCs w:val="21"/>
        </w:rPr>
        <w:t xml:space="preserve">本项目为专门面向中小企业采购的项目，不再执行价格评审优惠的扶持政策。</w:t>
      </w:r>
      <w:r/>
    </w:p>
    <w:p>
      <w:pPr>
        <w:ind w:firstLine="480"/>
        <w:spacing w:line="360" w:lineRule="auto"/>
        <w:rPr>
          <w:rFonts w:ascii="宋体" w:hAnsi="宋体"/>
          <w:szCs w:val="21"/>
        </w:rPr>
      </w:pPr>
      <w:r>
        <w:rPr>
          <w:rFonts w:hint="eastAsia" w:ascii="宋体" w:hAnsi="宋体"/>
          <w:szCs w:val="21"/>
        </w:rPr>
        <w:t xml:space="preserve">投标方必须提供《中小企业声明函》或《残疾人福利性单位声明函》或由省级以上监狱管理局、戒毒管理局（含新疆生产建设兵团）出具的属于监狱企业的证明文件。</w:t>
      </w:r>
      <w:r>
        <w:rPr>
          <w:rFonts w:hint="eastAsia" w:ascii="宋体" w:hAnsi="宋体"/>
          <w:b/>
          <w:szCs w:val="21"/>
        </w:rPr>
        <w:t xml:space="preserve">服务类项目中供应商若使用退休人员，将不享受中小企业扶持政策。</w:t>
      </w:r>
      <w:r/>
    </w:p>
    <w:p>
      <w:pPr>
        <w:ind w:firstLine="420"/>
        <w:spacing w:line="360" w:lineRule="auto"/>
        <w:rPr>
          <w:rFonts w:ascii="宋体" w:hAnsi="宋体" w:cs="宋体"/>
        </w:rPr>
      </w:pPr>
      <w:r>
        <w:rPr>
          <w:rFonts w:hint="eastAsia" w:ascii="宋体" w:hAnsi="宋体" w:cs="宋体"/>
        </w:rPr>
        <w:t xml:space="preserve">注：①填报“中小企业声明函”需严格按“工信部联企业〔2011〕300号通知中的《中小企业划型标准规定》进行。</w:t>
      </w:r>
      <w:r/>
    </w:p>
    <w:p>
      <w:pPr>
        <w:ind w:firstLine="420"/>
        <w:spacing w:line="360" w:lineRule="auto"/>
        <w:rPr>
          <w:rFonts w:ascii="宋体" w:hAnsi="宋体" w:cs="宋体"/>
        </w:rPr>
      </w:pPr>
      <w:r>
        <w:rPr>
          <w:rFonts w:hint="eastAsia" w:ascii="宋体" w:hAnsi="宋体" w:cs="宋体"/>
        </w:rPr>
        <w:t xml:space="preserve">②若供应商提供的声明函或认定证明为虚假材料，按“政府采购法”相关规定处理并报请政府监管部门给予行政处罚。</w:t>
      </w:r>
      <w:r/>
    </w:p>
    <w:p>
      <w:pPr>
        <w:ind w:firstLine="420"/>
        <w:spacing w:line="360" w:lineRule="auto"/>
        <w:rPr>
          <w:rFonts w:ascii="宋体" w:hAnsi="宋体" w:cs="宋体"/>
        </w:rPr>
      </w:pPr>
      <w:r>
        <w:rPr>
          <w:rFonts w:hint="eastAsia" w:ascii="宋体" w:hAnsi="宋体" w:cs="宋体"/>
          <w:lang w:val="en-US" w:eastAsia="zh-CN"/>
        </w:rPr>
        <w:t xml:space="preserve">7</w:t>
      </w:r>
      <w:r>
        <w:rPr>
          <w:rFonts w:hint="eastAsia" w:ascii="宋体" w:hAnsi="宋体" w:cs="宋体"/>
        </w:rPr>
        <w:t xml:space="preserve">、信用记录</w:t>
      </w:r>
      <w:r/>
    </w:p>
    <w:p>
      <w:pPr>
        <w:ind w:firstLine="420"/>
        <w:spacing w:line="360" w:lineRule="auto"/>
        <w:rPr>
          <w:rFonts w:ascii="宋体" w:hAnsi="宋体" w:cs="宋体"/>
        </w:rPr>
      </w:pPr>
      <w:r>
        <w:rPr>
          <w:rFonts w:hint="eastAsia" w:ascii="宋体" w:hAnsi="宋体" w:cs="宋体"/>
        </w:rPr>
        <w:t xml:space="preserve">根据政府采购法及相关法规，以及苏州市财政局《关于印发苏州市市级政府采购信用记录查询和使用工作试行办法的通知》（苏财购﹝2017﹞11号）文件的规定，我们将依法对供应商进行信用查询，凡经确认不符合政府采购相关法律法规规定的，将拒绝其参与政府采购活动。</w:t>
      </w:r>
      <w:r/>
    </w:p>
    <w:p>
      <w:pPr>
        <w:ind w:firstLine="420"/>
        <w:spacing w:line="360" w:lineRule="auto"/>
        <w:rPr>
          <w:rFonts w:ascii="宋体" w:hAnsi="宋体" w:cs="宋体"/>
        </w:rPr>
      </w:pPr>
      <w:r>
        <w:rPr>
          <w:rFonts w:hint="eastAsia" w:ascii="宋体" w:hAnsi="宋体" w:cs="宋体"/>
        </w:rPr>
        <w:t xml:space="preserve">（1）查询截止时点：响应文件递交截止时间。</w:t>
      </w:r>
      <w:r/>
    </w:p>
    <w:p>
      <w:pPr>
        <w:ind w:firstLine="420"/>
        <w:spacing w:line="360" w:lineRule="auto"/>
        <w:rPr>
          <w:rFonts w:ascii="宋体" w:hAnsi="宋体" w:cs="宋体"/>
        </w:rPr>
      </w:pPr>
      <w:r>
        <w:rPr>
          <w:rFonts w:hint="eastAsia" w:ascii="宋体" w:hAnsi="宋体" w:cs="宋体"/>
        </w:rPr>
        <w:t xml:space="preserve">（2）查询渠道：</w:t>
      </w:r>
      <w:r/>
    </w:p>
    <w:p>
      <w:pPr>
        <w:ind w:firstLine="420"/>
        <w:spacing w:line="360" w:lineRule="auto"/>
        <w:rPr>
          <w:rFonts w:ascii="宋体" w:hAnsi="宋体" w:cs="宋体"/>
        </w:rPr>
      </w:pPr>
      <w:r>
        <w:rPr>
          <w:rFonts w:hint="eastAsia" w:ascii="宋体" w:hAnsi="宋体" w:cs="宋体"/>
        </w:rPr>
        <w:t xml:space="preserve">统一登录苏州政府采购交易管理平台开标系统“供应商信用查询”模块查询供应商的信用记录。苏州政府采购交易管理平台开标系统“供应商信用查询”模块提供来自中国政府采购网、信用中国、信用江苏、信用苏州网站的相关主体信用记录。</w:t>
      </w:r>
      <w:r/>
    </w:p>
    <w:p>
      <w:pPr>
        <w:ind w:firstLine="420"/>
        <w:spacing w:line="360" w:lineRule="auto"/>
        <w:rPr>
          <w:rFonts w:ascii="宋体" w:hAnsi="宋体" w:cs="宋体"/>
        </w:rPr>
      </w:pPr>
      <w:r>
        <w:rPr>
          <w:rFonts w:hint="eastAsia" w:ascii="宋体" w:hAnsi="宋体" w:cs="宋体"/>
        </w:rPr>
        <w:t xml:space="preserve">（3）查询证据留存方式：</w:t>
      </w:r>
      <w:r/>
    </w:p>
    <w:p>
      <w:pPr>
        <w:ind w:firstLine="420"/>
        <w:spacing w:line="360" w:lineRule="auto"/>
        <w:rPr>
          <w:rFonts w:ascii="宋体" w:hAnsi="宋体" w:cs="宋体"/>
        </w:rPr>
      </w:pPr>
      <w:r>
        <w:rPr>
          <w:rFonts w:hint="eastAsia" w:ascii="宋体" w:hAnsi="宋体" w:cs="宋体"/>
        </w:rPr>
        <w:t xml:space="preserve">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firstLine="420"/>
        <w:spacing w:line="360" w:lineRule="auto"/>
        <w:rPr>
          <w:rFonts w:ascii="宋体" w:hAnsi="宋体" w:cs="宋体"/>
        </w:rPr>
      </w:pPr>
      <w:r>
        <w:rPr>
          <w:rFonts w:hint="eastAsia" w:ascii="宋体" w:hAnsi="宋体" w:cs="宋体"/>
        </w:rPr>
        <w:t xml:space="preserve">（4）信用记录使用规则：</w:t>
      </w:r>
      <w:r/>
    </w:p>
    <w:p>
      <w:pPr>
        <w:ind w:firstLine="420"/>
        <w:spacing w:line="360" w:lineRule="auto"/>
        <w:rPr>
          <w:rFonts w:ascii="宋体" w:hAnsi="宋体" w:cs="宋体"/>
        </w:rPr>
      </w:pPr>
      <w:r>
        <w:rPr>
          <w:rFonts w:hint="eastAsia" w:ascii="宋体" w:hAnsi="宋体" w:cs="宋体"/>
        </w:rPr>
        <w:t xml:space="preserve">在对供应商进行资格性审查时，应根据查询结果对供应商的不良信用记录逐项甄别确认。</w:t>
      </w:r>
      <w:r/>
    </w:p>
    <w:p>
      <w:pPr>
        <w:ind w:firstLine="422"/>
        <w:jc w:val="left"/>
        <w:spacing w:line="360" w:lineRule="auto"/>
        <w:rPr>
          <w:rFonts w:ascii="宋体" w:hAnsi="宋体" w:cs="宋体"/>
          <w:b/>
          <w:szCs w:val="21"/>
        </w:rPr>
      </w:pPr>
      <w:r>
        <w:rPr>
          <w:rFonts w:hint="eastAsia" w:ascii="宋体" w:hAnsi="宋体" w:cs="宋体"/>
          <w:b/>
          <w:szCs w:val="21"/>
        </w:rPr>
        <w:t xml:space="preserve">二、评分标准：</w:t>
      </w:r>
      <w:r/>
    </w:p>
    <w:p>
      <w:pPr>
        <w:ind w:firstLine="422"/>
        <w:spacing w:line="360" w:lineRule="auto"/>
        <w:rPr>
          <w:rFonts w:ascii="宋体" w:hAnsi="宋体"/>
          <w:b/>
          <w:bCs/>
          <w:szCs w:val="21"/>
        </w:rPr>
      </w:pPr>
      <w:r>
        <w:rPr>
          <w:rFonts w:hint="eastAsia" w:ascii="宋体" w:hAnsi="宋体"/>
          <w:b/>
          <w:bCs/>
          <w:szCs w:val="21"/>
        </w:rPr>
        <w:t xml:space="preserve">（一）报价得分（</w:t>
      </w:r>
      <w:r>
        <w:rPr>
          <w:rFonts w:hint="eastAsia" w:ascii="宋体" w:hAnsi="宋体"/>
          <w:b/>
          <w:bCs/>
          <w:szCs w:val="21"/>
          <w:lang w:val="en-US" w:eastAsia="zh-CN"/>
        </w:rPr>
        <w:t xml:space="preserve">1</w:t>
      </w:r>
      <w:r>
        <w:rPr>
          <w:rFonts w:hint="eastAsia" w:ascii="宋体" w:hAnsi="宋体"/>
          <w:b/>
          <w:bCs/>
          <w:szCs w:val="21"/>
        </w:rPr>
        <w:t xml:space="preserve">0分）</w:t>
      </w:r>
      <w:r/>
    </w:p>
    <w:p>
      <w:pPr>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价格分统一采用低价优先法计算，即满足磋商文件要求且最</w:t>
      </w:r>
      <w:r>
        <w:rPr>
          <w:rFonts w:hint="eastAsia" w:ascii="宋体" w:hAnsi="宋体"/>
          <w:szCs w:val="21"/>
        </w:rPr>
        <w:t xml:space="preserve">终</w:t>
      </w:r>
      <w:r>
        <w:rPr>
          <w:rFonts w:ascii="宋体" w:hAnsi="宋体"/>
          <w:szCs w:val="21"/>
        </w:rPr>
        <w:t xml:space="preserve">报价最低</w:t>
      </w:r>
      <w:r>
        <w:rPr>
          <w:rFonts w:hint="eastAsia" w:ascii="宋体" w:hAnsi="宋体"/>
          <w:szCs w:val="21"/>
        </w:rPr>
        <w:t xml:space="preserve">（未超采购预算）</w:t>
      </w:r>
      <w:r>
        <w:rPr>
          <w:rFonts w:ascii="宋体" w:hAnsi="宋体"/>
          <w:szCs w:val="21"/>
        </w:rPr>
        <w:t xml:space="preserve">的供应商的价格为磋商基准价，其价格分为满分。其他供应商的价格分统一按照下列公式计算：</w:t>
      </w:r>
      <w:r/>
    </w:p>
    <w:p>
      <w:pPr>
        <w:ind w:firstLine="420"/>
        <w:spacing w:line="360" w:lineRule="auto"/>
        <w:rPr>
          <w:rFonts w:ascii="宋体" w:hAnsi="宋体"/>
          <w:szCs w:val="21"/>
        </w:rPr>
      </w:pPr>
      <w:r>
        <w:rPr>
          <w:rFonts w:ascii="宋体" w:hAnsi="宋体"/>
          <w:szCs w:val="21"/>
        </w:rPr>
        <w:t xml:space="preserve">磋商报价得分=（磋商基准价/最后磋商报价）×价格权值（</w:t>
      </w:r>
      <w:r>
        <w:rPr>
          <w:rFonts w:hint="eastAsia" w:ascii="宋体" w:hAnsi="宋体"/>
          <w:szCs w:val="21"/>
          <w:lang w:val="en-US" w:eastAsia="zh-CN"/>
        </w:rPr>
        <w:t xml:space="preserve">1</w:t>
      </w:r>
      <w:r>
        <w:rPr>
          <w:rFonts w:ascii="宋体" w:hAnsi="宋体"/>
          <w:szCs w:val="21"/>
        </w:rPr>
        <w:t xml:space="preserve">0%）×100</w:t>
      </w:r>
      <w:r/>
    </w:p>
    <w:p>
      <w:pPr>
        <w:numPr>
          <w:ilvl w:val="0"/>
          <w:numId w:val="2"/>
        </w:numPr>
        <w:ind w:firstLine="420"/>
        <w:spacing w:line="360" w:lineRule="auto"/>
        <w:rPr>
          <w:rFonts w:ascii="宋体" w:hAnsi="宋体"/>
          <w:szCs w:val="21"/>
        </w:rPr>
      </w:pPr>
      <w:r>
        <w:rPr>
          <w:rFonts w:hint="eastAsia" w:ascii="宋体" w:hAnsi="宋体"/>
          <w:szCs w:val="21"/>
        </w:rPr>
        <w:t xml:space="preserve">评定内容还包括分析总报价及各个分项报价是否合理，报价范围是否完整，有否重大错漏项，如供应商的响应报价中有漏项，则该供应商的响应价格评审时需加上漏项部分，漏项部分价格按所有参加磋商供应商中相应部分所报最高价格计算，如果该供应商成交，则其成交总价不能调整，漏项部分价格需该磋商供应商自行消化，如漏项构成未实质性响应磋商文件要求的，将不得成交。</w:t>
      </w:r>
      <w:r/>
    </w:p>
    <w:p>
      <w:pPr>
        <w:ind w:firstLine="422"/>
        <w:spacing w:line="360" w:lineRule="auto"/>
        <w:rPr>
          <w:rFonts w:hint="eastAsia" w:ascii="宋体" w:hAnsi="宋体"/>
          <w:b/>
          <w:bCs/>
          <w:szCs w:val="21"/>
        </w:rPr>
      </w:pPr>
      <w:r>
        <w:rPr>
          <w:rFonts w:hint="eastAsia" w:ascii="宋体" w:hAnsi="宋体"/>
          <w:b/>
          <w:bCs/>
          <w:szCs w:val="21"/>
        </w:rPr>
        <w:t xml:space="preserve">（二）</w:t>
      </w:r>
      <w:r>
        <w:rPr>
          <w:rFonts w:hint="eastAsia" w:ascii="宋体" w:hAnsi="宋体"/>
          <w:b/>
          <w:bCs/>
          <w:szCs w:val="21"/>
          <w:highlight w:val="none"/>
        </w:rPr>
        <w:t xml:space="preserve">服务方案（60分）</w:t>
      </w:r>
      <w:r/>
    </w:p>
    <w:p>
      <w:pPr>
        <w:ind w:left="0" w:firstLine="630"/>
        <w:spacing w:line="360" w:lineRule="auto"/>
        <w:widowControl w:val="off"/>
        <w:rPr>
          <w:rFonts w:hint="eastAsia" w:ascii="宋体" w:hAnsi="宋体" w:cs="宋体"/>
          <w:sz w:val="21"/>
          <w:szCs w:val="21"/>
          <w:lang w:eastAsia="zh-CN"/>
        </w:rPr>
      </w:pPr>
      <w:r>
        <w:rPr>
          <w:rFonts w:hint="eastAsia" w:ascii="宋体" w:hAnsi="宋体" w:cs="宋体"/>
          <w:sz w:val="21"/>
          <w:szCs w:val="21"/>
        </w:rPr>
        <w:t xml:space="preserve">1.对项目的认识和理解（6分）</w:t>
      </w:r>
      <w:r/>
    </w:p>
    <w:p>
      <w:pPr>
        <w:ind w:left="0" w:firstLine="630"/>
        <w:spacing w:line="360" w:lineRule="auto"/>
        <w:widowControl w:val="off"/>
        <w:rPr>
          <w:rFonts w:hint="eastAsia" w:ascii="宋体" w:hAnsi="宋体" w:cs="宋体"/>
          <w:sz w:val="21"/>
          <w:szCs w:val="21"/>
          <w:lang w:eastAsia="zh-CN"/>
        </w:rPr>
      </w:pPr>
      <w:r>
        <w:rPr>
          <w:rFonts w:hint="eastAsia" w:ascii="宋体" w:hAnsi="宋体" w:cs="宋体"/>
          <w:sz w:val="21"/>
          <w:szCs w:val="21"/>
        </w:rPr>
        <w:t xml:space="preserve">供应商应提供对苏州市交通运输应急指挥中心DLP大屏、机房精密空调、UPS主机等设备现状及维护保养情况的认识和理解。</w:t>
      </w:r>
      <w:r/>
    </w:p>
    <w:p>
      <w:pPr>
        <w:ind w:left="0" w:firstLine="630"/>
        <w:spacing w:line="360" w:lineRule="auto"/>
        <w:widowControl w:val="off"/>
        <w:rPr>
          <w:rFonts w:hint="eastAsia" w:ascii="宋体" w:hAnsi="宋体" w:cs="宋体"/>
          <w:sz w:val="21"/>
          <w:szCs w:val="21"/>
          <w:lang w:eastAsia="zh-CN"/>
        </w:rPr>
      </w:pPr>
      <w:r>
        <w:rPr>
          <w:rFonts w:hint="eastAsia" w:ascii="宋体" w:hAnsi="宋体" w:cs="宋体"/>
          <w:sz w:val="21"/>
          <w:szCs w:val="21"/>
        </w:rPr>
        <w:t xml:space="preserve">结合本项目实际情况，内容完整、条理清晰、针对性较强的，得6分；内容具有一定合理性、可行性，但针对性或完整性一般的，得3分；内容与项目需求偏差较大、内容明显缺失或未提供的，不得分。</w:t>
      </w:r>
      <w:r/>
    </w:p>
    <w:p>
      <w:pPr>
        <w:ind w:left="0" w:firstLine="630"/>
        <w:spacing w:line="360" w:lineRule="auto"/>
        <w:widowControl w:val="off"/>
        <w:rPr>
          <w:rFonts w:hint="eastAsia" w:ascii="宋体" w:hAnsi="宋体" w:cs="宋体"/>
          <w:sz w:val="21"/>
          <w:szCs w:val="21"/>
          <w:lang w:eastAsia="zh-CN"/>
        </w:rPr>
      </w:pPr>
      <w:r>
        <w:rPr>
          <w:rFonts w:hint="eastAsia" w:ascii="宋体" w:hAnsi="宋体" w:cs="宋体"/>
          <w:sz w:val="21"/>
          <w:szCs w:val="21"/>
        </w:rPr>
        <w:t xml:space="preserve">本项最高得6分。</w:t>
      </w:r>
      <w:r/>
    </w:p>
    <w:p>
      <w:pPr>
        <w:ind w:left="0" w:firstLine="630"/>
        <w:spacing w:line="360" w:lineRule="auto"/>
        <w:widowControl w:val="off"/>
        <w:rPr>
          <w:rFonts w:hint="eastAsia" w:ascii="宋体" w:hAnsi="宋体" w:cs="宋体"/>
          <w:sz w:val="21"/>
          <w:szCs w:val="21"/>
          <w:lang w:eastAsia="zh-CN"/>
        </w:rPr>
      </w:pPr>
      <w:r>
        <w:rPr>
          <w:rFonts w:hint="eastAsia" w:ascii="宋体" w:hAnsi="宋体" w:cs="宋体"/>
          <w:sz w:val="21"/>
          <w:szCs w:val="21"/>
        </w:rPr>
        <w:t xml:space="preserve">2.苏州市交通运输应急指挥中心DLP大屏运维方案（12分）</w:t>
      </w:r>
      <w:r/>
    </w:p>
    <w:p>
      <w:pPr>
        <w:ind w:left="0" w:firstLine="630"/>
        <w:spacing w:line="360" w:lineRule="auto"/>
        <w:widowControl w:val="off"/>
        <w:rPr>
          <w:rFonts w:hint="eastAsia" w:ascii="宋体" w:hAnsi="宋体" w:cs="宋体"/>
          <w:sz w:val="21"/>
          <w:szCs w:val="21"/>
          <w:lang w:eastAsia="zh-CN"/>
        </w:rPr>
      </w:pPr>
      <w:r>
        <w:rPr>
          <w:rFonts w:hint="eastAsia" w:ascii="宋体" w:hAnsi="宋体" w:cs="宋体"/>
          <w:sz w:val="21"/>
          <w:szCs w:val="21"/>
        </w:rPr>
        <w:t xml:space="preserve">供应商应根据本项目特点制定DLP大屏运维方案，包括：</w:t>
      </w:r>
      <w:r/>
    </w:p>
    <w:p>
      <w:pPr>
        <w:ind w:left="0" w:firstLine="630"/>
        <w:spacing w:line="360" w:lineRule="auto"/>
        <w:widowControl w:val="off"/>
        <w:rPr>
          <w:rFonts w:hint="eastAsia" w:ascii="宋体" w:hAnsi="宋体" w:cs="宋体"/>
          <w:sz w:val="21"/>
          <w:szCs w:val="21"/>
          <w:lang w:eastAsia="zh-CN"/>
        </w:rPr>
      </w:pPr>
      <w:r>
        <w:rPr>
          <w:rFonts w:hint="eastAsia" w:ascii="宋体" w:hAnsi="宋体" w:cs="宋体"/>
          <w:sz w:val="21"/>
          <w:szCs w:val="21"/>
        </w:rPr>
        <w:t xml:space="preserve">（1）DLP大屏巡检方案；</w:t>
      </w:r>
      <w:r/>
    </w:p>
    <w:p>
      <w:pPr>
        <w:ind w:left="0" w:firstLine="630"/>
        <w:spacing w:line="360" w:lineRule="auto"/>
        <w:widowControl w:val="off"/>
        <w:rPr>
          <w:rFonts w:hint="eastAsia" w:ascii="宋体" w:hAnsi="宋体" w:cs="宋体"/>
          <w:sz w:val="21"/>
          <w:szCs w:val="21"/>
          <w:lang w:eastAsia="zh-CN"/>
        </w:rPr>
      </w:pPr>
      <w:r>
        <w:rPr>
          <w:rFonts w:hint="eastAsia" w:ascii="宋体" w:hAnsi="宋体" w:cs="宋体"/>
          <w:sz w:val="21"/>
          <w:szCs w:val="21"/>
        </w:rPr>
        <w:t xml:space="preserve">（2）DLP大屏维护方案；</w:t>
      </w:r>
      <w:r/>
    </w:p>
    <w:p>
      <w:pPr>
        <w:ind w:left="0" w:firstLine="630"/>
        <w:spacing w:line="360" w:lineRule="auto"/>
        <w:widowControl w:val="off"/>
        <w:rPr>
          <w:rFonts w:hint="eastAsia" w:ascii="宋体" w:hAnsi="宋体" w:cs="宋体"/>
          <w:sz w:val="21"/>
          <w:szCs w:val="21"/>
          <w:lang w:eastAsia="zh-CN"/>
        </w:rPr>
      </w:pPr>
      <w:r>
        <w:rPr>
          <w:rFonts w:hint="eastAsia" w:ascii="宋体" w:hAnsi="宋体" w:cs="宋体"/>
          <w:sz w:val="21"/>
          <w:szCs w:val="21"/>
        </w:rPr>
        <w:t xml:space="preserve">（3）DLP大屏故障处理方案。</w:t>
      </w:r>
      <w:r/>
    </w:p>
    <w:p>
      <w:pPr>
        <w:ind w:left="0" w:firstLine="630"/>
        <w:spacing w:line="360" w:lineRule="auto"/>
        <w:widowControl w:val="off"/>
        <w:rPr>
          <w:rFonts w:hint="eastAsia" w:ascii="宋体" w:hAnsi="宋体" w:cs="宋体"/>
          <w:sz w:val="21"/>
          <w:szCs w:val="21"/>
          <w:lang w:eastAsia="zh-CN"/>
        </w:rPr>
      </w:pPr>
      <w:r>
        <w:rPr>
          <w:rFonts w:hint="eastAsia" w:ascii="宋体" w:hAnsi="宋体" w:cs="宋体"/>
          <w:sz w:val="21"/>
          <w:szCs w:val="21"/>
        </w:rPr>
        <w:t xml:space="preserve">上述每项应逐条叙述。每项方案内容完整、条理清晰、具有针对性和可操作性的，得4分；内容具有一定合理性、可行性，但完整性或针对性一般的，得2分；内容与项目需求偏差较大、未作完整叙述或未提供的，不得分。</w:t>
      </w:r>
      <w:r/>
    </w:p>
    <w:p>
      <w:pPr>
        <w:ind w:left="0" w:firstLine="630"/>
        <w:spacing w:line="360" w:lineRule="auto"/>
        <w:widowControl w:val="off"/>
        <w:rPr>
          <w:rFonts w:hint="eastAsia" w:ascii="宋体" w:hAnsi="宋体" w:cs="宋体"/>
          <w:sz w:val="21"/>
          <w:szCs w:val="21"/>
          <w:lang w:eastAsia="zh-CN"/>
        </w:rPr>
      </w:pPr>
      <w:r>
        <w:rPr>
          <w:rFonts w:hint="eastAsia" w:ascii="宋体" w:hAnsi="宋体" w:cs="宋体"/>
          <w:sz w:val="21"/>
          <w:szCs w:val="21"/>
        </w:rPr>
        <w:t xml:space="preserve">本项最高得12分。</w:t>
      </w:r>
      <w:r/>
    </w:p>
    <w:p>
      <w:pPr>
        <w:ind w:left="0" w:firstLine="630"/>
        <w:spacing w:line="360" w:lineRule="auto"/>
        <w:widowControl w:val="off"/>
        <w:rPr>
          <w:rFonts w:hint="eastAsia" w:ascii="宋体" w:hAnsi="宋体" w:cs="宋体"/>
          <w:sz w:val="21"/>
          <w:szCs w:val="21"/>
          <w:lang w:eastAsia="zh-CN"/>
        </w:rPr>
      </w:pPr>
      <w:r>
        <w:rPr>
          <w:rFonts w:hint="eastAsia" w:ascii="宋体" w:hAnsi="宋体" w:cs="宋体"/>
          <w:sz w:val="21"/>
          <w:szCs w:val="21"/>
        </w:rPr>
        <w:t xml:space="preserve">3.苏州市交通运输应急指挥中心机房精密空调运维方案（12分）</w:t>
      </w:r>
      <w:r/>
    </w:p>
    <w:p>
      <w:pPr>
        <w:ind w:left="0" w:firstLine="630"/>
        <w:spacing w:line="360" w:lineRule="auto"/>
        <w:widowControl w:val="off"/>
        <w:rPr>
          <w:rFonts w:hint="eastAsia" w:ascii="宋体" w:hAnsi="宋体" w:cs="宋体"/>
          <w:sz w:val="21"/>
          <w:szCs w:val="21"/>
          <w:lang w:eastAsia="zh-CN"/>
        </w:rPr>
      </w:pPr>
      <w:r>
        <w:rPr>
          <w:rFonts w:hint="eastAsia" w:ascii="宋体" w:hAnsi="宋体" w:cs="宋体"/>
          <w:sz w:val="21"/>
          <w:szCs w:val="21"/>
        </w:rPr>
        <w:t xml:space="preserve">供应商应根据本项目特点制定机房精密空调运维方案，包括：</w:t>
      </w:r>
      <w:r/>
    </w:p>
    <w:p>
      <w:pPr>
        <w:ind w:left="0" w:firstLine="630"/>
        <w:spacing w:line="360" w:lineRule="auto"/>
        <w:widowControl w:val="off"/>
        <w:rPr>
          <w:rFonts w:hint="eastAsia" w:ascii="宋体" w:hAnsi="宋体" w:cs="宋体"/>
          <w:sz w:val="21"/>
          <w:szCs w:val="21"/>
          <w:lang w:eastAsia="zh-CN"/>
        </w:rPr>
      </w:pPr>
      <w:r>
        <w:rPr>
          <w:rFonts w:hint="eastAsia" w:ascii="宋体" w:hAnsi="宋体" w:cs="宋体"/>
          <w:sz w:val="21"/>
          <w:szCs w:val="21"/>
        </w:rPr>
        <w:t xml:space="preserve">（1）精密空调巡检方案；</w:t>
      </w:r>
      <w:r/>
    </w:p>
    <w:p>
      <w:pPr>
        <w:ind w:left="0" w:firstLine="630"/>
        <w:spacing w:line="360" w:lineRule="auto"/>
        <w:widowControl w:val="off"/>
        <w:rPr>
          <w:rFonts w:hint="eastAsia" w:ascii="宋体" w:hAnsi="宋体" w:cs="宋体"/>
          <w:sz w:val="21"/>
          <w:szCs w:val="21"/>
          <w:lang w:eastAsia="zh-CN"/>
        </w:rPr>
      </w:pPr>
      <w:r>
        <w:rPr>
          <w:rFonts w:hint="eastAsia" w:ascii="宋体" w:hAnsi="宋体" w:cs="宋体"/>
          <w:sz w:val="21"/>
          <w:szCs w:val="21"/>
        </w:rPr>
        <w:t xml:space="preserve">（2）精密空调维护方案；</w:t>
      </w:r>
      <w:r/>
    </w:p>
    <w:p>
      <w:pPr>
        <w:ind w:left="0" w:firstLine="630"/>
        <w:spacing w:line="360" w:lineRule="auto"/>
        <w:widowControl w:val="off"/>
        <w:rPr>
          <w:rFonts w:hint="eastAsia" w:ascii="宋体" w:hAnsi="宋体" w:cs="宋体"/>
          <w:sz w:val="21"/>
          <w:szCs w:val="21"/>
          <w:lang w:eastAsia="zh-CN"/>
        </w:rPr>
      </w:pPr>
      <w:r>
        <w:rPr>
          <w:rFonts w:hint="eastAsia" w:ascii="宋体" w:hAnsi="宋体" w:cs="宋体"/>
          <w:sz w:val="21"/>
          <w:szCs w:val="21"/>
        </w:rPr>
        <w:t xml:space="preserve">（3）精密空调故障处理方案。</w:t>
      </w:r>
      <w:r/>
    </w:p>
    <w:p>
      <w:pPr>
        <w:ind w:left="0" w:firstLine="630"/>
        <w:spacing w:line="360" w:lineRule="auto"/>
        <w:widowControl w:val="off"/>
        <w:rPr>
          <w:rFonts w:hint="eastAsia" w:ascii="宋体" w:hAnsi="宋体" w:cs="宋体"/>
          <w:sz w:val="21"/>
          <w:szCs w:val="21"/>
          <w:lang w:eastAsia="zh-CN"/>
        </w:rPr>
      </w:pPr>
      <w:r>
        <w:rPr>
          <w:rFonts w:hint="eastAsia" w:ascii="宋体" w:hAnsi="宋体" w:cs="宋体"/>
          <w:sz w:val="21"/>
          <w:szCs w:val="21"/>
        </w:rPr>
        <w:t xml:space="preserve">上述每项应逐条叙述。每项方案内容完整、条理清晰、具有针对性和可操作性的，得4分；内容具有一定合理性、可行性，但完整性或针对性一般的，得2分；内容与项目需求偏差较大、未作完整叙述或未提供的，不得分。</w:t>
      </w:r>
      <w:r/>
    </w:p>
    <w:p>
      <w:pPr>
        <w:ind w:left="0" w:firstLine="630"/>
        <w:spacing w:line="360" w:lineRule="auto"/>
        <w:widowControl w:val="off"/>
        <w:rPr>
          <w:rFonts w:hint="eastAsia" w:ascii="宋体" w:hAnsi="宋体" w:cs="宋体"/>
          <w:sz w:val="21"/>
          <w:szCs w:val="21"/>
          <w:lang w:eastAsia="zh-CN"/>
        </w:rPr>
      </w:pPr>
      <w:r>
        <w:rPr>
          <w:rFonts w:hint="eastAsia" w:ascii="宋体" w:hAnsi="宋体" w:cs="宋体"/>
          <w:sz w:val="21"/>
          <w:szCs w:val="21"/>
        </w:rPr>
        <w:t xml:space="preserve">本项最高得12分。</w:t>
      </w:r>
      <w:r/>
    </w:p>
    <w:p>
      <w:pPr>
        <w:ind w:left="0" w:firstLine="630"/>
        <w:spacing w:line="360" w:lineRule="auto"/>
        <w:widowControl w:val="off"/>
        <w:rPr>
          <w:rFonts w:hint="eastAsia" w:ascii="宋体" w:hAnsi="宋体" w:cs="宋体"/>
          <w:sz w:val="21"/>
          <w:szCs w:val="21"/>
          <w:lang w:eastAsia="zh-CN"/>
        </w:rPr>
      </w:pPr>
      <w:r>
        <w:rPr>
          <w:rFonts w:hint="eastAsia" w:ascii="宋体" w:hAnsi="宋体" w:cs="宋体"/>
          <w:sz w:val="21"/>
          <w:szCs w:val="21"/>
        </w:rPr>
        <w:t xml:space="preserve">4.苏州市交通运输应急指挥中心UPS主机运维方案（12分）</w:t>
      </w:r>
      <w:r/>
    </w:p>
    <w:p>
      <w:pPr>
        <w:ind w:left="0" w:firstLine="630"/>
        <w:spacing w:line="360" w:lineRule="auto"/>
        <w:widowControl w:val="off"/>
        <w:rPr>
          <w:rFonts w:hint="eastAsia" w:ascii="宋体" w:hAnsi="宋体" w:cs="宋体"/>
          <w:sz w:val="21"/>
          <w:szCs w:val="21"/>
          <w:lang w:eastAsia="zh-CN"/>
        </w:rPr>
      </w:pPr>
      <w:r>
        <w:rPr>
          <w:rFonts w:hint="eastAsia" w:ascii="宋体" w:hAnsi="宋体" w:cs="宋体"/>
          <w:sz w:val="21"/>
          <w:szCs w:val="21"/>
        </w:rPr>
        <w:t xml:space="preserve">供应商应根据本项目特点制定UPS主机运维方案，包括：</w:t>
      </w:r>
      <w:r/>
    </w:p>
    <w:p>
      <w:pPr>
        <w:ind w:left="0" w:firstLine="630"/>
        <w:spacing w:line="360" w:lineRule="auto"/>
        <w:widowControl w:val="off"/>
        <w:rPr>
          <w:rFonts w:hint="eastAsia" w:ascii="宋体" w:hAnsi="宋体" w:cs="宋体"/>
          <w:sz w:val="21"/>
          <w:szCs w:val="21"/>
          <w:lang w:eastAsia="zh-CN"/>
        </w:rPr>
      </w:pPr>
      <w:r>
        <w:rPr>
          <w:rFonts w:hint="eastAsia" w:ascii="宋体" w:hAnsi="宋体" w:cs="宋体"/>
          <w:sz w:val="21"/>
          <w:szCs w:val="21"/>
        </w:rPr>
        <w:t xml:space="preserve">（1）UPS主机巡检方案；</w:t>
      </w:r>
      <w:r/>
    </w:p>
    <w:p>
      <w:pPr>
        <w:ind w:left="0" w:firstLine="630"/>
        <w:spacing w:line="360" w:lineRule="auto"/>
        <w:widowControl w:val="off"/>
        <w:rPr>
          <w:rFonts w:hint="eastAsia" w:ascii="宋体" w:hAnsi="宋体" w:cs="宋体"/>
          <w:sz w:val="21"/>
          <w:szCs w:val="21"/>
          <w:lang w:eastAsia="zh-CN"/>
        </w:rPr>
      </w:pPr>
      <w:r>
        <w:rPr>
          <w:rFonts w:hint="eastAsia" w:ascii="宋体" w:hAnsi="宋体" w:cs="宋体"/>
          <w:sz w:val="21"/>
          <w:szCs w:val="21"/>
        </w:rPr>
        <w:t xml:space="preserve">（2）UPS主机维护方案；</w:t>
      </w:r>
      <w:r/>
    </w:p>
    <w:p>
      <w:pPr>
        <w:ind w:left="0" w:firstLine="630"/>
        <w:spacing w:line="360" w:lineRule="auto"/>
        <w:widowControl w:val="off"/>
        <w:rPr>
          <w:rFonts w:hint="eastAsia" w:ascii="宋体" w:hAnsi="宋体" w:cs="宋体"/>
          <w:sz w:val="21"/>
          <w:szCs w:val="21"/>
          <w:lang w:eastAsia="zh-CN"/>
        </w:rPr>
      </w:pPr>
      <w:r>
        <w:rPr>
          <w:rFonts w:hint="eastAsia" w:ascii="宋体" w:hAnsi="宋体" w:cs="宋体"/>
          <w:sz w:val="21"/>
          <w:szCs w:val="21"/>
        </w:rPr>
        <w:t xml:space="preserve">（3）UPS主机故障处理方案。</w:t>
      </w:r>
      <w:r/>
    </w:p>
    <w:p>
      <w:pPr>
        <w:ind w:left="0" w:firstLine="630"/>
        <w:spacing w:line="360" w:lineRule="auto"/>
        <w:widowControl w:val="off"/>
        <w:rPr>
          <w:rFonts w:hint="eastAsia" w:ascii="宋体" w:hAnsi="宋体" w:cs="宋体"/>
          <w:sz w:val="21"/>
          <w:szCs w:val="21"/>
          <w:lang w:eastAsia="zh-CN"/>
        </w:rPr>
      </w:pPr>
      <w:r>
        <w:rPr>
          <w:rFonts w:hint="eastAsia" w:ascii="宋体" w:hAnsi="宋体" w:cs="宋体"/>
          <w:sz w:val="21"/>
          <w:szCs w:val="21"/>
        </w:rPr>
        <w:t xml:space="preserve">上述每项应逐条叙述。每项方案内容完整、条理清晰、具有针对性和可操作性的，得4分；内容具有一定合理性、可行性，但完整性或针对性一般的，得2分；内容与项目需求偏差较大、未作完整叙述或未提供的，不得分。</w:t>
      </w:r>
      <w:r/>
    </w:p>
    <w:p>
      <w:pPr>
        <w:ind w:left="0" w:firstLine="630"/>
        <w:spacing w:line="360" w:lineRule="auto"/>
        <w:widowControl w:val="off"/>
        <w:rPr>
          <w:rFonts w:hint="eastAsia" w:ascii="宋体" w:hAnsi="宋体" w:cs="宋体"/>
          <w:sz w:val="21"/>
          <w:szCs w:val="21"/>
          <w:lang w:eastAsia="zh-CN"/>
        </w:rPr>
      </w:pPr>
      <w:r>
        <w:rPr>
          <w:rFonts w:hint="eastAsia" w:ascii="宋体" w:hAnsi="宋体" w:cs="宋体"/>
          <w:sz w:val="21"/>
          <w:szCs w:val="21"/>
        </w:rPr>
        <w:t xml:space="preserve">本项最高得12分。</w:t>
      </w:r>
      <w:r/>
    </w:p>
    <w:p>
      <w:pPr>
        <w:ind w:left="0" w:firstLine="630"/>
        <w:spacing w:line="360" w:lineRule="auto"/>
        <w:widowControl w:val="off"/>
        <w:rPr>
          <w:rFonts w:hint="eastAsia" w:ascii="宋体" w:hAnsi="宋体" w:cs="宋体"/>
          <w:sz w:val="21"/>
          <w:szCs w:val="21"/>
          <w:lang w:eastAsia="zh-CN"/>
        </w:rPr>
      </w:pPr>
      <w:r>
        <w:rPr>
          <w:rFonts w:hint="eastAsia" w:ascii="宋体" w:hAnsi="宋体" w:cs="宋体"/>
          <w:sz w:val="21"/>
          <w:szCs w:val="21"/>
        </w:rPr>
        <w:t xml:space="preserve">5.文档维护方案（6分）</w:t>
      </w:r>
      <w:r/>
    </w:p>
    <w:p>
      <w:pPr>
        <w:ind w:left="0" w:firstLine="630"/>
        <w:spacing w:line="360" w:lineRule="auto"/>
        <w:widowControl w:val="off"/>
        <w:rPr>
          <w:rFonts w:hint="eastAsia" w:ascii="宋体" w:hAnsi="宋体" w:cs="宋体"/>
          <w:sz w:val="21"/>
          <w:szCs w:val="21"/>
          <w:lang w:eastAsia="zh-CN"/>
        </w:rPr>
      </w:pPr>
      <w:r>
        <w:rPr>
          <w:rFonts w:hint="eastAsia" w:ascii="宋体" w:hAnsi="宋体" w:cs="宋体"/>
          <w:sz w:val="21"/>
          <w:szCs w:val="21"/>
        </w:rPr>
        <w:t xml:space="preserve">供应商应根据本项目特点制定文档维护方案，包括：</w:t>
      </w:r>
      <w:r/>
    </w:p>
    <w:p>
      <w:pPr>
        <w:ind w:left="0" w:firstLine="630"/>
        <w:spacing w:line="360" w:lineRule="auto"/>
        <w:widowControl w:val="off"/>
        <w:rPr>
          <w:rFonts w:hint="eastAsia" w:ascii="宋体" w:hAnsi="宋体" w:cs="宋体"/>
          <w:sz w:val="21"/>
          <w:szCs w:val="21"/>
          <w:lang w:eastAsia="zh-CN"/>
        </w:rPr>
      </w:pPr>
      <w:r>
        <w:rPr>
          <w:rFonts w:hint="eastAsia" w:ascii="宋体" w:hAnsi="宋体" w:cs="宋体"/>
          <w:sz w:val="21"/>
          <w:szCs w:val="21"/>
        </w:rPr>
        <w:t xml:space="preserve">（1）运维文档类型；</w:t>
      </w:r>
      <w:r/>
    </w:p>
    <w:p>
      <w:pPr>
        <w:ind w:left="0" w:firstLine="630"/>
        <w:spacing w:line="360" w:lineRule="auto"/>
        <w:widowControl w:val="off"/>
        <w:rPr>
          <w:rFonts w:hint="eastAsia" w:ascii="宋体" w:hAnsi="宋体" w:cs="宋体"/>
          <w:sz w:val="21"/>
          <w:szCs w:val="21"/>
          <w:lang w:eastAsia="zh-CN"/>
        </w:rPr>
      </w:pPr>
      <w:r>
        <w:rPr>
          <w:rFonts w:hint="eastAsia" w:ascii="宋体" w:hAnsi="宋体" w:cs="宋体"/>
          <w:sz w:val="21"/>
          <w:szCs w:val="21"/>
        </w:rPr>
        <w:t xml:space="preserve">（2）文档样式设计；</w:t>
      </w:r>
      <w:r/>
    </w:p>
    <w:p>
      <w:pPr>
        <w:ind w:left="0" w:firstLine="630"/>
        <w:spacing w:line="360" w:lineRule="auto"/>
        <w:widowControl w:val="off"/>
        <w:rPr>
          <w:rFonts w:hint="eastAsia" w:ascii="宋体" w:hAnsi="宋体" w:cs="宋体"/>
          <w:sz w:val="21"/>
          <w:szCs w:val="21"/>
          <w:lang w:eastAsia="zh-CN"/>
        </w:rPr>
      </w:pPr>
      <w:r>
        <w:rPr>
          <w:rFonts w:hint="eastAsia" w:ascii="宋体" w:hAnsi="宋体" w:cs="宋体"/>
          <w:sz w:val="21"/>
          <w:szCs w:val="21"/>
        </w:rPr>
        <w:t xml:space="preserve">（3）文档维护方式。</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上述每项应逐条叙述，方案内容完整，条理清晰，每项得</w:t>
      </w:r>
      <w:r>
        <w:rPr>
          <w:rFonts w:hint="eastAsia" w:ascii="宋体" w:hAnsi="宋体" w:cs="宋体"/>
          <w:sz w:val="21"/>
          <w:szCs w:val="21"/>
          <w:lang w:val="en-US" w:eastAsia="zh-CN"/>
        </w:rPr>
        <w:t xml:space="preserve">2</w:t>
      </w:r>
      <w:r>
        <w:rPr>
          <w:rFonts w:hint="eastAsia" w:ascii="宋体" w:hAnsi="宋体" w:cs="宋体"/>
          <w:sz w:val="21"/>
          <w:szCs w:val="21"/>
        </w:rPr>
        <w:t xml:space="preserve">分；内容有一定合理性、可行性的得</w:t>
      </w:r>
      <w:r>
        <w:rPr>
          <w:rFonts w:hint="eastAsia" w:ascii="宋体" w:hAnsi="宋体" w:cs="宋体"/>
          <w:sz w:val="21"/>
          <w:szCs w:val="21"/>
          <w:lang w:val="en-US" w:eastAsia="zh-CN"/>
        </w:rPr>
        <w:t xml:space="preserve">1</w:t>
      </w:r>
      <w:r>
        <w:rPr>
          <w:rFonts w:hint="eastAsia" w:ascii="宋体" w:hAnsi="宋体" w:cs="宋体"/>
          <w:sz w:val="21"/>
          <w:szCs w:val="21"/>
        </w:rPr>
        <w:t xml:space="preserve">分；每项叙述内容与需求偏差较大或未作完整叙述的，不得分；</w:t>
      </w:r>
      <w:r/>
    </w:p>
    <w:p>
      <w:pPr>
        <w:ind w:left="0" w:firstLine="630"/>
        <w:spacing w:line="360" w:lineRule="auto"/>
        <w:widowControl w:val="off"/>
        <w:rPr>
          <w:rFonts w:hint="eastAsia" w:ascii="宋体" w:hAnsi="宋体" w:cs="宋体"/>
          <w:sz w:val="21"/>
          <w:szCs w:val="21"/>
          <w:lang w:eastAsia="zh-CN"/>
        </w:rPr>
      </w:pPr>
      <w:r>
        <w:rPr>
          <w:rFonts w:hint="eastAsia" w:ascii="宋体" w:hAnsi="宋体" w:cs="宋体"/>
          <w:sz w:val="21"/>
          <w:szCs w:val="21"/>
        </w:rPr>
        <w:t xml:space="preserve">本项最高得6分。</w:t>
      </w:r>
      <w:r/>
    </w:p>
    <w:p>
      <w:pPr>
        <w:ind w:left="0" w:firstLine="630"/>
        <w:spacing w:line="360" w:lineRule="auto"/>
        <w:widowControl w:val="off"/>
        <w:rPr>
          <w:rFonts w:hint="eastAsia" w:ascii="宋体" w:hAnsi="宋体" w:cs="宋体"/>
          <w:sz w:val="21"/>
          <w:szCs w:val="21"/>
          <w:lang w:eastAsia="zh-CN"/>
        </w:rPr>
      </w:pPr>
      <w:r>
        <w:rPr>
          <w:rFonts w:hint="eastAsia" w:ascii="宋体" w:hAnsi="宋体" w:cs="宋体"/>
          <w:sz w:val="21"/>
          <w:szCs w:val="21"/>
        </w:rPr>
        <w:t xml:space="preserve">6.质量保障方案（6分）</w:t>
      </w:r>
      <w:r/>
    </w:p>
    <w:p>
      <w:pPr>
        <w:ind w:left="0" w:firstLine="630"/>
        <w:spacing w:line="360" w:lineRule="auto"/>
        <w:widowControl w:val="off"/>
        <w:rPr>
          <w:rFonts w:hint="eastAsia" w:ascii="宋体" w:hAnsi="宋体" w:cs="宋体"/>
          <w:sz w:val="21"/>
          <w:szCs w:val="21"/>
          <w:lang w:eastAsia="zh-CN"/>
        </w:rPr>
      </w:pPr>
      <w:r>
        <w:rPr>
          <w:rFonts w:hint="eastAsia" w:ascii="宋体" w:hAnsi="宋体" w:cs="宋体"/>
          <w:sz w:val="21"/>
          <w:szCs w:val="21"/>
        </w:rPr>
        <w:t xml:space="preserve">供应商应根据本项目特点制定质量保障方案，包括：</w:t>
      </w:r>
      <w:r/>
    </w:p>
    <w:p>
      <w:pPr>
        <w:ind w:left="0" w:firstLine="630"/>
        <w:spacing w:line="360" w:lineRule="auto"/>
        <w:widowControl w:val="off"/>
        <w:rPr>
          <w:rFonts w:hint="eastAsia" w:ascii="宋体" w:hAnsi="宋体" w:cs="宋体"/>
          <w:sz w:val="21"/>
          <w:szCs w:val="21"/>
          <w:lang w:eastAsia="zh-CN"/>
        </w:rPr>
      </w:pPr>
      <w:r>
        <w:rPr>
          <w:rFonts w:hint="eastAsia" w:ascii="宋体" w:hAnsi="宋体" w:cs="宋体"/>
          <w:sz w:val="21"/>
          <w:szCs w:val="21"/>
        </w:rPr>
        <w:t xml:space="preserve">（1）维护管理机制；</w:t>
      </w:r>
      <w:r/>
    </w:p>
    <w:p>
      <w:pPr>
        <w:ind w:left="0" w:firstLine="630"/>
        <w:spacing w:line="360" w:lineRule="auto"/>
        <w:widowControl w:val="off"/>
        <w:rPr>
          <w:rFonts w:hint="eastAsia" w:ascii="宋体" w:hAnsi="宋体" w:cs="宋体"/>
          <w:sz w:val="21"/>
          <w:szCs w:val="21"/>
          <w:lang w:eastAsia="zh-CN"/>
        </w:rPr>
      </w:pPr>
      <w:r>
        <w:rPr>
          <w:rFonts w:hint="eastAsia" w:ascii="宋体" w:hAnsi="宋体" w:cs="宋体"/>
          <w:sz w:val="21"/>
          <w:szCs w:val="21"/>
        </w:rPr>
        <w:t xml:space="preserve">（2）服务人员行为规范；</w:t>
      </w:r>
      <w:r/>
    </w:p>
    <w:p>
      <w:pPr>
        <w:ind w:left="0" w:firstLine="630"/>
        <w:spacing w:line="360" w:lineRule="auto"/>
        <w:widowControl w:val="off"/>
        <w:rPr>
          <w:rFonts w:hint="eastAsia" w:ascii="宋体" w:hAnsi="宋体" w:cs="宋体"/>
          <w:sz w:val="21"/>
          <w:szCs w:val="21"/>
          <w:lang w:eastAsia="zh-CN"/>
        </w:rPr>
      </w:pPr>
      <w:r>
        <w:rPr>
          <w:rFonts w:hint="eastAsia" w:ascii="宋体" w:hAnsi="宋体" w:cs="宋体"/>
          <w:sz w:val="21"/>
          <w:szCs w:val="21"/>
        </w:rPr>
        <w:t xml:space="preserve">（3）现场服务规范。</w:t>
      </w:r>
      <w:r/>
    </w:p>
    <w:p>
      <w:pPr>
        <w:ind w:left="0" w:firstLine="420"/>
        <w:spacing w:line="360" w:lineRule="auto"/>
        <w:rPr>
          <w:rFonts w:ascii="宋体" w:hAnsi="宋体" w:cs="宋体"/>
          <w:szCs w:val="21"/>
        </w:rPr>
      </w:pPr>
      <w:r>
        <w:rPr>
          <w:rFonts w:hint="eastAsia" w:ascii="宋体" w:hAnsi="宋体" w:cs="宋体"/>
          <w:sz w:val="21"/>
          <w:szCs w:val="21"/>
        </w:rPr>
        <w:t xml:space="preserve">上述每项应逐条叙述，</w:t>
      </w:r>
      <w:r>
        <w:rPr>
          <w:rFonts w:hint="eastAsia" w:ascii="宋体" w:hAnsi="宋体"/>
          <w:sz w:val="21"/>
        </w:rPr>
        <w:t xml:space="preserve">方案内容完整，条理清晰，每项得</w:t>
      </w:r>
      <w:r>
        <w:rPr>
          <w:rFonts w:hint="eastAsia" w:ascii="宋体" w:hAnsi="宋体" w:cs="宋体"/>
          <w:sz w:val="21"/>
          <w:szCs w:val="21"/>
          <w:lang w:val="en-US" w:eastAsia="zh-CN"/>
        </w:rPr>
        <w:t xml:space="preserve">2</w:t>
      </w:r>
      <w:r>
        <w:rPr>
          <w:rFonts w:hint="eastAsia" w:ascii="宋体" w:hAnsi="宋体" w:cs="宋体"/>
          <w:sz w:val="21"/>
          <w:szCs w:val="21"/>
        </w:rPr>
        <w:t xml:space="preserve">分；</w:t>
      </w:r>
      <w:r>
        <w:rPr>
          <w:rFonts w:hint="eastAsia" w:ascii="宋体" w:hAnsi="宋体"/>
          <w:sz w:val="21"/>
        </w:rPr>
        <w:t xml:space="preserve">内容有一定合理性、可行性的得</w:t>
      </w:r>
      <w:r>
        <w:rPr>
          <w:rFonts w:hint="eastAsia" w:ascii="宋体" w:hAnsi="宋体" w:cs="宋体"/>
          <w:sz w:val="21"/>
          <w:szCs w:val="21"/>
          <w:lang w:val="en-US" w:eastAsia="zh-CN"/>
        </w:rPr>
        <w:t xml:space="preserve">1</w:t>
      </w:r>
      <w:r>
        <w:rPr>
          <w:rFonts w:hint="eastAsia" w:ascii="宋体" w:hAnsi="宋体" w:cs="宋体"/>
          <w:sz w:val="21"/>
          <w:szCs w:val="21"/>
        </w:rPr>
        <w:t xml:space="preserve">分；</w:t>
      </w:r>
      <w:r>
        <w:rPr>
          <w:rFonts w:hint="eastAsia" w:ascii="宋体" w:hAnsi="宋体"/>
          <w:sz w:val="21"/>
        </w:rPr>
        <w:t xml:space="preserve">每项叙述内容与需求偏差较大或未作完整叙述的，不得分</w:t>
      </w:r>
      <w:r>
        <w:rPr>
          <w:rFonts w:hint="eastAsia" w:ascii="宋体" w:hAnsi="宋体" w:cs="宋体"/>
          <w:sz w:val="21"/>
          <w:szCs w:val="21"/>
        </w:rPr>
        <w:t xml:space="preserve">；</w:t>
      </w:r>
      <w:r/>
    </w:p>
    <w:p>
      <w:pPr>
        <w:ind w:left="0" w:firstLine="630"/>
        <w:spacing w:line="360" w:lineRule="auto"/>
        <w:widowControl w:val="off"/>
        <w:rPr>
          <w:rFonts w:hint="eastAsia" w:ascii="宋体" w:hAnsi="宋体" w:cs="宋体"/>
          <w:sz w:val="21"/>
          <w:szCs w:val="21"/>
          <w:lang w:eastAsia="zh-CN"/>
        </w:rPr>
      </w:pPr>
      <w:r>
        <w:rPr>
          <w:rFonts w:hint="eastAsia" w:ascii="宋体" w:hAnsi="宋体" w:cs="宋体"/>
          <w:sz w:val="21"/>
          <w:szCs w:val="21"/>
        </w:rPr>
        <w:t xml:space="preserve">本项最高得6分。</w:t>
      </w:r>
      <w:r/>
    </w:p>
    <w:p>
      <w:pPr>
        <w:ind w:left="0" w:firstLine="630"/>
        <w:spacing w:line="360" w:lineRule="auto"/>
        <w:widowControl w:val="off"/>
        <w:rPr>
          <w:rFonts w:hint="eastAsia" w:ascii="宋体" w:hAnsi="宋体" w:cs="宋体"/>
          <w:sz w:val="21"/>
          <w:szCs w:val="21"/>
          <w:lang w:eastAsia="zh-CN"/>
        </w:rPr>
      </w:pPr>
      <w:r>
        <w:rPr>
          <w:rFonts w:hint="eastAsia" w:ascii="宋体" w:hAnsi="宋体" w:cs="宋体"/>
          <w:sz w:val="21"/>
          <w:szCs w:val="21"/>
        </w:rPr>
        <w:t xml:space="preserve">7.应急保障措施（6分）</w:t>
      </w:r>
      <w:r/>
    </w:p>
    <w:p>
      <w:pPr>
        <w:ind w:left="0" w:firstLine="630"/>
        <w:spacing w:line="360" w:lineRule="auto"/>
        <w:widowControl w:val="off"/>
        <w:rPr>
          <w:rFonts w:hint="default" w:ascii="宋体" w:hAnsi="宋体" w:eastAsia="宋体" w:cs="宋体"/>
          <w:sz w:val="21"/>
          <w:szCs w:val="21"/>
          <w:lang w:val="en-US" w:eastAsia="zh-CN"/>
        </w:rPr>
      </w:pPr>
      <w:r>
        <w:rPr>
          <w:rFonts w:hint="eastAsia" w:ascii="宋体" w:hAnsi="宋体" w:cs="宋体"/>
          <w:sz w:val="21"/>
          <w:szCs w:val="21"/>
        </w:rPr>
        <w:t xml:space="preserve">供应商应结合本项目制定应急保障措施</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包括：</w:t>
      </w:r>
      <w:r/>
    </w:p>
    <w:p>
      <w:pPr>
        <w:numPr>
          <w:ilvl w:val="0"/>
          <w:numId w:val="3"/>
        </w:numPr>
        <w:ind w:left="0" w:firstLine="630"/>
        <w:spacing w:line="360" w:lineRule="auto"/>
        <w:widowControl w:val="off"/>
        <w:rPr>
          <w:rFonts w:hint="eastAsia" w:ascii="宋体" w:hAnsi="宋体" w:cs="宋体"/>
          <w:sz w:val="21"/>
          <w:szCs w:val="21"/>
        </w:rPr>
      </w:pPr>
      <w:r>
        <w:rPr>
          <w:rFonts w:hint="eastAsia" w:ascii="宋体" w:hAnsi="宋体" w:cs="宋体"/>
          <w:sz w:val="21"/>
          <w:szCs w:val="21"/>
        </w:rPr>
        <w:t xml:space="preserve">DLP大屏</w:t>
      </w:r>
      <w:r/>
    </w:p>
    <w:p>
      <w:pPr>
        <w:numPr>
          <w:ilvl w:val="0"/>
          <w:numId w:val="3"/>
        </w:numPr>
        <w:ind w:left="0" w:firstLine="630"/>
        <w:spacing w:line="360" w:lineRule="auto"/>
        <w:widowControl w:val="off"/>
        <w:rPr>
          <w:rFonts w:hint="eastAsia" w:ascii="宋体" w:hAnsi="宋体" w:cs="宋体"/>
          <w:sz w:val="21"/>
          <w:szCs w:val="21"/>
          <w:lang w:eastAsia="zh-CN"/>
        </w:rPr>
      </w:pPr>
      <w:r>
        <w:rPr>
          <w:rFonts w:hint="eastAsia" w:ascii="宋体" w:hAnsi="宋体" w:cs="宋体"/>
          <w:sz w:val="21"/>
          <w:szCs w:val="21"/>
        </w:rPr>
        <w:t xml:space="preserve">机房精密空调</w:t>
      </w:r>
      <w:r/>
    </w:p>
    <w:p>
      <w:pPr>
        <w:numPr>
          <w:ilvl w:val="0"/>
          <w:numId w:val="3"/>
        </w:numPr>
        <w:ind w:left="0" w:firstLine="630"/>
        <w:spacing w:line="360" w:lineRule="auto"/>
        <w:widowControl w:val="off"/>
        <w:rPr>
          <w:rFonts w:hint="eastAsia" w:ascii="宋体" w:hAnsi="宋体" w:cs="宋体"/>
          <w:sz w:val="21"/>
          <w:szCs w:val="21"/>
          <w:lang w:eastAsia="zh-CN"/>
        </w:rPr>
      </w:pPr>
      <w:r>
        <w:rPr>
          <w:rFonts w:hint="eastAsia" w:ascii="宋体" w:hAnsi="宋体" w:cs="宋体"/>
          <w:sz w:val="21"/>
          <w:szCs w:val="21"/>
        </w:rPr>
        <w:t xml:space="preserve">UPS主机</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结合本项目实际情况，</w:t>
      </w:r>
      <w:r>
        <w:rPr>
          <w:rFonts w:hint="eastAsia" w:ascii="宋体" w:hAnsi="宋体"/>
          <w:sz w:val="21"/>
        </w:rPr>
        <w:t xml:space="preserve">内容完整，条理清晰，每项得</w:t>
      </w:r>
      <w:r>
        <w:rPr>
          <w:rFonts w:hint="eastAsia" w:ascii="宋体" w:hAnsi="宋体" w:cs="宋体"/>
          <w:sz w:val="21"/>
          <w:szCs w:val="21"/>
          <w:lang w:val="en-US" w:eastAsia="zh-CN"/>
        </w:rPr>
        <w:t xml:space="preserve">2</w:t>
      </w:r>
      <w:r>
        <w:rPr>
          <w:rFonts w:hint="eastAsia" w:ascii="宋体" w:hAnsi="宋体" w:cs="宋体"/>
          <w:sz w:val="21"/>
          <w:szCs w:val="21"/>
        </w:rPr>
        <w:t xml:space="preserve">分；</w:t>
      </w:r>
      <w:r>
        <w:rPr>
          <w:rFonts w:hint="eastAsia" w:ascii="宋体" w:hAnsi="宋体"/>
          <w:sz w:val="21"/>
        </w:rPr>
        <w:t xml:space="preserve">内容有一定合理性、可行性的得</w:t>
      </w:r>
      <w:r>
        <w:rPr>
          <w:rFonts w:hint="eastAsia" w:ascii="宋体" w:hAnsi="宋体" w:cs="宋体"/>
          <w:sz w:val="21"/>
          <w:szCs w:val="21"/>
          <w:lang w:val="en-US" w:eastAsia="zh-CN"/>
        </w:rPr>
        <w:t xml:space="preserve">1</w:t>
      </w:r>
      <w:r>
        <w:rPr>
          <w:rFonts w:hint="eastAsia" w:ascii="宋体" w:hAnsi="宋体" w:cs="宋体"/>
          <w:sz w:val="21"/>
          <w:szCs w:val="21"/>
        </w:rPr>
        <w:t xml:space="preserve">分；</w:t>
      </w:r>
      <w:r>
        <w:rPr>
          <w:rFonts w:hint="eastAsia" w:ascii="宋体" w:hAnsi="宋体"/>
          <w:sz w:val="21"/>
        </w:rPr>
        <w:t xml:space="preserve">每项叙述内容与需求偏差较大或未作完整叙述的，不得分</w:t>
      </w:r>
      <w:r>
        <w:rPr>
          <w:rFonts w:hint="eastAsia" w:ascii="宋体" w:hAnsi="宋体" w:cs="宋体"/>
          <w:sz w:val="21"/>
          <w:szCs w:val="21"/>
        </w:rPr>
        <w:t xml:space="preserve">；</w:t>
      </w:r>
      <w:r/>
    </w:p>
    <w:p>
      <w:pPr>
        <w:ind w:left="0" w:firstLine="630"/>
        <w:spacing w:line="360" w:lineRule="auto"/>
        <w:widowControl w:val="off"/>
        <w:rPr>
          <w:rFonts w:hint="eastAsia" w:ascii="宋体" w:hAnsi="宋体" w:cs="宋体"/>
          <w:sz w:val="21"/>
          <w:szCs w:val="21"/>
          <w:lang w:eastAsia="zh-CN"/>
        </w:rPr>
      </w:pPr>
      <w:r>
        <w:rPr>
          <w:rFonts w:hint="eastAsia" w:ascii="宋体" w:hAnsi="宋体" w:cs="宋体"/>
          <w:sz w:val="21"/>
          <w:szCs w:val="21"/>
        </w:rPr>
        <w:t xml:space="preserve">本项最高得6分。</w:t>
      </w:r>
      <w:r/>
    </w:p>
    <w:p>
      <w:pPr>
        <w:ind w:left="0" w:firstLine="420"/>
        <w:spacing w:line="360" w:lineRule="auto"/>
        <w:widowControl w:val="off"/>
        <w:rPr>
          <w:rFonts w:ascii="宋体" w:hAnsi="宋体" w:cs="宋体"/>
          <w:sz w:val="21"/>
          <w:szCs w:val="21"/>
        </w:rPr>
      </w:pPr>
      <w:r>
        <w:rPr>
          <w:rFonts w:ascii="宋体" w:hAnsi="宋体" w:cs="宋体"/>
          <w:sz w:val="21"/>
          <w:szCs w:val="21"/>
        </w:rPr>
      </w:r>
      <w:r/>
    </w:p>
    <w:p>
      <w:pPr>
        <w:ind w:left="0" w:firstLine="420"/>
        <w:spacing w:line="360" w:lineRule="auto"/>
        <w:widowControl w:val="off"/>
        <w:rPr>
          <w:rFonts w:ascii="宋体" w:hAnsi="宋体"/>
          <w:b/>
          <w:bCs/>
          <w:sz w:val="21"/>
          <w:szCs w:val="21"/>
        </w:rPr>
      </w:pPr>
      <w:r>
        <w:rPr>
          <w:rFonts w:hint="eastAsia" w:ascii="宋体" w:hAnsi="宋体"/>
          <w:b/>
          <w:bCs/>
          <w:sz w:val="21"/>
          <w:szCs w:val="21"/>
        </w:rPr>
        <w:t xml:space="preserve">（三）项目团队人员（</w:t>
      </w:r>
      <w:r>
        <w:rPr>
          <w:rFonts w:hint="eastAsia" w:ascii="宋体" w:hAnsi="宋体"/>
          <w:b/>
          <w:bCs/>
          <w:sz w:val="21"/>
          <w:szCs w:val="21"/>
          <w:lang w:val="en-US" w:eastAsia="zh-CN"/>
        </w:rPr>
        <w:t xml:space="preserve">17</w:t>
      </w:r>
      <w:r>
        <w:rPr>
          <w:rFonts w:hint="eastAsia" w:ascii="宋体" w:hAnsi="宋体"/>
          <w:b/>
          <w:bCs/>
          <w:sz w:val="21"/>
          <w:szCs w:val="21"/>
        </w:rPr>
        <w:t xml:space="preserve">分）</w:t>
      </w:r>
      <w:r/>
    </w:p>
    <w:p>
      <w:pPr>
        <w:ind w:left="0" w:firstLine="630"/>
        <w:spacing w:line="360" w:lineRule="auto"/>
        <w:widowControl w:val="off"/>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w:t>
      </w:r>
      <w:r>
        <w:rPr>
          <w:rFonts w:hint="eastAsia" w:ascii="宋体" w:hAnsi="宋体"/>
          <w:sz w:val="21"/>
          <w:szCs w:val="21"/>
          <w:highlight w:val="none"/>
        </w:rPr>
        <w:t xml:space="preserve">项目</w:t>
      </w:r>
      <w:r>
        <w:rPr>
          <w:rFonts w:hint="eastAsia" w:ascii="宋体" w:hAnsi="宋体"/>
          <w:strike w:val="0"/>
          <w:sz w:val="21"/>
          <w:szCs w:val="21"/>
          <w:highlight w:val="none"/>
          <w:lang w:val="en-US" w:eastAsia="zh-CN"/>
        </w:rPr>
        <w:t xml:space="preserve">经理</w:t>
      </w:r>
      <w:r>
        <w:rPr>
          <w:rFonts w:hint="eastAsia" w:ascii="宋体" w:hAnsi="宋体"/>
          <w:sz w:val="21"/>
          <w:szCs w:val="21"/>
          <w:highlight w:val="none"/>
        </w:rPr>
        <w:t xml:space="preserve">（</w:t>
      </w:r>
      <w:r>
        <w:rPr>
          <w:rFonts w:hint="eastAsia" w:ascii="宋体" w:hAnsi="宋体"/>
          <w:sz w:val="21"/>
          <w:szCs w:val="21"/>
          <w:highlight w:val="none"/>
          <w:lang w:val="en-US" w:eastAsia="zh-CN"/>
        </w:rPr>
        <w:t xml:space="preserve">4</w:t>
      </w:r>
      <w:r>
        <w:rPr>
          <w:rFonts w:hint="eastAsia" w:ascii="宋体" w:hAnsi="宋体"/>
          <w:sz w:val="21"/>
          <w:szCs w:val="21"/>
          <w:highlight w:val="none"/>
        </w:rPr>
        <w:t xml:space="preserve">分）</w:t>
      </w:r>
      <w:r/>
    </w:p>
    <w:p>
      <w:pPr>
        <w:ind w:left="0" w:firstLine="630"/>
        <w:spacing w:line="360" w:lineRule="auto"/>
        <w:widowControl w:val="off"/>
        <w:rPr>
          <w:rFonts w:ascii="宋体" w:hAnsi="宋体" w:cs="宋体"/>
          <w:sz w:val="21"/>
          <w:szCs w:val="21"/>
          <w:highlight w:val="none"/>
        </w:rPr>
      </w:pPr>
      <w:r>
        <w:rPr>
          <w:rFonts w:hint="eastAsia" w:ascii="宋体" w:hAnsi="宋体" w:cs="宋体"/>
          <w:sz w:val="21"/>
          <w:szCs w:val="21"/>
        </w:rPr>
        <w:t xml:space="preserve">（1）</w:t>
      </w:r>
      <w:r>
        <w:rPr>
          <w:rFonts w:ascii="宋体" w:hAnsi="宋体" w:eastAsia="宋体"/>
          <w:b w:val="0"/>
          <w:sz w:val="21"/>
        </w:rPr>
        <w:t xml:space="preserve">具</w:t>
      </w:r>
      <w:r>
        <w:rPr>
          <w:rFonts w:ascii="宋体" w:hAnsi="宋体" w:eastAsia="宋体"/>
          <w:b w:val="0"/>
          <w:sz w:val="21"/>
          <w:highlight w:val="none"/>
        </w:rPr>
        <w:t xml:space="preserve">有</w:t>
      </w:r>
      <w:r>
        <w:rPr>
          <w:rFonts w:hint="eastAsia" w:ascii="宋体" w:hAnsi="宋体"/>
          <w:b w:val="0"/>
          <w:sz w:val="21"/>
          <w:highlight w:val="none"/>
          <w:lang w:val="en-US" w:eastAsia="zh-CN"/>
        </w:rPr>
        <w:t xml:space="preserve">信息与</w:t>
      </w:r>
      <w:r>
        <w:rPr>
          <w:rFonts w:ascii="宋体" w:hAnsi="宋体" w:eastAsia="宋体"/>
          <w:b w:val="0"/>
          <w:sz w:val="21"/>
          <w:highlight w:val="none"/>
        </w:rPr>
        <w:t xml:space="preserve">通信专业高级工程师</w:t>
      </w:r>
      <w:r>
        <w:rPr>
          <w:rFonts w:hint="eastAsia" w:ascii="宋体" w:hAnsi="宋体"/>
          <w:b w:val="0"/>
          <w:sz w:val="21"/>
          <w:highlight w:val="none"/>
          <w:lang w:val="en-US" w:eastAsia="zh-CN"/>
        </w:rPr>
        <w:t xml:space="preserve">及以上</w:t>
      </w:r>
      <w:r>
        <w:rPr>
          <w:rFonts w:ascii="宋体" w:hAnsi="宋体" w:eastAsia="宋体"/>
          <w:b w:val="0"/>
          <w:sz w:val="21"/>
          <w:highlight w:val="none"/>
        </w:rPr>
        <w:t xml:space="preserve">职称证书</w:t>
      </w:r>
      <w:r>
        <w:rPr>
          <w:rFonts w:hint="eastAsia" w:ascii="宋体" w:hAnsi="宋体"/>
          <w:b w:val="0"/>
          <w:sz w:val="21"/>
          <w:highlight w:val="none"/>
          <w:lang w:val="en-US" w:eastAsia="zh-CN"/>
        </w:rPr>
        <w:t xml:space="preserve">的</w:t>
      </w:r>
      <w:r>
        <w:rPr>
          <w:rFonts w:hint="eastAsia" w:ascii="宋体" w:hAnsi="宋体" w:cs="宋体"/>
          <w:sz w:val="21"/>
          <w:szCs w:val="21"/>
          <w:highlight w:val="none"/>
        </w:rPr>
        <w:t xml:space="preserve">，得2分；</w:t>
      </w:r>
      <w:r/>
    </w:p>
    <w:p>
      <w:pPr>
        <w:ind w:left="0" w:firstLine="630"/>
        <w:jc w:val="left"/>
        <w:spacing w:line="360" w:lineRule="auto"/>
        <w:widowControl w:val="off"/>
        <w:rPr>
          <w:strike w:val="0"/>
          <w:highlight w:val="none"/>
        </w:rPr>
      </w:pPr>
      <w:r>
        <w:rPr>
          <w:rFonts w:hint="eastAsia" w:ascii="宋体" w:hAnsi="宋体" w:cs="宋体"/>
          <w:sz w:val="21"/>
          <w:szCs w:val="21"/>
          <w:highlight w:val="none"/>
        </w:rPr>
        <w:t xml:space="preserve">（2）</w:t>
      </w:r>
      <w:r>
        <w:rPr>
          <w:rFonts w:hint="eastAsia" w:ascii="宋体" w:hAnsi="宋体" w:cs="宋体"/>
          <w:strike w:val="0"/>
          <w:sz w:val="21"/>
          <w:szCs w:val="21"/>
          <w:highlight w:val="none"/>
        </w:rPr>
        <w:t xml:space="preserve">具有IT服务项目经理</w:t>
      </w:r>
      <w:r>
        <w:rPr>
          <w:rFonts w:hint="eastAsia" w:ascii="宋体" w:hAnsi="宋体" w:cs="宋体"/>
          <w:strike w:val="0"/>
          <w:sz w:val="21"/>
          <w:szCs w:val="21"/>
          <w:highlight w:val="none"/>
          <w:lang w:val="en-US" w:eastAsia="zh-CN"/>
        </w:rPr>
        <w:t xml:space="preserve">或信息系统项目管理师</w:t>
      </w:r>
      <w:r>
        <w:rPr>
          <w:rFonts w:hint="eastAsia" w:ascii="宋体" w:hAnsi="宋体" w:cs="宋体"/>
          <w:strike w:val="0"/>
          <w:sz w:val="21"/>
          <w:szCs w:val="21"/>
          <w:highlight w:val="none"/>
        </w:rPr>
        <w:t xml:space="preserve">证书的，得</w:t>
      </w:r>
      <w:r>
        <w:rPr>
          <w:rFonts w:hint="eastAsia" w:ascii="宋体" w:hAnsi="宋体" w:cs="宋体"/>
          <w:strike w:val="0"/>
          <w:sz w:val="21"/>
          <w:szCs w:val="21"/>
          <w:highlight w:val="none"/>
          <w:lang w:val="en-US" w:eastAsia="zh-CN"/>
        </w:rPr>
        <w:t xml:space="preserve">2</w:t>
      </w:r>
      <w:r>
        <w:rPr>
          <w:rFonts w:hint="eastAsia" w:ascii="宋体" w:hAnsi="宋体" w:cs="宋体"/>
          <w:strike w:val="0"/>
          <w:sz w:val="21"/>
          <w:szCs w:val="21"/>
          <w:highlight w:val="none"/>
        </w:rPr>
        <w:t xml:space="preserve">分。</w:t>
      </w:r>
      <w:r/>
    </w:p>
    <w:p>
      <w:pPr>
        <w:ind w:left="0" w:firstLine="630"/>
        <w:spacing w:line="360" w:lineRule="auto"/>
        <w:widowControl w:val="off"/>
        <w:rPr>
          <w:rFonts w:ascii="宋体" w:hAnsi="宋体" w:cs="宋体"/>
          <w:sz w:val="21"/>
          <w:szCs w:val="21"/>
          <w:highlight w:val="none"/>
        </w:rPr>
      </w:pPr>
      <w:r>
        <w:rPr>
          <w:rFonts w:hint="eastAsia" w:ascii="宋体" w:hAnsi="宋体"/>
          <w:b/>
          <w:sz w:val="21"/>
          <w:szCs w:val="22"/>
          <w:highlight w:val="none"/>
        </w:rPr>
        <w:t xml:space="preserve">（</w:t>
      </w:r>
      <w:r>
        <w:rPr>
          <w:rFonts w:hint="eastAsia" w:ascii="宋体" w:hAnsi="宋体"/>
          <w:b/>
          <w:sz w:val="21"/>
          <w:szCs w:val="21"/>
          <w:highlight w:val="none"/>
        </w:rPr>
        <w:t xml:space="preserve">磋商</w:t>
      </w:r>
      <w:r>
        <w:rPr>
          <w:rFonts w:hint="eastAsia" w:ascii="宋体" w:hAnsi="宋体"/>
          <w:b/>
          <w:sz w:val="21"/>
          <w:szCs w:val="22"/>
          <w:highlight w:val="none"/>
        </w:rPr>
        <w:t xml:space="preserve">响应文件中须提供该人员</w:t>
      </w:r>
      <w:r>
        <w:rPr>
          <w:rFonts w:hint="eastAsia" w:ascii="宋体" w:hAnsi="宋体"/>
          <w:b/>
          <w:strike w:val="0"/>
          <w:sz w:val="21"/>
          <w:szCs w:val="22"/>
          <w:highlight w:val="none"/>
          <w:lang w:val="en-US" w:eastAsia="zh-CN"/>
        </w:rPr>
        <w:t xml:space="preserve">证书</w:t>
      </w:r>
      <w:r>
        <w:rPr>
          <w:rFonts w:hint="eastAsia" w:ascii="宋体" w:hAnsi="宋体"/>
          <w:b/>
          <w:sz w:val="21"/>
          <w:szCs w:val="22"/>
          <w:highlight w:val="none"/>
          <w:lang w:val="en-US" w:eastAsia="zh-CN"/>
        </w:rPr>
        <w:t xml:space="preserve">扫描件</w:t>
      </w:r>
      <w:r>
        <w:rPr>
          <w:rFonts w:hint="eastAsia" w:ascii="宋体" w:hAnsi="宋体"/>
          <w:b/>
          <w:sz w:val="21"/>
          <w:szCs w:val="22"/>
          <w:highlight w:val="none"/>
        </w:rPr>
        <w:t xml:space="preserve">以及</w:t>
      </w:r>
      <w:r>
        <w:rPr>
          <w:rFonts w:hint="eastAsia" w:ascii="宋体" w:hAnsi="宋体"/>
          <w:b/>
          <w:bCs/>
          <w:sz w:val="21"/>
          <w:szCs w:val="21"/>
          <w:highlight w:val="none"/>
        </w:rPr>
        <w:t xml:space="preserve">响应单位</w:t>
      </w:r>
      <w:r>
        <w:rPr>
          <w:rFonts w:hint="eastAsia" w:ascii="宋体" w:hAnsi="宋体"/>
          <w:b/>
          <w:sz w:val="21"/>
          <w:szCs w:val="22"/>
          <w:highlight w:val="none"/>
        </w:rPr>
        <w:t xml:space="preserve">为其缴纳的最近一期社保证明复印件并加盖</w:t>
      </w:r>
      <w:r>
        <w:rPr>
          <w:rFonts w:hint="eastAsia" w:ascii="宋体" w:hAnsi="宋体"/>
          <w:b/>
          <w:bCs/>
          <w:sz w:val="21"/>
          <w:szCs w:val="21"/>
          <w:highlight w:val="none"/>
        </w:rPr>
        <w:t xml:space="preserve">响应单位</w:t>
      </w:r>
      <w:r>
        <w:rPr>
          <w:rFonts w:hint="eastAsia" w:ascii="宋体" w:hAnsi="宋体"/>
          <w:b/>
          <w:sz w:val="21"/>
          <w:szCs w:val="22"/>
          <w:highlight w:val="none"/>
        </w:rPr>
        <w:t xml:space="preserve">公章，未</w:t>
      </w:r>
      <w:r>
        <w:rPr>
          <w:rFonts w:ascii="宋体" w:hAnsi="宋体"/>
          <w:b/>
          <w:sz w:val="21"/>
          <w:szCs w:val="22"/>
          <w:highlight w:val="none"/>
        </w:rPr>
        <w:t xml:space="preserve">提供不得分</w:t>
      </w:r>
      <w:r>
        <w:rPr>
          <w:rFonts w:hint="eastAsia" w:ascii="宋体" w:hAnsi="宋体"/>
          <w:b/>
          <w:sz w:val="21"/>
          <w:szCs w:val="22"/>
          <w:highlight w:val="none"/>
        </w:rPr>
        <w:t xml:space="preserve">。）</w:t>
      </w:r>
      <w:r/>
    </w:p>
    <w:p>
      <w:pPr>
        <w:ind w:left="0" w:firstLine="630"/>
        <w:spacing w:line="360" w:lineRule="auto"/>
        <w:widowControl w:val="off"/>
        <w:rPr>
          <w:rFonts w:ascii="宋体" w:hAnsi="宋体"/>
          <w:sz w:val="21"/>
          <w:szCs w:val="21"/>
          <w:highlight w:val="none"/>
        </w:rPr>
      </w:pPr>
      <w:r>
        <w:rPr>
          <w:rFonts w:ascii="宋体" w:hAnsi="宋体"/>
          <w:sz w:val="21"/>
          <w:szCs w:val="21"/>
          <w:highlight w:val="none"/>
        </w:rPr>
        <w:t xml:space="preserve">2.</w:t>
      </w:r>
      <w:r>
        <w:rPr>
          <w:rFonts w:hint="eastAsia" w:ascii="宋体" w:hAnsi="宋体"/>
          <w:sz w:val="21"/>
          <w:szCs w:val="21"/>
          <w:highlight w:val="none"/>
        </w:rPr>
        <w:t xml:space="preserve">技术负责人（</w:t>
      </w:r>
      <w:r>
        <w:rPr>
          <w:rFonts w:hint="eastAsia" w:ascii="宋体" w:hAnsi="宋体"/>
          <w:sz w:val="21"/>
          <w:szCs w:val="21"/>
          <w:highlight w:val="none"/>
          <w:lang w:val="en-US" w:eastAsia="zh-CN"/>
        </w:rPr>
        <w:t xml:space="preserve">3</w:t>
      </w:r>
      <w:r>
        <w:rPr>
          <w:rFonts w:hint="eastAsia" w:ascii="宋体" w:hAnsi="宋体"/>
          <w:sz w:val="21"/>
          <w:szCs w:val="21"/>
          <w:highlight w:val="none"/>
        </w:rPr>
        <w:t xml:space="preserve">分）</w:t>
      </w:r>
      <w:r/>
    </w:p>
    <w:p>
      <w:pPr>
        <w:ind w:left="0" w:firstLine="63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eastAsia="宋体"/>
          <w:b w:val="0"/>
          <w:sz w:val="21"/>
          <w:highlight w:val="none"/>
        </w:rPr>
        <w:t xml:space="preserve">具有</w:t>
      </w:r>
      <w:r>
        <w:rPr>
          <w:rFonts w:hint="eastAsia" w:ascii="宋体" w:hAnsi="宋体"/>
          <w:b w:val="0"/>
          <w:sz w:val="21"/>
          <w:highlight w:val="none"/>
          <w:lang w:val="en-US" w:eastAsia="zh-CN"/>
        </w:rPr>
        <w:t xml:space="preserve">电气自动化专业或</w:t>
      </w:r>
      <w:r>
        <w:rPr>
          <w:rFonts w:hint="eastAsia" w:ascii="宋体" w:hAnsi="宋体"/>
          <w:sz w:val="21"/>
          <w:szCs w:val="21"/>
          <w:highlight w:val="none"/>
          <w:lang w:val="en-US" w:eastAsia="zh-CN"/>
        </w:rPr>
        <w:t xml:space="preserve">机电工程</w:t>
      </w:r>
      <w:r>
        <w:rPr>
          <w:rFonts w:hint="eastAsia" w:ascii="宋体" w:hAnsi="宋体"/>
          <w:b w:val="0"/>
          <w:sz w:val="21"/>
          <w:highlight w:val="none"/>
          <w:lang w:val="en-US" w:eastAsia="zh-CN"/>
        </w:rPr>
        <w:t xml:space="preserve">中级工程师及以上证书</w:t>
      </w:r>
      <w:r>
        <w:rPr>
          <w:rFonts w:ascii="宋体" w:hAnsi="宋体" w:eastAsia="宋体"/>
          <w:b w:val="0"/>
          <w:sz w:val="21"/>
          <w:highlight w:val="none"/>
        </w:rPr>
        <w:t xml:space="preserve">，得</w:t>
      </w:r>
      <w:r>
        <w:rPr>
          <w:rFonts w:hint="eastAsia" w:ascii="宋体" w:hAnsi="宋体"/>
          <w:b w:val="0"/>
          <w:sz w:val="21"/>
          <w:highlight w:val="none"/>
          <w:lang w:val="en-US" w:eastAsia="zh-CN"/>
        </w:rPr>
        <w:t xml:space="preserve">1.5</w:t>
      </w:r>
      <w:r>
        <w:rPr>
          <w:rFonts w:ascii="宋体" w:hAnsi="宋体" w:eastAsia="宋体"/>
          <w:b w:val="0"/>
          <w:sz w:val="21"/>
          <w:highlight w:val="none"/>
        </w:rPr>
        <w:t xml:space="preserve">分</w:t>
      </w:r>
      <w:r>
        <w:rPr>
          <w:rFonts w:hint="eastAsia" w:ascii="宋体" w:hAnsi="宋体" w:cs="宋体"/>
          <w:sz w:val="21"/>
          <w:szCs w:val="21"/>
          <w:highlight w:val="none"/>
        </w:rPr>
        <w:t xml:space="preserve">；</w:t>
      </w:r>
      <w:r/>
    </w:p>
    <w:p>
      <w:pPr>
        <w:ind w:left="0" w:firstLine="630"/>
        <w:spacing w:line="360" w:lineRule="auto"/>
        <w:widowControl w:val="off"/>
        <w:rPr>
          <w:rFonts w:hint="eastAsia" w:ascii="宋体" w:hAnsi="宋体" w:eastAsia="宋体" w:cs="宋体"/>
          <w:sz w:val="21"/>
          <w:szCs w:val="21"/>
          <w:highlight w:val="none"/>
          <w:lang w:val="en-US" w:eastAsia="zh-CN"/>
        </w:rPr>
      </w:pPr>
      <w:r>
        <w:rPr>
          <w:rFonts w:hint="eastAsia" w:ascii="宋体" w:hAnsi="宋体" w:cs="宋体"/>
          <w:sz w:val="21"/>
          <w:szCs w:val="21"/>
          <w:highlight w:val="none"/>
        </w:rPr>
        <w:t xml:space="preserve">（2）</w:t>
      </w:r>
      <w:r>
        <w:rPr>
          <w:rFonts w:ascii="宋体" w:hAnsi="宋体" w:eastAsia="宋体"/>
          <w:b w:val="0"/>
          <w:sz w:val="21"/>
          <w:highlight w:val="none"/>
        </w:rPr>
        <w:t xml:space="preserve">具有信息系统项目管理师</w:t>
      </w:r>
      <w:r>
        <w:rPr>
          <w:rFonts w:hint="eastAsia" w:ascii="宋体" w:hAnsi="宋体"/>
          <w:b w:val="0"/>
          <w:sz w:val="21"/>
          <w:highlight w:val="none"/>
          <w:lang w:val="en-US" w:eastAsia="zh-CN"/>
        </w:rPr>
        <w:t xml:space="preserve">或网络规划设计师专业</w:t>
      </w:r>
      <w:r>
        <w:rPr>
          <w:rFonts w:ascii="宋体" w:hAnsi="宋体" w:eastAsia="宋体"/>
          <w:b w:val="0"/>
          <w:sz w:val="21"/>
          <w:highlight w:val="none"/>
        </w:rPr>
        <w:t xml:space="preserve">证书的，得</w:t>
      </w:r>
      <w:r>
        <w:rPr>
          <w:rFonts w:hint="eastAsia" w:ascii="宋体" w:hAnsi="宋体"/>
          <w:b w:val="0"/>
          <w:sz w:val="21"/>
          <w:highlight w:val="none"/>
          <w:lang w:val="en-US" w:eastAsia="zh-CN"/>
        </w:rPr>
        <w:t xml:space="preserve">1.5</w:t>
      </w:r>
      <w:r>
        <w:rPr>
          <w:rFonts w:ascii="宋体" w:hAnsi="宋体" w:eastAsia="宋体"/>
          <w:b w:val="0"/>
          <w:sz w:val="21"/>
          <w:highlight w:val="none"/>
        </w:rPr>
        <w:t xml:space="preserve">分</w:t>
      </w:r>
      <w:r>
        <w:rPr>
          <w:rFonts w:hint="eastAsia" w:ascii="宋体" w:hAnsi="宋体"/>
          <w:b w:val="0"/>
          <w:sz w:val="21"/>
          <w:highlight w:val="none"/>
          <w:lang w:val="en-US" w:eastAsia="zh-CN"/>
        </w:rPr>
        <w:t xml:space="preserve">.</w:t>
      </w:r>
      <w:r/>
    </w:p>
    <w:p>
      <w:pPr>
        <w:ind w:left="0" w:firstLine="630"/>
        <w:spacing w:line="360" w:lineRule="auto"/>
        <w:widowControl w:val="off"/>
        <w:rPr>
          <w:rFonts w:ascii="宋体" w:hAnsi="宋体" w:cs="宋体"/>
          <w:sz w:val="21"/>
          <w:szCs w:val="21"/>
        </w:rPr>
      </w:pPr>
      <w:r>
        <w:rPr>
          <w:rFonts w:hint="eastAsia" w:ascii="宋体" w:hAnsi="宋体"/>
          <w:b/>
          <w:sz w:val="21"/>
          <w:szCs w:val="22"/>
          <w:highlight w:val="none"/>
        </w:rPr>
        <w:t xml:space="preserve">（</w:t>
      </w:r>
      <w:r>
        <w:rPr>
          <w:rFonts w:hint="eastAsia" w:ascii="宋体" w:hAnsi="宋体"/>
          <w:b/>
          <w:sz w:val="21"/>
          <w:szCs w:val="21"/>
          <w:highlight w:val="none"/>
        </w:rPr>
        <w:t xml:space="preserve">磋商</w:t>
      </w:r>
      <w:r>
        <w:rPr>
          <w:rFonts w:hint="eastAsia" w:ascii="宋体" w:hAnsi="宋体"/>
          <w:b/>
          <w:sz w:val="21"/>
          <w:szCs w:val="22"/>
          <w:highlight w:val="none"/>
        </w:rPr>
        <w:t xml:space="preserve">响应文件中须提供该人员</w:t>
      </w:r>
      <w:r>
        <w:rPr>
          <w:rFonts w:hint="eastAsia" w:ascii="宋体" w:hAnsi="宋体"/>
          <w:b/>
          <w:strike w:val="0"/>
          <w:sz w:val="21"/>
          <w:szCs w:val="22"/>
          <w:highlight w:val="none"/>
          <w:lang w:val="en-US" w:eastAsia="zh-CN"/>
        </w:rPr>
        <w:t xml:space="preserve">证书</w:t>
      </w:r>
      <w:r>
        <w:rPr>
          <w:rFonts w:hint="eastAsia" w:ascii="宋体" w:hAnsi="宋体"/>
          <w:b/>
          <w:sz w:val="21"/>
          <w:szCs w:val="22"/>
          <w:highlight w:val="none"/>
          <w:lang w:val="en-US" w:eastAsia="zh-CN"/>
        </w:rPr>
        <w:t xml:space="preserve">扫描件</w:t>
      </w:r>
      <w:r>
        <w:rPr>
          <w:rFonts w:hint="eastAsia" w:ascii="宋体" w:hAnsi="宋体"/>
          <w:b/>
          <w:sz w:val="21"/>
          <w:szCs w:val="22"/>
          <w:highlight w:val="none"/>
        </w:rPr>
        <w:t xml:space="preserve">以及</w:t>
      </w:r>
      <w:r>
        <w:rPr>
          <w:rFonts w:hint="eastAsia" w:ascii="宋体" w:hAnsi="宋体"/>
          <w:b/>
          <w:bCs/>
          <w:sz w:val="21"/>
          <w:szCs w:val="21"/>
          <w:highlight w:val="none"/>
        </w:rPr>
        <w:t xml:space="preserve">响应单</w:t>
      </w:r>
      <w:r>
        <w:rPr>
          <w:rFonts w:hint="eastAsia" w:ascii="宋体" w:hAnsi="宋体"/>
          <w:b/>
          <w:bCs/>
          <w:sz w:val="21"/>
          <w:szCs w:val="21"/>
        </w:rPr>
        <w:t xml:space="preserve">位</w:t>
      </w:r>
      <w:r>
        <w:rPr>
          <w:rFonts w:hint="eastAsia" w:ascii="宋体" w:hAnsi="宋体"/>
          <w:b/>
          <w:sz w:val="21"/>
          <w:szCs w:val="22"/>
        </w:rPr>
        <w:t xml:space="preserve">为其缴纳的最近一期社保证明复印件并加盖</w:t>
      </w:r>
      <w:r>
        <w:rPr>
          <w:rFonts w:hint="eastAsia" w:ascii="宋体" w:hAnsi="宋体"/>
          <w:b/>
          <w:bCs/>
          <w:sz w:val="21"/>
          <w:szCs w:val="21"/>
        </w:rPr>
        <w:t xml:space="preserve">响应单位</w:t>
      </w:r>
      <w:r>
        <w:rPr>
          <w:rFonts w:hint="eastAsia" w:ascii="宋体" w:hAnsi="宋体"/>
          <w:b/>
          <w:sz w:val="21"/>
          <w:szCs w:val="22"/>
        </w:rPr>
        <w:t xml:space="preserve">公章，未</w:t>
      </w:r>
      <w:r>
        <w:rPr>
          <w:rFonts w:ascii="宋体" w:hAnsi="宋体"/>
          <w:b/>
          <w:sz w:val="21"/>
          <w:szCs w:val="22"/>
        </w:rPr>
        <w:t xml:space="preserve">提供不得分</w:t>
      </w:r>
      <w:r>
        <w:rPr>
          <w:rFonts w:hint="eastAsia" w:ascii="宋体" w:hAnsi="宋体"/>
          <w:b/>
          <w:sz w:val="21"/>
          <w:szCs w:val="22"/>
        </w:rPr>
        <w:t xml:space="preserve">。）</w:t>
      </w:r>
      <w:r/>
    </w:p>
    <w:p>
      <w:pPr>
        <w:ind w:left="0" w:firstLine="630"/>
        <w:spacing w:line="360" w:lineRule="auto"/>
        <w:widowControl w:val="off"/>
        <w:rPr>
          <w:rFonts w:hint="eastAsia" w:ascii="宋体" w:hAnsi="宋体"/>
          <w:b w:val="0"/>
          <w:sz w:val="21"/>
          <w:highlight w:val="none"/>
          <w:lang w:val="en-US" w:eastAsia="zh-CN"/>
        </w:rPr>
      </w:pPr>
      <w:r>
        <w:rPr>
          <w:rFonts w:hint="eastAsia" w:ascii="宋体" w:hAnsi="宋体"/>
          <w:b w:val="0"/>
          <w:sz w:val="21"/>
          <w:highlight w:val="none"/>
          <w:lang w:val="en-US" w:eastAsia="zh-CN"/>
        </w:rPr>
        <w:t xml:space="preserve">3.项目运维负责人（2分）</w:t>
      </w:r>
      <w:r/>
    </w:p>
    <w:p>
      <w:pPr>
        <w:ind w:left="0" w:firstLine="630"/>
        <w:spacing w:line="360" w:lineRule="auto"/>
        <w:widowControl w:val="off"/>
        <w:rPr>
          <w:rFonts w:hint="eastAsia" w:ascii="宋体" w:hAnsi="宋体"/>
          <w:b w:val="0"/>
          <w:sz w:val="21"/>
          <w:highlight w:val="none"/>
          <w:lang w:val="en-US" w:eastAsia="zh-CN"/>
        </w:rPr>
      </w:pPr>
      <w:r>
        <w:rPr>
          <w:rFonts w:hint="eastAsia" w:ascii="宋体" w:hAnsi="宋体"/>
          <w:b w:val="0"/>
          <w:sz w:val="21"/>
          <w:highlight w:val="none"/>
          <w:lang w:val="en-US" w:eastAsia="zh-CN"/>
        </w:rPr>
        <w:t xml:space="preserve">具有机电工程或通信类中级及以上职称证书或具有信息系统项目管理师证书，得2分。</w:t>
      </w:r>
      <w:r/>
    </w:p>
    <w:p>
      <w:pPr>
        <w:ind w:firstLine="632"/>
        <w:jc w:val="left"/>
        <w:spacing w:line="360" w:lineRule="auto"/>
        <w:widowControl w:val="off"/>
        <w:rPr>
          <w:rFonts w:ascii="宋体" w:hAnsi="宋体" w:cs="宋体"/>
          <w:sz w:val="21"/>
          <w:szCs w:val="21"/>
        </w:rPr>
      </w:pPr>
      <w:r>
        <w:rPr>
          <w:rFonts w:hint="eastAsia" w:ascii="宋体" w:hAnsi="宋体"/>
          <w:b/>
          <w:sz w:val="21"/>
          <w:szCs w:val="22"/>
        </w:rPr>
        <w:t xml:space="preserve">（</w:t>
      </w:r>
      <w:r>
        <w:rPr>
          <w:rFonts w:hint="eastAsia" w:ascii="宋体" w:hAnsi="宋体"/>
          <w:b/>
          <w:sz w:val="21"/>
          <w:szCs w:val="21"/>
        </w:rPr>
        <w:t xml:space="preserve">磋商</w:t>
      </w:r>
      <w:r>
        <w:rPr>
          <w:rFonts w:hint="eastAsia" w:ascii="宋体" w:hAnsi="宋体"/>
          <w:b/>
          <w:sz w:val="21"/>
          <w:szCs w:val="22"/>
        </w:rPr>
        <w:t xml:space="preserve">响应文件中须提供该人员</w:t>
      </w:r>
      <w:r>
        <w:rPr>
          <w:rFonts w:hint="eastAsia" w:ascii="宋体" w:hAnsi="宋体"/>
          <w:b/>
          <w:strike w:val="0"/>
          <w:sz w:val="21"/>
          <w:szCs w:val="22"/>
          <w:lang w:val="en-US" w:eastAsia="zh-CN"/>
        </w:rPr>
        <w:t xml:space="preserve">证书</w:t>
      </w:r>
      <w:r>
        <w:rPr>
          <w:rFonts w:hint="eastAsia" w:ascii="宋体" w:hAnsi="宋体"/>
          <w:b/>
          <w:sz w:val="21"/>
          <w:szCs w:val="22"/>
          <w:lang w:val="en-US" w:eastAsia="zh-CN"/>
        </w:rPr>
        <w:t xml:space="preserve">扫描件</w:t>
      </w:r>
      <w:r>
        <w:rPr>
          <w:rFonts w:hint="eastAsia" w:ascii="宋体" w:hAnsi="宋体"/>
          <w:b/>
          <w:sz w:val="21"/>
          <w:szCs w:val="22"/>
        </w:rPr>
        <w:t xml:space="preserve">以及</w:t>
      </w:r>
      <w:r>
        <w:rPr>
          <w:rFonts w:hint="eastAsia" w:ascii="宋体" w:hAnsi="宋体"/>
          <w:b/>
          <w:bCs/>
          <w:sz w:val="21"/>
          <w:szCs w:val="21"/>
        </w:rPr>
        <w:t xml:space="preserve">响应单位</w:t>
      </w:r>
      <w:r>
        <w:rPr>
          <w:rFonts w:hint="eastAsia" w:ascii="宋体" w:hAnsi="宋体"/>
          <w:b/>
          <w:sz w:val="21"/>
          <w:szCs w:val="22"/>
        </w:rPr>
        <w:t xml:space="preserve">为其缴纳的最近一期社保证明复印件并加盖</w:t>
      </w:r>
      <w:r>
        <w:rPr>
          <w:rFonts w:hint="eastAsia" w:ascii="宋体" w:hAnsi="宋体"/>
          <w:b/>
          <w:bCs/>
          <w:sz w:val="21"/>
          <w:szCs w:val="21"/>
        </w:rPr>
        <w:t xml:space="preserve">响应单位</w:t>
      </w:r>
      <w:r>
        <w:rPr>
          <w:rFonts w:hint="eastAsia" w:ascii="宋体" w:hAnsi="宋体"/>
          <w:b/>
          <w:sz w:val="21"/>
          <w:szCs w:val="22"/>
        </w:rPr>
        <w:t xml:space="preserve">公章，未</w:t>
      </w:r>
      <w:r>
        <w:rPr>
          <w:rFonts w:ascii="宋体" w:hAnsi="宋体"/>
          <w:b/>
          <w:sz w:val="21"/>
          <w:szCs w:val="22"/>
        </w:rPr>
        <w:t xml:space="preserve">提供不得分</w:t>
      </w:r>
      <w:r>
        <w:rPr>
          <w:rFonts w:hint="eastAsia" w:ascii="宋体" w:hAnsi="宋体"/>
          <w:b/>
          <w:sz w:val="21"/>
          <w:szCs w:val="22"/>
        </w:rPr>
        <w:t xml:space="preserve">。）</w:t>
      </w:r>
      <w:r/>
    </w:p>
    <w:p>
      <w:pPr>
        <w:ind w:left="0" w:firstLine="630"/>
        <w:spacing w:line="360" w:lineRule="auto"/>
        <w:widowControl w:val="off"/>
        <w:rPr>
          <w:rFonts w:ascii="宋体" w:hAnsi="宋体" w:eastAsia="宋体"/>
          <w:b w:val="0"/>
          <w:sz w:val="21"/>
        </w:rPr>
      </w:pPr>
      <w:r>
        <w:rPr>
          <w:rFonts w:ascii="宋体" w:hAnsi="宋体" w:eastAsia="宋体"/>
          <w:b w:val="0"/>
          <w:sz w:val="21"/>
        </w:rPr>
        <w:t xml:space="preserve">4.维护团队成员（</w:t>
      </w:r>
      <w:r>
        <w:rPr>
          <w:rFonts w:hint="eastAsia" w:ascii="宋体" w:hAnsi="宋体"/>
          <w:b w:val="0"/>
          <w:sz w:val="21"/>
          <w:lang w:val="en-US" w:eastAsia="zh-CN"/>
        </w:rPr>
        <w:t xml:space="preserve">8</w:t>
      </w:r>
      <w:r>
        <w:rPr>
          <w:rFonts w:ascii="宋体" w:hAnsi="宋体" w:eastAsia="宋体"/>
          <w:b w:val="0"/>
          <w:sz w:val="21"/>
        </w:rPr>
        <w:t xml:space="preserve">分）</w:t>
      </w:r>
      <w:r/>
    </w:p>
    <w:p>
      <w:pPr>
        <w:ind w:left="0" w:firstLine="630"/>
        <w:spacing w:line="360" w:lineRule="auto"/>
        <w:widowControl w:val="off"/>
        <w:rPr>
          <w:rFonts w:hint="eastAsia" w:ascii="宋体" w:hAnsi="宋体"/>
          <w:b w:val="0"/>
          <w:sz w:val="21"/>
          <w:highlight w:val="none"/>
          <w:lang w:val="en-US" w:eastAsia="zh-CN"/>
        </w:rPr>
      </w:pPr>
      <w:r>
        <w:rPr>
          <w:rFonts w:ascii="宋体" w:hAnsi="宋体" w:eastAsia="宋体"/>
          <w:b w:val="0"/>
          <w:sz w:val="21"/>
          <w:highlight w:val="none"/>
        </w:rPr>
        <w:t xml:space="preserve">（1）</w:t>
      </w:r>
      <w:r>
        <w:rPr>
          <w:rFonts w:hint="eastAsia" w:ascii="宋体" w:hAnsi="宋体"/>
          <w:b w:val="0"/>
          <w:sz w:val="21"/>
          <w:highlight w:val="none"/>
          <w:lang w:val="en-US" w:eastAsia="zh-CN"/>
        </w:rPr>
        <w:t xml:space="preserve">维护团队中具有电子信息类工程师</w:t>
      </w:r>
      <w:r>
        <w:rPr>
          <w:rFonts w:ascii="宋体" w:hAnsi="宋体" w:eastAsia="宋体"/>
          <w:b w:val="0"/>
          <w:sz w:val="21"/>
          <w:highlight w:val="none"/>
        </w:rPr>
        <w:t xml:space="preserve">或电气工程师证书</w:t>
      </w:r>
      <w:r>
        <w:rPr>
          <w:rFonts w:hint="eastAsia" w:ascii="宋体" w:hAnsi="宋体"/>
          <w:b w:val="0"/>
          <w:sz w:val="21"/>
          <w:highlight w:val="none"/>
          <w:lang w:val="en-US" w:eastAsia="zh-CN"/>
        </w:rPr>
        <w:t xml:space="preserve">的人员，每有1人得1分，最高得2分。</w:t>
      </w:r>
      <w:r/>
    </w:p>
    <w:p>
      <w:pPr>
        <w:ind w:left="0" w:firstLine="630"/>
        <w:spacing w:line="360" w:lineRule="auto"/>
        <w:widowControl w:val="off"/>
        <w:rPr>
          <w:rFonts w:ascii="宋体" w:hAnsi="宋体" w:cs="宋体"/>
          <w:sz w:val="21"/>
          <w:szCs w:val="21"/>
          <w:highlight w:val="none"/>
        </w:rPr>
      </w:pPr>
      <w:r>
        <w:rPr>
          <w:rFonts w:hint="eastAsia" w:ascii="宋体" w:hAnsi="宋体"/>
          <w:b w:val="0"/>
          <w:sz w:val="21"/>
          <w:highlight w:val="none"/>
          <w:lang w:val="en-US" w:eastAsia="zh-CN"/>
        </w:rPr>
        <w:t xml:space="preserve">（2）维护团队中具有机电或通信类</w:t>
      </w:r>
      <w:bookmarkStart w:id="39" w:name="OLE_LINK1"/>
      <w:r>
        <w:rPr>
          <w:rFonts w:hint="eastAsia" w:ascii="宋体" w:hAnsi="宋体"/>
          <w:b w:val="0"/>
          <w:sz w:val="21"/>
          <w:highlight w:val="none"/>
          <w:lang w:val="en-US" w:eastAsia="zh-CN"/>
        </w:rPr>
        <w:t xml:space="preserve">工程师的人员，每有1人得1分，最高得2分。</w:t>
      </w:r>
      <w:bookmarkEnd w:id="39"/>
      <w:r/>
      <w:r/>
    </w:p>
    <w:p>
      <w:pPr>
        <w:ind w:left="0" w:firstLine="630"/>
        <w:spacing w:line="360" w:lineRule="auto"/>
        <w:widowControl w:val="off"/>
        <w:rPr>
          <w:rFonts w:ascii="宋体" w:hAnsi="宋体" w:cs="宋体"/>
          <w:sz w:val="21"/>
          <w:szCs w:val="21"/>
          <w:highlight w:val="none"/>
        </w:rPr>
      </w:pPr>
      <w:r>
        <w:rPr>
          <w:rFonts w:ascii="宋体" w:hAnsi="宋体" w:eastAsia="宋体"/>
          <w:b w:val="0"/>
          <w:sz w:val="21"/>
          <w:highlight w:val="none"/>
        </w:rPr>
        <w:t xml:space="preserve">（</w:t>
      </w:r>
      <w:r>
        <w:rPr>
          <w:rFonts w:hint="eastAsia" w:ascii="宋体" w:hAnsi="宋体"/>
          <w:b w:val="0"/>
          <w:sz w:val="21"/>
          <w:highlight w:val="none"/>
          <w:lang w:val="en-US" w:eastAsia="zh-CN"/>
        </w:rPr>
        <w:t xml:space="preserve">3</w:t>
      </w:r>
      <w:r>
        <w:rPr>
          <w:rFonts w:ascii="宋体" w:hAnsi="宋体" w:eastAsia="宋体"/>
          <w:b w:val="0"/>
          <w:sz w:val="21"/>
          <w:highlight w:val="none"/>
        </w:rPr>
        <w:t xml:space="preserve">）维护团队中具有信息安全工程师证书或网络工程师证书的人员</w:t>
      </w:r>
      <w:r>
        <w:rPr>
          <w:rFonts w:hint="eastAsia" w:ascii="宋体" w:hAnsi="宋体"/>
          <w:b w:val="0"/>
          <w:sz w:val="21"/>
          <w:highlight w:val="none"/>
          <w:lang w:eastAsia="zh-CN"/>
        </w:rPr>
        <w:t xml:space="preserve">，</w:t>
      </w:r>
      <w:r>
        <w:rPr>
          <w:rFonts w:hint="eastAsia" w:ascii="宋体" w:hAnsi="宋体"/>
          <w:b w:val="0"/>
          <w:sz w:val="21"/>
          <w:highlight w:val="none"/>
          <w:lang w:val="en-US" w:eastAsia="zh-CN"/>
        </w:rPr>
        <w:t xml:space="preserve">每有1人得1分，最高得2分</w:t>
      </w:r>
      <w:r>
        <w:rPr>
          <w:rFonts w:ascii="宋体" w:hAnsi="宋体" w:eastAsia="宋体"/>
          <w:b w:val="0"/>
          <w:sz w:val="21"/>
          <w:highlight w:val="none"/>
        </w:rPr>
        <w:t xml:space="preserve">。</w:t>
      </w:r>
      <w:r/>
    </w:p>
    <w:p>
      <w:pPr>
        <w:ind w:left="0" w:firstLine="630"/>
        <w:spacing w:line="360" w:lineRule="auto"/>
        <w:widowControl w:val="off"/>
        <w:rPr>
          <w:rFonts w:ascii="宋体" w:hAnsi="宋体" w:cs="宋体"/>
          <w:sz w:val="21"/>
          <w:szCs w:val="21"/>
          <w:highlight w:val="none"/>
        </w:rPr>
      </w:pPr>
      <w:r>
        <w:rPr>
          <w:rFonts w:ascii="宋体" w:hAnsi="宋体" w:eastAsia="宋体"/>
          <w:b w:val="0"/>
          <w:sz w:val="21"/>
          <w:highlight w:val="none"/>
        </w:rPr>
        <w:t xml:space="preserve">（</w:t>
      </w:r>
      <w:r>
        <w:rPr>
          <w:rFonts w:hint="eastAsia" w:ascii="宋体" w:hAnsi="宋体"/>
          <w:b w:val="0"/>
          <w:sz w:val="21"/>
          <w:highlight w:val="none"/>
          <w:lang w:val="en-US" w:eastAsia="zh-CN"/>
        </w:rPr>
        <w:t xml:space="preserve">4</w:t>
      </w:r>
      <w:r>
        <w:rPr>
          <w:rFonts w:ascii="宋体" w:hAnsi="宋体" w:eastAsia="宋体"/>
          <w:b w:val="0"/>
          <w:sz w:val="21"/>
          <w:highlight w:val="none"/>
        </w:rPr>
        <w:t xml:space="preserve">）维护团队中具有</w:t>
      </w:r>
      <w:r>
        <w:rPr>
          <w:rFonts w:hint="eastAsia" w:ascii="宋体" w:hAnsi="宋体"/>
          <w:b w:val="0"/>
          <w:sz w:val="21"/>
          <w:highlight w:val="none"/>
          <w:lang w:val="en-US" w:eastAsia="zh-CN"/>
        </w:rPr>
        <w:t xml:space="preserve">信息系统项目管理师</w:t>
      </w:r>
      <w:r>
        <w:rPr>
          <w:rFonts w:ascii="宋体" w:hAnsi="宋体" w:eastAsia="宋体"/>
          <w:b w:val="0"/>
          <w:sz w:val="21"/>
          <w:highlight w:val="none"/>
        </w:rPr>
        <w:t xml:space="preserve">证书或系统集成项目管理工程师证书</w:t>
      </w:r>
      <w:r>
        <w:rPr>
          <w:rFonts w:hint="eastAsia" w:ascii="宋体" w:hAnsi="宋体"/>
          <w:b w:val="0"/>
          <w:sz w:val="21"/>
          <w:highlight w:val="none"/>
          <w:lang w:val="en-US" w:eastAsia="zh-CN"/>
        </w:rPr>
        <w:t xml:space="preserve">或注册信息安全工程师</w:t>
      </w:r>
      <w:r>
        <w:rPr>
          <w:rFonts w:ascii="宋体" w:hAnsi="宋体" w:eastAsia="宋体"/>
          <w:b w:val="0"/>
          <w:sz w:val="21"/>
          <w:highlight w:val="none"/>
        </w:rPr>
        <w:t xml:space="preserve">的人员</w:t>
      </w:r>
      <w:r>
        <w:rPr>
          <w:rFonts w:hint="eastAsia" w:ascii="宋体" w:hAnsi="宋体"/>
          <w:b w:val="0"/>
          <w:sz w:val="21"/>
          <w:highlight w:val="none"/>
          <w:lang w:eastAsia="zh-CN"/>
        </w:rPr>
        <w:t xml:space="preserve">，</w:t>
      </w:r>
      <w:r>
        <w:rPr>
          <w:rFonts w:hint="eastAsia" w:ascii="宋体" w:hAnsi="宋体"/>
          <w:b w:val="0"/>
          <w:sz w:val="21"/>
          <w:highlight w:val="none"/>
          <w:lang w:val="en-US" w:eastAsia="zh-CN"/>
        </w:rPr>
        <w:t xml:space="preserve">每有1人得1分，最高得2分</w:t>
      </w:r>
      <w:r>
        <w:rPr>
          <w:rFonts w:ascii="宋体" w:hAnsi="宋体" w:eastAsia="宋体"/>
          <w:b w:val="0"/>
          <w:sz w:val="21"/>
          <w:highlight w:val="none"/>
        </w:rPr>
        <w:t xml:space="preserve">。</w:t>
      </w:r>
      <w:r/>
    </w:p>
    <w:p>
      <w:pPr>
        <w:ind w:left="0" w:firstLine="630"/>
        <w:spacing w:line="360" w:lineRule="auto"/>
        <w:widowControl w:val="off"/>
        <w:rPr>
          <w:rFonts w:ascii="宋体" w:hAnsi="宋体" w:cs="宋体"/>
          <w:sz w:val="21"/>
          <w:szCs w:val="21"/>
        </w:rPr>
      </w:pPr>
      <w:r>
        <w:rPr>
          <w:rFonts w:ascii="宋体" w:hAnsi="宋体" w:eastAsia="宋体"/>
          <w:b/>
          <w:sz w:val="21"/>
        </w:rPr>
        <w:t xml:space="preserve">（维护团队成员不含项目经理、技术负责人和项目运维负责人。</w:t>
      </w:r>
      <w:r>
        <w:rPr>
          <w:rFonts w:hint="eastAsia" w:ascii="宋体" w:hAnsi="宋体"/>
          <w:b/>
          <w:sz w:val="21"/>
          <w:szCs w:val="21"/>
        </w:rPr>
        <w:t xml:space="preserve">磋商</w:t>
      </w:r>
      <w:r>
        <w:rPr>
          <w:rFonts w:hint="eastAsia" w:ascii="宋体" w:hAnsi="宋体"/>
          <w:b/>
          <w:sz w:val="21"/>
          <w:szCs w:val="22"/>
        </w:rPr>
        <w:t xml:space="preserve">响应文件中须提供该人员</w:t>
      </w:r>
      <w:r>
        <w:rPr>
          <w:rFonts w:hint="eastAsia" w:ascii="宋体" w:hAnsi="宋体"/>
          <w:b/>
          <w:strike w:val="0"/>
          <w:sz w:val="21"/>
          <w:szCs w:val="22"/>
          <w:lang w:val="en-US" w:eastAsia="zh-CN"/>
        </w:rPr>
        <w:t xml:space="preserve">证书</w:t>
      </w:r>
      <w:r>
        <w:rPr>
          <w:rFonts w:hint="eastAsia" w:ascii="宋体" w:hAnsi="宋体"/>
          <w:b/>
          <w:sz w:val="21"/>
          <w:szCs w:val="22"/>
          <w:lang w:val="en-US" w:eastAsia="zh-CN"/>
        </w:rPr>
        <w:t xml:space="preserve">扫描件</w:t>
      </w:r>
      <w:r>
        <w:rPr>
          <w:rFonts w:hint="eastAsia" w:ascii="宋体" w:hAnsi="宋体"/>
          <w:b/>
          <w:sz w:val="21"/>
          <w:szCs w:val="22"/>
        </w:rPr>
        <w:t xml:space="preserve">以及</w:t>
      </w:r>
      <w:r>
        <w:rPr>
          <w:rFonts w:hint="eastAsia" w:ascii="宋体" w:hAnsi="宋体"/>
          <w:b/>
          <w:bCs/>
          <w:sz w:val="21"/>
          <w:szCs w:val="21"/>
        </w:rPr>
        <w:t xml:space="preserve">响应单位</w:t>
      </w:r>
      <w:r>
        <w:rPr>
          <w:rFonts w:hint="eastAsia" w:ascii="宋体" w:hAnsi="宋体"/>
          <w:b/>
          <w:sz w:val="21"/>
          <w:szCs w:val="22"/>
        </w:rPr>
        <w:t xml:space="preserve">为其缴纳的最近一期社保证明复印件并加盖</w:t>
      </w:r>
      <w:r>
        <w:rPr>
          <w:rFonts w:hint="eastAsia" w:ascii="宋体" w:hAnsi="宋体"/>
          <w:b/>
          <w:bCs/>
          <w:sz w:val="21"/>
          <w:szCs w:val="21"/>
        </w:rPr>
        <w:t xml:space="preserve">响应单位</w:t>
      </w:r>
      <w:r>
        <w:rPr>
          <w:rFonts w:hint="eastAsia" w:ascii="宋体" w:hAnsi="宋体"/>
          <w:b/>
          <w:sz w:val="21"/>
          <w:szCs w:val="22"/>
        </w:rPr>
        <w:t xml:space="preserve">公章，未</w:t>
      </w:r>
      <w:r>
        <w:rPr>
          <w:rFonts w:ascii="宋体" w:hAnsi="宋体"/>
          <w:b/>
          <w:sz w:val="21"/>
          <w:szCs w:val="22"/>
        </w:rPr>
        <w:t xml:space="preserve">提供不得分</w:t>
      </w:r>
      <w:r>
        <w:rPr>
          <w:rFonts w:hint="eastAsia" w:ascii="宋体" w:hAnsi="宋体"/>
          <w:b/>
          <w:sz w:val="21"/>
          <w:szCs w:val="22"/>
        </w:rPr>
        <w:t xml:space="preserve">。）</w:t>
      </w:r>
      <w:r/>
    </w:p>
    <w:p>
      <w:pPr>
        <w:ind w:left="0" w:firstLine="630"/>
        <w:spacing w:line="360" w:lineRule="auto"/>
        <w:widowControl w:val="off"/>
        <w:rPr>
          <w:rFonts w:ascii="宋体" w:hAnsi="宋体" w:cs="宋体"/>
          <w:sz w:val="21"/>
          <w:szCs w:val="21"/>
        </w:rPr>
      </w:pPr>
      <w:r>
        <w:rPr>
          <w:rFonts w:hint="eastAsia" w:ascii="宋体" w:hAnsi="宋体"/>
          <w:b/>
          <w:sz w:val="21"/>
          <w:lang w:val="en-US" w:eastAsia="zh-CN"/>
        </w:rPr>
        <w:t xml:space="preserve">注：</w:t>
      </w:r>
      <w:r>
        <w:rPr>
          <w:rFonts w:ascii="宋体" w:hAnsi="宋体" w:eastAsia="宋体"/>
          <w:b/>
          <w:sz w:val="21"/>
        </w:rPr>
        <w:t xml:space="preserve">项目经理、技术负责人和项目运维负责人不得相互兼任。同一人员的同一证书不得在不同岗位或者不同评分子</w:t>
      </w:r>
      <w:r>
        <w:rPr>
          <w:rFonts w:ascii="宋体" w:hAnsi="宋体" w:eastAsia="宋体"/>
          <w:b/>
          <w:sz w:val="21"/>
          <w:highlight w:val="none"/>
        </w:rPr>
        <w:t xml:space="preserve">项</w:t>
      </w:r>
      <w:bookmarkStart w:id="40" w:name="_GoBack"/>
      <w:r/>
      <w:bookmarkEnd w:id="40"/>
      <w:r>
        <w:rPr>
          <w:rFonts w:ascii="宋体" w:hAnsi="宋体" w:eastAsia="宋体"/>
          <w:b/>
          <w:sz w:val="21"/>
          <w:highlight w:val="none"/>
        </w:rPr>
        <w:t xml:space="preserve">中重复计分。</w:t>
      </w:r>
      <w:r/>
    </w:p>
    <w:p>
      <w:pPr>
        <w:ind w:left="0" w:firstLine="422"/>
        <w:spacing w:line="360" w:lineRule="auto"/>
        <w:widowControl w:val="off"/>
        <w:rPr>
          <w:rFonts w:ascii="宋体" w:hAnsi="宋体"/>
          <w:b/>
          <w:sz w:val="21"/>
          <w:szCs w:val="21"/>
          <w:highlight w:val="none"/>
        </w:rPr>
      </w:pPr>
      <w:r>
        <w:rPr>
          <w:rFonts w:hint="eastAsia" w:ascii="宋体" w:hAnsi="宋体"/>
          <w:b/>
          <w:bCs/>
          <w:sz w:val="21"/>
          <w:szCs w:val="22"/>
        </w:rPr>
        <w:t xml:space="preserve">（四）响应单位履约能力</w:t>
      </w:r>
      <w:r>
        <w:rPr>
          <w:rFonts w:hint="eastAsia" w:ascii="宋体" w:hAnsi="宋体"/>
          <w:b/>
          <w:sz w:val="21"/>
          <w:szCs w:val="21"/>
          <w:highlight w:val="none"/>
        </w:rPr>
        <w:t xml:space="preserve">（</w:t>
      </w:r>
      <w:r>
        <w:rPr>
          <w:rFonts w:hint="eastAsia" w:ascii="宋体" w:hAnsi="宋体"/>
          <w:b/>
          <w:sz w:val="21"/>
          <w:szCs w:val="21"/>
          <w:highlight w:val="none"/>
          <w:lang w:val="en-US" w:eastAsia="zh-CN"/>
        </w:rPr>
        <w:t xml:space="preserve">7</w:t>
      </w:r>
      <w:r>
        <w:rPr>
          <w:rFonts w:hint="eastAsia" w:ascii="宋体" w:hAnsi="宋体"/>
          <w:b/>
          <w:sz w:val="21"/>
          <w:szCs w:val="21"/>
          <w:highlight w:val="none"/>
        </w:rPr>
        <w:t xml:space="preserve">分）</w:t>
      </w:r>
      <w:r/>
    </w:p>
    <w:p>
      <w:pPr>
        <w:ind w:left="0" w:firstLine="422"/>
        <w:spacing w:line="360" w:lineRule="auto"/>
        <w:widowControl w:val="off"/>
        <w:rPr>
          <w:rFonts w:ascii="宋体" w:hAnsi="宋体"/>
          <w:b/>
          <w:sz w:val="21"/>
          <w:szCs w:val="21"/>
          <w:highlight w:val="none"/>
        </w:rPr>
      </w:pPr>
      <w:r>
        <w:rPr>
          <w:rFonts w:ascii="宋体" w:hAnsi="宋体" w:eastAsia="宋体"/>
          <w:b w:val="0"/>
          <w:sz w:val="21"/>
          <w:highlight w:val="none"/>
        </w:rPr>
        <w:t xml:space="preserve">1.响应单位具有有效的质量管理体系认证证书</w:t>
      </w:r>
      <w:r>
        <w:rPr>
          <w:rFonts w:hint="eastAsia" w:ascii="宋体" w:hAnsi="宋体"/>
          <w:b w:val="0"/>
          <w:sz w:val="21"/>
          <w:highlight w:val="none"/>
          <w:lang w:eastAsia="zh-CN"/>
        </w:rPr>
        <w:t xml:space="preserve">、</w:t>
      </w:r>
      <w:r>
        <w:rPr>
          <w:rFonts w:ascii="宋体" w:hAnsi="宋体" w:eastAsia="宋体"/>
          <w:b w:val="0"/>
          <w:sz w:val="21"/>
          <w:highlight w:val="none"/>
        </w:rPr>
        <w:t xml:space="preserve">环境管理体系认证证书</w:t>
      </w:r>
      <w:r>
        <w:rPr>
          <w:rFonts w:hint="eastAsia" w:ascii="宋体" w:hAnsi="宋体"/>
          <w:b w:val="0"/>
          <w:sz w:val="21"/>
          <w:highlight w:val="none"/>
          <w:lang w:eastAsia="zh-CN"/>
        </w:rPr>
        <w:t xml:space="preserve">、</w:t>
      </w:r>
      <w:r>
        <w:rPr>
          <w:rFonts w:ascii="宋体" w:hAnsi="宋体" w:eastAsia="宋体"/>
          <w:b w:val="0"/>
          <w:sz w:val="21"/>
          <w:highlight w:val="none"/>
        </w:rPr>
        <w:t xml:space="preserve">职业健康安全管理体系认证证书</w:t>
      </w:r>
      <w:r>
        <w:rPr>
          <w:rFonts w:hint="eastAsia" w:ascii="宋体" w:hAnsi="宋体"/>
          <w:b w:val="0"/>
          <w:sz w:val="21"/>
          <w:highlight w:val="none"/>
          <w:lang w:eastAsia="zh-CN"/>
        </w:rPr>
        <w:t xml:space="preserve">、</w:t>
      </w:r>
      <w:r>
        <w:rPr>
          <w:rFonts w:ascii="宋体" w:hAnsi="宋体" w:eastAsia="宋体"/>
          <w:b w:val="0"/>
          <w:sz w:val="21"/>
          <w:highlight w:val="none"/>
        </w:rPr>
        <w:t xml:space="preserve">信息安全管理体系认证证书</w:t>
      </w:r>
      <w:r>
        <w:rPr>
          <w:rFonts w:hint="eastAsia" w:ascii="宋体" w:hAnsi="宋体"/>
          <w:b w:val="0"/>
          <w:sz w:val="21"/>
          <w:highlight w:val="none"/>
          <w:lang w:eastAsia="zh-CN"/>
        </w:rPr>
        <w:t xml:space="preserve">、</w:t>
      </w:r>
      <w:r>
        <w:rPr>
          <w:rFonts w:ascii="宋体" w:hAnsi="宋体" w:eastAsia="宋体"/>
          <w:b w:val="0"/>
          <w:sz w:val="21"/>
          <w:highlight w:val="none"/>
        </w:rPr>
        <w:t xml:space="preserve">信息技术服务管理体系认证证书，</w:t>
      </w:r>
      <w:r>
        <w:rPr>
          <w:rFonts w:hint="eastAsia" w:ascii="宋体" w:hAnsi="宋体"/>
          <w:sz w:val="21"/>
          <w:szCs w:val="21"/>
          <w:highlight w:val="none"/>
        </w:rPr>
        <w:t xml:space="preserve">每具有一项得</w:t>
      </w:r>
      <w:r>
        <w:rPr>
          <w:rFonts w:ascii="宋体" w:hAnsi="宋体"/>
          <w:sz w:val="21"/>
          <w:szCs w:val="21"/>
          <w:highlight w:val="none"/>
        </w:rPr>
        <w:t xml:space="preserve">1</w:t>
      </w:r>
      <w:r>
        <w:rPr>
          <w:rFonts w:hint="eastAsia" w:ascii="宋体" w:hAnsi="宋体"/>
          <w:sz w:val="21"/>
          <w:szCs w:val="21"/>
          <w:highlight w:val="none"/>
        </w:rPr>
        <w:t xml:space="preserve">分，最高得</w:t>
      </w:r>
      <w:r>
        <w:rPr>
          <w:rFonts w:ascii="宋体" w:hAnsi="宋体"/>
          <w:sz w:val="21"/>
          <w:szCs w:val="21"/>
          <w:highlight w:val="none"/>
        </w:rPr>
        <w:t xml:space="preserve">5</w:t>
      </w:r>
      <w:r>
        <w:rPr>
          <w:rFonts w:hint="eastAsia" w:ascii="宋体" w:hAnsi="宋体"/>
          <w:sz w:val="21"/>
          <w:szCs w:val="21"/>
          <w:highlight w:val="none"/>
        </w:rPr>
        <w:t xml:space="preserve">分</w:t>
      </w:r>
      <w:r/>
    </w:p>
    <w:p>
      <w:pPr>
        <w:ind w:left="0" w:firstLine="420"/>
        <w:spacing w:line="360" w:lineRule="auto"/>
        <w:widowControl w:val="off"/>
        <w:rPr>
          <w:rFonts w:ascii="宋体" w:hAnsi="宋体"/>
          <w:sz w:val="21"/>
          <w:szCs w:val="21"/>
          <w:highlight w:val="none"/>
        </w:rPr>
      </w:pPr>
      <w:r>
        <w:rPr>
          <w:rFonts w:hint="eastAsia" w:ascii="宋体" w:hAnsi="宋体"/>
          <w:b w:val="0"/>
          <w:sz w:val="21"/>
          <w:lang w:val="en-US" w:eastAsia="zh-CN"/>
        </w:rPr>
        <w:t xml:space="preserve">2</w:t>
      </w:r>
      <w:r>
        <w:rPr>
          <w:rFonts w:ascii="宋体" w:hAnsi="宋体" w:eastAsia="宋体"/>
          <w:b w:val="0"/>
          <w:sz w:val="21"/>
        </w:rPr>
        <w:t xml:space="preserve">.响应单位具有有效的ITSS三级及以上证</w:t>
      </w:r>
      <w:r>
        <w:rPr>
          <w:rFonts w:ascii="宋体" w:hAnsi="宋体" w:eastAsia="宋体"/>
          <w:b w:val="0"/>
          <w:sz w:val="21"/>
          <w:highlight w:val="none"/>
        </w:rPr>
        <w:t xml:space="preserve">书或CMMI Services（CMMI-SVC）成熟度三级及以上证书的，得</w:t>
      </w:r>
      <w:r>
        <w:rPr>
          <w:rFonts w:hint="eastAsia" w:ascii="宋体" w:hAnsi="宋体"/>
          <w:b w:val="0"/>
          <w:sz w:val="21"/>
          <w:highlight w:val="none"/>
          <w:lang w:val="en-US" w:eastAsia="zh-CN"/>
        </w:rPr>
        <w:t xml:space="preserve">2</w:t>
      </w:r>
      <w:r>
        <w:rPr>
          <w:rFonts w:ascii="宋体" w:hAnsi="宋体" w:eastAsia="宋体"/>
          <w:b w:val="0"/>
          <w:sz w:val="21"/>
          <w:highlight w:val="none"/>
        </w:rPr>
        <w:t xml:space="preserve">分。</w:t>
      </w:r>
      <w:r/>
    </w:p>
    <w:p>
      <w:pPr>
        <w:ind w:left="0" w:firstLine="422"/>
        <w:spacing w:line="360" w:lineRule="auto"/>
        <w:widowControl w:val="off"/>
        <w:rPr>
          <w:rFonts w:ascii="宋体" w:hAnsi="宋体"/>
          <w:b/>
          <w:sz w:val="21"/>
          <w:szCs w:val="21"/>
          <w:highlight w:val="none"/>
        </w:rPr>
      </w:pPr>
      <w:r>
        <w:rPr>
          <w:rFonts w:hint="eastAsia" w:ascii="宋体" w:hAnsi="宋体"/>
          <w:b/>
          <w:sz w:val="21"/>
          <w:szCs w:val="21"/>
          <w:highlight w:val="none"/>
        </w:rPr>
        <w:t xml:space="preserve">（注：磋商响应</w:t>
      </w:r>
      <w:r>
        <w:rPr>
          <w:rFonts w:ascii="宋体" w:hAnsi="宋体"/>
          <w:b/>
          <w:sz w:val="21"/>
          <w:szCs w:val="21"/>
          <w:highlight w:val="none"/>
        </w:rPr>
        <w:t xml:space="preserve">文件中</w:t>
      </w:r>
      <w:r>
        <w:rPr>
          <w:rFonts w:hint="eastAsia" w:ascii="宋体" w:hAnsi="宋体"/>
          <w:b/>
          <w:sz w:val="21"/>
          <w:szCs w:val="21"/>
          <w:highlight w:val="none"/>
        </w:rPr>
        <w:t xml:space="preserve">须</w:t>
      </w:r>
      <w:r>
        <w:rPr>
          <w:rFonts w:ascii="宋体" w:hAnsi="宋体"/>
          <w:b/>
          <w:sz w:val="21"/>
          <w:szCs w:val="21"/>
          <w:highlight w:val="none"/>
        </w:rPr>
        <w:t xml:space="preserve">提供上述</w:t>
      </w:r>
      <w:r>
        <w:rPr>
          <w:rFonts w:hint="eastAsia" w:ascii="宋体" w:hAnsi="宋体"/>
          <w:b/>
          <w:sz w:val="21"/>
          <w:szCs w:val="21"/>
          <w:highlight w:val="none"/>
        </w:rPr>
        <w:t xml:space="preserve">证书的</w:t>
      </w:r>
      <w:r>
        <w:rPr>
          <w:rFonts w:ascii="宋体" w:hAnsi="宋体"/>
          <w:b/>
          <w:sz w:val="21"/>
          <w:szCs w:val="21"/>
          <w:highlight w:val="none"/>
        </w:rPr>
        <w:t xml:space="preserve">复印件</w:t>
      </w:r>
      <w:r>
        <w:rPr>
          <w:rFonts w:hint="eastAsia" w:ascii="宋体" w:hAnsi="宋体"/>
          <w:b/>
          <w:sz w:val="21"/>
          <w:szCs w:val="21"/>
          <w:highlight w:val="none"/>
        </w:rPr>
        <w:t xml:space="preserve">或网上发文完整截图，不提供相关证明不得分。）</w:t>
      </w:r>
      <w:r/>
    </w:p>
    <w:p>
      <w:pPr>
        <w:ind w:left="0" w:firstLine="422"/>
        <w:spacing w:line="360" w:lineRule="auto"/>
        <w:widowControl w:val="off"/>
        <w:rPr>
          <w:rFonts w:ascii="宋体" w:hAnsi="宋体"/>
          <w:b/>
          <w:bCs/>
          <w:sz w:val="21"/>
          <w:szCs w:val="22"/>
          <w:highlight w:val="none"/>
        </w:rPr>
      </w:pPr>
      <w:r>
        <w:rPr>
          <w:rFonts w:hint="eastAsia" w:ascii="宋体" w:hAnsi="宋体"/>
          <w:b/>
          <w:bCs/>
          <w:sz w:val="21"/>
          <w:szCs w:val="22"/>
          <w:highlight w:val="none"/>
        </w:rPr>
        <w:t xml:space="preserve">（五）类似项目业绩（</w:t>
      </w:r>
      <w:r>
        <w:rPr>
          <w:rFonts w:hint="eastAsia" w:ascii="宋体" w:hAnsi="宋体"/>
          <w:b/>
          <w:bCs/>
          <w:sz w:val="21"/>
          <w:szCs w:val="22"/>
          <w:highlight w:val="none"/>
          <w:lang w:val="en-US" w:eastAsia="zh-CN"/>
        </w:rPr>
        <w:t xml:space="preserve">6</w:t>
      </w:r>
      <w:r>
        <w:rPr>
          <w:rFonts w:hint="eastAsia" w:ascii="宋体" w:hAnsi="宋体"/>
          <w:b/>
          <w:bCs/>
          <w:sz w:val="21"/>
          <w:szCs w:val="22"/>
          <w:highlight w:val="none"/>
        </w:rPr>
        <w:t xml:space="preserve">分）</w:t>
      </w:r>
      <w:r/>
    </w:p>
    <w:p>
      <w:pPr>
        <w:ind w:left="0" w:firstLine="420"/>
        <w:spacing w:line="360" w:lineRule="auto"/>
        <w:rPr>
          <w:rFonts w:ascii="宋体" w:hAnsi="宋体"/>
          <w:sz w:val="21"/>
          <w:highlight w:val="none"/>
        </w:rPr>
      </w:pPr>
      <w:r>
        <w:rPr>
          <w:rFonts w:hint="eastAsia" w:ascii="宋体" w:hAnsi="宋体"/>
          <w:sz w:val="21"/>
          <w:szCs w:val="21"/>
          <w:highlight w:val="none"/>
        </w:rPr>
        <w:t xml:space="preserve">20</w:t>
      </w:r>
      <w:r>
        <w:rPr>
          <w:rFonts w:ascii="宋体" w:hAnsi="宋体"/>
          <w:sz w:val="21"/>
          <w:szCs w:val="21"/>
          <w:highlight w:val="none"/>
        </w:rPr>
        <w:t xml:space="preserve">22</w:t>
      </w:r>
      <w:r>
        <w:rPr>
          <w:rFonts w:hint="eastAsia" w:ascii="宋体" w:hAnsi="宋体"/>
          <w:sz w:val="21"/>
          <w:szCs w:val="21"/>
          <w:highlight w:val="none"/>
        </w:rPr>
        <w:t xml:space="preserve">年1月1日起至今</w:t>
      </w:r>
      <w:r>
        <w:rPr>
          <w:rFonts w:ascii="宋体" w:hAnsi="宋体"/>
          <w:sz w:val="21"/>
          <w:szCs w:val="21"/>
          <w:highlight w:val="none"/>
        </w:rPr>
        <w:t xml:space="preserve">（以合同签订之日起</w:t>
      </w:r>
      <w:r>
        <w:rPr>
          <w:rFonts w:hint="eastAsia" w:ascii="宋体" w:hAnsi="宋体"/>
          <w:sz w:val="21"/>
          <w:szCs w:val="21"/>
          <w:highlight w:val="none"/>
        </w:rPr>
        <w:t xml:space="preserve">为准</w:t>
      </w:r>
      <w:r>
        <w:rPr>
          <w:rFonts w:ascii="宋体" w:hAnsi="宋体"/>
          <w:sz w:val="21"/>
          <w:szCs w:val="21"/>
          <w:highlight w:val="none"/>
        </w:rPr>
        <w:t xml:space="preserve">）</w:t>
      </w:r>
      <w:r>
        <w:rPr>
          <w:rFonts w:hint="eastAsia" w:ascii="宋体" w:hAnsi="宋体"/>
          <w:sz w:val="21"/>
          <w:szCs w:val="21"/>
          <w:highlight w:val="none"/>
        </w:rPr>
        <w:t xml:space="preserve">响应单位具有类似项目业绩的，</w:t>
      </w:r>
      <w:r>
        <w:rPr>
          <w:rFonts w:hint="eastAsia" w:ascii="宋体" w:hAnsi="宋体"/>
          <w:sz w:val="21"/>
          <w:highlight w:val="none"/>
        </w:rPr>
        <w:t xml:space="preserve">每提供一个得</w:t>
      </w:r>
      <w:r>
        <w:rPr>
          <w:rFonts w:ascii="宋体" w:hAnsi="宋体"/>
          <w:sz w:val="21"/>
          <w:highlight w:val="none"/>
        </w:rPr>
        <w:t xml:space="preserve">2</w:t>
      </w:r>
      <w:r>
        <w:rPr>
          <w:rFonts w:hint="eastAsia" w:ascii="宋体" w:hAnsi="宋体"/>
          <w:sz w:val="21"/>
          <w:highlight w:val="none"/>
        </w:rPr>
        <w:t xml:space="preserve">分，最高得</w:t>
      </w:r>
      <w:r>
        <w:rPr>
          <w:rFonts w:hint="eastAsia" w:ascii="宋体" w:hAnsi="宋体"/>
          <w:sz w:val="21"/>
          <w:highlight w:val="none"/>
          <w:lang w:val="en-US" w:eastAsia="zh-CN"/>
        </w:rPr>
        <w:t xml:space="preserve">6</w:t>
      </w:r>
      <w:r>
        <w:rPr>
          <w:rFonts w:hint="eastAsia" w:ascii="宋体" w:hAnsi="宋体"/>
          <w:sz w:val="21"/>
          <w:highlight w:val="none"/>
        </w:rPr>
        <w:t xml:space="preserve">分。</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（注：磋商响应文件中需提供合同复印件并加盖响应单位公章。未按要求提供或未提供不得分。类似业绩日期认定：以签订合同日期为准。）</w:t>
      </w:r>
      <w:r/>
    </w:p>
    <w:p>
      <w:pPr>
        <w:ind w:left="0" w:firstLine="422"/>
        <w:spacing w:line="360" w:lineRule="auto"/>
        <w:widowControl w:val="off"/>
        <w:rPr>
          <w:rFonts w:ascii="宋体" w:hAnsi="宋体" w:cs="宋体"/>
          <w:b/>
          <w:sz w:val="21"/>
          <w:szCs w:val="21"/>
        </w:rPr>
      </w:pPr>
      <w:r>
        <w:rPr>
          <w:rFonts w:hint="eastAsia" w:ascii="宋体" w:hAnsi="宋体" w:cs="宋体"/>
          <w:b/>
          <w:sz w:val="21"/>
          <w:szCs w:val="21"/>
        </w:rPr>
        <w:t xml:space="preserve">备注：</w:t>
      </w:r>
      <w:r/>
    </w:p>
    <w:p>
      <w:pPr>
        <w:ind w:left="0" w:firstLine="422"/>
        <w:spacing w:line="360" w:lineRule="auto"/>
        <w:widowControl w:val="off"/>
        <w:rPr>
          <w:rFonts w:ascii="宋体" w:hAnsi="宋体" w:cs="宋体"/>
          <w:b/>
          <w:sz w:val="21"/>
          <w:szCs w:val="21"/>
        </w:rPr>
      </w:pPr>
      <w:r>
        <w:rPr>
          <w:rFonts w:ascii="宋体" w:hAnsi="宋体" w:cs="宋体"/>
          <w:b/>
          <w:sz w:val="21"/>
          <w:szCs w:val="21"/>
        </w:rPr>
        <w:t xml:space="preserve">1</w:t>
      </w:r>
      <w:r>
        <w:rPr>
          <w:rFonts w:hint="eastAsia" w:ascii="宋体" w:hAnsi="宋体" w:cs="宋体"/>
          <w:b/>
          <w:sz w:val="21"/>
          <w:szCs w:val="21"/>
        </w:rPr>
        <w:t xml:space="preserve">.针对评分标准中评分的每一条，供应商均应提供相关资料并作出相应说明供评委评判，不提供相关资料的视为不具备该项得分的条件。</w:t>
      </w:r>
      <w:r/>
    </w:p>
    <w:p>
      <w:pPr>
        <w:ind w:left="0" w:firstLine="422"/>
        <w:spacing w:line="360" w:lineRule="auto"/>
        <w:widowControl w:val="off"/>
        <w:rPr>
          <w:rFonts w:ascii="宋体" w:hAnsi="宋体" w:cs="宋体"/>
          <w:b/>
          <w:sz w:val="21"/>
          <w:szCs w:val="21"/>
        </w:rPr>
      </w:pPr>
      <w:r>
        <w:rPr>
          <w:rFonts w:ascii="宋体" w:hAnsi="宋体" w:cs="宋体"/>
          <w:b/>
          <w:sz w:val="21"/>
          <w:szCs w:val="21"/>
        </w:rPr>
        <w:t xml:space="preserve">2</w:t>
      </w:r>
      <w:r>
        <w:rPr>
          <w:rFonts w:hint="eastAsia" w:ascii="宋体" w:hAnsi="宋体" w:cs="宋体"/>
          <w:b/>
          <w:sz w:val="21"/>
          <w:szCs w:val="21"/>
        </w:rPr>
        <w:t xml:space="preserve">.响应文件中如出现前后不一致时，评委有权请供应商澄清说明，澄清说明事项涉及评分时，评委有权酌情扣分。</w:t>
      </w:r>
      <w:r/>
    </w:p>
    <w:p>
      <w:pPr>
        <w:ind w:left="0" w:firstLine="422"/>
        <w:spacing w:line="360" w:lineRule="auto"/>
        <w:widowControl w:val="off"/>
        <w:rPr>
          <w:rFonts w:ascii="宋体" w:hAnsi="宋体"/>
          <w:szCs w:val="21"/>
        </w:rPr>
      </w:pPr>
      <w:r>
        <w:rPr>
          <w:rFonts w:ascii="宋体" w:hAnsi="宋体" w:cs="宋体"/>
          <w:b/>
          <w:sz w:val="21"/>
          <w:szCs w:val="21"/>
        </w:rPr>
        <w:t xml:space="preserve">3</w:t>
      </w:r>
      <w:r>
        <w:rPr>
          <w:rFonts w:hint="eastAsia" w:ascii="宋体" w:hAnsi="宋体" w:cs="宋体"/>
          <w:b/>
          <w:sz w:val="21"/>
          <w:szCs w:val="21"/>
        </w:rPr>
        <w:t xml:space="preserve">.供应商必须保证全部响应资料的真实性，如有虚假或对采购文件所要求说明的情况故意隐瞒或虚报，视为不实质性响应采购文件，为无效响应，已成交的将取消成交资格，按“提供虚假材料谋取成交”相关处理办。</w:t>
      </w:r>
      <w:r/>
    </w:p>
    <w:p>
      <w:pPr>
        <w:ind w:firstLine="420"/>
        <w:jc w:val="right"/>
        <w:spacing w:line="360" w:lineRule="auto"/>
        <w:rPr>
          <w:rFonts w:ascii="宋体" w:hAnsi="宋体" w:cs="宋体-18030"/>
          <w:szCs w:val="21"/>
        </w:rPr>
      </w:pPr>
      <w:r>
        <w:rPr>
          <w:rFonts w:hint="eastAsia" w:ascii="宋体" w:hAnsi="宋体" w:cs="宋体-18030"/>
          <w:szCs w:val="21"/>
        </w:rPr>
        <w:t xml:space="preserve">（全文完）</w:t>
      </w:r>
      <w:r/>
    </w:p>
    <w:sectPr>
      <w:footerReference w:type="default" r:id="rId9"/>
      <w:footerReference w:type="even" r:id="rId10"/>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宋体-18030">
    <w:panose1 w:val="02010600030101010101"/>
  </w:font>
  <w:font w:name="sans-serif">
    <w:panose1 w:val="020B0503020202020204"/>
  </w:font>
  <w:font w:name="Symbol">
    <w:panose1 w:val="05050102010706020507"/>
  </w:font>
  <w:font w:name="Wingdings">
    <w:panose1 w:val="05000000000000000000"/>
  </w:font>
  <w:font w:name="宋体_x0001_糭.飬..">
    <w:panose1 w:val="02010600030101010101"/>
  </w:font>
  <w:font w:name="仿宋">
    <w:panose1 w:val="02010609060101010101"/>
  </w:font>
  <w:font w:name="楷体_GB2312">
    <w:panose1 w:val="02010609060101010101"/>
  </w:font>
  <w:font w:name="Courier New">
    <w:panose1 w:val="02070309020205020404"/>
  </w:font>
  <w:font w:name="黑体">
    <w:panose1 w:val="02010609060101010101"/>
  </w:font>
  <w:font w:name="仿宋_GB2312">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rPr>
        <w:rStyle w:val="738"/>
      </w:rPr>
      <w:framePr w:wrap="around" w:vAnchor="text" w:hAnchor="margin" w:xAlign="center" w:y="1"/>
    </w:pPr>
    <w:r>
      <w:rPr>
        <w:rStyle w:val="738"/>
      </w:rPr>
      <w:fldChar w:fldCharType="begin"/>
    </w:r>
    <w:r>
      <w:rPr>
        <w:rStyle w:val="738"/>
      </w:rPr>
      <w:instrText xml:space="preserve">PAGE  </w:instrText>
    </w:r>
    <w:r>
      <w:rPr>
        <w:rStyle w:val="738"/>
      </w:rPr>
      <w:fldChar w:fldCharType="separate"/>
    </w:r>
    <w:r>
      <w:rPr>
        <w:rStyle w:val="738"/>
      </w:rPr>
      <w:t xml:space="preserve">9</w:t>
    </w:r>
    <w:r>
      <w:rPr>
        <w:rStyle w:val="738"/>
      </w:rPr>
      <w:fldChar w:fldCharType="end"/>
    </w:r>
    <w:r/>
  </w:p>
  <w:p>
    <w:pPr>
      <w:pStyle w:val="92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rPr>
        <w:rStyle w:val="738"/>
      </w:rPr>
      <w:framePr w:wrap="around" w:vAnchor="text" w:hAnchor="margin" w:xAlign="center" w:y="1"/>
    </w:pPr>
    <w:r>
      <w:rPr>
        <w:rStyle w:val="738"/>
      </w:rPr>
      <w:fldChar w:fldCharType="begin"/>
    </w:r>
    <w:r>
      <w:rPr>
        <w:rStyle w:val="738"/>
      </w:rPr>
      <w:instrText xml:space="preserve">PAGE  </w:instrText>
    </w:r>
    <w:r>
      <w:rPr>
        <w:rStyle w:val="738"/>
      </w:rPr>
      <w:fldChar w:fldCharType="end"/>
    </w:r>
    <w:r/>
  </w:p>
  <w:p>
    <w:pPr>
      <w:pStyle w:val="92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25"/>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725"/>
        <w:ind w:firstLine="600"/>
        <w:rPr>
          <w:rFonts w:ascii="宋体" w:hAnsi="宋体"/>
          <w:color w:val="000000"/>
        </w:rPr>
      </w:pPr>
      <w:r>
        <w:rPr>
          <w:rFonts w:ascii="宋体" w:hAnsi="宋体"/>
          <w:color w:val="000000"/>
        </w:rPr>
        <w:t xml:space="preserve">2.</w:t>
      </w:r>
      <w:r>
        <w:rPr>
          <w:rFonts w:hint="eastAsia" w:ascii="宋体" w:hAnsi="宋体"/>
          <w:color w:val="000000"/>
        </w:rPr>
        <w:t xml:space="preserve">在服务采购项目中，服务由中小企业承接，即提供服务的人员为中小企业依照《中华人民共和国劳动合同法》订立劳动合同的从业人员。</w:t>
      </w:r>
      <w:r>
        <w:rPr>
          <w:rFonts w:hint="eastAsia" w:ascii="宋体" w:hAnsi="宋体"/>
          <w:b/>
          <w:color w:val="000000"/>
        </w:rPr>
        <w:t xml:space="preserve">服务类项目中供应商若使用退休人员，将不享受相应扶持政策。</w:t>
      </w:r>
      <w:r/>
    </w:p>
    <w:p>
      <w:pPr>
        <w:pStyle w:val="725"/>
        <w:ind w:firstLine="600"/>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《中小企业声明函》中所填的行业应与本采购标的对应的中小企业划分标准所属行业一致，不一致的不可享受相应政策优惠。</w:t>
      </w:r>
      <w:r>
        <w:rPr>
          <w:rFonts w:hint="eastAsia" w:ascii="宋体" w:hAnsi="宋体"/>
          <w:b/>
          <w:color w:val="000000"/>
        </w:rPr>
        <w:t xml:space="preserve">本采购标的对应的中小企业划分标准所属行业，以采购文件中具体规定为准。</w:t>
      </w:r>
      <w:r/>
    </w:p>
    <w:p>
      <w:pPr>
        <w:pStyle w:val="725"/>
        <w:ind w:firstLine="600"/>
        <w:rPr>
          <w:rFonts w:ascii="宋体" w:hAnsi="宋体"/>
          <w:color w:val="000000"/>
        </w:rPr>
      </w:pPr>
      <w:r>
        <w:rPr>
          <w:rFonts w:ascii="宋体" w:hAnsi="宋体"/>
          <w:color w:val="000000"/>
        </w:rPr>
        <w:t xml:space="preserve">4.</w:t>
      </w:r>
      <w:r>
        <w:rPr>
          <w:rFonts w:hint="eastAsia" w:ascii="宋体" w:hAnsi="宋体"/>
          <w:b/>
          <w:color w:val="000000"/>
        </w:rPr>
        <w:t xml:space="preserve">如未对（中型企业、小型企业、微型企业）进行勾选，视同非中小微企业，不可享受相应扶持政策</w:t>
      </w:r>
      <w:r>
        <w:rPr>
          <w:rFonts w:hint="eastAsia" w:ascii="宋体" w:hAnsi="宋体"/>
          <w:color w:val="000000"/>
        </w:rPr>
        <w:t xml:space="preserve">。</w:t>
      </w:r>
      <w:r/>
    </w:p>
    <w:p>
      <w:pPr>
        <w:pStyle w:val="725"/>
        <w:ind w:firstLine="600"/>
        <w:rPr>
          <w:rFonts w:ascii="宋体" w:hAnsi="宋体"/>
        </w:rPr>
      </w:pPr>
      <w:r>
        <w:rPr>
          <w:rFonts w:hint="eastAsia" w:ascii="宋体" w:hAnsi="宋体"/>
        </w:rPr>
        <w:t xml:space="preserve">5</w:t>
      </w:r>
      <w:r>
        <w:rPr>
          <w:rFonts w:ascii="宋体" w:hAnsi="宋体"/>
        </w:rPr>
        <w:t xml:space="preserve">.</w:t>
      </w:r>
      <w:r>
        <w:rPr>
          <w:rFonts w:hint="eastAsia" w:ascii="宋体" w:hAnsi="宋体"/>
        </w:rPr>
        <w:t xml:space="preserve">成交单位为中小企业的，《中小企业声明函》将随成交结果同时公告。</w:t>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default="1">
    <w:name w:val="Normal"/>
    <w:next w:val="705"/>
    <w:uiPriority w:val="0"/>
    <w:qFormat/>
    <w:pPr>
      <w:jc w:val="both"/>
      <w:widowControl w:val="off"/>
    </w:pPr>
    <w:rPr>
      <w:rFonts w:hint="default" w:ascii="Calibri" w:hAnsi="Calibri" w:eastAsia="宋体" w:cs="Times New Roman"/>
      <w:sz w:val="21"/>
      <w:szCs w:val="22"/>
      <w:lang w:val="en-US" w:eastAsia="zh-CN" w:bidi="ar-SA"/>
    </w:rPr>
  </w:style>
  <w:style w:type="paragraph" w:styleId="694">
    <w:name w:val="Heading 1"/>
    <w:basedOn w:val="693"/>
    <w:next w:val="693"/>
    <w:uiPriority w:val="9"/>
    <w:qFormat/>
    <w:pPr>
      <w:keepLines/>
      <w:keepNext/>
      <w:spacing w:before="480" w:after="200"/>
      <w:outlineLvl w:val="0"/>
    </w:pPr>
    <w:rPr>
      <w:rFonts w:ascii="Arial" w:hAnsi="Arial" w:eastAsia="Arial" w:cs="Arial"/>
      <w:sz w:val="40"/>
      <w:szCs w:val="40"/>
    </w:rPr>
  </w:style>
  <w:style w:type="paragraph" w:styleId="695">
    <w:name w:val="Heading 2"/>
    <w:basedOn w:val="693"/>
    <w:next w:val="693"/>
    <w:uiPriority w:val="9"/>
    <w:unhideWhenUsed/>
    <w:qFormat/>
    <w:pPr>
      <w:keepLines/>
      <w:keepNext/>
      <w:spacing w:before="360" w:after="200"/>
      <w:outlineLvl w:val="1"/>
    </w:pPr>
    <w:rPr>
      <w:rFonts w:ascii="Arial" w:hAnsi="Arial" w:eastAsia="Arial" w:cs="Arial"/>
      <w:sz w:val="34"/>
    </w:rPr>
  </w:style>
  <w:style w:type="paragraph" w:styleId="696">
    <w:name w:val="Heading 3"/>
    <w:basedOn w:val="694"/>
    <w:next w:val="693"/>
    <w:uiPriority w:val="9"/>
    <w:unhideWhenUsed/>
    <w:qFormat/>
    <w:pPr>
      <w:keepLines/>
      <w:keepNext/>
      <w:spacing w:before="320" w:after="200"/>
      <w:outlineLvl w:val="2"/>
    </w:pPr>
    <w:rPr>
      <w:rFonts w:ascii="Arial" w:hAnsi="Arial" w:eastAsia="Arial" w:cs="Arial"/>
      <w:sz w:val="30"/>
      <w:szCs w:val="30"/>
    </w:rPr>
  </w:style>
  <w:style w:type="paragraph" w:styleId="697">
    <w:name w:val="Heading 4"/>
    <w:basedOn w:val="694"/>
    <w:next w:val="693"/>
    <w:uiPriority w:val="9"/>
    <w:unhideWhenUsed/>
    <w:qFormat/>
    <w:pPr>
      <w:keepLines/>
      <w:keepNext/>
      <w:spacing w:before="320" w:after="200"/>
      <w:outlineLvl w:val="3"/>
    </w:pPr>
    <w:rPr>
      <w:rFonts w:ascii="Arial" w:hAnsi="Arial" w:eastAsia="Arial" w:cs="Arial"/>
      <w:b/>
      <w:bCs/>
      <w:sz w:val="26"/>
      <w:szCs w:val="26"/>
    </w:rPr>
  </w:style>
  <w:style w:type="paragraph" w:styleId="698">
    <w:name w:val="Heading 5"/>
    <w:basedOn w:val="693"/>
    <w:next w:val="693"/>
    <w:uiPriority w:val="9"/>
    <w:unhideWhenUsed/>
    <w:qFormat/>
    <w:pPr>
      <w:keepLines/>
      <w:keepNext/>
      <w:spacing w:before="320" w:after="200"/>
      <w:outlineLvl w:val="4"/>
    </w:pPr>
    <w:rPr>
      <w:rFonts w:ascii="Arial" w:hAnsi="Arial" w:eastAsia="Arial" w:cs="Arial"/>
      <w:b/>
      <w:bCs/>
      <w:sz w:val="24"/>
      <w:szCs w:val="24"/>
    </w:rPr>
  </w:style>
  <w:style w:type="paragraph" w:styleId="699">
    <w:name w:val="Heading 6"/>
    <w:basedOn w:val="693"/>
    <w:next w:val="693"/>
    <w:uiPriority w:val="9"/>
    <w:unhideWhenUsed/>
    <w:qFormat/>
    <w:pPr>
      <w:keepLines/>
      <w:keepNext/>
      <w:spacing w:before="320" w:after="200"/>
      <w:outlineLvl w:val="5"/>
    </w:pPr>
    <w:rPr>
      <w:rFonts w:ascii="Arial" w:hAnsi="Arial" w:eastAsia="Arial" w:cs="Arial"/>
      <w:b/>
      <w:bCs/>
      <w:sz w:val="22"/>
      <w:szCs w:val="22"/>
    </w:rPr>
  </w:style>
  <w:style w:type="paragraph" w:styleId="700">
    <w:name w:val="Heading 7"/>
    <w:basedOn w:val="693"/>
    <w:next w:val="693"/>
    <w:uiPriority w:val="9"/>
    <w:unhideWhenUsed/>
    <w:qFormat/>
    <w:pPr>
      <w:keepLines/>
      <w:keepNext/>
      <w:spacing w:before="320" w:after="200"/>
      <w:outlineLvl w:val="6"/>
    </w:pPr>
    <w:rPr>
      <w:rFonts w:ascii="Arial" w:hAnsi="Arial" w:eastAsia="Arial" w:cs="Arial"/>
      <w:b/>
      <w:bCs/>
      <w:i/>
      <w:iCs/>
      <w:sz w:val="22"/>
      <w:szCs w:val="22"/>
    </w:rPr>
  </w:style>
  <w:style w:type="paragraph" w:styleId="701">
    <w:name w:val="Heading 8"/>
    <w:basedOn w:val="693"/>
    <w:next w:val="693"/>
    <w:uiPriority w:val="9"/>
    <w:unhideWhenUsed/>
    <w:qFormat/>
    <w:pPr>
      <w:keepLines/>
      <w:keepNext/>
      <w:spacing w:before="320" w:after="200"/>
      <w:outlineLvl w:val="7"/>
    </w:pPr>
    <w:rPr>
      <w:rFonts w:ascii="Arial" w:hAnsi="Arial" w:eastAsia="Arial" w:cs="Arial"/>
      <w:i/>
      <w:iCs/>
      <w:sz w:val="22"/>
      <w:szCs w:val="22"/>
    </w:rPr>
  </w:style>
  <w:style w:type="paragraph" w:styleId="702">
    <w:name w:val="Heading 9"/>
    <w:basedOn w:val="693"/>
    <w:next w:val="693"/>
    <w:uiPriority w:val="9"/>
    <w:unhideWhenUsed/>
    <w:qFormat/>
    <w:pPr>
      <w:keepLines/>
      <w:keepNext/>
      <w:spacing w:before="320" w:after="200"/>
      <w:outlineLvl w:val="8"/>
    </w:pPr>
    <w:rPr>
      <w:rFonts w:ascii="Arial" w:hAnsi="Arial" w:eastAsia="Arial" w:cs="Arial"/>
      <w:i/>
      <w:iCs/>
      <w:sz w:val="21"/>
      <w:szCs w:val="21"/>
    </w:rPr>
  </w:style>
  <w:style w:type="character" w:styleId="703" w:default="1">
    <w:name w:val="Default Paragraph Font"/>
    <w:uiPriority w:val="1"/>
    <w:semiHidden/>
    <w:unhideWhenUsed/>
    <w:qFormat/>
  </w:style>
  <w:style w:type="table" w:styleId="704" w:default="1">
    <w:name w:val="Normal Table"/>
    <w:uiPriority w:val="99"/>
    <w:semiHidden/>
    <w:unhideWhenUsed/>
    <w:qFormat/>
    <w:tblPr>
      <w:tblCellMar>
        <w:left w:w="108" w:type="dxa"/>
        <w:top w:w="0" w:type="dxa"/>
        <w:right w:w="108" w:type="dxa"/>
        <w:bottom w:w="0" w:type="dxa"/>
      </w:tblCellMar>
    </w:tblPr>
  </w:style>
  <w:style w:type="paragraph" w:styleId="705">
    <w:name w:val="Body Text Indent"/>
    <w:basedOn w:val="693"/>
    <w:next w:val="693"/>
    <w:link w:val="937"/>
    <w:uiPriority w:val="99"/>
    <w:unhideWhenUsed/>
    <w:qFormat/>
    <w:pPr>
      <w:ind w:left="420"/>
      <w:spacing w:after="120"/>
    </w:pPr>
  </w:style>
  <w:style w:type="paragraph" w:styleId="706">
    <w:name w:val="toc 7"/>
    <w:basedOn w:val="693"/>
    <w:next w:val="693"/>
    <w:uiPriority w:val="39"/>
    <w:unhideWhenUsed/>
    <w:qFormat/>
    <w:pPr>
      <w:ind w:left="1701"/>
      <w:spacing w:after="57"/>
    </w:pPr>
  </w:style>
  <w:style w:type="paragraph" w:styleId="707">
    <w:name w:val="Normal Indent"/>
    <w:basedOn w:val="693"/>
    <w:next w:val="693"/>
    <w:link w:val="935"/>
    <w:uiPriority w:val="0"/>
    <w:qFormat/>
    <w:pPr>
      <w:ind w:left="420" w:firstLine="4772"/>
      <w:widowControl/>
    </w:pPr>
    <w:rPr>
      <w:sz w:val="20"/>
      <w:szCs w:val="20"/>
      <w:lang w:val="zh-CN"/>
    </w:rPr>
  </w:style>
  <w:style w:type="paragraph" w:styleId="708">
    <w:name w:val="Caption"/>
    <w:basedOn w:val="693"/>
    <w:next w:val="69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9">
    <w:name w:val="Document Map"/>
    <w:basedOn w:val="693"/>
    <w:link w:val="929"/>
    <w:uiPriority w:val="99"/>
    <w:unhideWhenUsed/>
    <w:qFormat/>
    <w:rPr>
      <w:rFonts w:ascii="宋体"/>
      <w:sz w:val="18"/>
      <w:szCs w:val="18"/>
    </w:rPr>
  </w:style>
  <w:style w:type="paragraph" w:styleId="710">
    <w:name w:val="annotation text"/>
    <w:basedOn w:val="693"/>
    <w:link w:val="930"/>
    <w:uiPriority w:val="99"/>
    <w:unhideWhenUsed/>
    <w:qFormat/>
    <w:pPr>
      <w:jc w:val="left"/>
    </w:pPr>
    <w:rPr>
      <w:rFonts w:ascii="Times New Roman" w:hAnsi="Times New Roman"/>
      <w:szCs w:val="20"/>
    </w:rPr>
  </w:style>
  <w:style w:type="paragraph" w:styleId="711">
    <w:name w:val="Body Text"/>
    <w:basedOn w:val="693"/>
    <w:next w:val="707"/>
    <w:link w:val="932"/>
    <w:uiPriority w:val="99"/>
    <w:unhideWhenUsed/>
    <w:qFormat/>
    <w:pPr>
      <w:spacing w:after="120"/>
    </w:pPr>
  </w:style>
  <w:style w:type="paragraph" w:styleId="712">
    <w:name w:val="Block Text"/>
    <w:basedOn w:val="693"/>
    <w:uiPriority w:val="0"/>
    <w:qFormat/>
    <w:pPr>
      <w:ind w:left="630" w:right="-609" w:firstLine="420"/>
      <w:spacing w:line="360" w:lineRule="auto"/>
    </w:pPr>
    <w:rPr>
      <w:rFonts w:hint="eastAsia" w:ascii="仿宋_GB2312" w:hAnsi="Times New Roman" w:eastAsia="仿宋_GB2312"/>
      <w:szCs w:val="20"/>
    </w:rPr>
  </w:style>
  <w:style w:type="paragraph" w:styleId="713">
    <w:name w:val="toc 5"/>
    <w:basedOn w:val="693"/>
    <w:next w:val="693"/>
    <w:uiPriority w:val="39"/>
    <w:unhideWhenUsed/>
    <w:qFormat/>
    <w:pPr>
      <w:ind w:left="1134"/>
      <w:spacing w:after="57"/>
    </w:pPr>
  </w:style>
  <w:style w:type="paragraph" w:styleId="714">
    <w:name w:val="toc 3"/>
    <w:basedOn w:val="693"/>
    <w:next w:val="693"/>
    <w:uiPriority w:val="39"/>
    <w:unhideWhenUsed/>
    <w:qFormat/>
    <w:pPr>
      <w:ind w:left="567"/>
      <w:spacing w:after="57"/>
    </w:pPr>
  </w:style>
  <w:style w:type="paragraph" w:styleId="715">
    <w:name w:val="toc 8"/>
    <w:basedOn w:val="693"/>
    <w:next w:val="693"/>
    <w:uiPriority w:val="39"/>
    <w:unhideWhenUsed/>
    <w:qFormat/>
    <w:pPr>
      <w:ind w:left="1984"/>
      <w:spacing w:after="57"/>
    </w:pPr>
  </w:style>
  <w:style w:type="paragraph" w:styleId="716">
    <w:name w:val="endnote text"/>
    <w:basedOn w:val="693"/>
    <w:link w:val="920"/>
    <w:uiPriority w:val="99"/>
    <w:semiHidden/>
    <w:unhideWhenUsed/>
    <w:qFormat/>
    <w:rPr>
      <w:sz w:val="20"/>
    </w:rPr>
  </w:style>
  <w:style w:type="paragraph" w:styleId="717">
    <w:name w:val="Balloon Text"/>
    <w:basedOn w:val="693"/>
    <w:link w:val="927"/>
    <w:uiPriority w:val="99"/>
    <w:unhideWhenUsed/>
    <w:qFormat/>
    <w:rPr>
      <w:sz w:val="18"/>
      <w:szCs w:val="18"/>
    </w:rPr>
  </w:style>
  <w:style w:type="paragraph" w:styleId="718">
    <w:name w:val="Footer"/>
    <w:basedOn w:val="694"/>
    <w:next w:val="719"/>
    <w:uiPriority w:val="99"/>
    <w:unhideWhenUsed/>
    <w:qFormat/>
    <w:pPr>
      <w:spacing w:after="0" w:line="240" w:lineRule="auto"/>
      <w:tabs>
        <w:tab w:val="center" w:pos="7143" w:leader="none"/>
        <w:tab w:val="right" w:pos="14287" w:leader="none"/>
      </w:tabs>
    </w:pPr>
  </w:style>
  <w:style w:type="paragraph" w:styleId="719" w:customStyle="1">
    <w:name w:val="Char Char Char Char Char Char Char Char Char Char Char Char Char"/>
    <w:basedOn w:val="694"/>
    <w:next w:val="693"/>
    <w:uiPriority w:val="0"/>
    <w:qFormat/>
    <w:pPr>
      <w:ind w:left="0" w:firstLine="3584"/>
      <w:spacing w:before="0" w:after="160" w:line="240" w:lineRule="exact"/>
    </w:pPr>
  </w:style>
  <w:style w:type="paragraph" w:styleId="720">
    <w:name w:val="Header"/>
    <w:basedOn w:val="693"/>
    <w:uiPriority w:val="99"/>
    <w:unhideWhenUsed/>
    <w:qFormat/>
    <w:pPr>
      <w:spacing w:after="0" w:line="240" w:lineRule="auto"/>
      <w:tabs>
        <w:tab w:val="center" w:pos="7143" w:leader="none"/>
        <w:tab w:val="right" w:pos="14287" w:leader="none"/>
      </w:tabs>
    </w:pPr>
  </w:style>
  <w:style w:type="paragraph" w:styleId="721">
    <w:name w:val="toc 1"/>
    <w:basedOn w:val="722"/>
    <w:next w:val="693"/>
    <w:uiPriority w:val="39"/>
    <w:qFormat/>
    <w:pPr>
      <w:ind w:left="0" w:firstLine="0"/>
      <w:spacing w:before="120" w:after="120" w:line="240" w:lineRule="auto"/>
      <w:outlineLvl w:val="9"/>
    </w:pPr>
    <w:rPr>
      <w:rFonts w:ascii="Calibri" w:hAnsi="Calibri" w:eastAsia="宋体" w:cs="Calibri"/>
      <w:b/>
      <w:bCs/>
      <w:caps/>
      <w:sz w:val="20"/>
      <w:szCs w:val="20"/>
    </w:rPr>
  </w:style>
  <w:style w:type="paragraph" w:styleId="722" w:customStyle="1">
    <w:name w:val="标题 11"/>
    <w:next w:val="693"/>
    <w:link w:val="939"/>
    <w:uiPriority w:val="9"/>
    <w:qFormat/>
    <w:pPr>
      <w:ind w:left="432" w:firstLine="18"/>
      <w:spacing w:before="340" w:after="330" w:line="578" w:lineRule="auto"/>
      <w:outlineLvl w:val="0"/>
    </w:pPr>
    <w:rPr>
      <w:rFonts w:hint="default" w:ascii="Arial" w:hAnsi="Arial" w:eastAsia="Arial" w:cs="Arial"/>
      <w:sz w:val="40"/>
      <w:szCs w:val="40"/>
      <w:lang w:val="en-US" w:eastAsia="zh-CN" w:bidi="ar-SA"/>
    </w:rPr>
  </w:style>
  <w:style w:type="paragraph" w:styleId="723">
    <w:name w:val="toc 4"/>
    <w:basedOn w:val="693"/>
    <w:next w:val="693"/>
    <w:uiPriority w:val="39"/>
    <w:unhideWhenUsed/>
    <w:qFormat/>
    <w:pPr>
      <w:ind w:left="850"/>
      <w:spacing w:after="57"/>
    </w:pPr>
  </w:style>
  <w:style w:type="paragraph" w:styleId="724">
    <w:name w:val="Subtitle"/>
    <w:basedOn w:val="693"/>
    <w:next w:val="693"/>
    <w:link w:val="786"/>
    <w:uiPriority w:val="11"/>
    <w:qFormat/>
    <w:pPr>
      <w:spacing w:before="200" w:after="200"/>
    </w:pPr>
    <w:rPr>
      <w:sz w:val="24"/>
      <w:szCs w:val="24"/>
    </w:rPr>
  </w:style>
  <w:style w:type="paragraph" w:styleId="725">
    <w:name w:val="footnote text"/>
    <w:basedOn w:val="693"/>
    <w:link w:val="926"/>
    <w:uiPriority w:val="0"/>
    <w:unhideWhenUsed/>
    <w:qFormat/>
    <w:pPr>
      <w:jc w:val="left"/>
    </w:pPr>
    <w:rPr>
      <w:sz w:val="18"/>
      <w:szCs w:val="18"/>
    </w:rPr>
  </w:style>
  <w:style w:type="paragraph" w:styleId="726">
    <w:name w:val="toc 6"/>
    <w:basedOn w:val="693"/>
    <w:next w:val="693"/>
    <w:uiPriority w:val="39"/>
    <w:unhideWhenUsed/>
    <w:qFormat/>
    <w:pPr>
      <w:ind w:left="1417"/>
      <w:spacing w:after="57"/>
    </w:pPr>
  </w:style>
  <w:style w:type="paragraph" w:styleId="727">
    <w:name w:val="table of figures"/>
    <w:basedOn w:val="693"/>
    <w:next w:val="693"/>
    <w:uiPriority w:val="99"/>
    <w:unhideWhenUsed/>
    <w:qFormat/>
  </w:style>
  <w:style w:type="paragraph" w:styleId="728">
    <w:name w:val="toc 2"/>
    <w:basedOn w:val="722"/>
    <w:next w:val="693"/>
    <w:uiPriority w:val="39"/>
    <w:qFormat/>
    <w:pPr>
      <w:ind w:left="200" w:firstLine="0"/>
      <w:spacing w:before="0" w:after="0" w:line="240" w:lineRule="auto"/>
      <w:outlineLvl w:val="9"/>
    </w:pPr>
    <w:rPr>
      <w:rFonts w:ascii="Calibri" w:hAnsi="Calibri" w:eastAsia="宋体" w:cs="Calibri"/>
      <w:smallCaps/>
      <w:sz w:val="20"/>
      <w:szCs w:val="20"/>
    </w:rPr>
  </w:style>
  <w:style w:type="paragraph" w:styleId="729">
    <w:name w:val="toc 9"/>
    <w:basedOn w:val="693"/>
    <w:next w:val="693"/>
    <w:uiPriority w:val="39"/>
    <w:unhideWhenUsed/>
    <w:qFormat/>
    <w:pPr>
      <w:ind w:left="2268"/>
      <w:spacing w:after="57"/>
    </w:pPr>
  </w:style>
  <w:style w:type="paragraph" w:styleId="730">
    <w:name w:val="Normal (Web)"/>
    <w:basedOn w:val="693"/>
    <w:uiPriority w:val="0"/>
    <w:qFormat/>
    <w:pPr>
      <w:ind w:left="0" w:right="0"/>
      <w:jc w:val="left"/>
      <w:spacing w:before="0" w:beforeAutospacing="1" w:after="0" w:afterAutospacing="1"/>
    </w:pPr>
    <w:rPr>
      <w:sz w:val="24"/>
      <w:lang w:val="en-US" w:eastAsia="zh-CN" w:bidi="ar"/>
    </w:rPr>
  </w:style>
  <w:style w:type="paragraph" w:styleId="731">
    <w:name w:val="Title"/>
    <w:basedOn w:val="693"/>
    <w:next w:val="693"/>
    <w:link w:val="785"/>
    <w:uiPriority w:val="10"/>
    <w:qFormat/>
    <w:pPr>
      <w:contextualSpacing/>
      <w:spacing w:before="300" w:after="200"/>
    </w:pPr>
    <w:rPr>
      <w:sz w:val="48"/>
      <w:szCs w:val="48"/>
    </w:rPr>
  </w:style>
  <w:style w:type="paragraph" w:styleId="732">
    <w:name w:val="annotation subject"/>
    <w:basedOn w:val="710"/>
    <w:next w:val="710"/>
    <w:link w:val="931"/>
    <w:uiPriority w:val="99"/>
    <w:unhideWhenUsed/>
    <w:qFormat/>
    <w:rPr>
      <w:rFonts w:ascii="Calibri" w:hAnsi="Calibri"/>
      <w:b/>
      <w:bCs/>
      <w:szCs w:val="22"/>
    </w:rPr>
  </w:style>
  <w:style w:type="paragraph" w:styleId="733">
    <w:name w:val="Body Text First Indent"/>
    <w:basedOn w:val="711"/>
    <w:link w:val="933"/>
    <w:uiPriority w:val="99"/>
    <w:unhideWhenUsed/>
    <w:qFormat/>
    <w:pPr>
      <w:ind w:firstLine="420"/>
    </w:pPr>
    <w:rPr>
      <w:rFonts w:ascii="Times New Roman" w:hAnsi="Times New Roman"/>
      <w:szCs w:val="20"/>
    </w:rPr>
  </w:style>
  <w:style w:type="paragraph" w:styleId="734">
    <w:name w:val="Body Text First Indent 2"/>
    <w:basedOn w:val="705"/>
    <w:link w:val="938"/>
    <w:uiPriority w:val="99"/>
    <w:unhideWhenUsed/>
    <w:qFormat/>
    <w:pPr>
      <w:ind w:firstLine="420"/>
    </w:pPr>
  </w:style>
  <w:style w:type="table" w:styleId="735">
    <w:name w:val="Table Grid"/>
    <w:basedOn w:val="704"/>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6">
    <w:name w:val="Strong"/>
    <w:basedOn w:val="703"/>
    <w:uiPriority w:val="22"/>
    <w:qFormat/>
    <w:rPr>
      <w:b/>
    </w:rPr>
  </w:style>
  <w:style w:type="character" w:styleId="737">
    <w:name w:val="endnote reference"/>
    <w:basedOn w:val="703"/>
    <w:uiPriority w:val="99"/>
    <w:semiHidden/>
    <w:unhideWhenUsed/>
    <w:qFormat/>
    <w:rPr>
      <w:vertAlign w:val="superscript"/>
    </w:rPr>
  </w:style>
  <w:style w:type="character" w:styleId="738">
    <w:name w:val="page number"/>
    <w:basedOn w:val="703"/>
    <w:uiPriority w:val="99"/>
    <w:unhideWhenUsed/>
    <w:qFormat/>
  </w:style>
  <w:style w:type="character" w:styleId="739">
    <w:name w:val="Hyperlink"/>
    <w:basedOn w:val="703"/>
    <w:uiPriority w:val="99"/>
    <w:unhideWhenUsed/>
    <w:qFormat/>
    <w:rPr>
      <w:color w:val="0000ff" w:themeColor="hyperlink"/>
      <w:u w:val="single"/>
      <w14:textFill>
        <w14:solidFill>
          <w14:schemeClr w14:val="hlink"/>
        </w14:solidFill>
      </w14:textFill>
    </w:rPr>
  </w:style>
  <w:style w:type="character" w:styleId="740">
    <w:name w:val="annotation reference"/>
    <w:basedOn w:val="703"/>
    <w:uiPriority w:val="99"/>
    <w:unhideWhenUsed/>
    <w:qFormat/>
    <w:rPr>
      <w:sz w:val="21"/>
      <w:szCs w:val="21"/>
    </w:rPr>
  </w:style>
  <w:style w:type="character" w:styleId="741">
    <w:name w:val="footnote reference"/>
    <w:uiPriority w:val="0"/>
    <w:unhideWhenUsed/>
    <w:qFormat/>
    <w:rPr>
      <w:vertAlign w:val="superscript"/>
    </w:rPr>
  </w:style>
  <w:style w:type="character" w:styleId="742" w:customStyle="1">
    <w:name w:val="Title Char"/>
    <w:basedOn w:val="703"/>
    <w:uiPriority w:val="10"/>
    <w:qFormat/>
    <w:rPr>
      <w:sz w:val="48"/>
      <w:szCs w:val="48"/>
    </w:rPr>
  </w:style>
  <w:style w:type="character" w:styleId="743" w:customStyle="1">
    <w:name w:val="Subtitle Char"/>
    <w:basedOn w:val="703"/>
    <w:uiPriority w:val="11"/>
    <w:qFormat/>
    <w:rPr>
      <w:sz w:val="24"/>
      <w:szCs w:val="24"/>
    </w:rPr>
  </w:style>
  <w:style w:type="character" w:styleId="744" w:customStyle="1">
    <w:name w:val="Quote Char"/>
    <w:uiPriority w:val="29"/>
    <w:qFormat/>
    <w:rPr>
      <w:i/>
    </w:rPr>
  </w:style>
  <w:style w:type="character" w:styleId="745" w:customStyle="1">
    <w:name w:val="Intense Quote Char"/>
    <w:uiPriority w:val="30"/>
    <w:qFormat/>
    <w:rPr>
      <w:i/>
    </w:rPr>
  </w:style>
  <w:style w:type="table" w:styleId="746" w:customStyle="1">
    <w:name w:val="Plain Table 1"/>
    <w:basedOn w:val="70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7" w:customStyle="1">
    <w:name w:val="Plain Table 2"/>
    <w:basedOn w:val="70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8" w:customStyle="1">
    <w:name w:val="Plain Table 3"/>
    <w:basedOn w:val="70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9" w:customStyle="1">
    <w:name w:val="Plain Table 4"/>
    <w:basedOn w:val="70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0" w:customStyle="1">
    <w:name w:val="Plain Table 5"/>
    <w:basedOn w:val="70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1" w:customStyle="1">
    <w:name w:val="Grid Table 1 Light"/>
    <w:basedOn w:val="70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2" w:customStyle="1">
    <w:name w:val="Grid Table 2"/>
    <w:basedOn w:val="70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3" w:customStyle="1">
    <w:name w:val="Grid Table 3"/>
    <w:basedOn w:val="70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4"/>
    <w:basedOn w:val="70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5" w:customStyle="1">
    <w:name w:val="Grid Table 5 Dark"/>
    <w:basedOn w:val="70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6" w:customStyle="1">
    <w:name w:val="Grid Table 6 Colorful"/>
    <w:basedOn w:val="70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7" w:customStyle="1">
    <w:name w:val="Grid Table 7 Colorful"/>
    <w:basedOn w:val="70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8" w:customStyle="1">
    <w:name w:val="List Table 1 Light"/>
    <w:basedOn w:val="70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9" w:customStyle="1">
    <w:name w:val="List Table 2"/>
    <w:basedOn w:val="70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0" w:customStyle="1">
    <w:name w:val="List Table 3"/>
    <w:basedOn w:val="70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1" w:customStyle="1">
    <w:name w:val="List Table 4"/>
    <w:basedOn w:val="70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2" w:customStyle="1">
    <w:name w:val="List Table 5 Dark"/>
    <w:basedOn w:val="70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3" w:customStyle="1">
    <w:name w:val="List Table 6 Colorful"/>
    <w:basedOn w:val="70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4" w:customStyle="1">
    <w:name w:val="List Table 7 Colorful"/>
    <w:basedOn w:val="70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65" w:customStyle="1">
    <w:name w:val="Endnote Text Char"/>
    <w:uiPriority w:val="99"/>
    <w:qFormat/>
    <w:rPr>
      <w:sz w:val="20"/>
    </w:rPr>
  </w:style>
  <w:style w:type="paragraph" w:styleId="766" w:customStyle="1">
    <w:name w:val="TOC Heading"/>
    <w:uiPriority w:val="39"/>
    <w:unhideWhenUsed/>
    <w:qFormat/>
    <w:rPr>
      <w:rFonts w:hint="default" w:ascii="Times New Roman" w:hAnsi="Times New Roman" w:eastAsia="宋体" w:cs="Times New Roman"/>
    </w:rPr>
  </w:style>
  <w:style w:type="paragraph" w:styleId="767" w:customStyle="1">
    <w:name w:val="标题 21"/>
    <w:basedOn w:val="693"/>
    <w:next w:val="693"/>
    <w:link w:val="768"/>
    <w:uiPriority w:val="9"/>
    <w:unhideWhenUsed/>
    <w:qFormat/>
    <w:pPr>
      <w:keepLines/>
      <w:keepNext/>
      <w:spacing w:before="360" w:after="200"/>
      <w:outlineLvl w:val="1"/>
    </w:pPr>
    <w:rPr>
      <w:rFonts w:ascii="Arial" w:hAnsi="Arial" w:eastAsia="Arial" w:cs="Arial"/>
      <w:sz w:val="34"/>
    </w:rPr>
  </w:style>
  <w:style w:type="character" w:styleId="768" w:customStyle="1">
    <w:name w:val="Heading 2 Char"/>
    <w:basedOn w:val="703"/>
    <w:link w:val="767"/>
    <w:uiPriority w:val="9"/>
    <w:qFormat/>
    <w:rPr>
      <w:rFonts w:ascii="Arial" w:hAnsi="Arial" w:eastAsia="Arial" w:cs="Arial"/>
      <w:sz w:val="34"/>
    </w:rPr>
  </w:style>
  <w:style w:type="paragraph" w:styleId="769" w:customStyle="1">
    <w:name w:val="标题 31"/>
    <w:basedOn w:val="693"/>
    <w:next w:val="693"/>
    <w:link w:val="770"/>
    <w:uiPriority w:val="9"/>
    <w:unhideWhenUsed/>
    <w:qFormat/>
    <w:pPr>
      <w:keepLines/>
      <w:keepNext/>
      <w:spacing w:before="320" w:after="200"/>
      <w:outlineLvl w:val="2"/>
    </w:pPr>
    <w:rPr>
      <w:rFonts w:ascii="Arial" w:hAnsi="Arial" w:eastAsia="Arial" w:cs="Arial"/>
      <w:sz w:val="30"/>
      <w:szCs w:val="30"/>
    </w:rPr>
  </w:style>
  <w:style w:type="character" w:styleId="770" w:customStyle="1">
    <w:name w:val="Heading 3 Char"/>
    <w:basedOn w:val="703"/>
    <w:link w:val="769"/>
    <w:uiPriority w:val="9"/>
    <w:qFormat/>
    <w:rPr>
      <w:rFonts w:ascii="Arial" w:hAnsi="Arial" w:eastAsia="Arial" w:cs="Arial"/>
      <w:sz w:val="30"/>
      <w:szCs w:val="30"/>
    </w:rPr>
  </w:style>
  <w:style w:type="paragraph" w:styleId="771" w:customStyle="1">
    <w:name w:val="标题 41"/>
    <w:basedOn w:val="693"/>
    <w:next w:val="693"/>
    <w:link w:val="772"/>
    <w:uiPriority w:val="9"/>
    <w:unhideWhenUsed/>
    <w:qFormat/>
    <w:pPr>
      <w:keepLines/>
      <w:keepNext/>
      <w:spacing w:before="320" w:after="200"/>
      <w:outlineLvl w:val="3"/>
    </w:pPr>
    <w:rPr>
      <w:rFonts w:ascii="Arial" w:hAnsi="Arial" w:eastAsia="Arial" w:cs="Arial"/>
      <w:b/>
      <w:bCs/>
      <w:sz w:val="26"/>
      <w:szCs w:val="26"/>
    </w:rPr>
  </w:style>
  <w:style w:type="character" w:styleId="772" w:customStyle="1">
    <w:name w:val="Heading 4 Char"/>
    <w:basedOn w:val="703"/>
    <w:link w:val="771"/>
    <w:uiPriority w:val="9"/>
    <w:qFormat/>
    <w:rPr>
      <w:rFonts w:ascii="Arial" w:hAnsi="Arial" w:eastAsia="Arial" w:cs="Arial"/>
      <w:b/>
      <w:bCs/>
      <w:sz w:val="26"/>
      <w:szCs w:val="26"/>
    </w:rPr>
  </w:style>
  <w:style w:type="paragraph" w:styleId="773" w:customStyle="1">
    <w:name w:val="标题 51"/>
    <w:basedOn w:val="693"/>
    <w:next w:val="693"/>
    <w:link w:val="774"/>
    <w:uiPriority w:val="9"/>
    <w:unhideWhenUsed/>
    <w:qFormat/>
    <w:pPr>
      <w:keepLines/>
      <w:keepNext/>
      <w:spacing w:before="320" w:after="200"/>
      <w:outlineLvl w:val="4"/>
    </w:pPr>
    <w:rPr>
      <w:rFonts w:ascii="Arial" w:hAnsi="Arial" w:eastAsia="Arial" w:cs="Arial"/>
      <w:b/>
      <w:bCs/>
      <w:sz w:val="24"/>
      <w:szCs w:val="24"/>
    </w:rPr>
  </w:style>
  <w:style w:type="character" w:styleId="774" w:customStyle="1">
    <w:name w:val="Heading 5 Char"/>
    <w:basedOn w:val="703"/>
    <w:link w:val="773"/>
    <w:uiPriority w:val="9"/>
    <w:qFormat/>
    <w:rPr>
      <w:rFonts w:ascii="Arial" w:hAnsi="Arial" w:eastAsia="Arial" w:cs="Arial"/>
      <w:b/>
      <w:bCs/>
      <w:sz w:val="24"/>
      <w:szCs w:val="24"/>
    </w:rPr>
  </w:style>
  <w:style w:type="paragraph" w:styleId="775" w:customStyle="1">
    <w:name w:val="标题 61"/>
    <w:basedOn w:val="693"/>
    <w:next w:val="693"/>
    <w:link w:val="776"/>
    <w:uiPriority w:val="9"/>
    <w:unhideWhenUsed/>
    <w:qFormat/>
    <w:pPr>
      <w:keepLines/>
      <w:keepNext/>
      <w:spacing w:before="320" w:after="200"/>
      <w:outlineLvl w:val="5"/>
    </w:pPr>
    <w:rPr>
      <w:rFonts w:ascii="Arial" w:hAnsi="Arial" w:eastAsia="Arial" w:cs="Arial"/>
      <w:b/>
      <w:bCs/>
      <w:sz w:val="22"/>
    </w:rPr>
  </w:style>
  <w:style w:type="character" w:styleId="776" w:customStyle="1">
    <w:name w:val="Heading 6 Char"/>
    <w:basedOn w:val="703"/>
    <w:link w:val="775"/>
    <w:uiPriority w:val="9"/>
    <w:qFormat/>
    <w:rPr>
      <w:rFonts w:ascii="Arial" w:hAnsi="Arial" w:eastAsia="Arial" w:cs="Arial"/>
      <w:b/>
      <w:bCs/>
      <w:sz w:val="22"/>
      <w:szCs w:val="22"/>
    </w:rPr>
  </w:style>
  <w:style w:type="paragraph" w:styleId="777" w:customStyle="1">
    <w:name w:val="标题 71"/>
    <w:basedOn w:val="693"/>
    <w:next w:val="693"/>
    <w:link w:val="778"/>
    <w:uiPriority w:val="9"/>
    <w:unhideWhenUsed/>
    <w:qFormat/>
    <w:pPr>
      <w:keepLines/>
      <w:keepNext/>
      <w:spacing w:before="320" w:after="200"/>
      <w:outlineLvl w:val="6"/>
    </w:pPr>
    <w:rPr>
      <w:rFonts w:ascii="Arial" w:hAnsi="Arial" w:eastAsia="Arial" w:cs="Arial"/>
      <w:b/>
      <w:bCs/>
      <w:i/>
      <w:iCs/>
      <w:sz w:val="22"/>
    </w:rPr>
  </w:style>
  <w:style w:type="character" w:styleId="778" w:customStyle="1">
    <w:name w:val="Heading 7 Char"/>
    <w:basedOn w:val="703"/>
    <w:link w:val="777"/>
    <w:uiPriority w:val="9"/>
    <w:qFormat/>
    <w:rPr>
      <w:rFonts w:ascii="Arial" w:hAnsi="Arial" w:eastAsia="Arial" w:cs="Arial"/>
      <w:b/>
      <w:bCs/>
      <w:i/>
      <w:iCs/>
      <w:sz w:val="22"/>
      <w:szCs w:val="22"/>
    </w:rPr>
  </w:style>
  <w:style w:type="paragraph" w:styleId="779" w:customStyle="1">
    <w:name w:val="标题 81"/>
    <w:basedOn w:val="693"/>
    <w:next w:val="693"/>
    <w:link w:val="780"/>
    <w:uiPriority w:val="9"/>
    <w:unhideWhenUsed/>
    <w:qFormat/>
    <w:pPr>
      <w:keepLines/>
      <w:keepNext/>
      <w:spacing w:before="320" w:after="200"/>
      <w:outlineLvl w:val="7"/>
    </w:pPr>
    <w:rPr>
      <w:rFonts w:ascii="Arial" w:hAnsi="Arial" w:eastAsia="Arial" w:cs="Arial"/>
      <w:i/>
      <w:iCs/>
      <w:sz w:val="22"/>
    </w:rPr>
  </w:style>
  <w:style w:type="character" w:styleId="780" w:customStyle="1">
    <w:name w:val="Heading 8 Char"/>
    <w:basedOn w:val="703"/>
    <w:link w:val="779"/>
    <w:uiPriority w:val="9"/>
    <w:qFormat/>
    <w:rPr>
      <w:rFonts w:ascii="Arial" w:hAnsi="Arial" w:eastAsia="Arial" w:cs="Arial"/>
      <w:i/>
      <w:iCs/>
      <w:sz w:val="22"/>
      <w:szCs w:val="22"/>
    </w:rPr>
  </w:style>
  <w:style w:type="paragraph" w:styleId="781" w:customStyle="1">
    <w:name w:val="标题 91"/>
    <w:basedOn w:val="693"/>
    <w:next w:val="693"/>
    <w:link w:val="782"/>
    <w:uiPriority w:val="9"/>
    <w:unhideWhenUsed/>
    <w:qFormat/>
    <w:pPr>
      <w:keepLines/>
      <w:keepNext/>
      <w:spacing w:before="320" w:after="200"/>
      <w:outlineLvl w:val="8"/>
    </w:pPr>
    <w:rPr>
      <w:rFonts w:ascii="Arial" w:hAnsi="Arial" w:eastAsia="Arial" w:cs="Arial"/>
      <w:i/>
      <w:iCs/>
      <w:szCs w:val="21"/>
    </w:rPr>
  </w:style>
  <w:style w:type="character" w:styleId="782" w:customStyle="1">
    <w:name w:val="Heading 9 Char"/>
    <w:basedOn w:val="703"/>
    <w:link w:val="781"/>
    <w:uiPriority w:val="9"/>
    <w:qFormat/>
    <w:rPr>
      <w:rFonts w:ascii="Arial" w:hAnsi="Arial" w:eastAsia="Arial" w:cs="Arial"/>
      <w:i/>
      <w:iCs/>
      <w:sz w:val="21"/>
      <w:szCs w:val="21"/>
    </w:rPr>
  </w:style>
  <w:style w:type="paragraph" w:styleId="783">
    <w:name w:val="List Paragraph"/>
    <w:basedOn w:val="693"/>
    <w:uiPriority w:val="34"/>
    <w:qFormat/>
    <w:pPr>
      <w:contextualSpacing/>
      <w:ind w:left="720"/>
    </w:pPr>
  </w:style>
  <w:style w:type="paragraph" w:styleId="784">
    <w:name w:val="No Spacing"/>
    <w:uiPriority w:val="1"/>
    <w:qFormat/>
    <w:rPr>
      <w:rFonts w:hint="default" w:ascii="Times New Roman" w:hAnsi="Times New Roman" w:eastAsia="宋体" w:cs="Times New Roman"/>
      <w:lang w:val="en-US" w:eastAsia="zh-CN" w:bidi="ar-SA"/>
    </w:rPr>
  </w:style>
  <w:style w:type="character" w:styleId="785" w:customStyle="1">
    <w:name w:val="标题 字符"/>
    <w:basedOn w:val="703"/>
    <w:link w:val="731"/>
    <w:uiPriority w:val="10"/>
    <w:qFormat/>
    <w:rPr>
      <w:sz w:val="48"/>
      <w:szCs w:val="48"/>
    </w:rPr>
  </w:style>
  <w:style w:type="character" w:styleId="786" w:customStyle="1">
    <w:name w:val="副标题 字符"/>
    <w:basedOn w:val="703"/>
    <w:link w:val="724"/>
    <w:uiPriority w:val="11"/>
    <w:qFormat/>
    <w:rPr>
      <w:sz w:val="24"/>
      <w:szCs w:val="24"/>
    </w:rPr>
  </w:style>
  <w:style w:type="paragraph" w:styleId="787">
    <w:name w:val="Quote"/>
    <w:basedOn w:val="693"/>
    <w:next w:val="693"/>
    <w:link w:val="788"/>
    <w:uiPriority w:val="29"/>
    <w:qFormat/>
    <w:pPr>
      <w:ind w:left="720" w:right="720"/>
    </w:pPr>
    <w:rPr>
      <w:i/>
    </w:rPr>
  </w:style>
  <w:style w:type="character" w:styleId="788" w:customStyle="1">
    <w:name w:val="引用 字符"/>
    <w:link w:val="787"/>
    <w:uiPriority w:val="29"/>
    <w:qFormat/>
    <w:rPr>
      <w:i/>
    </w:rPr>
  </w:style>
  <w:style w:type="paragraph" w:styleId="789">
    <w:name w:val="Intense Quote"/>
    <w:basedOn w:val="693"/>
    <w:next w:val="693"/>
    <w:link w:val="7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0" w:customStyle="1">
    <w:name w:val="明显引用 字符"/>
    <w:link w:val="789"/>
    <w:uiPriority w:val="30"/>
    <w:qFormat/>
    <w:rPr>
      <w:i/>
    </w:rPr>
  </w:style>
  <w:style w:type="character" w:styleId="791" w:customStyle="1">
    <w:name w:val="Header Char"/>
    <w:basedOn w:val="703"/>
    <w:uiPriority w:val="99"/>
    <w:qFormat/>
  </w:style>
  <w:style w:type="character" w:styleId="792" w:customStyle="1">
    <w:name w:val="Footer Char"/>
    <w:basedOn w:val="703"/>
    <w:uiPriority w:val="99"/>
    <w:qFormat/>
  </w:style>
  <w:style w:type="paragraph" w:styleId="793" w:customStyle="1">
    <w:name w:val="题注1"/>
    <w:basedOn w:val="693"/>
    <w:next w:val="693"/>
    <w:uiPriority w:val="35"/>
    <w:semiHidden/>
    <w:unhideWhenUsed/>
    <w:qFormat/>
    <w:pPr>
      <w:spacing w:line="276" w:lineRule="auto"/>
    </w:pPr>
    <w:rPr>
      <w:b/>
      <w:bCs/>
      <w:color w:val="4f81bd" w:themeColor="accent1"/>
      <w:sz w:val="18"/>
      <w:szCs w:val="18"/>
      <w14:textFill>
        <w14:solidFill>
          <w14:schemeClr w14:val="accent1"/>
        </w14:solidFill>
      </w14:textFill>
    </w:rPr>
  </w:style>
  <w:style w:type="character" w:styleId="794" w:customStyle="1">
    <w:name w:val="Caption Char"/>
    <w:uiPriority w:val="99"/>
    <w:qFormat/>
  </w:style>
  <w:style w:type="table" w:styleId="795" w:customStyle="1">
    <w:name w:val="Table Grid Light"/>
    <w:basedOn w:val="70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96" w:customStyle="1">
    <w:name w:val="无格式表格 11"/>
    <w:basedOn w:val="70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无格式表格 21"/>
    <w:basedOn w:val="70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8" w:customStyle="1">
    <w:name w:val="无格式表格 31"/>
    <w:basedOn w:val="70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9" w:customStyle="1">
    <w:name w:val="无格式表格 41"/>
    <w:basedOn w:val="70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0" w:customStyle="1">
    <w:name w:val="无格式表格 51"/>
    <w:basedOn w:val="70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1" w:customStyle="1">
    <w:name w:val="网格表 1 浅色1"/>
    <w:basedOn w:val="70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1"/>
    <w:basedOn w:val="70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2"/>
    <w:basedOn w:val="70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3"/>
    <w:basedOn w:val="70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4"/>
    <w:basedOn w:val="70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6"/>
    <w:basedOn w:val="70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7" w:customStyle="1">
    <w:name w:val="网格表 21"/>
    <w:basedOn w:val="70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8" w:customStyle="1">
    <w:name w:val="Grid Table 2 - Accent 1"/>
    <w:basedOn w:val="70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9" w:customStyle="1">
    <w:name w:val="Grid Table 2 - Accent 2"/>
    <w:basedOn w:val="70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0" w:customStyle="1">
    <w:name w:val="Grid Table 2 - Accent 3"/>
    <w:basedOn w:val="70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1" w:customStyle="1">
    <w:name w:val="Grid Table 2 - Accent 4"/>
    <w:basedOn w:val="70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2" w:customStyle="1">
    <w:name w:val="Grid Table 2 - Accent 5"/>
    <w:basedOn w:val="704"/>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3" w:customStyle="1">
    <w:name w:val="Grid Table 2 - Accent 6"/>
    <w:basedOn w:val="704"/>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4" w:customStyle="1">
    <w:name w:val="网格表 31"/>
    <w:basedOn w:val="70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1"/>
    <w:basedOn w:val="70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2"/>
    <w:basedOn w:val="70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3"/>
    <w:basedOn w:val="70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4"/>
    <w:basedOn w:val="70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5"/>
    <w:basedOn w:val="704"/>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6"/>
    <w:basedOn w:val="704"/>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网格表 41"/>
    <w:basedOn w:val="70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2" w:customStyle="1">
    <w:name w:val="Grid Table 4 - Accent 1"/>
    <w:basedOn w:val="704"/>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3" w:customStyle="1">
    <w:name w:val="Grid Table 4 - Accent 2"/>
    <w:basedOn w:val="704"/>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4" w:customStyle="1">
    <w:name w:val="Grid Table 4 - Accent 3"/>
    <w:basedOn w:val="704"/>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5" w:customStyle="1">
    <w:name w:val="Grid Table 4 - Accent 4"/>
    <w:basedOn w:val="70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6" w:customStyle="1">
    <w:name w:val="Grid Table 4 - Accent 5"/>
    <w:basedOn w:val="704"/>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7" w:customStyle="1">
    <w:name w:val="Grid Table 4 - Accent 6"/>
    <w:basedOn w:val="704"/>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8" w:customStyle="1">
    <w:name w:val="网格表 5 深色1"/>
    <w:basedOn w:val="70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9" w:customStyle="1">
    <w:name w:val="Grid Table 5 Dark- Accent 1"/>
    <w:basedOn w:val="70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0" w:customStyle="1">
    <w:name w:val="Grid Table 5 Dark - Accent 2"/>
    <w:basedOn w:val="70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1" w:customStyle="1">
    <w:name w:val="Grid Table 5 Dark - Accent 3"/>
    <w:basedOn w:val="70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2" w:customStyle="1">
    <w:name w:val="Grid Table 5 Dark- Accent 4"/>
    <w:basedOn w:val="70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3" w:customStyle="1">
    <w:name w:val="Grid Table 5 Dark - Accent 5"/>
    <w:basedOn w:val="70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4" w:customStyle="1">
    <w:name w:val="Grid Table 5 Dark - Accent 6"/>
    <w:basedOn w:val="70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5" w:customStyle="1">
    <w:name w:val="网格表 6 彩色1"/>
    <w:basedOn w:val="70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6" w:customStyle="1">
    <w:name w:val="Grid Table 6 Colorful - Accent 1"/>
    <w:basedOn w:val="704"/>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7" w:customStyle="1">
    <w:name w:val="Grid Table 6 Colorful - Accent 2"/>
    <w:basedOn w:val="70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8" w:customStyle="1">
    <w:name w:val="Grid Table 6 Colorful - Accent 3"/>
    <w:basedOn w:val="704"/>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9" w:customStyle="1">
    <w:name w:val="Grid Table 6 Colorful - Accent 4"/>
    <w:basedOn w:val="70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0" w:customStyle="1">
    <w:name w:val="Grid Table 6 Colorful - Accent 5"/>
    <w:basedOn w:val="704"/>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1" w:customStyle="1">
    <w:name w:val="Grid Table 6 Colorful - Accent 6"/>
    <w:basedOn w:val="704"/>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2" w:customStyle="1">
    <w:name w:val="网格表 7 彩色1"/>
    <w:basedOn w:val="70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3" w:customStyle="1">
    <w:name w:val="Grid Table 7 Colorful - Accent 1"/>
    <w:basedOn w:val="704"/>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4" w:customStyle="1">
    <w:name w:val="Grid Table 7 Colorful - Accent 2"/>
    <w:basedOn w:val="704"/>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5" w:customStyle="1">
    <w:name w:val="Grid Table 7 Colorful - Accent 3"/>
    <w:basedOn w:val="704"/>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6" w:customStyle="1">
    <w:name w:val="Grid Table 7 Colorful - Accent 4"/>
    <w:basedOn w:val="70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7" w:customStyle="1">
    <w:name w:val="Grid Table 7 Colorful - Accent 5"/>
    <w:basedOn w:val="704"/>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8" w:customStyle="1">
    <w:name w:val="Grid Table 7 Colorful - Accent 6"/>
    <w:basedOn w:val="704"/>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9" w:customStyle="1">
    <w:name w:val="清单表 1 浅色1"/>
    <w:basedOn w:val="70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0" w:customStyle="1">
    <w:name w:val="List Table 1 Light - Accent 1"/>
    <w:basedOn w:val="704"/>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1" w:customStyle="1">
    <w:name w:val="List Table 1 Light - Accent 2"/>
    <w:basedOn w:val="704"/>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2" w:customStyle="1">
    <w:name w:val="List Table 1 Light - Accent 3"/>
    <w:basedOn w:val="704"/>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3" w:customStyle="1">
    <w:name w:val="List Table 1 Light - Accent 4"/>
    <w:basedOn w:val="704"/>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4" w:customStyle="1">
    <w:name w:val="List Table 1 Light - Accent 5"/>
    <w:basedOn w:val="704"/>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5" w:customStyle="1">
    <w:name w:val="List Table 1 Light - Accent 6"/>
    <w:basedOn w:val="704"/>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6" w:customStyle="1">
    <w:name w:val="清单表 21"/>
    <w:basedOn w:val="70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7" w:customStyle="1">
    <w:name w:val="List Table 2 - Accent 1"/>
    <w:basedOn w:val="704"/>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8" w:customStyle="1">
    <w:name w:val="List Table 2 - Accent 2"/>
    <w:basedOn w:val="704"/>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9" w:customStyle="1">
    <w:name w:val="List Table 2 - Accent 3"/>
    <w:basedOn w:val="704"/>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0" w:customStyle="1">
    <w:name w:val="List Table 2 - Accent 4"/>
    <w:basedOn w:val="70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1" w:customStyle="1">
    <w:name w:val="List Table 2 - Accent 5"/>
    <w:basedOn w:val="704"/>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2" w:customStyle="1">
    <w:name w:val="List Table 2 - Accent 6"/>
    <w:basedOn w:val="704"/>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3" w:customStyle="1">
    <w:name w:val="清单表 31"/>
    <w:basedOn w:val="70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List Table 3 - Accent 1"/>
    <w:basedOn w:val="704"/>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5" w:customStyle="1">
    <w:name w:val="List Table 3 - Accent 2"/>
    <w:basedOn w:val="70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6" w:customStyle="1">
    <w:name w:val="List Table 3 - Accent 3"/>
    <w:basedOn w:val="704"/>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7" w:customStyle="1">
    <w:name w:val="List Table 3 - Accent 4"/>
    <w:basedOn w:val="70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8" w:customStyle="1">
    <w:name w:val="List Table 3 - Accent 5"/>
    <w:basedOn w:val="704"/>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9" w:customStyle="1">
    <w:name w:val="List Table 3 - Accent 6"/>
    <w:basedOn w:val="704"/>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0" w:customStyle="1">
    <w:name w:val="清单表 41"/>
    <w:basedOn w:val="70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1" w:customStyle="1">
    <w:name w:val="List Table 4 - Accent 1"/>
    <w:basedOn w:val="704"/>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2" w:customStyle="1">
    <w:name w:val="List Table 4 - Accent 2"/>
    <w:basedOn w:val="704"/>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3" w:customStyle="1">
    <w:name w:val="List Table 4 - Accent 3"/>
    <w:basedOn w:val="704"/>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4" w:customStyle="1">
    <w:name w:val="List Table 4 - Accent 4"/>
    <w:basedOn w:val="70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5" w:customStyle="1">
    <w:name w:val="List Table 4 - Accent 5"/>
    <w:basedOn w:val="704"/>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6" w:customStyle="1">
    <w:name w:val="List Table 4 - Accent 6"/>
    <w:basedOn w:val="704"/>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7" w:customStyle="1">
    <w:name w:val="清单表 5 深色1"/>
    <w:basedOn w:val="70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1"/>
    <w:basedOn w:val="704"/>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2"/>
    <w:basedOn w:val="704"/>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3"/>
    <w:basedOn w:val="704"/>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4"/>
    <w:basedOn w:val="70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5"/>
    <w:basedOn w:val="704"/>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6"/>
    <w:basedOn w:val="704"/>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清单表 6 彩色1"/>
    <w:basedOn w:val="70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5" w:customStyle="1">
    <w:name w:val="List Table 6 Colorful - Accent 1"/>
    <w:basedOn w:val="704"/>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6" w:customStyle="1">
    <w:name w:val="List Table 6 Colorful - Accent 2"/>
    <w:basedOn w:val="704"/>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7" w:customStyle="1">
    <w:name w:val="List Table 6 Colorful - Accent 3"/>
    <w:basedOn w:val="704"/>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8" w:customStyle="1">
    <w:name w:val="List Table 6 Colorful - Accent 4"/>
    <w:basedOn w:val="704"/>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9" w:customStyle="1">
    <w:name w:val="List Table 6 Colorful - Accent 5"/>
    <w:basedOn w:val="704"/>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0" w:customStyle="1">
    <w:name w:val="List Table 6 Colorful - Accent 6"/>
    <w:basedOn w:val="704"/>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1" w:customStyle="1">
    <w:name w:val="清单表 7 彩色1"/>
    <w:basedOn w:val="70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2" w:customStyle="1">
    <w:name w:val="List Table 7 Colorful - Accent 1"/>
    <w:basedOn w:val="704"/>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3" w:customStyle="1">
    <w:name w:val="List Table 7 Colorful - Accent 2"/>
    <w:basedOn w:val="704"/>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4" w:customStyle="1">
    <w:name w:val="List Table 7 Colorful - Accent 3"/>
    <w:basedOn w:val="704"/>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5" w:customStyle="1">
    <w:name w:val="List Table 7 Colorful - Accent 4"/>
    <w:basedOn w:val="704"/>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6" w:customStyle="1">
    <w:name w:val="List Table 7 Colorful - Accent 5"/>
    <w:basedOn w:val="704"/>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7" w:customStyle="1">
    <w:name w:val="List Table 7 Colorful - Accent 6"/>
    <w:basedOn w:val="704"/>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8" w:customStyle="1">
    <w:name w:val="Lined - Accent"/>
    <w:basedOn w:val="70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9" w:customStyle="1">
    <w:name w:val="Lined - Accent 1"/>
    <w:basedOn w:val="70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0" w:customStyle="1">
    <w:name w:val="Lined - Accent 2"/>
    <w:basedOn w:val="70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1" w:customStyle="1">
    <w:name w:val="Lined - Accent 3"/>
    <w:basedOn w:val="70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2" w:customStyle="1">
    <w:name w:val="Lined - Accent 4"/>
    <w:basedOn w:val="70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3" w:customStyle="1">
    <w:name w:val="Lined - Accent 5"/>
    <w:basedOn w:val="70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4" w:customStyle="1">
    <w:name w:val="Lined - Accent 6"/>
    <w:basedOn w:val="70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5" w:customStyle="1">
    <w:name w:val="Bordered &amp; Lined - Accent"/>
    <w:basedOn w:val="70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6" w:customStyle="1">
    <w:name w:val="Bordered &amp; Lined - Accent 1"/>
    <w:basedOn w:val="704"/>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7" w:customStyle="1">
    <w:name w:val="Bordered &amp; Lined - Accent 2"/>
    <w:basedOn w:val="704"/>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8" w:customStyle="1">
    <w:name w:val="Bordered &amp; Lined - Accent 3"/>
    <w:basedOn w:val="704"/>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9" w:customStyle="1">
    <w:name w:val="Bordered &amp; Lined - Accent 4"/>
    <w:basedOn w:val="70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0" w:customStyle="1">
    <w:name w:val="Bordered &amp; Lined - Accent 5"/>
    <w:basedOn w:val="704"/>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1" w:customStyle="1">
    <w:name w:val="Bordered &amp; Lined - Accent 6"/>
    <w:basedOn w:val="704"/>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2" w:customStyle="1">
    <w:name w:val="Bordered"/>
    <w:basedOn w:val="70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3" w:customStyle="1">
    <w:name w:val="Bordered - Accent 1"/>
    <w:basedOn w:val="70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4" w:customStyle="1">
    <w:name w:val="Bordered - Accent 2"/>
    <w:basedOn w:val="70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5" w:customStyle="1">
    <w:name w:val="Bordered - Accent 3"/>
    <w:basedOn w:val="70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6" w:customStyle="1">
    <w:name w:val="Bordered - Accent 4"/>
    <w:basedOn w:val="70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7" w:customStyle="1">
    <w:name w:val="Bordered - Accent 5"/>
    <w:basedOn w:val="70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8" w:customStyle="1">
    <w:name w:val="Bordered - Accent 6"/>
    <w:basedOn w:val="70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9" w:customStyle="1">
    <w:name w:val="Footnote Text Char"/>
    <w:uiPriority w:val="99"/>
    <w:qFormat/>
    <w:rPr>
      <w:sz w:val="18"/>
    </w:rPr>
  </w:style>
  <w:style w:type="character" w:styleId="920" w:customStyle="1">
    <w:name w:val="尾注文本 字符"/>
    <w:link w:val="716"/>
    <w:uiPriority w:val="99"/>
    <w:qFormat/>
    <w:rPr>
      <w:sz w:val="20"/>
    </w:rPr>
  </w:style>
  <w:style w:type="paragraph" w:styleId="921" w:customStyle="1">
    <w:name w:val="TOC 标题1"/>
    <w:uiPriority w:val="39"/>
    <w:unhideWhenUsed/>
    <w:qFormat/>
    <w:rPr>
      <w:rFonts w:hint="default" w:ascii="Times New Roman" w:hAnsi="Times New Roman" w:eastAsia="宋体" w:cs="Times New Roman"/>
      <w:lang w:val="en-US" w:eastAsia="zh-CN" w:bidi="ar-SA"/>
    </w:rPr>
  </w:style>
  <w:style w:type="paragraph" w:styleId="922" w:customStyle="1">
    <w:name w:val="页脚1"/>
    <w:basedOn w:val="693"/>
    <w:link w:val="925"/>
    <w:uiPriority w:val="99"/>
    <w:unhideWhenUsed/>
    <w:qFormat/>
    <w:pPr>
      <w:jc w:val="left"/>
      <w:tabs>
        <w:tab w:val="center" w:pos="4153" w:leader="none"/>
        <w:tab w:val="right" w:pos="8306" w:leader="none"/>
      </w:tabs>
    </w:pPr>
    <w:rPr>
      <w:rFonts w:asciiTheme="minorHAnsi" w:hAnsiTheme="minorHAnsi" w:eastAsiaTheme="minorEastAsia" w:cstheme="minorBidi"/>
      <w:sz w:val="18"/>
      <w:szCs w:val="18"/>
    </w:rPr>
  </w:style>
  <w:style w:type="paragraph" w:styleId="923" w:customStyle="1">
    <w:name w:val="页眉1"/>
    <w:basedOn w:val="693"/>
    <w:link w:val="924"/>
    <w:uiPriority w:val="99"/>
    <w:unhideWhenUsed/>
    <w:qFormat/>
    <w:pPr>
      <w:jc w:val="center"/>
      <w:tabs>
        <w:tab w:val="center" w:pos="4153" w:leader="none"/>
        <w:tab w:val="right" w:pos="8306" w:leader="none"/>
      </w:tabs>
      <w:pBdr>
        <w:bottom w:val="single" w:color="auto" w:sz="6" w:space="1"/>
      </w:pBdr>
    </w:pPr>
    <w:rPr>
      <w:rFonts w:asciiTheme="minorHAnsi" w:hAnsiTheme="minorHAnsi" w:eastAsiaTheme="minorEastAsia" w:cstheme="minorBidi"/>
      <w:sz w:val="18"/>
      <w:szCs w:val="18"/>
    </w:rPr>
  </w:style>
  <w:style w:type="character" w:styleId="924" w:customStyle="1">
    <w:name w:val="页眉 Char"/>
    <w:basedOn w:val="703"/>
    <w:link w:val="923"/>
    <w:uiPriority w:val="99"/>
    <w:semiHidden/>
    <w:qFormat/>
    <w:rPr>
      <w:sz w:val="18"/>
      <w:szCs w:val="18"/>
    </w:rPr>
  </w:style>
  <w:style w:type="character" w:styleId="925" w:customStyle="1">
    <w:name w:val="页脚 Char"/>
    <w:basedOn w:val="703"/>
    <w:link w:val="922"/>
    <w:uiPriority w:val="99"/>
    <w:qFormat/>
    <w:rPr>
      <w:sz w:val="18"/>
      <w:szCs w:val="18"/>
    </w:rPr>
  </w:style>
  <w:style w:type="character" w:styleId="926" w:customStyle="1">
    <w:name w:val="脚注文本 字符"/>
    <w:basedOn w:val="703"/>
    <w:link w:val="725"/>
    <w:uiPriority w:val="99"/>
    <w:qFormat/>
    <w:rPr>
      <w:rFonts w:ascii="Calibri" w:hAnsi="Calibri" w:eastAsia="宋体" w:cs="Times New Roman"/>
      <w:sz w:val="18"/>
      <w:szCs w:val="18"/>
    </w:rPr>
  </w:style>
  <w:style w:type="character" w:styleId="927" w:customStyle="1">
    <w:name w:val="批注框文本 字符"/>
    <w:basedOn w:val="703"/>
    <w:link w:val="717"/>
    <w:uiPriority w:val="99"/>
    <w:semiHidden/>
    <w:qFormat/>
    <w:rPr>
      <w:rFonts w:ascii="Calibri" w:hAnsi="Calibri" w:eastAsia="宋体" w:cs="Times New Roman"/>
      <w:sz w:val="18"/>
      <w:szCs w:val="18"/>
    </w:rPr>
  </w:style>
  <w:style w:type="paragraph" w:styleId="928" w:customStyle="1">
    <w:name w:val="列出段落1"/>
    <w:basedOn w:val="693"/>
    <w:link w:val="944"/>
    <w:uiPriority w:val="0"/>
    <w:qFormat/>
    <w:pPr>
      <w:ind w:firstLine="420"/>
    </w:pPr>
    <w:rPr>
      <w:rFonts w:ascii="Times New Roman" w:hAnsi="Times New Roman"/>
      <w:szCs w:val="24"/>
    </w:rPr>
  </w:style>
  <w:style w:type="character" w:styleId="929" w:customStyle="1">
    <w:name w:val="文档结构图 字符"/>
    <w:basedOn w:val="703"/>
    <w:link w:val="709"/>
    <w:uiPriority w:val="99"/>
    <w:semiHidden/>
    <w:qFormat/>
    <w:rPr>
      <w:rFonts w:ascii="宋体" w:hAnsi="Calibri" w:eastAsia="宋体" w:cs="Times New Roman"/>
      <w:sz w:val="18"/>
      <w:szCs w:val="18"/>
    </w:rPr>
  </w:style>
  <w:style w:type="character" w:styleId="930" w:customStyle="1">
    <w:name w:val="批注文字 字符"/>
    <w:basedOn w:val="703"/>
    <w:link w:val="710"/>
    <w:uiPriority w:val="99"/>
    <w:semiHidden/>
    <w:qFormat/>
    <w:rPr>
      <w:rFonts w:ascii="Times New Roman" w:hAnsi="Times New Roman" w:eastAsia="宋体" w:cs="Times New Roman"/>
      <w:szCs w:val="20"/>
    </w:rPr>
  </w:style>
  <w:style w:type="character" w:styleId="931" w:customStyle="1">
    <w:name w:val="批注主题 字符"/>
    <w:basedOn w:val="930"/>
    <w:link w:val="732"/>
    <w:uiPriority w:val="99"/>
    <w:semiHidden/>
    <w:qFormat/>
    <w:rPr>
      <w:rFonts w:ascii="Calibri" w:hAnsi="Calibri" w:eastAsia="宋体" w:cs="Times New Roman"/>
      <w:b/>
      <w:bCs/>
      <w:szCs w:val="20"/>
    </w:rPr>
  </w:style>
  <w:style w:type="character" w:styleId="932" w:customStyle="1">
    <w:name w:val="正文文本 字符"/>
    <w:basedOn w:val="703"/>
    <w:link w:val="711"/>
    <w:uiPriority w:val="99"/>
    <w:semiHidden/>
    <w:qFormat/>
    <w:rPr>
      <w:rFonts w:ascii="Calibri" w:hAnsi="Calibri" w:eastAsia="宋体" w:cs="Times New Roman"/>
    </w:rPr>
  </w:style>
  <w:style w:type="character" w:styleId="933" w:customStyle="1">
    <w:name w:val="正文文本首行缩进 字符"/>
    <w:basedOn w:val="932"/>
    <w:link w:val="733"/>
    <w:uiPriority w:val="99"/>
    <w:semiHidden/>
    <w:qFormat/>
    <w:rPr>
      <w:rFonts w:ascii="Times New Roman" w:hAnsi="Times New Roman" w:eastAsia="宋体" w:cs="Times New Roman"/>
      <w:szCs w:val="20"/>
    </w:rPr>
  </w:style>
  <w:style w:type="paragraph" w:styleId="934" w:customStyle="1">
    <w:name w:val="首行缩进"/>
    <w:basedOn w:val="693"/>
    <w:uiPriority w:val="0"/>
    <w:qFormat/>
    <w:pPr>
      <w:ind w:firstLine="480"/>
      <w:jc w:val="left"/>
      <w:spacing w:line="360" w:lineRule="auto"/>
    </w:pPr>
    <w:rPr>
      <w:rFonts w:ascii="宋体" w:hAnsi="宋体"/>
      <w:sz w:val="24"/>
      <w:szCs w:val="24"/>
    </w:rPr>
  </w:style>
  <w:style w:type="character" w:styleId="935" w:customStyle="1">
    <w:name w:val="正文缩进 字符"/>
    <w:link w:val="707"/>
    <w:uiPriority w:val="0"/>
    <w:qFormat/>
    <w:rPr>
      <w:rFonts w:ascii="Calibri" w:hAnsi="Calibri" w:eastAsia="宋体" w:cs="Times New Roman"/>
      <w:sz w:val="20"/>
      <w:szCs w:val="20"/>
      <w:lang w:val="zh-CN"/>
    </w:rPr>
  </w:style>
  <w:style w:type="paragraph" w:styleId="936" w:customStyle="1">
    <w:name w:val="纯文本12"/>
    <w:basedOn w:val="693"/>
    <w:uiPriority w:val="99"/>
    <w:qFormat/>
    <w:rPr>
      <w:rFonts w:ascii="宋体" w:hAnsi="Courier New" w:eastAsia="楷体_GB2312"/>
      <w:sz w:val="28"/>
      <w:szCs w:val="24"/>
    </w:rPr>
  </w:style>
  <w:style w:type="character" w:styleId="937" w:customStyle="1">
    <w:name w:val="正文文本缩进 字符"/>
    <w:basedOn w:val="703"/>
    <w:link w:val="705"/>
    <w:uiPriority w:val="99"/>
    <w:semiHidden/>
    <w:qFormat/>
    <w:rPr>
      <w:rFonts w:ascii="Calibri" w:hAnsi="Calibri" w:eastAsia="宋体" w:cs="Times New Roman"/>
    </w:rPr>
  </w:style>
  <w:style w:type="character" w:styleId="938" w:customStyle="1">
    <w:name w:val="正文文本首行缩进 2 字符"/>
    <w:basedOn w:val="937"/>
    <w:link w:val="734"/>
    <w:uiPriority w:val="99"/>
    <w:qFormat/>
    <w:rPr>
      <w:rFonts w:ascii="Calibri" w:hAnsi="Calibri" w:eastAsia="宋体" w:cs="Times New Roman"/>
    </w:rPr>
  </w:style>
  <w:style w:type="character" w:styleId="939" w:customStyle="1">
    <w:name w:val="Heading 1 Char"/>
    <w:basedOn w:val="703"/>
    <w:link w:val="722"/>
    <w:uiPriority w:val="9"/>
    <w:qFormat/>
    <w:rPr>
      <w:rFonts w:ascii="Arial" w:hAnsi="Arial" w:eastAsia="Arial" w:cs="Arial"/>
      <w:sz w:val="40"/>
      <w:szCs w:val="40"/>
    </w:rPr>
  </w:style>
  <w:style w:type="character" w:styleId="940" w:customStyle="1">
    <w:name w:val="脚注文本 Char1"/>
    <w:uiPriority w:val="99"/>
    <w:qFormat/>
    <w:rPr>
      <w:sz w:val="18"/>
    </w:rPr>
  </w:style>
  <w:style w:type="paragraph" w:styleId="941" w:customStyle="1">
    <w:name w:val="纯文本3"/>
    <w:basedOn w:val="693"/>
    <w:uiPriority w:val="0"/>
    <w:qFormat/>
    <w:pPr>
      <w:ind w:left="1024"/>
      <w:widowControl/>
    </w:pPr>
    <w:rPr>
      <w:rFonts w:ascii="宋体" w:hAnsi="Courier New"/>
      <w:sz w:val="20"/>
      <w:szCs w:val="20"/>
    </w:rPr>
  </w:style>
  <w:style w:type="character" w:styleId="942" w:customStyle="1">
    <w:name w:val="正文缩进 Char1"/>
    <w:uiPriority w:val="0"/>
    <w:qFormat/>
    <w:rPr>
      <w:rFonts w:ascii="Calibri" w:hAnsi="Calibri"/>
    </w:rPr>
  </w:style>
  <w:style w:type="table" w:styleId="943" w:customStyle="1">
    <w:name w:val="Grid Table 1 Light - Accent 5"/>
    <w:basedOn w:val="70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character" w:styleId="944" w:customStyle="1">
    <w:name w:val="列出段落 Char"/>
    <w:link w:val="928"/>
    <w:uiPriority w:val="0"/>
    <w:qFormat/>
    <w:rPr>
      <w:rFonts w:ascii="Times New Roman" w:hAnsi="Times New Roman" w:eastAsia="宋体" w:cs="Times New Roman"/>
      <w:szCs w:val="24"/>
    </w:rPr>
  </w:style>
  <w:style w:type="paragraph" w:styleId="945" w:customStyle="1">
    <w:name w:val="表格字体"/>
    <w:basedOn w:val="693"/>
    <w:uiPriority w:val="0"/>
    <w:qFormat/>
    <w:pPr>
      <w:ind w:firstLine="723"/>
      <w:spacing w:line="400" w:lineRule="exact"/>
      <w:widowControl/>
    </w:pPr>
    <w:rPr>
      <w:rFonts w:hint="eastAsia" w:ascii="Times New Roman" w:hAnsi="Times New Roman" w:eastAsia="仿宋" w:cs="宋体"/>
      <w:bCs/>
      <w:color w:val="000000"/>
      <w:sz w:val="24"/>
      <w:szCs w:val="18"/>
    </w:rPr>
  </w:style>
  <w:style w:type="paragraph" w:styleId="946" w:customStyle="1">
    <w:name w:val="修订1"/>
    <w:hidden/>
    <w:uiPriority w:val="99"/>
    <w:semiHidden/>
    <w:qFormat/>
    <w:rPr>
      <w:rFonts w:hint="default" w:ascii="Calibri" w:hAnsi="Calibri" w:eastAsia="宋体" w:cs="Times New Roman"/>
      <w:sz w:val="21"/>
      <w:szCs w:val="22"/>
      <w:lang w:val="en-US" w:eastAsia="zh-CN" w:bidi="ar-SA"/>
    </w:rPr>
  </w:style>
  <w:style w:type="paragraph" w:styleId="947" w:customStyle="1">
    <w:name w:val="Default"/>
    <w:uiPriority w:val="0"/>
    <w:qFormat/>
    <w:pPr>
      <w:widowControl w:val="off"/>
    </w:pPr>
    <w:rPr>
      <w:rFonts w:hint="default" w:ascii="宋体_x0001_糭.飬.." w:hAnsi="Times New Roman" w:eastAsia="宋体_x0001_糭.飬.." w:cs="宋体_x0001_糭.飬.."/>
      <w:color w:val="000000"/>
      <w:sz w:val="24"/>
      <w:szCs w:val="24"/>
      <w:lang w:val="en-US" w:eastAsia="zh-CN" w:bidi="ar-SA"/>
    </w:rPr>
  </w:style>
  <w:style w:type="paragraph" w:styleId="948" w:customStyle="1">
    <w:name w:val="普通正文"/>
    <w:basedOn w:val="693"/>
    <w:uiPriority w:val="0"/>
    <w:qFormat/>
    <w:pPr>
      <w:ind w:firstLine="480"/>
      <w:jc w:val="left"/>
      <w:spacing w:before="120" w:after="120" w:line="360" w:lineRule="auto"/>
    </w:pPr>
    <w:rPr>
      <w:rFonts w:ascii="Arial" w:hAnsi="Arial"/>
      <w:sz w:val="24"/>
      <w:szCs w:val="24"/>
    </w:rPr>
  </w:style>
  <w:style w:type="numbering" w:styleId="158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苏州市润芳招投标咨询服务有限公司</dc:creator>
  <cp:lastModifiedBy>王思恬</cp:lastModifiedBy>
  <cp:revision>18</cp:revision>
  <dcterms:created xsi:type="dcterms:W3CDTF">2025-02-19T02:41:00Z</dcterms:created>
  <dcterms:modified xsi:type="dcterms:W3CDTF">2026-08-25T07:39:57Z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D4943127E51B4C78856007DE9303FF47_13</vt:lpwstr>
  </property>
  <property fmtid="{D5CDD505-2E9C-101B-9397-08002B2CF9AE}" pid="4" name="KSOTemplateDocerSaveRecord">
    <vt:lpwstr>eyJoZGlkIjoiMDg2NmNiNzViZmNlZTQ5Yzc5MzkyMTNlNDVkNTBlMTQifQ==</vt:lpwstr>
  </property>
</Properties>
</file>