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C771E">
      <w:pPr>
        <w:pStyle w:val="209"/>
        <w:ind w:firstLine="0"/>
        <w:jc w:val="both"/>
        <w:rPr>
          <w:rFonts w:hint="eastAsia" w:ascii="宋体" w:hAnsi="宋体" w:eastAsia="宋体" w:cs="宋体"/>
          <w:b/>
          <w:bCs/>
          <w:color w:val="000000" w:themeColor="text1"/>
          <w:spacing w:val="80"/>
          <w:sz w:val="72"/>
          <w:szCs w:val="72"/>
          <w:highlight w:val="none"/>
          <w14:textFill>
            <w14:solidFill>
              <w14:schemeClr w14:val="tx1"/>
            </w14:solidFill>
          </w14:textFill>
        </w:rPr>
      </w:pPr>
      <w:r>
        <w:rPr>
          <w:rFonts w:hint="eastAsia" w:ascii="宋体" w:hAnsi="宋体" w:eastAsia="宋体" w:cs="宋体"/>
          <w:b/>
          <w:bCs/>
          <w:color w:val="000000" w:themeColor="text1"/>
          <w:spacing w:val="80"/>
          <w:sz w:val="72"/>
          <w:szCs w:val="72"/>
          <w:highlight w:val="none"/>
          <w14:textFill>
            <w14:solidFill>
              <w14:schemeClr w14:val="tx1"/>
            </w14:solidFill>
          </w14:textFill>
        </w:rPr>
        <w:t xml:space="preserve"> </w:t>
      </w:r>
    </w:p>
    <w:p w14:paraId="68813CC2">
      <w:pPr>
        <w:pStyle w:val="209"/>
        <w:ind w:firstLine="0"/>
        <w:jc w:val="center"/>
        <w:rPr>
          <w:rFonts w:hint="eastAsia" w:ascii="宋体" w:hAnsi="宋体"/>
          <w:b/>
          <w:bCs/>
          <w:color w:val="000000" w:themeColor="text1"/>
          <w:spacing w:val="80"/>
          <w:sz w:val="72"/>
          <w:szCs w:val="72"/>
          <w:highlight w:val="none"/>
          <w14:textFill>
            <w14:solidFill>
              <w14:schemeClr w14:val="tx1"/>
            </w14:solidFill>
          </w14:textFill>
        </w:rPr>
      </w:pPr>
      <w:r>
        <w:rPr>
          <w:rFonts w:hint="eastAsia" w:ascii="宋体" w:hAnsi="宋体"/>
          <w:b/>
          <w:bCs/>
          <w:color w:val="000000" w:themeColor="text1"/>
          <w:spacing w:val="80"/>
          <w:sz w:val="72"/>
          <w:szCs w:val="72"/>
          <w:highlight w:val="none"/>
          <w:lang w:val="en-US" w:eastAsia="zh-CN"/>
          <w14:textFill>
            <w14:solidFill>
              <w14:schemeClr w14:val="tx1"/>
            </w14:solidFill>
          </w14:textFill>
        </w:rPr>
        <w:t>连云港市</w:t>
      </w:r>
      <w:r>
        <w:rPr>
          <w:rFonts w:hint="eastAsia" w:ascii="宋体" w:hAnsi="宋体"/>
          <w:b/>
          <w:bCs/>
          <w:color w:val="000000" w:themeColor="text1"/>
          <w:spacing w:val="80"/>
          <w:sz w:val="72"/>
          <w:szCs w:val="72"/>
          <w:highlight w:val="none"/>
          <w14:textFill>
            <w14:solidFill>
              <w14:schemeClr w14:val="tx1"/>
            </w14:solidFill>
          </w14:textFill>
        </w:rPr>
        <w:t>政府采购</w:t>
      </w:r>
    </w:p>
    <w:p w14:paraId="49F680B8">
      <w:pPr>
        <w:pStyle w:val="209"/>
        <w:tabs>
          <w:tab w:val="left" w:pos="6510"/>
        </w:tabs>
        <w:ind w:firstLine="0"/>
        <w:jc w:val="both"/>
        <w:rPr>
          <w:rFonts w:hint="eastAsia" w:ascii="宋体" w:hAnsi="宋体" w:eastAsia="宋体" w:cs="宋体"/>
          <w:b/>
          <w:bCs/>
          <w:color w:val="000000" w:themeColor="text1"/>
          <w:spacing w:val="80"/>
          <w:sz w:val="72"/>
          <w:szCs w:val="72"/>
          <w:highlight w:val="none"/>
          <w14:textFill>
            <w14:solidFill>
              <w14:schemeClr w14:val="tx1"/>
            </w14:solidFill>
          </w14:textFill>
        </w:rPr>
      </w:pPr>
    </w:p>
    <w:p w14:paraId="308E5F13">
      <w:pPr>
        <w:pStyle w:val="209"/>
        <w:ind w:firstLine="0"/>
        <w:jc w:val="center"/>
        <w:rPr>
          <w:rFonts w:hint="eastAsia" w:ascii="宋体" w:hAnsi="宋体" w:eastAsia="宋体" w:cs="宋体"/>
          <w:b/>
          <w:bCs/>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t>竞争性磋商文件</w:t>
      </w:r>
    </w:p>
    <w:p w14:paraId="217F3A3E">
      <w:pPr>
        <w:pStyle w:val="209"/>
        <w:ind w:firstLine="0"/>
        <w:rPr>
          <w:rFonts w:hint="eastAsia" w:ascii="宋体" w:hAnsi="宋体" w:eastAsia="宋体" w:cs="宋体"/>
          <w:b/>
          <w:bCs/>
          <w:color w:val="000000" w:themeColor="text1"/>
          <w:sz w:val="32"/>
          <w:szCs w:val="32"/>
          <w:highlight w:val="none"/>
          <w14:textFill>
            <w14:solidFill>
              <w14:schemeClr w14:val="tx1"/>
            </w14:solidFill>
          </w14:textFill>
        </w:rPr>
      </w:pPr>
    </w:p>
    <w:p w14:paraId="1E2AD348">
      <w:pPr>
        <w:pStyle w:val="209"/>
        <w:ind w:firstLine="0"/>
        <w:rPr>
          <w:rFonts w:hint="eastAsia" w:ascii="宋体" w:hAnsi="宋体" w:eastAsia="宋体" w:cs="宋体"/>
          <w:b/>
          <w:bCs/>
          <w:color w:val="000000" w:themeColor="text1"/>
          <w:sz w:val="32"/>
          <w:szCs w:val="32"/>
          <w:highlight w:val="none"/>
          <w14:textFill>
            <w14:solidFill>
              <w14:schemeClr w14:val="tx1"/>
            </w14:solidFill>
          </w14:textFill>
        </w:rPr>
      </w:pPr>
    </w:p>
    <w:tbl>
      <w:tblPr>
        <w:tblStyle w:val="37"/>
        <w:tblW w:w="0" w:type="auto"/>
        <w:jc w:val="center"/>
        <w:tblLayout w:type="fixed"/>
        <w:tblCellMar>
          <w:top w:w="0" w:type="dxa"/>
          <w:left w:w="108" w:type="dxa"/>
          <w:bottom w:w="0" w:type="dxa"/>
          <w:right w:w="108" w:type="dxa"/>
        </w:tblCellMar>
      </w:tblPr>
      <w:tblGrid>
        <w:gridCol w:w="1966"/>
        <w:gridCol w:w="7165"/>
      </w:tblGrid>
      <w:tr w14:paraId="06D266D5">
        <w:tblPrEx>
          <w:tblCellMar>
            <w:top w:w="0" w:type="dxa"/>
            <w:left w:w="108" w:type="dxa"/>
            <w:bottom w:w="0" w:type="dxa"/>
            <w:right w:w="108" w:type="dxa"/>
          </w:tblCellMar>
        </w:tblPrEx>
        <w:trPr>
          <w:trHeight w:val="1182" w:hRule="atLeast"/>
          <w:jc w:val="center"/>
        </w:trPr>
        <w:tc>
          <w:tcPr>
            <w:tcW w:w="1966" w:type="dxa"/>
            <w:tcBorders>
              <w:top w:val="nil"/>
              <w:left w:val="nil"/>
              <w:bottom w:val="nil"/>
              <w:right w:val="nil"/>
            </w:tcBorders>
            <w:noWrap w:val="0"/>
            <w:vAlign w:val="center"/>
          </w:tcPr>
          <w:p w14:paraId="5F153A85">
            <w:pPr>
              <w:spacing w:line="360" w:lineRule="auto"/>
              <w:rPr>
                <w:rFonts w:hint="eastAsia" w:ascii="宋体" w:hAnsi="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项目名称：</w:t>
            </w:r>
          </w:p>
        </w:tc>
        <w:tc>
          <w:tcPr>
            <w:tcW w:w="7165" w:type="dxa"/>
            <w:tcBorders>
              <w:top w:val="nil"/>
              <w:left w:val="nil"/>
              <w:bottom w:val="nil"/>
              <w:right w:val="nil"/>
            </w:tcBorders>
            <w:noWrap w:val="0"/>
            <w:vAlign w:val="center"/>
          </w:tcPr>
          <w:p w14:paraId="1FE02315">
            <w:pPr>
              <w:spacing w:line="360" w:lineRule="auto"/>
              <w:rPr>
                <w:rFonts w:hint="eastAsia" w:ascii="宋体" w:hAnsi="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浦南镇2025年度宜居宜业和美乡村建设项目</w:t>
            </w:r>
          </w:p>
        </w:tc>
      </w:tr>
      <w:tr w14:paraId="7470F418">
        <w:tblPrEx>
          <w:tblCellMar>
            <w:top w:w="0" w:type="dxa"/>
            <w:left w:w="108" w:type="dxa"/>
            <w:bottom w:w="0" w:type="dxa"/>
            <w:right w:w="108" w:type="dxa"/>
          </w:tblCellMar>
        </w:tblPrEx>
        <w:trPr>
          <w:trHeight w:val="855" w:hRule="atLeast"/>
          <w:jc w:val="center"/>
        </w:trPr>
        <w:tc>
          <w:tcPr>
            <w:tcW w:w="1966" w:type="dxa"/>
            <w:tcBorders>
              <w:top w:val="nil"/>
              <w:left w:val="nil"/>
              <w:bottom w:val="nil"/>
              <w:right w:val="nil"/>
            </w:tcBorders>
            <w:noWrap w:val="0"/>
            <w:vAlign w:val="center"/>
          </w:tcPr>
          <w:p w14:paraId="7A0635E6">
            <w:pPr>
              <w:spacing w:line="360" w:lineRule="auto"/>
              <w:rPr>
                <w:rFonts w:hint="eastAsia" w:ascii="宋体" w:hAnsi="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项目编号：</w:t>
            </w:r>
          </w:p>
        </w:tc>
        <w:tc>
          <w:tcPr>
            <w:tcW w:w="7165" w:type="dxa"/>
            <w:tcBorders>
              <w:top w:val="nil"/>
              <w:left w:val="nil"/>
              <w:bottom w:val="nil"/>
              <w:right w:val="nil"/>
            </w:tcBorders>
            <w:noWrap w:val="0"/>
            <w:vAlign w:val="center"/>
          </w:tcPr>
          <w:p w14:paraId="12FFB469">
            <w:pPr>
              <w:spacing w:line="360" w:lineRule="auto"/>
              <w:rPr>
                <w:rFonts w:hint="eastAsia" w:ascii="宋体" w:hAnsi="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lang w:val="en-US" w:eastAsia="zh-CN"/>
                <w14:textFill>
                  <w14:solidFill>
                    <w14:schemeClr w14:val="tx1"/>
                  </w14:solidFill>
                </w14:textFill>
              </w:rPr>
              <w:t>JSZC-320706-QWGL-C2026-0004</w:t>
            </w:r>
          </w:p>
        </w:tc>
      </w:tr>
    </w:tbl>
    <w:p w14:paraId="3A249EBD">
      <w:pPr>
        <w:pStyle w:val="209"/>
        <w:ind w:firstLine="0"/>
        <w:jc w:val="left"/>
        <w:rPr>
          <w:rFonts w:hint="eastAsia" w:ascii="宋体" w:hAnsi="宋体" w:eastAsia="宋体" w:cs="宋体"/>
          <w:b/>
          <w:bCs/>
          <w:color w:val="000000" w:themeColor="text1"/>
          <w:sz w:val="32"/>
          <w:highlight w:val="none"/>
          <w14:textFill>
            <w14:solidFill>
              <w14:schemeClr w14:val="tx1"/>
            </w14:solidFill>
          </w14:textFill>
        </w:rPr>
      </w:pPr>
    </w:p>
    <w:p w14:paraId="0CD951EC">
      <w:pPr>
        <w:pStyle w:val="209"/>
        <w:ind w:firstLine="0"/>
        <w:jc w:val="left"/>
        <w:rPr>
          <w:rFonts w:hint="eastAsia" w:ascii="宋体" w:hAnsi="宋体" w:eastAsia="宋体" w:cs="宋体"/>
          <w:b/>
          <w:bCs/>
          <w:color w:val="000000" w:themeColor="text1"/>
          <w:sz w:val="32"/>
          <w:highlight w:val="none"/>
          <w14:textFill>
            <w14:solidFill>
              <w14:schemeClr w14:val="tx1"/>
            </w14:solidFill>
          </w14:textFill>
        </w:rPr>
      </w:pPr>
    </w:p>
    <w:tbl>
      <w:tblPr>
        <w:tblStyle w:val="37"/>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566"/>
        <w:gridCol w:w="6744"/>
      </w:tblGrid>
      <w:tr w14:paraId="4A3A696E">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27" w:hRule="atLeast"/>
        </w:trPr>
        <w:tc>
          <w:tcPr>
            <w:tcW w:w="2566" w:type="dxa"/>
            <w:noWrap w:val="0"/>
            <w:vAlign w:val="center"/>
          </w:tcPr>
          <w:p w14:paraId="009CCCCD">
            <w:pPr>
              <w:spacing w:line="360" w:lineRule="auto"/>
              <w:jc w:val="both"/>
              <w:rPr>
                <w:rFonts w:hint="eastAsia" w:ascii="宋体" w:hAnsi="宋体" w:eastAsia="宋体" w:cs="宋体"/>
                <w:b/>
                <w:bCs/>
                <w:color w:val="000000" w:themeColor="text1"/>
                <w:spacing w:val="20"/>
                <w:sz w:val="32"/>
                <w:szCs w:val="20"/>
                <w:highlight w:val="none"/>
                <w:lang w:val="en-US" w:eastAsia="zh-CN" w:bidi="ar-SA"/>
                <w14:textFill>
                  <w14:solidFill>
                    <w14:schemeClr w14:val="tx1"/>
                  </w14:solidFill>
                </w14:textFill>
              </w:rPr>
            </w:pPr>
            <w:bookmarkStart w:id="0" w:name="OLE_LINK31"/>
            <w:bookmarkStart w:id="1" w:name="OLE_LINK4"/>
            <w:r>
              <w:rPr>
                <w:rFonts w:hint="eastAsia" w:ascii="宋体" w:hAnsi="宋体" w:eastAsia="宋体" w:cs="宋体"/>
                <w:b/>
                <w:bCs/>
                <w:color w:val="000000" w:themeColor="text1"/>
                <w:spacing w:val="20"/>
                <w:sz w:val="32"/>
                <w:szCs w:val="20"/>
                <w:highlight w:val="none"/>
                <w:lang w:val="en-US" w:eastAsia="zh-CN" w:bidi="ar-SA"/>
                <w14:textFill>
                  <w14:solidFill>
                    <w14:schemeClr w14:val="tx1"/>
                  </w14:solidFill>
                </w14:textFill>
              </w:rPr>
              <w:t>采 购 人：</w:t>
            </w:r>
            <w:bookmarkEnd w:id="0"/>
            <w:bookmarkEnd w:id="1"/>
          </w:p>
        </w:tc>
        <w:tc>
          <w:tcPr>
            <w:tcW w:w="6744" w:type="dxa"/>
            <w:noWrap w:val="0"/>
            <w:vAlign w:val="center"/>
          </w:tcPr>
          <w:p w14:paraId="0DBECBA5">
            <w:pPr>
              <w:pStyle w:val="210"/>
              <w:spacing w:line="360" w:lineRule="auto"/>
              <w:rPr>
                <w:rFonts w:hint="eastAsia" w:ascii="宋体" w:hAnsi="宋体" w:eastAsia="宋体" w:cs="宋体"/>
                <w:b/>
                <w:bCs/>
                <w:color w:val="000000" w:themeColor="text1"/>
                <w:spacing w:val="20"/>
                <w:sz w:val="32"/>
                <w:szCs w:val="20"/>
                <w:highlight w:val="none"/>
                <w:lang w:val="en-US" w:eastAsia="zh-CN" w:bidi="ar-SA"/>
                <w14:textFill>
                  <w14:solidFill>
                    <w14:schemeClr w14:val="tx1"/>
                  </w14:solidFill>
                </w14:textFill>
              </w:rPr>
            </w:pPr>
            <w:r>
              <w:rPr>
                <w:rFonts w:hint="eastAsia" w:hAnsi="宋体" w:cs="宋体"/>
                <w:b/>
                <w:bCs/>
                <w:color w:val="000000" w:themeColor="text1"/>
                <w:spacing w:val="20"/>
                <w:sz w:val="32"/>
                <w:szCs w:val="20"/>
                <w:highlight w:val="none"/>
                <w:lang w:val="en-US" w:eastAsia="zh-CN" w:bidi="ar-SA"/>
                <w14:textFill>
                  <w14:solidFill>
                    <w14:schemeClr w14:val="tx1"/>
                  </w14:solidFill>
                </w14:textFill>
              </w:rPr>
              <w:t>连云港市海州区浦南镇人民政府</w:t>
            </w:r>
          </w:p>
        </w:tc>
      </w:tr>
      <w:tr w14:paraId="18444B4F">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7" w:hRule="atLeast"/>
        </w:trPr>
        <w:tc>
          <w:tcPr>
            <w:tcW w:w="2566" w:type="dxa"/>
            <w:noWrap w:val="0"/>
            <w:vAlign w:val="center"/>
          </w:tcPr>
          <w:p w14:paraId="3CFAF8B3">
            <w:pPr>
              <w:spacing w:line="360" w:lineRule="auto"/>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采购代理机构：</w:t>
            </w:r>
          </w:p>
        </w:tc>
        <w:tc>
          <w:tcPr>
            <w:tcW w:w="6744" w:type="dxa"/>
            <w:noWrap w:val="0"/>
            <w:vAlign w:val="center"/>
          </w:tcPr>
          <w:p w14:paraId="6CB807EE">
            <w:pPr>
              <w:pStyle w:val="210"/>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hAnsi="宋体" w:cs="宋体"/>
                <w:b/>
                <w:bCs/>
                <w:color w:val="000000" w:themeColor="text1"/>
                <w:spacing w:val="20"/>
                <w:sz w:val="32"/>
                <w:highlight w:val="none"/>
                <w:lang w:val="en-US" w:eastAsia="zh-CN"/>
                <w14:textFill>
                  <w14:solidFill>
                    <w14:schemeClr w14:val="tx1"/>
                  </w14:solidFill>
                </w14:textFill>
              </w:rPr>
              <w:t>江苏秋沃工程管理有限公司</w:t>
            </w:r>
          </w:p>
        </w:tc>
      </w:tr>
    </w:tbl>
    <w:p w14:paraId="05588248">
      <w:pPr>
        <w:spacing w:line="360" w:lineRule="auto"/>
        <w:rPr>
          <w:rFonts w:hint="eastAsia" w:ascii="宋体" w:hAnsi="宋体" w:eastAsia="宋体" w:cs="宋体"/>
          <w:color w:val="000000" w:themeColor="text1"/>
          <w:szCs w:val="21"/>
          <w:highlight w:val="none"/>
          <w14:textFill>
            <w14:solidFill>
              <w14:schemeClr w14:val="tx1"/>
            </w14:solidFill>
          </w14:textFill>
        </w:rPr>
      </w:pPr>
    </w:p>
    <w:tbl>
      <w:tblPr>
        <w:tblStyle w:val="37"/>
        <w:tblW w:w="0" w:type="auto"/>
        <w:jc w:val="center"/>
        <w:tblLayout w:type="fixed"/>
        <w:tblCellMar>
          <w:top w:w="0" w:type="dxa"/>
          <w:left w:w="108" w:type="dxa"/>
          <w:bottom w:w="0" w:type="dxa"/>
          <w:right w:w="108" w:type="dxa"/>
        </w:tblCellMar>
      </w:tblPr>
      <w:tblGrid>
        <w:gridCol w:w="4428"/>
      </w:tblGrid>
      <w:tr w14:paraId="6698E1FD">
        <w:tblPrEx>
          <w:tblCellMar>
            <w:top w:w="0" w:type="dxa"/>
            <w:left w:w="108" w:type="dxa"/>
            <w:bottom w:w="0" w:type="dxa"/>
            <w:right w:w="108" w:type="dxa"/>
          </w:tblCellMar>
        </w:tblPrEx>
        <w:trPr>
          <w:trHeight w:val="385" w:hRule="atLeast"/>
          <w:jc w:val="center"/>
        </w:trPr>
        <w:tc>
          <w:tcPr>
            <w:tcW w:w="4428" w:type="dxa"/>
            <w:tcBorders>
              <w:top w:val="nil"/>
              <w:left w:val="nil"/>
              <w:bottom w:val="nil"/>
              <w:right w:val="nil"/>
            </w:tcBorders>
            <w:noWrap w:val="0"/>
            <w:vAlign w:val="top"/>
          </w:tcPr>
          <w:p w14:paraId="6C22FB44">
            <w:pPr>
              <w:pStyle w:val="210"/>
              <w:spacing w:line="360" w:lineRule="auto"/>
              <w:jc w:val="center"/>
              <w:rPr>
                <w:rFonts w:hint="eastAsia" w:ascii="宋体" w:hAnsi="宋体" w:eastAsia="宋体" w:cs="宋体"/>
                <w:b/>
                <w:color w:val="000000" w:themeColor="text1"/>
                <w:sz w:val="32"/>
                <w:szCs w:val="32"/>
                <w:highlight w:val="none"/>
                <w:lang w:val="en-US" w:eastAsia="zh-CN"/>
                <w14:textFill>
                  <w14:solidFill>
                    <w14:schemeClr w14:val="tx1"/>
                  </w14:solidFill>
                </w14:textFill>
              </w:rPr>
            </w:pPr>
            <w:bookmarkStart w:id="2" w:name="OLE_LINK12"/>
            <w:bookmarkStart w:id="3" w:name="OLE_LINK35"/>
            <w:r>
              <w:rPr>
                <w:rFonts w:hint="eastAsia" w:hAnsi="宋体" w:eastAsia="宋体" w:cs="宋体"/>
                <w:b/>
                <w:color w:val="000000" w:themeColor="text1"/>
                <w:sz w:val="32"/>
                <w:szCs w:val="32"/>
                <w:highlight w:val="none"/>
                <w:lang w:val="en-US" w:eastAsia="zh-CN"/>
                <w14:textFill>
                  <w14:solidFill>
                    <w14:schemeClr w14:val="tx1"/>
                  </w14:solidFill>
                </w14:textFill>
              </w:rPr>
              <w:t>202</w:t>
            </w:r>
            <w:r>
              <w:rPr>
                <w:rFonts w:hint="eastAsia" w:hAnsi="宋体" w:cs="宋体"/>
                <w:b/>
                <w:color w:val="000000" w:themeColor="text1"/>
                <w:sz w:val="32"/>
                <w:szCs w:val="32"/>
                <w:highlight w:val="none"/>
                <w:lang w:val="en-US" w:eastAsia="zh-CN"/>
                <w14:textFill>
                  <w14:solidFill>
                    <w14:schemeClr w14:val="tx1"/>
                  </w14:solidFill>
                </w14:textFill>
              </w:rPr>
              <w:t>6</w:t>
            </w:r>
            <w:r>
              <w:rPr>
                <w:rFonts w:hint="eastAsia" w:hAnsi="宋体" w:eastAsia="宋体" w:cs="宋体"/>
                <w:b/>
                <w:color w:val="000000" w:themeColor="text1"/>
                <w:sz w:val="32"/>
                <w:szCs w:val="32"/>
                <w:highlight w:val="none"/>
                <w:lang w:val="en-US" w:eastAsia="zh-CN"/>
                <w14:textFill>
                  <w14:solidFill>
                    <w14:schemeClr w14:val="tx1"/>
                  </w14:solidFill>
                </w14:textFill>
              </w:rPr>
              <w:t>年</w:t>
            </w:r>
            <w:r>
              <w:rPr>
                <w:rFonts w:hint="eastAsia" w:hAnsi="宋体" w:cs="宋体"/>
                <w:b/>
                <w:color w:val="000000" w:themeColor="text1"/>
                <w:sz w:val="32"/>
                <w:szCs w:val="32"/>
                <w:highlight w:val="none"/>
                <w:lang w:val="en-US" w:eastAsia="zh-CN"/>
                <w14:textFill>
                  <w14:solidFill>
                    <w14:schemeClr w14:val="tx1"/>
                  </w14:solidFill>
                </w14:textFill>
              </w:rPr>
              <w:t>9</w:t>
            </w:r>
            <w:r>
              <w:rPr>
                <w:rFonts w:hint="eastAsia" w:hAnsi="宋体" w:eastAsia="宋体" w:cs="宋体"/>
                <w:b/>
                <w:color w:val="000000" w:themeColor="text1"/>
                <w:sz w:val="32"/>
                <w:szCs w:val="32"/>
                <w:highlight w:val="none"/>
                <w:lang w:val="en-US" w:eastAsia="zh-CN"/>
                <w14:textFill>
                  <w14:solidFill>
                    <w14:schemeClr w14:val="tx1"/>
                  </w14:solidFill>
                </w14:textFill>
              </w:rPr>
              <w:t>月</w:t>
            </w:r>
            <w:bookmarkEnd w:id="2"/>
            <w:bookmarkEnd w:id="3"/>
          </w:p>
        </w:tc>
      </w:tr>
    </w:tbl>
    <w:p w14:paraId="67CF48D7">
      <w:pPr>
        <w:jc w:val="center"/>
        <w:rPr>
          <w:rFonts w:hint="eastAsia"/>
          <w:lang w:val="en-US" w:eastAsia="zh-CN"/>
        </w:rPr>
      </w:pPr>
      <w:bookmarkStart w:id="4" w:name="_Toc31244"/>
      <w:bookmarkStart w:id="5" w:name="_Toc32469"/>
      <w:bookmarkStart w:id="6" w:name="_Toc22111"/>
      <w:bookmarkStart w:id="7" w:name="_Toc344"/>
      <w:bookmarkStart w:id="8" w:name="_Toc465856610"/>
    </w:p>
    <w:p w14:paraId="1A6F3B19">
      <w:pPr>
        <w:jc w:val="center"/>
        <w:rPr>
          <w:rFonts w:hint="eastAsia"/>
          <w:lang w:val="en-US" w:eastAsia="zh-CN"/>
        </w:rPr>
      </w:pPr>
    </w:p>
    <w:p w14:paraId="06725641">
      <w:pPr>
        <w:jc w:val="both"/>
        <w:rPr>
          <w:rFonts w:hint="eastAsia" w:ascii="宋体" w:hAnsi="宋体" w:eastAsia="宋体" w:cs="宋体"/>
          <w:b/>
          <w:bCs w:val="0"/>
          <w:color w:val="000000" w:themeColor="text1"/>
          <w:sz w:val="44"/>
          <w:szCs w:val="21"/>
          <w:highlight w:val="none"/>
          <w14:textFill>
            <w14:solidFill>
              <w14:schemeClr w14:val="tx1"/>
            </w14:solidFill>
          </w14:textFill>
        </w:rPr>
        <w:sectPr>
          <w:headerReference r:id="rId4" w:type="first"/>
          <w:footerReference r:id="rId6" w:type="first"/>
          <w:headerReference r:id="rId3" w:type="default"/>
          <w:footerReference r:id="rId5" w:type="default"/>
          <w:pgSz w:w="11906" w:h="16838"/>
          <w:pgMar w:top="1134" w:right="1134" w:bottom="1134" w:left="1134" w:header="851" w:footer="907" w:gutter="0"/>
          <w:pgNumType w:start="1"/>
          <w:cols w:space="0" w:num="1"/>
          <w:titlePg/>
          <w:rtlGutter w:val="0"/>
          <w:docGrid w:linePitch="360" w:charSpace="0"/>
        </w:sectPr>
      </w:pPr>
    </w:p>
    <w:p w14:paraId="15EFA851">
      <w:pPr>
        <w:pStyle w:val="54"/>
        <w:rPr>
          <w:rFonts w:hint="eastAsia"/>
        </w:rPr>
      </w:pPr>
    </w:p>
    <w:p w14:paraId="3E949F2C">
      <w:pPr>
        <w:jc w:val="center"/>
        <w:rPr>
          <w:color w:val="000000" w:themeColor="text1"/>
          <w:highlight w:val="none"/>
          <w14:textFill>
            <w14:solidFill>
              <w14:schemeClr w14:val="tx1"/>
            </w14:solidFill>
          </w14:textFill>
        </w:rPr>
      </w:pPr>
      <w:r>
        <w:rPr>
          <w:rFonts w:hint="eastAsia" w:ascii="宋体" w:hAnsi="宋体" w:eastAsia="宋体" w:cs="宋体"/>
          <w:b/>
          <w:bCs w:val="0"/>
          <w:color w:val="000000" w:themeColor="text1"/>
          <w:sz w:val="44"/>
          <w:szCs w:val="21"/>
          <w:highlight w:val="none"/>
          <w14:textFill>
            <w14:solidFill>
              <w14:schemeClr w14:val="tx1"/>
            </w14:solidFill>
          </w14:textFill>
        </w:rPr>
        <w:t>目 录</w:t>
      </w:r>
      <w:bookmarkEnd w:id="4"/>
      <w:bookmarkEnd w:id="5"/>
      <w:bookmarkEnd w:id="6"/>
      <w:bookmarkEnd w:id="7"/>
      <w:bookmarkEnd w:id="8"/>
    </w:p>
    <w:p w14:paraId="2BEF1589">
      <w:pPr>
        <w:jc w:val="center"/>
        <w:rPr>
          <w:rFonts w:hint="eastAsia" w:ascii="宋体" w:hAnsi="宋体" w:eastAsia="宋体" w:cs="宋体"/>
          <w:b/>
          <w:bCs/>
          <w:color w:val="000000" w:themeColor="text1"/>
          <w:sz w:val="44"/>
          <w:szCs w:val="44"/>
          <w:highlight w:val="none"/>
          <w14:textFill>
            <w14:solidFill>
              <w14:schemeClr w14:val="tx1"/>
            </w14:solidFill>
          </w14:textFill>
        </w:rPr>
      </w:pPr>
    </w:p>
    <w:sdt>
      <w:sdtPr>
        <w:rPr>
          <w:rFonts w:hint="default" w:ascii="宋体" w:hAnsi="宋体" w:eastAsia="宋体" w:cs="Times New Roman"/>
          <w:color w:val="000000" w:themeColor="text1"/>
          <w:sz w:val="21"/>
          <w:szCs w:val="24"/>
          <w:lang w:val="en-US" w:eastAsia="zh-CN" w:bidi="ar-SA"/>
          <w14:textFill>
            <w14:solidFill>
              <w14:schemeClr w14:val="tx1"/>
            </w14:solidFill>
          </w14:textFill>
        </w:rPr>
        <w:id w:val="147463617"/>
        <w15:color w:val="DBDBDB"/>
        <w:docPartObj>
          <w:docPartGallery w:val="Table of Contents"/>
          <w:docPartUnique/>
        </w:docPartObj>
      </w:sdtPr>
      <w:sdtEndPr>
        <w:rPr>
          <w:rFonts w:hint="default" w:ascii="宋体" w:hAnsi="宋体" w:eastAsia="宋体" w:cs="Times New Roman"/>
          <w:color w:val="000000" w:themeColor="text1"/>
          <w:sz w:val="21"/>
          <w:szCs w:val="24"/>
          <w:lang w:val="en-US" w:eastAsia="zh-CN" w:bidi="ar-SA"/>
          <w14:textFill>
            <w14:solidFill>
              <w14:schemeClr w14:val="tx1"/>
            </w14:solidFill>
          </w14:textFill>
        </w:rPr>
      </w:sdtEndPr>
      <w:sdtContent>
        <w:p w14:paraId="1A40AFAD">
          <w:pPr>
            <w:spacing w:before="0" w:after="0" w:line="240" w:lineRule="auto"/>
            <w:ind w:left="0" w:right="0" w:firstLine="0"/>
            <w:jc w:val="center"/>
            <w:rPr>
              <w:color w:val="000000" w:themeColor="text1"/>
              <w14:textFill>
                <w14:solidFill>
                  <w14:schemeClr w14:val="tx1"/>
                </w14:solidFill>
              </w14:textFill>
            </w:rPr>
          </w:pPr>
        </w:p>
        <w:p w14:paraId="5768B2C8">
          <w:pPr>
            <w:pStyle w:val="26"/>
            <w:keepLines w:val="0"/>
            <w:pageBreakBefore w:val="0"/>
            <w:widowControl w:val="0"/>
            <w:tabs>
              <w:tab w:val="right" w:leader="dot" w:pos="9451"/>
            </w:tabs>
            <w:spacing w:line="360" w:lineRule="auto"/>
            <w:rPr>
              <w:color w:val="000000" w:themeColor="text1"/>
              <w:sz w:val="32"/>
              <w:szCs w:val="32"/>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TOC \o "1-1" \h \u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_Toc1880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lang w:val="en-US" w:eastAsia="zh-CN"/>
              <w14:textFill>
                <w14:solidFill>
                  <w14:schemeClr w14:val="tx1"/>
                </w14:solidFill>
              </w14:textFill>
            </w:rPr>
            <w:t xml:space="preserve">第一章 </w:t>
          </w:r>
          <w:r>
            <w:rPr>
              <w:rFonts w:hint="eastAsia" w:ascii="宋体" w:hAnsi="宋体" w:eastAsia="宋体" w:cs="宋体"/>
              <w:bCs/>
              <w:color w:val="000000" w:themeColor="text1"/>
              <w:sz w:val="32"/>
              <w:szCs w:val="32"/>
              <w:highlight w:val="none"/>
              <w:lang w:eastAsia="zh-CN"/>
              <w14:textFill>
                <w14:solidFill>
                  <w14:schemeClr w14:val="tx1"/>
                </w14:solidFill>
              </w14:textFill>
            </w:rPr>
            <w:t>竞争性磋商采购公告</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_Toc1880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2</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329ACC74">
          <w:pPr>
            <w:pStyle w:val="26"/>
            <w:keepLines w:val="0"/>
            <w:pageBreakBefore w:val="0"/>
            <w:widowControl w:val="0"/>
            <w:tabs>
              <w:tab w:val="right" w:leader="dot" w:pos="9451"/>
            </w:tabs>
            <w:spacing w:line="360" w:lineRule="auto"/>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_Toc14014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第二章 磋商须知</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_Toc14014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6</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29B3A6DD">
          <w:pPr>
            <w:pStyle w:val="26"/>
            <w:keepLines w:val="0"/>
            <w:pageBreakBefore w:val="0"/>
            <w:widowControl w:val="0"/>
            <w:tabs>
              <w:tab w:val="right" w:leader="dot" w:pos="9451"/>
            </w:tabs>
            <w:spacing w:line="360" w:lineRule="auto"/>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_Toc5959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第三章 合同条款及格式</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_Toc5959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25</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6FA55779">
          <w:pPr>
            <w:pStyle w:val="26"/>
            <w:keepLines w:val="0"/>
            <w:pageBreakBefore w:val="0"/>
            <w:widowControl w:val="0"/>
            <w:tabs>
              <w:tab w:val="right" w:leader="dot" w:pos="9451"/>
            </w:tabs>
            <w:spacing w:line="360" w:lineRule="auto"/>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_Toc18540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lang w:eastAsia="zh-CN"/>
              <w14:textFill>
                <w14:solidFill>
                  <w14:schemeClr w14:val="tx1"/>
                </w14:solidFill>
              </w14:textFill>
            </w:rPr>
            <w:t>第四章</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Cs/>
              <w:color w:val="000000" w:themeColor="text1"/>
              <w:sz w:val="32"/>
              <w:szCs w:val="32"/>
              <w:highlight w:val="none"/>
              <w:lang w:val="en-US" w:eastAsia="zh-CN"/>
              <w14:textFill>
                <w14:solidFill>
                  <w14:schemeClr w14:val="tx1"/>
                </w14:solidFill>
              </w14:textFill>
            </w:rPr>
            <w:t>项目需求</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_Toc18540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65</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5BDA147E">
          <w:pPr>
            <w:pStyle w:val="26"/>
            <w:keepLines w:val="0"/>
            <w:pageBreakBefore w:val="0"/>
            <w:widowControl w:val="0"/>
            <w:tabs>
              <w:tab w:val="right" w:leader="dot" w:pos="9451"/>
            </w:tabs>
            <w:spacing w:line="360" w:lineRule="auto"/>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_Toc8176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lang w:eastAsia="zh-CN"/>
              <w14:textFill>
                <w14:solidFill>
                  <w14:schemeClr w14:val="tx1"/>
                </w14:solidFill>
              </w14:textFill>
            </w:rPr>
            <w:t xml:space="preserve">第五章 </w:t>
          </w:r>
          <w:r>
            <w:rPr>
              <w:rFonts w:hint="eastAsia" w:ascii="宋体" w:hAnsi="宋体" w:eastAsia="宋体" w:cs="宋体"/>
              <w:bCs/>
              <w:color w:val="000000" w:themeColor="text1"/>
              <w:sz w:val="32"/>
              <w:szCs w:val="32"/>
              <w:highlight w:val="none"/>
              <w14:textFill>
                <w14:solidFill>
                  <w14:schemeClr w14:val="tx1"/>
                </w14:solidFill>
              </w14:textFill>
            </w:rPr>
            <w:t>工程量清单</w:t>
          </w:r>
          <w:r>
            <w:rPr>
              <w:rFonts w:hint="eastAsia" w:ascii="宋体" w:hAnsi="宋体" w:eastAsia="宋体" w:cs="宋体"/>
              <w:bCs/>
              <w:color w:val="000000" w:themeColor="text1"/>
              <w:sz w:val="32"/>
              <w:szCs w:val="32"/>
              <w:highlight w:val="none"/>
              <w:lang w:eastAsia="zh-CN"/>
              <w14:textFill>
                <w14:solidFill>
                  <w14:schemeClr w14:val="tx1"/>
                </w14:solidFill>
              </w14:textFill>
            </w:rPr>
            <w:t>（</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另附</w:t>
          </w:r>
          <w:r>
            <w:rPr>
              <w:rFonts w:hint="eastAsia" w:ascii="宋体" w:hAnsi="宋体" w:eastAsia="宋体" w:cs="宋体"/>
              <w:bCs/>
              <w:color w:val="000000" w:themeColor="text1"/>
              <w:sz w:val="32"/>
              <w:szCs w:val="32"/>
              <w:highlight w:val="none"/>
              <w:lang w:eastAsia="zh-CN"/>
              <w14:textFill>
                <w14:solidFill>
                  <w14:schemeClr w14:val="tx1"/>
                </w14:solidFill>
              </w14:textFill>
            </w:rPr>
            <w:t>）</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_Toc8176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67</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0A67D97F">
          <w:pPr>
            <w:pStyle w:val="26"/>
            <w:keepLines w:val="0"/>
            <w:pageBreakBefore w:val="0"/>
            <w:widowControl w:val="0"/>
            <w:tabs>
              <w:tab w:val="right" w:leader="dot" w:pos="9451"/>
            </w:tabs>
            <w:spacing w:line="360" w:lineRule="auto"/>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_Toc28412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第</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六</w:t>
          </w:r>
          <w:r>
            <w:rPr>
              <w:rFonts w:hint="eastAsia" w:ascii="宋体" w:hAnsi="宋体" w:eastAsia="宋体" w:cs="宋体"/>
              <w:bCs/>
              <w:color w:val="000000" w:themeColor="text1"/>
              <w:sz w:val="32"/>
              <w:szCs w:val="32"/>
              <w:highlight w:val="none"/>
              <w14:textFill>
                <w14:solidFill>
                  <w14:schemeClr w14:val="tx1"/>
                </w14:solidFill>
              </w14:textFill>
            </w:rPr>
            <w:t>章 评审方法和评审标准</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_Toc28412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68</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2A204015">
          <w:pPr>
            <w:pStyle w:val="26"/>
            <w:keepLines w:val="0"/>
            <w:pageBreakBefore w:val="0"/>
            <w:widowControl w:val="0"/>
            <w:tabs>
              <w:tab w:val="right" w:leader="dot" w:pos="9451"/>
            </w:tabs>
            <w:spacing w:line="360" w:lineRule="auto"/>
            <w:rPr>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_Toc32193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第</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七</w:t>
          </w:r>
          <w:r>
            <w:rPr>
              <w:rFonts w:hint="eastAsia" w:ascii="宋体" w:hAnsi="宋体" w:eastAsia="宋体" w:cs="宋体"/>
              <w:bCs/>
              <w:color w:val="000000" w:themeColor="text1"/>
              <w:sz w:val="32"/>
              <w:szCs w:val="32"/>
              <w:highlight w:val="none"/>
              <w14:textFill>
                <w14:solidFill>
                  <w14:schemeClr w14:val="tx1"/>
                </w14:solidFill>
              </w14:textFill>
            </w:rPr>
            <w:t>章 竞争性磋商响应文件格式</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_Toc32193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73</w:t>
          </w:r>
          <w:r>
            <w:rPr>
              <w:color w:val="000000" w:themeColor="text1"/>
              <w:sz w:val="32"/>
              <w:szCs w:val="32"/>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4F364B5D">
          <w:pPr>
            <w:pStyle w:val="207"/>
            <w:keepLines w:val="0"/>
            <w:pageBreakBefore w:val="0"/>
            <w:widowControl w:val="0"/>
            <w:spacing w:line="360" w:lineRule="auto"/>
            <w:jc w:val="both"/>
            <w:outlineLvl w:val="9"/>
            <w:rPr>
              <w:rFonts w:hint="eastAsia" w:ascii="宋体" w:hAnsi="宋体" w:eastAsia="宋体" w:cs="宋体"/>
              <w:color w:val="000000" w:themeColor="text1"/>
              <w:sz w:val="36"/>
              <w:szCs w:val="36"/>
              <w:highlight w:val="none"/>
              <w:lang w:val="en-US" w:eastAsia="zh-CN" w:bidi="ar-SA"/>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fldChar w:fldCharType="end"/>
          </w:r>
        </w:p>
      </w:sdtContent>
    </w:sdt>
    <w:p w14:paraId="24EB1FEA">
      <w:pPr>
        <w:rPr>
          <w:rFonts w:hint="eastAsia"/>
          <w:color w:val="000000" w:themeColor="text1"/>
          <w14:textFill>
            <w14:solidFill>
              <w14:schemeClr w14:val="tx1"/>
            </w14:solidFill>
          </w14:textFill>
        </w:rPr>
      </w:pPr>
    </w:p>
    <w:p w14:paraId="201B8F1A">
      <w:pPr>
        <w:pStyle w:val="207"/>
        <w:jc w:val="center"/>
        <w:outlineLvl w:val="9"/>
        <w:rPr>
          <w:rFonts w:hint="eastAsia" w:ascii="宋体" w:hAnsi="宋体" w:eastAsia="宋体" w:cs="宋体"/>
          <w:color w:val="000000" w:themeColor="text1"/>
          <w:sz w:val="44"/>
          <w:szCs w:val="44"/>
          <w:highlight w:val="none"/>
          <w14:textFill>
            <w14:solidFill>
              <w14:schemeClr w14:val="tx1"/>
            </w14:solidFill>
          </w14:textFill>
        </w:rPr>
      </w:pPr>
      <w:bookmarkStart w:id="9" w:name="_Toc9367"/>
      <w:bookmarkEnd w:id="9"/>
    </w:p>
    <w:p w14:paraId="4BE912BE">
      <w:pPr>
        <w:pStyle w:val="207"/>
        <w:jc w:val="center"/>
        <w:outlineLvl w:val="9"/>
        <w:rPr>
          <w:rFonts w:hint="eastAsia" w:ascii="宋体" w:hAnsi="宋体" w:eastAsia="宋体" w:cs="宋体"/>
          <w:color w:val="000000" w:themeColor="text1"/>
          <w:sz w:val="44"/>
          <w:szCs w:val="44"/>
          <w:highlight w:val="none"/>
          <w14:textFill>
            <w14:solidFill>
              <w14:schemeClr w14:val="tx1"/>
            </w14:solidFill>
          </w14:textFill>
        </w:rPr>
      </w:pPr>
    </w:p>
    <w:p w14:paraId="7843423A">
      <w:pPr>
        <w:pStyle w:val="207"/>
        <w:jc w:val="center"/>
        <w:outlineLvl w:val="9"/>
        <w:rPr>
          <w:rFonts w:hint="eastAsia" w:ascii="宋体" w:hAnsi="宋体" w:eastAsia="宋体" w:cs="宋体"/>
          <w:color w:val="000000" w:themeColor="text1"/>
          <w:sz w:val="44"/>
          <w:szCs w:val="44"/>
          <w:highlight w:val="none"/>
          <w14:textFill>
            <w14:solidFill>
              <w14:schemeClr w14:val="tx1"/>
            </w14:solidFill>
          </w14:textFill>
        </w:rPr>
      </w:pPr>
    </w:p>
    <w:p w14:paraId="2D8513F7">
      <w:pPr>
        <w:rPr>
          <w:rFonts w:hint="eastAsia" w:ascii="宋体" w:hAnsi="宋体" w:eastAsia="宋体" w:cs="宋体"/>
          <w:color w:val="000000" w:themeColor="text1"/>
          <w:sz w:val="44"/>
          <w:szCs w:val="44"/>
          <w:highlight w:val="none"/>
          <w14:textFill>
            <w14:solidFill>
              <w14:schemeClr w14:val="tx1"/>
            </w14:solidFill>
          </w14:textFill>
        </w:rPr>
      </w:pPr>
    </w:p>
    <w:p w14:paraId="31A086B4">
      <w:pPr>
        <w:rPr>
          <w:rFonts w:hint="eastAsia" w:ascii="宋体" w:hAnsi="宋体" w:eastAsia="宋体" w:cs="宋体"/>
          <w:color w:val="000000" w:themeColor="text1"/>
          <w:sz w:val="44"/>
          <w:szCs w:val="44"/>
          <w:highlight w:val="none"/>
          <w14:textFill>
            <w14:solidFill>
              <w14:schemeClr w14:val="tx1"/>
            </w14:solidFill>
          </w14:textFill>
        </w:rPr>
      </w:pPr>
    </w:p>
    <w:p w14:paraId="7ED0C944">
      <w:pPr>
        <w:pStyle w:val="207"/>
        <w:jc w:val="both"/>
        <w:outlineLvl w:val="9"/>
        <w:rPr>
          <w:rFonts w:hint="eastAsia" w:ascii="宋体" w:hAnsi="宋体" w:eastAsia="宋体" w:cs="宋体"/>
          <w:color w:val="000000" w:themeColor="text1"/>
          <w:sz w:val="44"/>
          <w:szCs w:val="44"/>
          <w:highlight w:val="none"/>
          <w14:textFill>
            <w14:solidFill>
              <w14:schemeClr w14:val="tx1"/>
            </w14:solidFill>
          </w14:textFill>
        </w:rPr>
        <w:sectPr>
          <w:footerReference r:id="rId8" w:type="first"/>
          <w:footerReference r:id="rId7" w:type="default"/>
          <w:pgSz w:w="11906" w:h="16838"/>
          <w:pgMar w:top="1134" w:right="1134" w:bottom="1134" w:left="1134" w:header="851" w:footer="907" w:gutter="0"/>
          <w:pgNumType w:fmt="decimal" w:start="1"/>
          <w:cols w:space="0" w:num="1"/>
          <w:titlePg/>
          <w:rtlGutter w:val="0"/>
          <w:docGrid w:linePitch="360" w:charSpace="0"/>
        </w:sectPr>
      </w:pPr>
    </w:p>
    <w:p w14:paraId="7A5811F7">
      <w:pPr>
        <w:pStyle w:val="207"/>
        <w:keepNext/>
        <w:keepLines w:val="0"/>
        <w:pageBreakBefore w:val="0"/>
        <w:widowControl w:val="0"/>
        <w:numPr>
          <w:ilvl w:val="0"/>
          <w:numId w:val="1"/>
        </w:numPr>
        <w:spacing w:line="360" w:lineRule="auto"/>
        <w:jc w:val="center"/>
        <w:rPr>
          <w:rFonts w:hint="eastAsia" w:ascii="宋体" w:hAnsi="宋体" w:eastAsia="宋体" w:cs="宋体"/>
          <w:b/>
          <w:bCs/>
          <w:color w:val="000000" w:themeColor="text1"/>
          <w:sz w:val="44"/>
          <w:szCs w:val="44"/>
          <w:highlight w:val="none"/>
          <w:lang w:val="en-US" w:eastAsia="zh-CN"/>
          <w14:textFill>
            <w14:solidFill>
              <w14:schemeClr w14:val="tx1"/>
            </w14:solidFill>
          </w14:textFill>
        </w:rPr>
      </w:pPr>
      <w:bookmarkStart w:id="10" w:name="_Toc1880"/>
      <w:r>
        <w:rPr>
          <w:rFonts w:hint="eastAsia" w:ascii="宋体" w:hAnsi="宋体" w:eastAsia="宋体" w:cs="宋体"/>
          <w:b/>
          <w:bCs/>
          <w:color w:val="000000" w:themeColor="text1"/>
          <w:sz w:val="44"/>
          <w:szCs w:val="44"/>
          <w:highlight w:val="none"/>
          <w:lang w:eastAsia="zh-CN"/>
          <w14:textFill>
            <w14:solidFill>
              <w14:schemeClr w14:val="tx1"/>
            </w14:solidFill>
          </w14:textFill>
        </w:rPr>
        <w:t>竞争性磋商采购公告</w:t>
      </w:r>
      <w:bookmarkEnd w:id="10"/>
    </w:p>
    <w:p w14:paraId="73BCDC34">
      <w:pPr>
        <w:rPr>
          <w:rFonts w:hint="eastAsia"/>
          <w:color w:val="000000" w:themeColor="text1"/>
          <w:highlight w:val="none"/>
          <w:lang w:val="en-US" w:eastAsia="zh-CN"/>
          <w14:textFill>
            <w14:solidFill>
              <w14:schemeClr w14:val="tx1"/>
            </w14:solidFill>
          </w14:textFill>
        </w:rPr>
      </w:pPr>
    </w:p>
    <w:p w14:paraId="1BBD0364">
      <w:pPr>
        <w:pBdr>
          <w:top w:val="single" w:color="000000" w:sz="4" w:space="1"/>
          <w:left w:val="single" w:color="000000" w:sz="4" w:space="4"/>
          <w:bottom w:val="single" w:color="000000" w:sz="4" w:space="1"/>
          <w:right w:val="single" w:color="000000" w:sz="4" w:space="4"/>
        </w:pBdr>
        <w:spacing w:line="560" w:lineRule="exact"/>
        <w:ind w:firstLine="480"/>
        <w:rPr>
          <w:rFonts w:hint="eastAsia" w:ascii="宋体" w:hAnsi="宋体" w:cs="宋体"/>
          <w:color w:val="000000" w:themeColor="text1"/>
          <w:sz w:val="24"/>
          <w:szCs w:val="28"/>
          <w:highlight w:val="none"/>
          <w:u w:val="single"/>
          <w14:textFill>
            <w14:solidFill>
              <w14:schemeClr w14:val="tx1"/>
            </w14:solidFill>
          </w14:textFill>
        </w:rPr>
      </w:pPr>
      <w:bookmarkStart w:id="11" w:name="_Toc35393629"/>
      <w:bookmarkStart w:id="12" w:name="_Toc35393798"/>
      <w:bookmarkStart w:id="13" w:name="_Toc28359089"/>
      <w:bookmarkStart w:id="14" w:name="_Toc28359012"/>
      <w:r>
        <w:rPr>
          <w:rFonts w:hint="eastAsia" w:ascii="宋体" w:hAnsi="宋体" w:cs="宋体"/>
          <w:color w:val="000000" w:themeColor="text1"/>
          <w:sz w:val="24"/>
          <w:szCs w:val="28"/>
          <w:highlight w:val="none"/>
          <w14:textFill>
            <w14:solidFill>
              <w14:schemeClr w14:val="tx1"/>
            </w14:solidFill>
          </w14:textFill>
        </w:rPr>
        <w:t>项目概况</w:t>
      </w:r>
      <w:r>
        <w:rPr>
          <w:rFonts w:hint="eastAsia" w:ascii="宋体" w:hAnsi="宋体" w:cs="宋体"/>
          <w:color w:val="000000" w:themeColor="text1"/>
          <w:sz w:val="24"/>
          <w:szCs w:val="28"/>
          <w:highlight w:val="none"/>
          <w:lang w:eastAsia="zh-CN"/>
          <w14:textFill>
            <w14:solidFill>
              <w14:schemeClr w14:val="tx1"/>
            </w14:solidFill>
          </w14:textFill>
        </w:rPr>
        <w:t>：</w:t>
      </w:r>
      <w:r>
        <w:rPr>
          <w:rFonts w:hint="eastAsia" w:ascii="宋体" w:hAnsi="宋体" w:cs="宋体"/>
          <w:b/>
          <w:bCs/>
          <w:color w:val="000000" w:themeColor="text1"/>
          <w:sz w:val="24"/>
          <w:szCs w:val="28"/>
          <w:highlight w:val="none"/>
          <w:u w:val="single"/>
          <w:lang w:eastAsia="zh-CN"/>
          <w14:textFill>
            <w14:solidFill>
              <w14:schemeClr w14:val="tx1"/>
            </w14:solidFill>
          </w14:textFill>
        </w:rPr>
        <w:t>浦南镇2025年度宜居宜业和美乡村建设项目</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8"/>
          <w:highlight w:val="none"/>
          <w14:textFill>
            <w14:solidFill>
              <w14:schemeClr w14:val="tx1"/>
            </w14:solidFill>
          </w14:textFill>
        </w:rPr>
        <w:t>的潜在供应商应在</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 江苏政府采购网</w:t>
      </w:r>
      <w:r>
        <w:rPr>
          <w:rFonts w:hint="eastAsia" w:ascii="宋体" w:hAnsi="宋体" w:cs="宋体"/>
          <w:color w:val="000000" w:themeColor="text1"/>
          <w:sz w:val="24"/>
          <w:szCs w:val="28"/>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8"/>
          <w:highlight w:val="none"/>
          <w14:textFill>
            <w14:solidFill>
              <w14:schemeClr w14:val="tx1"/>
            </w14:solidFill>
          </w14:textFill>
        </w:rPr>
        <w:t>获取竞争性磋商文件，并于</w:t>
      </w:r>
      <w:r>
        <w:rPr>
          <w:rFonts w:hint="eastAsia" w:ascii="宋体" w:hAnsi="宋体" w:cs="宋体"/>
          <w:b/>
          <w:bCs/>
          <w:color w:val="000000" w:themeColor="text1"/>
          <w:sz w:val="24"/>
          <w:szCs w:val="28"/>
          <w:highlight w:val="none"/>
          <w:u w:val="single"/>
          <w:lang w:eastAsia="zh-CN"/>
          <w14:textFill>
            <w14:solidFill>
              <w14:schemeClr w14:val="tx1"/>
            </w14:solidFill>
          </w14:textFill>
        </w:rPr>
        <w:t>2026年9月20日</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09</w:t>
      </w:r>
      <w:r>
        <w:rPr>
          <w:rFonts w:hint="eastAsia" w:ascii="宋体" w:hAnsi="宋体" w:cs="宋体"/>
          <w:b/>
          <w:bCs/>
          <w:color w:val="000000" w:themeColor="text1"/>
          <w:sz w:val="24"/>
          <w:szCs w:val="28"/>
          <w:highlight w:val="none"/>
          <w:u w:val="single"/>
          <w14:textFill>
            <w14:solidFill>
              <w14:schemeClr w14:val="tx1"/>
            </w14:solidFill>
          </w14:textFill>
        </w:rPr>
        <w:t>时</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00</w:t>
      </w:r>
      <w:r>
        <w:rPr>
          <w:rFonts w:hint="eastAsia" w:ascii="宋体" w:hAnsi="宋体" w:cs="宋体"/>
          <w:b/>
          <w:bCs/>
          <w:color w:val="000000" w:themeColor="text1"/>
          <w:sz w:val="24"/>
          <w:szCs w:val="28"/>
          <w:highlight w:val="none"/>
          <w:u w:val="single"/>
          <w14:textFill>
            <w14:solidFill>
              <w14:schemeClr w14:val="tx1"/>
            </w14:solidFill>
          </w14:textFill>
        </w:rPr>
        <w:t>分00秒</w:t>
      </w:r>
      <w:r>
        <w:rPr>
          <w:rFonts w:hint="eastAsia" w:ascii="宋体" w:hAnsi="宋体" w:cs="宋体"/>
          <w:color w:val="000000" w:themeColor="text1"/>
          <w:sz w:val="24"/>
          <w:szCs w:val="28"/>
          <w:highlight w:val="none"/>
          <w14:textFill>
            <w14:solidFill>
              <w14:schemeClr w14:val="tx1"/>
            </w14:solidFill>
          </w14:textFill>
        </w:rPr>
        <w:t xml:space="preserve">（北京时间）前上传电子响应文件。 </w:t>
      </w:r>
    </w:p>
    <w:p w14:paraId="26F59447">
      <w:pPr>
        <w:keepNext w:val="0"/>
        <w:keepLines w:val="0"/>
        <w:pageBreakBefore w:val="0"/>
        <w:widowControl w:val="0"/>
        <w:spacing w:line="360" w:lineRule="auto"/>
        <w:ind w:right="0" w:firstLine="482"/>
        <w:jc w:val="both"/>
        <w:outlineLvl w:val="9"/>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一、项目基本情况</w:t>
      </w:r>
      <w:bookmarkEnd w:id="11"/>
      <w:bookmarkEnd w:id="12"/>
      <w:bookmarkEnd w:id="13"/>
      <w:bookmarkEnd w:id="14"/>
    </w:p>
    <w:p w14:paraId="12B867A4">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项目编号</w:t>
      </w:r>
      <w:r>
        <w:rPr>
          <w:rFonts w:hint="eastAsia" w:ascii="宋体" w:hAnsi="宋体" w:eastAsia="宋体" w:cs="宋体"/>
          <w:color w:val="000000" w:themeColor="text1"/>
          <w:sz w:val="24"/>
          <w:szCs w:val="24"/>
          <w:highlight w:val="none"/>
          <w14:textFill>
            <w14:solidFill>
              <w14:schemeClr w14:val="tx1"/>
            </w14:solidFill>
          </w14:textFill>
        </w:rPr>
        <w:t>：JSZC-320706-QWGL-C2026-0004</w:t>
      </w:r>
    </w:p>
    <w:p w14:paraId="041D32DB">
      <w:pPr>
        <w:keepNext w:val="0"/>
        <w:keepLines w:val="0"/>
        <w:pageBreakBefore w:val="0"/>
        <w:widowControl w:val="0"/>
        <w:spacing w:line="360" w:lineRule="auto"/>
        <w:ind w:right="0" w:firstLine="480"/>
        <w:jc w:val="both"/>
        <w:outlineLvl w:val="9"/>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项目名称</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浦南镇2025年度宜居宜业和美乡村建设项目</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CC43083">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采购方式：竞争性磋商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5348800">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2825065.48元</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D7B7BC3">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最高限价：2825065.48元，报价超过最高限价的按无效响应处理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4F3763FC">
      <w:pPr>
        <w:keepNext w:val="0"/>
        <w:keepLines w:val="0"/>
        <w:pageBreakBefore w:val="0"/>
        <w:widowControl w:val="0"/>
        <w:spacing w:line="360" w:lineRule="auto"/>
        <w:ind w:right="0" w:firstLine="480"/>
        <w:jc w:val="both"/>
        <w:outlineLvl w:val="9"/>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采购需求：</w:t>
      </w:r>
      <w:r>
        <w:rPr>
          <w:rFonts w:hint="eastAsia" w:ascii="宋体" w:hAnsi="宋体" w:cs="宋体"/>
          <w:color w:val="000000" w:themeColor="text1"/>
          <w:sz w:val="24"/>
          <w:szCs w:val="24"/>
          <w:highlight w:val="none"/>
          <w:lang w:eastAsia="zh-CN"/>
          <w14:textFill>
            <w14:solidFill>
              <w14:schemeClr w14:val="tx1"/>
            </w14:solidFill>
          </w14:textFill>
        </w:rPr>
        <w:t>浦南镇2025年度宜居宜业和美乡村建设项目，</w:t>
      </w:r>
      <w:r>
        <w:rPr>
          <w:rFonts w:hint="eastAsia" w:ascii="宋体" w:hAnsi="宋体" w:cs="宋体"/>
          <w:color w:val="000000" w:themeColor="text1"/>
          <w:sz w:val="24"/>
          <w:szCs w:val="24"/>
          <w:highlight w:val="none"/>
          <w:lang w:val="en-US" w:eastAsia="zh-CN"/>
          <w14:textFill>
            <w14:solidFill>
              <w14:schemeClr w14:val="tx1"/>
            </w14:solidFill>
          </w14:textFill>
        </w:rPr>
        <w:t>具体详见工程量清单及图纸。</w:t>
      </w:r>
    </w:p>
    <w:p w14:paraId="41CD7028">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对项目需求、综合评分部分的询问、质疑请与采购人联系，由采购人负责答复。</w:t>
      </w:r>
    </w:p>
    <w:p w14:paraId="34BA91E2">
      <w:pPr>
        <w:keepNext w:val="0"/>
        <w:keepLines w:val="0"/>
        <w:pageBreakBefore w:val="0"/>
        <w:widowControl w:val="0"/>
        <w:spacing w:line="360" w:lineRule="auto"/>
        <w:ind w:right="0" w:firstLine="480"/>
        <w:jc w:val="both"/>
        <w:outlineLvl w:val="9"/>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建设地点：连云港市海州区浦南镇</w:t>
      </w:r>
      <w:r>
        <w:rPr>
          <w:rFonts w:hint="eastAsia" w:ascii="宋体" w:hAnsi="宋体" w:cs="宋体"/>
          <w:color w:val="000000" w:themeColor="text1"/>
          <w:sz w:val="24"/>
          <w:szCs w:val="24"/>
          <w:highlight w:val="none"/>
          <w:lang w:val="en-US" w:eastAsia="zh-CN"/>
          <w14:textFill>
            <w14:solidFill>
              <w14:schemeClr w14:val="tx1"/>
            </w14:solidFill>
          </w14:textFill>
        </w:rPr>
        <w:t>浦北村；</w:t>
      </w:r>
    </w:p>
    <w:p w14:paraId="0D2BDE4E">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施工</w:t>
      </w:r>
      <w:r>
        <w:rPr>
          <w:rFonts w:hint="eastAsia" w:ascii="宋体" w:hAnsi="宋体" w:eastAsia="宋体" w:cs="宋体"/>
          <w:color w:val="000000" w:themeColor="text1"/>
          <w:sz w:val="24"/>
          <w:szCs w:val="24"/>
          <w:highlight w:val="none"/>
          <w14:textFill>
            <w14:solidFill>
              <w14:schemeClr w14:val="tx1"/>
            </w14:solidFill>
          </w14:textFill>
        </w:rPr>
        <w:t>范围：</w:t>
      </w:r>
      <w:r>
        <w:rPr>
          <w:rFonts w:hint="eastAsia" w:ascii="宋体" w:hAnsi="宋体" w:cs="宋体"/>
          <w:color w:val="000000" w:themeColor="text1"/>
          <w:sz w:val="24"/>
          <w:szCs w:val="24"/>
          <w:highlight w:val="none"/>
          <w:lang w:val="en-US" w:eastAsia="zh-CN"/>
          <w14:textFill>
            <w14:solidFill>
              <w14:schemeClr w14:val="tx1"/>
            </w14:solidFill>
          </w14:textFill>
        </w:rPr>
        <w:t>具体详见工程量清单及图纸</w:t>
      </w:r>
      <w:r>
        <w:rPr>
          <w:rFonts w:hint="eastAsia" w:ascii="宋体" w:hAnsi="宋体" w:eastAsia="宋体" w:cs="宋体"/>
          <w:color w:val="000000" w:themeColor="text1"/>
          <w:sz w:val="24"/>
          <w:szCs w:val="24"/>
          <w:highlight w:val="none"/>
          <w14:textFill>
            <w14:solidFill>
              <w14:schemeClr w14:val="tx1"/>
            </w14:solidFill>
          </w14:textFill>
        </w:rPr>
        <w:t>。</w:t>
      </w:r>
    </w:p>
    <w:p w14:paraId="268930E3">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承包方式：包工包料</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359013B">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质量标准：执行国家现行验收标准，等级为合格</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4CADD90">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合同履行期限（工期）：</w:t>
      </w:r>
      <w:r>
        <w:rPr>
          <w:rFonts w:hint="eastAsia" w:ascii="宋体" w:hAnsi="宋体" w:cs="宋体"/>
          <w:color w:val="000000" w:themeColor="text1"/>
          <w:sz w:val="24"/>
          <w:szCs w:val="24"/>
          <w:highlight w:val="none"/>
          <w:lang w:val="en-US" w:eastAsia="zh-CN"/>
          <w14:textFill>
            <w14:solidFill>
              <w14:schemeClr w14:val="tx1"/>
            </w14:solidFill>
          </w14:textFill>
        </w:rPr>
        <w:t>50日历天，具体开工日期以采购人发出的书面通知（开工令）为准。</w:t>
      </w:r>
    </w:p>
    <w:p w14:paraId="67DBBDD4">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本项目（是/否√）接受联合体。</w:t>
      </w:r>
    </w:p>
    <w:p w14:paraId="76FBD9A4">
      <w:pPr>
        <w:keepNext w:val="0"/>
        <w:keepLines w:val="0"/>
        <w:pageBreakBefore w:val="0"/>
        <w:widowControl w:val="0"/>
        <w:spacing w:line="360" w:lineRule="auto"/>
        <w:ind w:right="0" w:firstLine="482"/>
        <w:jc w:val="both"/>
        <w:outlineLvl w:val="9"/>
        <w:rPr>
          <w:rFonts w:hint="eastAsia" w:ascii="宋体" w:hAnsi="宋体" w:eastAsia="宋体" w:cs="宋体"/>
          <w:b/>
          <w:bCs w:val="0"/>
          <w:color w:val="000000" w:themeColor="text1"/>
          <w:sz w:val="24"/>
          <w:szCs w:val="24"/>
          <w:highlight w:val="none"/>
          <w14:textFill>
            <w14:solidFill>
              <w14:schemeClr w14:val="tx1"/>
            </w14:solidFill>
          </w14:textFill>
        </w:rPr>
      </w:pPr>
      <w:bookmarkStart w:id="15" w:name="_Toc35393630"/>
      <w:bookmarkStart w:id="16" w:name="_Toc28359090"/>
      <w:bookmarkStart w:id="17" w:name="_Toc28359013"/>
      <w:bookmarkStart w:id="18" w:name="_Toc35393799"/>
      <w:r>
        <w:rPr>
          <w:rFonts w:hint="eastAsia" w:ascii="宋体" w:hAnsi="宋体" w:eastAsia="宋体" w:cs="宋体"/>
          <w:b/>
          <w:bCs w:val="0"/>
          <w:color w:val="000000" w:themeColor="text1"/>
          <w:sz w:val="24"/>
          <w:szCs w:val="24"/>
          <w:highlight w:val="none"/>
          <w14:textFill>
            <w14:solidFill>
              <w14:schemeClr w14:val="tx1"/>
            </w14:solidFill>
          </w14:textFill>
        </w:rPr>
        <w:t>二、申请人的资格要求</w:t>
      </w:r>
      <w:bookmarkEnd w:id="15"/>
      <w:bookmarkEnd w:id="16"/>
      <w:bookmarkEnd w:id="17"/>
      <w:bookmarkEnd w:id="18"/>
    </w:p>
    <w:p w14:paraId="2928AAA5">
      <w:pPr>
        <w:keepNext w:val="0"/>
        <w:keepLines w:val="0"/>
        <w:pageBreakBefore w:val="0"/>
        <w:widowControl w:val="0"/>
        <w:spacing w:line="360" w:lineRule="auto"/>
        <w:ind w:right="0" w:firstLine="480"/>
        <w:jc w:val="both"/>
        <w:outlineLvl w:val="9"/>
        <w:rPr>
          <w:rFonts w:hint="eastAsia" w:ascii="宋体" w:hAnsi="Times New Roman" w:eastAsia="宋体" w:cs="Arial"/>
          <w:color w:val="000000" w:themeColor="text1"/>
          <w:sz w:val="24"/>
          <w:highlight w:val="none"/>
          <w:lang w:val="en-US" w:eastAsia="zh-CN"/>
          <w14:textFill>
            <w14:solidFill>
              <w14:schemeClr w14:val="tx1"/>
            </w14:solidFill>
          </w14:textFill>
        </w:rPr>
      </w:pPr>
      <w:r>
        <w:rPr>
          <w:rFonts w:hint="eastAsia" w:ascii="宋体" w:hAnsi="Times New Roman" w:eastAsia="宋体" w:cs="Arial"/>
          <w:color w:val="000000" w:themeColor="text1"/>
          <w:sz w:val="24"/>
          <w:highlight w:val="none"/>
          <w:lang w:val="en-US" w:eastAsia="zh-CN"/>
          <w14:textFill>
            <w14:solidFill>
              <w14:schemeClr w14:val="tx1"/>
            </w14:solidFill>
          </w14:textFill>
        </w:rPr>
        <w:t>1. 满足《中华人民共和国政府采购法》第二十二条规定，并提供下列材料：</w:t>
      </w:r>
    </w:p>
    <w:p w14:paraId="7908841D">
      <w:pPr>
        <w:keepNext w:val="0"/>
        <w:keepLines w:val="0"/>
        <w:pageBreakBefore w:val="0"/>
        <w:widowControl w:val="0"/>
        <w:spacing w:line="360" w:lineRule="auto"/>
        <w:ind w:right="0" w:firstLine="480"/>
        <w:jc w:val="both"/>
        <w:outlineLvl w:val="9"/>
        <w:rPr>
          <w:rFonts w:hint="eastAsia" w:ascii="宋体" w:hAnsi="Times New Roman" w:eastAsia="宋体" w:cs="Arial"/>
          <w:color w:val="000000" w:themeColor="text1"/>
          <w:sz w:val="24"/>
          <w:highlight w:val="none"/>
          <w:lang w:val="en-US" w:eastAsia="zh-CN"/>
          <w14:textFill>
            <w14:solidFill>
              <w14:schemeClr w14:val="tx1"/>
            </w14:solidFill>
          </w14:textFill>
        </w:rPr>
      </w:pPr>
      <w:r>
        <w:rPr>
          <w:rFonts w:hint="eastAsia" w:ascii="宋体" w:hAnsi="Times New Roman" w:eastAsia="宋体" w:cs="Arial"/>
          <w:color w:val="000000" w:themeColor="text1"/>
          <w:sz w:val="24"/>
          <w:highlight w:val="none"/>
          <w:lang w:val="en-US" w:eastAsia="zh-CN"/>
          <w14:textFill>
            <w14:solidFill>
              <w14:schemeClr w14:val="tx1"/>
            </w14:solidFill>
          </w14:textFill>
        </w:rPr>
        <w:t>（1）法人或者其他组织的营业执照等证明文件，自然人的身份证明；</w:t>
      </w:r>
    </w:p>
    <w:p w14:paraId="06DE011F">
      <w:pPr>
        <w:keepNext w:val="0"/>
        <w:keepLines w:val="0"/>
        <w:pageBreakBefore w:val="0"/>
        <w:widowControl w:val="0"/>
        <w:spacing w:line="360" w:lineRule="auto"/>
        <w:ind w:right="0" w:firstLine="480"/>
        <w:jc w:val="both"/>
        <w:outlineLvl w:val="9"/>
        <w:rPr>
          <w:rFonts w:hint="eastAsia" w:ascii="宋体" w:hAnsi="Times New Roman" w:eastAsia="宋体" w:cs="Arial"/>
          <w:color w:val="000000" w:themeColor="text1"/>
          <w:sz w:val="24"/>
          <w:highlight w:val="none"/>
          <w:lang w:val="en-US" w:eastAsia="zh-CN"/>
          <w14:textFill>
            <w14:solidFill>
              <w14:schemeClr w14:val="tx1"/>
            </w14:solidFill>
          </w14:textFill>
        </w:rPr>
      </w:pPr>
      <w:r>
        <w:rPr>
          <w:rFonts w:hint="eastAsia" w:ascii="宋体" w:hAnsi="Times New Roman" w:eastAsia="宋体" w:cs="Arial"/>
          <w:color w:val="000000" w:themeColor="text1"/>
          <w:sz w:val="24"/>
          <w:highlight w:val="none"/>
          <w:lang w:val="en-US" w:eastAsia="zh-CN"/>
          <w14:textFill>
            <w14:solidFill>
              <w14:schemeClr w14:val="tx1"/>
            </w14:solidFill>
          </w14:textFill>
        </w:rPr>
        <w:t>（2）上一年度的财务状况报告（成立不满一年无需提供）；</w:t>
      </w:r>
    </w:p>
    <w:p w14:paraId="1EA07E85">
      <w:pPr>
        <w:keepNext w:val="0"/>
        <w:keepLines w:val="0"/>
        <w:pageBreakBefore w:val="0"/>
        <w:widowControl w:val="0"/>
        <w:spacing w:line="360" w:lineRule="auto"/>
        <w:ind w:right="0" w:firstLine="480"/>
        <w:jc w:val="both"/>
        <w:outlineLvl w:val="9"/>
        <w:rPr>
          <w:rFonts w:hint="eastAsia" w:ascii="宋体" w:hAnsi="Times New Roman" w:eastAsia="宋体" w:cs="Arial"/>
          <w:color w:val="000000" w:themeColor="text1"/>
          <w:sz w:val="24"/>
          <w:highlight w:val="none"/>
          <w:lang w:val="en-US" w:eastAsia="zh-CN"/>
          <w14:textFill>
            <w14:solidFill>
              <w14:schemeClr w14:val="tx1"/>
            </w14:solidFill>
          </w14:textFill>
        </w:rPr>
      </w:pPr>
      <w:r>
        <w:rPr>
          <w:rFonts w:hint="eastAsia" w:ascii="宋体" w:hAnsi="Times New Roman" w:eastAsia="宋体" w:cs="Arial"/>
          <w:color w:val="000000" w:themeColor="text1"/>
          <w:sz w:val="24"/>
          <w:highlight w:val="none"/>
          <w:lang w:val="en-US" w:eastAsia="zh-CN"/>
          <w14:textFill>
            <w14:solidFill>
              <w14:schemeClr w14:val="tx1"/>
            </w14:solidFill>
          </w14:textFill>
        </w:rPr>
        <w:t>（3）依法缴纳税收和社会保障资金的相关材料；</w:t>
      </w:r>
    </w:p>
    <w:p w14:paraId="45603A8B">
      <w:pPr>
        <w:keepNext w:val="0"/>
        <w:keepLines w:val="0"/>
        <w:pageBreakBefore w:val="0"/>
        <w:widowControl w:val="0"/>
        <w:spacing w:line="360" w:lineRule="auto"/>
        <w:ind w:right="0" w:firstLine="480"/>
        <w:jc w:val="both"/>
        <w:outlineLvl w:val="9"/>
        <w:rPr>
          <w:rFonts w:hint="eastAsia" w:ascii="宋体" w:hAnsi="Times New Roman" w:eastAsia="宋体" w:cs="Arial"/>
          <w:color w:val="000000" w:themeColor="text1"/>
          <w:sz w:val="24"/>
          <w:highlight w:val="none"/>
          <w:lang w:val="en-US" w:eastAsia="zh-CN"/>
          <w14:textFill>
            <w14:solidFill>
              <w14:schemeClr w14:val="tx1"/>
            </w14:solidFill>
          </w14:textFill>
        </w:rPr>
      </w:pPr>
      <w:r>
        <w:rPr>
          <w:rFonts w:hint="eastAsia" w:ascii="宋体" w:hAnsi="Times New Roman" w:eastAsia="宋体" w:cs="Arial"/>
          <w:color w:val="000000" w:themeColor="text1"/>
          <w:sz w:val="24"/>
          <w:highlight w:val="none"/>
          <w:lang w:val="en-US" w:eastAsia="zh-CN"/>
          <w14:textFill>
            <w14:solidFill>
              <w14:schemeClr w14:val="tx1"/>
            </w14:solidFill>
          </w14:textFill>
        </w:rPr>
        <w:t>（4）具备履行合同所必需的设备和专业技术能力的书面声明；</w:t>
      </w:r>
    </w:p>
    <w:p w14:paraId="052199FF">
      <w:pPr>
        <w:keepNext w:val="0"/>
        <w:keepLines w:val="0"/>
        <w:pageBreakBefore w:val="0"/>
        <w:widowControl w:val="0"/>
        <w:spacing w:line="360" w:lineRule="auto"/>
        <w:ind w:right="0" w:firstLine="480"/>
        <w:jc w:val="both"/>
        <w:outlineLvl w:val="9"/>
        <w:rPr>
          <w:rFonts w:hint="eastAsia" w:ascii="宋体" w:hAnsi="Times New Roman" w:eastAsia="宋体" w:cs="Arial"/>
          <w:color w:val="000000" w:themeColor="text1"/>
          <w:sz w:val="24"/>
          <w:highlight w:val="none"/>
          <w:lang w:val="en-US" w:eastAsia="zh-CN"/>
          <w14:textFill>
            <w14:solidFill>
              <w14:schemeClr w14:val="tx1"/>
            </w14:solidFill>
          </w14:textFill>
        </w:rPr>
      </w:pPr>
      <w:r>
        <w:rPr>
          <w:rFonts w:hint="eastAsia" w:ascii="宋体" w:hAnsi="Times New Roman" w:eastAsia="宋体" w:cs="Arial"/>
          <w:color w:val="000000" w:themeColor="text1"/>
          <w:sz w:val="24"/>
          <w:highlight w:val="none"/>
          <w:lang w:val="en-US" w:eastAsia="zh-CN"/>
          <w14:textFill>
            <w14:solidFill>
              <w14:schemeClr w14:val="tx1"/>
            </w14:solidFill>
          </w14:textFill>
        </w:rPr>
        <w:t>（5）参加政府采购活动前三年内在经营活动中没有重大违法记录的书面声明。</w:t>
      </w:r>
    </w:p>
    <w:p w14:paraId="60940BD1">
      <w:pPr>
        <w:keepNext w:val="0"/>
        <w:keepLines w:val="0"/>
        <w:pageBreakBefore w:val="0"/>
        <w:widowControl w:val="0"/>
        <w:spacing w:line="360" w:lineRule="auto"/>
        <w:ind w:right="0" w:firstLine="480"/>
        <w:jc w:val="both"/>
        <w:outlineLvl w:val="9"/>
        <w:rPr>
          <w:rFonts w:hint="eastAsia" w:ascii="宋体" w:hAnsi="Times New Roman" w:eastAsia="宋体" w:cs="Arial"/>
          <w:color w:val="000000" w:themeColor="text1"/>
          <w:sz w:val="24"/>
          <w:highlight w:val="none"/>
          <w:lang w:val="en-US" w:eastAsia="zh-CN"/>
          <w14:textFill>
            <w14:solidFill>
              <w14:schemeClr w14:val="tx1"/>
            </w14:solidFill>
          </w14:textFill>
        </w:rPr>
      </w:pPr>
      <w:r>
        <w:rPr>
          <w:rFonts w:hint="eastAsia" w:ascii="宋体" w:hAnsi="Times New Roman" w:eastAsia="宋体" w:cs="Arial"/>
          <w:b/>
          <w:bCs/>
          <w:color w:val="000000" w:themeColor="text1"/>
          <w:sz w:val="24"/>
          <w:highlight w:val="none"/>
          <w:lang w:val="en-US" w:eastAsia="zh-CN"/>
          <w14:textFill>
            <w14:solidFill>
              <w14:schemeClr w14:val="tx1"/>
            </w14:solidFill>
          </w14:textFill>
        </w:rPr>
        <w:t>根据连财购〔2023〕4号文件精神，第（2）、（3）项可以提供《财务状况报告及税收、社会保障资金缴纳情况承诺函》，详见采购文件格式</w:t>
      </w:r>
      <w:r>
        <w:rPr>
          <w:rFonts w:hint="eastAsia" w:ascii="宋体" w:hAnsi="Times New Roman" w:eastAsia="宋体" w:cs="Arial"/>
          <w:color w:val="000000" w:themeColor="text1"/>
          <w:sz w:val="24"/>
          <w:highlight w:val="none"/>
          <w:lang w:val="en-US" w:eastAsia="zh-CN"/>
          <w14:textFill>
            <w14:solidFill>
              <w14:schemeClr w14:val="tx1"/>
            </w14:solidFill>
          </w14:textFill>
        </w:rPr>
        <w:t>。</w:t>
      </w:r>
    </w:p>
    <w:p w14:paraId="1E910E7C">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2、落实政府采购需满足的资格要求：</w:t>
      </w:r>
      <w:bookmarkStart w:id="19" w:name="OLE_LINK50"/>
      <w:bookmarkStart w:id="20" w:name="OLE_LINK37"/>
      <w:bookmarkStart w:id="21" w:name="OLE_LINK51"/>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rPr>
          <w:rFonts w:hint="eastAsia" w:ascii="宋体" w:hAnsi="宋体" w:cs="宋体"/>
          <w:color w:val="000000" w:themeColor="text1"/>
          <w:sz w:val="24"/>
          <w:lang w:val="zh-CN"/>
          <w14:textFill>
            <w14:solidFill>
              <w14:schemeClr w14:val="tx1"/>
            </w14:solidFill>
          </w14:textFill>
        </w:rPr>
        <w:t>。</w:t>
      </w:r>
      <w:bookmarkEnd w:id="19"/>
      <w:bookmarkEnd w:id="20"/>
      <w:bookmarkEnd w:id="21"/>
    </w:p>
    <w:p w14:paraId="260FA9E5">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3、本项目的特定资格要求：</w:t>
      </w:r>
    </w:p>
    <w:p w14:paraId="1FB63922">
      <w:pPr>
        <w:keepNext w:val="0"/>
        <w:keepLines w:val="0"/>
        <w:pageBreakBefore w:val="0"/>
        <w:widowControl w:val="0"/>
        <w:spacing w:line="360" w:lineRule="auto"/>
        <w:ind w:right="0" w:firstLine="480"/>
        <w:jc w:val="both"/>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22" w:name="_Toc28359091"/>
      <w:bookmarkStart w:id="23" w:name="_Toc28359014"/>
      <w:r>
        <w:rPr>
          <w:rFonts w:hint="eastAsia" w:ascii="宋体" w:hAnsi="宋体" w:eastAsia="宋体" w:cs="宋体"/>
          <w:color w:val="000000" w:themeColor="text1"/>
          <w:sz w:val="24"/>
          <w:szCs w:val="24"/>
          <w:highlight w:val="none"/>
          <w:lang w:val="en-US" w:eastAsia="zh-CN"/>
          <w14:textFill>
            <w14:solidFill>
              <w14:schemeClr w14:val="tx1"/>
            </w14:solidFill>
          </w14:textFill>
        </w:rPr>
        <w:t>（1）磋商供应商须</w:t>
      </w:r>
      <w:r>
        <w:rPr>
          <w:rFonts w:hint="eastAsia" w:ascii="宋体" w:hAnsi="宋体" w:cs="宋体"/>
          <w:color w:val="000000" w:themeColor="text1"/>
          <w:sz w:val="24"/>
          <w:szCs w:val="24"/>
          <w:highlight w:val="none"/>
          <w:lang w:val="en-US" w:eastAsia="zh-CN"/>
          <w14:textFill>
            <w14:solidFill>
              <w14:schemeClr w14:val="tx1"/>
            </w14:solidFill>
          </w14:textFill>
        </w:rPr>
        <w:t>具备</w:t>
      </w:r>
      <w:r>
        <w:rPr>
          <w:rFonts w:hint="eastAsia" w:ascii="宋体" w:hAnsi="宋体" w:eastAsia="宋体" w:cs="宋体"/>
          <w:color w:val="000000" w:themeColor="text1"/>
          <w:sz w:val="24"/>
          <w:szCs w:val="24"/>
          <w:highlight w:val="none"/>
          <w:lang w:val="en-US" w:eastAsia="zh-CN"/>
          <w14:textFill>
            <w14:solidFill>
              <w14:schemeClr w14:val="tx1"/>
            </w14:solidFill>
          </w14:textFill>
        </w:rPr>
        <w:t>建设行政主管部门核发的</w:t>
      </w:r>
      <w:r>
        <w:rPr>
          <w:rFonts w:hint="eastAsia" w:ascii="宋体" w:hAnsi="宋体" w:cs="宋体"/>
          <w:b/>
          <w:bCs/>
          <w:color w:val="000000" w:themeColor="text1"/>
          <w:sz w:val="24"/>
          <w:szCs w:val="24"/>
          <w:highlight w:val="none"/>
          <w:lang w:val="en-US" w:eastAsia="zh-CN"/>
          <w14:textFill>
            <w14:solidFill>
              <w14:schemeClr w14:val="tx1"/>
            </w14:solidFill>
          </w14:textFill>
        </w:rPr>
        <w:t>市政公用工程施工总承包叁级及以上资质（在有效期内）</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并取得安全生产许可证</w:t>
      </w:r>
      <w:r>
        <w:rPr>
          <w:rFonts w:hint="eastAsia" w:ascii="宋体" w:hAnsi="宋体" w:cs="宋体"/>
          <w:b/>
          <w:bCs/>
          <w:color w:val="000000" w:themeColor="text1"/>
          <w:sz w:val="24"/>
          <w:szCs w:val="24"/>
          <w:highlight w:val="none"/>
          <w:lang w:val="en-US" w:eastAsia="zh-CN"/>
          <w14:textFill>
            <w14:solidFill>
              <w14:schemeClr w14:val="tx1"/>
            </w14:solidFill>
          </w14:textFill>
        </w:rPr>
        <w:t>（在有效期内）</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，并在人员、设备、资金等方面具有相应的施工能力；</w:t>
      </w:r>
    </w:p>
    <w:p w14:paraId="79309283">
      <w:pPr>
        <w:numPr>
          <w:ilvl w:val="-1"/>
          <w:numId w:val="0"/>
        </w:numPr>
        <w:spacing w:line="360" w:lineRule="auto"/>
        <w:ind w:firstLine="48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拟派项目负责人须</w:t>
      </w:r>
      <w:r>
        <w:rPr>
          <w:rFonts w:hint="eastAsia" w:ascii="宋体" w:hAnsi="宋体" w:eastAsia="宋体" w:cs="宋体"/>
          <w:color w:val="000000" w:themeColor="text1"/>
          <w:sz w:val="24"/>
          <w:szCs w:val="24"/>
          <w:highlight w:val="none"/>
          <w:lang w:val="en-US" w:eastAsia="zh-CN"/>
          <w14:textFill>
            <w14:solidFill>
              <w14:schemeClr w14:val="tx1"/>
            </w14:solidFill>
          </w14:textFill>
        </w:rPr>
        <w:t>具备建设行政主管部门核发</w:t>
      </w:r>
      <w:r>
        <w:rPr>
          <w:rFonts w:hint="eastAsia" w:ascii="宋体" w:hAnsi="宋体" w:cs="宋体"/>
          <w:b/>
          <w:bCs/>
          <w:color w:val="000000" w:themeColor="text1"/>
          <w:sz w:val="24"/>
          <w:szCs w:val="24"/>
          <w:highlight w:val="none"/>
          <w:lang w:val="en-US" w:eastAsia="zh-CN"/>
          <w14:textFill>
            <w14:solidFill>
              <w14:schemeClr w14:val="tx1"/>
            </w14:solidFill>
          </w14:textFill>
        </w:rPr>
        <w:t>市政公用工程专业二级及以上注册建造师资格（在有效期内）</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，并具有安全生产考核合格证书（B类）（在有效期内）</w:t>
      </w:r>
      <w:r>
        <w:rPr>
          <w:rFonts w:hint="eastAsia" w:ascii="宋体" w:hAnsi="宋体" w:cs="宋体"/>
          <w:b/>
          <w:bCs/>
          <w:color w:val="000000" w:themeColor="text1"/>
          <w:sz w:val="24"/>
          <w:szCs w:val="24"/>
          <w:highlight w:val="none"/>
          <w:lang w:val="en-US" w:eastAsia="zh-CN"/>
          <w14:textFill>
            <w14:solidFill>
              <w14:schemeClr w14:val="tx1"/>
            </w14:solidFill>
          </w14:textFill>
        </w:rPr>
        <w:t>；</w:t>
      </w:r>
    </w:p>
    <w:p w14:paraId="7FFA77D9">
      <w:pPr>
        <w:numPr>
          <w:ilvl w:val="0"/>
          <w:numId w:val="0"/>
        </w:numPr>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（3）本项目要求授权委托人必须为项目负责</w:t>
      </w:r>
      <w:r>
        <w:rPr>
          <w:rFonts w:hint="eastAsia" w:ascii="宋体" w:hAnsi="宋体" w:eastAsia="宋体" w:cs="宋体"/>
          <w:color w:val="000000" w:themeColor="text1"/>
          <w:sz w:val="24"/>
          <w:szCs w:val="24"/>
          <w:highlight w:val="none"/>
          <w:lang w:val="en-US" w:eastAsia="zh-CN"/>
          <w14:textFill>
            <w14:solidFill>
              <w14:schemeClr w14:val="tx1"/>
            </w14:solidFill>
          </w14:textFill>
        </w:rPr>
        <w:t>人，不接受项目负责人以外的人员作为委托人参与投标过程中各环节的活动。拟派项目负责人必须为供应商的员工，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提供</w:t>
      </w:r>
      <w:r>
        <w:rPr>
          <w:rFonts w:hint="eastAsia" w:ascii="宋体" w:hAnsi="宋体" w:cs="宋体"/>
          <w:b/>
          <w:bCs/>
          <w:color w:val="000000" w:themeColor="text1"/>
          <w:sz w:val="24"/>
          <w:szCs w:val="24"/>
          <w:highlight w:val="none"/>
          <w:lang w:val="en-US" w:eastAsia="zh-CN"/>
          <w14:textFill>
            <w14:solidFill>
              <w14:schemeClr w14:val="tx1"/>
            </w14:solidFill>
          </w14:textFill>
        </w:rPr>
        <w:t>2025年12月起至今任意一个月</w:t>
      </w:r>
      <w:r>
        <w:rPr>
          <w:rFonts w:hint="eastAsia" w:ascii="宋体" w:hAnsi="宋体" w:eastAsia="宋体" w:cs="宋体"/>
          <w:color w:val="000000" w:themeColor="text1"/>
          <w:sz w:val="24"/>
          <w:szCs w:val="24"/>
          <w:highlight w:val="none"/>
          <w:lang w:val="en-US" w:eastAsia="zh-CN"/>
          <w14:textFill>
            <w14:solidFill>
              <w14:schemeClr w14:val="tx1"/>
            </w14:solidFill>
          </w14:textFill>
        </w:rPr>
        <w:t>由供应商为其缴纳的社保缴纳证明（加盖社保中心章或社保中心参保缴费证明电子专用章），</w:t>
      </w:r>
      <w:r>
        <w:rPr>
          <w:rFonts w:hint="eastAsia" w:ascii="宋体" w:hAnsi="Times New Roman" w:eastAsia="宋体" w:cs="Arial"/>
          <w:color w:val="000000" w:themeColor="text1"/>
          <w:sz w:val="24"/>
          <w:highlight w:val="none"/>
          <w:lang w:val="en-US" w:eastAsia="zh-CN"/>
          <w14:textFill>
            <w14:solidFill>
              <w14:schemeClr w14:val="tx1"/>
            </w14:solidFill>
          </w14:textFill>
        </w:rPr>
        <w:t>供应商确定的项目负责人须全程参与磋商过程（含磋商、异议投诉等）</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2C0B4F6D">
      <w:pPr>
        <w:keepNext w:val="0"/>
        <w:keepLines w:val="0"/>
        <w:pageBreakBefore w:val="0"/>
        <w:widowControl w:val="0"/>
        <w:spacing w:line="360" w:lineRule="auto"/>
        <w:ind w:right="0" w:firstLine="480"/>
        <w:jc w:val="both"/>
        <w:outlineLvl w:val="9"/>
        <w:rPr>
          <w:rFonts w:hint="eastAsia" w:ascii="宋体" w:hAnsi="Times New Roman" w:eastAsia="宋体" w:cs="Arial"/>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ascii="宋体" w:hAnsi="宋体"/>
          <w:color w:val="000000" w:themeColor="text1"/>
          <w:sz w:val="24"/>
          <w14:textFill>
            <w14:solidFill>
              <w14:schemeClr w14:val="tx1"/>
            </w14:solidFill>
          </w14:textFill>
        </w:rPr>
        <w:t>本项目执行江苏省住房和城乡建设厅《关于开展建筑业企业资质动态监管工作的公告》、江苏省住房和城乡建设厅公告</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2018</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第6号、</w:t>
      </w:r>
      <w:r>
        <w:rPr>
          <w:rFonts w:hint="eastAsia" w:ascii="宋体" w:hAnsi="宋体" w:cs="宋体"/>
          <w:color w:val="000000" w:themeColor="text1"/>
          <w:sz w:val="24"/>
          <w14:textFill>
            <w14:solidFill>
              <w14:schemeClr w14:val="tx1"/>
            </w14:solidFill>
          </w14:textFill>
        </w:rPr>
        <w:t>苏建招办【2022】2号文</w:t>
      </w:r>
      <w:r>
        <w:rPr>
          <w:rFonts w:ascii="宋体" w:hAnsi="宋体"/>
          <w:color w:val="000000" w:themeColor="text1"/>
          <w:sz w:val="24"/>
          <w14:textFill>
            <w14:solidFill>
              <w14:schemeClr w14:val="tx1"/>
            </w14:solidFill>
          </w14:textFill>
        </w:rPr>
        <w:t>，关于企业资质动态核查，由供应商在响应文件中作出</w:t>
      </w:r>
      <w:r>
        <w:rPr>
          <w:rFonts w:ascii="宋体" w:hAnsi="宋体"/>
          <w:b/>
          <w:bCs/>
          <w:color w:val="000000" w:themeColor="text1"/>
          <w:sz w:val="24"/>
          <w14:textFill>
            <w14:solidFill>
              <w14:schemeClr w14:val="tx1"/>
            </w14:solidFill>
          </w14:textFill>
        </w:rPr>
        <w:t>书面承诺</w:t>
      </w:r>
      <w:bookmarkStart w:id="24" w:name="OLE_LINK27"/>
      <w:bookmarkStart w:id="25" w:name="OLE_LINK28"/>
      <w:r>
        <w:rPr>
          <w:rFonts w:ascii="宋体" w:hAnsi="宋体"/>
          <w:color w:val="000000" w:themeColor="text1"/>
          <w:sz w:val="24"/>
          <w14:textFill>
            <w14:solidFill>
              <w14:schemeClr w14:val="tx1"/>
            </w14:solidFill>
          </w14:textFill>
        </w:rPr>
        <w:t>（见格式）</w:t>
      </w:r>
      <w:bookmarkEnd w:id="24"/>
      <w:bookmarkEnd w:id="25"/>
      <w:r>
        <w:rPr>
          <w:rFonts w:ascii="宋体" w:hAnsi="宋体"/>
          <w:color w:val="000000" w:themeColor="text1"/>
          <w:sz w:val="24"/>
          <w14:textFill>
            <w14:solidFill>
              <w14:schemeClr w14:val="tx1"/>
            </w14:solidFill>
          </w14:textFill>
        </w:rPr>
        <w:t>，若响应有效期内企业资质核查不合格，将主动放弃成交资格。</w:t>
      </w:r>
    </w:p>
    <w:p w14:paraId="146273F9">
      <w:pPr>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p>
    <w:p w14:paraId="499AA7B2">
      <w:pPr>
        <w:spacing w:line="360" w:lineRule="auto"/>
        <w:ind w:firstLine="480"/>
        <w:rPr>
          <w:rFonts w:hint="default"/>
          <w:color w:val="000000" w:themeColor="text1"/>
          <w:highlight w:val="none"/>
          <w:lang w:val="en-US" w:eastAsia="zh-CN"/>
          <w14:textFill>
            <w14:solidFill>
              <w14:schemeClr w14:val="tx1"/>
            </w14:solidFill>
          </w14:textFill>
        </w:rPr>
      </w:pPr>
      <w:r>
        <w:rPr>
          <w:rFonts w:hint="eastAsia" w:ascii="宋体" w:hAnsi="Times New Roman" w:eastAsia="宋体" w:cs="Arial"/>
          <w:b w:val="0"/>
          <w:bCs w:val="0"/>
          <w:color w:val="000000" w:themeColor="text1"/>
          <w:sz w:val="24"/>
          <w:highlight w:val="none"/>
          <w:lang w:val="en-US" w:eastAsia="zh-CN"/>
          <w14:textFill>
            <w14:solidFill>
              <w14:schemeClr w14:val="tx1"/>
            </w14:solidFill>
          </w14:textFill>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49128917">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ascii="宋体" w:hAnsi="宋体"/>
          <w:color w:val="000000" w:themeColor="text1"/>
          <w:sz w:val="24"/>
          <w14:textFill>
            <w14:solidFill>
              <w14:schemeClr w14:val="tx1"/>
            </w14:solidFill>
          </w14:textFill>
        </w:rPr>
        <w:t>磋商供应商无不良行为、无借</w:t>
      </w:r>
      <w:r>
        <w:rPr>
          <w:rFonts w:hint="eastAsia" w:ascii="宋体" w:hAnsi="宋体"/>
          <w:color w:val="000000" w:themeColor="text1"/>
          <w:sz w:val="24"/>
          <w14:textFill>
            <w14:solidFill>
              <w14:schemeClr w14:val="tx1"/>
            </w14:solidFill>
          </w14:textFill>
        </w:rPr>
        <w:t>牌</w:t>
      </w:r>
      <w:r>
        <w:rPr>
          <w:rFonts w:ascii="宋体" w:hAnsi="宋体"/>
          <w:color w:val="000000" w:themeColor="text1"/>
          <w:sz w:val="24"/>
          <w14:textFill>
            <w14:solidFill>
              <w14:schemeClr w14:val="tx1"/>
            </w14:solidFill>
          </w14:textFill>
        </w:rPr>
        <w:t>挂靠行为、项目负责人无不良行为承诺书，供应商、法定代表人、项目负责人无行贿犯罪记录承诺书</w:t>
      </w:r>
      <w:r>
        <w:rPr>
          <w:rFonts w:hint="eastAsia" w:ascii="宋体" w:hAnsi="宋体" w:eastAsia="宋体" w:cs="宋体"/>
          <w:color w:val="000000" w:themeColor="text1"/>
          <w:sz w:val="24"/>
          <w:szCs w:val="24"/>
          <w:highlight w:val="none"/>
          <w:lang w:val="en-US" w:eastAsia="zh-CN"/>
          <w14:textFill>
            <w14:solidFill>
              <w14:schemeClr w14:val="tx1"/>
            </w14:solidFill>
          </w14:textFill>
        </w:rPr>
        <w:t>。（见格式）；</w:t>
      </w:r>
    </w:p>
    <w:p w14:paraId="769C7332">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4、本项目其他资格要求：</w:t>
      </w:r>
    </w:p>
    <w:p w14:paraId="502512CC">
      <w:pPr>
        <w:pageBreakBefore w:val="0"/>
        <w:widowControl w:val="0"/>
        <w:spacing w:line="360" w:lineRule="auto"/>
        <w:ind w:firstLine="48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Times New Roman" w:eastAsia="宋体" w:cs="Arial"/>
          <w:color w:val="000000" w:themeColor="text1"/>
          <w:sz w:val="24"/>
          <w:highlight w:val="none"/>
          <w:lang w:val="en-US" w:eastAsia="zh-CN"/>
          <w14:textFill>
            <w14:solidFill>
              <w14:schemeClr w14:val="tx1"/>
            </w14:solidFill>
          </w14:textFill>
        </w:rPr>
        <w:t>响应文件递交截止前被“信用中国”网站（www.creditchina.gov.cn）、中国政府采购网（www.ccgp.gov.cn）列入失信被执行人、重大税收违法案件当事人名单、政府采购严重违法失信行为记录名单的供应商，拒绝其参与政府采购活动。</w:t>
      </w:r>
    </w:p>
    <w:p w14:paraId="0E2B995F">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本项目</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后不允许分包或转包</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F428A57">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法律、法规规定的其他条件。</w:t>
      </w:r>
    </w:p>
    <w:p w14:paraId="07AAC781">
      <w:pPr>
        <w:keepNext w:val="0"/>
        <w:keepLines w:val="0"/>
        <w:pageBreakBefore w:val="0"/>
        <w:widowControl w:val="0"/>
        <w:spacing w:line="360" w:lineRule="auto"/>
        <w:ind w:right="0" w:firstLine="482"/>
        <w:jc w:val="both"/>
        <w:outlineLvl w:val="9"/>
        <w:rPr>
          <w:rFonts w:hint="eastAsia" w:ascii="宋体" w:hAnsi="宋体" w:eastAsia="宋体" w:cs="宋体"/>
          <w:b/>
          <w:bCs w:val="0"/>
          <w:color w:val="000000" w:themeColor="text1"/>
          <w:sz w:val="24"/>
          <w:szCs w:val="24"/>
          <w:highlight w:val="none"/>
          <w14:textFill>
            <w14:solidFill>
              <w14:schemeClr w14:val="tx1"/>
            </w14:solidFill>
          </w14:textFill>
        </w:rPr>
      </w:pPr>
      <w:bookmarkStart w:id="26" w:name="_Toc35393800"/>
      <w:bookmarkStart w:id="27" w:name="_Toc35393631"/>
      <w:r>
        <w:rPr>
          <w:rFonts w:hint="eastAsia" w:ascii="宋体" w:hAnsi="宋体" w:eastAsia="宋体" w:cs="宋体"/>
          <w:b/>
          <w:bCs w:val="0"/>
          <w:color w:val="000000" w:themeColor="text1"/>
          <w:sz w:val="24"/>
          <w:szCs w:val="24"/>
          <w:highlight w:val="none"/>
          <w14:textFill>
            <w14:solidFill>
              <w14:schemeClr w14:val="tx1"/>
            </w14:solidFill>
          </w14:textFill>
        </w:rPr>
        <w:t>三、获取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竞争性磋商</w:t>
      </w:r>
      <w:r>
        <w:rPr>
          <w:rFonts w:hint="eastAsia" w:ascii="宋体" w:hAnsi="宋体" w:eastAsia="宋体" w:cs="宋体"/>
          <w:b/>
          <w:bCs w:val="0"/>
          <w:color w:val="000000" w:themeColor="text1"/>
          <w:sz w:val="24"/>
          <w:szCs w:val="24"/>
          <w:highlight w:val="none"/>
          <w14:textFill>
            <w14:solidFill>
              <w14:schemeClr w14:val="tx1"/>
            </w14:solidFill>
          </w14:textFill>
        </w:rPr>
        <w:t>文件</w:t>
      </w:r>
      <w:bookmarkEnd w:id="22"/>
      <w:bookmarkEnd w:id="23"/>
      <w:bookmarkEnd w:id="26"/>
      <w:bookmarkEnd w:id="27"/>
    </w:p>
    <w:p w14:paraId="21DBAA9A">
      <w:pPr>
        <w:pageBreakBefore w:val="0"/>
        <w:widowControl w:val="0"/>
        <w:numPr>
          <w:ilvl w:val="0"/>
          <w:numId w:val="0"/>
        </w:numP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bookmarkStart w:id="28" w:name="_Toc35393801"/>
      <w:bookmarkStart w:id="29" w:name="_Toc28359092"/>
      <w:bookmarkStart w:id="30" w:name="_Toc35393632"/>
      <w:bookmarkStart w:id="31" w:name="_Toc28359015"/>
      <w:r>
        <w:rPr>
          <w:rFonts w:hint="eastAsia" w:ascii="宋体" w:hAnsi="宋体" w:eastAsia="宋体" w:cs="宋体"/>
          <w:color w:val="000000" w:themeColor="text1"/>
          <w:sz w:val="24"/>
          <w:szCs w:val="24"/>
          <w:highlight w:val="none"/>
          <w14:textFill>
            <w14:solidFill>
              <w14:schemeClr w14:val="tx1"/>
            </w14:solidFill>
          </w14:textFill>
        </w:rPr>
        <w:t>1、时间：自磋商文件公告发布之日起5个工作日；</w:t>
      </w:r>
    </w:p>
    <w:p w14:paraId="6ABDC7E7">
      <w:pPr>
        <w:pageBreakBefore w:val="0"/>
        <w:widowControl w:val="0"/>
        <w:numPr>
          <w:ilvl w:val="0"/>
          <w:numId w:val="0"/>
        </w:numPr>
        <w:spacing w:line="360" w:lineRule="auto"/>
        <w:ind w:firstLine="480"/>
        <w:jc w:val="lef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方式：供应商办理江苏省政府采购交易系统CA数字证书，登录“苏采云”政府采购交易系统，自行下载</w:t>
      </w:r>
      <w:r>
        <w:rPr>
          <w:rFonts w:hint="eastAsia" w:ascii="宋体" w:hAnsi="宋体" w:cs="宋体"/>
          <w:color w:val="000000" w:themeColor="text1"/>
          <w:sz w:val="24"/>
          <w:highlight w:val="none"/>
          <w:lang w:eastAsia="zh-CN"/>
          <w14:textFill>
            <w14:solidFill>
              <w14:schemeClr w14:val="tx1"/>
            </w14:solidFill>
          </w14:textFill>
        </w:rPr>
        <w:t>。</w:t>
      </w:r>
    </w:p>
    <w:p w14:paraId="0CD406D4">
      <w:pPr>
        <w:pageBreakBefore w:val="0"/>
        <w:widowControl w:val="0"/>
        <w:spacing w:line="360" w:lineRule="auto"/>
        <w:ind w:firstLine="480"/>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、售价：人民币</w:t>
      </w:r>
      <w:r>
        <w:rPr>
          <w:rFonts w:hint="eastAsia" w:ascii="宋体" w:hAnsi="宋体" w:cs="宋体"/>
          <w:color w:val="000000" w:themeColor="text1"/>
          <w:sz w:val="24"/>
          <w:highlight w:val="none"/>
          <w:lang w:val="en-US" w:eastAsia="zh-CN"/>
          <w14:textFill>
            <w14:solidFill>
              <w14:schemeClr w14:val="tx1"/>
            </w14:solidFill>
          </w14:textFill>
        </w:rPr>
        <w:t>0</w:t>
      </w:r>
      <w:r>
        <w:rPr>
          <w:rFonts w:hint="eastAsia" w:ascii="宋体" w:hAnsi="宋体" w:cs="宋体"/>
          <w:color w:val="000000" w:themeColor="text1"/>
          <w:sz w:val="24"/>
          <w:highlight w:val="none"/>
          <w14:textFill>
            <w14:solidFill>
              <w14:schemeClr w14:val="tx1"/>
            </w14:solidFill>
          </w14:textFill>
        </w:rPr>
        <w:t>元</w:t>
      </w:r>
      <w:r>
        <w:rPr>
          <w:rFonts w:hint="eastAsia" w:ascii="宋体" w:hAnsi="宋体" w:cs="宋体"/>
          <w:color w:val="000000" w:themeColor="text1"/>
          <w:sz w:val="24"/>
          <w:highlight w:val="none"/>
          <w:lang w:eastAsia="zh-CN"/>
          <w14:textFill>
            <w14:solidFill>
              <w14:schemeClr w14:val="tx1"/>
            </w14:solidFill>
          </w14:textFill>
        </w:rPr>
        <w:t>。</w:t>
      </w:r>
    </w:p>
    <w:p w14:paraId="0EE1CEC8">
      <w:pPr>
        <w:pStyle w:val="55"/>
        <w:keepNext w:val="0"/>
        <w:keepLines w:val="0"/>
        <w:pageBreakBefore w:val="0"/>
        <w:widowControl w:val="0"/>
        <w:spacing w:line="360" w:lineRule="auto"/>
        <w:ind w:right="0" w:firstLine="482"/>
        <w:jc w:val="both"/>
        <w:outlineLvl w:val="9"/>
        <w:rPr>
          <w:rFonts w:ascii="宋体" w:hAnsi="宋体" w:eastAsia="宋体" w:cs="宋体"/>
          <w:b/>
          <w:bCs w:val="0"/>
          <w:color w:val="000000" w:themeColor="text1"/>
          <w:sz w:val="24"/>
          <w:szCs w:val="24"/>
          <w:highlight w:val="none"/>
          <w:lang w:val="en-US"/>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四、</w:t>
      </w:r>
      <w:bookmarkEnd w:id="28"/>
      <w:bookmarkEnd w:id="29"/>
      <w:bookmarkEnd w:id="30"/>
      <w:bookmarkEnd w:id="31"/>
      <w:r>
        <w:rPr>
          <w:rFonts w:hint="eastAsia" w:ascii="宋体" w:hAnsi="宋体" w:eastAsia="宋体" w:cs="宋体"/>
          <w:b/>
          <w:bCs w:val="0"/>
          <w:color w:val="000000" w:themeColor="text1"/>
          <w:sz w:val="24"/>
          <w:szCs w:val="24"/>
          <w:highlight w:val="none"/>
          <w14:textFill>
            <w14:solidFill>
              <w14:schemeClr w14:val="tx1"/>
            </w14:solidFill>
          </w14:textFill>
        </w:rPr>
        <w:t>提交响应文件截止时间、开启时间和地点</w:t>
      </w:r>
    </w:p>
    <w:p w14:paraId="6CE38323">
      <w:pPr>
        <w:pageBreakBefore w:val="0"/>
        <w:widowControl w:val="0"/>
        <w:spacing w:line="360" w:lineRule="auto"/>
        <w:ind w:firstLine="482"/>
        <w:rPr>
          <w:rFonts w:hint="eastAsia" w:ascii="宋体" w:hAnsi="宋体" w:eastAsia="宋体" w:cs="宋体"/>
          <w:color w:val="000000"/>
          <w:sz w:val="24"/>
          <w:szCs w:val="24"/>
        </w:rPr>
      </w:pPr>
      <w:bookmarkStart w:id="32" w:name="_Toc28359017"/>
      <w:bookmarkStart w:id="33" w:name="_Toc28359094"/>
      <w:bookmarkStart w:id="34" w:name="_Toc35393803"/>
      <w:bookmarkStart w:id="35" w:name="_Toc35393634"/>
      <w:r>
        <w:rPr>
          <w:rFonts w:hint="eastAsia" w:ascii="宋体" w:hAnsi="宋体" w:eastAsia="宋体" w:cs="宋体"/>
          <w:color w:val="000000"/>
          <w:sz w:val="24"/>
          <w:szCs w:val="24"/>
        </w:rPr>
        <w:t>1、提交响应文件截止时间：</w:t>
      </w:r>
      <w:r>
        <w:rPr>
          <w:rFonts w:hint="eastAsia" w:ascii="宋体" w:hAnsi="宋体" w:cs="宋体"/>
          <w:color w:val="000000"/>
          <w:sz w:val="24"/>
          <w:szCs w:val="24"/>
          <w:lang w:eastAsia="zh-CN"/>
        </w:rPr>
        <w:t>2026年9月20日</w:t>
      </w:r>
      <w:r>
        <w:rPr>
          <w:rFonts w:hint="eastAsia" w:ascii="宋体" w:hAnsi="宋体" w:eastAsia="宋体" w:cs="宋体"/>
          <w:color w:val="000000"/>
          <w:sz w:val="24"/>
          <w:szCs w:val="24"/>
          <w:lang w:val="en-US" w:eastAsia="zh-CN"/>
        </w:rPr>
        <w:t>09</w:t>
      </w:r>
      <w:r>
        <w:rPr>
          <w:rFonts w:hint="eastAsia" w:ascii="宋体" w:hAnsi="宋体" w:eastAsia="宋体" w:cs="宋体"/>
          <w:color w:val="000000"/>
          <w:sz w:val="24"/>
          <w:szCs w:val="24"/>
        </w:rPr>
        <w:t>时</w:t>
      </w:r>
      <w:r>
        <w:rPr>
          <w:rFonts w:hint="eastAsia" w:ascii="宋体" w:hAnsi="宋体" w:eastAsia="宋体" w:cs="宋体"/>
          <w:color w:val="000000"/>
          <w:sz w:val="24"/>
          <w:szCs w:val="24"/>
          <w:lang w:val="en-US" w:eastAsia="zh-CN"/>
        </w:rPr>
        <w:t>00</w:t>
      </w:r>
      <w:r>
        <w:rPr>
          <w:rFonts w:hint="eastAsia" w:ascii="宋体" w:hAnsi="宋体" w:eastAsia="宋体" w:cs="宋体"/>
          <w:color w:val="000000"/>
          <w:sz w:val="24"/>
          <w:szCs w:val="24"/>
        </w:rPr>
        <w:t>分（北京时间）</w:t>
      </w:r>
    </w:p>
    <w:p w14:paraId="4E3F78C8">
      <w:pPr>
        <w:pageBreakBefore w:val="0"/>
        <w:widowControl w:val="0"/>
        <w:spacing w:line="360" w:lineRule="auto"/>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2、开启时间：同提交响应文件截止时间</w:t>
      </w:r>
    </w:p>
    <w:p w14:paraId="08E79CF6">
      <w:pPr>
        <w:pageBreakBefore w:val="0"/>
        <w:widowControl w:val="0"/>
        <w:spacing w:line="360" w:lineRule="auto"/>
        <w:ind w:firstLine="48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szCs w:val="24"/>
        </w:rPr>
        <w:t>3、开启地点：“苏采云”政府采购交易系统网上开标大厅。</w:t>
      </w:r>
    </w:p>
    <w:p w14:paraId="20AA3B41">
      <w:pPr>
        <w:pageBreakBefore w:val="0"/>
        <w:widowControl w:val="0"/>
        <w:spacing w:line="360" w:lineRule="auto"/>
        <w:ind w:firstLine="482"/>
        <w:rPr>
          <w:rFonts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bCs w:val="0"/>
          <w:color w:val="000000" w:themeColor="text1"/>
          <w:sz w:val="24"/>
          <w:szCs w:val="24"/>
          <w:highlight w:val="none"/>
          <w14:textFill>
            <w14:solidFill>
              <w14:schemeClr w14:val="tx1"/>
            </w14:solidFill>
          </w14:textFill>
        </w:rPr>
        <w:t>、</w:t>
      </w:r>
      <w:bookmarkEnd w:id="32"/>
      <w:bookmarkEnd w:id="33"/>
      <w:bookmarkEnd w:id="34"/>
      <w:bookmarkEnd w:id="35"/>
      <w:r>
        <w:rPr>
          <w:rFonts w:hint="eastAsia" w:ascii="宋体" w:hAnsi="宋体" w:cs="宋体"/>
          <w:b/>
          <w:color w:val="000000" w:themeColor="text1"/>
          <w:sz w:val="24"/>
          <w:highlight w:val="none"/>
          <w14:textFill>
            <w14:solidFill>
              <w14:schemeClr w14:val="tx1"/>
            </w14:solidFill>
          </w14:textFill>
        </w:rPr>
        <w:t>公告期限</w:t>
      </w:r>
    </w:p>
    <w:p w14:paraId="60B488A5">
      <w:pPr>
        <w:keepNext w:val="0"/>
        <w:keepLines w:val="0"/>
        <w:pageBreakBefore w:val="0"/>
        <w:widowControl w:val="0"/>
        <w:spacing w:line="360" w:lineRule="auto"/>
        <w:ind w:firstLine="480"/>
        <w:outlineLvl w:val="9"/>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自本公告发布之日起</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个工作日。</w:t>
      </w:r>
    </w:p>
    <w:p w14:paraId="08E84950">
      <w:pPr>
        <w:keepNext w:val="0"/>
        <w:keepLines w:val="0"/>
        <w:pageBreakBefore w:val="0"/>
        <w:widowControl w:val="0"/>
        <w:spacing w:line="360" w:lineRule="auto"/>
        <w:ind w:right="0" w:firstLine="482"/>
        <w:jc w:val="both"/>
        <w:outlineLvl w:val="9"/>
        <w:rPr>
          <w:rFonts w:hint="eastAsia" w:ascii="宋体" w:hAnsi="宋体" w:eastAsia="宋体" w:cs="宋体"/>
          <w:b/>
          <w:bCs w:val="0"/>
          <w:color w:val="000000" w:themeColor="text1"/>
          <w:sz w:val="24"/>
          <w:szCs w:val="24"/>
          <w:highlight w:val="none"/>
          <w14:textFill>
            <w14:solidFill>
              <w14:schemeClr w14:val="tx1"/>
            </w14:solidFill>
          </w14:textFill>
        </w:rPr>
      </w:pPr>
      <w:bookmarkStart w:id="36" w:name="_Toc35393804"/>
      <w:bookmarkStart w:id="37" w:name="_Toc35393635"/>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
          <w:bCs w:val="0"/>
          <w:color w:val="000000" w:themeColor="text1"/>
          <w:sz w:val="24"/>
          <w:szCs w:val="24"/>
          <w:highlight w:val="none"/>
          <w14:textFill>
            <w14:solidFill>
              <w14:schemeClr w14:val="tx1"/>
            </w14:solidFill>
          </w14:textFill>
        </w:rPr>
        <w:t>、其他补充事宜</w:t>
      </w:r>
      <w:bookmarkEnd w:id="36"/>
      <w:bookmarkEnd w:id="37"/>
    </w:p>
    <w:p w14:paraId="15A020D6">
      <w:pPr>
        <w:pageBreakBefore w:val="0"/>
        <w:widowControl w:val="0"/>
        <w:spacing w:line="360" w:lineRule="auto"/>
        <w:ind w:firstLine="480"/>
        <w:jc w:val="left"/>
        <w:rPr>
          <w:rFonts w:hint="eastAsia" w:ascii="宋体" w:hAnsi="宋体" w:cs="宋体"/>
          <w:color w:val="000000" w:themeColor="text1"/>
          <w:sz w:val="24"/>
          <w:highlight w:val="none"/>
          <w14:textFill>
            <w14:solidFill>
              <w14:schemeClr w14:val="tx1"/>
            </w14:solidFill>
          </w14:textFill>
        </w:rPr>
      </w:pPr>
      <w:bookmarkStart w:id="38" w:name="_Toc35393636"/>
      <w:bookmarkStart w:id="39" w:name="_Toc35393805"/>
      <w:bookmarkStart w:id="40" w:name="_Toc28359018"/>
      <w:bookmarkStart w:id="41" w:name="_Toc28359095"/>
      <w:r>
        <w:rPr>
          <w:rFonts w:hint="eastAsia" w:ascii="宋体" w:hAnsi="宋体" w:cs="宋体"/>
          <w:color w:val="000000" w:themeColor="text1"/>
          <w:sz w:val="24"/>
          <w:highlight w:val="none"/>
          <w14:textFill>
            <w14:solidFill>
              <w14:schemeClr w14:val="tx1"/>
            </w14:solidFill>
          </w14:textFill>
        </w:rPr>
        <w:t>1、根据苏财购［2020］52号文规定，本次磋商不收取磋商保证金。</w:t>
      </w:r>
    </w:p>
    <w:p w14:paraId="26E3A9D2">
      <w:pPr>
        <w:pageBreakBefore w:val="0"/>
        <w:widowControl w:val="0"/>
        <w:spacing w:line="360" w:lineRule="auto"/>
        <w:ind w:firstLine="48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本磋商文件中标注★的款项为实质性响应要求和条件，如不满足将按无效响应文件处理。</w:t>
      </w:r>
      <w:r>
        <w:rPr>
          <w:rFonts w:hint="eastAsia" w:ascii="宋体" w:hAnsi="宋体" w:eastAsia="宋体" w:cs="宋体"/>
          <w:b w:val="0"/>
          <w:bCs w:val="0"/>
          <w:color w:val="000000" w:themeColor="text1"/>
          <w:sz w:val="24"/>
          <w:highlight w:val="none"/>
          <w14:textFill>
            <w14:solidFill>
              <w14:schemeClr w14:val="tx1"/>
            </w14:solidFill>
          </w14:textFill>
        </w:rPr>
        <w:t>由采购人根据实际情况设置，</w:t>
      </w:r>
      <w:r>
        <w:rPr>
          <w:rFonts w:hint="eastAsia" w:ascii="宋体" w:hAnsi="宋体" w:eastAsia="宋体" w:cs="宋体"/>
          <w:b w:val="0"/>
          <w:bCs w:val="0"/>
          <w:color w:val="000000" w:themeColor="text1"/>
          <w:sz w:val="24"/>
          <w:szCs w:val="24"/>
          <w:highlight w:val="none"/>
          <w14:textFill>
            <w14:solidFill>
              <w14:schemeClr w14:val="tx1"/>
            </w14:solidFill>
          </w14:textFill>
        </w:rPr>
        <w:t>供应商须逐条明确作出满足实质性要求和条件的响应，否则将按无效响应处理。</w:t>
      </w:r>
    </w:p>
    <w:p w14:paraId="5B7BE39E">
      <w:pPr>
        <w:pageBreakBefore w:val="0"/>
        <w:widowControl w:val="0"/>
        <w:spacing w:line="360" w:lineRule="auto"/>
        <w:ind w:firstLine="48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p>
    <w:p w14:paraId="735358AF">
      <w:pPr>
        <w:pageBreakBefore w:val="0"/>
        <w:widowControl w:val="0"/>
        <w:spacing w:line="360" w:lineRule="auto"/>
        <w:ind w:firstLine="48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所有的响应供应商须在苏采云系统规定时间内填写并提交最后报价，未在磋商小组规定的时间内完成最后报价的视为放弃磋商，其磋商响应按无效响应处理。</w:t>
      </w:r>
    </w:p>
    <w:p w14:paraId="6EB359F5">
      <w:pPr>
        <w:pageBreakBefore w:val="0"/>
        <w:widowControl w:val="0"/>
        <w:spacing w:line="360" w:lineRule="auto"/>
        <w:ind w:firstLine="48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4、供应商在制作响应文件时如遇投标工具中投标格式与采购文件中不一致，请供应商按照采购文件中响应文件的格式要求编制，如因供应商未按要求执行造成的一切后果(包括废标)均由供应商自行承担。</w:t>
      </w:r>
    </w:p>
    <w:p w14:paraId="16744ED8">
      <w:pPr>
        <w:pageBreakBefore w:val="0"/>
        <w:widowControl w:val="0"/>
        <w:spacing w:line="360" w:lineRule="auto"/>
        <w:ind w:firstLine="48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14:textFill>
            <w14:solidFill>
              <w14:schemeClr w14:val="tx1"/>
            </w14:solidFill>
          </w14:textFill>
        </w:rPr>
        <w:t>、无论出于何种原因，采购人在采购活动开始前可对竞争磋商文件进行修改、补充或变更，其内容作为竞争性磋商文件的重要组成部分，请各供应商关注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江苏政府采购网</w:t>
      </w:r>
      <w:r>
        <w:rPr>
          <w:rFonts w:hint="eastAsia" w:ascii="宋体" w:hAnsi="宋体" w:eastAsia="宋体" w:cs="宋体"/>
          <w:b w:val="0"/>
          <w:bCs w:val="0"/>
          <w:color w:val="000000" w:themeColor="text1"/>
          <w:sz w:val="24"/>
          <w:szCs w:val="24"/>
          <w:highlight w:val="none"/>
          <w14:textFill>
            <w14:solidFill>
              <w14:schemeClr w14:val="tx1"/>
            </w14:solidFill>
          </w14:textFill>
        </w:rPr>
        <w:t>网站。若因供应商自身原因未及时关注本项目有关修改、补充或变更信息，导致响应文件编制或提交失误，由此造成的一切损失由供应商自行承担。</w:t>
      </w:r>
    </w:p>
    <w:p w14:paraId="71AB6776">
      <w:pPr>
        <w:pageBreakBefore w:val="0"/>
        <w:widowControl w:val="0"/>
        <w:spacing w:line="360" w:lineRule="auto"/>
        <w:ind w:firstLine="480"/>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6、电子采购说明</w:t>
      </w:r>
    </w:p>
    <w:p w14:paraId="764D556A">
      <w:pPr>
        <w:pageBreakBefore w:val="0"/>
        <w:widowControl w:val="0"/>
        <w:spacing w:line="360" w:lineRule="auto"/>
        <w:ind w:firstLine="48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135CEAC9">
      <w:pPr>
        <w:pageBreakBefore w:val="0"/>
        <w:widowControl w:val="0"/>
        <w:spacing w:line="360" w:lineRule="auto"/>
        <w:ind w:firstLine="48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http://www.ccgp-jiangsu.gov.cn/jiangsu/zlxz/ee/ee3a4bc5a3454aa2b0d9312230633ce9.html</w:t>
      </w:r>
    </w:p>
    <w:p w14:paraId="6857F4E5">
      <w:pPr>
        <w:pageBreakBefore w:val="0"/>
        <w:widowControl w:val="0"/>
        <w:spacing w:line="360" w:lineRule="auto"/>
        <w:ind w:firstLine="480"/>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3EDB8457">
      <w:pPr>
        <w:keepNext w:val="0"/>
        <w:keepLines w:val="0"/>
        <w:pageBreakBefore w:val="0"/>
        <w:widowControl w:val="0"/>
        <w:spacing w:line="360" w:lineRule="auto"/>
        <w:ind w:right="0" w:firstLine="482"/>
        <w:jc w:val="both"/>
        <w:outlineLvl w:val="9"/>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b/>
          <w:bCs w:val="0"/>
          <w:color w:val="000000" w:themeColor="text1"/>
          <w:sz w:val="24"/>
          <w:szCs w:val="24"/>
          <w:highlight w:val="none"/>
          <w14:textFill>
            <w14:solidFill>
              <w14:schemeClr w14:val="tx1"/>
            </w14:solidFill>
          </w14:textFill>
        </w:rPr>
        <w:t>、凡对本次采购提出询问，请按以下方式联系</w:t>
      </w:r>
      <w:bookmarkEnd w:id="38"/>
      <w:bookmarkEnd w:id="39"/>
      <w:bookmarkEnd w:id="40"/>
      <w:bookmarkEnd w:id="41"/>
    </w:p>
    <w:p w14:paraId="6F197970">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14:textFill>
            <w14:solidFill>
              <w14:schemeClr w14:val="tx1"/>
            </w14:solidFill>
          </w14:textFill>
        </w:rPr>
      </w:pPr>
      <w:bookmarkStart w:id="42" w:name="_Toc28359019"/>
      <w:bookmarkStart w:id="43" w:name="_Toc35393806"/>
      <w:bookmarkStart w:id="44" w:name="_Toc28359096"/>
      <w:bookmarkStart w:id="45" w:name="_Toc35393637"/>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采购人信息</w:t>
      </w:r>
      <w:bookmarkEnd w:id="42"/>
      <w:bookmarkEnd w:id="43"/>
      <w:bookmarkEnd w:id="44"/>
      <w:bookmarkEnd w:id="45"/>
    </w:p>
    <w:p w14:paraId="3176FC4F">
      <w:pPr>
        <w:keepNext w:val="0"/>
        <w:keepLines w:val="0"/>
        <w:pageBreakBefore w:val="0"/>
        <w:widowControl w:val="0"/>
        <w:spacing w:line="360" w:lineRule="auto"/>
        <w:ind w:right="0" w:firstLine="480"/>
        <w:jc w:val="both"/>
        <w:outlineLvl w:val="9"/>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   称：</w:t>
      </w:r>
      <w:r>
        <w:rPr>
          <w:rFonts w:hint="eastAsia" w:ascii="宋体" w:hAnsi="宋体" w:cs="宋体"/>
          <w:color w:val="000000" w:themeColor="text1"/>
          <w:sz w:val="24"/>
          <w:szCs w:val="24"/>
          <w:highlight w:val="none"/>
          <w:lang w:eastAsia="zh-CN"/>
          <w14:textFill>
            <w14:solidFill>
              <w14:schemeClr w14:val="tx1"/>
            </w14:solidFill>
          </w14:textFill>
        </w:rPr>
        <w:t>连云港市海州区浦南镇人民政府</w:t>
      </w:r>
    </w:p>
    <w:p w14:paraId="71164AF5">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地   址：江苏省连云港市海州区浦南镇驻地</w:t>
      </w:r>
    </w:p>
    <w:p w14:paraId="7789E5D9">
      <w:pPr>
        <w:keepNext w:val="0"/>
        <w:keepLines w:val="0"/>
        <w:pageBreakBefore w:val="0"/>
        <w:widowControl w:val="0"/>
        <w:spacing w:line="360" w:lineRule="auto"/>
        <w:ind w:right="0" w:firstLine="480"/>
        <w:jc w:val="both"/>
        <w:outlineLvl w:val="9"/>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联系方式：</w:t>
      </w:r>
      <w:bookmarkStart w:id="46" w:name="_Toc35393807"/>
      <w:bookmarkStart w:id="47" w:name="_Toc28359097"/>
      <w:bookmarkStart w:id="48" w:name="_Toc35393638"/>
      <w:bookmarkStart w:id="49" w:name="_Toc28359020"/>
      <w:r>
        <w:rPr>
          <w:rFonts w:hint="eastAsia" w:ascii="宋体" w:hAnsi="宋体" w:cs="宋体"/>
          <w:color w:val="000000" w:themeColor="text1"/>
          <w:sz w:val="24"/>
          <w:szCs w:val="24"/>
          <w:highlight w:val="none"/>
          <w:lang w:val="en-US" w:eastAsia="zh-CN"/>
          <w14:textFill>
            <w14:solidFill>
              <w14:schemeClr w14:val="tx1"/>
            </w14:solidFill>
          </w14:textFill>
        </w:rPr>
        <w:t xml:space="preserve">王主任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15861250628</w:t>
      </w:r>
    </w:p>
    <w:p w14:paraId="76FFCC9F">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代理</w:t>
      </w:r>
      <w:r>
        <w:rPr>
          <w:rFonts w:hint="eastAsia" w:ascii="宋体" w:hAnsi="宋体" w:eastAsia="宋体" w:cs="宋体"/>
          <w:color w:val="000000" w:themeColor="text1"/>
          <w:sz w:val="24"/>
          <w:szCs w:val="24"/>
          <w:highlight w:val="none"/>
          <w14:textFill>
            <w14:solidFill>
              <w14:schemeClr w14:val="tx1"/>
            </w14:solidFill>
          </w14:textFill>
        </w:rPr>
        <w:t>机构信息</w:t>
      </w:r>
      <w:bookmarkEnd w:id="46"/>
      <w:bookmarkEnd w:id="47"/>
      <w:bookmarkEnd w:id="48"/>
      <w:bookmarkEnd w:id="49"/>
    </w:p>
    <w:p w14:paraId="04594B97">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bookmarkStart w:id="50" w:name="_Toc35393808"/>
      <w:bookmarkStart w:id="51" w:name="_Toc35393639"/>
      <w:bookmarkStart w:id="52" w:name="_Toc28359098"/>
      <w:bookmarkStart w:id="53" w:name="_Toc28359021"/>
      <w:r>
        <w:rPr>
          <w:rFonts w:hint="eastAsia" w:ascii="宋体" w:hAnsi="宋体" w:eastAsia="宋体" w:cs="宋体"/>
          <w:color w:val="000000" w:themeColor="text1"/>
          <w:sz w:val="24"/>
          <w:szCs w:val="24"/>
          <w:highlight w:val="none"/>
          <w:lang w:eastAsia="zh-CN"/>
          <w14:textFill>
            <w14:solidFill>
              <w14:schemeClr w14:val="tx1"/>
            </w14:solidFill>
          </w14:textFill>
        </w:rPr>
        <w:t>名   称：</w:t>
      </w:r>
      <w:r>
        <w:rPr>
          <w:rFonts w:hint="eastAsia" w:ascii="宋体" w:hAnsi="宋体" w:cs="宋体"/>
          <w:color w:val="000000" w:themeColor="text1"/>
          <w:sz w:val="24"/>
          <w:szCs w:val="24"/>
          <w:highlight w:val="none"/>
          <w:lang w:eastAsia="zh-CN"/>
          <w14:textFill>
            <w14:solidFill>
              <w14:schemeClr w14:val="tx1"/>
            </w14:solidFill>
          </w14:textFill>
        </w:rPr>
        <w:t>江苏秋沃工程管理有限公司</w:t>
      </w:r>
    </w:p>
    <w:p w14:paraId="326FF2BC">
      <w:pPr>
        <w:keepNext w:val="0"/>
        <w:keepLines w:val="0"/>
        <w:pageBreakBefore w:val="0"/>
        <w:widowControl w:val="0"/>
        <w:spacing w:line="360" w:lineRule="auto"/>
        <w:ind w:right="0" w:firstLine="480"/>
        <w:jc w:val="both"/>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址：</w:t>
      </w:r>
      <w:r>
        <w:rPr>
          <w:rFonts w:hint="eastAsia" w:ascii="宋体" w:hAnsi="宋体" w:cs="宋体"/>
          <w:color w:val="000000" w:themeColor="text1"/>
          <w:sz w:val="24"/>
          <w:szCs w:val="24"/>
          <w:highlight w:val="none"/>
          <w:lang w:eastAsia="zh-CN"/>
          <w14:textFill>
            <w14:solidFill>
              <w14:schemeClr w14:val="tx1"/>
            </w14:solidFill>
          </w14:textFill>
        </w:rPr>
        <w:t>东海县牛山街道中华路钱塘玉景园别墅西门往东150米</w:t>
      </w:r>
    </w:p>
    <w:p w14:paraId="4E6AE6AF">
      <w:pPr>
        <w:keepNext w:val="0"/>
        <w:keepLines w:val="0"/>
        <w:pageBreakBefore w:val="0"/>
        <w:widowControl w:val="0"/>
        <w:spacing w:line="360" w:lineRule="auto"/>
        <w:ind w:right="0" w:firstLine="480"/>
        <w:jc w:val="both"/>
        <w:outlineLvl w:val="9"/>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联系方式：</w:t>
      </w:r>
      <w:r>
        <w:rPr>
          <w:rFonts w:hint="eastAsia" w:ascii="宋体" w:hAnsi="宋体" w:cs="宋体"/>
          <w:color w:val="000000" w:themeColor="text1"/>
          <w:sz w:val="24"/>
          <w:szCs w:val="24"/>
          <w:highlight w:val="none"/>
          <w:lang w:val="en-US" w:eastAsia="zh-CN"/>
          <w14:textFill>
            <w14:solidFill>
              <w14:schemeClr w14:val="tx1"/>
            </w14:solidFill>
          </w14:textFill>
        </w:rPr>
        <w:t>范工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15351865100</w:t>
      </w:r>
    </w:p>
    <w:p w14:paraId="5F9C53B6">
      <w:pPr>
        <w:pageBreakBefore w:val="0"/>
        <w:numPr>
          <w:ilvl w:val="0"/>
          <w:numId w:val="2"/>
        </w:numPr>
        <w:spacing w:line="360" w:lineRule="auto"/>
        <w:ind w:firstLine="48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项目联系方式</w:t>
      </w:r>
    </w:p>
    <w:p w14:paraId="25AA21EF">
      <w:pPr>
        <w:pageBreakBefore w:val="0"/>
        <w:numPr>
          <w:ilvl w:val="0"/>
          <w:numId w:val="0"/>
        </w:numPr>
        <w:spacing w:line="360" w:lineRule="auto"/>
        <w:ind w:firstLine="480"/>
        <w:jc w:val="left"/>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项目联系人：</w:t>
      </w:r>
      <w:r>
        <w:rPr>
          <w:rFonts w:hint="eastAsia" w:ascii="宋体" w:hAnsi="宋体" w:cs="宋体"/>
          <w:color w:val="000000" w:themeColor="text1"/>
          <w:sz w:val="24"/>
          <w:szCs w:val="24"/>
          <w:highlight w:val="none"/>
          <w:lang w:val="en-US" w:eastAsia="zh-CN"/>
          <w14:textFill>
            <w14:solidFill>
              <w14:schemeClr w14:val="tx1"/>
            </w14:solidFill>
          </w14:textFill>
        </w:rPr>
        <w:t>王主任</w:t>
      </w:r>
    </w:p>
    <w:p w14:paraId="6199D73E">
      <w:pPr>
        <w:pageBreakBefore w:val="0"/>
        <w:spacing w:line="360" w:lineRule="auto"/>
        <w:ind w:firstLine="480"/>
        <w:jc w:val="left"/>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电    话：</w:t>
      </w:r>
      <w:bookmarkEnd w:id="50"/>
      <w:bookmarkEnd w:id="51"/>
      <w:bookmarkEnd w:id="52"/>
      <w:bookmarkEnd w:id="53"/>
      <w:r>
        <w:rPr>
          <w:rFonts w:hint="eastAsia" w:ascii="宋体" w:hAnsi="宋体" w:cs="宋体"/>
          <w:color w:val="000000" w:themeColor="text1"/>
          <w:sz w:val="24"/>
          <w:szCs w:val="24"/>
          <w:highlight w:val="none"/>
          <w:lang w:val="en-US" w:eastAsia="zh-CN"/>
          <w14:textFill>
            <w14:solidFill>
              <w14:schemeClr w14:val="tx1"/>
            </w14:solidFill>
          </w14:textFill>
        </w:rPr>
        <w:t>15861250628</w:t>
      </w:r>
    </w:p>
    <w:p w14:paraId="1F53E4C9">
      <w:pPr>
        <w:pStyle w:val="16"/>
        <w:rPr>
          <w:rFonts w:hint="default"/>
          <w:color w:val="000000" w:themeColor="text1"/>
          <w:highlight w:val="none"/>
          <w:lang w:val="en-US" w:eastAsia="zh-CN"/>
          <w14:textFill>
            <w14:solidFill>
              <w14:schemeClr w14:val="tx1"/>
            </w14:solidFill>
          </w14:textFill>
        </w:rPr>
      </w:pPr>
    </w:p>
    <w:p w14:paraId="20D70725">
      <w:pPr>
        <w:pageBreakBefore w:val="0"/>
        <w:spacing w:line="360" w:lineRule="auto"/>
        <w:ind w:right="0" w:firstLine="0"/>
        <w:jc w:val="left"/>
        <w:rPr>
          <w:rFonts w:hint="eastAsia" w:ascii="宋体" w:hAnsi="宋体" w:eastAsia="宋体" w:cs="宋体"/>
          <w:color w:val="000000" w:themeColor="text1"/>
          <w:sz w:val="28"/>
          <w:szCs w:val="28"/>
          <w:highlight w:val="none"/>
          <w14:textFill>
            <w14:solidFill>
              <w14:schemeClr w14:val="tx1"/>
            </w14:solidFill>
          </w14:textFill>
        </w:rPr>
      </w:pPr>
    </w:p>
    <w:p w14:paraId="5346993A">
      <w:pPr>
        <w:pStyle w:val="207"/>
        <w:spacing w:line="360" w:lineRule="auto"/>
        <w:jc w:val="cente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bookmarkStart w:id="54" w:name="_Toc7098"/>
      <w:bookmarkStart w:id="55" w:name="_Toc8218"/>
      <w:bookmarkStart w:id="56" w:name="_Toc21453"/>
      <w:bookmarkStart w:id="57" w:name="_Toc465856612"/>
      <w:bookmarkStart w:id="58" w:name="_Toc14014"/>
      <w:bookmarkStart w:id="59" w:name="_Toc14577347"/>
      <w:bookmarkStart w:id="60" w:name="_Toc513029209"/>
      <w:bookmarkStart w:id="61" w:name="_Toc61149549"/>
      <w:r>
        <w:rPr>
          <w:rFonts w:hint="eastAsia" w:ascii="宋体" w:hAnsi="宋体" w:eastAsia="宋体" w:cs="宋体"/>
          <w:b/>
          <w:bCs/>
          <w:color w:val="000000" w:themeColor="text1"/>
          <w:sz w:val="44"/>
          <w:szCs w:val="44"/>
          <w:highlight w:val="none"/>
          <w14:textFill>
            <w14:solidFill>
              <w14:schemeClr w14:val="tx1"/>
            </w14:solidFill>
          </w14:textFill>
        </w:rPr>
        <w:t>第二章 磋商须知</w:t>
      </w:r>
      <w:bookmarkEnd w:id="54"/>
      <w:bookmarkEnd w:id="55"/>
      <w:bookmarkEnd w:id="56"/>
      <w:bookmarkEnd w:id="57"/>
      <w:bookmarkEnd w:id="58"/>
      <w:bookmarkEnd w:id="59"/>
      <w:bookmarkEnd w:id="60"/>
      <w:bookmarkEnd w:id="61"/>
    </w:p>
    <w:p w14:paraId="36A1F6C4">
      <w:pPr>
        <w:spacing w:after="143" w:line="360" w:lineRule="auto"/>
        <w:ind w:firstLine="216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（参加竞争性磋商的供应商以下简称“供应商”）</w:t>
      </w:r>
    </w:p>
    <w:p w14:paraId="02115040">
      <w:pPr>
        <w:pStyle w:val="213"/>
        <w:keepNext w:val="0"/>
        <w:keepLines w:val="0"/>
        <w:pageBreakBefore w:val="0"/>
        <w:widowControl w:val="0"/>
        <w:spacing w:before="0" w:after="0" w:line="360" w:lineRule="auto"/>
        <w:ind w:left="0" w:firstLine="482"/>
        <w:jc w:val="center"/>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8"/>
          <w:szCs w:val="28"/>
          <w:highlight w:val="none"/>
        </w:rPr>
        <w:t>一、总则</w:t>
      </w:r>
    </w:p>
    <w:p w14:paraId="5EB0AF99">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62" w:name="_Toc20823276"/>
      <w:bookmarkStart w:id="63" w:name="_Toc458694821"/>
      <w:bookmarkStart w:id="64" w:name="_Toc16938520"/>
      <w:bookmarkStart w:id="65" w:name="_Toc513029204"/>
      <w:r>
        <w:rPr>
          <w:rFonts w:hint="eastAsia" w:ascii="宋体" w:hAnsi="宋体" w:eastAsia="宋体" w:cs="宋体"/>
          <w:b/>
          <w:bCs/>
          <w:sz w:val="28"/>
          <w:szCs w:val="28"/>
          <w:highlight w:val="none"/>
          <w:lang w:val="en-US" w:eastAsia="zh-CN"/>
        </w:rPr>
        <w:t>1</w:t>
      </w:r>
      <w:bookmarkEnd w:id="62"/>
      <w:r>
        <w:rPr>
          <w:rFonts w:hint="eastAsia" w:ascii="宋体" w:hAnsi="宋体" w:eastAsia="宋体" w:cs="宋体"/>
          <w:b/>
          <w:bCs/>
          <w:sz w:val="28"/>
          <w:szCs w:val="28"/>
          <w:highlight w:val="none"/>
          <w:lang w:val="en-US" w:eastAsia="zh-CN"/>
        </w:rPr>
        <w:t>、采购方式</w:t>
      </w:r>
      <w:bookmarkEnd w:id="63"/>
      <w:bookmarkEnd w:id="64"/>
      <w:bookmarkEnd w:id="65"/>
    </w:p>
    <w:p w14:paraId="0024BA43">
      <w:pPr>
        <w:pageBreakBefore w:val="0"/>
        <w:widowControl w:val="0"/>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1.1 本次政府采购活动采取竞争性磋商</w:t>
      </w:r>
      <w:r>
        <w:rPr>
          <w:rFonts w:hint="eastAsia" w:ascii="宋体" w:hAnsi="宋体" w:eastAsia="宋体" w:cs="宋体"/>
          <w:sz w:val="24"/>
          <w:highlight w:val="none"/>
          <w:lang w:eastAsia="zh-CN"/>
        </w:rPr>
        <w:t>（</w:t>
      </w:r>
      <w:r>
        <w:rPr>
          <w:rFonts w:hint="eastAsia" w:ascii="宋体" w:hAnsi="宋体" w:eastAsia="宋体" w:cs="宋体"/>
          <w:sz w:val="24"/>
          <w:highlight w:val="none"/>
        </w:rPr>
        <w:t>以下简称磋商</w:t>
      </w:r>
      <w:r>
        <w:rPr>
          <w:rFonts w:hint="eastAsia" w:ascii="宋体" w:hAnsi="宋体" w:eastAsia="宋体" w:cs="宋体"/>
          <w:sz w:val="24"/>
          <w:highlight w:val="none"/>
          <w:lang w:eastAsia="zh-CN"/>
        </w:rPr>
        <w:t>）</w:t>
      </w:r>
      <w:r>
        <w:rPr>
          <w:rFonts w:hint="eastAsia" w:ascii="宋体" w:hAnsi="宋体" w:eastAsia="宋体" w:cs="宋体"/>
          <w:sz w:val="24"/>
          <w:highlight w:val="none"/>
        </w:rPr>
        <w:t>方式，本磋商文件仅适用于磋商公告中所述项目。</w:t>
      </w:r>
    </w:p>
    <w:p w14:paraId="4A30D51A">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66" w:name="_Toc513029205"/>
      <w:bookmarkStart w:id="67" w:name="_Toc20823277"/>
      <w:bookmarkStart w:id="68" w:name="_Toc16938521"/>
      <w:r>
        <w:rPr>
          <w:rFonts w:hint="eastAsia" w:ascii="宋体" w:hAnsi="宋体" w:eastAsia="宋体" w:cs="宋体"/>
          <w:b/>
          <w:bCs/>
          <w:sz w:val="28"/>
          <w:szCs w:val="28"/>
          <w:highlight w:val="none"/>
          <w:lang w:val="en-US" w:eastAsia="zh-CN"/>
        </w:rPr>
        <w:t>2、合格的</w:t>
      </w:r>
      <w:bookmarkEnd w:id="66"/>
      <w:bookmarkEnd w:id="67"/>
      <w:bookmarkEnd w:id="68"/>
      <w:r>
        <w:rPr>
          <w:rFonts w:hint="eastAsia" w:ascii="宋体" w:hAnsi="宋体" w:eastAsia="宋体" w:cs="宋体"/>
          <w:b/>
          <w:bCs/>
          <w:sz w:val="28"/>
          <w:szCs w:val="28"/>
          <w:highlight w:val="none"/>
          <w:lang w:val="en-US" w:eastAsia="zh-CN"/>
        </w:rPr>
        <w:t>供应商</w:t>
      </w:r>
    </w:p>
    <w:p w14:paraId="2D9B5830">
      <w:pPr>
        <w:pageBreakBefore w:val="0"/>
        <w:widowControl w:val="0"/>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2.1满足磋商公告中供应商资格要求的规定。</w:t>
      </w:r>
    </w:p>
    <w:p w14:paraId="4FDBC39C">
      <w:pPr>
        <w:pageBreakBefore w:val="0"/>
        <w:widowControl w:val="0"/>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2.2 满足本磋商文件实质性要求和条件的规定。</w:t>
      </w:r>
    </w:p>
    <w:p w14:paraId="18BEE828">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69" w:name="_Toc16938522"/>
      <w:bookmarkStart w:id="70" w:name="_Toc20823278"/>
      <w:bookmarkStart w:id="71" w:name="_Toc513029206"/>
      <w:r>
        <w:rPr>
          <w:rFonts w:hint="eastAsia" w:ascii="宋体" w:hAnsi="宋体" w:eastAsia="宋体" w:cs="宋体"/>
          <w:b/>
          <w:bCs/>
          <w:sz w:val="28"/>
          <w:szCs w:val="28"/>
          <w:highlight w:val="none"/>
          <w:lang w:val="en-US" w:eastAsia="zh-CN"/>
        </w:rPr>
        <w:t>3、适用法律</w:t>
      </w:r>
      <w:bookmarkEnd w:id="69"/>
      <w:bookmarkEnd w:id="70"/>
      <w:bookmarkEnd w:id="71"/>
    </w:p>
    <w:p w14:paraId="70781D41">
      <w:pPr>
        <w:pageBreakBefore w:val="0"/>
        <w:widowControl w:val="0"/>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3.1 本次磋商及由此产生的合同受中华人民共和国有关的法律法规制约和保护。</w:t>
      </w:r>
    </w:p>
    <w:p w14:paraId="0A3E7335">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72" w:name="_Toc462564067"/>
      <w:bookmarkStart w:id="73" w:name="_Toc16938523"/>
      <w:bookmarkStart w:id="74" w:name="_Toc20823279"/>
      <w:bookmarkStart w:id="75" w:name="_Toc513029207"/>
      <w:r>
        <w:rPr>
          <w:rFonts w:hint="eastAsia" w:ascii="宋体" w:hAnsi="宋体" w:eastAsia="宋体" w:cs="宋体"/>
          <w:b/>
          <w:bCs/>
          <w:sz w:val="28"/>
          <w:szCs w:val="28"/>
          <w:highlight w:val="none"/>
          <w:lang w:val="en-US" w:eastAsia="zh-CN"/>
        </w:rPr>
        <w:t>4、磋商费用</w:t>
      </w:r>
      <w:bookmarkEnd w:id="72"/>
      <w:bookmarkEnd w:id="73"/>
      <w:bookmarkEnd w:id="74"/>
      <w:bookmarkEnd w:id="75"/>
    </w:p>
    <w:p w14:paraId="6444BB08">
      <w:pPr>
        <w:pageBreakBefore w:val="0"/>
        <w:widowControl w:val="0"/>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4.1供应商应自行承担所有与参加本次磋商有关的费用，无论磋商过程中的做法和结果如何，</w:t>
      </w:r>
      <w:r>
        <w:rPr>
          <w:rFonts w:hint="eastAsia" w:ascii="宋体" w:hAnsi="宋体" w:eastAsia="宋体" w:cs="宋体"/>
          <w:sz w:val="24"/>
          <w:highlight w:val="none"/>
          <w:lang w:eastAsia="zh-CN"/>
        </w:rPr>
        <w:t>江苏秋沃工程管理有限公司</w:t>
      </w:r>
      <w:r>
        <w:rPr>
          <w:rFonts w:hint="eastAsia" w:ascii="宋体" w:hAnsi="宋体" w:eastAsia="宋体" w:cs="宋体"/>
          <w:sz w:val="24"/>
          <w:highlight w:val="none"/>
        </w:rPr>
        <w:t>（以下简称</w:t>
      </w:r>
      <w:r>
        <w:rPr>
          <w:rFonts w:hint="eastAsia" w:ascii="宋体" w:hAnsi="宋体" w:eastAsia="宋体" w:cs="宋体"/>
          <w:sz w:val="24"/>
          <w:highlight w:val="none"/>
          <w:lang w:val="en-US" w:eastAsia="zh-CN"/>
        </w:rPr>
        <w:t>代理机构</w:t>
      </w:r>
      <w:r>
        <w:rPr>
          <w:rFonts w:hint="eastAsia" w:ascii="宋体" w:hAnsi="宋体" w:eastAsia="宋体" w:cs="宋体"/>
          <w:sz w:val="24"/>
          <w:highlight w:val="none"/>
        </w:rPr>
        <w:t>）在任何情况下均无义务和责任承担这些费用。</w:t>
      </w:r>
    </w:p>
    <w:p w14:paraId="032707C2">
      <w:pPr>
        <w:pageBreakBefore w:val="0"/>
        <w:widowControl w:val="0"/>
        <w:shd w:val="clear" w:color="auto" w:fill="auto"/>
        <w:tabs>
          <w:tab w:val="left" w:pos="900"/>
        </w:tabs>
        <w:spacing w:line="360" w:lineRule="auto"/>
        <w:ind w:firstLine="480"/>
        <w:jc w:val="left"/>
        <w:rPr>
          <w:rFonts w:ascii="宋体" w:hAnsi="宋体" w:eastAsia="宋体" w:cs="宋体"/>
          <w:sz w:val="24"/>
          <w:highlight w:val="none"/>
          <w:lang w:val="en-US" w:eastAsia="zh-CN"/>
        </w:rPr>
      </w:pPr>
      <w:r>
        <w:rPr>
          <w:rFonts w:hint="eastAsia" w:ascii="宋体" w:hAnsi="宋体" w:cs="宋体"/>
          <w:sz w:val="24"/>
          <w:highlight w:val="none"/>
          <w:lang w:val="en-US" w:eastAsia="zh-CN"/>
        </w:rPr>
        <w:t>4.2</w:t>
      </w:r>
      <w:r>
        <w:rPr>
          <w:rFonts w:hint="eastAsia" w:ascii="宋体" w:hAnsi="宋体" w:eastAsia="宋体" w:cs="宋体"/>
          <w:color w:val="000000"/>
          <w:sz w:val="24"/>
          <w:szCs w:val="24"/>
          <w:highlight w:val="none"/>
        </w:rPr>
        <w:t>代理服务费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本项目招标代理费按苏招协【2022】002号文、</w:t>
      </w:r>
      <w:r>
        <w:rPr>
          <w:rFonts w:hint="eastAsia" w:ascii="宋体" w:hAnsi="宋体" w:cs="宋体"/>
          <w:color w:val="000000"/>
          <w:sz w:val="24"/>
          <w:szCs w:val="24"/>
          <w:highlight w:val="none"/>
          <w:lang w:eastAsia="zh-CN"/>
        </w:rPr>
        <w:t>招标控制价</w:t>
      </w:r>
      <w:r>
        <w:rPr>
          <w:rFonts w:hint="eastAsia" w:ascii="宋体" w:hAnsi="宋体" w:eastAsia="宋体" w:cs="宋体"/>
          <w:color w:val="000000"/>
          <w:sz w:val="24"/>
          <w:szCs w:val="24"/>
          <w:highlight w:val="none"/>
        </w:rPr>
        <w:t>及工程量清单编制收费按按苏建价协[2022]7号文规定的45%计取。均</w:t>
      </w:r>
      <w:r>
        <w:rPr>
          <w:rFonts w:hint="eastAsia" w:ascii="宋体" w:hAnsi="宋体" w:cs="宋体"/>
          <w:color w:val="000000"/>
          <w:sz w:val="24"/>
          <w:szCs w:val="24"/>
          <w:highlight w:val="none"/>
          <w:lang w:eastAsia="zh-CN"/>
        </w:rPr>
        <w:t>由</w:t>
      </w:r>
      <w:r>
        <w:rPr>
          <w:rFonts w:hint="eastAsia" w:ascii="宋体" w:hAnsi="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支付。</w:t>
      </w:r>
    </w:p>
    <w:p w14:paraId="078136BD">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5、磋商文件的约束力</w:t>
      </w:r>
    </w:p>
    <w:p w14:paraId="4F1A4D5A">
      <w:pPr>
        <w:pageBreakBefore w:val="0"/>
        <w:widowControl w:val="0"/>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5.1供应商一旦参加本项目采购活动，即被认为接受了本磋商文件的规定和约束</w:t>
      </w:r>
      <w:r>
        <w:rPr>
          <w:rFonts w:hint="eastAsia" w:ascii="宋体" w:hAnsi="宋体" w:eastAsia="宋体" w:cs="宋体"/>
          <w:sz w:val="24"/>
          <w:highlight w:val="none"/>
          <w:lang w:eastAsia="zh-CN"/>
        </w:rPr>
        <w:t>，</w:t>
      </w:r>
      <w:r>
        <w:rPr>
          <w:rFonts w:hint="eastAsia" w:ascii="宋体" w:hAnsi="宋体" w:eastAsia="宋体" w:cs="宋体"/>
          <w:sz w:val="24"/>
          <w:highlight w:val="none"/>
        </w:rPr>
        <w:t>并且视为已经知道或应当知道自身权益是否受到了损害。</w:t>
      </w:r>
    </w:p>
    <w:p w14:paraId="34EC718A">
      <w:pPr>
        <w:pageBreakBefore w:val="0"/>
        <w:widowControl w:val="0"/>
        <w:shd w:val="clear" w:color="auto" w:fill="auto"/>
        <w:tabs>
          <w:tab w:val="left" w:pos="900"/>
        </w:tabs>
        <w:spacing w:line="360" w:lineRule="auto"/>
        <w:ind w:left="0" w:firstLine="0"/>
        <w:jc w:val="center"/>
        <w:outlineLvl w:val="0"/>
        <w:rPr>
          <w:rFonts w:hint="eastAsia" w:ascii="宋体" w:hAnsi="宋体" w:eastAsia="宋体" w:cs="宋体"/>
          <w:b/>
          <w:bCs/>
          <w:sz w:val="28"/>
          <w:szCs w:val="28"/>
          <w:highlight w:val="none"/>
          <w:lang w:val="en-US" w:eastAsia="zh-CN"/>
        </w:rPr>
      </w:pPr>
      <w:bookmarkStart w:id="76" w:name="_Toc12541"/>
      <w:r>
        <w:rPr>
          <w:rFonts w:hint="eastAsia" w:ascii="宋体" w:hAnsi="宋体" w:eastAsia="宋体" w:cs="宋体"/>
          <w:b/>
          <w:bCs/>
          <w:sz w:val="28"/>
          <w:szCs w:val="28"/>
          <w:highlight w:val="none"/>
          <w:lang w:val="en-US" w:eastAsia="zh-CN"/>
        </w:rPr>
        <w:t>二、磋商文件</w:t>
      </w:r>
      <w:bookmarkEnd w:id="76"/>
    </w:p>
    <w:p w14:paraId="0E658444">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6、磋商文件构成</w:t>
      </w:r>
    </w:p>
    <w:p w14:paraId="43C1258D">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.1 磋商文件由以下部分组成：</w:t>
      </w:r>
    </w:p>
    <w:p w14:paraId="2B40FFFC">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（1）竞争性磋商公告</w:t>
      </w:r>
    </w:p>
    <w:p w14:paraId="4C1673DB">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rPr>
        <w:t>须知</w:t>
      </w:r>
    </w:p>
    <w:p w14:paraId="08F9842D">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（3）政府采购合同格式</w:t>
      </w:r>
    </w:p>
    <w:p w14:paraId="38F1CFE2">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（4）技术标准和要求</w:t>
      </w:r>
    </w:p>
    <w:p w14:paraId="066581DE">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（5）工程量清单</w:t>
      </w:r>
    </w:p>
    <w:p w14:paraId="1AC5EFC0">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（6）图纸和技术资料</w:t>
      </w:r>
    </w:p>
    <w:p w14:paraId="5DFC465A">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7</w:t>
      </w:r>
      <w:r>
        <w:rPr>
          <w:rFonts w:hint="eastAsia" w:ascii="宋体" w:hAnsi="宋体" w:eastAsia="宋体" w:cs="宋体"/>
          <w:color w:val="000000"/>
          <w:sz w:val="24"/>
          <w:highlight w:val="none"/>
          <w:lang w:eastAsia="zh-CN"/>
        </w:rPr>
        <w:t>）评审方法和评审标准</w:t>
      </w:r>
    </w:p>
    <w:p w14:paraId="13415909">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8</w:t>
      </w:r>
      <w:r>
        <w:rPr>
          <w:rFonts w:hint="eastAsia" w:ascii="宋体" w:hAnsi="宋体" w:eastAsia="宋体" w:cs="宋体"/>
          <w:color w:val="000000"/>
          <w:sz w:val="24"/>
          <w:highlight w:val="none"/>
          <w:lang w:eastAsia="zh-CN"/>
        </w:rPr>
        <w:t>）响应文件格式</w:t>
      </w:r>
    </w:p>
    <w:p w14:paraId="45977A3D">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请仔细检查磋商文件是否齐全，如有缺漏请立即与采购人或采购代理机构联系解决。</w:t>
      </w:r>
    </w:p>
    <w:p w14:paraId="3319CDD3">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8CEBFFC">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7、磋商文件的澄清</w:t>
      </w:r>
    </w:p>
    <w:p w14:paraId="30A4E107">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7.1 任何要求对磋商文件进行澄清的供应商，应在磋商截止期5日前按磋商公告中的通讯地址，以书面形式通知代理机构。</w:t>
      </w:r>
    </w:p>
    <w:p w14:paraId="7825A5DC">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7.2 采购代理机构或采购人可以视采购项目的具体情况，组织供应商进行现场考察或召开磋商前答疑会，但不单独或分别组织只有一个供应商参加的现场考察和答疑会。</w:t>
      </w:r>
    </w:p>
    <w:p w14:paraId="5C43520C">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8、磋商文件的修改</w:t>
      </w:r>
    </w:p>
    <w:p w14:paraId="5B0D5C9A">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在响应文件提交截止时间前，</w:t>
      </w:r>
      <w:r>
        <w:rPr>
          <w:rFonts w:hint="eastAsia" w:ascii="宋体" w:hAnsi="宋体" w:eastAsia="宋体" w:cs="宋体"/>
          <w:color w:val="000000"/>
          <w:sz w:val="24"/>
          <w:highlight w:val="none"/>
          <w:lang w:eastAsia="zh-CN"/>
        </w:rPr>
        <w:t>代理机构</w:t>
      </w:r>
      <w:r>
        <w:rPr>
          <w:rFonts w:hint="eastAsia" w:ascii="宋体" w:hAnsi="宋体" w:eastAsia="宋体" w:cs="宋体"/>
          <w:color w:val="000000"/>
          <w:sz w:val="24"/>
          <w:highlight w:val="none"/>
        </w:rPr>
        <w:t>可以对磋商文件进行澄清和修改</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代理机构</w:t>
      </w:r>
      <w:r>
        <w:rPr>
          <w:rFonts w:hint="eastAsia" w:ascii="宋体" w:hAnsi="宋体" w:eastAsia="宋体" w:cs="宋体"/>
          <w:color w:val="000000"/>
          <w:sz w:val="24"/>
          <w:highlight w:val="none"/>
        </w:rPr>
        <w:t>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更正公告内容将作为磋商文件的组成部分，并对供应商具有约束力。不足5日的，</w:t>
      </w:r>
      <w:r>
        <w:rPr>
          <w:rFonts w:hint="eastAsia" w:ascii="宋体" w:hAnsi="宋体" w:eastAsia="宋体" w:cs="宋体"/>
          <w:color w:val="000000"/>
          <w:sz w:val="24"/>
          <w:highlight w:val="none"/>
          <w:lang w:eastAsia="zh-CN"/>
        </w:rPr>
        <w:t>代理机构</w:t>
      </w:r>
      <w:r>
        <w:rPr>
          <w:rFonts w:hint="eastAsia" w:ascii="宋体" w:hAnsi="宋体" w:eastAsia="宋体" w:cs="宋体"/>
          <w:color w:val="000000"/>
          <w:sz w:val="24"/>
          <w:highlight w:val="none"/>
        </w:rPr>
        <w:t>将顺延提交首次响应文件截止时间</w:t>
      </w:r>
      <w:r>
        <w:rPr>
          <w:rFonts w:hint="eastAsia" w:ascii="宋体" w:hAnsi="宋体" w:eastAsia="宋体" w:cs="宋体"/>
          <w:color w:val="000000"/>
          <w:szCs w:val="21"/>
          <w:highlight w:val="none"/>
        </w:rPr>
        <w:t>。</w:t>
      </w:r>
    </w:p>
    <w:p w14:paraId="7A33EBAA">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8.2 供应商对采购人提供的采购文件所做出的推论、解释和结论，采购人概不负责。供应商由于对采购文件的任何推论和误解以及采购人对有关问题的口头解释所造成的后果，均由各潜在供应商自负。</w:t>
      </w:r>
    </w:p>
    <w:p w14:paraId="760FCBEE">
      <w:pPr>
        <w:pageBreakBefore w:val="0"/>
        <w:widowControl w:val="0"/>
        <w:shd w:val="clear" w:color="auto" w:fill="auto"/>
        <w:tabs>
          <w:tab w:val="left" w:pos="900"/>
        </w:tabs>
        <w:spacing w:line="360" w:lineRule="auto"/>
        <w:jc w:val="center"/>
        <w:outlineLvl w:val="0"/>
        <w:rPr>
          <w:rFonts w:hint="eastAsia" w:ascii="宋体" w:hAnsi="宋体" w:eastAsia="宋体" w:cs="宋体"/>
          <w:b/>
          <w:bCs/>
          <w:sz w:val="28"/>
          <w:szCs w:val="28"/>
          <w:highlight w:val="none"/>
          <w:lang w:val="en-US" w:eastAsia="zh-CN"/>
        </w:rPr>
      </w:pPr>
      <w:bookmarkStart w:id="77" w:name="_Toc31736"/>
      <w:r>
        <w:rPr>
          <w:rFonts w:hint="eastAsia" w:ascii="宋体" w:hAnsi="宋体" w:eastAsia="宋体" w:cs="宋体"/>
          <w:b/>
          <w:bCs/>
          <w:sz w:val="28"/>
          <w:szCs w:val="28"/>
          <w:highlight w:val="none"/>
          <w:lang w:val="en-US" w:eastAsia="zh-CN"/>
        </w:rPr>
        <w:t>三、响应文件的编制</w:t>
      </w:r>
      <w:bookmarkEnd w:id="77"/>
    </w:p>
    <w:p w14:paraId="468D9B70">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9、响应文件的语言及度量衡单位</w:t>
      </w:r>
    </w:p>
    <w:p w14:paraId="6C9228C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9.1 供应商提交的响应文件以及供应商与采购人或采购代理机构就有关磋商的所有来往通知、函件和文件均应使用简体中文。</w:t>
      </w:r>
    </w:p>
    <w:p w14:paraId="36B0775B">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9.2 除技术性能另有规定外，响应文件所使用的度量衡单位，均须采用国家法定计量单位。</w:t>
      </w:r>
    </w:p>
    <w:p w14:paraId="2631607D">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10、响应文件构成</w:t>
      </w:r>
    </w:p>
    <w:p w14:paraId="0F264F94">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10.1供应商编写的响应文件应包括资格证明文件、符合性证明文件、商务技术标文件、价格标文件其他证明文件、磋商响应函等部分。</w:t>
      </w:r>
    </w:p>
    <w:p w14:paraId="0748041E">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10.2 如标书制作工具中格式和内容与“江苏政府采购网”发布的磋商文件不一致，请以“江苏政府采购网”发布的磋商文件为准。</w:t>
      </w:r>
    </w:p>
    <w:p w14:paraId="7EAB3934">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78" w:name="_Toc49090509"/>
      <w:bookmarkStart w:id="79" w:name="_Toc513029216"/>
      <w:bookmarkStart w:id="80" w:name="_Toc513029219"/>
      <w:bookmarkStart w:id="81" w:name="_Toc49090508"/>
      <w:bookmarkStart w:id="82" w:name="_Toc14577354"/>
      <w:bookmarkStart w:id="83" w:name="_Toc14577357"/>
      <w:bookmarkStart w:id="84" w:name="_Toc49090507"/>
      <w:r>
        <w:rPr>
          <w:rFonts w:hint="eastAsia" w:ascii="宋体" w:hAnsi="宋体" w:eastAsia="宋体" w:cs="宋体"/>
          <w:b/>
          <w:bCs/>
          <w:sz w:val="28"/>
          <w:szCs w:val="28"/>
          <w:highlight w:val="none"/>
          <w:lang w:val="en-US" w:eastAsia="zh-CN"/>
        </w:rPr>
        <w:t>11、证明磋商响应标的符合磋商文件规定的文件</w:t>
      </w:r>
      <w:bookmarkEnd w:id="78"/>
      <w:bookmarkEnd w:id="79"/>
      <w:bookmarkEnd w:id="80"/>
      <w:bookmarkEnd w:id="81"/>
      <w:bookmarkEnd w:id="82"/>
      <w:bookmarkEnd w:id="83"/>
      <w:bookmarkEnd w:id="84"/>
    </w:p>
    <w:p w14:paraId="771B0922">
      <w:pPr>
        <w:pageBreakBefore w:val="0"/>
        <w:widowControl w:val="0"/>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11.</w:t>
      </w:r>
      <w:r>
        <w:rPr>
          <w:rFonts w:hint="eastAsia" w:ascii="宋体" w:hAnsi="宋体" w:eastAsia="宋体" w:cs="宋体"/>
          <w:sz w:val="24"/>
          <w:highlight w:val="none"/>
        </w:rPr>
        <w:t>1</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rPr>
        <w:t>应按照磋商文件要求提交证明文件，证明其及磋商响应标的符合磋商文件规定。</w:t>
      </w:r>
    </w:p>
    <w:p w14:paraId="552F165F">
      <w:pPr>
        <w:pageBreakBefore w:val="0"/>
        <w:widowControl w:val="0"/>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11.2</w:t>
      </w:r>
      <w:r>
        <w:rPr>
          <w:rFonts w:hint="eastAsia" w:ascii="宋体" w:hAnsi="宋体" w:eastAsia="宋体" w:cs="宋体"/>
          <w:sz w:val="24"/>
          <w:highlight w:val="none"/>
        </w:rPr>
        <w:t>磋商文件对证明文件无明确形式要求的，证明文件可以以文字资料、图纸和数据等形式提交。</w:t>
      </w:r>
    </w:p>
    <w:p w14:paraId="1F2C6C4F">
      <w:pPr>
        <w:pageBreakBefore w:val="0"/>
        <w:widowControl w:val="0"/>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11.3供应商</w:t>
      </w:r>
      <w:r>
        <w:rPr>
          <w:rFonts w:hint="eastAsia" w:ascii="宋体" w:hAnsi="宋体" w:eastAsia="宋体" w:cs="宋体"/>
          <w:sz w:val="24"/>
          <w:highlight w:val="none"/>
        </w:rPr>
        <w:t>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30C8B153">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12、磋商响应有效期</w:t>
      </w:r>
    </w:p>
    <w:p w14:paraId="482ED77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12.1 磋商响应有效期为采购文件规定的响应文件提交截止时间后六十（60）天。磋商响应有效期比规定短的将被视为非实质性响应而予以拒绝。</w:t>
      </w:r>
    </w:p>
    <w:p w14:paraId="63CBD6E6">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13、磋商响应有效期的延长</w:t>
      </w:r>
    </w:p>
    <w:p w14:paraId="47925C0D">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13.1 在特殊情况下，采购人或采购代理机构于原磋商响应有效期满之前，可向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492B5182">
      <w:pPr>
        <w:pageBreakBefore w:val="0"/>
        <w:widowControl w:val="0"/>
        <w:shd w:val="clear" w:color="auto" w:fill="auto"/>
        <w:tabs>
          <w:tab w:val="left" w:pos="900"/>
        </w:tabs>
        <w:spacing w:line="360" w:lineRule="auto"/>
        <w:jc w:val="center"/>
        <w:outlineLvl w:val="0"/>
        <w:rPr>
          <w:rFonts w:hint="eastAsia" w:ascii="宋体" w:hAnsi="宋体" w:eastAsia="宋体" w:cs="宋体"/>
          <w:b/>
          <w:bCs/>
          <w:sz w:val="28"/>
          <w:szCs w:val="28"/>
          <w:highlight w:val="none"/>
          <w:lang w:val="en-US" w:eastAsia="zh-CN"/>
        </w:rPr>
      </w:pPr>
      <w:bookmarkStart w:id="85" w:name="_Toc23844"/>
      <w:r>
        <w:rPr>
          <w:rFonts w:hint="eastAsia" w:ascii="宋体" w:hAnsi="宋体" w:eastAsia="宋体" w:cs="宋体"/>
          <w:b/>
          <w:bCs/>
          <w:sz w:val="28"/>
          <w:szCs w:val="28"/>
          <w:highlight w:val="none"/>
          <w:lang w:val="en-US" w:eastAsia="zh-CN"/>
        </w:rPr>
        <w:t>四、磋商报价</w:t>
      </w:r>
      <w:bookmarkEnd w:id="85"/>
    </w:p>
    <w:p w14:paraId="0C131F87">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14、磋商报价</w:t>
      </w:r>
    </w:p>
    <w:p w14:paraId="05188F23">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14.1 磋商响应报价应是采购文件所确定的采购范围内的全部工作内容的价格体现，并包括供应商技术标中提出的所有工程内容及措施的费用。其应包括但不限于施工设备、劳务、管理、材料、采购、运输、装卸、保管、制造、安装、维护、利润、税金及政策性文件规定的各项应有费用（含现场垃圾清理费用）。</w:t>
      </w:r>
    </w:p>
    <w:p w14:paraId="3E1E7517">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14.2 磋商报价方式：本工程采用下列第</w:t>
      </w:r>
      <w:r>
        <w:rPr>
          <w:rFonts w:hint="eastAsia" w:ascii="宋体" w:hAnsi="宋体" w:eastAsia="宋体" w:cs="宋体"/>
          <w:color w:val="000000"/>
          <w:sz w:val="24"/>
          <w:highlight w:val="none"/>
          <w:u w:val="single"/>
          <w:lang w:val="en-US" w:eastAsia="zh-CN"/>
        </w:rPr>
        <w:t>（2）</w:t>
      </w:r>
      <w:r>
        <w:rPr>
          <w:rFonts w:hint="eastAsia" w:ascii="宋体" w:hAnsi="宋体" w:eastAsia="宋体" w:cs="宋体"/>
          <w:color w:val="000000"/>
          <w:sz w:val="24"/>
          <w:highlight w:val="none"/>
          <w:lang w:val="en-US" w:eastAsia="zh-CN"/>
        </w:rPr>
        <w:t>种方式。</w:t>
      </w:r>
    </w:p>
    <w:p w14:paraId="06E8698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（1）可调价格报价：供应商的磋商响应报价可根据合同实施期间的市场变化和政策性调整而变动。</w:t>
      </w:r>
    </w:p>
    <w:p w14:paraId="1715A796">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（2）固定单价报价：供应商应充分考虑施工期间各类建材的市场风险和政策性调整确定风险系数计入总报价，今后不作调整。设计变更和采购人要求变动的内容除外。结算方式在合同专用条款中明确。</w:t>
      </w:r>
    </w:p>
    <w:p w14:paraId="58B19C6F">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本次采购采用竞争性磋商，因第二轮报价只报总价，结算时，以成交供应商提交的综合单价同比下浮【下浮率=（1-第二轮报价/第一轮报价）*100%】。</w:t>
      </w:r>
    </w:p>
    <w:p w14:paraId="56B03749">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p>
    <w:p w14:paraId="6EB5DC3D">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14</w:t>
      </w:r>
      <w:r>
        <w:rPr>
          <w:rFonts w:hint="eastAsia" w:ascii="宋体" w:hAnsi="宋体" w:eastAsia="宋体" w:cs="宋体"/>
          <w:b w:val="0"/>
          <w:bCs w:val="0"/>
          <w:color w:val="000000"/>
          <w:sz w:val="24"/>
          <w:szCs w:val="24"/>
          <w:highlight w:val="none"/>
        </w:rPr>
        <w:t>.3 磋商报价的计价方法</w:t>
      </w:r>
    </w:p>
    <w:p w14:paraId="4C744947">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本工程项目采用</w:t>
      </w:r>
      <w:r>
        <w:rPr>
          <w:rFonts w:hint="eastAsia" w:ascii="宋体" w:hAnsi="宋体" w:eastAsia="宋体" w:cs="宋体"/>
          <w:color w:val="000000"/>
          <w:sz w:val="24"/>
          <w:szCs w:val="24"/>
          <w:highlight w:val="none"/>
          <w:u w:val="single"/>
        </w:rPr>
        <w:t>工程量清单</w:t>
      </w:r>
      <w:r>
        <w:rPr>
          <w:rFonts w:hint="eastAsia" w:ascii="宋体" w:hAnsi="宋体" w:eastAsia="宋体" w:cs="宋体"/>
          <w:color w:val="000000"/>
          <w:sz w:val="24"/>
          <w:szCs w:val="24"/>
          <w:highlight w:val="none"/>
        </w:rPr>
        <w:t>计价方法。</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应根据采购人提供的工程量清单计算单价、合价以及各种政策性费用。</w:t>
      </w:r>
    </w:p>
    <w:p w14:paraId="0D4C616F">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除非合同中另有规定，</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在报价中所报的单价和合价，以及磋商报价汇总表中的价格均包括完成该工程项目的成本、利润、税金、开办费、技术措施费、机械进退场费、风险费、政策性文件规定费用等所有费用。</w:t>
      </w:r>
    </w:p>
    <w:p w14:paraId="3EED06BD">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施工用水电，采购人不再另行支付。</w:t>
      </w:r>
    </w:p>
    <w:p w14:paraId="652F4BD9">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本项目采用营改增后的一般计税方法计算报价。</w:t>
      </w:r>
    </w:p>
    <w:p w14:paraId="25E2AE3C">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14</w:t>
      </w:r>
      <w:r>
        <w:rPr>
          <w:rFonts w:hint="eastAsia" w:ascii="宋体" w:hAnsi="宋体" w:eastAsia="宋体" w:cs="宋体"/>
          <w:color w:val="000000"/>
          <w:sz w:val="24"/>
          <w:szCs w:val="24"/>
          <w:highlight w:val="none"/>
        </w:rPr>
        <w:t>.4 可选用的工程预算、费用定额和政策性文件</w:t>
      </w:r>
    </w:p>
    <w:p w14:paraId="77FC0FD7">
      <w:pPr>
        <w:pStyle w:val="220"/>
        <w:keepNext w:val="0"/>
        <w:keepLines w:val="0"/>
        <w:pageBreakBefore w:val="0"/>
        <w:widowControl w:val="0"/>
        <w:spacing w:line="360" w:lineRule="auto"/>
        <w:ind w:left="0" w:firstLine="482"/>
        <w:jc w:val="both"/>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用于磋商报价可参考的依据为：</w:t>
      </w:r>
      <w:r>
        <w:rPr>
          <w:rFonts w:hint="eastAsia" w:ascii="宋体" w:hAnsi="宋体" w:eastAsia="宋体" w:cs="宋体"/>
          <w:sz w:val="24"/>
          <w:szCs w:val="24"/>
          <w:highlight w:val="none"/>
        </w:rPr>
        <w:t>《建设工程工程量清单计价标准》（GB/T50500-2024）、《房屋建筑与装饰工程工程量计算标准》（GB/T50854-2024）、《通用安装工程工程量计算标准》（GB/T50856-2024）、《市政工程工程量计算标准》（GB/T50857-2024）、《园林绿化工程工程量计算标准》（GB/T50858-2024）、《2007江苏园林定额》、《2026江苏省建筑与装饰工程消耗量定额》、《2026江苏省通用安装工程消耗量定额》、《2026江苏省市政工程消耗量定额》、《江苏省建设工程费用参考2024》等</w:t>
      </w:r>
      <w:r>
        <w:rPr>
          <w:rFonts w:hint="eastAsia" w:ascii="宋体" w:hAnsi="宋体" w:eastAsia="宋体" w:cs="宋体"/>
          <w:sz w:val="24"/>
          <w:szCs w:val="24"/>
          <w:highlight w:val="none"/>
          <w:lang w:eastAsia="zh-CN"/>
        </w:rPr>
        <w:t>。</w:t>
      </w:r>
    </w:p>
    <w:p w14:paraId="489DE35D">
      <w:pPr>
        <w:keepNext w:val="0"/>
        <w:keepLines w:val="0"/>
        <w:pageBreakBefore w:val="0"/>
        <w:widowControl w:val="0"/>
        <w:tabs>
          <w:tab w:val="left" w:pos="900"/>
        </w:tabs>
        <w:spacing w:line="360" w:lineRule="auto"/>
        <w:ind w:left="0" w:firstLine="48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政策性文件按照现行江苏省建设厅、连云港市建设局颁发的相关文件规定执行。</w:t>
      </w:r>
    </w:p>
    <w:p w14:paraId="3C06319A">
      <w:pPr>
        <w:keepNext w:val="0"/>
        <w:keepLines w:val="0"/>
        <w:pageBreakBefore w:val="0"/>
        <w:widowControl w:val="0"/>
        <w:numPr>
          <w:ilvl w:val="0"/>
          <w:numId w:val="0"/>
        </w:numPr>
        <w:spacing w:beforeAutospacing="0" w:afterAutospacing="0" w:line="360" w:lineRule="auto"/>
        <w:ind w:right="0" w:firstLine="482"/>
        <w:jc w:val="both"/>
        <w:outlineLvl w:val="9"/>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 xml:space="preserve">.5 </w:t>
      </w:r>
      <w:r>
        <w:rPr>
          <w:rFonts w:hint="eastAsia" w:ascii="宋体" w:hAnsi="宋体" w:eastAsia="宋体" w:cs="宋体"/>
          <w:b/>
          <w:bCs/>
          <w:sz w:val="24"/>
          <w:szCs w:val="24"/>
          <w:highlight w:val="none"/>
          <w:lang w:bidi="ar"/>
        </w:rPr>
        <w:t>参与第二次报价的供应商未报价，按照无效响应处理。</w:t>
      </w:r>
      <w:r>
        <w:rPr>
          <w:rFonts w:hint="eastAsia" w:ascii="宋体" w:hAnsi="宋体" w:eastAsia="宋体" w:cs="宋体"/>
          <w:b/>
          <w:bCs/>
          <w:color w:val="000000"/>
          <w:sz w:val="24"/>
          <w:szCs w:val="24"/>
          <w:highlight w:val="none"/>
        </w:rPr>
        <w:t>经磋商后，如果最后报价高于或低于</w:t>
      </w:r>
      <w:r>
        <w:rPr>
          <w:rFonts w:hint="eastAsia" w:ascii="宋体" w:hAnsi="宋体" w:eastAsia="宋体" w:cs="宋体"/>
          <w:b/>
          <w:bCs/>
          <w:color w:val="000000"/>
          <w:sz w:val="24"/>
          <w:szCs w:val="24"/>
          <w:highlight w:val="none"/>
          <w:lang w:eastAsia="zh-CN"/>
        </w:rPr>
        <w:t>供应商</w:t>
      </w:r>
      <w:r>
        <w:rPr>
          <w:rFonts w:hint="eastAsia" w:ascii="宋体" w:hAnsi="宋体" w:eastAsia="宋体" w:cs="宋体"/>
          <w:b/>
          <w:bCs/>
          <w:color w:val="000000"/>
          <w:sz w:val="24"/>
          <w:szCs w:val="24"/>
          <w:highlight w:val="none"/>
        </w:rPr>
        <w:t>在响应文件首次报价的，分项报价同比例调整。最低报价不能作为成交的保证。</w:t>
      </w:r>
    </w:p>
    <w:p w14:paraId="1FEFE9BC">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15、报价货币</w:t>
      </w:r>
    </w:p>
    <w:p w14:paraId="035F15ED">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15.1 磋商应以人民币报价。</w:t>
      </w:r>
    </w:p>
    <w:p w14:paraId="4D1F62F8">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16、磋商报价的编制要求</w:t>
      </w:r>
    </w:p>
    <w:p w14:paraId="18DC56FD">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16.1 磋商供应商必须按工程量清单，用综合单价法编制磋商报价。工程量清单数量、暂定价、暂估价、独立费不得变更、不得优惠，否则视为重大偏差。</w:t>
      </w:r>
    </w:p>
    <w:p w14:paraId="6A42C41A">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16.2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48FDE29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16.3暂定价材料具体内容详见工程量清单编制说明。</w:t>
      </w:r>
    </w:p>
    <w:p w14:paraId="6B931D7E">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16.4不可竞争费用应严格执行有关费用标准，不得改变进行磋商，否则作无效响应处理。</w:t>
      </w:r>
    </w:p>
    <w:p w14:paraId="27148AC5">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16.5工程中产生的垃圾均需由成交供应商自行负责清运，费用由成交供应商承担。</w:t>
      </w:r>
    </w:p>
    <w:p w14:paraId="7B85233E">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16.6采购人向供应商提供的有关施工现场的资料和数据是采购人现有的能使供应商利用的资料。采购人对供应商由此做出的推论、理解和结论概不负责。</w:t>
      </w:r>
    </w:p>
    <w:p w14:paraId="306FF269">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p>
    <w:p w14:paraId="7D8CEF29">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16.8供应商应当在响应文件中详细、定量地列出优惠让利的理由及所采取的技术措施。</w:t>
      </w:r>
    </w:p>
    <w:p w14:paraId="05FBCCC1">
      <w:pPr>
        <w:pageBreakBefore w:val="0"/>
        <w:widowControl w:val="0"/>
        <w:shd w:val="clear" w:color="auto" w:fill="auto"/>
        <w:tabs>
          <w:tab w:val="left" w:pos="900"/>
        </w:tabs>
        <w:spacing w:line="360" w:lineRule="auto"/>
        <w:jc w:val="center"/>
        <w:outlineLvl w:val="0"/>
        <w:rPr>
          <w:rFonts w:hint="eastAsia" w:ascii="宋体" w:hAnsi="宋体" w:eastAsia="宋体" w:cs="宋体"/>
          <w:b/>
          <w:bCs/>
          <w:sz w:val="28"/>
          <w:szCs w:val="28"/>
          <w:highlight w:val="none"/>
          <w:lang w:val="en-US" w:eastAsia="zh-CN"/>
        </w:rPr>
      </w:pPr>
      <w:bookmarkStart w:id="86" w:name="_Toc8755"/>
      <w:r>
        <w:rPr>
          <w:rFonts w:hint="eastAsia" w:ascii="宋体" w:hAnsi="宋体" w:eastAsia="宋体" w:cs="宋体"/>
          <w:b/>
          <w:bCs/>
          <w:sz w:val="28"/>
          <w:szCs w:val="28"/>
          <w:highlight w:val="none"/>
          <w:lang w:val="en-US" w:eastAsia="zh-CN"/>
        </w:rPr>
        <w:t>五、响应文件的提交</w:t>
      </w:r>
      <w:bookmarkEnd w:id="86"/>
    </w:p>
    <w:p w14:paraId="47306EFB">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17、电子磋商响应文件的递交</w:t>
      </w:r>
    </w:p>
    <w:p w14:paraId="4F6C3D98">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.1 供应商应当按照《操作手册》规定，在提交响应文件截止时间前制作并上传电子响应文件。</w:t>
      </w:r>
    </w:p>
    <w:p w14:paraId="5076F4EE">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18、提交响应文件截止时间</w:t>
      </w:r>
    </w:p>
    <w:p w14:paraId="39B44ACD">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.1供应商上传电子响应文件的时间不得迟于磋商公告中规定的提交响应文件截止时间。</w:t>
      </w:r>
    </w:p>
    <w:p w14:paraId="5DA6360A">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供应商应充分考虑到网络环境、网络宽带等风险因素，如因供应商自身原因造成的电子响应文件上传不成功的按照本磋商文件第二章第25.5.2条规定做无效响应处理。</w:t>
      </w:r>
    </w:p>
    <w:p w14:paraId="3391936D">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7C81D29C">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19、响应文件的拒收</w:t>
      </w:r>
    </w:p>
    <w:p w14:paraId="21FDE8FE">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19</w:t>
      </w: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拒绝接收在其规定的提交响应文件截止时间后上传的任何电子响应文件。</w:t>
      </w:r>
    </w:p>
    <w:p w14:paraId="798B89E3">
      <w:pPr>
        <w:pStyle w:val="212"/>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sz w:val="28"/>
          <w:szCs w:val="28"/>
          <w:highlight w:val="none"/>
        </w:rPr>
      </w:pPr>
      <w:r>
        <w:rPr>
          <w:rFonts w:hint="eastAsia" w:ascii="宋体" w:hAnsi="宋体" w:eastAsia="宋体" w:cs="宋体"/>
          <w:b/>
          <w:bCs/>
          <w:color w:val="000000"/>
          <w:sz w:val="28"/>
          <w:szCs w:val="28"/>
          <w:highlight w:val="none"/>
        </w:rPr>
        <w:t>2</w:t>
      </w:r>
      <w:r>
        <w:rPr>
          <w:rFonts w:hint="eastAsia" w:ascii="宋体" w:hAnsi="宋体" w:eastAsia="宋体" w:cs="宋体"/>
          <w:b/>
          <w:bCs/>
          <w:color w:val="000000"/>
          <w:sz w:val="28"/>
          <w:szCs w:val="28"/>
          <w:highlight w:val="none"/>
          <w:lang w:val="en-US" w:eastAsia="zh-CN"/>
        </w:rPr>
        <w:t>0</w:t>
      </w:r>
      <w:r>
        <w:rPr>
          <w:rFonts w:hint="eastAsia" w:ascii="宋体" w:hAnsi="宋体" w:eastAsia="宋体" w:cs="宋体"/>
          <w:b/>
          <w:bCs/>
          <w:color w:val="000000"/>
          <w:sz w:val="28"/>
          <w:szCs w:val="28"/>
          <w:highlight w:val="none"/>
        </w:rPr>
        <w:t>、响应文件的撤回和修改</w:t>
      </w:r>
    </w:p>
    <w:p w14:paraId="45101035">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.1响应文件的撤回</w:t>
      </w:r>
    </w:p>
    <w:p w14:paraId="51589FEF">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 电子响应文件的撤回</w:t>
      </w:r>
    </w:p>
    <w:p w14:paraId="07B856CA">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供应商可在提交响应文件截止时间前，撤回其电子响应文件，具体操作方法见《操作手册》。</w:t>
      </w:r>
    </w:p>
    <w:p w14:paraId="216DDA95">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.1.2供应商撤回电子响应文件，则认为其不再参与本项目磋商活动。</w:t>
      </w:r>
    </w:p>
    <w:p w14:paraId="16FB81A2">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.2响应文件的修改</w:t>
      </w:r>
    </w:p>
    <w:p w14:paraId="60936EB1">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供应商可在提交响应文件截止时间前，对其电子响应文件进行修改，具体操作方法见《操作手册》。</w:t>
      </w:r>
    </w:p>
    <w:p w14:paraId="5CA33B28">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.3 在提交响应文件截止时间之后，供应商不得对其电子响应文件作任何修改。</w:t>
      </w:r>
    </w:p>
    <w:p w14:paraId="4842F52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val="en-US" w:eastAsia="zh-CN"/>
        </w:rPr>
        <w:t>20</w:t>
      </w:r>
      <w:r>
        <w:rPr>
          <w:rFonts w:hint="eastAsia" w:ascii="宋体" w:hAnsi="宋体" w:eastAsia="宋体" w:cs="宋体"/>
          <w:color w:val="000000"/>
          <w:sz w:val="24"/>
          <w:szCs w:val="24"/>
          <w:highlight w:val="none"/>
        </w:rPr>
        <w:t>.4 在提交响应文件截止时间至磋商文件中规定的磋商有效期满之间的这段时间内，供应商不得撤回其响应文件。</w:t>
      </w:r>
    </w:p>
    <w:p w14:paraId="411E11CE">
      <w:pPr>
        <w:pageBreakBefore w:val="0"/>
        <w:widowControl w:val="0"/>
        <w:shd w:val="clear" w:color="auto" w:fill="auto"/>
        <w:tabs>
          <w:tab w:val="left" w:pos="900"/>
        </w:tabs>
        <w:spacing w:line="360" w:lineRule="auto"/>
        <w:jc w:val="center"/>
        <w:outlineLvl w:val="0"/>
        <w:rPr>
          <w:rFonts w:hint="eastAsia" w:ascii="宋体" w:hAnsi="宋体" w:eastAsia="宋体" w:cs="宋体"/>
          <w:b/>
          <w:bCs/>
          <w:sz w:val="28"/>
          <w:szCs w:val="28"/>
          <w:highlight w:val="none"/>
          <w:lang w:val="en-US" w:eastAsia="zh-CN"/>
        </w:rPr>
      </w:pPr>
      <w:bookmarkStart w:id="87" w:name="_Toc19581"/>
      <w:r>
        <w:rPr>
          <w:rFonts w:hint="eastAsia" w:ascii="宋体" w:hAnsi="宋体" w:eastAsia="宋体" w:cs="宋体"/>
          <w:b/>
          <w:bCs/>
          <w:sz w:val="28"/>
          <w:szCs w:val="28"/>
          <w:highlight w:val="none"/>
          <w:lang w:val="en-US" w:eastAsia="zh-CN"/>
        </w:rPr>
        <w:t>六、响应文件的解密与评审</w:t>
      </w:r>
      <w:bookmarkEnd w:id="87"/>
    </w:p>
    <w:p w14:paraId="52E100DE">
      <w:pPr>
        <w:pStyle w:val="212"/>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2</w:t>
      </w:r>
      <w:r>
        <w:rPr>
          <w:rFonts w:hint="eastAsia" w:ascii="宋体" w:hAnsi="宋体" w:eastAsia="宋体" w:cs="宋体"/>
          <w:b/>
          <w:bCs/>
          <w:color w:val="000000"/>
          <w:sz w:val="28"/>
          <w:szCs w:val="28"/>
          <w:highlight w:val="none"/>
          <w:lang w:val="en-US" w:eastAsia="zh-CN"/>
        </w:rPr>
        <w:t>1</w:t>
      </w:r>
      <w:r>
        <w:rPr>
          <w:rFonts w:hint="eastAsia" w:ascii="宋体" w:hAnsi="宋体" w:eastAsia="宋体" w:cs="宋体"/>
          <w:b/>
          <w:bCs/>
          <w:color w:val="000000"/>
          <w:sz w:val="28"/>
          <w:szCs w:val="28"/>
          <w:highlight w:val="none"/>
        </w:rPr>
        <w:t>、响应文件解密</w:t>
      </w:r>
    </w:p>
    <w:p w14:paraId="358B009C">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.1供应商应当按照《操作手册》规定，在苏采云系统规定的时间内对磋商响应文件进行解密。</w:t>
      </w:r>
    </w:p>
    <w:p w14:paraId="166D22A8">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21.2</w:t>
      </w:r>
      <w:r>
        <w:rPr>
          <w:rFonts w:hint="eastAsia" w:ascii="宋体" w:hAnsi="宋体" w:eastAsia="宋体" w:cs="宋体"/>
          <w:b/>
          <w:bCs/>
          <w:color w:val="000000"/>
          <w:sz w:val="24"/>
          <w:szCs w:val="24"/>
          <w:highlight w:val="non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sz w:val="24"/>
          <w:szCs w:val="24"/>
          <w:highlight w:val="none"/>
          <w:lang w:val="en-US" w:eastAsia="zh-CN"/>
        </w:rPr>
        <w:t>电子交易</w:t>
      </w:r>
      <w:r>
        <w:rPr>
          <w:rFonts w:hint="eastAsia" w:ascii="宋体" w:hAnsi="宋体" w:eastAsia="宋体" w:cs="宋体"/>
          <w:b/>
          <w:bCs/>
          <w:color w:val="000000"/>
          <w:sz w:val="24"/>
          <w:szCs w:val="24"/>
          <w:highlight w:val="none"/>
        </w:rPr>
        <w:t>平台发生故障，导致无法按时完成响应文件解密或开、评标工作无法进行的，可根据实际情况相应延迟解密时间或调整开、评标时间。</w:t>
      </w:r>
    </w:p>
    <w:p w14:paraId="28679161">
      <w:pPr>
        <w:pStyle w:val="212"/>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sz w:val="28"/>
          <w:szCs w:val="28"/>
          <w:highlight w:val="none"/>
        </w:rPr>
      </w:pPr>
      <w:r>
        <w:rPr>
          <w:rFonts w:hint="eastAsia" w:ascii="宋体" w:hAnsi="宋体" w:eastAsia="宋体" w:cs="宋体"/>
          <w:b/>
          <w:bCs/>
          <w:color w:val="000000"/>
          <w:sz w:val="28"/>
          <w:szCs w:val="28"/>
          <w:highlight w:val="none"/>
        </w:rPr>
        <w:t>2</w:t>
      </w:r>
      <w:r>
        <w:rPr>
          <w:rFonts w:hint="eastAsia" w:ascii="宋体" w:hAnsi="宋体" w:eastAsia="宋体" w:cs="宋体"/>
          <w:b/>
          <w:bCs/>
          <w:color w:val="000000"/>
          <w:sz w:val="28"/>
          <w:szCs w:val="28"/>
          <w:highlight w:val="none"/>
          <w:lang w:val="en-US" w:eastAsia="zh-CN"/>
        </w:rPr>
        <w:t>2</w:t>
      </w:r>
      <w:r>
        <w:rPr>
          <w:rFonts w:hint="eastAsia" w:ascii="宋体" w:hAnsi="宋体" w:eastAsia="宋体" w:cs="宋体"/>
          <w:b/>
          <w:bCs/>
          <w:color w:val="000000"/>
          <w:sz w:val="28"/>
          <w:szCs w:val="28"/>
          <w:highlight w:val="none"/>
        </w:rPr>
        <w:t>、磋商小组</w:t>
      </w:r>
    </w:p>
    <w:p w14:paraId="2C36F1E3">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将组织磋商小组对响应文件进行评审。磋商小组由采购人代表和有关技术、经济等方面的专家组成，且人员构成符合政府采购有关规定。</w:t>
      </w:r>
    </w:p>
    <w:p w14:paraId="3C647276">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22.2</w:t>
      </w:r>
      <w:r>
        <w:rPr>
          <w:rFonts w:hint="eastAsia" w:ascii="宋体" w:hAnsi="宋体" w:eastAsia="宋体" w:cs="宋体"/>
          <w:color w:val="000000"/>
          <w:sz w:val="24"/>
          <w:szCs w:val="24"/>
          <w:highlight w:val="none"/>
        </w:rPr>
        <w:t>磋商小组由采购人代表和评审专家共3人以上单数组成，其中评审专家人数不得少于磋商</w:t>
      </w:r>
      <w:r>
        <w:rPr>
          <w:rFonts w:hint="eastAsia" w:ascii="宋体" w:hAnsi="宋体" w:eastAsia="宋体" w:cs="宋体"/>
          <w:color w:val="000000"/>
          <w:sz w:val="24"/>
          <w:szCs w:val="24"/>
          <w:highlight w:val="none"/>
          <w:lang w:val="en-US" w:eastAsia="zh-CN"/>
        </w:rPr>
        <w:t>小组成员总数的2/3。采购人代表不得以评审专家身份参加本部门或本单位采购项目的评审。采购代理机构人员不得参加本机构代理的采购项目的评审。</w:t>
      </w:r>
    </w:p>
    <w:p w14:paraId="4F59CE42">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22.2.1</w:t>
      </w:r>
      <w:r>
        <w:rPr>
          <w:rFonts w:hint="eastAsia" w:ascii="宋体" w:hAnsi="宋体" w:eastAsia="宋体" w:cs="宋体"/>
          <w:color w:val="000000"/>
          <w:highlight w:val="none"/>
        </w:rPr>
        <w:t>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940FCDB">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磋商小组独立工作，负责评审所有响应文件并确定成交</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6DF11DD7">
      <w:pPr>
        <w:pStyle w:val="212"/>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23、</w:t>
      </w:r>
      <w:r>
        <w:rPr>
          <w:rFonts w:hint="eastAsia" w:ascii="宋体" w:hAnsi="宋体" w:eastAsia="宋体" w:cs="宋体"/>
          <w:b/>
          <w:bCs/>
          <w:color w:val="000000"/>
          <w:sz w:val="28"/>
          <w:szCs w:val="28"/>
          <w:highlight w:val="none"/>
        </w:rPr>
        <w:t>评审过程的保密与公正</w:t>
      </w:r>
    </w:p>
    <w:p w14:paraId="6E2757D8">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23.1 磋商小组、采购人或采购代理机构、相关监督人员等与评审工作有关的人员，对评审情况以及在评审过程中获悉的国家秘密、商业秘密负有保密责任。</w:t>
      </w:r>
    </w:p>
    <w:p w14:paraId="5907ACE9">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23.2 在磋商评审过程中，供应商不得以任何行为影响磋商评审过程，否则其响应文件将被作为无效响应文件。</w:t>
      </w:r>
    </w:p>
    <w:p w14:paraId="400211AE">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6A25A83">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23.4 评审开始后，直至向成交供应商授予合同时止，凡是与审查、澄清、评价和比较响应的有关资料以及授标建议等，采购人、磋商小组、采购代理机构均不得向供应商或与评标无关的其他人员透露。</w:t>
      </w:r>
    </w:p>
    <w:p w14:paraId="18B7D1D6">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23.5 在评审期间，采购人或采购代理机构将设专门人员与供应商联系。</w:t>
      </w:r>
    </w:p>
    <w:p w14:paraId="17726573">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23.6 采购人或采购代理机构和评审小组不向未成交的供应商解释未成交原因，也不公布评审过程中的相关细节。</w:t>
      </w:r>
    </w:p>
    <w:p w14:paraId="40A3FE11">
      <w:pPr>
        <w:pStyle w:val="212"/>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24、评审过程中的澄清</w:t>
      </w:r>
    </w:p>
    <w:p w14:paraId="34E302A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1D9921D">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磋商小组并非对每个供应商都作澄清要求。</w:t>
      </w:r>
    </w:p>
    <w:p w14:paraId="3914C5F9">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70154D9">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.3 接到磋商小组澄清、说明和更正要求的供应商如未按规定做出澄清、说明和更正，其风险由供应商自行承担。</w:t>
      </w:r>
    </w:p>
    <w:p w14:paraId="68EB9AF4">
      <w:pPr>
        <w:pStyle w:val="212"/>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25、对响应文件的审查</w:t>
      </w:r>
    </w:p>
    <w:p w14:paraId="0B5143DA">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25.1响应文件审查分为资格审查和符合性审查。</w:t>
      </w:r>
    </w:p>
    <w:p w14:paraId="13DF35AF">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.1.1资格审查：由磋商小组依据法律法规和磋商文件的规定，对响应文件中的资格证明文件进行审查，以确定供应商是否具备参加磋商的资格。</w:t>
      </w:r>
    </w:p>
    <w:p w14:paraId="23044A5F">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查询结果留存并归档。</w:t>
      </w:r>
    </w:p>
    <w:p w14:paraId="2DB908FD">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联合体成员中任何一方存在不良信用记录的，视同联合体存在不良应用记录。</w:t>
      </w:r>
    </w:p>
    <w:p w14:paraId="002485DD">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.1.2 符合性审查：依据磋商文件的规定，由磋商小组从响应文件的有效性、完整性和对磋商文件的响应程度进行审查，以确定是否对磋商文件的实质性要求作出响应。</w:t>
      </w:r>
    </w:p>
    <w:p w14:paraId="340411CF">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.1.3 未通过资格审查或符合性审查的供应商，磋商小组将在苏采云系统中告知未通过资格审查或符合性审查的原因，评审结束后，磋商小组将不再告知未通过资格审查或符合性审查的原因。</w:t>
      </w:r>
    </w:p>
    <w:p w14:paraId="10426A62">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.2在详细评审之前，磋商小组将首先审查每份响应文件是否实质性响应了磋商文件的要求。实质性响应的响应文件应该是与磋商文件要求的条款、条件和规格相符，没有重大偏离或保留。</w:t>
      </w:r>
    </w:p>
    <w:p w14:paraId="3B8D8934">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5EB9A44">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25.3</w:t>
      </w:r>
      <w:r>
        <w:rPr>
          <w:rFonts w:hint="eastAsia" w:ascii="宋体" w:hAnsi="宋体" w:eastAsia="宋体" w:cs="宋体"/>
          <w:color w:val="000000"/>
          <w:sz w:val="24"/>
          <w:szCs w:val="24"/>
          <w:highlight w:val="none"/>
        </w:rPr>
        <w:t xml:space="preserve"> 磋商小组将对实质性响应的文件进行进一步审核，看其是否有计算上或累加上的算术错误，修正错误的原则如下：</w:t>
      </w:r>
    </w:p>
    <w:p w14:paraId="206D49D4">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（1）响应文件中报价总表内容与响应文件中相应内容不一致的，以报价总表为准。</w:t>
      </w:r>
    </w:p>
    <w:p w14:paraId="5B44D63D">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7B60E115">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（3）单价金额小数点或者百分比有明显错位的，以报价总表的总价为准，并修改单价。</w:t>
      </w:r>
    </w:p>
    <w:p w14:paraId="77B3953A">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3E093934">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同时出现两种以上错误的，按照前款规定的顺序修正。</w:t>
      </w:r>
    </w:p>
    <w:p w14:paraId="300A9959">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25.3.1</w:t>
      </w:r>
      <w:r>
        <w:rPr>
          <w:rFonts w:hint="eastAsia" w:ascii="宋体" w:hAnsi="宋体" w:eastAsia="宋体" w:cs="宋体"/>
          <w:color w:val="000000"/>
          <w:sz w:val="24"/>
          <w:szCs w:val="24"/>
          <w:highlight w:val="none"/>
        </w:rPr>
        <w:t>磋商小组将按上述修正错误的方法调整响应文件中的报价，现场告知供应商，调整后的价格应对供应商具有约束力。如果供应商不接受修正后的价格，则其磋商活动将被拒绝。</w:t>
      </w:r>
    </w:p>
    <w:p w14:paraId="06BBEEAC">
      <w:pPr>
        <w:pageBreakBefore w:val="0"/>
        <w:widowControl w:val="0"/>
        <w:spacing w:line="360" w:lineRule="auto"/>
        <w:ind w:left="0"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25.4政府采购异常低价审查：</w:t>
      </w:r>
    </w:p>
    <w:p w14:paraId="058F44FE">
      <w:pPr>
        <w:pageBreakBefore w:val="0"/>
        <w:widowControl w:val="0"/>
        <w:spacing w:line="360" w:lineRule="auto"/>
        <w:ind w:firstLine="482"/>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25.4.1政府采购评审中出现下列情形之一的，评审委员会应当启动异常低价投标（响应）审查程序：</w:t>
      </w:r>
    </w:p>
    <w:p w14:paraId="1DDFA519">
      <w:pPr>
        <w:pageBreakBefore w:val="0"/>
        <w:widowControl w:val="0"/>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1.投标（响应）报价低于全部通过符合性审查供应商投标（响应）报价平均值50%的，即投标（响应）报价&lt;全部通过符合性审查供应商投标（响应）报价平均值×50%；</w:t>
      </w:r>
    </w:p>
    <w:p w14:paraId="410906C5">
      <w:pPr>
        <w:pageBreakBefore w:val="0"/>
        <w:widowControl w:val="0"/>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2.投标（响应）报价低于通过符合性审查的次低报价供应商投标（响应）报价50%的，即投标（响应）报价&lt;通过符合性审查的次低报价供应商投标（响应）报价×50%；</w:t>
      </w:r>
    </w:p>
    <w:p w14:paraId="72E3F6A3">
      <w:pPr>
        <w:pageBreakBefore w:val="0"/>
        <w:widowControl w:val="0"/>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3.投标（响应）报价低于采购项目最高限价45%的，即投标（响应）报价&lt;采购项目最高限价×45%；</w:t>
      </w:r>
    </w:p>
    <w:p w14:paraId="6F94122A">
      <w:pPr>
        <w:pageBreakBefore w:val="0"/>
        <w:widowControl w:val="0"/>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4.评审委员会基于专业判断，认为供应商报价过低，有可能影响产品质量或者不能诚信履约的其他情形。</w:t>
      </w:r>
    </w:p>
    <w:p w14:paraId="659C9512">
      <w:pPr>
        <w:pageBreakBefore w:val="0"/>
        <w:widowControl w:val="0"/>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相关法律法规对供应商报价有规定的，从其规定。</w:t>
      </w:r>
    </w:p>
    <w:p w14:paraId="3C53D07A">
      <w:pPr>
        <w:pageBreakBefore w:val="0"/>
        <w:widowControl w:val="0"/>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E9034A">
      <w:pPr>
        <w:pageBreakBefore w:val="0"/>
        <w:widowControl w:val="0"/>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B351A67">
      <w:pPr>
        <w:pageBreakBefore w:val="0"/>
        <w:widowControl w:val="0"/>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55F2B9C8">
      <w:pPr>
        <w:pageBreakBefore w:val="0"/>
        <w:widowControl w:val="0"/>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25.5未实质性响应磋商文件的情形</w:t>
      </w:r>
    </w:p>
    <w:p w14:paraId="6EBB59CC">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w:t>
      </w:r>
      <w:r>
        <w:rPr>
          <w:rFonts w:hint="eastAsia" w:ascii="宋体" w:hAnsi="宋体" w:eastAsia="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rPr>
        <w:t>.1供应商在苏采云系统规定的时间内未成功解密电子响应文件的。</w:t>
      </w:r>
    </w:p>
    <w:p w14:paraId="72C1662A">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25.5.2</w:t>
      </w:r>
      <w:r>
        <w:rPr>
          <w:rFonts w:hint="eastAsia" w:ascii="宋体" w:hAnsi="宋体" w:eastAsia="宋体" w:cs="宋体"/>
          <w:b/>
          <w:bCs/>
          <w:color w:val="000000"/>
          <w:sz w:val="24"/>
          <w:szCs w:val="24"/>
          <w:highlight w:val="none"/>
        </w:rPr>
        <w:t>供应商未按照磋商文件要求上传电子响应文件的。</w:t>
      </w:r>
    </w:p>
    <w:p w14:paraId="697BBD7D">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2</w:t>
      </w:r>
      <w:r>
        <w:rPr>
          <w:rFonts w:hint="eastAsia" w:ascii="宋体" w:hAnsi="宋体" w:eastAsia="宋体" w:cs="宋体"/>
          <w:b/>
          <w:bCs/>
          <w:color w:val="000000"/>
          <w:sz w:val="24"/>
          <w:szCs w:val="24"/>
          <w:highlight w:val="none"/>
          <w:lang w:val="en-US" w:eastAsia="zh-CN"/>
        </w:rPr>
        <w:t>4</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rPr>
        <w:t>.3同一供应商提交两个（含两个）以上不同的响应文件或者最后报价的。</w:t>
      </w:r>
    </w:p>
    <w:p w14:paraId="26AFABBC">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24.5.4</w:t>
      </w:r>
      <w:r>
        <w:rPr>
          <w:rFonts w:hint="eastAsia" w:ascii="宋体" w:hAnsi="宋体" w:eastAsia="宋体" w:cs="宋体"/>
          <w:b/>
          <w:bCs/>
          <w:color w:val="000000"/>
          <w:sz w:val="24"/>
          <w:szCs w:val="24"/>
          <w:highlight w:val="none"/>
        </w:rPr>
        <w:t>供应商未按照要求对磋商或者最后报价作出响应的。</w:t>
      </w:r>
    </w:p>
    <w:p w14:paraId="359D6BFD">
      <w:pPr>
        <w:pageBreakBefore w:val="0"/>
        <w:widowControl w:val="0"/>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25.5.5</w:t>
      </w:r>
      <w:r>
        <w:rPr>
          <w:rFonts w:hint="eastAsia" w:ascii="宋体" w:hAnsi="宋体" w:eastAsia="宋体" w:cs="宋体"/>
          <w:b/>
          <w:bCs w:val="0"/>
          <w:color w:val="000000"/>
          <w:sz w:val="24"/>
          <w:szCs w:val="21"/>
          <w:highlight w:val="none"/>
          <w:lang w:val="en-US" w:eastAsia="zh-CN"/>
        </w:rPr>
        <w:t>本项目遵照执行</w:t>
      </w:r>
      <w:r>
        <w:rPr>
          <w:rFonts w:hint="eastAsia" w:ascii="宋体" w:hAnsi="宋体" w:eastAsia="宋体" w:cs="宋体"/>
          <w:b/>
          <w:bCs w:val="0"/>
          <w:color w:val="000000"/>
          <w:sz w:val="24"/>
          <w:szCs w:val="21"/>
          <w:highlight w:val="none"/>
          <w:lang w:eastAsia="zh-CN"/>
        </w:rPr>
        <w:t>《</w:t>
      </w:r>
      <w:r>
        <w:rPr>
          <w:rFonts w:hint="eastAsia" w:ascii="宋体" w:hAnsi="宋体" w:eastAsia="宋体" w:cs="宋体"/>
          <w:b/>
          <w:bCs w:val="0"/>
          <w:color w:val="000000"/>
          <w:sz w:val="24"/>
          <w:szCs w:val="21"/>
          <w:highlight w:val="none"/>
        </w:rPr>
        <w:t>关于推动解决政府采购异常低价问题的通知</w:t>
      </w:r>
      <w:r>
        <w:rPr>
          <w:rFonts w:hint="eastAsia" w:ascii="宋体" w:hAnsi="宋体" w:eastAsia="宋体" w:cs="宋体"/>
          <w:b/>
          <w:bCs w:val="0"/>
          <w:color w:val="000000"/>
          <w:sz w:val="24"/>
          <w:szCs w:val="21"/>
          <w:highlight w:val="none"/>
          <w:lang w:eastAsia="zh-CN"/>
        </w:rPr>
        <w:t>》（连财购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〔2026〕</w:t>
      </w:r>
      <w:r>
        <w:rPr>
          <w:rFonts w:hint="eastAsia" w:ascii="宋体" w:hAnsi="宋体" w:eastAsia="宋体" w:cs="宋体"/>
          <w:b/>
          <w:bCs w:val="0"/>
          <w:color w:val="000000"/>
          <w:sz w:val="24"/>
          <w:szCs w:val="21"/>
          <w:highlight w:val="none"/>
          <w:lang w:val="en-US" w:eastAsia="zh-CN"/>
        </w:rPr>
        <w:t>7</w:t>
      </w:r>
      <w:r>
        <w:rPr>
          <w:rFonts w:hint="eastAsia" w:ascii="宋体" w:hAnsi="宋体" w:eastAsia="宋体" w:cs="宋体"/>
          <w:b/>
          <w:bCs w:val="0"/>
          <w:color w:val="000000"/>
          <w:sz w:val="24"/>
          <w:szCs w:val="21"/>
          <w:highlight w:val="none"/>
          <w:lang w:eastAsia="zh-CN"/>
        </w:rPr>
        <w:t>号）</w:t>
      </w:r>
      <w:r>
        <w:rPr>
          <w:rFonts w:hint="eastAsia" w:ascii="宋体" w:hAnsi="宋体" w:eastAsia="宋体" w:cs="宋体"/>
          <w:b/>
          <w:bCs w:val="0"/>
          <w:color w:val="000000"/>
          <w:sz w:val="24"/>
          <w:szCs w:val="21"/>
          <w:highlight w:val="none"/>
          <w:lang w:val="en-US" w:eastAsia="zh-CN"/>
        </w:rPr>
        <w:t>文件；</w:t>
      </w:r>
      <w:r>
        <w:rPr>
          <w:rFonts w:hint="eastAsia" w:ascii="宋体" w:hAnsi="宋体" w:eastAsia="宋体" w:cs="宋体"/>
          <w:b/>
          <w:bCs w:val="0"/>
          <w:color w:val="000000"/>
          <w:sz w:val="24"/>
          <w:szCs w:val="21"/>
          <w:highlight w:val="none"/>
        </w:rPr>
        <w:t>评审委员会启动异常低价投标（响应）审查程序</w:t>
      </w:r>
      <w:r>
        <w:rPr>
          <w:rFonts w:hint="eastAsia" w:ascii="宋体" w:hAnsi="宋体" w:eastAsia="宋体" w:cs="宋体"/>
          <w:b/>
          <w:bCs w:val="0"/>
          <w:color w:val="000000"/>
          <w:sz w:val="24"/>
          <w:szCs w:val="21"/>
          <w:highlight w:val="none"/>
          <w:lang w:val="en-US" w:eastAsia="zh-CN"/>
        </w:rPr>
        <w:t>后，投标（响应）供应商在评审现场合理的时间内，不能提供书面说明、证明材料，或者提供的书面说明、证明材料不能证明其报价合理性的，评审委员会应当将其作为无效投标（响应）处理。</w:t>
      </w:r>
    </w:p>
    <w:p w14:paraId="1FFE51EC">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25.5.6</w:t>
      </w:r>
      <w:r>
        <w:rPr>
          <w:rFonts w:hint="eastAsia" w:ascii="宋体" w:hAnsi="宋体" w:eastAsia="宋体" w:cs="宋体"/>
          <w:b/>
          <w:bCs/>
          <w:color w:val="000000"/>
          <w:sz w:val="24"/>
          <w:szCs w:val="24"/>
          <w:highlight w:val="none"/>
        </w:rPr>
        <w:t>供应商不具备磋商文件中规定资格要求的。</w:t>
      </w:r>
    </w:p>
    <w:p w14:paraId="56FFEFA7">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25.5.7</w:t>
      </w:r>
      <w:r>
        <w:rPr>
          <w:rFonts w:hint="eastAsia" w:ascii="宋体" w:hAnsi="宋体" w:eastAsia="宋体" w:cs="宋体"/>
          <w:b/>
          <w:bCs/>
          <w:color w:val="000000"/>
          <w:sz w:val="24"/>
          <w:szCs w:val="24"/>
          <w:highlight w:val="none"/>
        </w:rPr>
        <w:t>供应商未通过符合性审查的</w:t>
      </w:r>
    </w:p>
    <w:p w14:paraId="3C984EE7">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25.5.8</w:t>
      </w:r>
      <w:r>
        <w:rPr>
          <w:rFonts w:hint="eastAsia" w:ascii="宋体" w:hAnsi="宋体" w:eastAsia="宋体" w:cs="宋体"/>
          <w:b/>
          <w:bCs/>
          <w:color w:val="000000"/>
          <w:sz w:val="24"/>
          <w:szCs w:val="24"/>
          <w:highlight w:val="none"/>
        </w:rPr>
        <w:t>供应商的最后报价超过了采购预算</w:t>
      </w:r>
      <w:r>
        <w:rPr>
          <w:rFonts w:hint="eastAsia" w:ascii="宋体" w:hAnsi="宋体" w:eastAsia="宋体" w:cs="宋体"/>
          <w:b/>
          <w:bCs/>
          <w:color w:val="000000"/>
          <w:sz w:val="24"/>
          <w:szCs w:val="24"/>
          <w:highlight w:val="none"/>
          <w:lang w:val="en-US" w:eastAsia="zh-CN"/>
        </w:rPr>
        <w:t>或</w:t>
      </w:r>
      <w:r>
        <w:rPr>
          <w:rFonts w:hint="eastAsia" w:ascii="宋体" w:hAnsi="宋体" w:eastAsia="宋体" w:cs="宋体"/>
          <w:b/>
          <w:bCs/>
          <w:color w:val="000000"/>
          <w:sz w:val="24"/>
          <w:szCs w:val="24"/>
          <w:highlight w:val="none"/>
          <w:lang w:eastAsia="zh-CN"/>
        </w:rPr>
        <w:t>最高限价</w:t>
      </w:r>
    </w:p>
    <w:p w14:paraId="258F1555">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color w:val="000000"/>
          <w:sz w:val="24"/>
          <w:szCs w:val="24"/>
          <w:highlight w:val="none"/>
          <w:lang w:val="en-US" w:eastAsia="zh-CN"/>
        </w:rPr>
        <w:t>25.5.9</w:t>
      </w:r>
      <w:r>
        <w:rPr>
          <w:rFonts w:hint="eastAsia" w:ascii="宋体" w:hAnsi="宋体" w:eastAsia="宋体" w:cs="宋体"/>
          <w:b/>
          <w:bCs/>
          <w:color w:val="000000"/>
          <w:sz w:val="24"/>
          <w:szCs w:val="24"/>
          <w:highlight w:val="none"/>
        </w:rPr>
        <w:t>不符合磋商文件中规定的实质性要求和条件的</w:t>
      </w:r>
      <w:r>
        <w:rPr>
          <w:rFonts w:hint="eastAsia" w:ascii="宋体" w:hAnsi="宋体" w:eastAsia="宋体" w:cs="宋体"/>
          <w:b/>
          <w:bCs/>
          <w:i w:val="0"/>
          <w:iCs w:val="0"/>
          <w:color w:val="000000"/>
          <w:sz w:val="24"/>
          <w:szCs w:val="24"/>
          <w:highlight w:val="none"/>
          <w:u w:val="none"/>
        </w:rPr>
        <w:t>（</w:t>
      </w:r>
      <w:r>
        <w:rPr>
          <w:rFonts w:hint="eastAsia" w:ascii="宋体" w:hAnsi="宋体" w:eastAsia="宋体" w:cs="宋体"/>
          <w:i w:val="0"/>
          <w:iCs w:val="0"/>
          <w:color w:val="000000"/>
          <w:sz w:val="24"/>
          <w:highlight w:val="none"/>
          <w:u w:val="none"/>
        </w:rPr>
        <w:t>本</w:t>
      </w:r>
      <w:r>
        <w:rPr>
          <w:rFonts w:hint="eastAsia" w:ascii="宋体" w:hAnsi="宋体" w:eastAsia="宋体" w:cs="宋体"/>
          <w:color w:val="000000"/>
          <w:sz w:val="24"/>
          <w:highlight w:val="none"/>
        </w:rPr>
        <w:t>项目竞争性磋商文件中标注★的款项为实质性响应要求和条件</w:t>
      </w:r>
      <w:r>
        <w:rPr>
          <w:rFonts w:hint="eastAsia" w:ascii="宋体" w:hAnsi="宋体" w:eastAsia="宋体" w:cs="宋体"/>
          <w:b/>
          <w:bCs/>
          <w:i w:val="0"/>
          <w:iCs w:val="0"/>
          <w:color w:val="000000"/>
          <w:sz w:val="24"/>
          <w:szCs w:val="24"/>
          <w:highlight w:val="none"/>
          <w:u w:val="none"/>
        </w:rPr>
        <w:t>）。</w:t>
      </w:r>
    </w:p>
    <w:p w14:paraId="3DC40C76">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lang w:val="en-US" w:eastAsia="zh-CN"/>
        </w:rPr>
        <w:t>25.5.10</w:t>
      </w:r>
      <w:r>
        <w:rPr>
          <w:rFonts w:hint="eastAsia" w:ascii="宋体" w:hAnsi="宋体" w:eastAsia="宋体" w:cs="宋体"/>
          <w:b/>
          <w:bCs/>
          <w:color w:val="000000"/>
          <w:sz w:val="24"/>
          <w:szCs w:val="24"/>
          <w:highlight w:val="none"/>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9136EFD">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i/>
          <w:iCs/>
          <w:color w:val="000000"/>
          <w:sz w:val="24"/>
          <w:szCs w:val="24"/>
          <w:highlight w:val="none"/>
          <w:u w:val="single"/>
          <w:lang w:val="en-US"/>
        </w:rPr>
      </w:pPr>
      <w:r>
        <w:rPr>
          <w:rFonts w:hint="eastAsia" w:ascii="宋体" w:hAnsi="宋体" w:eastAsia="宋体" w:cs="宋体"/>
          <w:b/>
          <w:bCs/>
          <w:color w:val="000000"/>
          <w:sz w:val="24"/>
          <w:szCs w:val="24"/>
          <w:highlight w:val="none"/>
          <w:lang w:val="en-US" w:eastAsia="zh-CN"/>
        </w:rPr>
        <w:t>25.5.11</w:t>
      </w:r>
      <w:r>
        <w:rPr>
          <w:rFonts w:hint="eastAsia" w:ascii="宋体" w:hAnsi="宋体" w:eastAsia="宋体" w:cs="宋体"/>
          <w:b/>
          <w:bCs/>
          <w:color w:val="000000"/>
          <w:sz w:val="24"/>
          <w:szCs w:val="24"/>
          <w:highlight w:val="none"/>
        </w:rPr>
        <w:t>响应文件含有采购人不能接受的附加条件的。</w:t>
      </w:r>
    </w:p>
    <w:p w14:paraId="7402D405">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25.5.12本</w:t>
      </w:r>
      <w:r>
        <w:rPr>
          <w:rFonts w:hint="eastAsia" w:ascii="宋体" w:hAnsi="宋体" w:eastAsia="宋体" w:cs="宋体"/>
          <w:b/>
          <w:bCs/>
          <w:color w:val="000000"/>
          <w:sz w:val="24"/>
          <w:szCs w:val="24"/>
          <w:highlight w:val="none"/>
        </w:rPr>
        <w:t>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F4B8821">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w:t>
      </w:r>
      <w:r>
        <w:rPr>
          <w:rFonts w:hint="eastAsia" w:ascii="宋体" w:hAnsi="宋体" w:eastAsia="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rPr>
        <w:t>.1</w:t>
      </w:r>
      <w:r>
        <w:rPr>
          <w:rFonts w:hint="eastAsia" w:ascii="宋体" w:hAnsi="宋体" w:eastAsia="宋体" w:cs="宋体"/>
          <w:b/>
          <w:bCs/>
          <w:color w:val="000000"/>
          <w:sz w:val="24"/>
          <w:szCs w:val="24"/>
          <w:highlight w:val="none"/>
          <w:lang w:val="en-US" w:eastAsia="zh-CN"/>
        </w:rPr>
        <w:t>3</w:t>
      </w:r>
      <w:r>
        <w:rPr>
          <w:rFonts w:hint="eastAsia" w:ascii="宋体" w:hAnsi="宋体" w:eastAsia="宋体" w:cs="宋体"/>
          <w:b/>
          <w:bCs/>
          <w:color w:val="000000"/>
          <w:sz w:val="24"/>
          <w:szCs w:val="24"/>
          <w:highlight w:val="none"/>
        </w:rPr>
        <w:t>响应文件未按照磋商文件要求加盖CA电子公章的。</w:t>
      </w:r>
    </w:p>
    <w:p w14:paraId="79D33952">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25.5.14不同的供应商响应文件IP地址、MAC地址、标书制作工具客户端标识码一致的。</w:t>
      </w:r>
    </w:p>
    <w:p w14:paraId="628FEC90">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25.5.15响应文件中已标价工程量清单与磋商文件规定的暂估价、暂列金额及甲供材料价格不一致的。</w:t>
      </w:r>
    </w:p>
    <w:p w14:paraId="202FDA01">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25.5.16响应文件中已标价工程量清单与磋商文件明确列出的不可竞争费用项目或费率或计算基础不一致的。</w:t>
      </w:r>
    </w:p>
    <w:p w14:paraId="380A309D">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25.5.17响应文件的已标价工程量清单与磋商文件提供的工程量清单中的项目编码、项目名称、项目特征、计量单位、工程量不一致的。</w:t>
      </w:r>
    </w:p>
    <w:p w14:paraId="31653F4F">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25.5.18不符合其他法律、法规规定的情形及本磋商文件规定的属无效响应的情形。</w:t>
      </w:r>
    </w:p>
    <w:p w14:paraId="7386C41D">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未实质性响应磋商文件的响应文件按无效响应处理。</w:t>
      </w:r>
    </w:p>
    <w:p w14:paraId="773DCC15">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如果响应文件实质上没有响应磋商文件的要求，磋商小组将予以拒绝，供应商不得通过修改或撤销不合要求的偏离或保留而使其成为实质性响应的文件。</w:t>
      </w:r>
    </w:p>
    <w:p w14:paraId="6E297336">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供应商在项目评审全过程中应保持通讯畅通，并安排专人与</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及磋商小组联系。</w:t>
      </w:r>
    </w:p>
    <w:p w14:paraId="03FA5B7F">
      <w:pPr>
        <w:pStyle w:val="212"/>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26、磋商程序及评审方法和评审标准</w:t>
      </w:r>
    </w:p>
    <w:p w14:paraId="283F0826">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w:t>
      </w: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.1磋商程序</w:t>
      </w:r>
    </w:p>
    <w:p w14:paraId="3552FFF9">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D802C8A">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4C3CF3F">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0F9452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7B6BA6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管</w:t>
      </w:r>
      <w:r>
        <w:rPr>
          <w:rFonts w:hint="eastAsia" w:ascii="宋体" w:hAnsi="宋体" w:eastAsia="宋体" w:cs="宋体"/>
          <w:b w:val="0"/>
          <w:bCs w:val="0"/>
          <w:color w:val="000000"/>
          <w:sz w:val="24"/>
          <w:szCs w:val="24"/>
          <w:highlight w:val="none"/>
        </w:rPr>
        <w:t>理暂行办法》第三条第一款第四项及《财政部关于竞争性磋商采购方式管理暂行办法有关问题的补充通知》（财库[2015]124号）规定情形的，提交最后报价的供应商可以为2家。</w:t>
      </w:r>
    </w:p>
    <w:p w14:paraId="2B03EE71">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否则视为未提交最后报价。已提交响应文件的供应商，在提交最后报价之前，可以根据磋商情况退出磋商，并在苏采云系统中提交“退出磋商函”并加盖CA电子公章。</w:t>
      </w:r>
    </w:p>
    <w:p w14:paraId="51830741">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2</w:t>
      </w: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评审方法和评审标准</w:t>
      </w:r>
    </w:p>
    <w:p w14:paraId="2F220C28">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.2.1评审方法。经磋商确定最终采购需求和提交最后报价的供应商后，由磋商小组采用综合评分法对提交最后报价的供应商的响应文件和最后报价进行综合评分。</w:t>
      </w:r>
    </w:p>
    <w:p w14:paraId="36A0D6B4">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58C9188">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w:t>
      </w: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.2</w:t>
      </w:r>
      <w:r>
        <w:rPr>
          <w:rFonts w:hint="eastAsia" w:ascii="宋体" w:hAnsi="宋体" w:eastAsia="宋体" w:cs="宋体"/>
          <w:b/>
          <w:bCs/>
          <w:color w:val="000000"/>
          <w:sz w:val="24"/>
          <w:szCs w:val="24"/>
          <w:highlight w:val="none"/>
          <w:lang w:val="en-US" w:eastAsia="zh-CN"/>
        </w:rPr>
        <w:t>.2</w:t>
      </w:r>
      <w:r>
        <w:rPr>
          <w:rFonts w:hint="eastAsia" w:ascii="宋体" w:hAnsi="宋体" w:eastAsia="宋体" w:cs="宋体"/>
          <w:b/>
          <w:bCs/>
          <w:color w:val="000000"/>
          <w:sz w:val="24"/>
          <w:szCs w:val="24"/>
          <w:highlight w:val="none"/>
        </w:rPr>
        <w:t>评审标准</w:t>
      </w:r>
    </w:p>
    <w:p w14:paraId="3D1A70DB">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见本磋商文件第</w:t>
      </w:r>
      <w:r>
        <w:rPr>
          <w:rFonts w:hint="eastAsia" w:ascii="宋体" w:hAnsi="宋体" w:eastAsia="宋体" w:cs="宋体"/>
          <w:color w:val="000000"/>
          <w:sz w:val="24"/>
          <w:szCs w:val="24"/>
          <w:highlight w:val="none"/>
          <w:lang w:eastAsia="zh-CN"/>
        </w:rPr>
        <w:t>六</w:t>
      </w:r>
      <w:r>
        <w:rPr>
          <w:rFonts w:hint="eastAsia" w:ascii="宋体" w:hAnsi="宋体" w:eastAsia="宋体" w:cs="宋体"/>
          <w:color w:val="000000"/>
          <w:sz w:val="24"/>
          <w:szCs w:val="24"/>
          <w:highlight w:val="none"/>
        </w:rPr>
        <w:t>章</w:t>
      </w:r>
      <w:r>
        <w:rPr>
          <w:rFonts w:hint="eastAsia" w:ascii="宋体" w:hAnsi="宋体" w:eastAsia="宋体" w:cs="宋体"/>
          <w:color w:val="000000"/>
          <w:sz w:val="24"/>
          <w:szCs w:val="24"/>
          <w:highlight w:val="none"/>
          <w:lang w:eastAsia="zh-CN"/>
        </w:rPr>
        <w:t>“评审方法和评审标准”</w:t>
      </w:r>
      <w:r>
        <w:rPr>
          <w:rFonts w:hint="eastAsia" w:ascii="宋体" w:hAnsi="宋体" w:eastAsia="宋体" w:cs="宋体"/>
          <w:color w:val="000000"/>
          <w:sz w:val="24"/>
          <w:szCs w:val="24"/>
          <w:highlight w:val="none"/>
        </w:rPr>
        <w:t>规定。</w:t>
      </w:r>
    </w:p>
    <w:p w14:paraId="0B4496C2">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w:t>
      </w: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.3采购活动终止的情况</w:t>
      </w:r>
    </w:p>
    <w:p w14:paraId="4D4C60A3">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出现下列情形之一的，本次竞争性磋商采购活动将被终止：</w:t>
      </w:r>
    </w:p>
    <w:p w14:paraId="5C0036D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.3.1因情况变化，不再符合规定的竞争性磋商采购方式适用情形的。</w:t>
      </w:r>
    </w:p>
    <w:p w14:paraId="7A85327A">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.3.2出现影响采购公正的违法、违规行为的。</w:t>
      </w:r>
    </w:p>
    <w:p w14:paraId="1E11D778">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.3.3除本磋商文件第二章第26.1.2第三款规定的情形外，在采购过程中符合要求的供应商或者最后报价未超过采购预算的供应商不足3家的。</w:t>
      </w:r>
    </w:p>
    <w:p w14:paraId="57DE2114">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.3.4在苏采云系统规定时间内成功解密电子响应文件的供应商不足3家的。</w:t>
      </w:r>
    </w:p>
    <w:p w14:paraId="4BF8D6A1">
      <w:pPr>
        <w:pageBreakBefore w:val="0"/>
        <w:widowControl w:val="0"/>
        <w:shd w:val="clear" w:color="auto" w:fill="auto"/>
        <w:tabs>
          <w:tab w:val="left" w:pos="900"/>
        </w:tabs>
        <w:spacing w:line="360" w:lineRule="auto"/>
        <w:jc w:val="center"/>
        <w:outlineLvl w:val="0"/>
        <w:rPr>
          <w:rFonts w:hint="eastAsia" w:ascii="宋体" w:hAnsi="宋体" w:eastAsia="宋体" w:cs="宋体"/>
          <w:b/>
          <w:bCs/>
          <w:sz w:val="28"/>
          <w:szCs w:val="28"/>
          <w:highlight w:val="none"/>
          <w:lang w:val="en-US" w:eastAsia="zh-CN"/>
        </w:rPr>
      </w:pPr>
      <w:bookmarkStart w:id="88" w:name="_Toc120614219"/>
      <w:bookmarkStart w:id="89" w:name="_Toc1962"/>
      <w:r>
        <w:rPr>
          <w:rFonts w:hint="eastAsia" w:ascii="宋体" w:hAnsi="宋体" w:eastAsia="宋体" w:cs="宋体"/>
          <w:b/>
          <w:bCs/>
          <w:sz w:val="28"/>
          <w:szCs w:val="28"/>
          <w:highlight w:val="none"/>
          <w:lang w:val="en-US" w:eastAsia="zh-CN"/>
        </w:rPr>
        <w:t>七、</w:t>
      </w:r>
      <w:bookmarkEnd w:id="88"/>
      <w:r>
        <w:rPr>
          <w:rFonts w:hint="eastAsia" w:ascii="宋体" w:hAnsi="宋体" w:eastAsia="宋体" w:cs="宋体"/>
          <w:b/>
          <w:bCs/>
          <w:sz w:val="28"/>
          <w:szCs w:val="28"/>
          <w:highlight w:val="none"/>
          <w:lang w:val="en-US" w:eastAsia="zh-CN"/>
        </w:rPr>
        <w:t>成交</w:t>
      </w:r>
      <w:bookmarkEnd w:id="89"/>
    </w:p>
    <w:p w14:paraId="51992875">
      <w:pPr>
        <w:pStyle w:val="212"/>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sz w:val="28"/>
          <w:szCs w:val="28"/>
          <w:highlight w:val="none"/>
        </w:rPr>
      </w:pPr>
      <w:r>
        <w:rPr>
          <w:rFonts w:hint="eastAsia" w:ascii="宋体" w:hAnsi="宋体" w:eastAsia="宋体" w:cs="宋体"/>
          <w:b/>
          <w:bCs/>
          <w:color w:val="000000"/>
          <w:sz w:val="28"/>
          <w:szCs w:val="28"/>
          <w:highlight w:val="none"/>
        </w:rPr>
        <w:t>2</w:t>
      </w:r>
      <w:r>
        <w:rPr>
          <w:rFonts w:hint="eastAsia" w:ascii="宋体" w:hAnsi="宋体" w:eastAsia="宋体" w:cs="宋体"/>
          <w:b/>
          <w:bCs/>
          <w:color w:val="000000"/>
          <w:sz w:val="28"/>
          <w:szCs w:val="28"/>
          <w:highlight w:val="none"/>
          <w:lang w:val="en-US" w:eastAsia="zh-CN"/>
        </w:rPr>
        <w:t>7</w:t>
      </w:r>
      <w:r>
        <w:rPr>
          <w:rFonts w:hint="eastAsia" w:ascii="宋体" w:hAnsi="宋体" w:eastAsia="宋体" w:cs="宋体"/>
          <w:b/>
          <w:bCs/>
          <w:color w:val="000000"/>
          <w:sz w:val="28"/>
          <w:szCs w:val="28"/>
          <w:highlight w:val="none"/>
        </w:rPr>
        <w:t>、确定成交单位</w:t>
      </w:r>
    </w:p>
    <w:p w14:paraId="547F0EE6">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7112E0E5">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DF71E9C">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将在“江苏政府采购网”发布成交结果公告，公告期限为1个工作日。</w:t>
      </w:r>
    </w:p>
    <w:p w14:paraId="42AFF30E">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2</w:t>
      </w:r>
      <w:r>
        <w:rPr>
          <w:rFonts w:hint="eastAsia" w:ascii="宋体" w:hAnsi="宋体" w:eastAsia="宋体" w:cs="宋体"/>
          <w:b/>
          <w:bCs/>
          <w:color w:val="000000"/>
          <w:sz w:val="24"/>
          <w:szCs w:val="24"/>
          <w:highlight w:val="none"/>
          <w:lang w:val="en-US" w:eastAsia="zh-CN"/>
        </w:rPr>
        <w:t>7</w:t>
      </w:r>
      <w:r>
        <w:rPr>
          <w:rFonts w:hint="eastAsia" w:ascii="宋体" w:hAnsi="宋体" w:eastAsia="宋体" w:cs="宋体"/>
          <w:b/>
          <w:bCs/>
          <w:color w:val="000000"/>
          <w:sz w:val="24"/>
          <w:szCs w:val="24"/>
          <w:highlight w:val="none"/>
        </w:rPr>
        <w:t>.3若有充分证据证明，成交供应商出现下列情况之一的，一经查实，将被取消成交资格：</w:t>
      </w:r>
    </w:p>
    <w:p w14:paraId="27534ECF">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.3.1提供虚假材料谋取成交的。</w:t>
      </w:r>
    </w:p>
    <w:p w14:paraId="25CA78C8">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.3.2与评审专家、采购人、其他供应商或者</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工作人员恶意串通的。</w:t>
      </w:r>
    </w:p>
    <w:p w14:paraId="7325D252">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.3.3向评审专家、采购人或</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工作人员行贿或者提供其他不正当利益的。</w:t>
      </w:r>
    </w:p>
    <w:p w14:paraId="3D07F6BE">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.3.4恶意竞争，最后报价明显低于其自身合理成本且又无法提供证明的。</w:t>
      </w:r>
    </w:p>
    <w:p w14:paraId="7468B0D8">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.3.5不满足本磋商文件规定的实质性要求，但在评审过程中又未被磋商小组发现的。</w:t>
      </w:r>
    </w:p>
    <w:p w14:paraId="03412E4B">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.3.6成交后无正当理由拒不与采购人签订政府采购合同或者未按照磋商文件确定的事项签订政府采购合同的。</w:t>
      </w:r>
    </w:p>
    <w:p w14:paraId="513C3226">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.3.7将政府采购合同转包的。</w:t>
      </w:r>
    </w:p>
    <w:p w14:paraId="6BE9163F">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90" w:name="_Toc200451960"/>
      <w:r>
        <w:rPr>
          <w:rFonts w:hint="eastAsia" w:ascii="宋体" w:hAnsi="宋体" w:eastAsia="宋体" w:cs="宋体"/>
          <w:b/>
          <w:bCs/>
          <w:sz w:val="28"/>
          <w:szCs w:val="28"/>
          <w:highlight w:val="none"/>
          <w:lang w:val="en-US" w:eastAsia="zh-CN"/>
        </w:rPr>
        <w:t>28、质疑处理</w:t>
      </w:r>
      <w:bookmarkEnd w:id="90"/>
    </w:p>
    <w:p w14:paraId="2DE079CE">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.1 提出质疑的供应商应当是参与所质疑项目采购活动的供应商。潜在供应商依法获取其可质疑的采购文件的，可以对采购文件提出质疑。</w:t>
      </w:r>
    </w:p>
    <w:p w14:paraId="56879ADD">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.4条款的规定向</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采购人提出质疑。上述应知其权益受到损害之日，是指：</w:t>
      </w:r>
    </w:p>
    <w:p w14:paraId="2DD9760B">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.2.1对可以质疑的采购文件提出质疑的，为收到采购文件之日或者采购文件公告期限届满之日。</w:t>
      </w:r>
    </w:p>
    <w:p w14:paraId="0478E872">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.2.2对采购过程提出质疑的，为各采购程序环节结束之日。</w:t>
      </w:r>
    </w:p>
    <w:p w14:paraId="5AE10C4B">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.2.3对成交结果提出质疑的，为成交结果公告期限届满之日。</w:t>
      </w:r>
    </w:p>
    <w:p w14:paraId="5F25E1CC">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、采购人将只对供应商第一次质疑作出答复。</w:t>
      </w:r>
    </w:p>
    <w:p w14:paraId="56E53B3E">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14C499F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.4 供应商（含潜在供应商）对与本项目有关的所有询问、质疑均请向采购人</w:t>
      </w:r>
      <w:r>
        <w:rPr>
          <w:rFonts w:hint="eastAsia" w:ascii="宋体" w:hAnsi="宋体" w:eastAsia="宋体" w:cs="宋体"/>
          <w:color w:val="000000"/>
          <w:sz w:val="24"/>
          <w:szCs w:val="24"/>
          <w:highlight w:val="none"/>
          <w:lang w:val="en-US" w:eastAsia="zh-CN"/>
        </w:rPr>
        <w:t>及采购代理机构</w:t>
      </w:r>
      <w:r>
        <w:rPr>
          <w:rFonts w:hint="eastAsia" w:ascii="宋体" w:hAnsi="宋体" w:eastAsia="宋体" w:cs="宋体"/>
          <w:color w:val="000000"/>
          <w:sz w:val="24"/>
          <w:szCs w:val="24"/>
          <w:highlight w:val="none"/>
        </w:rPr>
        <w:t>提出，由采购人</w:t>
      </w:r>
      <w:r>
        <w:rPr>
          <w:rFonts w:hint="eastAsia" w:ascii="宋体" w:hAnsi="宋体" w:eastAsia="宋体" w:cs="宋体"/>
          <w:color w:val="000000"/>
          <w:sz w:val="24"/>
          <w:szCs w:val="24"/>
          <w:highlight w:val="none"/>
          <w:lang w:val="en-US" w:eastAsia="zh-CN"/>
        </w:rPr>
        <w:t>及采购代理机构</w:t>
      </w:r>
      <w:r>
        <w:rPr>
          <w:rFonts w:hint="eastAsia" w:ascii="宋体" w:hAnsi="宋体" w:eastAsia="宋体" w:cs="宋体"/>
          <w:color w:val="000000"/>
          <w:sz w:val="24"/>
          <w:szCs w:val="24"/>
          <w:highlight w:val="none"/>
        </w:rPr>
        <w:t>负责答复</w:t>
      </w:r>
      <w:r>
        <w:rPr>
          <w:rFonts w:hint="eastAsia" w:ascii="宋体" w:hAnsi="宋体" w:eastAsia="宋体" w:cs="宋体"/>
          <w:color w:val="000000"/>
          <w:sz w:val="24"/>
          <w:szCs w:val="24"/>
          <w:highlight w:val="none"/>
          <w:lang w:eastAsia="zh-CN"/>
        </w:rPr>
        <w:t>。</w:t>
      </w:r>
    </w:p>
    <w:p w14:paraId="5A1F00C1">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采购人及</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只接收以纸质原件形式送达的质疑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建议供应商尽量通过邮寄方式提交质疑（采购人和采购</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不接受未填写快递运单的快件）。</w:t>
      </w:r>
    </w:p>
    <w:p w14:paraId="2C024F0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采购人、</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代理机构质疑接收人及联系方式见招标文件第一章。</w:t>
      </w:r>
    </w:p>
    <w:p w14:paraId="2F93D507">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.5 以下情形的质疑不予受理</w:t>
      </w:r>
    </w:p>
    <w:p w14:paraId="5EF4E45E">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.5.1 内容不符合《政府采购质疑和投诉办法》第十二条规定的质疑。</w:t>
      </w:r>
    </w:p>
    <w:p w14:paraId="0B19C0C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.5.2 超出政府采购法定期限的质疑。</w:t>
      </w:r>
    </w:p>
    <w:p w14:paraId="33759AEC">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.5.3 以传真、电子邮件等方式递交的非原件形式的质疑。</w:t>
      </w:r>
    </w:p>
    <w:p w14:paraId="29C7509F">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.5.4 未参加磋商活动的供应商或在磋商活动中自身权益未受到损害的供应商所提出的质疑。</w:t>
      </w:r>
    </w:p>
    <w:p w14:paraId="2DC5EE5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.5.5供应商组成联合体参加磋商，联合体中任何一方或多方未按要求签字、盖章、加盖公章的质疑。</w:t>
      </w:r>
    </w:p>
    <w:p w14:paraId="20114974">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21A5BE4E">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29、成交通知书</w:t>
      </w:r>
    </w:p>
    <w:p w14:paraId="02E4B67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29</w:t>
      </w:r>
      <w:r>
        <w:rPr>
          <w:rFonts w:hint="eastAsia" w:ascii="宋体" w:hAnsi="宋体" w:eastAsia="宋体" w:cs="宋体"/>
          <w:color w:val="000000"/>
          <w:sz w:val="24"/>
          <w:szCs w:val="24"/>
          <w:highlight w:val="none"/>
        </w:rPr>
        <w:t>.1成交结果确定后，</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将向成交供应商发出成交通知书。请成交供应商在成交结果公告届满之日起</w:t>
      </w:r>
      <w:r>
        <w:rPr>
          <w:rFonts w:hint="eastAsia" w:ascii="宋体" w:hAnsi="宋体" w:eastAsia="宋体" w:cs="宋体"/>
          <w:color w:val="000000"/>
          <w:sz w:val="24"/>
          <w:szCs w:val="24"/>
          <w:highlight w:val="none"/>
          <w:lang w:eastAsia="zh-CN"/>
        </w:rPr>
        <w:t>25日</w:t>
      </w:r>
      <w:r>
        <w:rPr>
          <w:rFonts w:hint="eastAsia" w:ascii="宋体" w:hAnsi="宋体" w:eastAsia="宋体" w:cs="宋体"/>
          <w:color w:val="000000"/>
          <w:sz w:val="24"/>
          <w:szCs w:val="24"/>
          <w:highlight w:val="none"/>
        </w:rPr>
        <w:t>内</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使用CA数字证书登录苏采云系统及时下载成交通知书。因系统存储空间有限，自成交结果公告届满之日起</w:t>
      </w:r>
      <w:r>
        <w:rPr>
          <w:rFonts w:hint="eastAsia" w:ascii="宋体" w:hAnsi="宋体" w:eastAsia="宋体" w:cs="宋体"/>
          <w:color w:val="000000"/>
          <w:sz w:val="24"/>
          <w:szCs w:val="24"/>
          <w:highlight w:val="none"/>
          <w:lang w:eastAsia="zh-CN"/>
        </w:rPr>
        <w:t>25日</w:t>
      </w:r>
      <w:r>
        <w:rPr>
          <w:rFonts w:hint="eastAsia" w:ascii="宋体" w:hAnsi="宋体" w:eastAsia="宋体" w:cs="宋体"/>
          <w:color w:val="000000"/>
          <w:sz w:val="24"/>
          <w:szCs w:val="24"/>
          <w:highlight w:val="none"/>
        </w:rPr>
        <w:t>后，苏采云系统不再保证提供下载成交通知书服务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因未及时下载而造成的不利后果由成交供应商自行承担。</w:t>
      </w:r>
    </w:p>
    <w:p w14:paraId="08DDD218">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29</w:t>
      </w:r>
      <w:r>
        <w:rPr>
          <w:rFonts w:hint="eastAsia" w:ascii="宋体" w:hAnsi="宋体" w:eastAsia="宋体" w:cs="宋体"/>
          <w:color w:val="000000"/>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2595C10B">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29.3成交后领取中标通知之时，成交供应商须提供给代理机构上传苏彩云系统的响应文件纸质版：正本1份，副本2份。为此产生的费用磋商供应商须考虑在报价内。</w:t>
      </w:r>
    </w:p>
    <w:p w14:paraId="3369066B">
      <w:pPr>
        <w:pageBreakBefore w:val="0"/>
        <w:widowControl w:val="0"/>
        <w:shd w:val="clear" w:color="auto" w:fill="auto"/>
        <w:tabs>
          <w:tab w:val="left" w:pos="900"/>
        </w:tabs>
        <w:spacing w:line="360" w:lineRule="auto"/>
        <w:jc w:val="center"/>
        <w:outlineLvl w:val="0"/>
        <w:rPr>
          <w:rFonts w:hint="eastAsia" w:ascii="宋体" w:hAnsi="宋体" w:eastAsia="宋体" w:cs="宋体"/>
          <w:b/>
          <w:bCs/>
          <w:sz w:val="28"/>
          <w:szCs w:val="28"/>
          <w:highlight w:val="none"/>
          <w:lang w:val="en-US" w:eastAsia="zh-CN"/>
        </w:rPr>
      </w:pPr>
      <w:bookmarkStart w:id="91" w:name="_Toc16938552"/>
      <w:bookmarkStart w:id="92" w:name="_Toc120614220"/>
      <w:bookmarkStart w:id="93" w:name="_Toc20823308"/>
      <w:bookmarkStart w:id="94" w:name="_Toc513029236"/>
      <w:bookmarkStart w:id="95" w:name="_Toc29874"/>
      <w:r>
        <w:rPr>
          <w:rFonts w:hint="eastAsia" w:ascii="宋体" w:hAnsi="宋体" w:eastAsia="宋体" w:cs="宋体"/>
          <w:b/>
          <w:bCs/>
          <w:sz w:val="28"/>
          <w:szCs w:val="28"/>
          <w:highlight w:val="none"/>
          <w:lang w:val="en-US" w:eastAsia="zh-CN"/>
        </w:rPr>
        <w:t>八、授予合同</w:t>
      </w:r>
      <w:bookmarkEnd w:id="91"/>
      <w:bookmarkEnd w:id="92"/>
      <w:bookmarkEnd w:id="93"/>
      <w:bookmarkEnd w:id="94"/>
      <w:bookmarkEnd w:id="95"/>
    </w:p>
    <w:p w14:paraId="67C6CDA2">
      <w:pPr>
        <w:pageBreakBefore w:val="0"/>
        <w:widowControl w:val="0"/>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30、签订合同</w:t>
      </w:r>
    </w:p>
    <w:p w14:paraId="50AED20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.l成交供应商应当在成交通知书发出之日起三十日内，按照磋商文件确定的事项与采购人签订政府采购合同。</w:t>
      </w:r>
    </w:p>
    <w:p w14:paraId="06911633">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.2磋商文件、成交供应商的响应文件及磋商过程中有关澄清、承诺文件均应作为合同附件。</w:t>
      </w:r>
    </w:p>
    <w:p w14:paraId="5F18DA21">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.3 签订合同后，</w:t>
      </w:r>
      <w:r>
        <w:rPr>
          <w:rFonts w:hint="eastAsia" w:ascii="宋体" w:hAnsi="宋体" w:eastAsia="宋体" w:cs="宋体"/>
          <w:i w:val="0"/>
          <w:iCs w:val="0"/>
          <w:color w:val="000000"/>
          <w:sz w:val="24"/>
          <w:szCs w:val="24"/>
          <w:highlight w:val="none"/>
          <w:u w:val="none"/>
        </w:rPr>
        <w:t>成交供应商不得将合同标的进行转包</w:t>
      </w:r>
      <w:r>
        <w:rPr>
          <w:rFonts w:hint="eastAsia" w:ascii="宋体" w:hAnsi="宋体" w:eastAsia="宋体" w:cs="宋体"/>
          <w:color w:val="000000"/>
          <w:sz w:val="24"/>
          <w:szCs w:val="24"/>
          <w:highlight w:val="none"/>
        </w:rPr>
        <w:t>。未经采购人同意，成交供应商也不得采用分包形式履行合同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否则采购人有权终止合同。转包或分包造成采购人损失的，成交供应商应承担相应赔偿责任。</w:t>
      </w:r>
    </w:p>
    <w:p w14:paraId="6BE09DE8">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rPr>
      </w:pPr>
      <w:r>
        <w:rPr>
          <w:rFonts w:hint="eastAsia" w:ascii="宋体" w:hAnsi="宋体" w:eastAsia="宋体" w:cs="宋体"/>
          <w:b/>
          <w:bCs/>
          <w:i w:val="0"/>
          <w:iCs w:val="0"/>
          <w:color w:val="000000"/>
          <w:sz w:val="28"/>
          <w:szCs w:val="28"/>
          <w:highlight w:val="none"/>
          <w:lang w:val="en-US" w:eastAsia="zh-CN"/>
        </w:rPr>
        <w:t>31</w:t>
      </w:r>
      <w:r>
        <w:rPr>
          <w:rFonts w:hint="eastAsia" w:ascii="宋体" w:hAnsi="宋体" w:eastAsia="宋体" w:cs="宋体"/>
          <w:b/>
          <w:bCs/>
          <w:i w:val="0"/>
          <w:iCs w:val="0"/>
          <w:color w:val="000000"/>
          <w:sz w:val="28"/>
          <w:szCs w:val="28"/>
          <w:highlight w:val="none"/>
        </w:rPr>
        <w:t>、履约保证金</w:t>
      </w:r>
    </w:p>
    <w:p w14:paraId="7184BEC1">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rPr>
      </w:pPr>
      <w:r>
        <w:rPr>
          <w:rFonts w:hint="eastAsia" w:ascii="宋体" w:hAnsi="宋体" w:eastAsia="宋体" w:cs="宋体"/>
          <w:b w:val="0"/>
          <w:bCs w:val="0"/>
          <w:i w:val="0"/>
          <w:iCs w:val="0"/>
          <w:color w:val="000000"/>
          <w:sz w:val="24"/>
          <w:szCs w:val="24"/>
          <w:highlight w:val="none"/>
          <w:lang w:val="en-US" w:eastAsia="zh-CN"/>
        </w:rPr>
        <w:t>31</w:t>
      </w:r>
      <w:r>
        <w:rPr>
          <w:rFonts w:hint="eastAsia" w:ascii="宋体" w:hAnsi="宋体" w:eastAsia="宋体" w:cs="宋体"/>
          <w:b w:val="0"/>
          <w:bCs w:val="0"/>
          <w:i w:val="0"/>
          <w:iCs w:val="0"/>
          <w:color w:val="000000"/>
          <w:sz w:val="24"/>
          <w:szCs w:val="24"/>
          <w:highlight w:val="none"/>
        </w:rPr>
        <w:t>.1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1482CCB1">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rPr>
      </w:pPr>
      <w:r>
        <w:rPr>
          <w:rFonts w:hint="eastAsia" w:ascii="宋体" w:hAnsi="宋体" w:eastAsia="宋体" w:cs="宋体"/>
          <w:b w:val="0"/>
          <w:bCs w:val="0"/>
          <w:i w:val="0"/>
          <w:iCs w:val="0"/>
          <w:color w:val="000000"/>
          <w:sz w:val="24"/>
          <w:szCs w:val="24"/>
          <w:highlight w:val="none"/>
          <w:lang w:val="en-US" w:eastAsia="zh-CN"/>
        </w:rPr>
        <w:t>31</w:t>
      </w:r>
      <w:r>
        <w:rPr>
          <w:rFonts w:hint="eastAsia" w:ascii="宋体" w:hAnsi="宋体" w:eastAsia="宋体" w:cs="宋体"/>
          <w:b w:val="0"/>
          <w:bCs w:val="0"/>
          <w:i w:val="0"/>
          <w:iCs w:val="0"/>
          <w:color w:val="000000"/>
          <w:sz w:val="24"/>
          <w:szCs w:val="24"/>
          <w:highlight w:val="none"/>
        </w:rPr>
        <w:t>.2 成交供应商违约的，采购人将按照合同约定扣除其全部或部分履约保证金。如成交供应商违约给采购人造成的损失超过履约保证金的，应当依法赔偿超过部分的损失。</w:t>
      </w:r>
    </w:p>
    <w:p w14:paraId="18A5E1C3">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rPr>
      </w:pPr>
      <w:r>
        <w:rPr>
          <w:rFonts w:hint="eastAsia" w:ascii="宋体" w:hAnsi="宋体" w:eastAsia="宋体" w:cs="宋体"/>
          <w:b w:val="0"/>
          <w:bCs w:val="0"/>
          <w:i w:val="0"/>
          <w:iCs w:val="0"/>
          <w:color w:val="000000"/>
          <w:sz w:val="24"/>
          <w:szCs w:val="24"/>
          <w:highlight w:val="none"/>
          <w:lang w:val="en-US" w:eastAsia="zh-CN"/>
        </w:rPr>
        <w:t>31</w:t>
      </w:r>
      <w:r>
        <w:rPr>
          <w:rFonts w:hint="eastAsia" w:ascii="宋体" w:hAnsi="宋体" w:eastAsia="宋体" w:cs="宋体"/>
          <w:b w:val="0"/>
          <w:bCs w:val="0"/>
          <w:i w:val="0"/>
          <w:iCs w:val="0"/>
          <w:color w:val="000000"/>
          <w:sz w:val="24"/>
          <w:szCs w:val="24"/>
          <w:highlight w:val="none"/>
        </w:rPr>
        <w:t>.3 履约保证金自合同生效之日起至合同约定的成交供应商主要义务履行完毕止，采购人应当按合同约定及时退还履约保证金。</w:t>
      </w:r>
    </w:p>
    <w:p w14:paraId="6329203A">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lang w:val="en-US" w:eastAsia="zh-CN"/>
        </w:rPr>
      </w:pPr>
      <w:r>
        <w:rPr>
          <w:rFonts w:hint="eastAsia" w:ascii="宋体" w:hAnsi="宋体" w:eastAsia="宋体" w:cs="宋体"/>
          <w:b w:val="0"/>
          <w:bCs w:val="0"/>
          <w:i w:val="0"/>
          <w:iCs w:val="0"/>
          <w:color w:val="000000"/>
          <w:sz w:val="24"/>
          <w:szCs w:val="24"/>
          <w:highlight w:val="none"/>
          <w:lang w:val="en-US" w:eastAsia="zh-CN"/>
        </w:rPr>
        <w:t>31.4 逾期退还履约保证金的采购人承担违约责任，按照中国人民银行同期贷款基准利率向成交供应商支付超期资金占用费。</w:t>
      </w:r>
    </w:p>
    <w:p w14:paraId="76AC8DD7">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b w:val="0"/>
          <w:bCs w:val="0"/>
          <w:i w:val="0"/>
          <w:iCs w:val="0"/>
          <w:color w:val="000000"/>
          <w:sz w:val="24"/>
          <w:szCs w:val="24"/>
          <w:highlight w:val="none"/>
          <w:lang w:val="en-US" w:eastAsia="zh-CN"/>
        </w:rPr>
        <w:t>31.5 本项目履约保证金要求详见第四章 采购需求。</w:t>
      </w:r>
    </w:p>
    <w:p w14:paraId="013EBB10">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rPr>
      </w:pPr>
      <w:r>
        <w:rPr>
          <w:rFonts w:hint="eastAsia" w:ascii="宋体" w:hAnsi="宋体" w:eastAsia="宋体" w:cs="宋体"/>
          <w:b/>
          <w:bCs/>
          <w:i w:val="0"/>
          <w:iCs w:val="0"/>
          <w:color w:val="000000"/>
          <w:sz w:val="28"/>
          <w:szCs w:val="28"/>
          <w:highlight w:val="none"/>
          <w:lang w:val="en-US" w:eastAsia="zh-CN"/>
        </w:rPr>
        <w:t>32、履约验收</w:t>
      </w:r>
    </w:p>
    <w:p w14:paraId="6902C909">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lang w:val="en-US" w:eastAsia="zh-CN"/>
        </w:rPr>
      </w:pPr>
      <w:r>
        <w:rPr>
          <w:rFonts w:hint="eastAsia" w:ascii="宋体" w:hAnsi="宋体" w:eastAsia="宋体" w:cs="宋体"/>
          <w:b w:val="0"/>
          <w:bCs w:val="0"/>
          <w:i w:val="0"/>
          <w:iCs w:val="0"/>
          <w:color w:val="000000"/>
          <w:sz w:val="24"/>
          <w:szCs w:val="24"/>
          <w:highlight w:val="none"/>
          <w:lang w:val="en-US" w:eastAsia="zh-CN"/>
        </w:rPr>
        <w:t>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p>
    <w:p w14:paraId="7DF00737">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i w:val="0"/>
          <w:iCs w:val="0"/>
          <w:color w:val="000000"/>
          <w:sz w:val="24"/>
          <w:szCs w:val="24"/>
          <w:highlight w:val="none"/>
          <w:lang w:val="en-US" w:eastAsia="zh-CN"/>
        </w:rPr>
        <w:t>32.2本项目履约验收要求详见第三章 合同文本。</w:t>
      </w:r>
    </w:p>
    <w:p w14:paraId="0B2F174F">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rPr>
      </w:pPr>
      <w:r>
        <w:rPr>
          <w:rFonts w:hint="eastAsia" w:ascii="宋体" w:hAnsi="宋体" w:eastAsia="宋体" w:cs="宋体"/>
          <w:b/>
          <w:bCs/>
          <w:i w:val="0"/>
          <w:iCs w:val="0"/>
          <w:color w:val="000000"/>
          <w:sz w:val="28"/>
          <w:szCs w:val="28"/>
          <w:highlight w:val="none"/>
          <w:lang w:val="en-US" w:eastAsia="zh-CN"/>
        </w:rPr>
        <w:t>33、标的物的追加</w:t>
      </w:r>
    </w:p>
    <w:p w14:paraId="410622CA">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.1政府采购合同履行中，采购人需追加与合同标的相同的</w:t>
      </w:r>
      <w:r>
        <w:rPr>
          <w:rFonts w:hint="eastAsia" w:ascii="宋体" w:hAnsi="宋体" w:eastAsia="宋体" w:cs="宋体"/>
          <w:color w:val="000000"/>
          <w:sz w:val="24"/>
          <w:szCs w:val="24"/>
          <w:highlight w:val="none"/>
          <w:lang w:val="en-US" w:eastAsia="zh-CN"/>
        </w:rPr>
        <w:t>工程、</w:t>
      </w:r>
      <w:r>
        <w:rPr>
          <w:rFonts w:hint="eastAsia" w:ascii="宋体" w:hAnsi="宋体" w:eastAsia="宋体" w:cs="宋体"/>
          <w:color w:val="000000"/>
          <w:sz w:val="24"/>
          <w:szCs w:val="24"/>
          <w:highlight w:val="none"/>
        </w:rPr>
        <w:t>货物、服务（包含与</w:t>
      </w:r>
      <w:r>
        <w:rPr>
          <w:rFonts w:hint="eastAsia" w:ascii="宋体" w:hAnsi="宋体" w:eastAsia="宋体" w:cs="宋体"/>
          <w:color w:val="000000"/>
          <w:sz w:val="24"/>
          <w:szCs w:val="24"/>
          <w:highlight w:val="none"/>
          <w:lang w:val="en-US" w:eastAsia="zh-CN"/>
        </w:rPr>
        <w:t>工程</w:t>
      </w:r>
      <w:r>
        <w:rPr>
          <w:rFonts w:hint="eastAsia" w:ascii="宋体" w:hAnsi="宋体" w:eastAsia="宋体" w:cs="宋体"/>
          <w:color w:val="000000"/>
          <w:sz w:val="24"/>
          <w:szCs w:val="24"/>
          <w:highlight w:val="none"/>
        </w:rPr>
        <w:t>相关的服务及与</w:t>
      </w:r>
      <w:r>
        <w:rPr>
          <w:rFonts w:hint="eastAsia" w:ascii="宋体" w:hAnsi="宋体" w:eastAsia="宋体" w:cs="宋体"/>
          <w:color w:val="000000"/>
          <w:sz w:val="24"/>
          <w:szCs w:val="24"/>
          <w:highlight w:val="none"/>
          <w:lang w:val="en-US" w:eastAsia="zh-CN"/>
        </w:rPr>
        <w:t>工程</w:t>
      </w:r>
      <w:r>
        <w:rPr>
          <w:rFonts w:hint="eastAsia" w:ascii="宋体" w:hAnsi="宋体" w:eastAsia="宋体" w:cs="宋体"/>
          <w:color w:val="000000"/>
          <w:sz w:val="24"/>
          <w:szCs w:val="24"/>
          <w:highlight w:val="none"/>
        </w:rPr>
        <w:t>相关的货物）的，在不改变合同其他条款的前提下，可以与成交供应商协商签订补充合同，但所有补充合同的采购金额不超过原合同金额10%。</w:t>
      </w:r>
    </w:p>
    <w:p w14:paraId="1A44339E">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rPr>
      </w:pPr>
      <w:bookmarkStart w:id="96" w:name="_Toc16938558"/>
      <w:bookmarkStart w:id="97" w:name="_Toc513029242"/>
      <w:bookmarkStart w:id="98" w:name="_Toc479757207"/>
      <w:bookmarkStart w:id="99" w:name="_Toc20823314"/>
      <w:bookmarkStart w:id="100" w:name="_Toc120614221"/>
      <w:r>
        <w:rPr>
          <w:rFonts w:hint="eastAsia" w:ascii="宋体" w:hAnsi="宋体" w:eastAsia="宋体" w:cs="宋体"/>
          <w:b/>
          <w:bCs/>
          <w:i w:val="0"/>
          <w:iCs w:val="0"/>
          <w:color w:val="000000"/>
          <w:sz w:val="28"/>
          <w:szCs w:val="28"/>
          <w:highlight w:val="none"/>
          <w:lang w:val="en-US" w:eastAsia="zh-CN"/>
        </w:rPr>
        <w:t>34、政府采购履约资金扶持政策</w:t>
      </w:r>
      <w:bookmarkEnd w:id="96"/>
      <w:bookmarkEnd w:id="97"/>
      <w:bookmarkEnd w:id="98"/>
      <w:bookmarkEnd w:id="99"/>
      <w:bookmarkEnd w:id="100"/>
    </w:p>
    <w:p w14:paraId="7707EE1E">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成交供应商可凭政府采购合同办理融资贷款，详情请见江苏政府采购网“政采贷”专栏。</w:t>
      </w:r>
    </w:p>
    <w:p w14:paraId="3207B7BD">
      <w:pPr>
        <w:pageBreakBefore w:val="0"/>
        <w:widowControl w:val="0"/>
        <w:shd w:val="clear" w:color="auto" w:fill="auto"/>
        <w:tabs>
          <w:tab w:val="left" w:pos="900"/>
        </w:tabs>
        <w:spacing w:line="360" w:lineRule="auto"/>
        <w:jc w:val="center"/>
        <w:outlineLvl w:val="0"/>
        <w:rPr>
          <w:rFonts w:hint="eastAsia" w:ascii="宋体" w:hAnsi="宋体" w:eastAsia="宋体" w:cs="宋体"/>
          <w:b/>
          <w:bCs/>
          <w:sz w:val="28"/>
          <w:szCs w:val="28"/>
          <w:highlight w:val="none"/>
          <w:lang w:val="en-US" w:eastAsia="zh-CN"/>
        </w:rPr>
      </w:pPr>
      <w:bookmarkStart w:id="101" w:name="_Toc11232"/>
      <w:r>
        <w:rPr>
          <w:rFonts w:hint="eastAsia" w:ascii="宋体" w:hAnsi="宋体" w:eastAsia="宋体" w:cs="宋体"/>
          <w:b/>
          <w:bCs/>
          <w:sz w:val="28"/>
          <w:szCs w:val="28"/>
          <w:highlight w:val="none"/>
          <w:lang w:val="en-US" w:eastAsia="zh-CN"/>
        </w:rPr>
        <w:t>九、政策功能</w:t>
      </w:r>
      <w:bookmarkEnd w:id="101"/>
    </w:p>
    <w:p w14:paraId="17C6A4F4">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rPr>
      </w:pPr>
      <w:r>
        <w:rPr>
          <w:rFonts w:hint="eastAsia" w:ascii="宋体" w:hAnsi="宋体" w:eastAsia="宋体" w:cs="宋体"/>
          <w:b/>
          <w:bCs/>
          <w:i w:val="0"/>
          <w:iCs w:val="0"/>
          <w:color w:val="000000"/>
          <w:sz w:val="28"/>
          <w:szCs w:val="28"/>
          <w:highlight w:val="none"/>
          <w:lang w:val="en-US" w:eastAsia="zh-CN"/>
        </w:rPr>
        <w:t>35、支持中小企业发展</w:t>
      </w:r>
    </w:p>
    <w:p w14:paraId="26B3145A">
      <w:pPr>
        <w:pageBreakBefore w:val="0"/>
        <w:widowControl w:val="0"/>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35.</w:t>
      </w:r>
      <w:r>
        <w:rPr>
          <w:rFonts w:hint="eastAsia" w:ascii="宋体" w:hAnsi="宋体" w:eastAsia="宋体" w:cs="宋体"/>
          <w:color w:val="000000"/>
          <w:sz w:val="24"/>
          <w:highlight w:val="none"/>
        </w:rPr>
        <w:t>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p>
    <w:p w14:paraId="21BA0234">
      <w:pPr>
        <w:pageBreakBefore w:val="0"/>
        <w:widowControl w:val="0"/>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35.2</w:t>
      </w:r>
      <w:r>
        <w:rPr>
          <w:rFonts w:hint="eastAsia" w:ascii="宋体" w:hAnsi="宋体" w:eastAsia="宋体" w:cs="宋体"/>
          <w:color w:val="000000"/>
          <w:sz w:val="24"/>
          <w:highlight w:val="none"/>
        </w:rPr>
        <w:t>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在工程采购项目中，工程由中小企业承建，即工程施工单位为中小企业；</w:t>
      </w:r>
      <w:r>
        <w:rPr>
          <w:rFonts w:hint="eastAsia" w:ascii="宋体" w:hAnsi="宋体" w:eastAsia="宋体" w:cs="宋体"/>
          <w:color w:val="000000"/>
          <w:sz w:val="24"/>
          <w:highlight w:val="none"/>
        </w:rPr>
        <w:t>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067C2BD7">
      <w:pPr>
        <w:pageBreakBefore w:val="0"/>
        <w:widowControl w:val="0"/>
        <w:shd w:val="clear" w:color="auto" w:fill="auto"/>
        <w:spacing w:line="360" w:lineRule="auto"/>
        <w:ind w:firstLine="482"/>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35.3</w:t>
      </w:r>
      <w:r>
        <w:rPr>
          <w:rFonts w:hint="eastAsia" w:ascii="宋体" w:hAnsi="宋体" w:eastAsia="宋体" w:cs="宋体"/>
          <w:color w:val="000000"/>
          <w:sz w:val="24"/>
          <w:highlight w:val="none"/>
        </w:rPr>
        <w:t>本项目专门面向中小企业采购，参加本项目政府采购活动的供应商应当提供的材料：</w:t>
      </w:r>
    </w:p>
    <w:p w14:paraId="23620667">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1、供应商为小型企业、微型企业的，提供《</w:t>
      </w:r>
      <w:r>
        <w:rPr>
          <w:rFonts w:hint="eastAsia" w:ascii="宋体" w:hAnsi="宋体" w:eastAsia="宋体" w:cs="宋体"/>
          <w:b w:val="0"/>
          <w:bCs w:val="0"/>
          <w:color w:val="000000"/>
          <w:sz w:val="24"/>
          <w:highlight w:val="none"/>
          <w:lang w:val="en-US" w:eastAsia="zh-CN"/>
        </w:rPr>
        <w:t>中小微企业声明函</w:t>
      </w:r>
      <w:r>
        <w:rPr>
          <w:rFonts w:hint="eastAsia" w:ascii="宋体" w:hAnsi="宋体" w:eastAsia="宋体" w:cs="宋体"/>
          <w:b w:val="0"/>
          <w:bCs w:val="0"/>
          <w:color w:val="000000"/>
          <w:sz w:val="24"/>
          <w:highlight w:val="none"/>
          <w:lang w:val="en-US"/>
        </w:rPr>
        <w:t>》（第</w:t>
      </w:r>
      <w:r>
        <w:rPr>
          <w:rFonts w:hint="eastAsia" w:ascii="宋体" w:hAnsi="宋体" w:eastAsia="宋体" w:cs="宋体"/>
          <w:b w:val="0"/>
          <w:bCs w:val="0"/>
          <w:color w:val="000000"/>
          <w:sz w:val="24"/>
          <w:highlight w:val="none"/>
          <w:lang w:val="en-US" w:eastAsia="zh-CN"/>
        </w:rPr>
        <w:t>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响应</w:t>
      </w:r>
      <w:r>
        <w:rPr>
          <w:rFonts w:hint="eastAsia" w:ascii="宋体" w:hAnsi="宋体" w:eastAsia="宋体" w:cs="宋体"/>
          <w:b w:val="0"/>
          <w:bCs w:val="0"/>
          <w:color w:val="000000"/>
          <w:sz w:val="24"/>
          <w:highlight w:val="none"/>
          <w:lang w:val="en-US"/>
        </w:rPr>
        <w:t>文件格式）。</w:t>
      </w:r>
    </w:p>
    <w:p w14:paraId="7281BE0B">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八</w:t>
      </w:r>
      <w:r>
        <w:rPr>
          <w:rFonts w:hint="eastAsia" w:ascii="宋体" w:hAnsi="宋体" w:eastAsia="宋体" w:cs="宋体"/>
          <w:b w:val="0"/>
          <w:bCs w:val="0"/>
          <w:color w:val="000000"/>
          <w:sz w:val="24"/>
          <w:highlight w:val="none"/>
          <w:lang w:val="en-US"/>
        </w:rPr>
        <w:t>章 响应文件格式）。</w:t>
      </w:r>
    </w:p>
    <w:p w14:paraId="2120824D">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301862A8">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w:t>
      </w:r>
    </w:p>
    <w:p w14:paraId="5B6DAD91">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rPr>
      </w:pPr>
      <w:r>
        <w:rPr>
          <w:rFonts w:hint="eastAsia" w:ascii="宋体" w:hAnsi="宋体" w:eastAsia="宋体" w:cs="宋体"/>
          <w:b/>
          <w:bCs/>
          <w:i w:val="0"/>
          <w:iCs w:val="0"/>
          <w:color w:val="000000"/>
          <w:sz w:val="28"/>
          <w:szCs w:val="28"/>
          <w:highlight w:val="none"/>
          <w:lang w:val="en-US" w:eastAsia="zh-CN"/>
        </w:rPr>
        <w:t>36、绿色发展</w:t>
      </w:r>
    </w:p>
    <w:p w14:paraId="618E8922">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w:t>
      </w:r>
      <w:r>
        <w:rPr>
          <w:rFonts w:hint="eastAsia" w:ascii="宋体" w:hAnsi="宋体" w:eastAsia="宋体" w:cs="宋体"/>
          <w:b w:val="0"/>
          <w:bCs w:val="0"/>
          <w:color w:val="000000"/>
          <w:sz w:val="24"/>
          <w:highlight w:val="none"/>
          <w:lang w:val="en-US" w:eastAsia="zh-CN"/>
        </w:rPr>
        <w:t>6</w:t>
      </w:r>
      <w:r>
        <w:rPr>
          <w:rFonts w:hint="eastAsia" w:ascii="宋体" w:hAnsi="宋体" w:eastAsia="宋体" w:cs="宋体"/>
          <w:b w:val="0"/>
          <w:bCs w:val="0"/>
          <w:color w:val="000000"/>
          <w:sz w:val="24"/>
          <w:highlight w:val="none"/>
          <w:lang w:val="en-US"/>
        </w:rPr>
        <w:t>.1本项目执行《关于印发环境标志产品政府采购品目清单的通知》（财库〔2019〕18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p>
    <w:p w14:paraId="18F2EFEC">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w:t>
      </w:r>
      <w:r>
        <w:rPr>
          <w:rFonts w:hint="eastAsia" w:ascii="宋体" w:hAnsi="宋体" w:eastAsia="宋体" w:cs="宋体"/>
          <w:b w:val="0"/>
          <w:bCs w:val="0"/>
          <w:color w:val="000000"/>
          <w:sz w:val="24"/>
          <w:highlight w:val="none"/>
          <w:lang w:val="en-US" w:eastAsia="zh-CN"/>
        </w:rPr>
        <w:t>6</w:t>
      </w:r>
      <w:r>
        <w:rPr>
          <w:rFonts w:hint="eastAsia" w:ascii="宋体" w:hAnsi="宋体" w:eastAsia="宋体" w:cs="宋体"/>
          <w:b w:val="0"/>
          <w:bCs w:val="0"/>
          <w:color w:val="000000"/>
          <w:sz w:val="24"/>
          <w:highlight w:val="none"/>
          <w:lang w:val="en-US"/>
        </w:rPr>
        <w:t>.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14:paraId="0E6AE24A">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w:t>
      </w:r>
      <w:r>
        <w:rPr>
          <w:rFonts w:hint="eastAsia" w:ascii="宋体" w:hAnsi="宋体" w:eastAsia="宋体" w:cs="宋体"/>
          <w:b w:val="0"/>
          <w:bCs w:val="0"/>
          <w:color w:val="000000"/>
          <w:sz w:val="24"/>
          <w:highlight w:val="none"/>
          <w:lang w:val="en-US" w:eastAsia="zh-CN"/>
        </w:rPr>
        <w:t>6</w:t>
      </w:r>
      <w:r>
        <w:rPr>
          <w:rFonts w:hint="eastAsia" w:ascii="宋体" w:hAnsi="宋体" w:eastAsia="宋体" w:cs="宋体"/>
          <w:b w:val="0"/>
          <w:bCs w:val="0"/>
          <w:color w:val="000000"/>
          <w:sz w:val="24"/>
          <w:highlight w:val="none"/>
          <w:lang w:val="en-US"/>
        </w:rPr>
        <w:t>.3落实挥发性有机化合物（VOCs）治理要求，政府采购项目中涉及涂料、胶黏剂、</w:t>
      </w:r>
    </w:p>
    <w:p w14:paraId="33C46C15">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油墨、清洗剂等挥发性有机物产品的，属于强制性标准的，供应商须执行国家和我省 VOCs含量限制标准；供应商优先使用低挥发性原辅材料，将使用低 VOCs 含量的涂料、胶黏剂等纳入政府采购合同条款。</w:t>
      </w:r>
    </w:p>
    <w:p w14:paraId="45C31C17">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9"/>
        <w:rPr>
          <w:rFonts w:hint="eastAsia" w:ascii="宋体" w:hAnsi="宋体" w:eastAsia="宋体" w:cs="宋体"/>
          <w:b/>
          <w:bCs/>
          <w:i w:val="0"/>
          <w:iCs w:val="0"/>
          <w:color w:val="000000"/>
          <w:sz w:val="28"/>
          <w:szCs w:val="28"/>
          <w:highlight w:val="none"/>
          <w:lang w:val="en-US" w:eastAsia="zh-CN"/>
        </w:rPr>
      </w:pPr>
      <w:r>
        <w:rPr>
          <w:rFonts w:hint="eastAsia" w:ascii="宋体" w:hAnsi="宋体" w:eastAsia="宋体" w:cs="宋体"/>
          <w:b/>
          <w:bCs/>
          <w:i w:val="0"/>
          <w:iCs w:val="0"/>
          <w:color w:val="000000"/>
          <w:sz w:val="28"/>
          <w:szCs w:val="28"/>
          <w:highlight w:val="none"/>
          <w:lang w:val="en-US" w:eastAsia="zh-CN"/>
        </w:rPr>
        <w:t>37、政府采购需求标准</w:t>
      </w:r>
    </w:p>
    <w:p w14:paraId="672497F8">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eastAsia="zh-CN"/>
        </w:rPr>
        <w:t>37</w:t>
      </w:r>
      <w:r>
        <w:rPr>
          <w:rFonts w:hint="eastAsia" w:ascii="宋体" w:hAnsi="宋体" w:eastAsia="宋体" w:cs="宋体"/>
          <w:b w:val="0"/>
          <w:bCs w:val="0"/>
          <w:color w:val="000000"/>
          <w:sz w:val="24"/>
          <w:highlight w:val="none"/>
          <w:lang w:val="en-US"/>
        </w:rPr>
        <w:t>.1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07B2FBB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jc w:val="both"/>
      </w:pPr>
      <w:r>
        <w:rPr>
          <w:rFonts w:ascii="宋体" w:hAnsi="宋体" w:eastAsia="宋体" w:cs="宋体"/>
          <w:b/>
          <w:color w:val="000000"/>
          <w:sz w:val="28"/>
        </w:rPr>
        <w:t>38、采购本国产品的支持政策</w:t>
      </w:r>
    </w:p>
    <w:p w14:paraId="3A4B043D">
      <w:pPr>
        <w:keepNext w:val="0"/>
        <w:keepLines w:val="0"/>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667194F0">
      <w:pPr>
        <w:keepNext w:val="0"/>
        <w:keepLines w:val="0"/>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39273A8">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38.3 供应商需按照招标文件的要求提供《关于符合本国产品标准的声明函》（以下简称《声明函》），如不提供将不享受本国产品价格评审优惠。</w:t>
      </w:r>
    </w:p>
    <w:p w14:paraId="5B404267">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075518F">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2612330">
      <w:pPr>
        <w:pageBreakBefore w:val="0"/>
        <w:widowControl w:val="0"/>
        <w:shd w:val="clear" w:color="auto" w:fill="auto"/>
        <w:spacing w:line="360" w:lineRule="auto"/>
        <w:ind w:firstLine="482"/>
        <w:jc w:val="left"/>
        <w:rPr>
          <w:rFonts w:hint="eastAsia" w:ascii="宋体" w:hAnsi="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rPr>
        <w:t>38.6 政府采购中的本国产品标准及其他未尽事宜详见《国务院办公厅关于在政府采购中实施本国产品标准及相关政策的通知》（国办发〔2025〕34号）</w:t>
      </w:r>
      <w:r>
        <w:rPr>
          <w:rFonts w:hint="eastAsia" w:ascii="宋体" w:hAnsi="宋体" w:cs="宋体"/>
          <w:b w:val="0"/>
          <w:bCs w:val="0"/>
          <w:color w:val="000000"/>
          <w:sz w:val="24"/>
          <w:highlight w:val="none"/>
          <w:lang w:val="en-US" w:eastAsia="zh-CN"/>
        </w:rPr>
        <w:t>。</w:t>
      </w:r>
    </w:p>
    <w:p w14:paraId="1DF6A75D">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9"/>
        <w:rPr>
          <w:rFonts w:hint="eastAsia" w:ascii="宋体" w:hAnsi="宋体" w:eastAsia="宋体" w:cs="宋体"/>
          <w:b/>
          <w:bCs/>
          <w:i w:val="0"/>
          <w:iCs w:val="0"/>
          <w:color w:val="000000"/>
          <w:sz w:val="28"/>
          <w:szCs w:val="28"/>
          <w:highlight w:val="none"/>
          <w:lang w:val="en-US" w:eastAsia="zh-CN"/>
        </w:rPr>
      </w:pPr>
      <w:r>
        <w:rPr>
          <w:rFonts w:hint="eastAsia" w:ascii="宋体" w:hAnsi="宋体" w:eastAsia="宋体" w:cs="宋体"/>
          <w:b/>
          <w:bCs/>
          <w:i w:val="0"/>
          <w:iCs w:val="0"/>
          <w:color w:val="000000"/>
          <w:sz w:val="28"/>
          <w:szCs w:val="28"/>
          <w:highlight w:val="none"/>
          <w:lang w:val="en-US" w:eastAsia="zh-CN"/>
        </w:rPr>
        <w:t>39、其它事项</w:t>
      </w:r>
    </w:p>
    <w:p w14:paraId="2DA187FD">
      <w:pPr>
        <w:pageBreakBefore w:val="0"/>
        <w:widowControl w:val="0"/>
        <w:pBdr>
          <w:top w:val="none" w:color="000000" w:sz="0" w:space="0"/>
          <w:left w:val="none" w:color="000000" w:sz="0" w:space="0"/>
          <w:bottom w:val="none" w:color="000000" w:sz="0" w:space="0"/>
          <w:right w:val="none" w:color="000000" w:sz="0" w:space="0"/>
        </w:pBdr>
        <w:shd w:val="clear" w:color="auto" w:fill="auto"/>
        <w:spacing w:before="0" w:after="0" w:line="360" w:lineRule="auto"/>
        <w:ind w:left="0" w:right="0" w:firstLine="48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39.</w:t>
      </w:r>
      <w:r>
        <w:rPr>
          <w:rFonts w:hint="eastAsia" w:ascii="宋体" w:hAnsi="宋体" w:cs="宋体"/>
          <w:color w:val="000000"/>
          <w:sz w:val="24"/>
          <w:highlight w:val="none"/>
          <w:lang w:val="en-US" w:eastAsia="zh-CN"/>
        </w:rPr>
        <w:t>1</w:t>
      </w:r>
      <w:r>
        <w:rPr>
          <w:rFonts w:hint="eastAsia" w:ascii="宋体" w:hAnsi="宋体" w:eastAsia="宋体" w:cs="宋体"/>
          <w:color w:val="000000"/>
          <w:sz w:val="24"/>
          <w:highlight w:val="none"/>
        </w:rPr>
        <w:t>解释权</w:t>
      </w:r>
    </w:p>
    <w:p w14:paraId="6CC0D382">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本招标文件根据《中华人民共和国政府采购法》《中华人民共和国政府采购法实施条例》《政府采购竞争性磋商采购方式管理暂行办法》及相关法律法规编制，解释权归代理机构。</w:t>
      </w:r>
    </w:p>
    <w:p w14:paraId="35E8F3AE">
      <w:pPr>
        <w:pStyle w:val="243"/>
        <w:pageBreakBefore w:val="0"/>
        <w:widowControl w:val="0"/>
        <w:numPr>
          <w:ilvl w:val="0"/>
          <w:numId w:val="0"/>
        </w:numPr>
        <w:spacing w:before="0" w:after="0" w:line="360" w:lineRule="auto"/>
        <w:jc w:val="center"/>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十、质疑</w:t>
      </w:r>
    </w:p>
    <w:p w14:paraId="29AA1F8C">
      <w:pPr>
        <w:pStyle w:val="244"/>
        <w:pageBreakBefore w:val="0"/>
        <w:widowControl w:val="0"/>
        <w:spacing w:before="0" w:after="0" w:line="360" w:lineRule="auto"/>
        <w:ind w:left="0" w:firstLine="0"/>
        <w:jc w:val="left"/>
        <w:rPr>
          <w:rFonts w:hint="eastAsia" w:ascii="宋体" w:hAnsi="宋体" w:eastAsia="宋体" w:cs="宋体"/>
          <w:b/>
          <w:bCs/>
          <w:i w:val="0"/>
          <w:iCs w:val="0"/>
          <w:color w:val="000000"/>
          <w:sz w:val="28"/>
          <w:szCs w:val="28"/>
          <w:highlight w:val="none"/>
          <w:lang w:val="en-US" w:eastAsia="zh-CN" w:bidi="ar-SA"/>
        </w:rPr>
      </w:pPr>
      <w:r>
        <w:rPr>
          <w:rFonts w:hint="eastAsia" w:ascii="宋体" w:hAnsi="宋体" w:cs="宋体"/>
          <w:b/>
          <w:bCs/>
          <w:i w:val="0"/>
          <w:iCs w:val="0"/>
          <w:color w:val="000000"/>
          <w:sz w:val="28"/>
          <w:szCs w:val="28"/>
          <w:highlight w:val="none"/>
          <w:lang w:val="en-US" w:eastAsia="zh-CN" w:bidi="ar-SA"/>
        </w:rPr>
        <w:t>40</w:t>
      </w:r>
      <w:r>
        <w:rPr>
          <w:rFonts w:hint="eastAsia" w:ascii="宋体" w:hAnsi="宋体" w:eastAsia="宋体" w:cs="宋体"/>
          <w:b/>
          <w:bCs/>
          <w:i w:val="0"/>
          <w:iCs w:val="0"/>
          <w:color w:val="000000"/>
          <w:sz w:val="28"/>
          <w:szCs w:val="28"/>
          <w:highlight w:val="none"/>
          <w:lang w:val="en-US" w:eastAsia="zh-CN" w:bidi="ar-SA"/>
        </w:rPr>
        <w:t>、质疑提出</w:t>
      </w:r>
    </w:p>
    <w:p w14:paraId="15196C8A">
      <w:pPr>
        <w:pageBreakBefore w:val="0"/>
        <w:widowControl w:val="0"/>
        <w:spacing w:line="360" w:lineRule="auto"/>
        <w:ind w:firstLine="480"/>
        <w:jc w:val="left"/>
        <w:rPr>
          <w:color w:val="000000"/>
          <w:sz w:val="24"/>
        </w:rPr>
      </w:pPr>
      <w:r>
        <w:rPr>
          <w:rFonts w:hint="eastAsia"/>
          <w:color w:val="000000"/>
          <w:sz w:val="24"/>
          <w:lang w:val="en-US" w:eastAsia="zh-CN"/>
        </w:rPr>
        <w:t>40</w:t>
      </w:r>
      <w:r>
        <w:rPr>
          <w:rFonts w:hint="eastAsia"/>
          <w:color w:val="000000"/>
          <w:sz w:val="24"/>
        </w:rPr>
        <w:t>.1 提出质疑的供应商应当是参与所质疑项目采购活动的供应商。</w:t>
      </w:r>
    </w:p>
    <w:p w14:paraId="31D5BF91">
      <w:pPr>
        <w:pageBreakBefore w:val="0"/>
        <w:widowControl w:val="0"/>
        <w:spacing w:line="360" w:lineRule="auto"/>
        <w:ind w:firstLine="480"/>
        <w:jc w:val="left"/>
        <w:rPr>
          <w:color w:val="000000"/>
          <w:sz w:val="24"/>
        </w:rPr>
      </w:pPr>
      <w:r>
        <w:rPr>
          <w:rFonts w:hint="eastAsia"/>
          <w:color w:val="000000"/>
          <w:sz w:val="24"/>
          <w:lang w:val="en-US" w:eastAsia="zh-CN"/>
        </w:rPr>
        <w:t>40</w:t>
      </w:r>
      <w:r>
        <w:rPr>
          <w:rFonts w:hint="eastAsia"/>
          <w:color w:val="000000"/>
          <w:sz w:val="24"/>
        </w:rPr>
        <w:t>.2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p>
    <w:p w14:paraId="38508581">
      <w:pPr>
        <w:pageBreakBefore w:val="0"/>
        <w:widowControl w:val="0"/>
        <w:spacing w:line="360" w:lineRule="auto"/>
        <w:ind w:firstLine="480"/>
        <w:jc w:val="left"/>
        <w:rPr>
          <w:color w:val="000000"/>
          <w:sz w:val="24"/>
        </w:rPr>
      </w:pPr>
      <w:r>
        <w:rPr>
          <w:rFonts w:hint="eastAsia"/>
          <w:color w:val="000000"/>
          <w:sz w:val="24"/>
          <w:lang w:val="en-US" w:eastAsia="zh-CN"/>
        </w:rPr>
        <w:t>40</w:t>
      </w:r>
      <w:r>
        <w:rPr>
          <w:rFonts w:hint="eastAsia"/>
          <w:color w:val="000000"/>
          <w:sz w:val="24"/>
        </w:rPr>
        <w:t>.3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6AA4ADF1">
      <w:pPr>
        <w:pageBreakBefore w:val="0"/>
        <w:widowControl w:val="0"/>
        <w:spacing w:line="360" w:lineRule="auto"/>
        <w:ind w:firstLine="480"/>
        <w:jc w:val="left"/>
        <w:rPr>
          <w:color w:val="000000"/>
          <w:sz w:val="24"/>
        </w:rPr>
      </w:pPr>
      <w:r>
        <w:rPr>
          <w:rFonts w:hint="eastAsia"/>
          <w:color w:val="000000"/>
          <w:sz w:val="24"/>
          <w:lang w:val="en-US" w:eastAsia="zh-CN"/>
        </w:rPr>
        <w:t>40</w:t>
      </w:r>
      <w:r>
        <w:rPr>
          <w:rFonts w:hint="eastAsia"/>
          <w:color w:val="000000"/>
          <w:sz w:val="24"/>
        </w:rPr>
        <w:t>.4 质疑函的接收方式为供应商书面原件提交。联系部门、联系电话和通讯地址详见本磋商文件“竞争性磋商采购邀请”。质疑实行实名制，不得进行虚假、恶意质疑。</w:t>
      </w:r>
    </w:p>
    <w:p w14:paraId="192C56DD">
      <w:pPr>
        <w:pageBreakBefore w:val="0"/>
        <w:widowControl w:val="0"/>
        <w:spacing w:line="360" w:lineRule="auto"/>
        <w:ind w:firstLine="480"/>
        <w:jc w:val="left"/>
        <w:rPr>
          <w:rFonts w:hint="eastAsia"/>
          <w:color w:val="000000"/>
          <w:sz w:val="24"/>
        </w:rPr>
      </w:pPr>
      <w:r>
        <w:rPr>
          <w:rFonts w:hint="eastAsia"/>
          <w:color w:val="000000"/>
          <w:sz w:val="24"/>
          <w:lang w:val="en-US" w:eastAsia="zh-CN"/>
        </w:rPr>
        <w:t>40</w:t>
      </w:r>
      <w:r>
        <w:rPr>
          <w:rFonts w:hint="eastAsia"/>
          <w:color w:val="000000"/>
          <w:sz w:val="24"/>
        </w:rPr>
        <w:t>.5 质疑函应当使用范本（详见连云港市政府采购交易平台-监管信息-意见反馈）。</w:t>
      </w:r>
    </w:p>
    <w:p w14:paraId="61F2B3CE">
      <w:pPr>
        <w:pageBreakBefore w:val="0"/>
        <w:widowControl w:val="0"/>
        <w:spacing w:line="360" w:lineRule="auto"/>
        <w:ind w:firstLine="480"/>
        <w:jc w:val="left"/>
        <w:rPr>
          <w:rFonts w:hint="eastAsia"/>
          <w:color w:val="000000"/>
          <w:sz w:val="24"/>
        </w:rPr>
      </w:pPr>
      <w:r>
        <w:rPr>
          <w:rFonts w:hint="eastAsia"/>
          <w:color w:val="000000"/>
          <w:sz w:val="24"/>
        </w:rPr>
        <w:t>供应商提出质疑应当提交质疑函和必要的证明材料。应当包括下列内容：</w:t>
      </w:r>
    </w:p>
    <w:p w14:paraId="05CD0BF3">
      <w:pPr>
        <w:pageBreakBefore w:val="0"/>
        <w:widowControl w:val="0"/>
        <w:spacing w:line="360" w:lineRule="auto"/>
        <w:ind w:firstLine="480"/>
        <w:jc w:val="left"/>
        <w:rPr>
          <w:rFonts w:hint="eastAsia"/>
          <w:color w:val="000000"/>
          <w:sz w:val="24"/>
        </w:rPr>
      </w:pPr>
      <w:r>
        <w:rPr>
          <w:rFonts w:hint="eastAsia"/>
          <w:color w:val="000000"/>
          <w:sz w:val="24"/>
        </w:rPr>
        <w:t>（1）供应商的姓名或者名称、地址、邮编、联系人及联系电话；</w:t>
      </w:r>
    </w:p>
    <w:p w14:paraId="5BA147A1">
      <w:pPr>
        <w:pageBreakBefore w:val="0"/>
        <w:widowControl w:val="0"/>
        <w:spacing w:line="360" w:lineRule="auto"/>
        <w:ind w:firstLine="480"/>
        <w:jc w:val="left"/>
        <w:rPr>
          <w:rFonts w:hint="eastAsia"/>
          <w:color w:val="000000"/>
          <w:sz w:val="24"/>
        </w:rPr>
      </w:pPr>
      <w:r>
        <w:rPr>
          <w:rFonts w:hint="eastAsia"/>
          <w:color w:val="000000"/>
          <w:sz w:val="24"/>
        </w:rPr>
        <w:t>（2）质疑项目的名称、编号；</w:t>
      </w:r>
    </w:p>
    <w:p w14:paraId="7B479D7F">
      <w:pPr>
        <w:pageBreakBefore w:val="0"/>
        <w:widowControl w:val="0"/>
        <w:spacing w:line="360" w:lineRule="auto"/>
        <w:ind w:firstLine="480"/>
        <w:jc w:val="left"/>
        <w:rPr>
          <w:rFonts w:hint="eastAsia"/>
          <w:color w:val="000000"/>
          <w:sz w:val="24"/>
        </w:rPr>
      </w:pPr>
      <w:r>
        <w:rPr>
          <w:rFonts w:hint="eastAsia"/>
          <w:color w:val="000000"/>
          <w:sz w:val="24"/>
        </w:rPr>
        <w:t>（3）具体、明确的质疑事项和与质疑事项相关的请求；</w:t>
      </w:r>
    </w:p>
    <w:p w14:paraId="39FEF010">
      <w:pPr>
        <w:pageBreakBefore w:val="0"/>
        <w:widowControl w:val="0"/>
        <w:spacing w:line="360" w:lineRule="auto"/>
        <w:ind w:firstLine="480"/>
        <w:jc w:val="left"/>
        <w:rPr>
          <w:rFonts w:hint="eastAsia"/>
          <w:color w:val="000000"/>
          <w:sz w:val="24"/>
        </w:rPr>
      </w:pPr>
      <w:r>
        <w:rPr>
          <w:rFonts w:hint="eastAsia"/>
          <w:color w:val="000000"/>
          <w:sz w:val="24"/>
        </w:rPr>
        <w:t>（4）事实依据；</w:t>
      </w:r>
    </w:p>
    <w:p w14:paraId="70936573">
      <w:pPr>
        <w:pageBreakBefore w:val="0"/>
        <w:widowControl w:val="0"/>
        <w:spacing w:line="360" w:lineRule="auto"/>
        <w:ind w:firstLine="480"/>
        <w:jc w:val="left"/>
        <w:rPr>
          <w:rFonts w:hint="eastAsia"/>
          <w:color w:val="000000"/>
          <w:sz w:val="24"/>
        </w:rPr>
      </w:pPr>
      <w:r>
        <w:rPr>
          <w:rFonts w:hint="eastAsia"/>
          <w:color w:val="000000"/>
          <w:sz w:val="24"/>
        </w:rPr>
        <w:t>（5）必要的法律依据；</w:t>
      </w:r>
    </w:p>
    <w:p w14:paraId="3B8FDAC0">
      <w:pPr>
        <w:pageBreakBefore w:val="0"/>
        <w:widowControl w:val="0"/>
        <w:spacing w:line="360" w:lineRule="auto"/>
        <w:ind w:firstLine="480"/>
        <w:jc w:val="left"/>
        <w:rPr>
          <w:rFonts w:hint="eastAsia"/>
          <w:color w:val="000000"/>
          <w:sz w:val="24"/>
        </w:rPr>
      </w:pPr>
      <w:r>
        <w:rPr>
          <w:rFonts w:hint="eastAsia"/>
          <w:color w:val="000000"/>
          <w:sz w:val="24"/>
        </w:rPr>
        <w:t>（6）提出质疑的日期；</w:t>
      </w:r>
    </w:p>
    <w:p w14:paraId="15BE2E29">
      <w:pPr>
        <w:pageBreakBefore w:val="0"/>
        <w:widowControl w:val="0"/>
        <w:spacing w:line="360" w:lineRule="auto"/>
        <w:ind w:firstLine="480"/>
        <w:jc w:val="left"/>
        <w:rPr>
          <w:rFonts w:hint="eastAsia"/>
          <w:color w:val="000000"/>
          <w:sz w:val="24"/>
        </w:rPr>
      </w:pPr>
      <w:r>
        <w:rPr>
          <w:rFonts w:hint="eastAsia"/>
          <w:color w:val="000000"/>
          <w:sz w:val="24"/>
        </w:rPr>
        <w:t>（7）必要的证明材料；</w:t>
      </w:r>
    </w:p>
    <w:p w14:paraId="3462D7BD">
      <w:pPr>
        <w:pageBreakBefore w:val="0"/>
        <w:widowControl w:val="0"/>
        <w:spacing w:line="360" w:lineRule="auto"/>
        <w:ind w:firstLine="480"/>
        <w:jc w:val="left"/>
        <w:rPr>
          <w:rFonts w:hint="eastAsia"/>
          <w:color w:val="000000"/>
          <w:sz w:val="24"/>
        </w:rPr>
      </w:pPr>
      <w:r>
        <w:rPr>
          <w:rFonts w:hint="eastAsia"/>
          <w:color w:val="000000"/>
          <w:sz w:val="24"/>
        </w:rPr>
        <w:t>（8）采购文件(交易文件)下载回执函；</w:t>
      </w:r>
    </w:p>
    <w:p w14:paraId="13EC5204">
      <w:pPr>
        <w:pageBreakBefore w:val="0"/>
        <w:widowControl w:val="0"/>
        <w:spacing w:line="360" w:lineRule="auto"/>
        <w:ind w:firstLine="480"/>
        <w:jc w:val="left"/>
        <w:rPr>
          <w:rFonts w:hint="eastAsia"/>
          <w:color w:val="000000"/>
          <w:sz w:val="24"/>
        </w:rPr>
      </w:pPr>
      <w:r>
        <w:rPr>
          <w:rFonts w:hint="eastAsia"/>
          <w:color w:val="000000"/>
          <w:sz w:val="24"/>
        </w:rPr>
        <w:t>（9）营业执照复印件及法定代表人授权委托书、法定代表人身份证复印件、委托代理人身份证复印件。</w:t>
      </w:r>
    </w:p>
    <w:p w14:paraId="6E831453">
      <w:pPr>
        <w:pageBreakBefore w:val="0"/>
        <w:widowControl w:val="0"/>
        <w:spacing w:line="360" w:lineRule="auto"/>
        <w:ind w:firstLine="480"/>
        <w:jc w:val="left"/>
        <w:rPr>
          <w:color w:val="000000"/>
          <w:sz w:val="24"/>
        </w:rPr>
      </w:pPr>
      <w:r>
        <w:rPr>
          <w:rFonts w:hint="eastAsia"/>
          <w:color w:val="000000"/>
          <w:sz w:val="24"/>
        </w:rPr>
        <w:t>供应商为自然人的，应当由本人签字；供应商为法人或者其他组织的，应当由法定代表人、主要负责人，或者其委托代理人签字或者盖章，并加盖单位公章。</w:t>
      </w:r>
    </w:p>
    <w:p w14:paraId="03A93C46">
      <w:pPr>
        <w:pStyle w:val="244"/>
        <w:pageBreakBefore w:val="0"/>
        <w:widowControl w:val="0"/>
        <w:spacing w:before="0" w:after="0" w:line="360" w:lineRule="auto"/>
        <w:ind w:left="0" w:firstLine="0"/>
        <w:jc w:val="left"/>
        <w:rPr>
          <w:rFonts w:hint="eastAsia" w:ascii="宋体" w:hAnsi="宋体" w:eastAsia="宋体" w:cs="宋体"/>
          <w:b/>
          <w:bCs/>
          <w:i w:val="0"/>
          <w:iCs w:val="0"/>
          <w:color w:val="000000"/>
          <w:sz w:val="28"/>
          <w:szCs w:val="28"/>
          <w:highlight w:val="none"/>
          <w:lang w:val="en-US" w:eastAsia="zh-CN" w:bidi="ar-SA"/>
        </w:rPr>
      </w:pPr>
      <w:r>
        <w:rPr>
          <w:rFonts w:hint="eastAsia" w:ascii="宋体" w:hAnsi="宋体" w:cs="宋体"/>
          <w:b/>
          <w:bCs/>
          <w:i w:val="0"/>
          <w:iCs w:val="0"/>
          <w:color w:val="000000"/>
          <w:sz w:val="28"/>
          <w:szCs w:val="28"/>
          <w:highlight w:val="none"/>
          <w:lang w:val="en-US" w:eastAsia="zh-CN" w:bidi="ar-SA"/>
        </w:rPr>
        <w:t>41</w:t>
      </w:r>
      <w:r>
        <w:rPr>
          <w:rFonts w:hint="eastAsia" w:ascii="宋体" w:hAnsi="宋体" w:eastAsia="宋体" w:cs="宋体"/>
          <w:b/>
          <w:bCs/>
          <w:i w:val="0"/>
          <w:iCs w:val="0"/>
          <w:color w:val="000000"/>
          <w:sz w:val="28"/>
          <w:szCs w:val="28"/>
          <w:highlight w:val="none"/>
          <w:lang w:val="en-US" w:eastAsia="zh-CN" w:bidi="ar-SA"/>
        </w:rPr>
        <w:t>、质疑函的受理和答复</w:t>
      </w:r>
    </w:p>
    <w:p w14:paraId="71DC38F9">
      <w:pPr>
        <w:pageBreakBefore w:val="0"/>
        <w:widowControl w:val="0"/>
        <w:spacing w:line="360" w:lineRule="auto"/>
        <w:ind w:firstLine="480"/>
        <w:jc w:val="left"/>
        <w:rPr>
          <w:color w:val="000000"/>
          <w:sz w:val="24"/>
        </w:rPr>
      </w:pPr>
      <w:r>
        <w:rPr>
          <w:rFonts w:hint="eastAsia"/>
          <w:color w:val="000000"/>
          <w:sz w:val="24"/>
          <w:lang w:val="en-US" w:eastAsia="zh-CN"/>
        </w:rPr>
        <w:t>41</w:t>
      </w:r>
      <w:r>
        <w:rPr>
          <w:rFonts w:hint="eastAsia"/>
          <w:color w:val="000000"/>
          <w:sz w:val="24"/>
        </w:rPr>
        <w:t>.1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p>
    <w:p w14:paraId="2A914EC7">
      <w:pPr>
        <w:pageBreakBefore w:val="0"/>
        <w:widowControl w:val="0"/>
        <w:spacing w:line="360" w:lineRule="auto"/>
        <w:ind w:firstLine="480"/>
        <w:jc w:val="left"/>
        <w:rPr>
          <w:color w:val="000000"/>
          <w:sz w:val="24"/>
        </w:rPr>
      </w:pPr>
      <w:r>
        <w:rPr>
          <w:rFonts w:hint="eastAsia"/>
          <w:color w:val="000000"/>
          <w:sz w:val="24"/>
          <w:lang w:val="en-US" w:eastAsia="zh-CN"/>
        </w:rPr>
        <w:t>41</w:t>
      </w:r>
      <w:r>
        <w:rPr>
          <w:rFonts w:hint="eastAsia"/>
          <w:color w:val="000000"/>
          <w:sz w:val="24"/>
        </w:rPr>
        <w:t>.2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5EA72B79">
      <w:pPr>
        <w:pageBreakBefore w:val="0"/>
        <w:widowControl w:val="0"/>
        <w:spacing w:line="360" w:lineRule="auto"/>
        <w:ind w:firstLine="480"/>
        <w:jc w:val="left"/>
        <w:rPr>
          <w:color w:val="000000"/>
          <w:sz w:val="24"/>
        </w:rPr>
      </w:pPr>
      <w:r>
        <w:rPr>
          <w:rFonts w:hint="eastAsia"/>
          <w:color w:val="000000"/>
          <w:sz w:val="24"/>
          <w:lang w:val="en-US" w:eastAsia="zh-CN"/>
        </w:rPr>
        <w:t>41</w:t>
      </w:r>
      <w:r>
        <w:rPr>
          <w:rFonts w:hint="eastAsia"/>
          <w:color w:val="000000"/>
          <w:sz w:val="24"/>
        </w:rPr>
        <w:t>.3 对不符合质疑要求的，采购人、代理机构有权要求其补充必要的证明材料，质疑供应商未在法定时间内补充必要的证明材料的，视同放弃质疑。</w:t>
      </w:r>
    </w:p>
    <w:p w14:paraId="780C22F4">
      <w:pPr>
        <w:pageBreakBefore w:val="0"/>
        <w:widowControl w:val="0"/>
        <w:spacing w:line="360" w:lineRule="auto"/>
        <w:ind w:firstLine="480"/>
        <w:jc w:val="left"/>
        <w:rPr>
          <w:color w:val="000000"/>
          <w:sz w:val="24"/>
        </w:rPr>
      </w:pPr>
      <w:r>
        <w:rPr>
          <w:rFonts w:hint="eastAsia"/>
          <w:color w:val="000000"/>
          <w:sz w:val="24"/>
          <w:lang w:val="en-US" w:eastAsia="zh-CN"/>
        </w:rPr>
        <w:t>41</w:t>
      </w:r>
      <w:r>
        <w:rPr>
          <w:rFonts w:hint="eastAsia"/>
          <w:color w:val="000000"/>
          <w:sz w:val="24"/>
        </w:rPr>
        <w:t>.4 以下情形的质疑依法不予受理：</w:t>
      </w:r>
    </w:p>
    <w:p w14:paraId="512148B9">
      <w:pPr>
        <w:pageBreakBefore w:val="0"/>
        <w:widowControl w:val="0"/>
        <w:spacing w:line="360" w:lineRule="auto"/>
        <w:ind w:firstLine="480"/>
        <w:jc w:val="left"/>
        <w:rPr>
          <w:color w:val="000000"/>
          <w:sz w:val="24"/>
        </w:rPr>
      </w:pPr>
      <w:r>
        <w:rPr>
          <w:rFonts w:hint="eastAsia"/>
          <w:color w:val="000000"/>
          <w:sz w:val="24"/>
        </w:rPr>
        <w:t>（1）内容不符合《政府采购质疑和投诉办法》第十二条规定的质疑。</w:t>
      </w:r>
    </w:p>
    <w:p w14:paraId="326F3130">
      <w:pPr>
        <w:pageBreakBefore w:val="0"/>
        <w:widowControl w:val="0"/>
        <w:spacing w:line="360" w:lineRule="auto"/>
        <w:ind w:firstLine="480"/>
        <w:jc w:val="left"/>
        <w:rPr>
          <w:color w:val="000000"/>
          <w:sz w:val="24"/>
        </w:rPr>
      </w:pPr>
      <w:r>
        <w:rPr>
          <w:rFonts w:hint="eastAsia"/>
          <w:color w:val="000000"/>
          <w:sz w:val="24"/>
        </w:rPr>
        <w:t>（2）超出政府采购法定期限的质疑。</w:t>
      </w:r>
    </w:p>
    <w:p w14:paraId="3CD9A988">
      <w:pPr>
        <w:pageBreakBefore w:val="0"/>
        <w:widowControl w:val="0"/>
        <w:spacing w:line="360" w:lineRule="auto"/>
        <w:ind w:firstLine="480"/>
        <w:jc w:val="left"/>
        <w:rPr>
          <w:color w:val="000000"/>
          <w:sz w:val="24"/>
        </w:rPr>
      </w:pPr>
      <w:r>
        <w:rPr>
          <w:rFonts w:hint="eastAsia"/>
          <w:color w:val="000000"/>
          <w:sz w:val="24"/>
        </w:rPr>
        <w:t>（3）以传真、电子邮件等方式提交的非原件形式的质疑。</w:t>
      </w:r>
    </w:p>
    <w:p w14:paraId="43B1929C">
      <w:pPr>
        <w:pageBreakBefore w:val="0"/>
        <w:widowControl w:val="0"/>
        <w:spacing w:line="360" w:lineRule="auto"/>
        <w:ind w:firstLine="480"/>
        <w:jc w:val="left"/>
        <w:rPr>
          <w:color w:val="000000"/>
          <w:sz w:val="24"/>
        </w:rPr>
      </w:pPr>
      <w:r>
        <w:rPr>
          <w:rFonts w:hint="eastAsia"/>
          <w:color w:val="000000"/>
          <w:sz w:val="24"/>
        </w:rPr>
        <w:t>（4）未参与采购活动或在采购活动中自身权益未受到损害的供应商提出的质疑。</w:t>
      </w:r>
    </w:p>
    <w:p w14:paraId="329CA3DB">
      <w:pPr>
        <w:pageBreakBefore w:val="0"/>
        <w:widowControl w:val="0"/>
        <w:spacing w:line="360" w:lineRule="auto"/>
        <w:ind w:firstLine="480"/>
        <w:jc w:val="left"/>
        <w:rPr>
          <w:color w:val="000000"/>
          <w:sz w:val="24"/>
        </w:rPr>
      </w:pPr>
      <w:r>
        <w:rPr>
          <w:rFonts w:hint="eastAsia"/>
          <w:color w:val="000000"/>
          <w:sz w:val="24"/>
        </w:rPr>
        <w:t>（5）供应商组成联合体，联合体中任何一方或多方未按要求签字（盖章）、加盖公章的质疑。</w:t>
      </w:r>
    </w:p>
    <w:p w14:paraId="4BF09736">
      <w:pPr>
        <w:pageBreakBefore w:val="0"/>
        <w:widowControl w:val="0"/>
        <w:spacing w:line="360" w:lineRule="auto"/>
        <w:ind w:firstLine="480"/>
        <w:jc w:val="left"/>
        <w:rPr>
          <w:color w:val="000000"/>
          <w:sz w:val="24"/>
        </w:rPr>
      </w:pPr>
      <w:r>
        <w:rPr>
          <w:rFonts w:hint="eastAsia"/>
          <w:color w:val="000000"/>
          <w:sz w:val="24"/>
          <w:lang w:val="en-US" w:eastAsia="zh-CN"/>
        </w:rPr>
        <w:t>41</w:t>
      </w:r>
      <w:r>
        <w:rPr>
          <w:rFonts w:hint="eastAsia"/>
          <w:color w:val="000000"/>
          <w:sz w:val="24"/>
        </w:rPr>
        <w:t>.5 采购人、代理机构依法受理的质疑，将按照政府采购有关规定，在法定期限内作出答复。</w:t>
      </w:r>
    </w:p>
    <w:p w14:paraId="487F2616">
      <w:pPr>
        <w:pStyle w:val="244"/>
        <w:pageBreakBefore w:val="0"/>
        <w:widowControl w:val="0"/>
        <w:spacing w:before="0" w:after="0" w:line="360" w:lineRule="auto"/>
        <w:ind w:left="0" w:firstLine="0"/>
        <w:jc w:val="left"/>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42、质疑处理</w:t>
      </w:r>
    </w:p>
    <w:p w14:paraId="4555A05E">
      <w:pPr>
        <w:pageBreakBefore w:val="0"/>
        <w:widowControl w:val="0"/>
        <w:spacing w:line="360" w:lineRule="auto"/>
        <w:ind w:firstLine="480"/>
        <w:jc w:val="left"/>
        <w:rPr>
          <w:color w:val="000000"/>
          <w:sz w:val="24"/>
        </w:rPr>
      </w:pPr>
      <w:r>
        <w:rPr>
          <w:rFonts w:hint="eastAsia"/>
          <w:color w:val="000000"/>
          <w:sz w:val="24"/>
          <w:lang w:val="en-US" w:eastAsia="zh-CN"/>
        </w:rPr>
        <w:t>42</w:t>
      </w:r>
      <w:r>
        <w:rPr>
          <w:rFonts w:hint="eastAsia"/>
          <w:color w:val="000000"/>
          <w:sz w:val="24"/>
        </w:rPr>
        <w:t>.1 质疑供应商未按照法定程序进行质疑投诉的，视为一般失信行为。</w:t>
      </w:r>
    </w:p>
    <w:p w14:paraId="1C36E62A">
      <w:pPr>
        <w:pageBreakBefore w:val="0"/>
        <w:widowControl w:val="0"/>
        <w:spacing w:line="360" w:lineRule="auto"/>
        <w:ind w:firstLine="480"/>
        <w:jc w:val="left"/>
        <w:rPr>
          <w:color w:val="000000"/>
          <w:sz w:val="24"/>
        </w:rPr>
      </w:pPr>
      <w:r>
        <w:rPr>
          <w:rFonts w:hint="eastAsia"/>
          <w:color w:val="000000"/>
          <w:sz w:val="24"/>
          <w:lang w:val="en-US" w:eastAsia="zh-CN"/>
        </w:rPr>
        <w:t>42</w:t>
      </w:r>
      <w:r>
        <w:rPr>
          <w:rFonts w:hint="eastAsia"/>
          <w:color w:val="000000"/>
          <w:sz w:val="24"/>
        </w:rPr>
        <w:t>.2 质疑供应商不配合或者采取不正当手段干扰政府采购质疑、投诉处理工作的，视为一般失信行为。</w:t>
      </w:r>
    </w:p>
    <w:p w14:paraId="2F667914">
      <w:pPr>
        <w:pageBreakBefore w:val="0"/>
        <w:widowControl w:val="0"/>
        <w:spacing w:line="360" w:lineRule="auto"/>
        <w:ind w:firstLine="480"/>
        <w:jc w:val="left"/>
        <w:rPr>
          <w:color w:val="000000"/>
          <w:sz w:val="24"/>
        </w:rPr>
      </w:pPr>
      <w:r>
        <w:rPr>
          <w:rFonts w:hint="eastAsia"/>
          <w:color w:val="000000"/>
          <w:sz w:val="24"/>
          <w:lang w:val="en-US" w:eastAsia="zh-CN"/>
        </w:rPr>
        <w:t>42</w:t>
      </w:r>
      <w:r>
        <w:rPr>
          <w:rFonts w:hint="eastAsia"/>
          <w:color w:val="000000"/>
          <w:sz w:val="24"/>
        </w:rPr>
        <w:t>.3 质疑供应商投诉受理期间，就同一事项多头举报，干扰财政部门投诉处理的，视为一般失信行为。</w:t>
      </w:r>
    </w:p>
    <w:p w14:paraId="42D47732">
      <w:pPr>
        <w:pageBreakBefore w:val="0"/>
        <w:widowControl w:val="0"/>
        <w:spacing w:line="360" w:lineRule="auto"/>
        <w:ind w:firstLine="480"/>
        <w:jc w:val="left"/>
        <w:rPr>
          <w:color w:val="000000"/>
          <w:sz w:val="24"/>
        </w:rPr>
      </w:pPr>
      <w:r>
        <w:rPr>
          <w:rFonts w:hint="eastAsia"/>
          <w:color w:val="000000"/>
          <w:sz w:val="24"/>
          <w:lang w:val="en-US" w:eastAsia="zh-CN"/>
        </w:rPr>
        <w:t>42</w:t>
      </w:r>
      <w:r>
        <w:rPr>
          <w:rFonts w:hint="eastAsia"/>
          <w:color w:val="000000"/>
          <w:sz w:val="24"/>
        </w:rPr>
        <w:t>.4 质疑供应商在全国范围12个月内三次以上质疑查无实据的，视为一般失信行为。</w:t>
      </w:r>
    </w:p>
    <w:p w14:paraId="29126591">
      <w:pPr>
        <w:pageBreakBefore w:val="0"/>
        <w:widowControl w:val="0"/>
        <w:spacing w:line="360" w:lineRule="auto"/>
        <w:ind w:firstLine="480"/>
        <w:jc w:val="left"/>
        <w:rPr>
          <w:color w:val="000000"/>
          <w:sz w:val="24"/>
        </w:rPr>
      </w:pPr>
      <w:r>
        <w:rPr>
          <w:rFonts w:hint="eastAsia"/>
          <w:color w:val="000000"/>
          <w:sz w:val="24"/>
          <w:lang w:val="en-US" w:eastAsia="zh-CN"/>
        </w:rPr>
        <w:t>42</w:t>
      </w:r>
      <w:r>
        <w:rPr>
          <w:rFonts w:hint="eastAsia"/>
          <w:color w:val="000000"/>
          <w:sz w:val="24"/>
        </w:rPr>
        <w:t>.5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BE7982C">
      <w:pPr>
        <w:pageBreakBefore w:val="0"/>
        <w:widowControl w:val="0"/>
        <w:spacing w:line="360" w:lineRule="auto"/>
        <w:ind w:firstLine="480"/>
        <w:jc w:val="left"/>
        <w:rPr>
          <w:color w:val="000000"/>
          <w:sz w:val="24"/>
        </w:rPr>
      </w:pPr>
      <w:r>
        <w:rPr>
          <w:rFonts w:hint="eastAsia"/>
          <w:color w:val="000000"/>
          <w:sz w:val="24"/>
          <w:lang w:val="en-US" w:eastAsia="zh-CN"/>
        </w:rPr>
        <w:t>42</w:t>
      </w:r>
      <w:r>
        <w:rPr>
          <w:rFonts w:hint="eastAsia"/>
          <w:color w:val="000000"/>
          <w:sz w:val="24"/>
        </w:rPr>
        <w:t>.6 质疑供应商在全国范围12个月内三次以上投诉查无实据的，视为严重失信行为。</w:t>
      </w:r>
    </w:p>
    <w:p w14:paraId="49887323">
      <w:pPr>
        <w:pStyle w:val="21"/>
        <w:keepNext w:val="0"/>
        <w:keepLines w:val="0"/>
        <w:pageBreakBefore w:val="0"/>
        <w:widowControl w:val="0"/>
        <w:spacing w:line="360" w:lineRule="auto"/>
        <w:ind w:firstLine="420"/>
        <w:rPr>
          <w:rFonts w:hint="eastAsia" w:hAnsi="宋体"/>
          <w:color w:val="000000" w:themeColor="text1"/>
          <w:sz w:val="24"/>
          <w:szCs w:val="24"/>
          <w:highlight w:val="none"/>
          <w14:textFill>
            <w14:solidFill>
              <w14:schemeClr w14:val="tx1"/>
            </w14:solidFill>
          </w14:textFill>
        </w:rPr>
      </w:pPr>
      <w:r>
        <w:rPr>
          <w:rFonts w:hint="eastAsia"/>
          <w:color w:val="000000"/>
          <w:sz w:val="24"/>
          <w:lang w:val="en-US" w:eastAsia="zh-CN"/>
        </w:rPr>
        <w:t>42</w:t>
      </w:r>
      <w:r>
        <w:rPr>
          <w:rFonts w:hint="eastAsia"/>
          <w:color w:val="000000"/>
          <w:sz w:val="24"/>
        </w:rPr>
        <w:t>.7 未尽事宜，依照有关法律、法规执行</w:t>
      </w:r>
      <w:r>
        <w:rPr>
          <w:rFonts w:hint="eastAsia"/>
          <w:color w:val="000000"/>
          <w:sz w:val="24"/>
          <w:lang w:eastAsia="zh-CN"/>
        </w:rPr>
        <w:t>。</w:t>
      </w:r>
      <w:bookmarkStart w:id="102" w:name="_Toc31203"/>
      <w:bookmarkStart w:id="103" w:name="_Toc14554"/>
      <w:bookmarkStart w:id="104" w:name="_Toc465856613"/>
      <w:bookmarkStart w:id="105" w:name="_Toc18421"/>
    </w:p>
    <w:p w14:paraId="4D3317F4">
      <w:pPr>
        <w:rPr>
          <w:rFonts w:hint="eastAsia" w:ascii="宋体" w:hAnsi="宋体" w:eastAsia="宋体" w:cs="宋体"/>
          <w:b/>
          <w:bCs/>
          <w:color w:val="000000" w:themeColor="text1"/>
          <w:sz w:val="44"/>
          <w:szCs w:val="44"/>
          <w:highlight w:val="none"/>
          <w14:textFill>
            <w14:solidFill>
              <w14:schemeClr w14:val="tx1"/>
            </w14:solidFill>
          </w14:textFill>
        </w:rPr>
      </w:pPr>
      <w:bookmarkStart w:id="106" w:name="_Toc5959"/>
      <w:r>
        <w:rPr>
          <w:rFonts w:hint="eastAsia" w:ascii="宋体" w:hAnsi="宋体" w:eastAsia="宋体" w:cs="宋体"/>
          <w:b/>
          <w:bCs/>
          <w:color w:val="000000" w:themeColor="text1"/>
          <w:sz w:val="44"/>
          <w:szCs w:val="44"/>
          <w:highlight w:val="none"/>
          <w14:textFill>
            <w14:solidFill>
              <w14:schemeClr w14:val="tx1"/>
            </w14:solidFill>
          </w14:textFill>
        </w:rPr>
        <w:br w:type="page" w:clear="all"/>
      </w:r>
    </w:p>
    <w:p w14:paraId="2C6602FC">
      <w:pPr>
        <w:pStyle w:val="207"/>
        <w:jc w:val="center"/>
        <w:rPr>
          <w:rFonts w:hint="eastAsia" w:ascii="宋体" w:hAnsi="宋体" w:eastAsia="宋体" w:cs="宋体"/>
          <w:b/>
          <w:bCs/>
          <w:color w:val="000000" w:themeColor="text1"/>
          <w:sz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第三章 合同条款及格式</w:t>
      </w:r>
      <w:bookmarkEnd w:id="102"/>
      <w:bookmarkEnd w:id="103"/>
      <w:bookmarkEnd w:id="104"/>
      <w:bookmarkEnd w:id="105"/>
      <w:bookmarkEnd w:id="106"/>
      <w:bookmarkStart w:id="107" w:name="_Hlt16619369"/>
      <w:bookmarkEnd w:id="107"/>
    </w:p>
    <w:p w14:paraId="2B2B0E36">
      <w:pPr>
        <w:ind w:firstLine="0"/>
        <w:rPr>
          <w:rFonts w:hint="eastAsia" w:ascii="宋体" w:hAnsi="宋体" w:eastAsia="宋体" w:cs="宋体"/>
          <w:color w:val="000000" w:themeColor="text1"/>
          <w:highlight w:val="none"/>
          <w14:textFill>
            <w14:solidFill>
              <w14:schemeClr w14:val="tx1"/>
            </w14:solidFill>
          </w14:textFill>
        </w:rPr>
      </w:pPr>
      <w:bookmarkStart w:id="108" w:name="_Toc29722"/>
      <w:bookmarkStart w:id="109" w:name="_Toc465856614"/>
      <w:bookmarkStart w:id="110" w:name="_Toc12693"/>
    </w:p>
    <w:p w14:paraId="7A89C1D9">
      <w:pPr>
        <w:ind w:firstLine="480"/>
        <w:rPr>
          <w:rFonts w:hint="eastAsia" w:ascii="宋体" w:hAnsi="宋体" w:eastAsia="宋体" w:cs="宋体"/>
          <w:color w:val="000000" w:themeColor="text1"/>
          <w:highlight w:val="none"/>
          <w14:textFill>
            <w14:solidFill>
              <w14:schemeClr w14:val="tx1"/>
            </w14:solidFill>
          </w14:textFill>
        </w:rPr>
      </w:pPr>
    </w:p>
    <w:p w14:paraId="03ED4D25">
      <w:pPr>
        <w:jc w:val="both"/>
        <w:rPr>
          <w:rFonts w:hint="eastAsia" w:ascii="宋体" w:hAnsi="宋体" w:eastAsia="宋体" w:cs="宋体"/>
          <w:color w:val="000000" w:themeColor="text1"/>
          <w:highlight w:val="none"/>
          <w14:textFill>
            <w14:solidFill>
              <w14:schemeClr w14:val="tx1"/>
            </w14:solidFill>
          </w14:textFill>
        </w:rPr>
      </w:pPr>
    </w:p>
    <w:p w14:paraId="7137A02A">
      <w:pPr>
        <w:ind w:firstLine="480"/>
        <w:jc w:val="center"/>
        <w:rPr>
          <w:rFonts w:hint="eastAsia" w:ascii="宋体" w:hAnsi="宋体" w:eastAsia="宋体" w:cs="宋体"/>
          <w:color w:val="000000" w:themeColor="text1"/>
          <w:highlight w:val="none"/>
          <w14:textFill>
            <w14:solidFill>
              <w14:schemeClr w14:val="tx1"/>
            </w14:solidFill>
          </w14:textFill>
        </w:rPr>
      </w:pPr>
    </w:p>
    <w:p w14:paraId="66B4B1F5">
      <w:pPr>
        <w:ind w:firstLine="480"/>
        <w:jc w:val="center"/>
        <w:rPr>
          <w:rFonts w:hint="eastAsia" w:ascii="宋体" w:hAnsi="宋体" w:eastAsia="宋体" w:cs="宋体"/>
          <w:color w:val="000000" w:themeColor="text1"/>
          <w:highlight w:val="none"/>
          <w14:textFill>
            <w14:solidFill>
              <w14:schemeClr w14:val="tx1"/>
            </w14:solidFill>
          </w14:textFill>
        </w:rPr>
      </w:pPr>
    </w:p>
    <w:p w14:paraId="4D3B1442">
      <w:pPr>
        <w:ind w:firstLine="480"/>
        <w:jc w:val="center"/>
        <w:rPr>
          <w:rFonts w:hint="eastAsia" w:ascii="宋体" w:hAnsi="宋体" w:eastAsia="宋体" w:cs="宋体"/>
          <w:color w:val="000000" w:themeColor="text1"/>
          <w:highlight w:val="none"/>
          <w14:textFill>
            <w14:solidFill>
              <w14:schemeClr w14:val="tx1"/>
            </w14:solidFill>
          </w14:textFill>
        </w:rPr>
      </w:pPr>
    </w:p>
    <w:p w14:paraId="52168D07">
      <w:pPr>
        <w:spacing w:line="360" w:lineRule="auto"/>
        <w:ind w:firstLine="2078"/>
        <w:rPr>
          <w:rFonts w:hint="eastAsia" w:ascii="宋体" w:hAnsi="宋体" w:eastAsia="宋体" w:cs="宋体"/>
          <w:b/>
          <w:bCs/>
          <w:color w:val="000000" w:themeColor="text1"/>
          <w:sz w:val="52"/>
          <w14:textFill>
            <w14:solidFill>
              <w14:schemeClr w14:val="tx1"/>
            </w14:solidFill>
          </w14:textFill>
        </w:rPr>
      </w:pPr>
      <w:r>
        <w:rPr>
          <w:rFonts w:hint="eastAsia" w:ascii="宋体" w:hAnsi="宋体" w:eastAsia="宋体" w:cs="宋体"/>
          <w:b/>
          <w:bCs/>
          <w:color w:val="000000" w:themeColor="text1"/>
          <w:sz w:val="52"/>
          <w14:textFill>
            <w14:solidFill>
              <w14:schemeClr w14:val="tx1"/>
            </w14:solidFill>
          </w14:textFill>
        </w:rPr>
        <w:t>连 云 港 市 政 府 采 购</w:t>
      </w:r>
    </w:p>
    <w:p w14:paraId="6634BBC5">
      <w:pPr>
        <w:spacing w:line="360" w:lineRule="auto"/>
        <w:rPr>
          <w:rFonts w:hint="eastAsia" w:ascii="宋体" w:hAnsi="宋体" w:eastAsia="宋体" w:cs="宋体"/>
          <w:color w:val="000000" w:themeColor="text1"/>
          <w14:textFill>
            <w14:solidFill>
              <w14:schemeClr w14:val="tx1"/>
            </w14:solidFill>
          </w14:textFill>
        </w:rPr>
      </w:pPr>
    </w:p>
    <w:p w14:paraId="39B94F71">
      <w:pPr>
        <w:spacing w:line="360" w:lineRule="auto"/>
        <w:ind w:firstLine="883"/>
        <w:jc w:val="center"/>
        <w:rPr>
          <w:rFonts w:hint="eastAsia" w:ascii="宋体" w:hAnsi="宋体" w:eastAsia="宋体" w:cs="宋体"/>
          <w:b/>
          <w:bCs/>
          <w:color w:val="000000" w:themeColor="text1"/>
          <w:sz w:val="44"/>
          <w:u w:val="single"/>
          <w14:textFill>
            <w14:solidFill>
              <w14:schemeClr w14:val="tx1"/>
            </w14:solidFill>
          </w14:textFill>
        </w:rPr>
      </w:pPr>
    </w:p>
    <w:p w14:paraId="1405D2C3">
      <w:pPr>
        <w:spacing w:line="360" w:lineRule="auto"/>
        <w:ind w:firstLine="883"/>
        <w:jc w:val="center"/>
        <w:outlineLvl w:val="1"/>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u w:val="single"/>
          <w14:textFill>
            <w14:solidFill>
              <w14:schemeClr w14:val="tx1"/>
            </w14:solidFill>
          </w14:textFill>
        </w:rPr>
        <w:t xml:space="preserve">                    </w:t>
      </w:r>
      <w:bookmarkStart w:id="111" w:name="_Toc24213"/>
      <w:bookmarkStart w:id="112" w:name="_Toc30913"/>
      <w:bookmarkStart w:id="113" w:name="_Toc12412"/>
      <w:r>
        <w:rPr>
          <w:rFonts w:hint="eastAsia" w:ascii="宋体" w:hAnsi="宋体" w:eastAsia="宋体" w:cs="宋体"/>
          <w:b/>
          <w:bCs/>
          <w:color w:val="000000" w:themeColor="text1"/>
          <w:sz w:val="44"/>
          <w14:textFill>
            <w14:solidFill>
              <w14:schemeClr w14:val="tx1"/>
            </w14:solidFill>
          </w14:textFill>
        </w:rPr>
        <w:t>合同</w:t>
      </w:r>
      <w:bookmarkEnd w:id="111"/>
      <w:bookmarkEnd w:id="112"/>
      <w:bookmarkEnd w:id="113"/>
    </w:p>
    <w:p w14:paraId="3A792FA8">
      <w:pPr>
        <w:spacing w:line="360" w:lineRule="auto"/>
        <w:rPr>
          <w:rFonts w:hint="eastAsia" w:ascii="宋体" w:hAnsi="宋体" w:eastAsia="宋体" w:cs="宋体"/>
          <w:color w:val="000000" w:themeColor="text1"/>
          <w14:textFill>
            <w14:solidFill>
              <w14:schemeClr w14:val="tx1"/>
            </w14:solidFill>
          </w14:textFill>
        </w:rPr>
      </w:pPr>
    </w:p>
    <w:p w14:paraId="60BA2EB2">
      <w:pPr>
        <w:spacing w:line="360" w:lineRule="auto"/>
        <w:rPr>
          <w:rFonts w:hint="eastAsia" w:ascii="宋体" w:hAnsi="宋体" w:eastAsia="宋体" w:cs="宋体"/>
          <w:b/>
          <w:bCs/>
          <w:color w:val="000000" w:themeColor="text1"/>
          <w:sz w:val="44"/>
          <w:szCs w:val="44"/>
          <w14:textFill>
            <w14:solidFill>
              <w14:schemeClr w14:val="tx1"/>
            </w14:solidFill>
          </w14:textFill>
        </w:rPr>
      </w:pPr>
    </w:p>
    <w:p w14:paraId="003BD5C0">
      <w:pPr>
        <w:spacing w:line="360" w:lineRule="auto"/>
        <w:rPr>
          <w:rFonts w:hint="eastAsia" w:ascii="宋体" w:hAnsi="宋体" w:eastAsia="宋体" w:cs="宋体"/>
          <w:color w:val="000000" w:themeColor="text1"/>
          <w:sz w:val="44"/>
          <w:szCs w:val="44"/>
          <w14:textFill>
            <w14:solidFill>
              <w14:schemeClr w14:val="tx1"/>
            </w14:solidFill>
          </w14:textFill>
        </w:rPr>
      </w:pPr>
    </w:p>
    <w:p w14:paraId="34172FFE">
      <w:pPr>
        <w:spacing w:line="360" w:lineRule="auto"/>
        <w:ind w:firstLine="1966"/>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t>合同编号：</w:t>
      </w:r>
    </w:p>
    <w:p w14:paraId="6AF41D07">
      <w:pPr>
        <w:spacing w:line="360" w:lineRule="auto"/>
        <w:ind w:firstLine="880"/>
        <w:rPr>
          <w:rFonts w:hint="eastAsia" w:ascii="宋体" w:hAnsi="宋体" w:eastAsia="宋体" w:cs="宋体"/>
          <w:color w:val="000000" w:themeColor="text1"/>
          <w:sz w:val="44"/>
          <w14:textFill>
            <w14:solidFill>
              <w14:schemeClr w14:val="tx1"/>
            </w14:solidFill>
          </w14:textFill>
        </w:rPr>
      </w:pPr>
    </w:p>
    <w:p w14:paraId="4CC4330C">
      <w:pPr>
        <w:spacing w:line="360" w:lineRule="auto"/>
        <w:ind w:firstLine="880"/>
        <w:rPr>
          <w:rFonts w:hint="eastAsia" w:ascii="宋体" w:hAnsi="宋体" w:eastAsia="宋体" w:cs="宋体"/>
          <w:color w:val="000000" w:themeColor="text1"/>
          <w:sz w:val="44"/>
          <w14:textFill>
            <w14:solidFill>
              <w14:schemeClr w14:val="tx1"/>
            </w14:solidFill>
          </w14:textFill>
        </w:rPr>
      </w:pPr>
    </w:p>
    <w:p w14:paraId="30D8FCF6">
      <w:pPr>
        <w:spacing w:line="360" w:lineRule="auto"/>
        <w:ind w:firstLine="880"/>
        <w:rPr>
          <w:rFonts w:hint="eastAsia" w:ascii="宋体" w:hAnsi="宋体" w:eastAsia="宋体" w:cs="宋体"/>
          <w:color w:val="000000" w:themeColor="text1"/>
          <w:sz w:val="44"/>
          <w14:textFill>
            <w14:solidFill>
              <w14:schemeClr w14:val="tx1"/>
            </w14:solidFill>
          </w14:textFill>
        </w:rPr>
      </w:pPr>
    </w:p>
    <w:p w14:paraId="24E342D6">
      <w:pPr>
        <w:spacing w:line="360" w:lineRule="auto"/>
        <w:ind w:firstLine="1758"/>
        <w:rPr>
          <w:rFonts w:hint="eastAsia" w:ascii="宋体" w:hAnsi="宋体" w:eastAsia="宋体" w:cs="宋体"/>
          <w:b/>
          <w:bCs/>
          <w:color w:val="000000" w:themeColor="text1"/>
          <w:sz w:val="44"/>
          <w14:textFill>
            <w14:solidFill>
              <w14:schemeClr w14:val="tx1"/>
            </w14:solidFill>
          </w14:textFill>
        </w:rPr>
      </w:pPr>
      <w:r>
        <w:rPr>
          <w:rFonts w:hint="eastAsia" w:ascii="宋体" w:hAnsi="宋体" w:cs="宋体"/>
          <w:b/>
          <w:bCs/>
          <w:color w:val="000000" w:themeColor="text1"/>
          <w:sz w:val="44"/>
          <w:lang w:val="en-US" w:eastAsia="zh-CN"/>
          <w14:textFill>
            <w14:solidFill>
              <w14:schemeClr w14:val="tx1"/>
            </w14:solidFill>
          </w14:textFill>
        </w:rPr>
        <w:t>发包人</w:t>
      </w:r>
      <w:r>
        <w:rPr>
          <w:rFonts w:hint="eastAsia" w:ascii="宋体" w:hAnsi="宋体" w:eastAsia="宋体" w:cs="宋体"/>
          <w:b/>
          <w:bCs/>
          <w:color w:val="000000" w:themeColor="text1"/>
          <w:sz w:val="44"/>
          <w14:textFill>
            <w14:solidFill>
              <w14:schemeClr w14:val="tx1"/>
            </w14:solidFill>
          </w14:textFill>
        </w:rPr>
        <w:t>：</w:t>
      </w:r>
    </w:p>
    <w:p w14:paraId="0927F47D">
      <w:pPr>
        <w:spacing w:line="360" w:lineRule="auto"/>
        <w:ind w:firstLine="1758"/>
        <w:rPr>
          <w:rFonts w:hint="eastAsia" w:ascii="宋体" w:hAnsi="宋体" w:eastAsia="宋体" w:cs="宋体"/>
          <w:b/>
          <w:bCs/>
          <w:color w:val="000000" w:themeColor="text1"/>
          <w:sz w:val="44"/>
          <w14:textFill>
            <w14:solidFill>
              <w14:schemeClr w14:val="tx1"/>
            </w14:solidFill>
          </w14:textFill>
        </w:rPr>
      </w:pPr>
      <w:r>
        <w:rPr>
          <w:rFonts w:hint="eastAsia" w:ascii="宋体" w:hAnsi="宋体" w:cs="宋体"/>
          <w:b/>
          <w:bCs/>
          <w:color w:val="000000" w:themeColor="text1"/>
          <w:sz w:val="44"/>
          <w:lang w:val="en-US" w:eastAsia="zh-CN"/>
          <w14:textFill>
            <w14:solidFill>
              <w14:schemeClr w14:val="tx1"/>
            </w14:solidFill>
          </w14:textFill>
        </w:rPr>
        <w:t>承包人</w:t>
      </w:r>
      <w:r>
        <w:rPr>
          <w:rFonts w:hint="eastAsia" w:ascii="宋体" w:hAnsi="宋体" w:eastAsia="宋体" w:cs="宋体"/>
          <w:b/>
          <w:bCs/>
          <w:color w:val="000000" w:themeColor="text1"/>
          <w:sz w:val="44"/>
          <w14:textFill>
            <w14:solidFill>
              <w14:schemeClr w14:val="tx1"/>
            </w14:solidFill>
          </w14:textFill>
        </w:rPr>
        <w:t>：</w:t>
      </w:r>
    </w:p>
    <w:p w14:paraId="10DBCE82">
      <w:pPr>
        <w:pStyle w:val="16"/>
        <w:rPr>
          <w:rFonts w:hint="eastAsia" w:ascii="宋体" w:hAnsi="宋体" w:eastAsia="宋体" w:cs="宋体"/>
          <w:b/>
          <w:bCs/>
          <w:color w:val="000000" w:themeColor="text1"/>
          <w:sz w:val="44"/>
          <w14:textFill>
            <w14:solidFill>
              <w14:schemeClr w14:val="tx1"/>
            </w14:solidFill>
          </w14:textFill>
        </w:rPr>
      </w:pPr>
    </w:p>
    <w:p w14:paraId="794EC3FC">
      <w:pPr>
        <w:pStyle w:val="16"/>
        <w:rPr>
          <w:rFonts w:hint="eastAsia" w:ascii="宋体" w:hAnsi="宋体" w:eastAsia="宋体" w:cs="宋体"/>
          <w:b/>
          <w:bCs/>
          <w:color w:val="000000" w:themeColor="text1"/>
          <w:sz w:val="44"/>
          <w14:textFill>
            <w14:solidFill>
              <w14:schemeClr w14:val="tx1"/>
            </w14:solidFill>
          </w14:textFill>
        </w:rPr>
      </w:pPr>
    </w:p>
    <w:p w14:paraId="32156733">
      <w:pPr>
        <w:pStyle w:val="16"/>
        <w:jc w:val="center"/>
        <w:rPr>
          <w:rFonts w:hint="eastAsia" w:ascii="宋体" w:hAnsi="宋体" w:cs="宋体"/>
          <w:b/>
          <w:color w:val="000000" w:themeColor="text1"/>
          <w:sz w:val="32"/>
          <w:szCs w:val="32"/>
          <w:highlight w:val="none"/>
          <w14:textFill>
            <w14:solidFill>
              <w14:schemeClr w14:val="tx1"/>
            </w14:solidFill>
          </w14:textFill>
        </w:rPr>
      </w:pPr>
    </w:p>
    <w:p w14:paraId="5A3FAC44">
      <w:pPr>
        <w:pStyle w:val="16"/>
        <w:jc w:val="center"/>
        <w:rPr>
          <w:rFonts w:hint="eastAsia" w:ascii="宋体" w:hAnsi="宋体" w:cs="宋体"/>
          <w:b/>
          <w:color w:val="000000" w:themeColor="text1"/>
          <w:sz w:val="32"/>
          <w:szCs w:val="32"/>
          <w:highlight w:val="none"/>
          <w14:textFill>
            <w14:solidFill>
              <w14:schemeClr w14:val="tx1"/>
            </w14:solidFill>
          </w14:textFill>
        </w:rPr>
      </w:pPr>
    </w:p>
    <w:p w14:paraId="6A8B064F">
      <w:pPr>
        <w:pStyle w:val="16"/>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连云港市政府采购合同</w:t>
      </w:r>
    </w:p>
    <w:p w14:paraId="555FCEB3">
      <w:pPr>
        <w:pStyle w:val="16"/>
        <w:jc w:val="center"/>
        <w:rPr>
          <w:rFonts w:hint="eastAsia" w:ascii="宋体" w:hAnsi="宋体" w:cs="宋体"/>
          <w:b/>
          <w:color w:val="000000" w:themeColor="text1"/>
          <w:sz w:val="32"/>
          <w:szCs w:val="32"/>
          <w:highlight w:val="none"/>
          <w14:textFill>
            <w14:solidFill>
              <w14:schemeClr w14:val="tx1"/>
            </w14:solidFill>
          </w14:textFill>
        </w:rPr>
      </w:pPr>
    </w:p>
    <w:p w14:paraId="59661922">
      <w:pPr>
        <w:spacing w:line="360" w:lineRule="auto"/>
        <w:ind w:firstLine="480"/>
        <w:jc w:val="center"/>
        <w:outlineLvl w:val="1"/>
        <w:rPr>
          <w:rFonts w:hint="eastAsia" w:ascii="宋体" w:hAnsi="宋体" w:eastAsia="宋体" w:cs="宋体"/>
          <w:b/>
          <w:bCs/>
          <w:color w:val="000000" w:themeColor="text1"/>
          <w:sz w:val="24"/>
          <w14:textFill>
            <w14:solidFill>
              <w14:schemeClr w14:val="tx1"/>
            </w14:solidFill>
          </w14:textFill>
        </w:rPr>
      </w:pPr>
      <w:bookmarkStart w:id="114" w:name="_Toc25380"/>
      <w:bookmarkStart w:id="115" w:name="_Toc30496"/>
      <w:bookmarkStart w:id="116" w:name="_Toc12576"/>
      <w:r>
        <w:rPr>
          <w:rFonts w:hint="eastAsia" w:ascii="宋体" w:hAnsi="宋体" w:eastAsia="宋体" w:cs="宋体"/>
          <w:b/>
          <w:bCs/>
          <w:color w:val="000000" w:themeColor="text1"/>
          <w:sz w:val="24"/>
          <w14:textFill>
            <w14:solidFill>
              <w14:schemeClr w14:val="tx1"/>
            </w14:solidFill>
          </w14:textFill>
        </w:rPr>
        <w:t>第一部分  协议书格式</w:t>
      </w:r>
      <w:bookmarkEnd w:id="114"/>
      <w:bookmarkEnd w:id="115"/>
      <w:bookmarkEnd w:id="116"/>
    </w:p>
    <w:p w14:paraId="21930E31">
      <w:pPr>
        <w:pStyle w:val="31"/>
        <w:spacing w:line="360" w:lineRule="auto"/>
        <w:ind w:firstLine="48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发包人：</w:t>
      </w:r>
      <w:r>
        <w:rPr>
          <w:rFonts w:hint="eastAsia" w:ascii="宋体" w:hAnsi="宋体" w:eastAsia="宋体" w:cs="宋体"/>
          <w:bCs/>
          <w:color w:val="000000" w:themeColor="text1"/>
          <w:u w:val="single"/>
          <w14:textFill>
            <w14:solidFill>
              <w14:schemeClr w14:val="tx1"/>
            </w14:solidFill>
          </w14:textFill>
        </w:rPr>
        <w:t xml:space="preserve">                              </w:t>
      </w:r>
      <w:r>
        <w:rPr>
          <w:rFonts w:hint="eastAsia" w:ascii="宋体" w:hAnsi="宋体" w:eastAsia="宋体" w:cs="宋体"/>
          <w:bCs/>
          <w:color w:val="000000" w:themeColor="text1"/>
          <w14:textFill>
            <w14:solidFill>
              <w14:schemeClr w14:val="tx1"/>
            </w14:solidFill>
          </w14:textFill>
        </w:rPr>
        <w:t>（简称甲方）</w:t>
      </w:r>
    </w:p>
    <w:p w14:paraId="703A9036">
      <w:pPr>
        <w:pStyle w:val="31"/>
        <w:spacing w:line="360" w:lineRule="auto"/>
        <w:ind w:firstLine="48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承包人：</w:t>
      </w:r>
      <w:r>
        <w:rPr>
          <w:rFonts w:hint="eastAsia" w:ascii="宋体" w:hAnsi="宋体" w:eastAsia="宋体" w:cs="宋体"/>
          <w:bCs/>
          <w:color w:val="000000" w:themeColor="text1"/>
          <w:u w:val="single"/>
          <w14:textFill>
            <w14:solidFill>
              <w14:schemeClr w14:val="tx1"/>
            </w14:solidFill>
          </w14:textFill>
        </w:rPr>
        <w:t xml:space="preserve">                              </w:t>
      </w:r>
      <w:r>
        <w:rPr>
          <w:rFonts w:hint="eastAsia" w:ascii="宋体" w:hAnsi="宋体" w:eastAsia="宋体" w:cs="宋体"/>
          <w:bCs/>
          <w:color w:val="000000" w:themeColor="text1"/>
          <w14:textFill>
            <w14:solidFill>
              <w14:schemeClr w14:val="tx1"/>
            </w14:solidFill>
          </w14:textFill>
        </w:rPr>
        <w:t>（简称乙方）</w:t>
      </w:r>
    </w:p>
    <w:p w14:paraId="049790D5">
      <w:pPr>
        <w:keepNext w:val="0"/>
        <w:keepLines w:val="0"/>
        <w:pageBreakBefore w:val="0"/>
        <w:widowControl w:val="0"/>
        <w:spacing w:line="360" w:lineRule="auto"/>
        <w:ind w:firstLine="420"/>
        <w:jc w:val="both"/>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依照《中华人民共和国民法典》、《中华人民共和国政府采购法》、《中华人民共和国建筑法》及其他有关法律、行政法规，遵循平等、自愿、公平和诚实信用的原则，双方就本建设工程施工事项协商一致，订立本合同。</w:t>
      </w:r>
    </w:p>
    <w:p w14:paraId="196081BD">
      <w:pPr>
        <w:keepNext w:val="0"/>
        <w:keepLines w:val="0"/>
        <w:pageBreakBefore w:val="0"/>
        <w:widowControl w:val="0"/>
        <w:spacing w:line="360" w:lineRule="auto"/>
        <w:ind w:firstLine="422"/>
        <w:jc w:val="both"/>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一、工程概况</w:t>
      </w:r>
    </w:p>
    <w:p w14:paraId="04B52FBC">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工程名称：</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u w:val="none"/>
          <w:lang w:val="en-US" w:eastAsia="zh-CN" w:bidi="ar-SA"/>
          <w14:textFill>
            <w14:solidFill>
              <w14:schemeClr w14:val="tx1"/>
            </w14:solidFill>
          </w14:textFill>
        </w:rPr>
        <w:t>；</w:t>
      </w:r>
    </w:p>
    <w:p w14:paraId="44A4A838">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工程地点：</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w:t>
      </w:r>
    </w:p>
    <w:p w14:paraId="4F676402">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资金来源：</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财政资金</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w:t>
      </w:r>
    </w:p>
    <w:p w14:paraId="2E1C6FB3">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工程内容：</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w:t>
      </w:r>
    </w:p>
    <w:p w14:paraId="4D1F2C14">
      <w:pPr>
        <w:keepNext w:val="0"/>
        <w:keepLines w:val="0"/>
        <w:pageBreakBefore w:val="0"/>
        <w:widowControl w:val="0"/>
        <w:spacing w:line="360" w:lineRule="auto"/>
        <w:ind w:firstLine="422"/>
        <w:jc w:val="both"/>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二、合同工期</w:t>
      </w:r>
    </w:p>
    <w:p w14:paraId="2D60CF7B">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计划开工日期：</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年</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月</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日（具体开工日期以发包人开工通知书为准）；</w:t>
      </w:r>
    </w:p>
    <w:p w14:paraId="36F0521A">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计划竣工日期：</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年</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月</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日之前完成；</w:t>
      </w:r>
    </w:p>
    <w:p w14:paraId="3FBFA73A">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合同工期总日历天数</w:t>
      </w:r>
      <w:r>
        <w:rPr>
          <w:rFonts w:hint="eastAsia" w:ascii="宋体" w:hAnsi="宋体" w:eastAsia="宋体" w:cs="宋体"/>
          <w:bCs/>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天（合同确定工期以自报工期为准）。</w:t>
      </w:r>
    </w:p>
    <w:p w14:paraId="5DA13DFD">
      <w:pPr>
        <w:keepNext w:val="0"/>
        <w:keepLines w:val="0"/>
        <w:pageBreakBefore w:val="0"/>
        <w:widowControl w:val="0"/>
        <w:spacing w:line="360" w:lineRule="auto"/>
        <w:ind w:firstLine="422"/>
        <w:jc w:val="both"/>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三、质量标准</w:t>
      </w:r>
    </w:p>
    <w:p w14:paraId="3AA7EC1C">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工程质量标准：要求工程质量达到合格质量标准。质量标准的评定以国家或行业的现行质量检验评定标准为依据。</w:t>
      </w:r>
    </w:p>
    <w:p w14:paraId="217600A3">
      <w:pPr>
        <w:keepNext w:val="0"/>
        <w:keepLines w:val="0"/>
        <w:pageBreakBefore w:val="0"/>
        <w:widowControl w:val="0"/>
        <w:spacing w:line="360" w:lineRule="auto"/>
        <w:ind w:firstLine="422"/>
        <w:jc w:val="both"/>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四、合同价款和形式</w:t>
      </w:r>
    </w:p>
    <w:p w14:paraId="24F1B8FB">
      <w:pPr>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1.签约合同价为：</w:t>
      </w:r>
    </w:p>
    <w:p w14:paraId="26208DD4">
      <w:pPr>
        <w:pageBreakBefore w:val="0"/>
        <w:widowControl w:val="0"/>
        <w:spacing w:line="360" w:lineRule="auto"/>
        <w:ind w:firstLine="6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7D23A1C1">
      <w:pPr>
        <w:pageBreakBefore w:val="0"/>
        <w:widowControl w:val="0"/>
        <w:spacing w:line="360" w:lineRule="auto"/>
        <w:ind w:firstLine="6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计税方式为：一般计税，本合同签订时约定增值税税率为9%。</w:t>
      </w:r>
    </w:p>
    <w:p w14:paraId="60A9D198">
      <w:pPr>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其中：</w:t>
      </w:r>
    </w:p>
    <w:p w14:paraId="1CA070CA">
      <w:pPr>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（1）安全</w:t>
      </w:r>
      <w:r>
        <w:rPr>
          <w:rFonts w:hint="eastAsia" w:ascii="宋体" w:hAnsi="宋体" w:eastAsia="宋体" w:cs="宋体"/>
          <w:color w:val="000000"/>
          <w:sz w:val="24"/>
          <w:szCs w:val="24"/>
          <w:highlight w:val="none"/>
          <w:lang w:val="en-US" w:eastAsia="zh-CN"/>
        </w:rPr>
        <w:t>生产措施费</w:t>
      </w:r>
      <w:r>
        <w:rPr>
          <w:rFonts w:hint="eastAsia" w:ascii="宋体" w:hAnsi="宋体" w:eastAsia="宋体" w:cs="宋体"/>
          <w:color w:val="000000"/>
          <w:sz w:val="24"/>
          <w:szCs w:val="24"/>
          <w:highlight w:val="none"/>
        </w:rPr>
        <w:t>：</w:t>
      </w:r>
    </w:p>
    <w:p w14:paraId="0B70AC34">
      <w:pPr>
        <w:pageBreakBefore w:val="0"/>
        <w:widowControl w:val="0"/>
        <w:spacing w:line="360" w:lineRule="auto"/>
        <w:ind w:firstLine="10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5D307689">
      <w:pPr>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（2）材料和工程设备暂估价金额：</w:t>
      </w:r>
    </w:p>
    <w:p w14:paraId="6C3E2FBF">
      <w:pPr>
        <w:pageBreakBefore w:val="0"/>
        <w:widowControl w:val="0"/>
        <w:spacing w:line="360" w:lineRule="auto"/>
        <w:ind w:firstLine="10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44953B2F">
      <w:pPr>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（3）专业工程暂估价金额：</w:t>
      </w:r>
    </w:p>
    <w:p w14:paraId="337DA7B1">
      <w:pPr>
        <w:pageBreakBefore w:val="0"/>
        <w:widowControl w:val="0"/>
        <w:spacing w:line="360" w:lineRule="auto"/>
        <w:ind w:firstLine="10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0512B4F6">
      <w:pPr>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（4）暂列金额：</w:t>
      </w:r>
    </w:p>
    <w:p w14:paraId="14AA2332">
      <w:pPr>
        <w:pageBreakBefore w:val="0"/>
        <w:widowControl w:val="0"/>
        <w:spacing w:line="360" w:lineRule="auto"/>
        <w:ind w:firstLine="10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7BF33715">
      <w:pPr>
        <w:keepNext w:val="0"/>
        <w:keepLines w:val="0"/>
        <w:pageBreakBefore w:val="0"/>
        <w:widowControl w:val="0"/>
        <w:numPr>
          <w:ilvl w:val="0"/>
          <w:numId w:val="0"/>
        </w:numPr>
        <w:spacing w:line="360" w:lineRule="auto"/>
        <w:ind w:left="0"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sz w:val="24"/>
          <w:szCs w:val="24"/>
          <w:highlight w:val="none"/>
        </w:rPr>
        <w:t>2.合同价格形式：</w:t>
      </w:r>
      <w:r>
        <w:rPr>
          <w:rFonts w:hint="eastAsia" w:ascii="宋体" w:hAnsi="宋体" w:eastAsia="宋体" w:cs="宋体"/>
          <w:color w:val="000000"/>
          <w:sz w:val="24"/>
          <w:szCs w:val="24"/>
          <w:highlight w:val="none"/>
          <w:u w:val="single"/>
        </w:rPr>
        <w:t>固定单价合同</w:t>
      </w:r>
      <w:r>
        <w:rPr>
          <w:rFonts w:hint="eastAsia" w:ascii="宋体" w:hAnsi="宋体" w:eastAsia="宋体" w:cs="宋体"/>
          <w:color w:val="000000"/>
          <w:sz w:val="24"/>
          <w:szCs w:val="24"/>
          <w:highlight w:val="none"/>
        </w:rPr>
        <w:t>。</w:t>
      </w:r>
    </w:p>
    <w:p w14:paraId="64239F6D">
      <w:pPr>
        <w:keepNext w:val="0"/>
        <w:keepLines w:val="0"/>
        <w:pageBreakBefore w:val="0"/>
        <w:widowControl w:val="0"/>
        <w:spacing w:line="360" w:lineRule="auto"/>
        <w:ind w:firstLine="422"/>
        <w:jc w:val="both"/>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bookmarkStart w:id="117" w:name="_Toc351203485"/>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五、</w:t>
      </w:r>
      <w:bookmarkEnd w:id="117"/>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项目经理</w:t>
      </w:r>
    </w:p>
    <w:p w14:paraId="581F3292">
      <w:pPr>
        <w:keepNext w:val="0"/>
        <w:keepLines w:val="0"/>
        <w:pageBreakBefore w:val="0"/>
        <w:widowControl w:val="0"/>
        <w:spacing w:line="360" w:lineRule="auto"/>
        <w:ind w:firstLine="422"/>
        <w:jc w:val="both"/>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sz w:val="24"/>
          <w:szCs w:val="24"/>
          <w:highlight w:val="none"/>
        </w:rPr>
        <w:t>承包人</w:t>
      </w:r>
      <w:r>
        <w:rPr>
          <w:rFonts w:hint="eastAsia" w:ascii="宋体" w:hAnsi="宋体" w:cs="宋体"/>
          <w:color w:val="000000"/>
          <w:sz w:val="24"/>
          <w:szCs w:val="24"/>
          <w:highlight w:val="none"/>
          <w:lang w:eastAsia="zh-CN"/>
        </w:rPr>
        <w:t>项目负责人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7FEABFE3">
      <w:pPr>
        <w:keepNext w:val="0"/>
        <w:keepLines w:val="0"/>
        <w:pageBreakBefore w:val="0"/>
        <w:widowControl w:val="0"/>
        <w:spacing w:line="360" w:lineRule="auto"/>
        <w:ind w:firstLine="422"/>
        <w:jc w:val="both"/>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六、组成合同的文件</w:t>
      </w:r>
    </w:p>
    <w:p w14:paraId="6EB5C00D">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1、组成本合同的文件包括：</w:t>
      </w:r>
    </w:p>
    <w:p w14:paraId="0A103D74">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（1）中标通知书；</w:t>
      </w:r>
    </w:p>
    <w:p w14:paraId="0C858A76">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（2）投标函及其附录； </w:t>
      </w:r>
    </w:p>
    <w:p w14:paraId="778A7E15">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（3）专用合同条款及其附件；</w:t>
      </w:r>
    </w:p>
    <w:p w14:paraId="0910E8B9">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（4）通用合同条款；</w:t>
      </w:r>
    </w:p>
    <w:p w14:paraId="09E125BC">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（5）技术标准和要求；</w:t>
      </w:r>
    </w:p>
    <w:p w14:paraId="303EA593">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（6）图纸；</w:t>
      </w:r>
    </w:p>
    <w:p w14:paraId="47248254">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（7）已标价工程量清单或预算书；</w:t>
      </w:r>
    </w:p>
    <w:p w14:paraId="7D9D3728">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（8）其他合同文件；</w:t>
      </w:r>
    </w:p>
    <w:p w14:paraId="4ADBB6FC">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2、双方有关工程的洽商、变更等书面协议或文件视为本合同的组成部分。</w:t>
      </w:r>
    </w:p>
    <w:p w14:paraId="4C755B26">
      <w:pPr>
        <w:keepNext w:val="0"/>
        <w:keepLines w:val="0"/>
        <w:pageBreakBefore w:val="0"/>
        <w:widowControl w:val="0"/>
        <w:spacing w:line="360" w:lineRule="auto"/>
        <w:ind w:firstLine="422"/>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七、承诺</w:t>
      </w:r>
    </w:p>
    <w:p w14:paraId="20DFE083">
      <w:pPr>
        <w:keepNext w:val="0"/>
        <w:keepLines w:val="0"/>
        <w:pageBreakBefore w:val="0"/>
        <w:widowControl w:val="0"/>
        <w:spacing w:line="360" w:lineRule="auto"/>
        <w:ind w:firstLine="422"/>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5BA13097">
      <w:pPr>
        <w:keepNext w:val="0"/>
        <w:keepLines w:val="0"/>
        <w:pageBreakBefore w:val="0"/>
        <w:widowControl w:val="0"/>
        <w:spacing w:line="360" w:lineRule="auto"/>
        <w:ind w:firstLine="422"/>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252ADFAB">
      <w:pPr>
        <w:keepNext w:val="0"/>
        <w:keepLines w:val="0"/>
        <w:pageBreakBefore w:val="0"/>
        <w:widowControl w:val="0"/>
        <w:spacing w:line="360" w:lineRule="auto"/>
        <w:ind w:firstLine="422"/>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58B7AB13">
      <w:pPr>
        <w:keepNext w:val="0"/>
        <w:keepLines w:val="0"/>
        <w:pageBreakBefore w:val="0"/>
        <w:widowControl w:val="0"/>
        <w:spacing w:line="360" w:lineRule="auto"/>
        <w:ind w:firstLine="422"/>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八、词语含义</w:t>
      </w:r>
    </w:p>
    <w:p w14:paraId="32C67E18">
      <w:pPr>
        <w:keepNext w:val="0"/>
        <w:keepLines w:val="0"/>
        <w:pageBreakBefore w:val="0"/>
        <w:widowControl w:val="0"/>
        <w:spacing w:line="360" w:lineRule="auto"/>
        <w:ind w:firstLine="422"/>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本协议书中词语含义与第二部分通用合同条款中赋予的含义相同。</w:t>
      </w:r>
    </w:p>
    <w:p w14:paraId="1C283FC7">
      <w:pPr>
        <w:keepNext w:val="0"/>
        <w:keepLines w:val="0"/>
        <w:pageBreakBefore w:val="0"/>
        <w:widowControl w:val="0"/>
        <w:spacing w:line="360" w:lineRule="auto"/>
        <w:ind w:firstLine="420"/>
        <w:jc w:val="both"/>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九、签订时间</w:t>
      </w:r>
    </w:p>
    <w:p w14:paraId="2BD00FF6">
      <w:pPr>
        <w:keepNext w:val="0"/>
        <w:keepLines w:val="0"/>
        <w:pageBreakBefore w:val="0"/>
        <w:widowControl w:val="0"/>
        <w:spacing w:line="360" w:lineRule="auto"/>
        <w:ind w:firstLine="420"/>
        <w:jc w:val="both"/>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本合同于</w:t>
      </w:r>
      <w:r>
        <w:rPr>
          <w:rFonts w:hint="eastAsia" w:ascii="宋体" w:hAnsi="宋体" w:eastAsia="宋体" w:cs="宋体"/>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年</w:t>
      </w:r>
      <w:r>
        <w:rPr>
          <w:rFonts w:hint="eastAsia" w:ascii="宋体" w:hAnsi="宋体" w:eastAsia="宋体" w:cs="宋体"/>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月</w:t>
      </w:r>
      <w:r>
        <w:rPr>
          <w:rFonts w:hint="eastAsia" w:ascii="宋体" w:hAnsi="宋体" w:eastAsia="宋体" w:cs="宋体"/>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日签订。</w:t>
      </w:r>
    </w:p>
    <w:p w14:paraId="4878D6EB">
      <w:pPr>
        <w:keepNext w:val="0"/>
        <w:keepLines w:val="0"/>
        <w:pageBreakBefore w:val="0"/>
        <w:widowControl w:val="0"/>
        <w:spacing w:line="360" w:lineRule="auto"/>
        <w:ind w:firstLine="420"/>
        <w:jc w:val="both"/>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十、签订地点</w:t>
      </w:r>
    </w:p>
    <w:p w14:paraId="1C8DA4BD">
      <w:pPr>
        <w:keepNext w:val="0"/>
        <w:keepLines w:val="0"/>
        <w:pageBreakBefore w:val="0"/>
        <w:widowControl w:val="0"/>
        <w:spacing w:line="360" w:lineRule="auto"/>
        <w:ind w:firstLine="420"/>
        <w:jc w:val="both"/>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本合同在</w:t>
      </w:r>
      <w:r>
        <w:rPr>
          <w:rFonts w:hint="eastAsia" w:ascii="宋体" w:hAnsi="宋体" w:eastAsia="宋体" w:cs="宋体"/>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签订。</w:t>
      </w:r>
    </w:p>
    <w:p w14:paraId="51B57BBD">
      <w:pPr>
        <w:keepNext w:val="0"/>
        <w:keepLines w:val="0"/>
        <w:pageBreakBefore w:val="0"/>
        <w:widowControl w:val="0"/>
        <w:spacing w:line="360" w:lineRule="auto"/>
        <w:ind w:firstLine="420"/>
        <w:jc w:val="both"/>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十一、补充协议</w:t>
      </w:r>
    </w:p>
    <w:p w14:paraId="461DD23E">
      <w:pPr>
        <w:keepNext w:val="0"/>
        <w:keepLines w:val="0"/>
        <w:pageBreakBefore w:val="0"/>
        <w:widowControl w:val="0"/>
        <w:spacing w:line="360" w:lineRule="auto"/>
        <w:ind w:firstLine="420"/>
        <w:jc w:val="both"/>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合同未尽事宜，合同当事人另行签订补充协议，补充协议是合同的组成部分。</w:t>
      </w:r>
    </w:p>
    <w:p w14:paraId="32989B4B">
      <w:pPr>
        <w:keepNext w:val="0"/>
        <w:keepLines w:val="0"/>
        <w:pageBreakBefore w:val="0"/>
        <w:widowControl w:val="0"/>
        <w:spacing w:line="360" w:lineRule="auto"/>
        <w:ind w:firstLine="420"/>
        <w:jc w:val="both"/>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十二、合同生效</w:t>
      </w:r>
    </w:p>
    <w:p w14:paraId="0802EDCD">
      <w:pPr>
        <w:keepNext w:val="0"/>
        <w:keepLines w:val="0"/>
        <w:pageBreakBefore w:val="0"/>
        <w:widowControl w:val="0"/>
        <w:spacing w:line="360" w:lineRule="auto"/>
        <w:ind w:firstLine="420"/>
        <w:jc w:val="both"/>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本合同自</w:t>
      </w:r>
      <w:r>
        <w:rPr>
          <w:rFonts w:hint="eastAsia" w:ascii="宋体" w:hAnsi="宋体" w:eastAsia="宋体" w:cs="宋体"/>
          <w:i w:val="0"/>
          <w:iCs w:val="0"/>
          <w:color w:val="000000" w:themeColor="text1"/>
          <w:sz w:val="24"/>
          <w:szCs w:val="24"/>
          <w:highlight w:val="none"/>
          <w:u w:val="single"/>
          <w:lang w:val="en-US" w:eastAsia="zh-CN" w:bidi="ar-SA"/>
          <w14:textFill>
            <w14:solidFill>
              <w14:schemeClr w14:val="tx1"/>
            </w14:solidFill>
          </w14:textFill>
        </w:rPr>
        <w:t xml:space="preserve"> 双方单位盖章，双方法定代表人或其委托人代理人签字或盖章且履约担保合规有效后</w:t>
      </w:r>
      <w:r>
        <w:rPr>
          <w:rFonts w:hint="eastAsia" w:ascii="宋体" w:hAnsi="宋体" w:cs="宋体"/>
          <w:i w:val="0"/>
          <w:i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t>生效。</w:t>
      </w:r>
    </w:p>
    <w:p w14:paraId="430EFF3B">
      <w:pPr>
        <w:keepNext w:val="0"/>
        <w:keepLines w:val="0"/>
        <w:pageBreakBefore w:val="0"/>
        <w:widowControl w:val="0"/>
        <w:spacing w:line="360" w:lineRule="auto"/>
        <w:ind w:firstLine="420"/>
        <w:jc w:val="both"/>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十三、合同份数</w:t>
      </w:r>
    </w:p>
    <w:p w14:paraId="013CF073">
      <w:pPr>
        <w:spacing w:line="360" w:lineRule="auto"/>
        <w:ind w:firstLine="480"/>
        <w:jc w:val="left"/>
        <w:rPr>
          <w:rFonts w:hint="eastAsia" w:ascii="宋体" w:hAnsi="宋体" w:eastAsia="宋体" w:cs="宋体"/>
          <w:bCs/>
          <w:color w:val="000000" w:themeColor="text1"/>
          <w:sz w:val="24"/>
          <w:lang w:bidi="ar"/>
          <w14:textFill>
            <w14:solidFill>
              <w14:schemeClr w14:val="tx1"/>
            </w14:solidFill>
          </w14:textFill>
        </w:rPr>
      </w:pPr>
      <w:r>
        <w:rPr>
          <w:rFonts w:hint="eastAsia" w:ascii="宋体" w:hAnsi="宋体" w:eastAsia="宋体" w:cs="宋体"/>
          <w:bCs/>
          <w:color w:val="000000" w:themeColor="text1"/>
          <w:sz w:val="24"/>
          <w:lang w:bidi="ar"/>
          <w14:textFill>
            <w14:solidFill>
              <w14:schemeClr w14:val="tx1"/>
            </w14:solidFill>
          </w14:textFill>
        </w:rPr>
        <w:t>本合同一式</w:t>
      </w:r>
      <w:r>
        <w:rPr>
          <w:rFonts w:hint="eastAsia" w:ascii="宋体" w:hAnsi="宋体" w:eastAsia="宋体" w:cs="宋体"/>
          <w:b/>
          <w:color w:val="000000" w:themeColor="text1"/>
          <w:sz w:val="24"/>
          <w:u w:val="single"/>
          <w:lang w:bidi="ar"/>
          <w14:textFill>
            <w14:solidFill>
              <w14:schemeClr w14:val="tx1"/>
            </w14:solidFill>
          </w14:textFill>
        </w:rPr>
        <w:t>陆</w:t>
      </w:r>
      <w:r>
        <w:rPr>
          <w:rFonts w:hint="eastAsia" w:ascii="宋体" w:hAnsi="宋体" w:eastAsia="宋体" w:cs="宋体"/>
          <w:bCs/>
          <w:color w:val="000000" w:themeColor="text1"/>
          <w:sz w:val="24"/>
          <w:lang w:bidi="ar"/>
          <w14:textFill>
            <w14:solidFill>
              <w14:schemeClr w14:val="tx1"/>
            </w14:solidFill>
          </w14:textFill>
        </w:rPr>
        <w:t>份，均具有同等法律效力，发包人执</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
          <w:color w:val="000000" w:themeColor="text1"/>
          <w:sz w:val="24"/>
          <w:u w:val="single"/>
          <w:lang w:bidi="ar"/>
          <w14:textFill>
            <w14:solidFill>
              <w14:schemeClr w14:val="tx1"/>
            </w14:solidFill>
          </w14:textFill>
        </w:rPr>
        <w:t>叁</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Cs/>
          <w:color w:val="000000" w:themeColor="text1"/>
          <w:sz w:val="24"/>
          <w:lang w:bidi="ar"/>
          <w14:textFill>
            <w14:solidFill>
              <w14:schemeClr w14:val="tx1"/>
            </w14:solidFill>
          </w14:textFill>
        </w:rPr>
        <w:t>份，承包人执</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
          <w:color w:val="000000" w:themeColor="text1"/>
          <w:sz w:val="24"/>
          <w:u w:val="single"/>
          <w:lang w:bidi="ar"/>
          <w14:textFill>
            <w14:solidFill>
              <w14:schemeClr w14:val="tx1"/>
            </w14:solidFill>
          </w14:textFill>
        </w:rPr>
        <w:t>叁</w:t>
      </w:r>
      <w:r>
        <w:rPr>
          <w:rFonts w:hint="eastAsia" w:ascii="宋体" w:hAnsi="宋体" w:eastAsia="宋体" w:cs="宋体"/>
          <w:bCs/>
          <w:color w:val="000000" w:themeColor="text1"/>
          <w:sz w:val="24"/>
          <w:u w:val="single"/>
          <w:lang w:bidi="ar"/>
          <w14:textFill>
            <w14:solidFill>
              <w14:schemeClr w14:val="tx1"/>
            </w14:solidFill>
          </w14:textFill>
        </w:rPr>
        <w:t xml:space="preserve"> </w:t>
      </w:r>
      <w:r>
        <w:rPr>
          <w:rFonts w:hint="eastAsia" w:ascii="宋体" w:hAnsi="宋体" w:eastAsia="宋体" w:cs="宋体"/>
          <w:bCs/>
          <w:color w:val="000000" w:themeColor="text1"/>
          <w:sz w:val="24"/>
          <w:lang w:bidi="ar"/>
          <w14:textFill>
            <w14:solidFill>
              <w14:schemeClr w14:val="tx1"/>
            </w14:solidFill>
          </w14:textFill>
        </w:rPr>
        <w:t>份。</w:t>
      </w:r>
    </w:p>
    <w:p w14:paraId="0C5F8CC1">
      <w:pPr>
        <w:keepNext w:val="0"/>
        <w:keepLines w:val="0"/>
        <w:pageBreakBefore w:val="0"/>
        <w:widowControl w:val="0"/>
        <w:spacing w:line="360" w:lineRule="auto"/>
        <w:ind w:firstLine="420"/>
        <w:jc w:val="both"/>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p>
    <w:p w14:paraId="6121701C">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p>
    <w:p w14:paraId="6BC5D2D3">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发包人：（公章）                </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承包人：（公章）                  </w:t>
      </w:r>
    </w:p>
    <w:p w14:paraId="1212E33A">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地址：                          </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地址：                          </w:t>
      </w:r>
    </w:p>
    <w:p w14:paraId="4248B8E6">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法定代表人：                    </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法定代表人：                    </w:t>
      </w:r>
    </w:p>
    <w:p w14:paraId="36D8009E">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委托代表人：                    </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委托代表人：                     </w:t>
      </w:r>
    </w:p>
    <w:p w14:paraId="583E60D9">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电   话：                       </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电   话：                                </w:t>
      </w:r>
    </w:p>
    <w:p w14:paraId="0163F9F9">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开户银行：                      </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开户银行：                       </w:t>
      </w:r>
    </w:p>
    <w:p w14:paraId="4025EA9A">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账 号：                         </w:t>
      </w:r>
      <w:r>
        <w:rPr>
          <w:rFonts w:hint="eastAsia" w:ascii="宋体" w:hAnsi="宋体" w:cs="宋体"/>
          <w:bCs/>
          <w:i w:val="0"/>
          <w:iCs w:val="0"/>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 xml:space="preserve">账  号：          </w:t>
      </w:r>
    </w:p>
    <w:p w14:paraId="1BCA5E4C">
      <w:pPr>
        <w:keepNext w:val="0"/>
        <w:keepLines w:val="0"/>
        <w:pageBreakBefore w:val="0"/>
        <w:widowControl w:val="0"/>
        <w:spacing w:line="360" w:lineRule="auto"/>
        <w:ind w:firstLine="420"/>
        <w:jc w:val="both"/>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bidi="ar-SA"/>
          <w14:textFill>
            <w14:solidFill>
              <w14:schemeClr w14:val="tx1"/>
            </w14:solidFill>
          </w14:textFill>
        </w:rPr>
        <w:t>签订时间：年   月   日</w:t>
      </w:r>
    </w:p>
    <w:p w14:paraId="6D727C0F">
      <w:pPr>
        <w:keepNext w:val="0"/>
        <w:keepLines w:val="0"/>
        <w:widowControl/>
        <w:spacing w:before="0" w:after="0" w:line="240" w:lineRule="auto"/>
        <w:jc w:val="left"/>
        <w:outlineLvl w:val="9"/>
        <w:rPr>
          <w:rFonts w:hint="eastAsia" w:ascii="宋体" w:hAnsi="宋体" w:eastAsia="宋体" w:cs="宋体"/>
          <w:b/>
          <w:i w:val="0"/>
          <w:iCs w:val="0"/>
          <w:color w:val="000000" w:themeColor="text1"/>
          <w:sz w:val="24"/>
          <w:szCs w:val="24"/>
          <w:highlight w:val="none"/>
          <w:lang w:val="en-US" w:eastAsia="zh-CN" w:bidi="ar-SA"/>
          <w14:textFill>
            <w14:solidFill>
              <w14:schemeClr w14:val="tx1"/>
            </w14:solidFill>
          </w14:textFill>
        </w:rPr>
      </w:pPr>
      <w:bookmarkStart w:id="118" w:name="_Toc515874989"/>
      <w:bookmarkStart w:id="119" w:name="_Toc5360"/>
      <w:bookmarkStart w:id="120" w:name="_Toc498006745"/>
      <w:r>
        <w:rPr>
          <w:rFonts w:hint="eastAsia" w:ascii="宋体" w:hAnsi="宋体" w:eastAsia="宋体" w:cs="宋体"/>
          <w:i w:val="0"/>
          <w:iCs w:val="0"/>
          <w:color w:val="000000" w:themeColor="text1"/>
          <w:sz w:val="24"/>
          <w:szCs w:val="24"/>
          <w:highlight w:val="none"/>
          <w14:textFill>
            <w14:solidFill>
              <w14:schemeClr w14:val="tx1"/>
            </w14:solidFill>
          </w14:textFill>
        </w:rPr>
        <w:br w:type="page" w:clear="all"/>
      </w:r>
      <w:bookmarkEnd w:id="118"/>
      <w:bookmarkEnd w:id="119"/>
      <w:bookmarkEnd w:id="120"/>
    </w:p>
    <w:p w14:paraId="2042AB53">
      <w:pPr>
        <w:spacing w:line="360" w:lineRule="auto"/>
        <w:ind w:firstLine="0"/>
        <w:jc w:val="center"/>
        <w:rPr>
          <w:rFonts w:hint="eastAsia" w:ascii="宋体" w:hAnsi="宋体" w:eastAsia="宋体" w:cs="宋体"/>
          <w:b/>
          <w:i w:val="0"/>
          <w:iCs w:val="0"/>
          <w:color w:val="000000" w:themeColor="text1"/>
          <w:sz w:val="24"/>
          <w:szCs w:val="24"/>
          <w:highlight w:val="none"/>
          <w:lang w:val="zh-CN" w:eastAsia="zh-CN"/>
          <w14:textFill>
            <w14:solidFill>
              <w14:schemeClr w14:val="tx1"/>
            </w14:solidFill>
          </w14:textFill>
        </w:rPr>
      </w:pPr>
      <w:r>
        <w:rPr>
          <w:rFonts w:hint="eastAsia" w:ascii="宋体" w:hAnsi="宋体" w:eastAsia="宋体" w:cs="宋体"/>
          <w:b/>
          <w:i w:val="0"/>
          <w:iCs w:val="0"/>
          <w:color w:val="000000" w:themeColor="text1"/>
          <w:sz w:val="24"/>
          <w:szCs w:val="24"/>
          <w:highlight w:val="none"/>
          <w:lang w:val="zh-CN" w:eastAsia="zh-CN"/>
          <w14:textFill>
            <w14:solidFill>
              <w14:schemeClr w14:val="tx1"/>
            </w14:solidFill>
          </w14:textFill>
        </w:rPr>
        <w:t>第二部分 通用合同条款</w:t>
      </w:r>
    </w:p>
    <w:p w14:paraId="545A0BED">
      <w:pPr>
        <w:spacing w:line="360" w:lineRule="auto"/>
        <w:ind w:firstLine="0"/>
        <w:jc w:val="center"/>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lang w:eastAsia="zh-CN"/>
          <w14:textFill>
            <w14:solidFill>
              <w14:schemeClr w14:val="tx1"/>
            </w14:solidFill>
          </w14:textFill>
        </w:rPr>
        <w:t>详见</w:t>
      </w:r>
      <w:r>
        <w:rPr>
          <w:rFonts w:hint="eastAsia" w:ascii="宋体" w:hAnsi="宋体" w:eastAsia="宋体" w:cs="宋体"/>
          <w:b/>
          <w:i w:val="0"/>
          <w:iCs w:val="0"/>
          <w:color w:val="000000" w:themeColor="text1"/>
          <w:sz w:val="24"/>
          <w:szCs w:val="24"/>
          <w:highlight w:val="none"/>
          <w14:textFill>
            <w14:solidFill>
              <w14:schemeClr w14:val="tx1"/>
            </w14:solidFill>
          </w14:textFill>
        </w:rPr>
        <w:t>《建设工程施工合同（示范文本）》（GF-2017-0201）</w:t>
      </w:r>
      <w:r>
        <w:rPr>
          <w:rFonts w:hint="eastAsia" w:ascii="宋体" w:hAnsi="宋体" w:eastAsia="宋体" w:cs="宋体"/>
          <w:b/>
          <w:i w:val="0"/>
          <w:iCs w:val="0"/>
          <w:color w:val="000000" w:themeColor="text1"/>
          <w:sz w:val="24"/>
          <w:szCs w:val="24"/>
          <w:highlight w:val="none"/>
          <w:lang w:eastAsia="zh-CN"/>
          <w14:textFill>
            <w14:solidFill>
              <w14:schemeClr w14:val="tx1"/>
            </w14:solidFill>
          </w14:textFill>
        </w:rPr>
        <w:t>通用合同条款</w:t>
      </w:r>
      <w:r>
        <w:rPr>
          <w:rFonts w:hint="eastAsia" w:ascii="宋体" w:hAnsi="宋体" w:eastAsia="宋体" w:cs="宋体"/>
          <w:b/>
          <w:i w:val="0"/>
          <w:iCs w:val="0"/>
          <w:color w:val="000000" w:themeColor="text1"/>
          <w:sz w:val="24"/>
          <w:szCs w:val="24"/>
          <w:highlight w:val="none"/>
          <w14:textFill>
            <w14:solidFill>
              <w14:schemeClr w14:val="tx1"/>
            </w14:solidFill>
          </w14:textFill>
        </w:rPr>
        <w:t>。</w:t>
      </w:r>
    </w:p>
    <w:p w14:paraId="1D9CD829">
      <w:pPr>
        <w:tabs>
          <w:tab w:val="left" w:pos="0"/>
        </w:tabs>
        <w:spacing w:line="360" w:lineRule="auto"/>
        <w:ind w:right="-36" w:firstLine="604"/>
        <w:rPr>
          <w:rFonts w:hint="eastAsia" w:ascii="宋体" w:hAnsi="宋体" w:eastAsia="宋体" w:cs="宋体"/>
          <w:i w:val="0"/>
          <w:iCs w:val="0"/>
          <w:color w:val="000000" w:themeColor="text1"/>
          <w:sz w:val="24"/>
          <w:szCs w:val="24"/>
          <w:highlight w:val="none"/>
          <w14:textFill>
            <w14:solidFill>
              <w14:schemeClr w14:val="tx1"/>
            </w14:solidFill>
          </w14:textFill>
        </w:rPr>
      </w:pPr>
    </w:p>
    <w:p w14:paraId="24E1CE74">
      <w:pPr>
        <w:pageBreakBefore w:val="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sectPr>
          <w:footerReference r:id="rId9" w:type="default"/>
          <w:pgSz w:w="11906" w:h="16838"/>
          <w:pgMar w:top="1134" w:right="1134" w:bottom="1134" w:left="1134" w:header="851" w:footer="907" w:gutter="0"/>
          <w:pgNumType w:fmt="decimal"/>
          <w:cols w:space="0" w:num="1"/>
          <w:titlePg/>
          <w:rtlGutter w:val="0"/>
          <w:docGrid w:linePitch="360" w:charSpace="0"/>
        </w:sectPr>
      </w:pPr>
    </w:p>
    <w:p w14:paraId="03A8A8D3">
      <w:pPr>
        <w:keepNext/>
        <w:keepLines/>
        <w:widowControl w:val="0"/>
        <w:spacing w:before="260" w:after="260" w:line="360" w:lineRule="auto"/>
        <w:ind w:firstLine="3373"/>
        <w:jc w:val="both"/>
        <w:outlineLvl w:val="1"/>
        <w:rPr>
          <w:rFonts w:hint="eastAsia" w:ascii="宋体" w:hAnsi="宋体" w:eastAsia="宋体" w:cs="宋体"/>
          <w:b/>
          <w:bCs/>
          <w:color w:val="000000"/>
          <w:sz w:val="24"/>
          <w:szCs w:val="24"/>
          <w:highlight w:val="none"/>
          <w:lang w:val="zh-CN" w:eastAsia="zh-CN" w:bidi="ar-SA"/>
        </w:rPr>
      </w:pPr>
      <w:bookmarkStart w:id="121" w:name="_Toc26176"/>
      <w:bookmarkStart w:id="122" w:name="_Toc343"/>
      <w:r>
        <w:rPr>
          <w:rFonts w:hint="eastAsia" w:ascii="宋体" w:hAnsi="宋体" w:eastAsia="宋体" w:cs="宋体"/>
          <w:b/>
          <w:bCs/>
          <w:color w:val="000000"/>
          <w:sz w:val="24"/>
          <w:szCs w:val="24"/>
          <w:highlight w:val="none"/>
          <w:lang w:val="zh-CN" w:eastAsia="zh-CN" w:bidi="ar-SA"/>
        </w:rPr>
        <w:t>第三部分 专用合同条款</w:t>
      </w:r>
    </w:p>
    <w:p w14:paraId="717FA2F6">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 一般约定</w:t>
      </w:r>
    </w:p>
    <w:p w14:paraId="283827A8">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 词语定义</w:t>
      </w:r>
    </w:p>
    <w:p w14:paraId="1CCC273E">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1.1.1合同</w:t>
      </w:r>
    </w:p>
    <w:p w14:paraId="1F8B7A3E">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1.1.1.10其他合同文件包括：</w:t>
      </w:r>
      <w:r>
        <w:rPr>
          <w:rFonts w:hint="eastAsia" w:ascii="宋体" w:hAnsi="宋体" w:eastAsia="宋体" w:cs="宋体"/>
          <w:color w:val="000000"/>
          <w:sz w:val="24"/>
          <w:szCs w:val="24"/>
          <w:highlight w:val="none"/>
          <w:u w:val="single"/>
        </w:rPr>
        <w:t>合同履行中，发包人、承包人有关工程的洽商、变更等书面协议或文件视为本合同的组成部分</w:t>
      </w:r>
      <w:r>
        <w:rPr>
          <w:rFonts w:hint="eastAsia" w:ascii="宋体" w:hAnsi="宋体" w:eastAsia="宋体" w:cs="宋体"/>
          <w:color w:val="000000"/>
          <w:sz w:val="24"/>
          <w:szCs w:val="24"/>
          <w:highlight w:val="none"/>
        </w:rPr>
        <w:t>。</w:t>
      </w:r>
    </w:p>
    <w:p w14:paraId="12B8D8B8">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 合同当事人及其他相关方</w:t>
      </w:r>
    </w:p>
    <w:p w14:paraId="53C67572">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1.1.2.4监理人：</w:t>
      </w:r>
    </w:p>
    <w:p w14:paraId="12EF77D9">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    称：</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w:t>
      </w:r>
    </w:p>
    <w:p w14:paraId="440E776C">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资质类别和等级：</w:t>
      </w:r>
      <w:r>
        <w:rPr>
          <w:rFonts w:hint="eastAsia" w:ascii="宋体" w:hAnsi="宋体" w:eastAsia="宋体" w:cs="宋体"/>
          <w:color w:val="000000"/>
          <w:sz w:val="24"/>
          <w:szCs w:val="24"/>
          <w:highlight w:val="none"/>
          <w:u w:val="single"/>
        </w:rPr>
        <w:t>               </w:t>
      </w:r>
      <w:r>
        <w:rPr>
          <w:rFonts w:hint="eastAsia" w:ascii="宋体" w:hAnsi="宋体" w:eastAsia="宋体" w:cs="宋体"/>
          <w:color w:val="000000"/>
          <w:sz w:val="24"/>
          <w:szCs w:val="24"/>
          <w:highlight w:val="none"/>
        </w:rPr>
        <w:t>；</w:t>
      </w:r>
    </w:p>
    <w:p w14:paraId="10D83D34">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580ACDCF">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rPr>
        <w:t>；</w:t>
      </w:r>
    </w:p>
    <w:p w14:paraId="3FFCDBBA">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54787BBC">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1.1.2.5 设计人：</w:t>
      </w:r>
    </w:p>
    <w:p w14:paraId="627DBD0E">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    称：</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w:t>
      </w:r>
    </w:p>
    <w:p w14:paraId="33B41782">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资质类别和等级：</w:t>
      </w:r>
      <w:r>
        <w:rPr>
          <w:rFonts w:hint="eastAsia" w:ascii="宋体" w:hAnsi="宋体" w:eastAsia="宋体" w:cs="宋体"/>
          <w:color w:val="000000"/>
          <w:sz w:val="24"/>
          <w:szCs w:val="24"/>
          <w:highlight w:val="none"/>
          <w:u w:val="single"/>
        </w:rPr>
        <w:t>               </w:t>
      </w:r>
      <w:r>
        <w:rPr>
          <w:rFonts w:hint="eastAsia" w:ascii="宋体" w:hAnsi="宋体" w:eastAsia="宋体" w:cs="宋体"/>
          <w:color w:val="000000"/>
          <w:sz w:val="24"/>
          <w:szCs w:val="24"/>
          <w:highlight w:val="none"/>
        </w:rPr>
        <w:t>；</w:t>
      </w:r>
    </w:p>
    <w:p w14:paraId="4C996E3E">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             </w:t>
      </w:r>
      <w:r>
        <w:rPr>
          <w:rFonts w:hint="eastAsia" w:ascii="宋体" w:hAnsi="宋体" w:eastAsia="宋体" w:cs="宋体"/>
          <w:color w:val="000000"/>
          <w:sz w:val="24"/>
          <w:szCs w:val="24"/>
          <w:highlight w:val="none"/>
        </w:rPr>
        <w:t>；</w:t>
      </w:r>
    </w:p>
    <w:p w14:paraId="21C846D6">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w:t>
      </w:r>
    </w:p>
    <w:p w14:paraId="58BFDA20">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093ECB09">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 工程和设备</w:t>
      </w:r>
    </w:p>
    <w:p w14:paraId="20A16823">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1.1.3.7 作为施工现场组成部分的其他场所包括：</w:t>
      </w:r>
      <w:r>
        <w:rPr>
          <w:rFonts w:hint="eastAsia" w:ascii="宋体" w:hAnsi="宋体" w:eastAsia="宋体" w:cs="宋体"/>
          <w:color w:val="000000"/>
          <w:sz w:val="24"/>
          <w:szCs w:val="24"/>
          <w:highlight w:val="none"/>
          <w:u w:val="single"/>
        </w:rPr>
        <w:t xml:space="preserve"> 临时设施及永久占地</w:t>
      </w:r>
      <w:r>
        <w:rPr>
          <w:rFonts w:hint="eastAsia" w:ascii="宋体" w:hAnsi="宋体" w:eastAsia="宋体" w:cs="宋体"/>
          <w:color w:val="000000"/>
          <w:sz w:val="24"/>
          <w:szCs w:val="24"/>
          <w:highlight w:val="none"/>
        </w:rPr>
        <w:t>。</w:t>
      </w:r>
    </w:p>
    <w:p w14:paraId="3C872E87">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1.1.3.9 永久占地包括：</w:t>
      </w:r>
      <w:r>
        <w:rPr>
          <w:rFonts w:hint="eastAsia" w:ascii="宋体" w:hAnsi="宋体" w:eastAsia="宋体" w:cs="宋体"/>
          <w:color w:val="000000"/>
          <w:sz w:val="24"/>
          <w:szCs w:val="24"/>
          <w:highlight w:val="none"/>
          <w:u w:val="single"/>
        </w:rPr>
        <w:t>用地红线范围内占地</w:t>
      </w:r>
      <w:r>
        <w:rPr>
          <w:rFonts w:hint="eastAsia" w:ascii="宋体" w:hAnsi="宋体" w:eastAsia="宋体" w:cs="宋体"/>
          <w:color w:val="000000"/>
          <w:sz w:val="24"/>
          <w:szCs w:val="24"/>
          <w:highlight w:val="none"/>
        </w:rPr>
        <w:t>。</w:t>
      </w:r>
    </w:p>
    <w:p w14:paraId="4671CB32">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1.1.3.10 临时占地包括：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14:paraId="5DEFA772">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 </w:t>
      </w:r>
    </w:p>
    <w:p w14:paraId="44C72635">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适用于合同的其他规范性文件：</w:t>
      </w:r>
      <w:r>
        <w:rPr>
          <w:rFonts w:hint="eastAsia" w:ascii="宋体" w:hAnsi="宋体" w:eastAsia="宋体" w:cs="宋体"/>
          <w:color w:val="000000"/>
          <w:sz w:val="24"/>
          <w:szCs w:val="24"/>
          <w:highlight w:val="none"/>
          <w:u w:val="single"/>
        </w:rPr>
        <w:t>现行相关法律法规</w:t>
      </w:r>
      <w:r>
        <w:rPr>
          <w:rFonts w:hint="eastAsia" w:ascii="宋体" w:hAnsi="宋体" w:eastAsia="宋体" w:cs="宋体"/>
          <w:color w:val="000000"/>
          <w:sz w:val="24"/>
          <w:szCs w:val="24"/>
          <w:highlight w:val="none"/>
        </w:rPr>
        <w:t>。</w:t>
      </w:r>
    </w:p>
    <w:p w14:paraId="194ACC6C">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 标准和规范</w:t>
      </w:r>
    </w:p>
    <w:p w14:paraId="57CFD19D">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1.4.1适用于工程的标准规范包括：</w:t>
      </w:r>
      <w:r>
        <w:rPr>
          <w:rFonts w:hint="eastAsia" w:ascii="宋体" w:hAnsi="宋体" w:eastAsia="宋体" w:cs="宋体"/>
          <w:color w:val="000000"/>
          <w:sz w:val="24"/>
          <w:szCs w:val="24"/>
          <w:highlight w:val="none"/>
          <w:u w:val="single"/>
        </w:rPr>
        <w:t>详见本工程图纸</w:t>
      </w:r>
      <w:r>
        <w:rPr>
          <w:rFonts w:hint="eastAsia" w:ascii="宋体" w:hAnsi="宋体" w:eastAsia="宋体" w:cs="宋体"/>
          <w:color w:val="000000"/>
          <w:sz w:val="24"/>
          <w:szCs w:val="24"/>
          <w:highlight w:val="none"/>
        </w:rPr>
        <w:t xml:space="preserve"> 。</w:t>
      </w:r>
    </w:p>
    <w:p w14:paraId="07CBE597">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1.4.2 发包人提供国外标准、规范的名称：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70B136B">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发包人提供国外标准、规范的份数：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C2A590B">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94A2655">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1.4.3发包人对工程的技术标准和功能要求的特殊要求：</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val="en-US" w:eastAsia="zh-CN"/>
        </w:rPr>
        <w:t>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B133DA5">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 合同文件的优先顺序</w:t>
      </w:r>
    </w:p>
    <w:p w14:paraId="57F7A381">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合同文件组成及优先顺序为：</w:t>
      </w:r>
      <w:r>
        <w:rPr>
          <w:rFonts w:hint="eastAsia" w:ascii="宋体" w:hAnsi="宋体" w:eastAsia="宋体" w:cs="宋体"/>
          <w:color w:val="000000"/>
          <w:sz w:val="24"/>
          <w:szCs w:val="24"/>
          <w:highlight w:val="none"/>
          <w:u w:val="single"/>
        </w:rPr>
        <w:t>合同协议书、中标通知书、招标文件（含澄清、答疑等补充文件）、投标函、专用合同条款及其附件、通用合同条款、技术标准和要求、图纸、已标价工程量清单以及其他合同文件</w:t>
      </w:r>
      <w:r>
        <w:rPr>
          <w:rFonts w:hint="eastAsia" w:ascii="宋体" w:hAnsi="宋体" w:eastAsia="宋体" w:cs="宋体"/>
          <w:color w:val="000000"/>
          <w:sz w:val="24"/>
          <w:szCs w:val="24"/>
          <w:highlight w:val="none"/>
        </w:rPr>
        <w:t>。</w:t>
      </w:r>
    </w:p>
    <w:p w14:paraId="1404F04A">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 图纸和承包人文件</w:t>
      </w:r>
      <w:r>
        <w:rPr>
          <w:rFonts w:hint="eastAsia" w:ascii="宋体" w:hAnsi="宋体" w:eastAsia="宋体" w:cs="宋体"/>
          <w:color w:val="000000"/>
          <w:sz w:val="24"/>
          <w:szCs w:val="24"/>
          <w:highlight w:val="none"/>
        </w:rPr>
        <w:tab/>
      </w:r>
    </w:p>
    <w:p w14:paraId="15ACBE21">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 图纸的提供</w:t>
      </w:r>
    </w:p>
    <w:p w14:paraId="5EFB8798">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发包人向承包人提供图纸的期限：</w:t>
      </w:r>
      <w:r>
        <w:rPr>
          <w:rFonts w:hint="eastAsia" w:ascii="宋体" w:hAnsi="宋体" w:eastAsia="宋体" w:cs="宋体"/>
          <w:color w:val="000000"/>
          <w:sz w:val="24"/>
          <w:szCs w:val="24"/>
          <w:highlight w:val="none"/>
          <w:u w:val="single"/>
        </w:rPr>
        <w:t>合同协议书签订后3天内</w:t>
      </w:r>
      <w:r>
        <w:rPr>
          <w:rFonts w:hint="eastAsia" w:ascii="宋体" w:hAnsi="宋体" w:eastAsia="宋体" w:cs="宋体"/>
          <w:color w:val="000000"/>
          <w:sz w:val="24"/>
          <w:szCs w:val="24"/>
          <w:highlight w:val="none"/>
        </w:rPr>
        <w:t>；</w:t>
      </w:r>
    </w:p>
    <w:p w14:paraId="26FEE2E0">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发包人向承包人提供图纸的数量：</w:t>
      </w:r>
      <w:r>
        <w:rPr>
          <w:rFonts w:hint="eastAsia" w:ascii="宋体" w:hAnsi="宋体" w:eastAsia="宋体" w:cs="宋体"/>
          <w:color w:val="000000"/>
          <w:sz w:val="24"/>
          <w:szCs w:val="24"/>
          <w:highlight w:val="none"/>
          <w:u w:val="single"/>
        </w:rPr>
        <w:t>三套</w:t>
      </w:r>
      <w:r>
        <w:rPr>
          <w:rFonts w:hint="eastAsia" w:ascii="宋体" w:hAnsi="宋体" w:eastAsia="宋体" w:cs="宋体"/>
          <w:color w:val="000000"/>
          <w:sz w:val="24"/>
          <w:szCs w:val="24"/>
          <w:highlight w:val="none"/>
        </w:rPr>
        <w:t>；</w:t>
      </w:r>
    </w:p>
    <w:p w14:paraId="75D45699">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发包人向承包人提供图纸的内容：</w:t>
      </w:r>
      <w:r>
        <w:rPr>
          <w:rFonts w:hint="eastAsia" w:ascii="宋体" w:hAnsi="宋体" w:eastAsia="宋体" w:cs="宋体"/>
          <w:color w:val="000000"/>
          <w:sz w:val="24"/>
          <w:szCs w:val="24"/>
          <w:highlight w:val="none"/>
          <w:u w:val="single"/>
        </w:rPr>
        <w:t>全套施工图及电子版</w:t>
      </w:r>
      <w:r>
        <w:rPr>
          <w:rFonts w:hint="eastAsia" w:ascii="宋体" w:hAnsi="宋体" w:eastAsia="宋体" w:cs="宋体"/>
          <w:color w:val="000000"/>
          <w:sz w:val="24"/>
          <w:szCs w:val="24"/>
          <w:highlight w:val="none"/>
        </w:rPr>
        <w:t>。</w:t>
      </w:r>
    </w:p>
    <w:p w14:paraId="52DB86E2">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1.6.4 承包人文件</w:t>
      </w:r>
    </w:p>
    <w:p w14:paraId="7BEEA55E">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需要由承包人提供的文件，包括：</w:t>
      </w:r>
      <w:r>
        <w:rPr>
          <w:rFonts w:hint="eastAsia" w:ascii="宋体" w:hAnsi="宋体" w:eastAsia="宋体" w:cs="宋体"/>
          <w:color w:val="000000"/>
          <w:sz w:val="24"/>
          <w:szCs w:val="24"/>
          <w:highlight w:val="none"/>
          <w:u w:val="single"/>
        </w:rPr>
        <w:t>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000000"/>
          <w:sz w:val="24"/>
          <w:szCs w:val="24"/>
          <w:highlight w:val="none"/>
        </w:rPr>
        <w:t>；</w:t>
      </w:r>
    </w:p>
    <w:p w14:paraId="430929FF">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承包人提供的文件的期限为：</w:t>
      </w:r>
      <w:r>
        <w:rPr>
          <w:rFonts w:hint="eastAsia" w:ascii="宋体" w:hAnsi="宋体" w:eastAsia="宋体" w:cs="宋体"/>
          <w:color w:val="000000"/>
          <w:sz w:val="24"/>
          <w:szCs w:val="24"/>
          <w:highlight w:val="none"/>
          <w:u w:val="single"/>
        </w:rPr>
        <w:t>合同签订7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000000"/>
          <w:sz w:val="24"/>
          <w:szCs w:val="24"/>
          <w:highlight w:val="none"/>
        </w:rPr>
        <w:t>；</w:t>
      </w:r>
    </w:p>
    <w:p w14:paraId="718F79A9">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承包人提供的文件的数量为：</w:t>
      </w:r>
      <w:r>
        <w:rPr>
          <w:rFonts w:hint="eastAsia" w:ascii="宋体" w:hAnsi="宋体" w:eastAsia="宋体" w:cs="宋体"/>
          <w:color w:val="000000"/>
          <w:sz w:val="24"/>
          <w:szCs w:val="24"/>
          <w:highlight w:val="none"/>
          <w:u w:val="single"/>
        </w:rPr>
        <w:t>叁套</w:t>
      </w:r>
      <w:r>
        <w:rPr>
          <w:rFonts w:hint="eastAsia" w:ascii="宋体" w:hAnsi="宋体" w:eastAsia="宋体" w:cs="宋体"/>
          <w:color w:val="000000"/>
          <w:sz w:val="24"/>
          <w:szCs w:val="24"/>
          <w:highlight w:val="none"/>
        </w:rPr>
        <w:t>；</w:t>
      </w:r>
    </w:p>
    <w:p w14:paraId="7E154C8F">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承包人提供的文件的形式为：</w:t>
      </w:r>
      <w:r>
        <w:rPr>
          <w:rFonts w:hint="eastAsia" w:ascii="宋体" w:hAnsi="宋体" w:eastAsia="宋体" w:cs="宋体"/>
          <w:color w:val="000000"/>
          <w:sz w:val="24"/>
          <w:szCs w:val="24"/>
          <w:highlight w:val="none"/>
          <w:u w:val="single"/>
        </w:rPr>
        <w:t>书面文件</w:t>
      </w:r>
      <w:r>
        <w:rPr>
          <w:rFonts w:hint="eastAsia" w:ascii="宋体" w:hAnsi="宋体" w:eastAsia="宋体" w:cs="宋体"/>
          <w:color w:val="000000"/>
          <w:sz w:val="24"/>
          <w:szCs w:val="24"/>
          <w:highlight w:val="none"/>
        </w:rPr>
        <w:t>；</w:t>
      </w:r>
    </w:p>
    <w:p w14:paraId="62C95143">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发包人审批承包人文件的期限：</w:t>
      </w:r>
      <w:r>
        <w:rPr>
          <w:rFonts w:hint="eastAsia" w:ascii="宋体" w:hAnsi="宋体" w:eastAsia="宋体" w:cs="宋体"/>
          <w:color w:val="000000"/>
          <w:sz w:val="24"/>
          <w:szCs w:val="24"/>
          <w:highlight w:val="none"/>
          <w:u w:val="single"/>
        </w:rPr>
        <w:t>收到书面文件后7日内</w:t>
      </w:r>
      <w:r>
        <w:rPr>
          <w:rFonts w:hint="eastAsia" w:ascii="宋体" w:hAnsi="宋体" w:eastAsia="宋体" w:cs="宋体"/>
          <w:color w:val="000000"/>
          <w:sz w:val="24"/>
          <w:szCs w:val="24"/>
          <w:highlight w:val="none"/>
        </w:rPr>
        <w:t>。</w:t>
      </w:r>
    </w:p>
    <w:p w14:paraId="394024DE">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1.6.5 现场图纸准备</w:t>
      </w:r>
    </w:p>
    <w:p w14:paraId="6BB6C617">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关于现场图纸准备的约定：</w:t>
      </w:r>
      <w:r>
        <w:rPr>
          <w:rFonts w:hint="eastAsia" w:ascii="宋体" w:hAnsi="宋体" w:eastAsia="宋体" w:cs="宋体"/>
          <w:color w:val="000000"/>
          <w:sz w:val="24"/>
          <w:szCs w:val="24"/>
          <w:highlight w:val="none"/>
          <w:u w:val="single"/>
        </w:rPr>
        <w:t>承包人应在施工现场保留一套完整图纸，供工程师及有关人员进行工程检查时使用</w:t>
      </w:r>
      <w:r>
        <w:rPr>
          <w:rFonts w:hint="eastAsia" w:ascii="宋体" w:hAnsi="宋体" w:eastAsia="宋体" w:cs="宋体"/>
          <w:color w:val="000000"/>
          <w:sz w:val="24"/>
          <w:szCs w:val="24"/>
          <w:highlight w:val="none"/>
        </w:rPr>
        <w:t>。</w:t>
      </w:r>
    </w:p>
    <w:p w14:paraId="5F4A5DA3">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 联络</w:t>
      </w:r>
    </w:p>
    <w:p w14:paraId="36C0794E">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1.7.1发包人和承包人应当在</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天内将与合同有关的通知、批准、证明、证书、指示、指令、要求、请求、同意、意见、确定和决定等书面函件送达对方当事人。</w:t>
      </w:r>
    </w:p>
    <w:p w14:paraId="40DA2839">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1.7.2 发包人接收文件的地点：</w:t>
      </w:r>
      <w:r>
        <w:rPr>
          <w:rFonts w:hint="eastAsia" w:ascii="宋体" w:hAnsi="宋体" w:eastAsia="宋体" w:cs="宋体"/>
          <w:color w:val="000000"/>
          <w:sz w:val="24"/>
          <w:szCs w:val="24"/>
          <w:highlight w:val="none"/>
          <w:u w:val="single"/>
        </w:rPr>
        <w:t>发包人指定地点</w:t>
      </w:r>
      <w:r>
        <w:rPr>
          <w:rFonts w:hint="eastAsia" w:ascii="宋体" w:hAnsi="宋体" w:eastAsia="宋体" w:cs="宋体"/>
          <w:color w:val="000000"/>
          <w:sz w:val="24"/>
          <w:szCs w:val="24"/>
          <w:highlight w:val="none"/>
          <w:u w:val="none"/>
        </w:rPr>
        <w:t>；</w:t>
      </w:r>
    </w:p>
    <w:p w14:paraId="03274045">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发包人指定的接收人为：</w:t>
      </w:r>
      <w:r>
        <w:rPr>
          <w:rFonts w:hint="eastAsia" w:ascii="宋体" w:hAnsi="宋体" w:eastAsia="宋体" w:cs="宋体"/>
          <w:color w:val="000000"/>
          <w:sz w:val="24"/>
          <w:szCs w:val="24"/>
          <w:highlight w:val="none"/>
          <w:u w:val="single"/>
        </w:rPr>
        <w:t>发包人现场代表</w:t>
      </w:r>
      <w:r>
        <w:rPr>
          <w:rFonts w:hint="eastAsia" w:ascii="宋体" w:hAnsi="宋体" w:eastAsia="宋体" w:cs="宋体"/>
          <w:color w:val="000000"/>
          <w:sz w:val="24"/>
          <w:szCs w:val="24"/>
          <w:highlight w:val="none"/>
          <w:u w:val="none"/>
        </w:rPr>
        <w:t>。</w:t>
      </w:r>
    </w:p>
    <w:p w14:paraId="79462DE1">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承包人接收文件的地点：</w:t>
      </w:r>
      <w:r>
        <w:rPr>
          <w:rFonts w:hint="eastAsia" w:ascii="宋体" w:hAnsi="宋体" w:eastAsia="宋体" w:cs="宋体"/>
          <w:color w:val="000000"/>
          <w:sz w:val="24"/>
          <w:szCs w:val="24"/>
          <w:highlight w:val="none"/>
          <w:u w:val="single"/>
        </w:rPr>
        <w:t>双方协商确定</w:t>
      </w:r>
      <w:r>
        <w:rPr>
          <w:rFonts w:hint="eastAsia" w:ascii="宋体" w:hAnsi="宋体" w:eastAsia="宋体" w:cs="宋体"/>
          <w:color w:val="000000"/>
          <w:sz w:val="24"/>
          <w:szCs w:val="24"/>
          <w:highlight w:val="none"/>
        </w:rPr>
        <w:t>；</w:t>
      </w:r>
    </w:p>
    <w:p w14:paraId="08C7EED7">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承包人指定的接收人为：</w:t>
      </w:r>
      <w:r>
        <w:rPr>
          <w:rFonts w:hint="eastAsia" w:ascii="宋体" w:hAnsi="宋体" w:eastAsia="宋体" w:cs="宋体"/>
          <w:color w:val="000000"/>
          <w:sz w:val="24"/>
          <w:szCs w:val="24"/>
          <w:highlight w:val="none"/>
          <w:u w:val="single"/>
        </w:rPr>
        <w:t>双方协商确定</w:t>
      </w:r>
      <w:r>
        <w:rPr>
          <w:rFonts w:hint="eastAsia" w:ascii="宋体" w:hAnsi="宋体" w:eastAsia="宋体" w:cs="宋体"/>
          <w:color w:val="000000"/>
          <w:sz w:val="24"/>
          <w:szCs w:val="24"/>
          <w:highlight w:val="none"/>
        </w:rPr>
        <w:t>。</w:t>
      </w:r>
    </w:p>
    <w:p w14:paraId="74EBAF48">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监理人接收文件的地点：</w:t>
      </w:r>
      <w:r>
        <w:rPr>
          <w:rFonts w:hint="eastAsia" w:ascii="宋体" w:hAnsi="宋体" w:eastAsia="宋体" w:cs="宋体"/>
          <w:color w:val="000000"/>
          <w:sz w:val="24"/>
          <w:szCs w:val="24"/>
          <w:highlight w:val="none"/>
          <w:u w:val="single"/>
        </w:rPr>
        <w:t>双方协商确定</w:t>
      </w:r>
      <w:r>
        <w:rPr>
          <w:rFonts w:hint="eastAsia" w:ascii="宋体" w:hAnsi="宋体" w:eastAsia="宋体" w:cs="宋体"/>
          <w:color w:val="000000"/>
          <w:sz w:val="24"/>
          <w:szCs w:val="24"/>
          <w:highlight w:val="none"/>
        </w:rPr>
        <w:t>；</w:t>
      </w:r>
    </w:p>
    <w:p w14:paraId="3E6958DA">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监理人指定的接收人为：</w:t>
      </w:r>
      <w:r>
        <w:rPr>
          <w:rFonts w:hint="eastAsia" w:ascii="宋体" w:hAnsi="宋体" w:eastAsia="宋体" w:cs="宋体"/>
          <w:color w:val="000000"/>
          <w:sz w:val="24"/>
          <w:szCs w:val="24"/>
          <w:highlight w:val="none"/>
          <w:u w:val="single"/>
        </w:rPr>
        <w:t>双方协商确定</w:t>
      </w:r>
      <w:r>
        <w:rPr>
          <w:rFonts w:hint="eastAsia" w:ascii="宋体" w:hAnsi="宋体" w:eastAsia="宋体" w:cs="宋体"/>
          <w:color w:val="000000"/>
          <w:sz w:val="24"/>
          <w:szCs w:val="24"/>
          <w:highlight w:val="none"/>
        </w:rPr>
        <w:t>。</w:t>
      </w:r>
    </w:p>
    <w:p w14:paraId="1A461B60">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bookmarkStart w:id="123" w:name="_Toc1628"/>
      <w:bookmarkStart w:id="124" w:name="_Toc4216"/>
      <w:r>
        <w:rPr>
          <w:rFonts w:hint="eastAsia" w:ascii="宋体" w:hAnsi="宋体" w:eastAsia="宋体" w:cs="宋体"/>
          <w:color w:val="000000"/>
          <w:sz w:val="24"/>
          <w:szCs w:val="24"/>
          <w:highlight w:val="none"/>
          <w:lang w:val="en-US" w:eastAsia="zh-CN"/>
        </w:rPr>
        <w:t>1.10 交通运输</w:t>
      </w:r>
      <w:bookmarkEnd w:id="123"/>
      <w:bookmarkEnd w:id="124"/>
    </w:p>
    <w:p w14:paraId="0FAFC007">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bookmarkStart w:id="125" w:name="_Toc19515"/>
      <w:r>
        <w:rPr>
          <w:rFonts w:hint="eastAsia" w:ascii="宋体" w:hAnsi="宋体" w:eastAsia="宋体" w:cs="宋体"/>
          <w:color w:val="000000"/>
          <w:sz w:val="24"/>
          <w:szCs w:val="24"/>
          <w:highlight w:val="none"/>
          <w:lang w:val="en-US" w:eastAsia="zh-CN"/>
        </w:rPr>
        <w:t>1</w:t>
      </w:r>
      <w:bookmarkStart w:id="126" w:name="_Toc304295521"/>
      <w:bookmarkStart w:id="127" w:name="_Toc318581155"/>
      <w:bookmarkStart w:id="128" w:name="_Toc300934943"/>
      <w:bookmarkStart w:id="129" w:name="_Toc312677986"/>
      <w:bookmarkStart w:id="130" w:name="_Toc303539100"/>
      <w:r>
        <w:rPr>
          <w:rFonts w:hint="eastAsia" w:ascii="宋体" w:hAnsi="宋体" w:eastAsia="宋体" w:cs="宋体"/>
          <w:color w:val="000000"/>
          <w:sz w:val="24"/>
          <w:szCs w:val="24"/>
          <w:highlight w:val="none"/>
          <w:lang w:val="en-US" w:eastAsia="zh-CN"/>
        </w:rPr>
        <w:t>.10.1 出入现场的权利</w:t>
      </w:r>
      <w:bookmarkEnd w:id="125"/>
    </w:p>
    <w:p w14:paraId="11B7471E">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关于出入现场的权利的约定：</w:t>
      </w:r>
      <w:r>
        <w:rPr>
          <w:rFonts w:hint="eastAsia" w:ascii="宋体" w:hAnsi="宋体" w:eastAsia="宋体" w:cs="宋体"/>
          <w:color w:val="000000"/>
          <w:sz w:val="24"/>
          <w:szCs w:val="24"/>
          <w:highlight w:val="none"/>
          <w:u w:val="single"/>
          <w:lang w:val="en-US" w:eastAsia="zh-CN"/>
        </w:rPr>
        <w:t>由承包人统一管理</w:t>
      </w:r>
      <w:r>
        <w:rPr>
          <w:rFonts w:hint="eastAsia" w:ascii="宋体" w:hAnsi="宋体" w:eastAsia="宋体" w:cs="宋体"/>
          <w:color w:val="000000"/>
          <w:sz w:val="24"/>
          <w:szCs w:val="24"/>
          <w:highlight w:val="none"/>
          <w:lang w:val="en-US" w:eastAsia="zh-CN"/>
        </w:rPr>
        <w:t>。</w:t>
      </w:r>
      <w:bookmarkEnd w:id="126"/>
      <w:bookmarkEnd w:id="127"/>
      <w:bookmarkEnd w:id="128"/>
      <w:bookmarkEnd w:id="129"/>
      <w:bookmarkEnd w:id="130"/>
    </w:p>
    <w:p w14:paraId="655AA2D4">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bookmarkStart w:id="131" w:name="_Toc17894"/>
      <w:bookmarkStart w:id="132" w:name="_Toc22872"/>
      <w:r>
        <w:rPr>
          <w:rFonts w:hint="eastAsia" w:ascii="宋体" w:hAnsi="宋体" w:eastAsia="宋体" w:cs="宋体"/>
          <w:color w:val="000000"/>
          <w:sz w:val="24"/>
          <w:szCs w:val="24"/>
          <w:highlight w:val="none"/>
          <w:lang w:val="en-US" w:eastAsia="zh-CN"/>
        </w:rPr>
        <w:t>1</w:t>
      </w:r>
      <w:bookmarkStart w:id="133" w:name="_Toc318581156"/>
      <w:bookmarkStart w:id="134" w:name="_Toc312677987"/>
      <w:bookmarkStart w:id="135" w:name="_Toc303539101"/>
      <w:bookmarkStart w:id="136" w:name="_Toc300934944"/>
      <w:bookmarkStart w:id="137" w:name="_Toc304295522"/>
      <w:r>
        <w:rPr>
          <w:rFonts w:hint="eastAsia" w:ascii="宋体" w:hAnsi="宋体" w:eastAsia="宋体" w:cs="宋体"/>
          <w:color w:val="000000"/>
          <w:sz w:val="24"/>
          <w:szCs w:val="24"/>
          <w:highlight w:val="none"/>
          <w:lang w:val="en-US" w:eastAsia="zh-CN"/>
        </w:rPr>
        <w:t>.10.3 场内交通</w:t>
      </w:r>
      <w:bookmarkEnd w:id="131"/>
      <w:bookmarkEnd w:id="132"/>
    </w:p>
    <w:p w14:paraId="1FDCDEDA">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关于场外交通和场内交通的边界的约定：</w:t>
      </w:r>
      <w:r>
        <w:rPr>
          <w:rFonts w:hint="eastAsia" w:ascii="宋体" w:hAnsi="宋体" w:eastAsia="宋体" w:cs="宋体"/>
          <w:color w:val="000000"/>
          <w:sz w:val="24"/>
          <w:szCs w:val="24"/>
          <w:highlight w:val="none"/>
          <w:u w:val="single"/>
          <w:lang w:val="en-US" w:eastAsia="zh-CN"/>
        </w:rPr>
        <w:t>无</w:t>
      </w:r>
      <w:r>
        <w:rPr>
          <w:rFonts w:hint="eastAsia" w:ascii="宋体" w:hAnsi="宋体" w:eastAsia="宋体" w:cs="宋体"/>
          <w:color w:val="000000"/>
          <w:sz w:val="24"/>
          <w:szCs w:val="24"/>
          <w:highlight w:val="none"/>
          <w:lang w:val="en-US" w:eastAsia="zh-CN"/>
        </w:rPr>
        <w:t>。</w:t>
      </w:r>
    </w:p>
    <w:p w14:paraId="359B5E1A">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关于发包人向承包人免费提供满足工程施工需要的场内道路和交通设施的约定：</w:t>
      </w:r>
      <w:r>
        <w:rPr>
          <w:rFonts w:hint="eastAsia" w:ascii="宋体" w:hAnsi="宋体" w:eastAsia="宋体" w:cs="宋体"/>
          <w:color w:val="000000"/>
          <w:sz w:val="24"/>
          <w:szCs w:val="24"/>
          <w:highlight w:val="none"/>
          <w:u w:val="single"/>
          <w:lang w:val="en-US" w:eastAsia="zh-CN"/>
        </w:rPr>
        <w:t>现状</w:t>
      </w:r>
      <w:r>
        <w:rPr>
          <w:rFonts w:hint="eastAsia" w:ascii="宋体" w:hAnsi="宋体" w:eastAsia="宋体" w:cs="宋体"/>
          <w:color w:val="000000"/>
          <w:sz w:val="24"/>
          <w:szCs w:val="24"/>
          <w:highlight w:val="none"/>
          <w:lang w:val="en-US" w:eastAsia="zh-CN"/>
        </w:rPr>
        <w:t>。</w:t>
      </w:r>
      <w:bookmarkEnd w:id="133"/>
      <w:bookmarkEnd w:id="134"/>
      <w:bookmarkEnd w:id="135"/>
      <w:bookmarkEnd w:id="136"/>
      <w:bookmarkEnd w:id="137"/>
      <w:bookmarkStart w:id="138" w:name="_Toc318581157"/>
    </w:p>
    <w:p w14:paraId="30C47F8D">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1.10.4超大件和超重件的运输</w:t>
      </w:r>
    </w:p>
    <w:p w14:paraId="2A18870A">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运输超大件或超重件所需的道路和桥梁临时加固改造费用和其他有关费用由承包人承担。</w:t>
      </w:r>
      <w:bookmarkEnd w:id="138"/>
    </w:p>
    <w:p w14:paraId="53119FB4">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bookmarkStart w:id="139" w:name="_Toc19521"/>
      <w:bookmarkStart w:id="140" w:name="_Toc11875"/>
      <w:r>
        <w:rPr>
          <w:rFonts w:hint="eastAsia" w:ascii="宋体" w:hAnsi="宋体" w:eastAsia="宋体" w:cs="宋体"/>
          <w:color w:val="000000"/>
          <w:sz w:val="24"/>
          <w:szCs w:val="24"/>
          <w:highlight w:val="none"/>
          <w:lang w:val="en-US" w:eastAsia="zh-CN"/>
        </w:rPr>
        <w:t>1.11 知识产权</w:t>
      </w:r>
      <w:bookmarkEnd w:id="139"/>
      <w:bookmarkEnd w:id="140"/>
    </w:p>
    <w:p w14:paraId="2AB40AFD">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lang w:val="en-US" w:eastAsia="zh-CN"/>
        </w:rPr>
        <w:t>发包人</w:t>
      </w:r>
      <w:r>
        <w:rPr>
          <w:rFonts w:hint="eastAsia" w:ascii="宋体" w:hAnsi="宋体" w:eastAsia="宋体" w:cs="宋体"/>
          <w:color w:val="000000"/>
          <w:sz w:val="24"/>
          <w:szCs w:val="24"/>
          <w:highlight w:val="none"/>
          <w:lang w:val="en-US" w:eastAsia="zh-CN"/>
        </w:rPr>
        <w:t>。</w:t>
      </w:r>
    </w:p>
    <w:p w14:paraId="5359881B">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关于发包人提供的上述文件的使用限制的要求：</w:t>
      </w:r>
      <w:r>
        <w:rPr>
          <w:rFonts w:hint="eastAsia" w:ascii="宋体" w:hAnsi="宋体" w:eastAsia="宋体" w:cs="宋体"/>
          <w:color w:val="000000"/>
          <w:sz w:val="24"/>
          <w:szCs w:val="24"/>
          <w:highlight w:val="none"/>
          <w:u w:val="single"/>
          <w:lang w:val="en-US" w:eastAsia="zh-CN"/>
        </w:rPr>
        <w:t xml:space="preserve">仅可适用本工程、严禁外流 </w:t>
      </w:r>
      <w:r>
        <w:rPr>
          <w:rFonts w:hint="eastAsia" w:ascii="宋体" w:hAnsi="宋体" w:eastAsia="宋体" w:cs="宋体"/>
          <w:color w:val="000000"/>
          <w:sz w:val="24"/>
          <w:szCs w:val="24"/>
          <w:highlight w:val="none"/>
          <w:lang w:val="en-US" w:eastAsia="zh-CN"/>
        </w:rPr>
        <w:t>。</w:t>
      </w:r>
    </w:p>
    <w:p w14:paraId="2EE432F4">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bookmarkStart w:id="141" w:name="_Toc16760"/>
      <w:bookmarkStart w:id="142" w:name="_Toc8047"/>
      <w:r>
        <w:rPr>
          <w:rFonts w:hint="eastAsia" w:ascii="宋体" w:hAnsi="宋体" w:eastAsia="宋体" w:cs="宋体"/>
          <w:color w:val="000000"/>
          <w:sz w:val="24"/>
          <w:szCs w:val="24"/>
          <w:highlight w:val="none"/>
          <w:lang w:val="en-US" w:eastAsia="zh-CN"/>
        </w:rPr>
        <w:t>1.11.2 关于承包人为实施工程所编制文件的著作权的归属：</w:t>
      </w:r>
      <w:r>
        <w:rPr>
          <w:rFonts w:hint="eastAsia" w:ascii="宋体" w:hAnsi="宋体" w:eastAsia="宋体" w:cs="宋体"/>
          <w:color w:val="000000"/>
          <w:sz w:val="24"/>
          <w:szCs w:val="24"/>
          <w:highlight w:val="none"/>
          <w:u w:val="single"/>
          <w:lang w:val="en-US" w:eastAsia="zh-CN"/>
        </w:rPr>
        <w:t>发包人</w:t>
      </w:r>
      <w:r>
        <w:rPr>
          <w:rFonts w:hint="eastAsia" w:ascii="宋体" w:hAnsi="宋体" w:eastAsia="宋体" w:cs="宋体"/>
          <w:color w:val="000000"/>
          <w:sz w:val="24"/>
          <w:szCs w:val="24"/>
          <w:highlight w:val="none"/>
          <w:lang w:val="en-US" w:eastAsia="zh-CN"/>
        </w:rPr>
        <w:t>。</w:t>
      </w:r>
      <w:bookmarkEnd w:id="141"/>
      <w:bookmarkEnd w:id="142"/>
    </w:p>
    <w:p w14:paraId="407C8C31">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关于承包人提供的上述文件的使用限制的要求：</w:t>
      </w:r>
      <w:r>
        <w:rPr>
          <w:rFonts w:hint="eastAsia" w:ascii="宋体" w:hAnsi="宋体" w:eastAsia="宋体" w:cs="宋体"/>
          <w:color w:val="000000"/>
          <w:sz w:val="24"/>
          <w:szCs w:val="24"/>
          <w:highlight w:val="none"/>
          <w:u w:val="single"/>
          <w:lang w:val="en-US" w:eastAsia="zh-CN"/>
        </w:rPr>
        <w:t xml:space="preserve">仅可适用本工程、严禁外流 </w:t>
      </w:r>
      <w:r>
        <w:rPr>
          <w:rFonts w:hint="eastAsia" w:ascii="宋体" w:hAnsi="宋体" w:eastAsia="宋体" w:cs="宋体"/>
          <w:color w:val="000000"/>
          <w:sz w:val="24"/>
          <w:szCs w:val="24"/>
          <w:highlight w:val="none"/>
          <w:lang w:val="en-US" w:eastAsia="zh-CN"/>
        </w:rPr>
        <w:t>。</w:t>
      </w:r>
    </w:p>
    <w:p w14:paraId="5EFC2A0A">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bookmarkStart w:id="143" w:name="_Toc18355"/>
      <w:bookmarkStart w:id="144" w:name="_Toc25070"/>
      <w:r>
        <w:rPr>
          <w:rFonts w:hint="eastAsia" w:ascii="宋体" w:hAnsi="宋体" w:eastAsia="宋体" w:cs="宋体"/>
          <w:color w:val="000000"/>
          <w:sz w:val="24"/>
          <w:szCs w:val="24"/>
          <w:highlight w:val="none"/>
          <w:lang w:val="en-US" w:eastAsia="zh-CN"/>
        </w:rPr>
        <w:t>1.11.4 承包人在施工过程中所采用的专利、专有技术、技术秘密的使用费的承担方式：</w:t>
      </w:r>
      <w:r>
        <w:rPr>
          <w:rFonts w:hint="eastAsia" w:ascii="宋体" w:hAnsi="宋体" w:eastAsia="宋体" w:cs="宋体"/>
          <w:color w:val="000000"/>
          <w:sz w:val="24"/>
          <w:szCs w:val="24"/>
          <w:highlight w:val="none"/>
          <w:u w:val="single"/>
          <w:lang w:val="en-US" w:eastAsia="zh-CN"/>
        </w:rPr>
        <w:t>由承包人承担</w:t>
      </w:r>
      <w:r>
        <w:rPr>
          <w:rFonts w:hint="eastAsia" w:ascii="宋体" w:hAnsi="宋体" w:eastAsia="宋体" w:cs="宋体"/>
          <w:color w:val="000000"/>
          <w:sz w:val="24"/>
          <w:szCs w:val="24"/>
          <w:highlight w:val="none"/>
          <w:lang w:val="en-US" w:eastAsia="zh-CN"/>
        </w:rPr>
        <w:t>。</w:t>
      </w:r>
      <w:bookmarkEnd w:id="143"/>
      <w:bookmarkEnd w:id="144"/>
    </w:p>
    <w:p w14:paraId="3B4E1917">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1.13工程量清单错误的修正</w:t>
      </w:r>
    </w:p>
    <w:p w14:paraId="74CE7FD3">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出现工程量清单错误时，是否调整合同价格：</w:t>
      </w:r>
      <w:r>
        <w:rPr>
          <w:rFonts w:hint="eastAsia" w:ascii="宋体" w:hAnsi="宋体" w:eastAsia="宋体" w:cs="宋体"/>
          <w:color w:val="000000"/>
          <w:sz w:val="24"/>
          <w:szCs w:val="24"/>
          <w:highlight w:val="none"/>
          <w:u w:val="single"/>
          <w:lang w:val="en-US" w:eastAsia="zh-CN"/>
        </w:rPr>
        <w:t xml:space="preserve">   可以调整  </w:t>
      </w:r>
      <w:r>
        <w:rPr>
          <w:rFonts w:hint="eastAsia" w:ascii="宋体" w:hAnsi="宋体" w:eastAsia="宋体" w:cs="宋体"/>
          <w:color w:val="000000"/>
          <w:sz w:val="24"/>
          <w:szCs w:val="24"/>
          <w:highlight w:val="none"/>
          <w:lang w:val="en-US" w:eastAsia="zh-CN"/>
        </w:rPr>
        <w:t xml:space="preserve"> 。</w:t>
      </w:r>
    </w:p>
    <w:p w14:paraId="09EDE334">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施工单位在施工前应核实图纸和工程量清单，发现图纸和工程量清单不一致时，应第一时间与发包人现场代表联系反应，确定书面回复意见后再进行施工，否则按不利于承包人原则处理。</w:t>
      </w:r>
    </w:p>
    <w:p w14:paraId="2E170C9C">
      <w:pPr>
        <w:widowControl w:val="0"/>
        <w:spacing w:line="360" w:lineRule="auto"/>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如果实际工程量与原清单工程量偏差超过10%，或分项工程变更引起工程量增减或工程量清单数量误差，超过原清单工程量的一定范围时(偏差超过10%)，原合同内的工程量和单价不变，但对增加或减少部分的工程量，以最高投标限价按中标下浮率下浮确定。</w:t>
      </w:r>
    </w:p>
    <w:p w14:paraId="576C8ED2">
      <w:pPr>
        <w:widowControl w:val="0"/>
        <w:spacing w:line="360" w:lineRule="auto"/>
        <w:ind w:firstLine="480"/>
        <w:jc w:val="left"/>
        <w:outlineLvl w:val="9"/>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rPr>
        <w:t>清单项目中特征描述不全的工序，如图纸已明确或已指明引用的规范、图集等或是常规工艺必须的工序，视为已包括在投标报价中。</w:t>
      </w:r>
      <w:r>
        <w:rPr>
          <w:rFonts w:hint="eastAsia" w:ascii="宋体" w:hAnsi="宋体" w:eastAsia="宋体" w:cs="宋体"/>
          <w:color w:val="000000"/>
          <w:sz w:val="24"/>
          <w:szCs w:val="24"/>
          <w:highlight w:val="none"/>
        </w:rPr>
        <w:t xml:space="preserve"> </w:t>
      </w:r>
    </w:p>
    <w:p w14:paraId="46223236">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 发包人</w:t>
      </w:r>
    </w:p>
    <w:p w14:paraId="65E701B5">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 发包人代表</w:t>
      </w:r>
    </w:p>
    <w:p w14:paraId="32D74FD2">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发包人代表：</w:t>
      </w:r>
    </w:p>
    <w:p w14:paraId="5EF804D3">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    </w:t>
      </w:r>
      <w:r>
        <w:rPr>
          <w:rFonts w:hint="eastAsia" w:ascii="宋体" w:hAnsi="宋体" w:eastAsia="宋体" w:cs="宋体"/>
          <w:color w:val="000000"/>
          <w:sz w:val="24"/>
          <w:szCs w:val="24"/>
          <w:highlight w:val="none"/>
        </w:rPr>
        <w:t>；</w:t>
      </w:r>
    </w:p>
    <w:p w14:paraId="15B5E85E">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身份证号：</w:t>
      </w:r>
      <w:r>
        <w:rPr>
          <w:rFonts w:hint="eastAsia" w:ascii="宋体" w:hAnsi="宋体" w:eastAsia="宋体" w:cs="宋体"/>
          <w:color w:val="000000"/>
          <w:sz w:val="24"/>
          <w:szCs w:val="24"/>
          <w:highlight w:val="none"/>
          <w:u w:val="single"/>
        </w:rPr>
        <w:t>      </w:t>
      </w:r>
      <w:r>
        <w:rPr>
          <w:rFonts w:hint="eastAsia" w:ascii="宋体" w:hAnsi="宋体" w:eastAsia="宋体" w:cs="宋体"/>
          <w:color w:val="000000"/>
          <w:sz w:val="24"/>
          <w:szCs w:val="24"/>
          <w:highlight w:val="none"/>
        </w:rPr>
        <w:t>；</w:t>
      </w:r>
    </w:p>
    <w:p w14:paraId="56924794">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务：</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7263E7C5">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   </w:t>
      </w:r>
      <w:r>
        <w:rPr>
          <w:rFonts w:hint="eastAsia" w:ascii="宋体" w:hAnsi="宋体" w:eastAsia="宋体" w:cs="宋体"/>
          <w:color w:val="000000"/>
          <w:sz w:val="24"/>
          <w:szCs w:val="24"/>
          <w:highlight w:val="none"/>
        </w:rPr>
        <w:t>；</w:t>
      </w:r>
    </w:p>
    <w:p w14:paraId="248AE22D">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   </w:t>
      </w:r>
      <w:r>
        <w:rPr>
          <w:rFonts w:hint="eastAsia" w:ascii="宋体" w:hAnsi="宋体" w:eastAsia="宋体" w:cs="宋体"/>
          <w:color w:val="000000"/>
          <w:sz w:val="24"/>
          <w:szCs w:val="24"/>
          <w:highlight w:val="none"/>
        </w:rPr>
        <w:t>；</w:t>
      </w:r>
    </w:p>
    <w:p w14:paraId="2CEA5FBD">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0BE0F26F">
      <w:pPr>
        <w:keepNext w:val="0"/>
        <w:keepLines w:val="0"/>
        <w:pageBreakBefore w:val="0"/>
        <w:widowControl w:val="0"/>
        <w:spacing w:line="360" w:lineRule="auto"/>
        <w:ind w:firstLine="480"/>
        <w:outlineLvl w:val="9"/>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发包人对发包人代表的授权范围如下：</w:t>
      </w:r>
      <w:r>
        <w:rPr>
          <w:rFonts w:hint="eastAsia" w:ascii="宋体" w:hAnsi="宋体" w:eastAsia="宋体" w:cs="宋体"/>
          <w:color w:val="000000"/>
          <w:sz w:val="24"/>
          <w:szCs w:val="24"/>
          <w:highlight w:val="none"/>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highlight w:val="none"/>
        </w:rPr>
        <w:t>。</w:t>
      </w:r>
    </w:p>
    <w:p w14:paraId="20F77711">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 xml:space="preserve"> 施工现场、施工条件和基础资料的提供</w:t>
      </w:r>
    </w:p>
    <w:p w14:paraId="15879D52">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.1 提供施工现场</w:t>
      </w:r>
    </w:p>
    <w:p w14:paraId="2D70FAC4">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关于发包人移交施工现场的期限要求：</w:t>
      </w:r>
      <w:r>
        <w:rPr>
          <w:rFonts w:hint="eastAsia" w:ascii="宋体" w:hAnsi="宋体" w:eastAsia="宋体" w:cs="宋体"/>
          <w:color w:val="000000"/>
          <w:sz w:val="24"/>
          <w:szCs w:val="24"/>
          <w:highlight w:val="none"/>
          <w:u w:val="single"/>
        </w:rPr>
        <w:t xml:space="preserve">发包人应最迟于开工日期7天前向承包人移交施工现场 </w:t>
      </w:r>
      <w:r>
        <w:rPr>
          <w:rFonts w:hint="eastAsia" w:ascii="宋体" w:hAnsi="宋体" w:eastAsia="宋体" w:cs="宋体"/>
          <w:color w:val="000000"/>
          <w:sz w:val="24"/>
          <w:szCs w:val="24"/>
          <w:highlight w:val="none"/>
        </w:rPr>
        <w:t>。</w:t>
      </w:r>
    </w:p>
    <w:p w14:paraId="3AA68CB9">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.2 提供施工条件</w:t>
      </w:r>
    </w:p>
    <w:p w14:paraId="47545786">
      <w:pPr>
        <w:widowControl w:val="0"/>
        <w:spacing w:line="360" w:lineRule="auto"/>
        <w:ind w:firstLine="480"/>
        <w:jc w:val="left"/>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关于发包人应负责提供施工所需要的条件，包括：</w:t>
      </w:r>
      <w:r>
        <w:rPr>
          <w:rFonts w:hint="eastAsia" w:ascii="宋体" w:hAnsi="宋体" w:eastAsia="宋体" w:cs="宋体"/>
          <w:color w:val="000000"/>
          <w:sz w:val="24"/>
          <w:szCs w:val="24"/>
          <w:highlight w:val="none"/>
          <w:u w:val="single"/>
          <w:lang w:val="en-US" w:eastAsia="zh-CN" w:bidi="ar-SA"/>
        </w:rPr>
        <w:t>（1）发包人不提供水源、电源接口，所需水、电由施工单位自行解决。承包人根据现场情况自行考虑供水、供电（含接水、接电费用），费用已包括在合同总价中，以后不作调整；通讯工具自备。（2）施工场地与公共道路的通道开通时间和要求：见现场实际条件，包含在合同价中。</w:t>
      </w:r>
    </w:p>
    <w:p w14:paraId="638952B4">
      <w:pPr>
        <w:widowControl w:val="0"/>
        <w:spacing w:line="360" w:lineRule="auto"/>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2.3 资金来源证明及支付担保</w:t>
      </w:r>
    </w:p>
    <w:p w14:paraId="59E910C6">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发包人提供资金来源证明的期限要求：</w:t>
      </w:r>
      <w:r>
        <w:rPr>
          <w:rFonts w:hint="eastAsia" w:ascii="宋体" w:hAnsi="宋体" w:eastAsia="宋体" w:cs="宋体"/>
          <w:color w:val="000000"/>
          <w:sz w:val="24"/>
          <w:szCs w:val="24"/>
          <w:highlight w:val="none"/>
          <w:u w:val="single"/>
        </w:rPr>
        <w:t xml:space="preserve">执行通用条款 </w:t>
      </w:r>
      <w:r>
        <w:rPr>
          <w:rFonts w:hint="eastAsia" w:ascii="宋体" w:hAnsi="宋体" w:eastAsia="宋体" w:cs="宋体"/>
          <w:color w:val="000000"/>
          <w:sz w:val="24"/>
          <w:szCs w:val="24"/>
          <w:highlight w:val="none"/>
        </w:rPr>
        <w:t>。</w:t>
      </w:r>
    </w:p>
    <w:p w14:paraId="427678DD">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发包人是否提供支付担保：</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w:t>
      </w:r>
    </w:p>
    <w:p w14:paraId="3999D0B0">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发包人提供支付担保的形式：</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w:t>
      </w:r>
    </w:p>
    <w:p w14:paraId="31294170">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 承包人</w:t>
      </w:r>
    </w:p>
    <w:p w14:paraId="5FBFD924">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 承包人的一般义务</w:t>
      </w:r>
    </w:p>
    <w:p w14:paraId="00A8D7D3">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（1）办理法律规定应由承包人办理的许可和批准，并将办理结果书面报送发包人留存；</w:t>
      </w:r>
    </w:p>
    <w:p w14:paraId="75FD1B74">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（2）按法律规定和合同约定完成工程，并在保修期内承担保修义务；</w:t>
      </w:r>
    </w:p>
    <w:p w14:paraId="6E6FC819">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（3）按法律规定和合同约定采取施工安全和环境保护措施，办理工伤保险，确保工程及人员、材料、设备和设施的安全；</w:t>
      </w:r>
    </w:p>
    <w:p w14:paraId="31E7720A">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（4）按合同约定的工作内容和施工进度要求，编制施工组织设计和施工措施计划，并对所有施工作业和施工方法的完备性和安全可靠性负责；</w:t>
      </w:r>
    </w:p>
    <w:p w14:paraId="0C3FABED">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C03A23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保证施工场地清洁符合环境卫生管理的有关规定，交工前应将一切建筑垃圾、施工废弃物清理干净，并运至发包人或政府有关部门指定地点，使完工工程交付发包人后达到正常环境卫生的要求；同时承担因自身原因违反有关规定造成的损失和违约金。</w:t>
      </w:r>
    </w:p>
    <w:p w14:paraId="07B0A1A1">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r>
        <w:rPr>
          <w:rFonts w:hint="eastAsia" w:ascii="宋体" w:hAnsi="宋体" w:eastAsia="宋体" w:cs="宋体"/>
          <w:bCs/>
          <w:color w:val="000000"/>
          <w:sz w:val="24"/>
          <w:szCs w:val="24"/>
          <w:highlight w:val="none"/>
        </w:rPr>
        <w:t>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r>
        <w:rPr>
          <w:rFonts w:hint="eastAsia" w:ascii="宋体" w:hAnsi="宋体" w:eastAsia="宋体" w:cs="宋体"/>
          <w:color w:val="000000"/>
          <w:sz w:val="24"/>
          <w:szCs w:val="24"/>
          <w:highlight w:val="none"/>
        </w:rPr>
        <w:t>。</w:t>
      </w:r>
    </w:p>
    <w:p w14:paraId="4BD526C3">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（8）将发包人按合同约定支付的各项价款专用于合同工程，且应及时支付其雇用人员工资，并及时向分包人支付合同价款；</w:t>
      </w:r>
    </w:p>
    <w:p w14:paraId="2A2CC476">
      <w:pPr>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（9）承包人提交的竣工资料的内容：竣工验收资料、竣工图、完整的竣工结算资料和竣工结算书。</w:t>
      </w:r>
    </w:p>
    <w:p w14:paraId="3C913E03">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承包人需要提交的竣工资料套数：</w:t>
      </w:r>
      <w:r>
        <w:rPr>
          <w:rFonts w:hint="eastAsia" w:ascii="宋体" w:hAnsi="宋体" w:eastAsia="宋体" w:cs="宋体"/>
          <w:color w:val="000000"/>
          <w:sz w:val="24"/>
          <w:szCs w:val="24"/>
          <w:highlight w:val="none"/>
          <w:u w:val="single"/>
        </w:rPr>
        <w:t xml:space="preserve"> 叁套 </w:t>
      </w:r>
      <w:r>
        <w:rPr>
          <w:rFonts w:hint="eastAsia" w:ascii="宋体" w:hAnsi="宋体" w:eastAsia="宋体" w:cs="宋体"/>
          <w:color w:val="000000"/>
          <w:sz w:val="24"/>
          <w:szCs w:val="24"/>
          <w:highlight w:val="none"/>
        </w:rPr>
        <w:t>。</w:t>
      </w:r>
    </w:p>
    <w:p w14:paraId="4ADB88CA">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承包人提交的竣工资料的费用承担：</w:t>
      </w:r>
      <w:r>
        <w:rPr>
          <w:rFonts w:hint="eastAsia" w:ascii="宋体" w:hAnsi="宋体" w:eastAsia="宋体" w:cs="宋体"/>
          <w:color w:val="000000"/>
          <w:sz w:val="24"/>
          <w:szCs w:val="24"/>
          <w:highlight w:val="none"/>
          <w:u w:val="single"/>
        </w:rPr>
        <w:t xml:space="preserve"> 由承包人承担 </w:t>
      </w:r>
      <w:r>
        <w:rPr>
          <w:rFonts w:hint="eastAsia" w:ascii="宋体" w:hAnsi="宋体" w:eastAsia="宋体" w:cs="宋体"/>
          <w:color w:val="000000"/>
          <w:sz w:val="24"/>
          <w:szCs w:val="24"/>
          <w:highlight w:val="none"/>
        </w:rPr>
        <w:t>。</w:t>
      </w:r>
    </w:p>
    <w:p w14:paraId="7306629A">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承包人提交的竣工资料移交时间：</w:t>
      </w:r>
      <w:r>
        <w:rPr>
          <w:rFonts w:hint="eastAsia" w:ascii="宋体" w:hAnsi="宋体" w:eastAsia="宋体" w:cs="宋体"/>
          <w:color w:val="000000"/>
          <w:sz w:val="24"/>
          <w:szCs w:val="24"/>
          <w:highlight w:val="none"/>
          <w:u w:val="single"/>
        </w:rPr>
        <w:t xml:space="preserve"> 工程竣工验收合格后一个月内提供符合城建档案馆和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10万违约金，造成发包人、监理人管理费用的增加，应由承包人承担。发包人保留进一步向承包人索赔补偿损失不足部分的权利 </w:t>
      </w:r>
      <w:r>
        <w:rPr>
          <w:rFonts w:hint="eastAsia" w:ascii="宋体" w:hAnsi="宋体" w:eastAsia="宋体" w:cs="宋体"/>
          <w:color w:val="000000"/>
          <w:sz w:val="24"/>
          <w:szCs w:val="24"/>
          <w:highlight w:val="none"/>
        </w:rPr>
        <w:t>。</w:t>
      </w:r>
    </w:p>
    <w:p w14:paraId="5FC7D971">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承包人提交的竣工资料形式要求：</w:t>
      </w:r>
      <w:r>
        <w:rPr>
          <w:rFonts w:hint="eastAsia" w:ascii="宋体" w:hAnsi="宋体" w:eastAsia="宋体" w:cs="宋体"/>
          <w:color w:val="000000"/>
          <w:sz w:val="24"/>
          <w:szCs w:val="24"/>
          <w:highlight w:val="none"/>
          <w:u w:val="single"/>
        </w:rPr>
        <w:t xml:space="preserve"> 书面文件和电子文件 </w:t>
      </w:r>
      <w:r>
        <w:rPr>
          <w:rFonts w:hint="eastAsia" w:ascii="宋体" w:hAnsi="宋体" w:eastAsia="宋体" w:cs="宋体"/>
          <w:color w:val="000000"/>
          <w:sz w:val="24"/>
          <w:szCs w:val="24"/>
          <w:highlight w:val="none"/>
        </w:rPr>
        <w:t>。</w:t>
      </w:r>
    </w:p>
    <w:p w14:paraId="10C9C405">
      <w:pPr>
        <w:spacing w:line="360" w:lineRule="auto"/>
        <w:ind w:firstLine="24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（10）承包人应履行的其他义务：</w:t>
      </w:r>
      <w:r>
        <w:rPr>
          <w:rFonts w:hint="eastAsia" w:ascii="宋体" w:hAnsi="宋体" w:eastAsia="宋体" w:cs="宋体"/>
          <w:color w:val="000000"/>
          <w:sz w:val="24"/>
          <w:szCs w:val="24"/>
          <w:highlight w:val="none"/>
          <w:u w:val="single"/>
        </w:rPr>
        <w:t>（10.1） 做好邻近建筑物、道路、广场、绿化、地下管线的保护工作，其费用已由承包人在投标报价中自行考虑。因承包人的责任造成的财产和人身损失，由承包人承担费用。</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u w:val="single"/>
          <w:lang w:val="en-US" w:eastAsia="zh-CN"/>
        </w:rPr>
        <w:t>10.2</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u w:val="single"/>
        </w:rPr>
        <w:t>已完工程成品保护的特殊要求及费用承担：由承包人负责成品保护并承担费用。</w:t>
      </w:r>
    </w:p>
    <w:p w14:paraId="538F6CB1">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3.2 </w:t>
      </w:r>
      <w:r>
        <w:rPr>
          <w:rFonts w:hint="eastAsia" w:ascii="宋体" w:hAnsi="宋体" w:eastAsia="宋体" w:cs="宋体"/>
          <w:color w:val="000000"/>
          <w:sz w:val="24"/>
          <w:szCs w:val="24"/>
          <w:highlight w:val="none"/>
          <w:lang w:eastAsia="zh-CN"/>
        </w:rPr>
        <w:t>项目负责人</w:t>
      </w:r>
    </w:p>
    <w:p w14:paraId="7A36B1DE">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w:t>
      </w:r>
      <w:r>
        <w:rPr>
          <w:rFonts w:hint="eastAsia" w:ascii="宋体" w:hAnsi="宋体" w:eastAsia="宋体" w:cs="宋体"/>
          <w:color w:val="000000"/>
          <w:sz w:val="24"/>
          <w:szCs w:val="24"/>
          <w:highlight w:val="none"/>
          <w:lang w:eastAsia="zh-CN"/>
        </w:rPr>
        <w:t>项目负责人</w:t>
      </w:r>
      <w:r>
        <w:rPr>
          <w:rFonts w:hint="eastAsia" w:ascii="宋体" w:hAnsi="宋体" w:eastAsia="宋体" w:cs="宋体"/>
          <w:color w:val="000000"/>
          <w:sz w:val="24"/>
          <w:szCs w:val="24"/>
          <w:highlight w:val="none"/>
        </w:rPr>
        <w:t>：</w:t>
      </w:r>
    </w:p>
    <w:p w14:paraId="06A3808D">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       </w:t>
      </w:r>
      <w:r>
        <w:rPr>
          <w:rFonts w:hint="eastAsia" w:ascii="宋体" w:hAnsi="宋体" w:eastAsia="宋体" w:cs="宋体"/>
          <w:color w:val="000000"/>
          <w:sz w:val="24"/>
          <w:szCs w:val="24"/>
          <w:highlight w:val="none"/>
        </w:rPr>
        <w:t>；</w:t>
      </w:r>
    </w:p>
    <w:p w14:paraId="0E0CBC0A">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身份证号：</w:t>
      </w:r>
      <w:r>
        <w:rPr>
          <w:rFonts w:hint="eastAsia" w:ascii="宋体" w:hAnsi="宋体" w:eastAsia="宋体" w:cs="宋体"/>
          <w:color w:val="000000"/>
          <w:sz w:val="24"/>
          <w:szCs w:val="24"/>
          <w:highlight w:val="none"/>
          <w:u w:val="single"/>
        </w:rPr>
        <w:t>         </w:t>
      </w:r>
      <w:r>
        <w:rPr>
          <w:rFonts w:hint="eastAsia" w:ascii="宋体" w:hAnsi="宋体" w:eastAsia="宋体" w:cs="宋体"/>
          <w:color w:val="000000"/>
          <w:sz w:val="24"/>
          <w:szCs w:val="24"/>
          <w:highlight w:val="none"/>
        </w:rPr>
        <w:t>；</w:t>
      </w:r>
    </w:p>
    <w:p w14:paraId="06A9C1C0">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       </w:t>
      </w:r>
      <w:r>
        <w:rPr>
          <w:rFonts w:hint="eastAsia" w:ascii="宋体" w:hAnsi="宋体" w:eastAsia="宋体" w:cs="宋体"/>
          <w:color w:val="000000"/>
          <w:sz w:val="24"/>
          <w:szCs w:val="24"/>
          <w:highlight w:val="none"/>
        </w:rPr>
        <w:t>；</w:t>
      </w:r>
    </w:p>
    <w:p w14:paraId="0794FC6A">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7638DAC4">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4C1933A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承包人对</w:t>
      </w:r>
      <w:r>
        <w:rPr>
          <w:rFonts w:hint="eastAsia" w:ascii="宋体" w:hAnsi="宋体" w:eastAsia="宋体" w:cs="宋体"/>
          <w:color w:val="000000"/>
          <w:sz w:val="24"/>
          <w:szCs w:val="24"/>
          <w:highlight w:val="none"/>
          <w:lang w:eastAsia="zh-CN"/>
        </w:rPr>
        <w:t>项目负责人</w:t>
      </w:r>
      <w:r>
        <w:rPr>
          <w:rFonts w:hint="eastAsia" w:ascii="宋体" w:hAnsi="宋体" w:eastAsia="宋体" w:cs="宋体"/>
          <w:color w:val="000000"/>
          <w:sz w:val="24"/>
          <w:szCs w:val="24"/>
          <w:highlight w:val="none"/>
        </w:rPr>
        <w:t>的授权范围如下：</w:t>
      </w:r>
    </w:p>
    <w:p w14:paraId="58373B68">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（1）行使</w:t>
      </w:r>
      <w:r>
        <w:rPr>
          <w:rFonts w:hint="eastAsia" w:ascii="宋体" w:hAnsi="宋体" w:eastAsia="宋体" w:cs="宋体"/>
          <w:color w:val="000000"/>
          <w:sz w:val="24"/>
          <w:szCs w:val="24"/>
          <w:highlight w:val="none"/>
          <w:u w:val="single"/>
          <w:lang w:eastAsia="zh-CN"/>
        </w:rPr>
        <w:t>项目负责人</w:t>
      </w:r>
      <w:r>
        <w:rPr>
          <w:rFonts w:hint="eastAsia" w:ascii="宋体" w:hAnsi="宋体" w:eastAsia="宋体" w:cs="宋体"/>
          <w:color w:val="000000"/>
          <w:sz w:val="24"/>
          <w:szCs w:val="24"/>
          <w:highlight w:val="none"/>
          <w:u w:val="single"/>
        </w:rPr>
        <w:t>责权，全面负责该项目的施工管理工作。</w:t>
      </w:r>
    </w:p>
    <w:p w14:paraId="2D3AE66D">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（2）负责与公司总部的信息沟通与协调。</w:t>
      </w:r>
    </w:p>
    <w:p w14:paraId="3D103AB3">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（3）项目资源的组织与调配（包括人力、物资、资金等）。</w:t>
      </w:r>
    </w:p>
    <w:p w14:paraId="186B7E7C">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（4）领导制定项目各项管理目标及保证措施，对实施过程进行监督。</w:t>
      </w:r>
    </w:p>
    <w:p w14:paraId="41CBDE02">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（5）是公司法人在项目上的授权代理，代表公司履行与发包人及协作单位合同。</w:t>
      </w:r>
    </w:p>
    <w:p w14:paraId="7599E9A7">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（6）是本项目的成本、质量、安全、环保、职业安卫体系的第一责任人，对施工全过程和用户负责。</w:t>
      </w:r>
    </w:p>
    <w:p w14:paraId="72017991">
      <w:pPr>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（7）每周按时参加由监理单位组织的工地例会。</w:t>
      </w:r>
    </w:p>
    <w:p w14:paraId="33457DC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（8）</w:t>
      </w:r>
      <w:r>
        <w:rPr>
          <w:rFonts w:hint="eastAsia" w:ascii="宋体" w:hAnsi="宋体" w:eastAsia="宋体" w:cs="宋体"/>
          <w:color w:val="000000"/>
          <w:sz w:val="24"/>
          <w:szCs w:val="24"/>
          <w:highlight w:val="none"/>
          <w:u w:val="single"/>
          <w:lang w:eastAsia="zh-CN"/>
        </w:rPr>
        <w:t>项目负责人</w:t>
      </w:r>
      <w:r>
        <w:rPr>
          <w:rFonts w:hint="eastAsia" w:ascii="宋体" w:hAnsi="宋体" w:eastAsia="宋体" w:cs="宋体"/>
          <w:color w:val="000000"/>
          <w:sz w:val="24"/>
          <w:szCs w:val="24"/>
          <w:highlight w:val="none"/>
          <w:u w:val="single"/>
        </w:rPr>
        <w:t>应履行的其他义务</w:t>
      </w:r>
      <w:r>
        <w:rPr>
          <w:rFonts w:hint="eastAsia" w:ascii="宋体" w:hAnsi="宋体" w:eastAsia="宋体" w:cs="宋体"/>
          <w:color w:val="000000"/>
          <w:sz w:val="24"/>
          <w:szCs w:val="24"/>
          <w:highlight w:val="none"/>
        </w:rPr>
        <w:t>。</w:t>
      </w:r>
    </w:p>
    <w:p w14:paraId="3AE9D996">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w:t>
      </w:r>
      <w:r>
        <w:rPr>
          <w:rFonts w:hint="eastAsia" w:ascii="宋体" w:hAnsi="宋体" w:eastAsia="宋体" w:cs="宋体"/>
          <w:color w:val="000000"/>
          <w:sz w:val="24"/>
          <w:szCs w:val="24"/>
          <w:highlight w:val="none"/>
          <w:lang w:eastAsia="zh-CN"/>
        </w:rPr>
        <w:t>项目负责人</w:t>
      </w:r>
      <w:r>
        <w:rPr>
          <w:rFonts w:hint="eastAsia" w:ascii="宋体" w:hAnsi="宋体" w:eastAsia="宋体" w:cs="宋体"/>
          <w:color w:val="000000"/>
          <w:sz w:val="24"/>
          <w:szCs w:val="24"/>
          <w:highlight w:val="none"/>
        </w:rPr>
        <w:t>每月在施工现场的时间要求：</w:t>
      </w:r>
      <w:r>
        <w:rPr>
          <w:rFonts w:hint="eastAsia" w:ascii="宋体" w:hAnsi="宋体" w:eastAsia="宋体" w:cs="宋体"/>
          <w:color w:val="000000"/>
          <w:sz w:val="24"/>
          <w:szCs w:val="24"/>
          <w:highlight w:val="none"/>
          <w:u w:val="single"/>
        </w:rPr>
        <w:t xml:space="preserve"> 开工之日起到竣工结束，</w:t>
      </w:r>
      <w:r>
        <w:rPr>
          <w:rFonts w:hint="eastAsia" w:ascii="宋体" w:hAnsi="宋体" w:eastAsia="宋体" w:cs="宋体"/>
          <w:color w:val="000000"/>
          <w:sz w:val="24"/>
          <w:szCs w:val="24"/>
          <w:highlight w:val="none"/>
          <w:u w:val="single"/>
          <w:lang w:eastAsia="zh-CN"/>
        </w:rPr>
        <w:t>项目负责人</w:t>
      </w:r>
      <w:r>
        <w:rPr>
          <w:rFonts w:hint="eastAsia" w:ascii="宋体" w:hAnsi="宋体" w:eastAsia="宋体" w:cs="宋体"/>
          <w:color w:val="000000"/>
          <w:sz w:val="24"/>
          <w:szCs w:val="24"/>
          <w:highlight w:val="none"/>
          <w:u w:val="single"/>
        </w:rPr>
        <w:t xml:space="preserve">（包含项目技术负责人）每周至少5日，每天必须保证8小时以上在现场组织施工，离开现场需征得发包人的负责人同意 </w:t>
      </w:r>
      <w:r>
        <w:rPr>
          <w:rFonts w:hint="eastAsia" w:ascii="宋体" w:hAnsi="宋体" w:eastAsia="宋体" w:cs="宋体"/>
          <w:color w:val="000000"/>
          <w:sz w:val="24"/>
          <w:szCs w:val="24"/>
          <w:highlight w:val="none"/>
        </w:rPr>
        <w:t xml:space="preserve"> 。</w:t>
      </w:r>
    </w:p>
    <w:p w14:paraId="7E0008B6">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承包人未提交劳动合同，以及没有为</w:t>
      </w:r>
      <w:r>
        <w:rPr>
          <w:rFonts w:hint="eastAsia" w:ascii="宋体" w:hAnsi="宋体" w:eastAsia="宋体" w:cs="宋体"/>
          <w:color w:val="000000"/>
          <w:sz w:val="24"/>
          <w:szCs w:val="24"/>
          <w:highlight w:val="none"/>
          <w:lang w:eastAsia="zh-CN"/>
        </w:rPr>
        <w:t>项目负责人</w:t>
      </w:r>
      <w:r>
        <w:rPr>
          <w:rFonts w:hint="eastAsia" w:ascii="宋体" w:hAnsi="宋体" w:eastAsia="宋体" w:cs="宋体"/>
          <w:color w:val="000000"/>
          <w:sz w:val="24"/>
          <w:szCs w:val="24"/>
          <w:highlight w:val="none"/>
        </w:rPr>
        <w:t>缴纳社会保险证明的违约责任：</w:t>
      </w:r>
      <w:r>
        <w:rPr>
          <w:rFonts w:hint="eastAsia" w:ascii="宋体" w:hAnsi="宋体" w:eastAsia="宋体" w:cs="宋体"/>
          <w:b/>
          <w:color w:val="000000"/>
          <w:sz w:val="24"/>
          <w:szCs w:val="24"/>
          <w:highlight w:val="none"/>
          <w:u w:val="single"/>
        </w:rPr>
        <w:t>承包人按20万/次支付违约金，同时发包人有权要求承包人更换</w:t>
      </w:r>
      <w:r>
        <w:rPr>
          <w:rFonts w:hint="eastAsia" w:ascii="宋体" w:hAnsi="宋体" w:eastAsia="宋体" w:cs="宋体"/>
          <w:b/>
          <w:color w:val="000000"/>
          <w:sz w:val="24"/>
          <w:szCs w:val="24"/>
          <w:highlight w:val="none"/>
          <w:u w:val="single"/>
          <w:lang w:eastAsia="zh-CN"/>
        </w:rPr>
        <w:t>项目负责人</w:t>
      </w:r>
      <w:r>
        <w:rPr>
          <w:rFonts w:hint="eastAsia" w:ascii="宋体" w:hAnsi="宋体" w:eastAsia="宋体" w:cs="宋体"/>
          <w:b/>
          <w:color w:val="000000"/>
          <w:sz w:val="24"/>
          <w:szCs w:val="24"/>
          <w:highlight w:val="none"/>
          <w:u w:val="single"/>
        </w:rPr>
        <w:t>，且更换后的</w:t>
      </w:r>
      <w:r>
        <w:rPr>
          <w:rFonts w:hint="eastAsia" w:ascii="宋体" w:hAnsi="宋体" w:eastAsia="宋体" w:cs="宋体"/>
          <w:b/>
          <w:color w:val="000000"/>
          <w:sz w:val="24"/>
          <w:szCs w:val="24"/>
          <w:highlight w:val="none"/>
          <w:u w:val="single"/>
          <w:lang w:eastAsia="zh-CN"/>
        </w:rPr>
        <w:t>项目负责人</w:t>
      </w:r>
      <w:r>
        <w:rPr>
          <w:rFonts w:hint="eastAsia" w:ascii="宋体" w:hAnsi="宋体" w:eastAsia="宋体" w:cs="宋体"/>
          <w:b/>
          <w:color w:val="000000"/>
          <w:sz w:val="24"/>
          <w:szCs w:val="24"/>
          <w:highlight w:val="none"/>
          <w:u w:val="single"/>
        </w:rPr>
        <w:t>资质等级、业绩不低于原</w:t>
      </w:r>
      <w:r>
        <w:rPr>
          <w:rFonts w:hint="eastAsia" w:ascii="宋体" w:hAnsi="宋体" w:eastAsia="宋体" w:cs="宋体"/>
          <w:b/>
          <w:color w:val="000000"/>
          <w:sz w:val="24"/>
          <w:szCs w:val="24"/>
          <w:highlight w:val="none"/>
          <w:u w:val="single"/>
          <w:lang w:eastAsia="zh-CN"/>
        </w:rPr>
        <w:t>项目负责人</w:t>
      </w:r>
      <w:r>
        <w:rPr>
          <w:rFonts w:hint="eastAsia" w:ascii="宋体" w:hAnsi="宋体" w:eastAsia="宋体" w:cs="宋体"/>
          <w:b/>
          <w:color w:val="000000"/>
          <w:sz w:val="24"/>
          <w:szCs w:val="24"/>
          <w:highlight w:val="none"/>
          <w:u w:val="single"/>
        </w:rPr>
        <w:t>，否则发包人将解除施工合同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22CD861C">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eastAsia="zh-CN"/>
        </w:rPr>
        <w:t>项目负责人</w:t>
      </w:r>
      <w:r>
        <w:rPr>
          <w:rFonts w:hint="eastAsia" w:ascii="宋体" w:hAnsi="宋体" w:eastAsia="宋体" w:cs="宋体"/>
          <w:color w:val="000000"/>
          <w:sz w:val="24"/>
          <w:szCs w:val="24"/>
          <w:highlight w:val="none"/>
        </w:rPr>
        <w:t>未经批准，擅自离开施工现场的违约责任：</w:t>
      </w:r>
      <w:r>
        <w:rPr>
          <w:rFonts w:hint="eastAsia" w:ascii="宋体" w:hAnsi="宋体" w:eastAsia="宋体" w:cs="宋体"/>
          <w:b/>
          <w:color w:val="000000"/>
          <w:sz w:val="24"/>
          <w:szCs w:val="24"/>
          <w:highlight w:val="none"/>
          <w:u w:val="single"/>
        </w:rPr>
        <w:t>发包人发现</w:t>
      </w:r>
      <w:r>
        <w:rPr>
          <w:rFonts w:hint="eastAsia" w:ascii="宋体" w:hAnsi="宋体" w:eastAsia="宋体" w:cs="宋体"/>
          <w:b/>
          <w:color w:val="000000"/>
          <w:sz w:val="24"/>
          <w:szCs w:val="24"/>
          <w:highlight w:val="none"/>
          <w:u w:val="single"/>
          <w:lang w:eastAsia="zh-CN"/>
        </w:rPr>
        <w:t>项目负责人</w:t>
      </w:r>
      <w:r>
        <w:rPr>
          <w:rFonts w:hint="eastAsia" w:ascii="宋体" w:hAnsi="宋体" w:eastAsia="宋体" w:cs="宋体"/>
          <w:b/>
          <w:color w:val="000000"/>
          <w:sz w:val="24"/>
          <w:szCs w:val="24"/>
          <w:highlight w:val="none"/>
          <w:u w:val="single"/>
        </w:rPr>
        <w:t>擅自离开施工现场的，承包人须向发包人按 5万元/次支付违约金，如累计发现五次</w:t>
      </w:r>
      <w:r>
        <w:rPr>
          <w:rFonts w:hint="eastAsia" w:ascii="宋体" w:hAnsi="宋体" w:eastAsia="宋体" w:cs="宋体"/>
          <w:b/>
          <w:color w:val="000000"/>
          <w:sz w:val="24"/>
          <w:szCs w:val="24"/>
          <w:highlight w:val="none"/>
          <w:u w:val="single"/>
          <w:lang w:eastAsia="zh-CN"/>
        </w:rPr>
        <w:t>项目负责人</w:t>
      </w:r>
      <w:r>
        <w:rPr>
          <w:rFonts w:hint="eastAsia" w:ascii="宋体" w:hAnsi="宋体" w:eastAsia="宋体" w:cs="宋体"/>
          <w:b/>
          <w:color w:val="000000"/>
          <w:sz w:val="24"/>
          <w:szCs w:val="24"/>
          <w:highlight w:val="none"/>
          <w:u w:val="single"/>
        </w:rPr>
        <w:t>擅自离开施工现场，视为承包人擅自更换</w:t>
      </w:r>
      <w:r>
        <w:rPr>
          <w:rFonts w:hint="eastAsia" w:ascii="宋体" w:hAnsi="宋体" w:eastAsia="宋体" w:cs="宋体"/>
          <w:b/>
          <w:color w:val="000000"/>
          <w:sz w:val="24"/>
          <w:szCs w:val="24"/>
          <w:highlight w:val="none"/>
          <w:u w:val="single"/>
          <w:lang w:eastAsia="zh-CN"/>
        </w:rPr>
        <w:t>项目负责人</w:t>
      </w:r>
      <w:r>
        <w:rPr>
          <w:rFonts w:hint="eastAsia" w:ascii="宋体" w:hAnsi="宋体" w:eastAsia="宋体" w:cs="宋体"/>
          <w:color w:val="000000"/>
          <w:sz w:val="24"/>
          <w:szCs w:val="24"/>
          <w:highlight w:val="none"/>
        </w:rPr>
        <w:t>。</w:t>
      </w:r>
    </w:p>
    <w:p w14:paraId="0FFF48A8">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3.2.3 承包人擅自更换</w:t>
      </w:r>
      <w:r>
        <w:rPr>
          <w:rFonts w:hint="eastAsia" w:ascii="宋体" w:hAnsi="宋体" w:eastAsia="宋体" w:cs="宋体"/>
          <w:color w:val="000000"/>
          <w:sz w:val="24"/>
          <w:szCs w:val="24"/>
          <w:highlight w:val="none"/>
          <w:lang w:eastAsia="zh-CN"/>
        </w:rPr>
        <w:t>项目负责人</w:t>
      </w:r>
      <w:r>
        <w:rPr>
          <w:rFonts w:hint="eastAsia" w:ascii="宋体" w:hAnsi="宋体" w:eastAsia="宋体" w:cs="宋体"/>
          <w:color w:val="000000"/>
          <w:sz w:val="24"/>
          <w:szCs w:val="24"/>
          <w:highlight w:val="none"/>
        </w:rPr>
        <w:t>的违约责任：</w:t>
      </w:r>
      <w:r>
        <w:rPr>
          <w:rFonts w:hint="eastAsia" w:ascii="宋体" w:hAnsi="宋体" w:eastAsia="宋体" w:cs="宋体"/>
          <w:b/>
          <w:color w:val="000000"/>
          <w:sz w:val="24"/>
          <w:szCs w:val="24"/>
          <w:highlight w:val="none"/>
          <w:u w:val="single"/>
        </w:rPr>
        <w:t>因故伤残或重大疾病丧失工作能力或死亡的、调离承包人单位的、被有关部门责令吊销执业资格的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F4E6C55">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3.2.4 承包人无正当理由拒绝更换</w:t>
      </w:r>
      <w:r>
        <w:rPr>
          <w:rFonts w:hint="eastAsia" w:ascii="宋体" w:hAnsi="宋体" w:eastAsia="宋体" w:cs="宋体"/>
          <w:color w:val="000000"/>
          <w:sz w:val="24"/>
          <w:szCs w:val="24"/>
          <w:highlight w:val="none"/>
          <w:lang w:eastAsia="zh-CN"/>
        </w:rPr>
        <w:t>项目负责人</w:t>
      </w:r>
      <w:r>
        <w:rPr>
          <w:rFonts w:hint="eastAsia" w:ascii="宋体" w:hAnsi="宋体" w:eastAsia="宋体" w:cs="宋体"/>
          <w:color w:val="000000"/>
          <w:sz w:val="24"/>
          <w:szCs w:val="24"/>
          <w:highlight w:val="none"/>
        </w:rPr>
        <w:t>的违约责任：</w:t>
      </w:r>
      <w:r>
        <w:rPr>
          <w:rFonts w:hint="eastAsia" w:ascii="宋体" w:hAnsi="宋体" w:eastAsia="宋体" w:cs="宋体"/>
          <w:b/>
          <w:bCs/>
          <w:color w:val="000000"/>
          <w:sz w:val="24"/>
          <w:szCs w:val="24"/>
          <w:highlight w:val="none"/>
          <w:u w:val="single"/>
        </w:rPr>
        <w:t xml:space="preserve">扣除承包人的全部履约保证金并解除施工合同 </w:t>
      </w:r>
      <w:r>
        <w:rPr>
          <w:rFonts w:hint="eastAsia" w:ascii="宋体" w:hAnsi="宋体" w:eastAsia="宋体" w:cs="宋体"/>
          <w:color w:val="000000"/>
          <w:sz w:val="24"/>
          <w:szCs w:val="24"/>
          <w:highlight w:val="none"/>
        </w:rPr>
        <w:t>。</w:t>
      </w:r>
    </w:p>
    <w:p w14:paraId="6FA03031">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 承包人人员</w:t>
      </w:r>
    </w:p>
    <w:p w14:paraId="4FFC841A">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3.3.1 承包人提交项目管理机构及施工现场管理人员安排报告的期限：</w:t>
      </w:r>
      <w:r>
        <w:rPr>
          <w:rFonts w:hint="eastAsia" w:ascii="宋体" w:hAnsi="宋体" w:eastAsia="宋体" w:cs="宋体"/>
          <w:color w:val="000000"/>
          <w:sz w:val="24"/>
          <w:szCs w:val="24"/>
          <w:highlight w:val="none"/>
          <w:u w:val="single"/>
        </w:rPr>
        <w:t xml:space="preserve">接到开工令7天内 </w:t>
      </w:r>
      <w:r>
        <w:rPr>
          <w:rFonts w:hint="eastAsia" w:ascii="宋体" w:hAnsi="宋体" w:eastAsia="宋体" w:cs="宋体"/>
          <w:color w:val="000000"/>
          <w:sz w:val="24"/>
          <w:szCs w:val="24"/>
          <w:highlight w:val="none"/>
        </w:rPr>
        <w:t>。</w:t>
      </w:r>
    </w:p>
    <w:p w14:paraId="4E8737C1">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3.3.3 承包人无正当理由拒绝撤换主要施工管理人员的违约责任：</w:t>
      </w:r>
      <w:r>
        <w:rPr>
          <w:rFonts w:hint="eastAsia" w:ascii="宋体" w:hAnsi="宋体" w:eastAsia="宋体" w:cs="宋体"/>
          <w:b/>
          <w:color w:val="000000"/>
          <w:sz w:val="24"/>
          <w:szCs w:val="24"/>
          <w:highlight w:val="none"/>
          <w:u w:val="single"/>
        </w:rPr>
        <w:t>发包人有权解除合同，追回已经支付的</w:t>
      </w:r>
      <w:r>
        <w:rPr>
          <w:rFonts w:hint="eastAsia" w:ascii="宋体" w:hAnsi="宋体" w:eastAsia="宋体" w:cs="宋体"/>
          <w:b/>
          <w:color w:val="000000"/>
          <w:sz w:val="24"/>
          <w:szCs w:val="24"/>
          <w:highlight w:val="none"/>
          <w:u w:val="single"/>
          <w:lang w:val="en-US" w:eastAsia="zh-CN"/>
        </w:rPr>
        <w:t>款</w:t>
      </w:r>
      <w:r>
        <w:rPr>
          <w:rFonts w:hint="eastAsia" w:ascii="宋体" w:hAnsi="宋体" w:eastAsia="宋体" w:cs="宋体"/>
          <w:b/>
          <w:color w:val="000000"/>
          <w:sz w:val="24"/>
          <w:szCs w:val="24"/>
          <w:highlight w:val="none"/>
          <w:u w:val="single"/>
        </w:rPr>
        <w:t>项，承包人向发包人支付违约金 10 万元/人次，并报</w:t>
      </w:r>
      <w:r>
        <w:rPr>
          <w:rFonts w:hint="eastAsia" w:ascii="宋体" w:hAnsi="宋体" w:eastAsia="宋体" w:cs="宋体"/>
          <w:b/>
          <w:color w:val="000000"/>
          <w:sz w:val="24"/>
          <w:szCs w:val="24"/>
          <w:highlight w:val="none"/>
          <w:u w:val="single"/>
          <w:lang w:val="en-US" w:eastAsia="zh-CN"/>
        </w:rPr>
        <w:t>相关部门</w:t>
      </w:r>
      <w:r>
        <w:rPr>
          <w:rFonts w:hint="eastAsia" w:ascii="宋体" w:hAnsi="宋体" w:eastAsia="宋体" w:cs="宋体"/>
          <w:b/>
          <w:color w:val="000000"/>
          <w:sz w:val="24"/>
          <w:szCs w:val="24"/>
          <w:highlight w:val="none"/>
          <w:u w:val="single"/>
        </w:rPr>
        <w:t>备案</w:t>
      </w:r>
      <w:r>
        <w:rPr>
          <w:rFonts w:hint="eastAsia" w:ascii="宋体" w:hAnsi="宋体" w:eastAsia="宋体" w:cs="宋体"/>
          <w:color w:val="000000"/>
          <w:sz w:val="24"/>
          <w:szCs w:val="24"/>
          <w:highlight w:val="none"/>
        </w:rPr>
        <w:t>。</w:t>
      </w:r>
    </w:p>
    <w:p w14:paraId="05D74568">
      <w:pPr>
        <w:keepNext w:val="0"/>
        <w:keepLines w:val="0"/>
        <w:pageBreakBefore w:val="0"/>
        <w:widowControl w:val="0"/>
        <w:shd w:val="clear" w:color="auto" w:fill="auto"/>
        <w:spacing w:line="360" w:lineRule="auto"/>
        <w:ind w:left="0"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3.3.4 承包人主要施工管理人员离开施工现场的批准要求：</w:t>
      </w:r>
      <w:r>
        <w:rPr>
          <w:rFonts w:hint="eastAsia" w:ascii="宋体" w:hAnsi="宋体" w:eastAsia="宋体" w:cs="宋体"/>
          <w:color w:val="000000"/>
          <w:sz w:val="24"/>
          <w:szCs w:val="24"/>
          <w:highlight w:val="none"/>
          <w:u w:val="single"/>
        </w:rPr>
        <w:t xml:space="preserve"> 合同签订后，项目班子主要成员不到位，则监理工程师有权不签发开工令，施工中项目管理部的主要成员离开工地应向发包人代表请假，经过批准后方能离开 </w:t>
      </w:r>
      <w:r>
        <w:rPr>
          <w:rFonts w:hint="eastAsia" w:ascii="宋体" w:hAnsi="宋体" w:eastAsia="宋体" w:cs="宋体"/>
          <w:color w:val="000000"/>
          <w:sz w:val="24"/>
          <w:szCs w:val="24"/>
          <w:highlight w:val="none"/>
        </w:rPr>
        <w:t>。</w:t>
      </w:r>
    </w:p>
    <w:p w14:paraId="406DC751">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3.3.5承包人擅自更换主要施工管理人员的违约责任：</w:t>
      </w:r>
      <w:r>
        <w:rPr>
          <w:rFonts w:hint="eastAsia" w:ascii="宋体" w:hAnsi="宋体" w:eastAsia="宋体" w:cs="宋体"/>
          <w:b/>
          <w:color w:val="000000"/>
          <w:sz w:val="24"/>
          <w:szCs w:val="24"/>
          <w:highlight w:val="none"/>
          <w:u w:val="single"/>
        </w:rPr>
        <w:t>承包人需向发包人支付 10万元/人次的违约金</w:t>
      </w:r>
      <w:r>
        <w:rPr>
          <w:rFonts w:hint="eastAsia" w:ascii="宋体" w:hAnsi="宋体" w:eastAsia="宋体" w:cs="宋体"/>
          <w:color w:val="000000"/>
          <w:sz w:val="24"/>
          <w:szCs w:val="24"/>
          <w:highlight w:val="none"/>
        </w:rPr>
        <w:t>。</w:t>
      </w:r>
    </w:p>
    <w:p w14:paraId="74EA0A5A">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承包人主要施工管理人员擅自离开施工现场的违约责任：</w:t>
      </w:r>
      <w:r>
        <w:rPr>
          <w:rFonts w:hint="eastAsia" w:ascii="宋体" w:hAnsi="宋体" w:eastAsia="宋体" w:cs="宋体"/>
          <w:b/>
          <w:color w:val="000000"/>
          <w:sz w:val="24"/>
          <w:szCs w:val="24"/>
          <w:highlight w:val="none"/>
          <w:u w:val="single"/>
          <w:lang w:eastAsia="zh-CN"/>
        </w:rPr>
        <w:t>项目负责人</w:t>
      </w:r>
      <w:r>
        <w:rPr>
          <w:rFonts w:hint="eastAsia" w:ascii="宋体" w:hAnsi="宋体" w:eastAsia="宋体" w:cs="宋体"/>
          <w:b/>
          <w:color w:val="000000"/>
          <w:sz w:val="24"/>
          <w:szCs w:val="24"/>
          <w:highlight w:val="none"/>
          <w:u w:val="single"/>
        </w:rPr>
        <w:t>部主要管理人员(技术负责人、施工员、质量员)，未能常驻现场的，承包人需向发包人支付2万元/天/人的违约金</w:t>
      </w:r>
      <w:r>
        <w:rPr>
          <w:rFonts w:hint="eastAsia" w:ascii="宋体" w:hAnsi="宋体" w:eastAsia="宋体" w:cs="宋体"/>
          <w:color w:val="000000"/>
          <w:sz w:val="24"/>
          <w:szCs w:val="24"/>
          <w:highlight w:val="none"/>
        </w:rPr>
        <w:t xml:space="preserve"> 。</w:t>
      </w:r>
    </w:p>
    <w:p w14:paraId="3DDF33B4">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 xml:space="preserve"> 分包</w:t>
      </w:r>
    </w:p>
    <w:p w14:paraId="13AA37FF">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.1 分包的一般约定</w:t>
      </w:r>
    </w:p>
    <w:p w14:paraId="1BD6C39C">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禁止分包的工程包括</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u w:val="single"/>
          <w:lang w:val="en-US" w:eastAsia="zh-CN"/>
        </w:rPr>
        <w:t>法律法规禁止分包的工程、未经发包人书面同意分包的工程</w:t>
      </w:r>
      <w:r>
        <w:rPr>
          <w:rFonts w:hint="eastAsia" w:ascii="宋体" w:hAnsi="宋体" w:eastAsia="宋体" w:cs="宋体"/>
          <w:color w:val="000000"/>
          <w:sz w:val="24"/>
          <w:szCs w:val="24"/>
          <w:highlight w:val="none"/>
        </w:rPr>
        <w:t>。</w:t>
      </w:r>
    </w:p>
    <w:p w14:paraId="2EAF22A5">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主体结构、关键性工作的范围：</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1252A7CE">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.2分包的确定</w:t>
      </w:r>
    </w:p>
    <w:p w14:paraId="208AB040">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允许分包的专业工程包括：</w:t>
      </w:r>
      <w:r>
        <w:rPr>
          <w:rFonts w:hint="eastAsia" w:ascii="宋体" w:hAnsi="宋体" w:eastAsia="宋体" w:cs="宋体"/>
          <w:color w:val="000000"/>
          <w:sz w:val="24"/>
          <w:szCs w:val="24"/>
          <w:highlight w:val="none"/>
          <w:u w:val="single"/>
          <w:lang w:val="en-US" w:eastAsia="zh-CN"/>
        </w:rPr>
        <w:t>符合法律法规要求，并经发包人书面同意的专业工程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B6C713B">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其他关于分包的约定：</w:t>
      </w:r>
      <w:r>
        <w:rPr>
          <w:rFonts w:hint="eastAsia" w:ascii="宋体" w:hAnsi="宋体" w:eastAsia="宋体" w:cs="宋体"/>
          <w:color w:val="000000"/>
          <w:sz w:val="24"/>
          <w:szCs w:val="24"/>
          <w:highlight w:val="none"/>
          <w:u w:val="single"/>
        </w:rPr>
        <w:t>如承包人违背法律法规分包、或未经发包人书面同意分包，发包方有权解除协议，并要求承包方赔付合同工程款的30%的违约金</w:t>
      </w:r>
      <w:r>
        <w:rPr>
          <w:rFonts w:hint="eastAsia" w:ascii="宋体" w:hAnsi="宋体" w:eastAsia="宋体" w:cs="宋体"/>
          <w:color w:val="000000"/>
          <w:sz w:val="24"/>
          <w:szCs w:val="24"/>
          <w:highlight w:val="none"/>
        </w:rPr>
        <w:t>。</w:t>
      </w:r>
    </w:p>
    <w:p w14:paraId="00B782A2">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.4 分包合同价款</w:t>
      </w:r>
    </w:p>
    <w:p w14:paraId="24EA8BBE">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关于分包合同价款支付的约定：</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2EFB8775">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 xml:space="preserve"> 工程照管与成品、半成品保护</w:t>
      </w:r>
    </w:p>
    <w:p w14:paraId="11EB69EC">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承包人负责照管工程及工程相关的材料、工程设备的起始间：</w:t>
      </w:r>
      <w:r>
        <w:rPr>
          <w:rFonts w:hint="eastAsia" w:ascii="宋体" w:hAnsi="宋体" w:eastAsia="宋体" w:cs="宋体"/>
          <w:color w:val="000000"/>
          <w:sz w:val="24"/>
          <w:szCs w:val="24"/>
          <w:highlight w:val="none"/>
          <w:u w:val="single"/>
        </w:rPr>
        <w:t xml:space="preserve"> 自发包人向承包人移交施工现场之日起，承包人应负责照管工程及工程相关的材料、工程设备的成品保护工作，直到颁发工程接收证书之日止 </w:t>
      </w:r>
      <w:r>
        <w:rPr>
          <w:rFonts w:hint="eastAsia" w:ascii="宋体" w:hAnsi="宋体" w:eastAsia="宋体" w:cs="宋体"/>
          <w:color w:val="000000"/>
          <w:sz w:val="24"/>
          <w:szCs w:val="24"/>
          <w:highlight w:val="none"/>
        </w:rPr>
        <w:t>。</w:t>
      </w:r>
    </w:p>
    <w:p w14:paraId="26C9C809">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 xml:space="preserve"> 履约担保</w:t>
      </w:r>
    </w:p>
    <w:p w14:paraId="16A62DAB">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承包人是否提供履约担保：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57DF044B">
      <w:pPr>
        <w:keepNext w:val="0"/>
        <w:keepLines w:val="0"/>
        <w:pageBreakBefore w:val="0"/>
        <w:widowControl w:val="0"/>
        <w:spacing w:line="360" w:lineRule="auto"/>
        <w:ind w:left="0" w:firstLine="480"/>
        <w:jc w:val="left"/>
        <w:rPr>
          <w:rFonts w:hint="eastAsia" w:ascii="宋体" w:hAnsi="宋体" w:cs="宋体"/>
          <w:color w:val="000000"/>
          <w:sz w:val="24"/>
          <w:szCs w:val="24"/>
          <w:highlight w:val="none"/>
          <w:lang w:val="zh-CN" w:bidi="zh-CN"/>
        </w:rPr>
      </w:pPr>
      <w:r>
        <w:rPr>
          <w:rFonts w:hint="eastAsia" w:ascii="宋体" w:hAnsi="宋体" w:eastAsia="宋体" w:cs="宋体"/>
          <w:color w:val="000000"/>
          <w:sz w:val="24"/>
          <w:szCs w:val="24"/>
          <w:highlight w:val="none"/>
          <w:lang w:val="en-US" w:eastAsia="zh-CN" w:bidi="ar-SA"/>
        </w:rPr>
        <w:t>承包人提供履约担保的形式、金额及期限：</w:t>
      </w:r>
    </w:p>
    <w:p w14:paraId="7CE97A65">
      <w:pPr>
        <w:keepNext w:val="0"/>
        <w:keepLines w:val="0"/>
        <w:pageBreakBefore w:val="0"/>
        <w:widowControl w:val="0"/>
        <w:spacing w:line="360" w:lineRule="auto"/>
        <w:ind w:left="0" w:firstLine="480"/>
        <w:jc w:val="left"/>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履约保证金的形式:支票、汇票、本票或者金融机构、担保机构出具的保函等非现金形式提交；</w:t>
      </w:r>
    </w:p>
    <w:p w14:paraId="0D7D5F9A">
      <w:pPr>
        <w:keepNext w:val="0"/>
        <w:keepLines w:val="0"/>
        <w:pageBreakBefore w:val="0"/>
        <w:widowControl w:val="0"/>
        <w:spacing w:line="360" w:lineRule="auto"/>
        <w:ind w:left="0" w:firstLine="480"/>
        <w:jc w:val="left"/>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履约保证金的金额：合同价的10%；</w:t>
      </w:r>
    </w:p>
    <w:p w14:paraId="3E16A1FA">
      <w:pPr>
        <w:keepNext w:val="0"/>
        <w:keepLines w:val="0"/>
        <w:pageBreakBefore w:val="0"/>
        <w:widowControl w:val="0"/>
        <w:spacing w:line="360" w:lineRule="auto"/>
        <w:ind w:left="0" w:firstLine="480"/>
        <w:jc w:val="left"/>
        <w:rPr>
          <w:rFonts w:hint="eastAsia" w:ascii="宋体" w:hAnsi="宋体" w:eastAsia="宋体" w:cs="宋体"/>
          <w:b/>
          <w:color w:val="000000"/>
          <w:sz w:val="24"/>
          <w:szCs w:val="24"/>
          <w:highlight w:val="none"/>
          <w:u w:val="single"/>
          <w:lang w:val="en-US" w:eastAsia="zh-CN" w:bidi="ar-SA"/>
        </w:rPr>
      </w:pPr>
      <w:r>
        <w:rPr>
          <w:rFonts w:hint="eastAsia" w:ascii="宋体" w:hAnsi="宋体" w:cs="宋体"/>
          <w:color w:val="000000"/>
          <w:sz w:val="24"/>
          <w:szCs w:val="24"/>
          <w:highlight w:val="none"/>
          <w:lang w:val="zh-CN" w:bidi="zh-CN"/>
        </w:rPr>
        <w:t>成交供应商必须在成交公告发出之日起</w:t>
      </w:r>
      <w:r>
        <w:rPr>
          <w:rFonts w:hint="eastAsia" w:ascii="宋体" w:hAnsi="宋体" w:cs="宋体"/>
          <w:color w:val="000000"/>
          <w:sz w:val="24"/>
          <w:szCs w:val="24"/>
          <w:highlight w:val="none"/>
          <w:lang w:val="en-US" w:bidi="zh-CN"/>
        </w:rPr>
        <w:t>10</w:t>
      </w:r>
      <w:r>
        <w:rPr>
          <w:rFonts w:hint="eastAsia" w:ascii="宋体" w:hAnsi="宋体" w:cs="宋体"/>
          <w:color w:val="000000"/>
          <w:sz w:val="24"/>
          <w:szCs w:val="24"/>
          <w:highlight w:val="none"/>
          <w:lang w:val="zh-CN" w:bidi="zh-CN"/>
        </w:rPr>
        <w:t>日内，向采购人提交合同价10%的履约保证金，否则发包人可以取消其中标资格。履约保证金在工程经竣工验收合格后30天内无息退还。</w:t>
      </w:r>
    </w:p>
    <w:p w14:paraId="36C8E263">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4. 监理人</w:t>
      </w:r>
    </w:p>
    <w:p w14:paraId="7822999A">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4.1监理人的一般规定</w:t>
      </w:r>
    </w:p>
    <w:p w14:paraId="0CAE16A6">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关于监理人的监理内容：</w:t>
      </w:r>
      <w:r>
        <w:rPr>
          <w:rFonts w:hint="eastAsia" w:ascii="宋体" w:hAnsi="宋体" w:eastAsia="宋体" w:cs="宋体"/>
          <w:color w:val="000000"/>
          <w:sz w:val="24"/>
          <w:szCs w:val="24"/>
          <w:highlight w:val="none"/>
          <w:u w:val="single"/>
        </w:rPr>
        <w:t xml:space="preserve">工程施工、保修阶段的“三控”“三管”及“组织协调”全部内容 </w:t>
      </w:r>
      <w:r>
        <w:rPr>
          <w:rFonts w:hint="eastAsia" w:ascii="宋体" w:hAnsi="宋体" w:eastAsia="宋体" w:cs="宋体"/>
          <w:color w:val="000000"/>
          <w:sz w:val="24"/>
          <w:szCs w:val="24"/>
          <w:highlight w:val="none"/>
        </w:rPr>
        <w:t>。</w:t>
      </w:r>
    </w:p>
    <w:p w14:paraId="2C43B4C5">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关于监理人的监理权限：</w:t>
      </w:r>
      <w:r>
        <w:rPr>
          <w:rFonts w:hint="eastAsia" w:ascii="宋体" w:hAnsi="宋体" w:eastAsia="宋体" w:cs="宋体"/>
          <w:color w:val="000000"/>
          <w:sz w:val="24"/>
          <w:szCs w:val="24"/>
          <w:highlight w:val="none"/>
          <w:u w:val="single"/>
        </w:rPr>
        <w:t>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000000"/>
          <w:sz w:val="24"/>
          <w:szCs w:val="24"/>
          <w:highlight w:val="none"/>
        </w:rPr>
        <w:t>。</w:t>
      </w:r>
    </w:p>
    <w:p w14:paraId="4AA0E257">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需要取得发包人批准才能行使的职权：</w:t>
      </w:r>
      <w:r>
        <w:rPr>
          <w:rFonts w:hint="eastAsia" w:ascii="宋体" w:hAnsi="宋体" w:eastAsia="宋体" w:cs="宋体"/>
          <w:color w:val="000000"/>
          <w:sz w:val="24"/>
          <w:szCs w:val="24"/>
          <w:highlight w:val="none"/>
          <w:u w:val="single"/>
        </w:rPr>
        <w:t xml:space="preserve">开工令、停工、复工令、重大协调事项及有关设计变更的确认，工程价款的调整报告、工程款支付、施工进度的提前或顺延。 </w:t>
      </w:r>
    </w:p>
    <w:p w14:paraId="7865B290">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关于监理人在施工现场的办公场所、生活场所的提供和费用承担的约定：</w:t>
      </w:r>
      <w:r>
        <w:rPr>
          <w:rFonts w:hint="eastAsia" w:ascii="宋体" w:hAnsi="宋体" w:eastAsia="宋体" w:cs="宋体"/>
          <w:color w:val="000000"/>
          <w:sz w:val="24"/>
          <w:szCs w:val="24"/>
          <w:highlight w:val="none"/>
          <w:u w:val="single"/>
          <w:lang w:val="en-US" w:eastAsia="zh-CN" w:bidi="ar"/>
        </w:rPr>
        <w:t>提供办公场所、办公桌椅，其余自理</w:t>
      </w:r>
      <w:r>
        <w:rPr>
          <w:rFonts w:hint="eastAsia" w:ascii="宋体" w:hAnsi="宋体" w:eastAsia="宋体" w:cs="宋体"/>
          <w:color w:val="000000"/>
          <w:sz w:val="24"/>
          <w:szCs w:val="24"/>
          <w:highlight w:val="none"/>
          <w:u w:val="single"/>
          <w:lang w:val="en-US" w:eastAsia="zh-CN"/>
        </w:rPr>
        <w:t>。</w:t>
      </w:r>
    </w:p>
    <w:p w14:paraId="2B9BB42A">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 监理人员</w:t>
      </w:r>
    </w:p>
    <w:p w14:paraId="1A18D495">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总监理工程师：</w:t>
      </w:r>
    </w:p>
    <w:p w14:paraId="1E959E98">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0C03020E">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务：</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6EF7122C">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监理工程师执业资格证书号：</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rPr>
        <w:t>；</w:t>
      </w:r>
    </w:p>
    <w:p w14:paraId="22C3B356">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2F8BA806">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7E7F53C2">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 </w:t>
      </w:r>
      <w:r>
        <w:rPr>
          <w:rFonts w:hint="eastAsia" w:ascii="宋体" w:hAnsi="宋体" w:eastAsia="宋体" w:cs="宋体"/>
          <w:color w:val="000000"/>
          <w:sz w:val="24"/>
          <w:szCs w:val="24"/>
          <w:highlight w:val="none"/>
        </w:rPr>
        <w:t>；</w:t>
      </w:r>
    </w:p>
    <w:p w14:paraId="7AA7B8A9">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关于监理人的其他约定：</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14:paraId="249FAD50">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 xml:space="preserve"> 商定或确定</w:t>
      </w:r>
    </w:p>
    <w:p w14:paraId="6B259EA3">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在发包人和承包人不能通过协商达成一致意见时，发包人授权监理人对以下事项进行确定：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w:t>
      </w:r>
    </w:p>
    <w:p w14:paraId="5221D101">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5. 工程质量</w:t>
      </w:r>
    </w:p>
    <w:p w14:paraId="6E9DD928">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5.1 质量要求</w:t>
      </w:r>
    </w:p>
    <w:p w14:paraId="5B91CAB3">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5.1.1 特殊质量标准和要求：</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39F73F2">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关于工程奖项的约定：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71F222B">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 xml:space="preserve"> 隐蔽工程检查</w:t>
      </w:r>
    </w:p>
    <w:p w14:paraId="5F322051">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.2承包人提前通知监理人隐蔽工程检查的期限的约定：</w:t>
      </w:r>
      <w:r>
        <w:rPr>
          <w:rFonts w:hint="eastAsia" w:ascii="宋体" w:hAnsi="宋体" w:eastAsia="宋体" w:cs="宋体"/>
          <w:color w:val="000000"/>
          <w:sz w:val="24"/>
          <w:szCs w:val="24"/>
          <w:highlight w:val="none"/>
          <w:u w:val="single"/>
        </w:rPr>
        <w:t>承包人在检查前12小时以书面形式通知监理人</w:t>
      </w:r>
      <w:r>
        <w:rPr>
          <w:rFonts w:hint="eastAsia" w:ascii="宋体" w:hAnsi="宋体" w:eastAsia="宋体" w:cs="宋体"/>
          <w:color w:val="000000"/>
          <w:sz w:val="24"/>
          <w:szCs w:val="24"/>
          <w:highlight w:val="none"/>
        </w:rPr>
        <w:t>。</w:t>
      </w:r>
    </w:p>
    <w:p w14:paraId="6164B7BD">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监理人不能按时进行检查时，应提前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12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小时提交书面延期要求。</w:t>
      </w:r>
    </w:p>
    <w:p w14:paraId="3F51D6D7">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关于延期最长不得超过：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小时。</w:t>
      </w:r>
    </w:p>
    <w:p w14:paraId="441E4B53">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6. 安全文明施工与环境保护</w:t>
      </w:r>
    </w:p>
    <w:p w14:paraId="3E8C42D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6.1安全文明施工</w:t>
      </w:r>
    </w:p>
    <w:p w14:paraId="02765CCB">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6.1.1 项目安全生产的达标目标及相应事项的约定：</w:t>
      </w:r>
      <w:r>
        <w:rPr>
          <w:rFonts w:hint="eastAsia" w:ascii="宋体" w:hAnsi="宋体" w:eastAsia="宋体" w:cs="宋体"/>
          <w:color w:val="auto"/>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484B2CD3">
      <w:pPr>
        <w:spacing w:line="360" w:lineRule="auto"/>
        <w:ind w:firstLine="480"/>
        <w:jc w:val="left"/>
        <w:rPr>
          <w:rFonts w:hint="eastAsia" w:ascii="宋体" w:hAnsi="宋体" w:eastAsia="宋体" w:cs="宋体"/>
          <w:color w:val="auto"/>
          <w:sz w:val="24"/>
          <w:u w:val="single"/>
        </w:rPr>
      </w:pPr>
      <w:r>
        <w:rPr>
          <w:rFonts w:hint="eastAsia" w:ascii="宋体" w:hAnsi="宋体" w:eastAsia="宋体" w:cs="宋体"/>
          <w:color w:val="auto"/>
          <w:sz w:val="24"/>
        </w:rPr>
        <w:t>6.1.2 关于治安保卫的特别约定：</w:t>
      </w:r>
      <w:r>
        <w:rPr>
          <w:rFonts w:hint="eastAsia" w:ascii="宋体" w:hAnsi="宋体" w:eastAsia="宋体" w:cs="宋体"/>
          <w:color w:val="auto"/>
          <w:sz w:val="24"/>
          <w:u w:val="single"/>
        </w:rPr>
        <w:t>建立治安管理机构或联防组织，统一管理施工场地的治安保卫事项，履行合同工程的治安保卫职责。</w:t>
      </w:r>
    </w:p>
    <w:p w14:paraId="15267FA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关于编制施工场地治安管理计划的约定：</w:t>
      </w:r>
      <w:r>
        <w:rPr>
          <w:rFonts w:hint="eastAsia" w:ascii="宋体" w:hAnsi="宋体" w:eastAsia="宋体" w:cs="宋体"/>
          <w:color w:val="auto"/>
          <w:sz w:val="24"/>
          <w:u w:val="single"/>
        </w:rPr>
        <w:t xml:space="preserve">由发包人和承包人共同编制 </w:t>
      </w:r>
      <w:r>
        <w:rPr>
          <w:rFonts w:hint="eastAsia" w:ascii="宋体" w:hAnsi="宋体" w:eastAsia="宋体" w:cs="宋体"/>
          <w:color w:val="auto"/>
          <w:sz w:val="24"/>
        </w:rPr>
        <w:t>。</w:t>
      </w:r>
    </w:p>
    <w:p w14:paraId="3EF7B1E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6.1.3 文明施工</w:t>
      </w:r>
    </w:p>
    <w:p w14:paraId="79C1BB38">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合同当事人对文明施工的要求：</w:t>
      </w:r>
      <w:r>
        <w:rPr>
          <w:rFonts w:hint="eastAsia" w:ascii="宋体" w:hAnsi="宋体" w:eastAsia="宋体" w:cs="宋体"/>
          <w:color w:val="auto"/>
          <w:sz w:val="24"/>
          <w:u w:val="single"/>
        </w:rPr>
        <w:t>保持场地整洁卫生，因为违纪行为发生的清理处罚费用由承包人承担，保证工完料清，并保证工地周围环境整洁。同时，遵守发包人的其它有关管理要求。费用已含在投标报价内。</w:t>
      </w:r>
    </w:p>
    <w:p w14:paraId="12D6C33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承包人要制定生活和环境卫生管理制度，要搞好职工宿舍卫生和食堂的饮食卫生，并做好厕所保洁工作。临时搭建须经发包人批准，且应整齐美观。</w:t>
      </w:r>
    </w:p>
    <w:p w14:paraId="3BBBAF8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6.1.4 关于安全文明施工费支付比例和支付期限的约定：</w:t>
      </w:r>
      <w:r>
        <w:rPr>
          <w:rFonts w:hint="eastAsia" w:ascii="宋体" w:hAnsi="宋体" w:cs="宋体"/>
          <w:color w:val="auto"/>
          <w:sz w:val="24"/>
          <w:u w:val="single"/>
          <w:lang w:val="en-US" w:eastAsia="zh-CN"/>
        </w:rPr>
        <w:t>按相关政策及规范执行</w:t>
      </w:r>
      <w:r>
        <w:rPr>
          <w:rFonts w:hint="eastAsia" w:ascii="宋体" w:hAnsi="宋体" w:eastAsia="宋体" w:cs="宋体"/>
          <w:color w:val="auto"/>
          <w:sz w:val="24"/>
          <w:u w:val="none"/>
        </w:rPr>
        <w:t>。</w:t>
      </w:r>
    </w:p>
    <w:p w14:paraId="120BD865">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auto"/>
          <w:sz w:val="24"/>
        </w:rPr>
        <w:t>承包方必须按发包方要求做好安全文明施工工作，设置必须的围挡及安全警示标志，如达不到发包方要求，发包方有权扣除安全文明措施费。</w:t>
      </w:r>
    </w:p>
    <w:p w14:paraId="5EE0A934">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7. 工期和进度</w:t>
      </w:r>
    </w:p>
    <w:p w14:paraId="6B894CB6">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 施工组织设计</w:t>
      </w:r>
    </w:p>
    <w:p w14:paraId="23C9AB9E">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7.1.1 合同当事人约定的施工组织设计应包括的其他内容：</w:t>
      </w:r>
      <w:r>
        <w:rPr>
          <w:rFonts w:hint="eastAsia" w:ascii="宋体" w:hAnsi="宋体" w:eastAsia="宋体" w:cs="宋体"/>
          <w:b/>
          <w:color w:val="000000"/>
          <w:sz w:val="24"/>
          <w:szCs w:val="24"/>
          <w:highlight w:val="none"/>
          <w:u w:val="single"/>
        </w:rPr>
        <w:t>外围防护措施等，具体根据发包人及监理人要求执行</w:t>
      </w:r>
      <w:r>
        <w:rPr>
          <w:rFonts w:hint="eastAsia" w:ascii="宋体" w:hAnsi="宋体" w:eastAsia="宋体" w:cs="宋体"/>
          <w:color w:val="000000"/>
          <w:sz w:val="24"/>
          <w:szCs w:val="24"/>
          <w:highlight w:val="none"/>
        </w:rPr>
        <w:t>。</w:t>
      </w:r>
    </w:p>
    <w:p w14:paraId="545AA975">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7.1.2 施工组织设计的提交和修改</w:t>
      </w:r>
    </w:p>
    <w:p w14:paraId="05321DA4">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承包人提交详细施工组织设计的期限的约定：</w:t>
      </w:r>
      <w:r>
        <w:rPr>
          <w:rFonts w:hint="eastAsia" w:ascii="宋体" w:hAnsi="宋体" w:eastAsia="宋体" w:cs="宋体"/>
          <w:color w:val="000000"/>
          <w:sz w:val="24"/>
          <w:szCs w:val="24"/>
          <w:highlight w:val="none"/>
          <w:u w:val="single"/>
        </w:rPr>
        <w:t xml:space="preserve">合同签订后7日内 </w:t>
      </w:r>
      <w:r>
        <w:rPr>
          <w:rFonts w:hint="eastAsia" w:ascii="宋体" w:hAnsi="宋体" w:eastAsia="宋体" w:cs="宋体"/>
          <w:color w:val="000000"/>
          <w:sz w:val="24"/>
          <w:szCs w:val="24"/>
          <w:highlight w:val="none"/>
        </w:rPr>
        <w:t>。</w:t>
      </w:r>
    </w:p>
    <w:p w14:paraId="33DAFDD2">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发包人和监理人在收到详细的施工组织设计后确认或提出修改意见</w:t>
      </w:r>
      <w:r>
        <w:rPr>
          <w:rFonts w:hint="eastAsia" w:ascii="宋体" w:hAnsi="宋体" w:eastAsia="宋体" w:cs="宋体"/>
          <w:color w:val="000000"/>
          <w:sz w:val="24"/>
          <w:szCs w:val="24"/>
          <w:highlight w:val="none"/>
          <w:lang w:eastAsia="zh-CN"/>
        </w:rPr>
        <w:t>的期</w:t>
      </w:r>
      <w:r>
        <w:rPr>
          <w:rFonts w:hint="eastAsia" w:ascii="宋体" w:hAnsi="宋体" w:eastAsia="宋体" w:cs="宋体"/>
          <w:color w:val="000000"/>
          <w:sz w:val="24"/>
          <w:szCs w:val="24"/>
          <w:highlight w:val="none"/>
        </w:rPr>
        <w:t>限：</w:t>
      </w:r>
      <w:r>
        <w:rPr>
          <w:rFonts w:hint="eastAsia" w:ascii="宋体" w:hAnsi="宋体" w:eastAsia="宋体" w:cs="宋体"/>
          <w:color w:val="000000"/>
          <w:sz w:val="24"/>
          <w:szCs w:val="24"/>
          <w:highlight w:val="none"/>
          <w:u w:val="single"/>
        </w:rPr>
        <w:t xml:space="preserve"> 收到施工组织设计后7天内  </w:t>
      </w:r>
      <w:r>
        <w:rPr>
          <w:rFonts w:hint="eastAsia" w:ascii="宋体" w:hAnsi="宋体" w:eastAsia="宋体" w:cs="宋体"/>
          <w:color w:val="000000"/>
          <w:sz w:val="24"/>
          <w:szCs w:val="24"/>
          <w:highlight w:val="none"/>
        </w:rPr>
        <w:t>。</w:t>
      </w:r>
    </w:p>
    <w:p w14:paraId="6BA3BAB3">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7.2 施工进度计划</w:t>
      </w:r>
    </w:p>
    <w:p w14:paraId="64D7BD45">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7.2.2 施工进度计划的修订</w:t>
      </w:r>
    </w:p>
    <w:p w14:paraId="40D222F9">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发包人和监理人在收到修订的施工进度计划后确认或提出修改意见的期限：</w:t>
      </w:r>
      <w:r>
        <w:rPr>
          <w:rFonts w:hint="eastAsia" w:ascii="宋体" w:hAnsi="宋体" w:eastAsia="宋体" w:cs="宋体"/>
          <w:color w:val="000000"/>
          <w:sz w:val="24"/>
          <w:szCs w:val="24"/>
          <w:highlight w:val="none"/>
          <w:u w:val="single"/>
        </w:rPr>
        <w:t>收到修订的施工进度计划后7天内</w:t>
      </w:r>
      <w:r>
        <w:rPr>
          <w:rFonts w:hint="eastAsia" w:ascii="宋体" w:hAnsi="宋体" w:eastAsia="宋体" w:cs="宋体"/>
          <w:color w:val="000000"/>
          <w:sz w:val="24"/>
          <w:szCs w:val="24"/>
          <w:highlight w:val="none"/>
        </w:rPr>
        <w:t>。</w:t>
      </w:r>
    </w:p>
    <w:p w14:paraId="144F5D66">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7.3 开工</w:t>
      </w:r>
    </w:p>
    <w:p w14:paraId="1767EF21">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7.3.1 开工准备</w:t>
      </w:r>
    </w:p>
    <w:p w14:paraId="6AED9CA2">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关于承包人提交工程开工报审表的期限：</w:t>
      </w:r>
      <w:r>
        <w:rPr>
          <w:rFonts w:hint="eastAsia" w:ascii="宋体" w:hAnsi="宋体" w:eastAsia="宋体" w:cs="宋体"/>
          <w:color w:val="000000"/>
          <w:sz w:val="24"/>
          <w:szCs w:val="24"/>
          <w:highlight w:val="none"/>
          <w:u w:val="single"/>
        </w:rPr>
        <w:t xml:space="preserve"> 合同签订后7日内 </w:t>
      </w:r>
      <w:r>
        <w:rPr>
          <w:rFonts w:hint="eastAsia" w:ascii="宋体" w:hAnsi="宋体" w:eastAsia="宋体" w:cs="宋体"/>
          <w:color w:val="000000"/>
          <w:sz w:val="24"/>
          <w:szCs w:val="24"/>
          <w:highlight w:val="none"/>
        </w:rPr>
        <w:t>。</w:t>
      </w:r>
    </w:p>
    <w:p w14:paraId="125D68F5">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关于发包人应完成的其他开工准备工作及期限：</w:t>
      </w:r>
      <w:r>
        <w:rPr>
          <w:rFonts w:hint="eastAsia" w:ascii="宋体" w:hAnsi="宋体" w:eastAsia="宋体" w:cs="宋体"/>
          <w:color w:val="000000"/>
          <w:sz w:val="24"/>
          <w:szCs w:val="24"/>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000000"/>
          <w:sz w:val="24"/>
          <w:szCs w:val="24"/>
          <w:highlight w:val="none"/>
        </w:rPr>
        <w:t>。</w:t>
      </w:r>
    </w:p>
    <w:p w14:paraId="446FA79B">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关于承包人应完成的其他开工准备工作及期限：</w:t>
      </w:r>
      <w:r>
        <w:rPr>
          <w:rFonts w:hint="eastAsia" w:ascii="宋体" w:hAnsi="宋体" w:eastAsia="宋体" w:cs="宋体"/>
          <w:color w:val="000000"/>
          <w:sz w:val="24"/>
          <w:szCs w:val="24"/>
          <w:highlight w:val="none"/>
          <w:u w:val="single"/>
        </w:rPr>
        <w:t xml:space="preserve">接到开工通知后7日内完成项目部组建，施工、生活用水电接通到位；承包人施工及生活用水用电费用由承包人承担，费用已含在合同价中 </w:t>
      </w:r>
      <w:r>
        <w:rPr>
          <w:rFonts w:hint="eastAsia" w:ascii="宋体" w:hAnsi="宋体" w:eastAsia="宋体" w:cs="宋体"/>
          <w:color w:val="000000"/>
          <w:sz w:val="24"/>
          <w:szCs w:val="24"/>
          <w:highlight w:val="none"/>
        </w:rPr>
        <w:t>。</w:t>
      </w:r>
    </w:p>
    <w:p w14:paraId="59F6CC63">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7.3.2开工通知</w:t>
      </w:r>
    </w:p>
    <w:p w14:paraId="4A2126B2">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因发包人原因造成监理人未能在计划开工日期之日起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180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天内发出开工通知的，承包人有权提出价格调整要求，或者解除合同。</w:t>
      </w:r>
    </w:p>
    <w:p w14:paraId="5E9B4101">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7.4 测量放线</w:t>
      </w:r>
    </w:p>
    <w:p w14:paraId="6A0655E0">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7.4.1发包人通过监理人向承包人提供测量基准点、基准线和水准点及其书面资料的期限：</w:t>
      </w:r>
      <w:r>
        <w:rPr>
          <w:rFonts w:hint="eastAsia" w:ascii="宋体" w:hAnsi="宋体" w:eastAsia="宋体" w:cs="宋体"/>
          <w:color w:val="000000"/>
          <w:sz w:val="24"/>
          <w:szCs w:val="24"/>
          <w:highlight w:val="none"/>
          <w:u w:val="single"/>
        </w:rPr>
        <w:t xml:space="preserve"> 开工日期7天前 </w:t>
      </w:r>
      <w:r>
        <w:rPr>
          <w:rFonts w:hint="eastAsia" w:ascii="宋体" w:hAnsi="宋体" w:eastAsia="宋体" w:cs="宋体"/>
          <w:color w:val="000000"/>
          <w:sz w:val="24"/>
          <w:szCs w:val="24"/>
          <w:highlight w:val="none"/>
        </w:rPr>
        <w:t>。</w:t>
      </w:r>
    </w:p>
    <w:p w14:paraId="64924EF4">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7.5 工期延误</w:t>
      </w:r>
    </w:p>
    <w:p w14:paraId="5185A001">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7.5.1 因发包人原因导致工期延误</w:t>
      </w:r>
    </w:p>
    <w:p w14:paraId="4637C090">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（7）因发包人原因导致工期延误的其他情形：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5008994">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7.5.2 因承包人原因导致工期延误</w:t>
      </w:r>
    </w:p>
    <w:p w14:paraId="6BFDE375">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因承包人原因造成工期延误，逾期竣工违约金的计算方法为：</w:t>
      </w:r>
      <w:r>
        <w:rPr>
          <w:rFonts w:hint="eastAsia" w:ascii="宋体" w:hAnsi="宋体" w:eastAsia="宋体" w:cs="宋体"/>
          <w:color w:val="000000"/>
          <w:sz w:val="24"/>
          <w:szCs w:val="24"/>
          <w:highlight w:val="none"/>
          <w:u w:val="single"/>
        </w:rPr>
        <w:t>每延误一天，承包人</w:t>
      </w:r>
      <w:r>
        <w:rPr>
          <w:rFonts w:hint="eastAsia" w:ascii="宋体" w:hAnsi="宋体" w:eastAsia="宋体" w:cs="宋体"/>
          <w:color w:val="000000"/>
          <w:sz w:val="24"/>
          <w:szCs w:val="24"/>
          <w:highlight w:val="none"/>
          <w:u w:val="single"/>
          <w:lang w:bidi="ar"/>
        </w:rPr>
        <w:t>承包人须按</w:t>
      </w:r>
      <w:r>
        <w:rPr>
          <w:rFonts w:hint="eastAsia" w:ascii="宋体" w:hAnsi="宋体" w:eastAsia="宋体" w:cs="宋体"/>
          <w:color w:val="000000"/>
          <w:sz w:val="24"/>
          <w:szCs w:val="24"/>
          <w:highlight w:val="none"/>
          <w:u w:val="single"/>
          <w:lang w:val="en-US" w:eastAsia="zh-CN" w:bidi="ar"/>
        </w:rPr>
        <w:t>1</w:t>
      </w:r>
      <w:r>
        <w:rPr>
          <w:rFonts w:hint="eastAsia" w:ascii="宋体" w:hAnsi="宋体" w:eastAsia="宋体" w:cs="宋体"/>
          <w:color w:val="000000"/>
          <w:sz w:val="24"/>
          <w:szCs w:val="24"/>
          <w:highlight w:val="none"/>
          <w:u w:val="single"/>
          <w:lang w:bidi="ar"/>
        </w:rPr>
        <w:t>万元/天向发包人支付违约金</w:t>
      </w:r>
      <w:r>
        <w:rPr>
          <w:rFonts w:hint="eastAsia" w:ascii="宋体" w:hAnsi="宋体" w:eastAsia="宋体" w:cs="宋体"/>
          <w:color w:val="000000"/>
          <w:sz w:val="24"/>
          <w:szCs w:val="24"/>
          <w:highlight w:val="none"/>
          <w:u w:val="single"/>
        </w:rPr>
        <w:t>。对承包人不能按期竣工的，逾期15天仍无法按期竣工的，除支付约定违约金外，发包人有权解除合同，承包人应按发包人要求退场，承包人已完成合格工程量按80%计算工程价款</w:t>
      </w:r>
      <w:r>
        <w:rPr>
          <w:rFonts w:hint="eastAsia" w:ascii="宋体" w:hAnsi="宋体" w:eastAsia="宋体" w:cs="宋体"/>
          <w:color w:val="000000"/>
          <w:sz w:val="24"/>
          <w:szCs w:val="24"/>
          <w:highlight w:val="none"/>
        </w:rPr>
        <w:t>。</w:t>
      </w:r>
    </w:p>
    <w:p w14:paraId="01FC91DB">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7.6 不利物质条件</w:t>
      </w:r>
    </w:p>
    <w:p w14:paraId="5353C340">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不利物质条件的其他情形和有关约定：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ECDA713">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7.7异常恶劣的气候条件</w:t>
      </w:r>
    </w:p>
    <w:p w14:paraId="3A02F000">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发包人和承包人同意以下情形视为异常恶劣的气候条件：</w:t>
      </w:r>
    </w:p>
    <w:p w14:paraId="2EE81B03">
      <w:pPr>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u w:val="single"/>
        </w:rPr>
        <w:t>12级以上台风灾害</w:t>
      </w:r>
      <w:r>
        <w:rPr>
          <w:rFonts w:hint="eastAsia" w:ascii="宋体" w:hAnsi="宋体" w:eastAsia="宋体" w:cs="宋体"/>
          <w:color w:val="000000"/>
          <w:sz w:val="24"/>
          <w:szCs w:val="24"/>
          <w:highlight w:val="none"/>
        </w:rPr>
        <w:t>；</w:t>
      </w:r>
    </w:p>
    <w:p w14:paraId="2B1860D8">
      <w:pPr>
        <w:spacing w:line="360" w:lineRule="auto"/>
        <w:ind w:left="0" w:firstLine="48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lang w:val="en-US" w:eastAsia="zh-CN"/>
        </w:rPr>
        <w:t>连续</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最高</w:t>
      </w:r>
      <w:r>
        <w:rPr>
          <w:rFonts w:hint="eastAsia" w:ascii="宋体" w:hAnsi="宋体" w:eastAsia="宋体" w:cs="宋体"/>
          <w:color w:val="000000"/>
          <w:sz w:val="24"/>
          <w:szCs w:val="24"/>
          <w:highlight w:val="none"/>
          <w:u w:val="single"/>
        </w:rPr>
        <w:t>气温超过</w:t>
      </w:r>
      <w:r>
        <w:rPr>
          <w:rFonts w:hint="eastAsia" w:ascii="宋体" w:hAnsi="宋体" w:eastAsia="宋体" w:cs="宋体"/>
          <w:color w:val="000000"/>
          <w:sz w:val="24"/>
          <w:szCs w:val="24"/>
          <w:highlight w:val="none"/>
          <w:u w:val="single"/>
          <w:lang w:val="en-US" w:eastAsia="zh-CN"/>
        </w:rPr>
        <w:t>40</w:t>
      </w:r>
      <w:r>
        <w:rPr>
          <w:rFonts w:hint="eastAsia" w:ascii="宋体" w:hAnsi="宋体" w:eastAsia="宋体" w:cs="宋体"/>
          <w:color w:val="000000"/>
          <w:sz w:val="24"/>
          <w:szCs w:val="24"/>
          <w:highlight w:val="none"/>
          <w:u w:val="single"/>
        </w:rPr>
        <w:t>℃ 的高温大于3天；</w:t>
      </w:r>
    </w:p>
    <w:p w14:paraId="3D9B4DF1">
      <w:pPr>
        <w:spacing w:line="360" w:lineRule="auto"/>
        <w:ind w:left="599" w:hanging="1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lang w:val="en-US" w:eastAsia="zh-CN"/>
        </w:rPr>
        <w:t>连续</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最低</w:t>
      </w:r>
      <w:r>
        <w:rPr>
          <w:rFonts w:hint="eastAsia" w:ascii="宋体" w:hAnsi="宋体" w:eastAsia="宋体" w:cs="宋体"/>
          <w:color w:val="000000"/>
          <w:sz w:val="24"/>
          <w:szCs w:val="24"/>
          <w:highlight w:val="none"/>
          <w:u w:val="single"/>
        </w:rPr>
        <w:t>气温低于-20℃ 的严寒大于3天；</w:t>
      </w:r>
    </w:p>
    <w:p w14:paraId="529A9DD6">
      <w:pPr>
        <w:spacing w:line="360" w:lineRule="auto"/>
        <w:ind w:left="599" w:hanging="12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日降雪量10mm及以上；</w:t>
      </w:r>
    </w:p>
    <w:p w14:paraId="7AD5F9BB">
      <w:pPr>
        <w:spacing w:line="360" w:lineRule="auto"/>
        <w:ind w:firstLine="48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lang w:eastAsia="zh-CN"/>
        </w:rPr>
        <w:t>（</w:t>
      </w:r>
      <w:r>
        <w:rPr>
          <w:rFonts w:hint="eastAsia" w:ascii="宋体" w:hAnsi="宋体" w:eastAsia="宋体" w:cs="宋体"/>
          <w:color w:val="000000"/>
          <w:sz w:val="24"/>
          <w:szCs w:val="24"/>
          <w:highlight w:val="none"/>
          <w:u w:val="none"/>
          <w:lang w:val="en-US" w:eastAsia="zh-CN"/>
        </w:rPr>
        <w:t>5</w:t>
      </w:r>
      <w:r>
        <w:rPr>
          <w:rFonts w:hint="eastAsia" w:ascii="宋体" w:hAnsi="宋体" w:eastAsia="宋体" w:cs="宋体"/>
          <w:color w:val="000000"/>
          <w:sz w:val="24"/>
          <w:szCs w:val="24"/>
          <w:highlight w:val="none"/>
          <w:u w:val="none"/>
          <w:lang w:eastAsia="zh-CN"/>
        </w:rPr>
        <w:t>）</w:t>
      </w:r>
      <w:r>
        <w:rPr>
          <w:rFonts w:hint="eastAsia" w:ascii="宋体" w:hAnsi="宋体" w:eastAsia="宋体" w:cs="宋体"/>
          <w:color w:val="000000"/>
          <w:sz w:val="24"/>
          <w:szCs w:val="24"/>
          <w:highlight w:val="none"/>
          <w:u w:val="single"/>
        </w:rPr>
        <w:t>日降雨量大于50mm的雨日超过1天；</w:t>
      </w:r>
    </w:p>
    <w:p w14:paraId="1A4578B8">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 xml:space="preserve"> 提前竣工的奖励</w:t>
      </w:r>
    </w:p>
    <w:p w14:paraId="065EDA9B">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.2提前竣工的奖励：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85F67D6">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8. 材料与设备</w:t>
      </w:r>
    </w:p>
    <w:p w14:paraId="1227CB3E">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bookmarkStart w:id="145" w:name="_Toc297120468"/>
      <w:bookmarkStart w:id="146" w:name="_Toc303539137"/>
      <w:bookmarkStart w:id="147" w:name="_Toc296944507"/>
      <w:bookmarkStart w:id="148" w:name="_Toc296503168"/>
      <w:bookmarkStart w:id="149" w:name="_Toc296890996"/>
      <w:bookmarkStart w:id="150" w:name="_Toc297216187"/>
      <w:bookmarkStart w:id="151" w:name="_Toc297048354"/>
      <w:bookmarkStart w:id="152" w:name="_Toc297123528"/>
      <w:bookmarkStart w:id="153" w:name="_Toc296891208"/>
      <w:bookmarkStart w:id="154" w:name="_Toc318581173"/>
      <w:bookmarkStart w:id="155" w:name="_Toc296346669"/>
      <w:bookmarkStart w:id="156" w:name="_Toc296347167"/>
      <w:bookmarkStart w:id="157" w:name="_Toc304295557"/>
      <w:bookmarkStart w:id="158" w:name="_Toc312677494"/>
      <w:bookmarkStart w:id="159" w:name="_Toc312678020"/>
      <w:bookmarkStart w:id="160" w:name="_Toc300934980"/>
      <w:r>
        <w:rPr>
          <w:rFonts w:hint="eastAsia" w:ascii="宋体" w:hAnsi="宋体" w:eastAsia="宋体" w:cs="宋体"/>
          <w:color w:val="000000"/>
          <w:sz w:val="24"/>
          <w:szCs w:val="24"/>
          <w:highlight w:val="none"/>
        </w:rPr>
        <w:t>8.1 施工设备和临时设施</w:t>
      </w:r>
    </w:p>
    <w:p w14:paraId="2D4E2B0E">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8.1.1 承包人提供的施工设备和临时设施关于修建临时设施费用承担的约定：由承包人承担。</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024730D7">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9. 试验与检验</w:t>
      </w:r>
    </w:p>
    <w:p w14:paraId="5FF6CA30">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9.1试验设备与试验人员</w:t>
      </w:r>
    </w:p>
    <w:p w14:paraId="7A680F3C">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9.1.2 试验设备</w:t>
      </w:r>
    </w:p>
    <w:p w14:paraId="7C26D0C6">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施工现场需要配置的试验场所：</w:t>
      </w:r>
      <w:r>
        <w:rPr>
          <w:rFonts w:hint="eastAsia" w:ascii="宋体" w:hAnsi="宋体" w:eastAsia="宋体" w:cs="宋体"/>
          <w:color w:val="000000"/>
          <w:sz w:val="24"/>
          <w:szCs w:val="24"/>
          <w:highlight w:val="none"/>
          <w:u w:val="single"/>
        </w:rPr>
        <w:t xml:space="preserve"> 由承包人提供 </w:t>
      </w:r>
      <w:r>
        <w:rPr>
          <w:rFonts w:hint="eastAsia" w:ascii="宋体" w:hAnsi="宋体" w:eastAsia="宋体" w:cs="宋体"/>
          <w:color w:val="000000"/>
          <w:sz w:val="24"/>
          <w:szCs w:val="24"/>
          <w:highlight w:val="none"/>
        </w:rPr>
        <w:t xml:space="preserve">。 </w:t>
      </w:r>
    </w:p>
    <w:p w14:paraId="1D4AB9E8">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施工现场需要配备的试验设备：</w:t>
      </w:r>
      <w:r>
        <w:rPr>
          <w:rFonts w:hint="eastAsia" w:ascii="宋体" w:hAnsi="宋体" w:eastAsia="宋体" w:cs="宋体"/>
          <w:color w:val="000000"/>
          <w:sz w:val="24"/>
          <w:szCs w:val="24"/>
          <w:highlight w:val="none"/>
          <w:u w:val="single"/>
        </w:rPr>
        <w:t xml:space="preserve"> 由承包人提供 </w:t>
      </w:r>
      <w:r>
        <w:rPr>
          <w:rFonts w:hint="eastAsia" w:ascii="宋体" w:hAnsi="宋体" w:eastAsia="宋体" w:cs="宋体"/>
          <w:color w:val="000000"/>
          <w:sz w:val="24"/>
          <w:szCs w:val="24"/>
          <w:highlight w:val="none"/>
        </w:rPr>
        <w:t>。</w:t>
      </w:r>
    </w:p>
    <w:p w14:paraId="1C54AFF9">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施工现场需要具备的其他试验条件：</w:t>
      </w:r>
      <w:r>
        <w:rPr>
          <w:rFonts w:hint="eastAsia" w:ascii="宋体" w:hAnsi="宋体" w:eastAsia="宋体" w:cs="宋体"/>
          <w:color w:val="000000"/>
          <w:sz w:val="24"/>
          <w:szCs w:val="24"/>
          <w:highlight w:val="none"/>
          <w:u w:val="single"/>
        </w:rPr>
        <w:t xml:space="preserve"> 由承包人提供 </w:t>
      </w:r>
      <w:r>
        <w:rPr>
          <w:rFonts w:hint="eastAsia" w:ascii="宋体" w:hAnsi="宋体" w:eastAsia="宋体" w:cs="宋体"/>
          <w:color w:val="000000"/>
          <w:sz w:val="24"/>
          <w:szCs w:val="24"/>
          <w:highlight w:val="none"/>
        </w:rPr>
        <w:t>。</w:t>
      </w:r>
    </w:p>
    <w:p w14:paraId="5FD78D35">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 xml:space="preserve"> 现场工艺试验 </w:t>
      </w:r>
    </w:p>
    <w:p w14:paraId="2AD16A50">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现场工艺试验的有关约定：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4C2E626">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10. 变更</w:t>
      </w:r>
    </w:p>
    <w:p w14:paraId="6D1C5524">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10.1变更的范围</w:t>
      </w:r>
    </w:p>
    <w:p w14:paraId="0C9A61AB">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关于变更的范围的约定：</w:t>
      </w:r>
      <w:r>
        <w:rPr>
          <w:rFonts w:hint="eastAsia" w:ascii="宋体" w:hAnsi="宋体" w:eastAsia="宋体" w:cs="宋体"/>
          <w:color w:val="000000"/>
          <w:sz w:val="24"/>
          <w:szCs w:val="24"/>
          <w:highlight w:val="none"/>
          <w:u w:val="single"/>
        </w:rPr>
        <w:t xml:space="preserve"> 应发包人要求的变更 </w:t>
      </w:r>
      <w:r>
        <w:rPr>
          <w:rFonts w:hint="eastAsia" w:ascii="宋体" w:hAnsi="宋体" w:eastAsia="宋体" w:cs="宋体"/>
          <w:color w:val="000000"/>
          <w:sz w:val="24"/>
          <w:szCs w:val="24"/>
          <w:highlight w:val="none"/>
        </w:rPr>
        <w:t>。</w:t>
      </w:r>
    </w:p>
    <w:p w14:paraId="70CD3BFA">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 xml:space="preserve"> 变更估价</w:t>
      </w:r>
    </w:p>
    <w:p w14:paraId="323E9A78">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.1 变更估价原则</w:t>
      </w:r>
    </w:p>
    <w:p w14:paraId="6599FDFF">
      <w:pPr>
        <w:widowControl w:val="0"/>
        <w:spacing w:before="0" w:after="0" w:line="360" w:lineRule="auto"/>
        <w:ind w:left="0" w:righ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关于变更估价的约定： </w:t>
      </w:r>
    </w:p>
    <w:p w14:paraId="451E2B82">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（1）已标价工程量清单或预算书有相同项目的，按照相同项目单价认定；</w:t>
      </w:r>
    </w:p>
    <w:p w14:paraId="1BABBA41">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（2）已标价工程量清单或预算书中无相同项目，但有类似项目的，参照类似项目的单价认定；</w:t>
      </w:r>
    </w:p>
    <w:p w14:paraId="39741FA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b w:val="0"/>
          <w:bCs/>
          <w:color w:val="000000"/>
          <w:sz w:val="24"/>
          <w:szCs w:val="24"/>
          <w:highlight w:val="none"/>
          <w:u w:val="none"/>
          <w:lang w:val="en-US" w:eastAsia="zh-CN"/>
        </w:rPr>
        <w:t>综合考虑</w:t>
      </w:r>
      <w:r>
        <w:rPr>
          <w:rFonts w:hint="eastAsia" w:ascii="宋体" w:hAnsi="宋体" w:eastAsia="宋体" w:cs="宋体"/>
          <w:b w:val="0"/>
          <w:bCs/>
          <w:color w:val="000000"/>
          <w:sz w:val="24"/>
          <w:szCs w:val="24"/>
          <w:highlight w:val="none"/>
          <w:u w:val="none"/>
        </w:rPr>
        <w:t>工程量清单缺陷</w:t>
      </w:r>
      <w:r>
        <w:rPr>
          <w:rFonts w:hint="eastAsia" w:ascii="宋体" w:hAnsi="宋体" w:eastAsia="宋体" w:cs="宋体"/>
          <w:b w:val="0"/>
          <w:bCs/>
          <w:color w:val="000000"/>
          <w:sz w:val="24"/>
          <w:szCs w:val="24"/>
          <w:highlight w:val="none"/>
          <w:u w:val="none"/>
          <w:lang w:eastAsia="zh-CN"/>
        </w:rPr>
        <w:t>、</w:t>
      </w:r>
      <w:r>
        <w:rPr>
          <w:rFonts w:hint="eastAsia" w:ascii="宋体" w:hAnsi="宋体" w:eastAsia="宋体" w:cs="宋体"/>
          <w:b w:val="0"/>
          <w:bCs/>
          <w:color w:val="000000"/>
          <w:sz w:val="24"/>
          <w:szCs w:val="24"/>
          <w:highlight w:val="none"/>
          <w:u w:val="none"/>
          <w:lang w:val="en-US" w:eastAsia="zh-CN"/>
        </w:rPr>
        <w:t>工程变更及其他影响工程量增减的因素，导致</w:t>
      </w:r>
      <w:r>
        <w:rPr>
          <w:rFonts w:hint="eastAsia" w:ascii="宋体" w:hAnsi="宋体" w:eastAsia="宋体" w:cs="宋体"/>
          <w:b w:val="0"/>
          <w:bCs/>
          <w:color w:val="000000"/>
          <w:sz w:val="24"/>
          <w:szCs w:val="24"/>
          <w:highlight w:val="none"/>
          <w:u w:val="none"/>
        </w:rPr>
        <w:t>清单工程量增加或减少</w:t>
      </w:r>
      <w:r>
        <w:rPr>
          <w:rFonts w:hint="eastAsia" w:ascii="宋体" w:hAnsi="宋体" w:eastAsia="宋体" w:cs="宋体"/>
          <w:b w:val="0"/>
          <w:bCs/>
          <w:color w:val="000000"/>
          <w:sz w:val="24"/>
          <w:szCs w:val="24"/>
          <w:highlight w:val="none"/>
          <w:u w:val="none"/>
          <w:lang w:eastAsia="zh-CN"/>
        </w:rPr>
        <w:t>的</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按专用条款1.13</w:t>
      </w:r>
      <w:r>
        <w:rPr>
          <w:rFonts w:hint="eastAsia" w:ascii="宋体" w:hAnsi="宋体" w:eastAsia="宋体" w:cs="宋体"/>
          <w:color w:val="000000"/>
          <w:sz w:val="24"/>
          <w:szCs w:val="24"/>
          <w:highlight w:val="none"/>
          <w:lang w:val="en-US" w:eastAsia="zh-CN"/>
        </w:rPr>
        <w:t>对应约定</w:t>
      </w:r>
      <w:r>
        <w:rPr>
          <w:rFonts w:hint="eastAsia" w:ascii="宋体" w:hAnsi="宋体" w:eastAsia="宋体" w:cs="宋体"/>
          <w:color w:val="000000"/>
          <w:sz w:val="24"/>
          <w:szCs w:val="24"/>
          <w:highlight w:val="none"/>
        </w:rPr>
        <w:t>执行；</w:t>
      </w:r>
    </w:p>
    <w:p w14:paraId="472165D7">
      <w:pPr>
        <w:keepNext w:val="0"/>
        <w:keepLines w:val="0"/>
        <w:pageBreakBefore w:val="0"/>
        <w:widowControl/>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（4）已标价工程量清单中没有适用也没有类似于变更工程项目的，应由承包人根据变更工程资料、计算规则和计价办法、</w:t>
      </w:r>
      <w:r>
        <w:rPr>
          <w:rFonts w:hint="eastAsia" w:ascii="宋体" w:hAnsi="宋体" w:eastAsia="宋体" w:cs="宋体"/>
          <w:color w:val="000000"/>
          <w:sz w:val="24"/>
          <w:szCs w:val="24"/>
          <w:highlight w:val="none"/>
          <w:lang w:val="en-US" w:eastAsia="zh-CN"/>
        </w:rPr>
        <w:t>政府部门</w:t>
      </w:r>
      <w:r>
        <w:rPr>
          <w:rFonts w:hint="eastAsia" w:ascii="宋体" w:hAnsi="宋体" w:eastAsia="宋体" w:cs="宋体"/>
          <w:color w:val="000000"/>
          <w:sz w:val="24"/>
          <w:szCs w:val="24"/>
          <w:highlight w:val="none"/>
        </w:rPr>
        <w:t>发布的</w:t>
      </w:r>
      <w:r>
        <w:rPr>
          <w:rFonts w:hint="eastAsia" w:ascii="宋体" w:hAnsi="宋体" w:eastAsia="宋体" w:cs="宋体"/>
          <w:color w:val="000000"/>
          <w:sz w:val="24"/>
          <w:szCs w:val="24"/>
          <w:highlight w:val="none"/>
          <w:lang w:val="en-US" w:eastAsia="zh-CN"/>
        </w:rPr>
        <w:t>人工参考价、政府部门或造价协会发布的建材信息价、</w:t>
      </w:r>
      <w:r>
        <w:rPr>
          <w:rFonts w:hint="eastAsia" w:ascii="宋体" w:hAnsi="宋体" w:eastAsia="宋体" w:cs="宋体"/>
          <w:color w:val="000000"/>
          <w:sz w:val="24"/>
          <w:szCs w:val="24"/>
          <w:highlight w:val="none"/>
        </w:rPr>
        <w:t>承包人报价浮动率提出变更工程项目的单价，并应报发包人确认后调整。承包人报价浮动率按下列公式计算：承包人报价浮动率L=（1-中标价/</w:t>
      </w:r>
      <w:r>
        <w:rPr>
          <w:rFonts w:hint="eastAsia" w:ascii="宋体" w:hAnsi="宋体" w:cs="宋体"/>
          <w:color w:val="000000"/>
          <w:sz w:val="24"/>
          <w:szCs w:val="24"/>
          <w:highlight w:val="none"/>
          <w:lang w:eastAsia="zh-CN"/>
        </w:rPr>
        <w:t>最高投标限价</w:t>
      </w:r>
      <w:r>
        <w:rPr>
          <w:rFonts w:hint="eastAsia" w:ascii="宋体" w:hAnsi="宋体" w:eastAsia="宋体" w:cs="宋体"/>
          <w:color w:val="000000"/>
          <w:sz w:val="24"/>
          <w:szCs w:val="24"/>
          <w:highlight w:val="none"/>
        </w:rPr>
        <w:t>）*100%</w:t>
      </w:r>
    </w:p>
    <w:p w14:paraId="5EF81BDE">
      <w:pPr>
        <w:keepNext w:val="0"/>
        <w:keepLines w:val="0"/>
        <w:pageBreakBefore w:val="0"/>
        <w:widowControl/>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调整的单价参照承包人报价浮动率进行下浮</w:t>
      </w:r>
      <w:r>
        <w:rPr>
          <w:rFonts w:hint="eastAsia" w:ascii="宋体" w:hAnsi="宋体" w:eastAsia="宋体" w:cs="宋体"/>
          <w:color w:val="000000"/>
          <w:sz w:val="24"/>
          <w:szCs w:val="24"/>
          <w:highlight w:val="none"/>
          <w:lang w:eastAsia="zh-CN"/>
        </w:rPr>
        <w:t>。</w:t>
      </w:r>
    </w:p>
    <w:p w14:paraId="75B42BBB">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承包人的合理化建议</w:t>
      </w:r>
    </w:p>
    <w:p w14:paraId="681B76D0">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监理人审查承包人合理化建议的期限：</w:t>
      </w:r>
      <w:r>
        <w:rPr>
          <w:rFonts w:hint="eastAsia" w:ascii="宋体" w:hAnsi="宋体" w:eastAsia="宋体" w:cs="宋体"/>
          <w:color w:val="000000"/>
          <w:sz w:val="24"/>
          <w:szCs w:val="24"/>
          <w:highlight w:val="none"/>
          <w:u w:val="single"/>
        </w:rPr>
        <w:t>收到承包人提交的合理化建议后7日内</w:t>
      </w:r>
      <w:r>
        <w:rPr>
          <w:rFonts w:hint="eastAsia" w:ascii="宋体" w:hAnsi="宋体" w:eastAsia="宋体" w:cs="宋体"/>
          <w:color w:val="000000"/>
          <w:sz w:val="24"/>
          <w:szCs w:val="24"/>
          <w:highlight w:val="none"/>
        </w:rPr>
        <w:t>。</w:t>
      </w:r>
    </w:p>
    <w:p w14:paraId="2B9FB078">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发包人审批承包人合理化建议的期限：</w:t>
      </w:r>
      <w:r>
        <w:rPr>
          <w:rFonts w:hint="eastAsia" w:ascii="宋体" w:hAnsi="宋体" w:eastAsia="宋体" w:cs="宋体"/>
          <w:color w:val="000000"/>
          <w:sz w:val="24"/>
          <w:szCs w:val="24"/>
          <w:highlight w:val="none"/>
          <w:u w:val="single"/>
        </w:rPr>
        <w:t>收到承包人提交的合理化建议后7日内</w:t>
      </w:r>
      <w:r>
        <w:rPr>
          <w:rFonts w:hint="eastAsia" w:ascii="宋体" w:hAnsi="宋体" w:eastAsia="宋体" w:cs="宋体"/>
          <w:color w:val="000000"/>
          <w:sz w:val="24"/>
          <w:szCs w:val="24"/>
          <w:highlight w:val="none"/>
        </w:rPr>
        <w:t>。</w:t>
      </w:r>
    </w:p>
    <w:p w14:paraId="30B621F3">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承包人提出的合理化建议降低了合同价格或者提高了工程经济效益的奖励的方法和金额为：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A46BDF6">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 xml:space="preserve"> 暂估价</w:t>
      </w:r>
    </w:p>
    <w:p w14:paraId="4D45A175">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暂估价材料和工程设备（如有）的明细详见暂估价一览表</w:t>
      </w:r>
      <w:r>
        <w:rPr>
          <w:rFonts w:hint="eastAsia" w:ascii="宋体" w:hAnsi="宋体" w:eastAsia="宋体" w:cs="宋体"/>
          <w:color w:val="000000"/>
          <w:sz w:val="24"/>
          <w:szCs w:val="24"/>
          <w:highlight w:val="none"/>
        </w:rPr>
        <w:t>。</w:t>
      </w:r>
    </w:p>
    <w:p w14:paraId="500E2A6C">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.1 依法必须招标的暂估价项目</w:t>
      </w:r>
    </w:p>
    <w:p w14:paraId="77CFF096">
      <w:pPr>
        <w:keepNext w:val="0"/>
        <w:keepLines w:val="0"/>
        <w:widowControl w:val="0"/>
        <w:suppressLineNumbers w:val="0"/>
        <w:spacing w:line="360" w:lineRule="auto"/>
        <w:ind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
        </w:rPr>
        <w:t>对于依法必须招标的暂估价项目，由发包人招标确定暂估价供应商或分包人，承包人应按照施工进度计划，在招标工作启动前 14 天通知发包人。</w:t>
      </w:r>
    </w:p>
    <w:p w14:paraId="79FF412D">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.2 不属于依法必须招标的暂估价项目</w:t>
      </w:r>
    </w:p>
    <w:p w14:paraId="1C3C7456">
      <w:pPr>
        <w:spacing w:line="360" w:lineRule="auto"/>
        <w:ind w:firstLine="480"/>
        <w:jc w:val="left"/>
        <w:outlineLvl w:val="9"/>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30E62692">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 xml:space="preserve"> 暂列金额</w:t>
      </w:r>
    </w:p>
    <w:p w14:paraId="1E4FE8A4">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合同当事人关于暂列金额使用的约定：</w:t>
      </w:r>
      <w:r>
        <w:rPr>
          <w:rFonts w:hint="eastAsia" w:ascii="宋体" w:hAnsi="宋体" w:eastAsia="宋体" w:cs="宋体"/>
          <w:color w:val="000000"/>
          <w:sz w:val="24"/>
          <w:szCs w:val="24"/>
          <w:highlight w:val="none"/>
          <w:u w:val="single"/>
        </w:rPr>
        <w:t>由发包人结合工程具体情况使用</w:t>
      </w:r>
      <w:r>
        <w:rPr>
          <w:rFonts w:hint="eastAsia" w:ascii="宋体" w:hAnsi="宋体" w:eastAsia="宋体" w:cs="宋体"/>
          <w:color w:val="000000"/>
          <w:sz w:val="24"/>
          <w:szCs w:val="24"/>
          <w:highlight w:val="none"/>
        </w:rPr>
        <w:t>。</w:t>
      </w:r>
    </w:p>
    <w:p w14:paraId="3644AAF7">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11. 价格调整</w:t>
      </w:r>
    </w:p>
    <w:p w14:paraId="4285B979">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 市场价格波动引起的调整</w:t>
      </w:r>
    </w:p>
    <w:p w14:paraId="769B4625">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市场价格波动是否调整合同价格的约定：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不调整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2EB87783">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12. 合同价格、计量与支付</w:t>
      </w:r>
    </w:p>
    <w:p w14:paraId="75D79E0F">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12.1 合同价格形式</w:t>
      </w:r>
    </w:p>
    <w:p w14:paraId="230BB55E">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1.</w:t>
      </w:r>
      <w:r>
        <w:rPr>
          <w:rFonts w:hint="eastAsia" w:ascii="宋体" w:hAnsi="宋体" w:eastAsia="宋体" w:cs="宋体"/>
          <w:color w:val="000000"/>
          <w:sz w:val="24"/>
          <w:szCs w:val="24"/>
          <w:highlight w:val="none"/>
        </w:rPr>
        <w:t>单价合同。</w:t>
      </w:r>
    </w:p>
    <w:p w14:paraId="45F9422E">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综合单价包含的风险范围：</w:t>
      </w:r>
      <w:r>
        <w:rPr>
          <w:rFonts w:hint="eastAsia" w:ascii="宋体" w:hAnsi="宋体" w:eastAsia="宋体" w:cs="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除本合同专用条款11.1以外的风险均不调整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28963D76">
      <w:pPr>
        <w:spacing w:line="360" w:lineRule="auto"/>
        <w:ind w:firstLine="48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风险费用的计算方法：</w:t>
      </w:r>
      <w:r>
        <w:rPr>
          <w:rFonts w:hint="eastAsia" w:ascii="宋体" w:hAnsi="宋体" w:eastAsia="宋体" w:cs="Times New Roman"/>
          <w:color w:val="000000"/>
          <w:sz w:val="24"/>
          <w:szCs w:val="24"/>
          <w:highlight w:val="none"/>
          <w:u w:val="single"/>
        </w:rPr>
        <w:t>承包人</w:t>
      </w:r>
      <w:r>
        <w:rPr>
          <w:rFonts w:hint="eastAsia" w:ascii="宋体" w:hAnsi="宋体" w:eastAsia="宋体" w:cs="Times New Roman"/>
          <w:color w:val="000000"/>
          <w:sz w:val="24"/>
          <w:szCs w:val="24"/>
          <w:highlight w:val="none"/>
          <w:u w:val="single"/>
          <w:lang w:val="en-US" w:eastAsia="zh-CN"/>
        </w:rPr>
        <w:t>在</w:t>
      </w:r>
      <w:r>
        <w:rPr>
          <w:rFonts w:hint="eastAsia" w:ascii="宋体" w:hAnsi="宋体" w:eastAsia="宋体" w:cs="Times New Roman"/>
          <w:color w:val="000000"/>
          <w:sz w:val="24"/>
          <w:szCs w:val="24"/>
          <w:highlight w:val="none"/>
          <w:u w:val="single"/>
        </w:rPr>
        <w:t>投标时应自行充分考虑风险，除不可抗力及发包人风险外，今后不做调整。本工程主要材料风险（本合同第11.1条约定范围）计算方法执行专用条款相关规定；</w:t>
      </w:r>
    </w:p>
    <w:p w14:paraId="3B2574C4">
      <w:pPr>
        <w:spacing w:line="360" w:lineRule="auto"/>
        <w:ind w:firstLine="480"/>
        <w:jc w:val="left"/>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风险范围以外合同价格的调整方法：</w:t>
      </w:r>
      <w:r>
        <w:rPr>
          <w:rFonts w:hint="eastAsia" w:ascii="宋体" w:hAnsi="宋体" w:eastAsia="宋体" w:cs="宋体"/>
          <w:color w:val="000000"/>
          <w:sz w:val="24"/>
          <w:szCs w:val="24"/>
          <w:highlight w:val="none"/>
          <w:u w:val="single"/>
          <w:lang w:val="en-US" w:eastAsia="zh-CN" w:bidi="ar-SA"/>
        </w:rPr>
        <w:t>发包人风险导致的合同价格调整，</w:t>
      </w:r>
      <w:r>
        <w:rPr>
          <w:rFonts w:hint="eastAsia" w:ascii="宋体" w:hAnsi="宋体" w:eastAsia="宋体" w:cs="Times New Roman"/>
          <w:color w:val="000000"/>
          <w:sz w:val="24"/>
          <w:szCs w:val="24"/>
          <w:highlight w:val="none"/>
          <w:u w:val="single"/>
          <w:lang w:val="en-US" w:eastAsia="zh-CN" w:bidi="ar-SA"/>
        </w:rPr>
        <w:t>参见专用条款10.</w:t>
      </w:r>
      <w:r>
        <w:rPr>
          <w:rFonts w:hint="eastAsia" w:ascii="宋体" w:hAnsi="宋体" w:cs="Times New Roman"/>
          <w:color w:val="000000"/>
          <w:sz w:val="24"/>
          <w:szCs w:val="24"/>
          <w:highlight w:val="none"/>
          <w:u w:val="single"/>
          <w:lang w:val="en-US" w:eastAsia="zh-CN" w:bidi="ar-SA"/>
        </w:rPr>
        <w:t>2</w:t>
      </w:r>
      <w:r>
        <w:rPr>
          <w:rFonts w:hint="eastAsia" w:ascii="宋体" w:hAnsi="宋体" w:eastAsia="宋体" w:cs="Times New Roman"/>
          <w:color w:val="000000"/>
          <w:sz w:val="24"/>
          <w:szCs w:val="24"/>
          <w:highlight w:val="none"/>
          <w:u w:val="single"/>
          <w:lang w:val="en-US" w:eastAsia="zh-CN" w:bidi="ar-SA"/>
        </w:rPr>
        <w:t>.1条。</w:t>
      </w:r>
    </w:p>
    <w:p w14:paraId="20BAE8B6">
      <w:pPr>
        <w:spacing w:line="360" w:lineRule="auto"/>
        <w:ind w:firstLine="480"/>
        <w:jc w:val="left"/>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如在结算时发现已标价工程量清单中存在过高报价项目，将直接调整其综合单价：人工、材料、机械的消耗量，按江苏省现行消耗量参考标准执行；人工、材料单价按已标价工程量清单中相同或类似的正常投标价格执行，如没有相同或类似的正常投标价格，按经发包人确认的市场价格执行；管理费率、利润率按已标价工程量清单中最低费率报价项目的费率计取。</w:t>
      </w:r>
    </w:p>
    <w:p w14:paraId="03AE6B94">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 预付款</w:t>
      </w:r>
    </w:p>
    <w:p w14:paraId="3649D65D">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12.2.1 预付款的支付</w:t>
      </w:r>
    </w:p>
    <w:p w14:paraId="2E601136">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预付款支付比例或金额：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发包人向承包人预付工程款为签约合同价（扣除合同价中暂列金额、暂估价项目）的10%（凭承包人出具正规发票，税率9%） </w:t>
      </w:r>
      <w:r>
        <w:rPr>
          <w:rFonts w:hint="eastAsia" w:ascii="宋体" w:hAnsi="宋体" w:eastAsia="宋体" w:cs="宋体"/>
          <w:color w:val="000000"/>
          <w:sz w:val="24"/>
          <w:szCs w:val="24"/>
          <w:highlight w:val="none"/>
        </w:rPr>
        <w:t>。</w:t>
      </w:r>
    </w:p>
    <w:p w14:paraId="6C503EB1">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预付款支付期限：</w:t>
      </w:r>
      <w:r>
        <w:rPr>
          <w:rFonts w:hint="eastAsia" w:ascii="宋体" w:hAnsi="宋体" w:eastAsia="宋体" w:cs="宋体"/>
          <w:color w:val="000000"/>
          <w:sz w:val="24"/>
          <w:szCs w:val="24"/>
          <w:highlight w:val="none"/>
          <w:u w:val="single"/>
          <w:lang w:val="en-US" w:eastAsia="zh-CN"/>
        </w:rPr>
        <w:t xml:space="preserve"> 合同签订且提供预付款保函及发票后7日内 </w:t>
      </w:r>
      <w:r>
        <w:rPr>
          <w:rFonts w:hint="eastAsia" w:ascii="宋体" w:hAnsi="宋体" w:eastAsia="宋体" w:cs="宋体"/>
          <w:color w:val="000000"/>
          <w:sz w:val="24"/>
          <w:szCs w:val="24"/>
          <w:highlight w:val="none"/>
        </w:rPr>
        <w:t>。</w:t>
      </w:r>
    </w:p>
    <w:p w14:paraId="57FDE5F8">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预付款扣回的方式：</w:t>
      </w:r>
      <w:r>
        <w:rPr>
          <w:rFonts w:hint="eastAsia" w:ascii="宋体" w:hAnsi="宋体" w:eastAsia="宋体" w:cs="宋体"/>
          <w:color w:val="000000"/>
          <w:sz w:val="24"/>
          <w:szCs w:val="24"/>
          <w:highlight w:val="none"/>
          <w:u w:val="single"/>
          <w:lang w:eastAsia="zh-CN"/>
        </w:rPr>
        <w:t xml:space="preserve"> 不扣回，直接视为进度款</w:t>
      </w:r>
      <w:r>
        <w:rPr>
          <w:rFonts w:hint="eastAsia" w:ascii="宋体" w:hAnsi="宋体" w:eastAsia="宋体" w:cs="宋体"/>
          <w:color w:val="000000"/>
          <w:sz w:val="24"/>
          <w:szCs w:val="24"/>
          <w:highlight w:val="none"/>
          <w:u w:val="single"/>
        </w:rPr>
        <w:t>。</w:t>
      </w:r>
    </w:p>
    <w:p w14:paraId="3E6B7710">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12.2.2 预付款担保</w:t>
      </w:r>
    </w:p>
    <w:p w14:paraId="62E46200">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承包人提交预付款担保的期限：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04C1E23">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预付款担保的形式为：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5557A827">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 计量</w:t>
      </w:r>
    </w:p>
    <w:p w14:paraId="6667F2CA">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12.3.1 计量原则</w:t>
      </w:r>
    </w:p>
    <w:p w14:paraId="5369D8C9">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工程量计算规则：</w:t>
      </w:r>
      <w:r>
        <w:rPr>
          <w:rFonts w:hint="eastAsia" w:ascii="宋体" w:hAnsi="宋体" w:eastAsia="宋体" w:cs="宋体"/>
          <w:color w:val="000000"/>
          <w:sz w:val="24"/>
          <w:szCs w:val="24"/>
          <w:highlight w:val="none"/>
          <w:u w:val="single"/>
        </w:rPr>
        <w:t>承包人实际完成的工程量按约定由发包人测绘计量</w:t>
      </w:r>
      <w:r>
        <w:rPr>
          <w:rFonts w:ascii="宋体" w:hAnsi="宋体" w:eastAsia="宋体" w:cs="宋体"/>
          <w:color w:val="000000"/>
          <w:sz w:val="24"/>
          <w:szCs w:val="24"/>
          <w:highlight w:val="none"/>
          <w:u w:val="single"/>
        </w:rPr>
        <w:t>。</w:t>
      </w:r>
    </w:p>
    <w:p w14:paraId="6709E7F5">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12.3.2 计量周期</w:t>
      </w:r>
    </w:p>
    <w:p w14:paraId="7815653F">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关于计量周期的约定：</w:t>
      </w:r>
      <w:r>
        <w:rPr>
          <w:rFonts w:hint="eastAsia" w:ascii="宋体" w:hAnsi="宋体" w:eastAsia="宋体" w:cs="宋体"/>
          <w:color w:val="000000"/>
          <w:sz w:val="24"/>
          <w:szCs w:val="24"/>
          <w:highlight w:val="none"/>
          <w:u w:val="single"/>
        </w:rPr>
        <w:t>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w:t>
      </w:r>
      <w:r>
        <w:rPr>
          <w:rFonts w:hint="eastAsia" w:ascii="宋体" w:hAnsi="宋体" w:eastAsia="宋体" w:cs="宋体"/>
          <w:color w:val="000000"/>
          <w:sz w:val="24"/>
          <w:szCs w:val="24"/>
          <w:highlight w:val="none"/>
          <w:u w:val="single"/>
          <w:lang w:val="en-US" w:eastAsia="zh-CN"/>
        </w:rPr>
        <w:t>结</w:t>
      </w:r>
      <w:r>
        <w:rPr>
          <w:rFonts w:hint="eastAsia" w:ascii="宋体" w:hAnsi="宋体" w:eastAsia="宋体" w:cs="宋体"/>
          <w:color w:val="000000"/>
          <w:sz w:val="24"/>
          <w:szCs w:val="24"/>
          <w:highlight w:val="none"/>
          <w:u w:val="single"/>
        </w:rPr>
        <w:t>算价款中向发包人支付</w:t>
      </w:r>
      <w:r>
        <w:rPr>
          <w:rFonts w:hint="eastAsia" w:ascii="宋体" w:hAnsi="宋体" w:eastAsia="宋体" w:cs="宋体"/>
          <w:color w:val="000000"/>
          <w:sz w:val="24"/>
          <w:szCs w:val="24"/>
          <w:highlight w:val="none"/>
        </w:rPr>
        <w:t>。</w:t>
      </w:r>
    </w:p>
    <w:p w14:paraId="16F7B203">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12.3.3 单价合同的计量</w:t>
      </w:r>
    </w:p>
    <w:p w14:paraId="7404EDB8">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关于单价合同计量的约定：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按合同约定的计量原则、计量周期、计量程序执行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740CCAB">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12.3.4 总价合同的计量</w:t>
      </w:r>
    </w:p>
    <w:p w14:paraId="57A5587A">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关于总价合同计量的约定：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C696CE7">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12.3.5总价合同采用支付分解表计量支付的，是否适用第12.3.4 项〔总价合同的计量〕约定进行计量：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8C1E69D">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12.3.6 其他价格形式合同的计量</w:t>
      </w:r>
    </w:p>
    <w:p w14:paraId="4590352E">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其他价格形式的计量方式和程序：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CD30AEE">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12.4 工程进度款支付</w:t>
      </w:r>
    </w:p>
    <w:p w14:paraId="1E40EDDE">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12.4.1 付款周期</w:t>
      </w:r>
    </w:p>
    <w:p w14:paraId="46A96DCF">
      <w:pPr>
        <w:widowControl/>
        <w:spacing w:line="360" w:lineRule="auto"/>
        <w:ind w:firstLine="482"/>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lang w:val="en-US" w:eastAsia="zh-CN"/>
        </w:rPr>
        <w:t>（</w:t>
      </w:r>
      <w:r>
        <w:rPr>
          <w:rFonts w:hint="eastAsia" w:ascii="宋体" w:hAnsi="宋体" w:cs="宋体"/>
          <w:b/>
          <w:bCs/>
          <w:color w:val="000000"/>
          <w:sz w:val="24"/>
          <w:szCs w:val="24"/>
          <w:highlight w:val="none"/>
          <w:u w:val="single"/>
          <w:lang w:val="en-US" w:eastAsia="zh-CN"/>
        </w:rPr>
        <w:t>1</w:t>
      </w:r>
      <w:r>
        <w:rPr>
          <w:rFonts w:hint="eastAsia" w:ascii="宋体" w:hAnsi="宋体" w:eastAsia="宋体" w:cs="宋体"/>
          <w:b/>
          <w:bCs/>
          <w:color w:val="000000"/>
          <w:sz w:val="24"/>
          <w:szCs w:val="24"/>
          <w:highlight w:val="none"/>
          <w:u w:val="single"/>
          <w:lang w:val="en-US" w:eastAsia="zh-CN"/>
        </w:rPr>
        <w:t>）本工程预付款10%，</w:t>
      </w:r>
      <w:r>
        <w:rPr>
          <w:rFonts w:hint="eastAsia" w:ascii="宋体" w:hAnsi="宋体" w:eastAsia="宋体" w:cs="宋体"/>
          <w:b/>
          <w:bCs/>
          <w:color w:val="000000"/>
          <w:sz w:val="24"/>
          <w:szCs w:val="24"/>
          <w:highlight w:val="none"/>
          <w:u w:val="single"/>
        </w:rPr>
        <w:t>工程完工并验收合格后付已完合格工程量价款的80%，工程结算审计完成后付至审定价的97%。留审定价款的3％作为质量保修金，待缺陷责任期（2年）满后且无质量问题也无违约情况下付清余款（不计利息）。</w:t>
      </w:r>
    </w:p>
    <w:p w14:paraId="5F0F3CF5">
      <w:pPr>
        <w:widowControl/>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u w:val="single"/>
          <w:lang w:val="en-US" w:eastAsia="zh-CN"/>
        </w:rPr>
        <w:t>（2）每次支付工程款前，承包人必须提供符合发包人要求的发票，否则延迟付款的责任由承包人自行承担。</w:t>
      </w:r>
    </w:p>
    <w:p w14:paraId="0603C88B">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12.4.2 进度付款申请单的编制</w:t>
      </w:r>
    </w:p>
    <w:p w14:paraId="06FFE408">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关于进度付款申请单编制的约定：</w:t>
      </w:r>
      <w:r>
        <w:rPr>
          <w:rFonts w:hint="eastAsia" w:ascii="宋体" w:hAnsi="宋体" w:eastAsia="宋体" w:cs="宋体"/>
          <w:color w:val="000000"/>
          <w:sz w:val="24"/>
          <w:szCs w:val="24"/>
          <w:highlight w:val="none"/>
          <w:u w:val="single"/>
        </w:rPr>
        <w:t>工程进度款支付不含工程变更、签证、索赔费用</w:t>
      </w:r>
      <w:r>
        <w:rPr>
          <w:rFonts w:hint="eastAsia" w:ascii="宋体" w:hAnsi="宋体" w:eastAsia="宋体" w:cs="宋体"/>
          <w:color w:val="000000"/>
          <w:sz w:val="24"/>
          <w:szCs w:val="24"/>
          <w:highlight w:val="none"/>
        </w:rPr>
        <w:t>。</w:t>
      </w:r>
    </w:p>
    <w:p w14:paraId="22990B79">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12.4.3 进度付款申请单的提交</w:t>
      </w:r>
    </w:p>
    <w:p w14:paraId="578DB33F">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（1）单价合同进度付款申请单提交的约定：</w:t>
      </w:r>
      <w:r>
        <w:rPr>
          <w:rFonts w:hint="eastAsia" w:ascii="宋体" w:hAnsi="宋体" w:eastAsia="宋体" w:cs="宋体"/>
          <w:color w:val="000000"/>
          <w:sz w:val="24"/>
          <w:szCs w:val="24"/>
          <w:highlight w:val="none"/>
          <w:u w:val="single"/>
        </w:rPr>
        <w:t>承包人应按当月实际进度在每月25日前向监理工程师报送月度</w:t>
      </w:r>
      <w:r>
        <w:rPr>
          <w:rFonts w:hint="eastAsia" w:ascii="宋体" w:hAnsi="宋体" w:eastAsia="宋体" w:cs="宋体"/>
          <w:color w:val="000000"/>
          <w:sz w:val="24"/>
          <w:szCs w:val="24"/>
          <w:highlight w:val="none"/>
          <w:u w:val="single"/>
          <w:lang w:val="en-US" w:eastAsia="zh-CN"/>
        </w:rPr>
        <w:t>已</w:t>
      </w:r>
      <w:r>
        <w:rPr>
          <w:rFonts w:hint="eastAsia" w:ascii="宋体" w:hAnsi="宋体" w:eastAsia="宋体" w:cs="宋体"/>
          <w:color w:val="000000"/>
          <w:sz w:val="24"/>
          <w:szCs w:val="24"/>
          <w:highlight w:val="none"/>
          <w:u w:val="single"/>
        </w:rPr>
        <w:t>完工且验收合格工程的工程款支付报审表及相关资料</w:t>
      </w:r>
      <w:r>
        <w:rPr>
          <w:rFonts w:hint="eastAsia" w:ascii="宋体" w:hAnsi="宋体" w:eastAsia="宋体" w:cs="宋体"/>
          <w:color w:val="000000"/>
          <w:sz w:val="24"/>
          <w:szCs w:val="24"/>
          <w:highlight w:val="none"/>
        </w:rPr>
        <w:t>。</w:t>
      </w:r>
    </w:p>
    <w:p w14:paraId="172B0539">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（2）总价合同进度付款申请单提交的约定：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21F919B4">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（3）其他价格形式合同进度付款申请单提交的约定：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5B6AF52">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12.4.4 进度款审核和支付</w:t>
      </w:r>
    </w:p>
    <w:p w14:paraId="6550FA10">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（1）监理人审查并报送发包人的期限：</w:t>
      </w:r>
      <w:r>
        <w:rPr>
          <w:rFonts w:hint="eastAsia" w:ascii="宋体" w:hAnsi="宋体" w:eastAsia="宋体" w:cs="宋体"/>
          <w:color w:val="000000"/>
          <w:sz w:val="24"/>
          <w:szCs w:val="24"/>
          <w:highlight w:val="none"/>
          <w:u w:val="single"/>
        </w:rPr>
        <w:t xml:space="preserve"> 收到承包人提交资料后7天内 </w:t>
      </w:r>
      <w:r>
        <w:rPr>
          <w:rFonts w:hint="eastAsia" w:ascii="宋体" w:hAnsi="宋体" w:eastAsia="宋体" w:cs="宋体"/>
          <w:color w:val="000000"/>
          <w:sz w:val="24"/>
          <w:szCs w:val="24"/>
          <w:highlight w:val="none"/>
        </w:rPr>
        <w:t>。</w:t>
      </w:r>
    </w:p>
    <w:p w14:paraId="79B28EDF">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发包人完成审批并签发进度款支付证书的期限：</w:t>
      </w:r>
      <w:r>
        <w:rPr>
          <w:rFonts w:hint="eastAsia" w:ascii="宋体" w:hAnsi="宋体" w:eastAsia="宋体" w:cs="宋体"/>
          <w:color w:val="000000"/>
          <w:sz w:val="24"/>
          <w:szCs w:val="24"/>
          <w:highlight w:val="none"/>
          <w:u w:val="single"/>
        </w:rPr>
        <w:t xml:space="preserve">按发包人规定的工作流程及要求执行 </w:t>
      </w:r>
      <w:r>
        <w:rPr>
          <w:rFonts w:hint="eastAsia" w:ascii="宋体" w:hAnsi="宋体" w:eastAsia="宋体" w:cs="宋体"/>
          <w:color w:val="000000"/>
          <w:sz w:val="24"/>
          <w:szCs w:val="24"/>
          <w:highlight w:val="none"/>
        </w:rPr>
        <w:t>。</w:t>
      </w:r>
    </w:p>
    <w:p w14:paraId="5AECE429">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（2）发包人支付进度款的期限：</w:t>
      </w:r>
      <w:r>
        <w:rPr>
          <w:rFonts w:hint="eastAsia" w:ascii="宋体" w:hAnsi="宋体" w:eastAsia="宋体" w:cs="宋体"/>
          <w:color w:val="000000"/>
          <w:sz w:val="24"/>
          <w:szCs w:val="24"/>
          <w:highlight w:val="none"/>
          <w:u w:val="single"/>
        </w:rPr>
        <w:t xml:space="preserve"> 按资金到位情况拨付 </w:t>
      </w:r>
      <w:r>
        <w:rPr>
          <w:rFonts w:hint="eastAsia" w:ascii="宋体" w:hAnsi="宋体" w:eastAsia="宋体" w:cs="宋体"/>
          <w:color w:val="000000"/>
          <w:sz w:val="24"/>
          <w:szCs w:val="24"/>
          <w:highlight w:val="none"/>
        </w:rPr>
        <w:t>。</w:t>
      </w:r>
    </w:p>
    <w:p w14:paraId="56A03F9D">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发包人逾期支付进度款的违约金的计算方式：</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w:t>
      </w:r>
    </w:p>
    <w:p w14:paraId="6DACE87B">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12.4.6 支付分解表的编制</w:t>
      </w:r>
    </w:p>
    <w:p w14:paraId="3C3B3B5F">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2.</w:t>
      </w:r>
      <w:r>
        <w:rPr>
          <w:rFonts w:hint="eastAsia" w:ascii="宋体" w:hAnsi="宋体" w:eastAsia="宋体" w:cs="宋体"/>
          <w:color w:val="000000"/>
          <w:sz w:val="24"/>
          <w:szCs w:val="24"/>
          <w:highlight w:val="none"/>
        </w:rPr>
        <w:t>总价合同支付分解表的编制与审批：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659DAB9">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3.</w:t>
      </w:r>
      <w:r>
        <w:rPr>
          <w:rFonts w:hint="eastAsia" w:ascii="宋体" w:hAnsi="宋体" w:eastAsia="宋体" w:cs="宋体"/>
          <w:color w:val="000000"/>
          <w:sz w:val="24"/>
          <w:szCs w:val="24"/>
          <w:highlight w:val="none"/>
        </w:rPr>
        <w:t>单价合同的总价项目支付分解表的编制与审批：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p w14:paraId="4F235EA4">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13. 验收和工程试车</w:t>
      </w:r>
    </w:p>
    <w:p w14:paraId="12701501">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13.1 分部分项工程验收</w:t>
      </w:r>
    </w:p>
    <w:p w14:paraId="6EA0B3AF">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13.1.2监理人不能按时进行验收时，应提前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小时提交书面延期要求。</w:t>
      </w:r>
    </w:p>
    <w:p w14:paraId="38A4AFD9">
      <w:pPr>
        <w:keepNext w:val="0"/>
        <w:keepLines w:val="0"/>
        <w:pageBreakBefore w:val="0"/>
        <w:widowControl w:val="0"/>
        <w:spacing w:line="360" w:lineRule="auto"/>
        <w:ind w:left="0" w:firstLine="480"/>
        <w:jc w:val="left"/>
        <w:outlineLvl w:val="9"/>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关于延期最长不得超过：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48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小时。</w:t>
      </w:r>
    </w:p>
    <w:p w14:paraId="53AE7FCF">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13.2 竣工验收</w:t>
      </w:r>
    </w:p>
    <w:p w14:paraId="59F0F791">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13.2.2竣工验收程序</w:t>
      </w:r>
    </w:p>
    <w:p w14:paraId="547EB0F6">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关于竣工验收程序的约定：</w:t>
      </w:r>
      <w:r>
        <w:rPr>
          <w:rFonts w:hint="eastAsia" w:ascii="宋体" w:hAnsi="宋体" w:eastAsia="宋体" w:cs="宋体"/>
          <w:color w:val="000000"/>
          <w:sz w:val="24"/>
          <w:szCs w:val="24"/>
          <w:highlight w:val="none"/>
          <w:u w:val="single"/>
        </w:rPr>
        <w:t xml:space="preserve"> 按通用条款执行 </w:t>
      </w:r>
      <w:r>
        <w:rPr>
          <w:rFonts w:hint="eastAsia" w:ascii="宋体" w:hAnsi="宋体" w:eastAsia="宋体" w:cs="宋体"/>
          <w:color w:val="000000"/>
          <w:sz w:val="24"/>
          <w:szCs w:val="24"/>
          <w:highlight w:val="none"/>
        </w:rPr>
        <w:t>。</w:t>
      </w:r>
    </w:p>
    <w:p w14:paraId="07477B30">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发包人不按照本项约定组织竣工验收、颁发工程接收证书的违约金的计算方法：</w:t>
      </w:r>
      <w:r>
        <w:rPr>
          <w:rFonts w:hint="eastAsia" w:ascii="宋体" w:hAnsi="宋体" w:eastAsia="宋体" w:cs="宋体"/>
          <w:color w:val="000000"/>
          <w:sz w:val="24"/>
          <w:szCs w:val="24"/>
          <w:highlight w:val="none"/>
          <w:u w:val="single"/>
          <w:lang w:val="en-US" w:eastAsia="zh-CN"/>
        </w:rPr>
        <w:t>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ABE8005">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13.2.5移交、接收全部与部分工程</w:t>
      </w:r>
    </w:p>
    <w:p w14:paraId="3A2C31EF">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承包人向发包人移交工程的期限：</w:t>
      </w:r>
      <w:r>
        <w:rPr>
          <w:rFonts w:hint="eastAsia" w:ascii="宋体" w:hAnsi="宋体" w:eastAsia="宋体" w:cs="宋体"/>
          <w:color w:val="000000"/>
          <w:sz w:val="24"/>
          <w:szCs w:val="24"/>
          <w:highlight w:val="none"/>
          <w:u w:val="single"/>
        </w:rPr>
        <w:t xml:space="preserve"> 在颁发工程接收证书后7日内完成工程的移交 </w:t>
      </w:r>
      <w:r>
        <w:rPr>
          <w:rFonts w:hint="eastAsia" w:ascii="宋体" w:hAnsi="宋体" w:eastAsia="宋体" w:cs="宋体"/>
          <w:color w:val="000000"/>
          <w:sz w:val="24"/>
          <w:szCs w:val="24"/>
          <w:highlight w:val="none"/>
        </w:rPr>
        <w:t>。</w:t>
      </w:r>
    </w:p>
    <w:p w14:paraId="48D3D961">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发包人未按本合同约定接收全部或部分工程的，违约金的计算方法为：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724C3B7">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承包人未按时移交工程的，违约金的计算方法为：</w:t>
      </w:r>
      <w:r>
        <w:rPr>
          <w:rFonts w:hint="eastAsia" w:ascii="宋体" w:hAnsi="宋体" w:eastAsia="宋体" w:cs="宋体"/>
          <w:color w:val="000000"/>
          <w:sz w:val="24"/>
          <w:szCs w:val="24"/>
          <w:highlight w:val="none"/>
          <w:u w:val="single"/>
        </w:rPr>
        <w:t xml:space="preserve">每延误一天，承包人赔偿给发包人10万元违约金。违约金从工程竣工结算款中扣除，因承包人原因延迟竣工验收的所有责任均由承包人承担 </w:t>
      </w:r>
      <w:r>
        <w:rPr>
          <w:rFonts w:hint="eastAsia" w:ascii="宋体" w:hAnsi="宋体" w:eastAsia="宋体" w:cs="宋体"/>
          <w:color w:val="000000"/>
          <w:sz w:val="24"/>
          <w:szCs w:val="24"/>
          <w:highlight w:val="none"/>
        </w:rPr>
        <w:t>。</w:t>
      </w:r>
    </w:p>
    <w:p w14:paraId="038B417D">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13.3 工程试车</w:t>
      </w:r>
    </w:p>
    <w:p w14:paraId="2780726F">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13.3.1 试车程序</w:t>
      </w:r>
    </w:p>
    <w:p w14:paraId="40806DF1">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工程试车内容：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2F4BB7F6">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（1）单机无负荷试车费用由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承担；</w:t>
      </w:r>
    </w:p>
    <w:p w14:paraId="4FB05941">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（2）无负荷联动试车费用由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承担。</w:t>
      </w:r>
    </w:p>
    <w:p w14:paraId="14DC1B72">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13.3.3 投料试车</w:t>
      </w:r>
    </w:p>
    <w:p w14:paraId="3CDFD2F1">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关于投料试车相关事项的约定：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EADC3E8">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 xml:space="preserve"> 竣工退场</w:t>
      </w:r>
    </w:p>
    <w:p w14:paraId="2FA8BACA">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.1 竣工退场</w:t>
      </w:r>
    </w:p>
    <w:p w14:paraId="603B6D85">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承包人完成竣工退场的期限：</w:t>
      </w:r>
      <w:r>
        <w:rPr>
          <w:rFonts w:hint="eastAsia" w:ascii="宋体" w:hAnsi="宋体" w:eastAsia="宋体" w:cs="宋体"/>
          <w:color w:val="000000"/>
          <w:sz w:val="24"/>
          <w:szCs w:val="24"/>
          <w:highlight w:val="none"/>
          <w:u w:val="single"/>
        </w:rPr>
        <w:t xml:space="preserve"> 在移交结束后7日内完成竣工退场 </w:t>
      </w:r>
      <w:r>
        <w:rPr>
          <w:rFonts w:hint="eastAsia" w:ascii="宋体" w:hAnsi="宋体" w:eastAsia="宋体" w:cs="宋体"/>
          <w:color w:val="000000"/>
          <w:sz w:val="24"/>
          <w:szCs w:val="24"/>
          <w:highlight w:val="none"/>
        </w:rPr>
        <w:t>。</w:t>
      </w:r>
    </w:p>
    <w:p w14:paraId="51F7068D">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14. 竣工结算</w:t>
      </w:r>
    </w:p>
    <w:p w14:paraId="3B232D5E">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14.1 竣工结算申请</w:t>
      </w:r>
    </w:p>
    <w:p w14:paraId="5DC511FC">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承包人提交竣工结算申请单的期限：</w:t>
      </w:r>
      <w:r>
        <w:rPr>
          <w:rFonts w:hint="eastAsia" w:ascii="宋体" w:hAnsi="宋体" w:eastAsia="宋体" w:cs="宋体"/>
          <w:color w:val="000000"/>
          <w:sz w:val="24"/>
          <w:szCs w:val="24"/>
          <w:highlight w:val="none"/>
          <w:u w:val="single"/>
        </w:rPr>
        <w:t>在工程竣工验收合格后</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u w:val="single"/>
        </w:rPr>
        <w:t>天内向发包人和监理人提交竣工结算申请单</w:t>
      </w:r>
      <w:r>
        <w:rPr>
          <w:rFonts w:hint="eastAsia" w:ascii="宋体" w:hAnsi="宋体" w:eastAsia="宋体" w:cs="宋体"/>
          <w:color w:val="000000"/>
          <w:sz w:val="24"/>
          <w:szCs w:val="24"/>
          <w:highlight w:val="none"/>
        </w:rPr>
        <w:t>。</w:t>
      </w:r>
    </w:p>
    <w:p w14:paraId="3EDE39F5">
      <w:pPr>
        <w:spacing w:line="360" w:lineRule="auto"/>
        <w:ind w:firstLine="48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竣工结算申请单应包括的内容：</w:t>
      </w:r>
      <w:r>
        <w:rPr>
          <w:rFonts w:hint="eastAsia" w:ascii="宋体" w:hAnsi="宋体" w:eastAsia="宋体" w:cs="宋体"/>
          <w:color w:val="000000"/>
          <w:sz w:val="24"/>
          <w:szCs w:val="24"/>
          <w:highlight w:val="none"/>
          <w:u w:val="single"/>
        </w:rPr>
        <w:t>（1）竣工结算合同价格；</w:t>
      </w:r>
    </w:p>
    <w:p w14:paraId="74427947">
      <w:pPr>
        <w:spacing w:line="360" w:lineRule="auto"/>
        <w:ind w:firstLine="48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（2）发包人已支付承包人的款项；</w:t>
      </w:r>
    </w:p>
    <w:p w14:paraId="502CC314">
      <w:pPr>
        <w:spacing w:line="360" w:lineRule="auto"/>
        <w:ind w:firstLine="48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（3）应扣留的质量保证金； </w:t>
      </w:r>
    </w:p>
    <w:p w14:paraId="5FE322A7">
      <w:pPr>
        <w:spacing w:line="360" w:lineRule="auto"/>
        <w:ind w:firstLine="48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（4）发包人应支付承包人的合同价款；</w:t>
      </w:r>
    </w:p>
    <w:p w14:paraId="2916E0B1">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（5）其他须提供的资料</w:t>
      </w:r>
      <w:r>
        <w:rPr>
          <w:rFonts w:hint="eastAsia" w:ascii="宋体" w:hAnsi="宋体" w:eastAsia="宋体" w:cs="宋体"/>
          <w:color w:val="000000"/>
          <w:sz w:val="24"/>
          <w:szCs w:val="24"/>
          <w:highlight w:val="none"/>
        </w:rPr>
        <w:t>。</w:t>
      </w:r>
    </w:p>
    <w:p w14:paraId="16A10924">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14.2 竣工结算审核</w:t>
      </w:r>
    </w:p>
    <w:p w14:paraId="3F7B1E7B">
      <w:pPr>
        <w:spacing w:line="360" w:lineRule="auto"/>
        <w:ind w:firstLine="48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发包人审批竣工付款申请单的期限：</w:t>
      </w:r>
      <w:r>
        <w:rPr>
          <w:rFonts w:hint="eastAsia" w:ascii="宋体" w:hAnsi="宋体" w:eastAsia="宋体" w:cs="宋体"/>
          <w:b/>
          <w:color w:val="000000"/>
          <w:sz w:val="24"/>
          <w:szCs w:val="24"/>
          <w:highlight w:val="none"/>
          <w:u w:val="single"/>
        </w:rPr>
        <w:t xml:space="preserve">具体实施按照发包人规定的工作流程及要求执行 </w:t>
      </w:r>
      <w:r>
        <w:rPr>
          <w:rFonts w:hint="eastAsia" w:ascii="宋体" w:hAnsi="宋体" w:eastAsia="宋体" w:cs="宋体"/>
          <w:b/>
          <w:color w:val="000000"/>
          <w:sz w:val="24"/>
          <w:szCs w:val="24"/>
          <w:highlight w:val="none"/>
        </w:rPr>
        <w:t>。</w:t>
      </w:r>
    </w:p>
    <w:p w14:paraId="1C7E0D55">
      <w:pPr>
        <w:spacing w:line="360" w:lineRule="auto"/>
        <w:ind w:firstLine="48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发包人完成竣工付款的期限：</w:t>
      </w:r>
      <w:r>
        <w:rPr>
          <w:rFonts w:hint="eastAsia" w:ascii="宋体" w:hAnsi="宋体" w:eastAsia="宋体" w:cs="宋体"/>
          <w:b/>
          <w:color w:val="000000"/>
          <w:sz w:val="24"/>
          <w:szCs w:val="24"/>
          <w:highlight w:val="none"/>
          <w:u w:val="single"/>
        </w:rPr>
        <w:t xml:space="preserve">具体实施按照发包人规定的工作流程及要求执行 </w:t>
      </w:r>
      <w:r>
        <w:rPr>
          <w:rFonts w:hint="eastAsia" w:ascii="宋体" w:hAnsi="宋体" w:eastAsia="宋体" w:cs="宋体"/>
          <w:b/>
          <w:color w:val="000000"/>
          <w:sz w:val="24"/>
          <w:szCs w:val="24"/>
          <w:highlight w:val="none"/>
        </w:rPr>
        <w:t>。</w:t>
      </w:r>
    </w:p>
    <w:p w14:paraId="2B058242">
      <w:pPr>
        <w:spacing w:line="360" w:lineRule="auto"/>
        <w:ind w:firstLine="480"/>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关于竣工付款证书异议部分复核的方式和程序：</w:t>
      </w:r>
      <w:r>
        <w:rPr>
          <w:rFonts w:hint="eastAsia" w:ascii="宋体" w:hAnsi="宋体" w:eastAsia="宋体" w:cs="宋体"/>
          <w:b/>
          <w:color w:val="000000"/>
          <w:sz w:val="24"/>
          <w:szCs w:val="24"/>
          <w:highlight w:val="none"/>
          <w:u w:val="single"/>
        </w:rPr>
        <w:t>按通用条款第20条“争议解决”的约定办理</w:t>
      </w:r>
      <w:r>
        <w:rPr>
          <w:rFonts w:hint="eastAsia" w:ascii="Calibri" w:hAnsi="Calibri" w:eastAsia="宋体" w:cs="Times New Roman"/>
          <w:color w:val="000000"/>
          <w:sz w:val="24"/>
          <w:szCs w:val="32"/>
          <w:highlight w:val="none"/>
        </w:rPr>
        <w:t>承包方有义务配合发包方进行</w:t>
      </w:r>
      <w:r>
        <w:rPr>
          <w:rFonts w:hint="eastAsia" w:ascii="Calibri" w:hAnsi="Calibri" w:eastAsia="宋体" w:cs="Times New Roman"/>
          <w:color w:val="000000"/>
          <w:sz w:val="24"/>
          <w:szCs w:val="32"/>
          <w:highlight w:val="none"/>
          <w:lang w:val="en-US" w:eastAsia="zh-CN"/>
        </w:rPr>
        <w:t>竣工</w:t>
      </w:r>
      <w:r>
        <w:rPr>
          <w:rFonts w:hint="eastAsia" w:ascii="Calibri" w:hAnsi="Calibri" w:eastAsia="宋体" w:cs="Times New Roman"/>
          <w:color w:val="000000"/>
          <w:sz w:val="24"/>
          <w:szCs w:val="32"/>
          <w:highlight w:val="none"/>
        </w:rPr>
        <w:t>结算审核工作，并按发包方的要求提供</w:t>
      </w:r>
      <w:r>
        <w:rPr>
          <w:rFonts w:hint="eastAsia" w:ascii="Calibri" w:hAnsi="Calibri" w:eastAsia="宋体" w:cs="Times New Roman"/>
          <w:color w:val="000000"/>
          <w:sz w:val="24"/>
          <w:szCs w:val="32"/>
          <w:highlight w:val="none"/>
          <w:lang w:val="en-US" w:eastAsia="zh-CN"/>
        </w:rPr>
        <w:t>竣工</w:t>
      </w:r>
      <w:r>
        <w:rPr>
          <w:rFonts w:hint="eastAsia" w:ascii="Calibri" w:hAnsi="Calibri" w:eastAsia="宋体" w:cs="Times New Roman"/>
          <w:color w:val="000000"/>
          <w:sz w:val="24"/>
          <w:szCs w:val="32"/>
          <w:highlight w:val="none"/>
        </w:rPr>
        <w:t>结算审核资料。如承包人未按发包人要求提供相关结算审核资料，由此衍生对</w:t>
      </w:r>
      <w:r>
        <w:rPr>
          <w:rFonts w:hint="eastAsia" w:ascii="Calibri" w:hAnsi="Calibri" w:eastAsia="宋体" w:cs="Times New Roman"/>
          <w:color w:val="000000"/>
          <w:sz w:val="24"/>
          <w:szCs w:val="32"/>
          <w:highlight w:val="none"/>
          <w:lang w:val="en-US" w:eastAsia="zh-CN"/>
        </w:rPr>
        <w:t>竣工</w:t>
      </w:r>
      <w:r>
        <w:rPr>
          <w:rFonts w:hint="eastAsia" w:ascii="Calibri" w:hAnsi="Calibri" w:eastAsia="宋体" w:cs="Times New Roman"/>
          <w:color w:val="000000"/>
          <w:sz w:val="24"/>
          <w:szCs w:val="32"/>
          <w:highlight w:val="none"/>
        </w:rPr>
        <w:t>结算审核进程及相应工程款支付的影响由承包人自行承担。</w:t>
      </w:r>
    </w:p>
    <w:p w14:paraId="45DDDBBA">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 xml:space="preserve"> 最终结清</w:t>
      </w:r>
    </w:p>
    <w:p w14:paraId="2D7F8A5E">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 最终结清申请单</w:t>
      </w:r>
    </w:p>
    <w:p w14:paraId="6075CB6B">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承包人提交最终结清申请单的份数：</w:t>
      </w:r>
      <w:r>
        <w:rPr>
          <w:rFonts w:hint="eastAsia" w:ascii="宋体" w:hAnsi="宋体" w:eastAsia="宋体" w:cs="宋体"/>
          <w:color w:val="000000"/>
          <w:sz w:val="24"/>
          <w:szCs w:val="24"/>
          <w:highlight w:val="none"/>
          <w:u w:val="single"/>
        </w:rPr>
        <w:t xml:space="preserve"> 按发包人要求执行 </w:t>
      </w:r>
      <w:r>
        <w:rPr>
          <w:rFonts w:hint="eastAsia" w:ascii="宋体" w:hAnsi="宋体" w:eastAsia="宋体" w:cs="宋体"/>
          <w:color w:val="000000"/>
          <w:sz w:val="24"/>
          <w:szCs w:val="24"/>
          <w:highlight w:val="none"/>
        </w:rPr>
        <w:t>。</w:t>
      </w:r>
    </w:p>
    <w:p w14:paraId="1F0401F3">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承包人提交最终结算申请单的期限：</w:t>
      </w:r>
      <w:r>
        <w:rPr>
          <w:rFonts w:hint="eastAsia" w:ascii="宋体" w:hAnsi="宋体" w:eastAsia="宋体" w:cs="宋体"/>
          <w:color w:val="000000"/>
          <w:sz w:val="24"/>
          <w:szCs w:val="24"/>
          <w:highlight w:val="none"/>
          <w:u w:val="single"/>
        </w:rPr>
        <w:t xml:space="preserve"> 在缺陷责任期终止证书颁发后7日内 </w:t>
      </w:r>
      <w:r>
        <w:rPr>
          <w:rFonts w:hint="eastAsia" w:ascii="宋体" w:hAnsi="宋体" w:eastAsia="宋体" w:cs="宋体"/>
          <w:color w:val="000000"/>
          <w:sz w:val="24"/>
          <w:szCs w:val="24"/>
          <w:highlight w:val="none"/>
        </w:rPr>
        <w:t xml:space="preserve">。 </w:t>
      </w:r>
    </w:p>
    <w:p w14:paraId="63AC1427">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.2 最终结清证书和支付</w:t>
      </w:r>
    </w:p>
    <w:p w14:paraId="5E5AAA2C">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（1）发包人完成最终结清申请单的审批并颁发最终结清证书的期限：</w:t>
      </w:r>
      <w:r>
        <w:rPr>
          <w:rFonts w:hint="eastAsia" w:ascii="宋体" w:hAnsi="宋体" w:eastAsia="宋体" w:cs="宋体"/>
          <w:color w:val="000000"/>
          <w:sz w:val="24"/>
          <w:szCs w:val="24"/>
          <w:highlight w:val="none"/>
          <w:u w:val="single"/>
        </w:rPr>
        <w:t>在收到承包人提交的最终结清申请单后14天内</w:t>
      </w:r>
      <w:r>
        <w:rPr>
          <w:rFonts w:hint="eastAsia" w:ascii="宋体" w:hAnsi="宋体" w:eastAsia="宋体" w:cs="宋体"/>
          <w:color w:val="000000"/>
          <w:sz w:val="24"/>
          <w:szCs w:val="24"/>
          <w:highlight w:val="none"/>
        </w:rPr>
        <w:t>。</w:t>
      </w:r>
    </w:p>
    <w:p w14:paraId="21DE0742">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（2）发包人完成支付的期限：</w:t>
      </w:r>
      <w:r>
        <w:rPr>
          <w:rFonts w:hint="eastAsia" w:ascii="宋体" w:hAnsi="宋体" w:eastAsia="宋体" w:cs="宋体"/>
          <w:color w:val="000000"/>
          <w:sz w:val="24"/>
          <w:szCs w:val="24"/>
          <w:highlight w:val="none"/>
          <w:u w:val="single"/>
        </w:rPr>
        <w:t xml:space="preserve">按发包人工作流程执行 </w:t>
      </w:r>
      <w:r>
        <w:rPr>
          <w:rFonts w:hint="eastAsia" w:ascii="宋体" w:hAnsi="宋体" w:eastAsia="宋体" w:cs="宋体"/>
          <w:color w:val="000000"/>
          <w:sz w:val="24"/>
          <w:szCs w:val="24"/>
          <w:highlight w:val="none"/>
        </w:rPr>
        <w:t>。</w:t>
      </w:r>
    </w:p>
    <w:p w14:paraId="00A93410">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15. 缺陷责任期与保修</w:t>
      </w:r>
    </w:p>
    <w:p w14:paraId="57F246CD">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缺陷责任期</w:t>
      </w:r>
    </w:p>
    <w:p w14:paraId="301FB40E">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缺陷责任期的具体期限：</w:t>
      </w:r>
      <w:r>
        <w:rPr>
          <w:rFonts w:hint="eastAsia" w:ascii="宋体" w:hAnsi="宋体" w:eastAsia="宋体" w:cs="宋体"/>
          <w:color w:val="000000"/>
          <w:sz w:val="24"/>
          <w:szCs w:val="24"/>
          <w:highlight w:val="none"/>
          <w:u w:val="single"/>
        </w:rPr>
        <w:t>自实际竣工日期起</w:t>
      </w:r>
      <w:r>
        <w:rPr>
          <w:rFonts w:hint="eastAsia" w:ascii="宋体" w:hAnsi="宋体" w:eastAsia="宋体" w:cs="宋体"/>
          <w:color w:val="000000"/>
          <w:sz w:val="24"/>
          <w:szCs w:val="24"/>
          <w:highlight w:val="none"/>
          <w:u w:val="single"/>
          <w:lang w:eastAsia="zh-CN"/>
        </w:rPr>
        <w:t>2</w:t>
      </w:r>
      <w:r>
        <w:rPr>
          <w:rFonts w:hint="eastAsia" w:ascii="宋体" w:hAnsi="宋体" w:eastAsia="宋体" w:cs="宋体"/>
          <w:color w:val="000000"/>
          <w:sz w:val="24"/>
          <w:szCs w:val="24"/>
          <w:highlight w:val="none"/>
          <w:u w:val="single"/>
          <w:lang w:val="en-US" w:eastAsia="zh-CN"/>
        </w:rPr>
        <w:t>4</w:t>
      </w:r>
      <w:r>
        <w:rPr>
          <w:rFonts w:hint="eastAsia" w:ascii="宋体" w:hAnsi="宋体" w:eastAsia="宋体" w:cs="宋体"/>
          <w:color w:val="000000"/>
          <w:sz w:val="24"/>
          <w:szCs w:val="24"/>
          <w:highlight w:val="none"/>
          <w:u w:val="single"/>
        </w:rPr>
        <w:t xml:space="preserve">个月 </w:t>
      </w:r>
      <w:r>
        <w:rPr>
          <w:rFonts w:hint="eastAsia" w:ascii="宋体" w:hAnsi="宋体" w:eastAsia="宋体" w:cs="宋体"/>
          <w:color w:val="000000"/>
          <w:sz w:val="24"/>
          <w:szCs w:val="24"/>
          <w:highlight w:val="none"/>
        </w:rPr>
        <w:t>。</w:t>
      </w:r>
    </w:p>
    <w:p w14:paraId="417B0593">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 xml:space="preserve"> 质量保证金</w:t>
      </w:r>
    </w:p>
    <w:p w14:paraId="753E8EC6">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关于是否扣留质量保证金的约定：</w:t>
      </w:r>
      <w:r>
        <w:rPr>
          <w:rFonts w:hint="eastAsia" w:ascii="宋体" w:hAnsi="宋体" w:eastAsia="宋体" w:cs="宋体"/>
          <w:color w:val="000000"/>
          <w:sz w:val="24"/>
          <w:szCs w:val="24"/>
          <w:highlight w:val="none"/>
          <w:u w:val="single"/>
        </w:rPr>
        <w:t xml:space="preserve"> 扣留质量保证金 </w:t>
      </w:r>
      <w:r>
        <w:rPr>
          <w:rFonts w:hint="eastAsia" w:ascii="宋体" w:hAnsi="宋体" w:eastAsia="宋体" w:cs="宋体"/>
          <w:color w:val="000000"/>
          <w:sz w:val="24"/>
          <w:szCs w:val="24"/>
          <w:highlight w:val="none"/>
        </w:rPr>
        <w:t>。在工程项目竣工前，承包人按专用合同条款第3.7条提供履约担保的，发包人不得同时预留工程质量保证金。</w:t>
      </w:r>
    </w:p>
    <w:p w14:paraId="0CD133E3">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.1 承包人提供质量保证金的方式</w:t>
      </w:r>
    </w:p>
    <w:p w14:paraId="563ADBCB">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质量保证金采用以下第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种方式：</w:t>
      </w:r>
    </w:p>
    <w:p w14:paraId="0178BBFE">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（1）质量保证金保函，保证金额为：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p w14:paraId="2CF5A82A">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%的工程款；</w:t>
      </w:r>
    </w:p>
    <w:p w14:paraId="1542D612">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（3）其他方式</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u w:val="single"/>
        </w:rPr>
        <w:t xml:space="preserve"> 扣留工程审定价的3%作为质量保证金，详见质量保修书 </w:t>
      </w:r>
      <w:r>
        <w:rPr>
          <w:rFonts w:hint="eastAsia" w:ascii="宋体" w:hAnsi="宋体" w:eastAsia="宋体" w:cs="宋体"/>
          <w:color w:val="000000"/>
          <w:sz w:val="24"/>
          <w:szCs w:val="24"/>
          <w:highlight w:val="none"/>
        </w:rPr>
        <w:t>。</w:t>
      </w:r>
    </w:p>
    <w:p w14:paraId="205597A4">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 xml:space="preserve">.2 质量保证金的扣留 </w:t>
      </w:r>
    </w:p>
    <w:p w14:paraId="7FA9C053">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质量保证金的扣留采取以下第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种方式：</w:t>
      </w:r>
    </w:p>
    <w:p w14:paraId="0E16FD85">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（1）在支付工程进度款时逐次扣留，在此情形下，质量保证金的计算基数不包括预付款的支付、扣回以及价格调整的金额；</w:t>
      </w:r>
    </w:p>
    <w:p w14:paraId="5CA52A6B">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（2）工程竣工结算时一次性扣留质量保证金；</w:t>
      </w:r>
    </w:p>
    <w:p w14:paraId="43C5A5E3">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（3）其他扣留方式</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236D20A2">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关于质量保证金的补充约定：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78F68E6">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保修</w:t>
      </w:r>
    </w:p>
    <w:p w14:paraId="60CD42E6">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 保修责任</w:t>
      </w:r>
    </w:p>
    <w:p w14:paraId="50BE164B">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工程保修期为：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详见质量保修书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760E115">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.3 修复通知</w:t>
      </w:r>
    </w:p>
    <w:p w14:paraId="461A58A8">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承包人收到保修通知并到达工程现场的合理时间：</w:t>
      </w:r>
      <w:r>
        <w:rPr>
          <w:rFonts w:hint="eastAsia" w:ascii="宋体" w:hAnsi="宋体" w:eastAsia="宋体" w:cs="宋体"/>
          <w:color w:val="000000"/>
          <w:sz w:val="24"/>
          <w:szCs w:val="24"/>
          <w:highlight w:val="none"/>
          <w:u w:val="single"/>
        </w:rPr>
        <w:t>收到保修通知或口头通知后4小时内</w:t>
      </w:r>
      <w:r>
        <w:rPr>
          <w:rFonts w:hint="eastAsia" w:ascii="宋体" w:hAnsi="宋体" w:eastAsia="宋体" w:cs="宋体"/>
          <w:color w:val="000000"/>
          <w:sz w:val="24"/>
          <w:szCs w:val="24"/>
          <w:highlight w:val="none"/>
        </w:rPr>
        <w:t>。</w:t>
      </w:r>
    </w:p>
    <w:p w14:paraId="5ADC261A">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16. 违约</w:t>
      </w:r>
    </w:p>
    <w:p w14:paraId="7B6ADD31">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 发包人违约</w:t>
      </w:r>
    </w:p>
    <w:p w14:paraId="5B542B7B">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16.1.1发包人违约的情形</w:t>
      </w:r>
    </w:p>
    <w:p w14:paraId="1E5FA89C">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发包人违约的其他情形：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E389FD6">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16.1.2 发包人违约的责任</w:t>
      </w:r>
    </w:p>
    <w:p w14:paraId="0624916C">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发包人违约责任的承担方式和计算方法：</w:t>
      </w:r>
    </w:p>
    <w:p w14:paraId="761015E7">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（1）因发包人原因未能在计划开工日期前7天内下达开工通知的违约责任：</w:t>
      </w:r>
      <w:r>
        <w:rPr>
          <w:rFonts w:hint="eastAsia" w:ascii="宋体" w:hAnsi="宋体" w:eastAsia="宋体" w:cs="宋体"/>
          <w:color w:val="000000"/>
          <w:sz w:val="24"/>
          <w:szCs w:val="24"/>
          <w:highlight w:val="none"/>
          <w:u w:val="single"/>
        </w:rPr>
        <w:t xml:space="preserve"> 由承包人书面提出，并</w:t>
      </w:r>
      <w:r>
        <w:rPr>
          <w:rFonts w:hint="eastAsia" w:ascii="宋体" w:hAnsi="宋体" w:eastAsia="宋体" w:cs="宋体"/>
          <w:color w:val="000000"/>
          <w:sz w:val="24"/>
          <w:szCs w:val="24"/>
          <w:highlight w:val="none"/>
          <w:u w:val="single"/>
          <w:lang w:val="en-US" w:eastAsia="zh-CN"/>
        </w:rPr>
        <w:t>由</w:t>
      </w:r>
      <w:r>
        <w:rPr>
          <w:rFonts w:hint="eastAsia" w:ascii="宋体" w:hAnsi="宋体" w:eastAsia="宋体" w:cs="宋体"/>
          <w:color w:val="000000"/>
          <w:sz w:val="24"/>
          <w:szCs w:val="24"/>
          <w:highlight w:val="none"/>
          <w:u w:val="single"/>
        </w:rPr>
        <w:t>监理工程师和发包人派驻现场工程师核实确认后，顺延工期，不补偿任何费用</w:t>
      </w:r>
      <w:r>
        <w:rPr>
          <w:rFonts w:hint="eastAsia" w:ascii="宋体" w:hAnsi="宋体" w:eastAsia="宋体" w:cs="宋体"/>
          <w:color w:val="000000"/>
          <w:sz w:val="24"/>
          <w:szCs w:val="24"/>
          <w:highlight w:val="none"/>
        </w:rPr>
        <w:t>。</w:t>
      </w:r>
    </w:p>
    <w:p w14:paraId="12FE1351">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（2）因发包人原因未能按合同约定支付合同价款的违约责任：</w:t>
      </w:r>
      <w:r>
        <w:rPr>
          <w:rFonts w:hint="eastAsia" w:ascii="宋体" w:hAnsi="宋体" w:eastAsia="宋体" w:cs="宋体"/>
          <w:color w:val="000000"/>
          <w:sz w:val="24"/>
          <w:szCs w:val="24"/>
          <w:highlight w:val="none"/>
          <w:u w:val="single"/>
        </w:rPr>
        <w:t>顺延工期，不补偿任何费用</w:t>
      </w:r>
      <w:r>
        <w:rPr>
          <w:rFonts w:hint="eastAsia" w:ascii="宋体" w:hAnsi="宋体" w:eastAsia="宋体" w:cs="宋体"/>
          <w:color w:val="000000"/>
          <w:sz w:val="24"/>
          <w:szCs w:val="24"/>
          <w:highlight w:val="none"/>
        </w:rPr>
        <w:t>。</w:t>
      </w:r>
    </w:p>
    <w:p w14:paraId="5D54163F">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rPr>
        <w:t>顺延工期，不补偿任何费用</w:t>
      </w:r>
      <w:r>
        <w:rPr>
          <w:rFonts w:hint="eastAsia" w:ascii="宋体" w:hAnsi="宋体" w:eastAsia="宋体" w:cs="宋体"/>
          <w:color w:val="000000"/>
          <w:sz w:val="24"/>
          <w:szCs w:val="24"/>
          <w:highlight w:val="none"/>
        </w:rPr>
        <w:t>。</w:t>
      </w:r>
    </w:p>
    <w:p w14:paraId="004DBEAE">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rPr>
        <w:t xml:space="preserve"> 由承包人书面提出，并</w:t>
      </w:r>
      <w:r>
        <w:rPr>
          <w:rFonts w:hint="eastAsia" w:ascii="宋体" w:hAnsi="宋体" w:eastAsia="宋体" w:cs="宋体"/>
          <w:color w:val="000000"/>
          <w:sz w:val="24"/>
          <w:szCs w:val="24"/>
          <w:highlight w:val="none"/>
          <w:u w:val="single"/>
          <w:lang w:eastAsia="zh-CN"/>
        </w:rPr>
        <w:t>由</w:t>
      </w:r>
      <w:r>
        <w:rPr>
          <w:rFonts w:hint="eastAsia" w:ascii="宋体" w:hAnsi="宋体" w:eastAsia="宋体" w:cs="宋体"/>
          <w:color w:val="000000"/>
          <w:sz w:val="24"/>
          <w:szCs w:val="24"/>
          <w:highlight w:val="none"/>
          <w:u w:val="single"/>
        </w:rPr>
        <w:t xml:space="preserve">监理工程师和甲方派驻现场工程师核实确认后，顺延工期，不补偿任何费用 </w:t>
      </w:r>
      <w:r>
        <w:rPr>
          <w:rFonts w:hint="eastAsia" w:ascii="宋体" w:hAnsi="宋体" w:eastAsia="宋体" w:cs="宋体"/>
          <w:color w:val="000000"/>
          <w:sz w:val="24"/>
          <w:szCs w:val="24"/>
          <w:highlight w:val="none"/>
        </w:rPr>
        <w:t>。</w:t>
      </w:r>
    </w:p>
    <w:p w14:paraId="6E86A229">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（5）因发包人违反合同约定造成暂停施工的违约责任：</w:t>
      </w:r>
      <w:r>
        <w:rPr>
          <w:rFonts w:hint="eastAsia" w:ascii="宋体" w:hAnsi="宋体" w:eastAsia="宋体" w:cs="宋体"/>
          <w:color w:val="000000"/>
          <w:sz w:val="24"/>
          <w:szCs w:val="24"/>
          <w:highlight w:val="none"/>
          <w:u w:val="single"/>
        </w:rPr>
        <w:t>由承包人书面提出，并</w:t>
      </w:r>
      <w:r>
        <w:rPr>
          <w:rFonts w:hint="eastAsia" w:ascii="宋体" w:hAnsi="宋体" w:eastAsia="宋体" w:cs="宋体"/>
          <w:color w:val="000000"/>
          <w:sz w:val="24"/>
          <w:szCs w:val="24"/>
          <w:highlight w:val="none"/>
          <w:u w:val="single"/>
          <w:lang w:eastAsia="zh-CN"/>
        </w:rPr>
        <w:t>由</w:t>
      </w:r>
      <w:r>
        <w:rPr>
          <w:rFonts w:hint="eastAsia" w:ascii="宋体" w:hAnsi="宋体" w:eastAsia="宋体" w:cs="宋体"/>
          <w:color w:val="000000"/>
          <w:sz w:val="24"/>
          <w:szCs w:val="24"/>
          <w:highlight w:val="none"/>
          <w:u w:val="single"/>
        </w:rPr>
        <w:t>监理工程师和甲方派驻现场工程师核实确认后，可酌情延长工期，不补偿任何费用</w:t>
      </w:r>
      <w:r>
        <w:rPr>
          <w:rFonts w:hint="eastAsia" w:ascii="宋体" w:hAnsi="宋体" w:eastAsia="宋体" w:cs="宋体"/>
          <w:color w:val="000000"/>
          <w:sz w:val="24"/>
          <w:szCs w:val="24"/>
          <w:highlight w:val="none"/>
        </w:rPr>
        <w:t>。</w:t>
      </w:r>
    </w:p>
    <w:p w14:paraId="2CA65ED6">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（6）发包人无正当理由没有在约定期限内发出复工指示，导致承包人无法复工的违约责任：</w:t>
      </w:r>
      <w:r>
        <w:rPr>
          <w:rFonts w:hint="eastAsia" w:ascii="宋体" w:hAnsi="宋体" w:eastAsia="宋体" w:cs="宋体"/>
          <w:color w:val="000000"/>
          <w:sz w:val="24"/>
          <w:szCs w:val="24"/>
          <w:highlight w:val="none"/>
          <w:u w:val="single"/>
        </w:rPr>
        <w:t>由承包人书面提出，并</w:t>
      </w:r>
      <w:r>
        <w:rPr>
          <w:rFonts w:hint="eastAsia" w:ascii="宋体" w:hAnsi="宋体" w:eastAsia="宋体" w:cs="宋体"/>
          <w:color w:val="000000"/>
          <w:sz w:val="24"/>
          <w:szCs w:val="24"/>
          <w:highlight w:val="none"/>
          <w:u w:val="single"/>
          <w:lang w:eastAsia="zh-CN"/>
        </w:rPr>
        <w:t>由</w:t>
      </w:r>
      <w:r>
        <w:rPr>
          <w:rFonts w:hint="eastAsia" w:ascii="宋体" w:hAnsi="宋体" w:eastAsia="宋体" w:cs="宋体"/>
          <w:color w:val="000000"/>
          <w:sz w:val="24"/>
          <w:szCs w:val="24"/>
          <w:highlight w:val="none"/>
          <w:u w:val="single"/>
        </w:rPr>
        <w:t xml:space="preserve">监理工程师和建设单位代表书面确认后，可酌情延长工期，不补偿任何费用 </w:t>
      </w:r>
      <w:r>
        <w:rPr>
          <w:rFonts w:hint="eastAsia" w:ascii="宋体" w:hAnsi="宋体" w:eastAsia="宋体" w:cs="宋体"/>
          <w:color w:val="000000"/>
          <w:sz w:val="24"/>
          <w:szCs w:val="24"/>
          <w:highlight w:val="none"/>
        </w:rPr>
        <w:t>。</w:t>
      </w:r>
    </w:p>
    <w:p w14:paraId="63C6DD17">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（7）其他：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A1F12EB">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16.1.3 因发包人违约解除合同</w:t>
      </w:r>
    </w:p>
    <w:p w14:paraId="16005B4A">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承包人按16.1.1项〔发包人违约的情形〕约定暂停施工满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28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天后发包人仍不纠正其违约行为并致使合同目的不能实现的，承包人有权解除合同。</w:t>
      </w:r>
    </w:p>
    <w:p w14:paraId="3E5833F5">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 承包人违约</w:t>
      </w:r>
    </w:p>
    <w:p w14:paraId="10E006A0">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16.2.1 承包人违约的情形</w:t>
      </w:r>
    </w:p>
    <w:p w14:paraId="6B4D8798">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承包人违约的其他情形：</w:t>
      </w:r>
      <w:r>
        <w:rPr>
          <w:rFonts w:hint="eastAsia" w:ascii="宋体" w:hAnsi="宋体" w:eastAsia="宋体" w:cs="宋体"/>
          <w:color w:val="000000"/>
          <w:sz w:val="24"/>
          <w:szCs w:val="24"/>
          <w:highlight w:val="none"/>
          <w:u w:val="single"/>
        </w:rPr>
        <w:t xml:space="preserve"> </w:t>
      </w:r>
    </w:p>
    <w:p w14:paraId="443DF771">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 因承包人安全文明措施不到位的或未按规定实施的；</w:t>
      </w:r>
    </w:p>
    <w:p w14:paraId="7DDCA3DD">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(2) 若因承包人原因，导致周边住户和单位投诉或新闻媒体负面曝光；</w:t>
      </w:r>
    </w:p>
    <w:p w14:paraId="0F15CD64">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(3) 承包人不能按规定上报竣工结算；</w:t>
      </w:r>
    </w:p>
    <w:p w14:paraId="74E67512">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(4) 因承包人原因发生保险事故给发包人造成影响的；</w:t>
      </w:r>
    </w:p>
    <w:p w14:paraId="1383AFEE">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(5) 承包人其他违约情形 </w:t>
      </w:r>
      <w:r>
        <w:rPr>
          <w:rFonts w:hint="eastAsia" w:ascii="宋体" w:hAnsi="宋体" w:eastAsia="宋体" w:cs="宋体"/>
          <w:color w:val="000000"/>
          <w:sz w:val="24"/>
          <w:szCs w:val="24"/>
          <w:highlight w:val="none"/>
        </w:rPr>
        <w:t>。</w:t>
      </w:r>
    </w:p>
    <w:p w14:paraId="0EE8B0AF">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16.2.2承包人违约的责任</w:t>
      </w:r>
    </w:p>
    <w:p w14:paraId="284B46E1">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承包人违约责任的承担方式和计算方法：</w:t>
      </w:r>
    </w:p>
    <w:p w14:paraId="6ED04B22">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承包人违反合同约定进行转包或违法分包的：如承包人违背法律法规分包、或未经发包人书面同意分包，发包方有权解除协议，并要求承包方赔付合同工程款的30%的违约金；</w:t>
      </w:r>
    </w:p>
    <w:p w14:paraId="131AC988">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承包人违反合同约定采购和使用不合格的材料和工程设备的：按发包人要求进行整改，并按材料和工程设备价款的20%进行处罚，并从工程款中直接扣除；</w:t>
      </w:r>
    </w:p>
    <w:p w14:paraId="24B390D4">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 xml:space="preserve">因承包人原因导致工程质量不符合合同要求的：限期整改，工期不延长； </w:t>
      </w:r>
    </w:p>
    <w:p w14:paraId="3571ACEF">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 xml:space="preserve">承包人违反第8.9款〔材料与设备专用要求〕的约定，未经批准，私自将已按照合同约定进入施工现场的材料或设备撤离施工现场的：限期整改，工期不延长； </w:t>
      </w:r>
    </w:p>
    <w:p w14:paraId="18AF687B">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098DC494">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承包人明确表示或者以其行为表明不履行合同主要义务的：清除出场，扣除履约保证金；如履约保证金不足，发包人有权从已完工程价款中扣除；发包人有损失的，发包人有权要求承包人进行赔偿，并上报建设主管部门；</w:t>
      </w:r>
    </w:p>
    <w:p w14:paraId="02C396C1">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7</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因承包人安全文明措施不到位的或未按规定实施的，在接发包人通知（包含相关网络工作群）后3天内未按通知要求整改的，承包人须按5000元/次向发包人支付违约金，费用在承包人履约担保金中扣除。同时发包人有权另行安排他人完成，费用在承包人工程款中扣除。</w:t>
      </w:r>
    </w:p>
    <w:p w14:paraId="2C7DCDDA">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8</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若因承包人原因，导致周边住户和单位投诉或新闻媒体负面曝光的，承包人需承担由此产生的一切后果和费用。每曝光一次承包人需向发包人支付5000元的违约金。</w:t>
      </w:r>
    </w:p>
    <w:p w14:paraId="3095A549">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9</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如承包人不能按规定上报竣工结算，承包人需向发包人支付10000元/天的违约金。违约金从工程竣工结算款中扣除。相关条款涉及的费用除已明确由发包人承担的，均已包含在承包人的总价中。</w:t>
      </w:r>
    </w:p>
    <w:p w14:paraId="4E44B201">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10</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如因承包人原因发生保险事故给发包人造成影响的，承包人承担违约责任，需向发包人支付保险赔付金20％的违约金。</w:t>
      </w:r>
    </w:p>
    <w:p w14:paraId="7692F826">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11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对严重违约需清除出场的承包人，发包人将其情况书面报告当地及企业所在地建设行政主管部门，向承包人书面提出限期清场的要求并登报公示。</w:t>
      </w:r>
    </w:p>
    <w:p w14:paraId="57C8F875">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lang w:eastAsia="zh-CN"/>
        </w:rPr>
        <w:t>）若因承包人原因，迟延交付竣工验收资料的，按</w:t>
      </w:r>
      <w:r>
        <w:rPr>
          <w:rFonts w:hint="eastAsia" w:ascii="宋体" w:hAnsi="宋体" w:eastAsia="宋体" w:cs="宋体"/>
          <w:color w:val="000000"/>
          <w:sz w:val="24"/>
          <w:szCs w:val="24"/>
          <w:highlight w:val="none"/>
          <w:lang w:val="en-US" w:eastAsia="zh-CN"/>
        </w:rPr>
        <w:t>1000元/日向发包人承担违约金</w:t>
      </w:r>
      <w:r>
        <w:rPr>
          <w:rFonts w:hint="eastAsia" w:ascii="宋体" w:hAnsi="宋体" w:eastAsia="宋体" w:cs="宋体"/>
          <w:color w:val="000000"/>
          <w:sz w:val="24"/>
          <w:szCs w:val="24"/>
          <w:highlight w:val="none"/>
        </w:rPr>
        <w:t xml:space="preserve">。    </w:t>
      </w:r>
    </w:p>
    <w:p w14:paraId="256290E5">
      <w:pPr>
        <w:keepNext w:val="0"/>
        <w:keepLines w:val="0"/>
        <w:pageBreakBefore w:val="0"/>
        <w:widowControl w:val="0"/>
        <w:spacing w:line="360" w:lineRule="auto"/>
        <w:ind w:left="0"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16.2.3 因承包人违约解除合同</w:t>
      </w:r>
    </w:p>
    <w:p w14:paraId="5E4B1E8C">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关于承包人违约解除合同的特别约定：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执行通用条款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188153C">
      <w:pPr>
        <w:keepNext w:val="0"/>
        <w:keepLines w:val="0"/>
        <w:pageBreakBefore w:val="0"/>
        <w:widowControl w:val="0"/>
        <w:spacing w:line="360" w:lineRule="auto"/>
        <w:ind w:left="0"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发包人有权无偿使用。发包人继续使用的行为不免除或减轻承包人应承担的违约责任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609C2F5">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不可抗力 </w:t>
      </w:r>
    </w:p>
    <w:p w14:paraId="6ADFFED7">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17.1 不可抗力的确认</w:t>
      </w:r>
    </w:p>
    <w:p w14:paraId="2B4EC231">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除通用合同条款约定的不可抗力事件之外，视为不可抗力的其他情形：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w:t>
      </w:r>
    </w:p>
    <w:p w14:paraId="3DA41517">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 xml:space="preserve"> 因不可抗力解除合同</w:t>
      </w:r>
    </w:p>
    <w:p w14:paraId="22238E5C">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合同解除后，发包人应在商定或确定发包人应支付款项后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28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天内完成款项的支付。</w:t>
      </w:r>
    </w:p>
    <w:p w14:paraId="4B13384B">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18. 保险</w:t>
      </w:r>
    </w:p>
    <w:p w14:paraId="2DB0D9E5">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18.1 工程保险</w:t>
      </w:r>
    </w:p>
    <w:p w14:paraId="7AA8A23A">
      <w:pPr>
        <w:keepNext w:val="0"/>
        <w:keepLines w:val="0"/>
        <w:pageBreakBefore w:val="0"/>
        <w:widowControl w:val="0"/>
        <w:spacing w:line="360" w:lineRule="auto"/>
        <w:ind w:firstLine="482"/>
        <w:outlineLvl w:val="9"/>
        <w:rPr>
          <w:rFonts w:hint="eastAsia" w:ascii="宋体" w:hAnsi="宋体" w:eastAsia="宋体" w:cs="宋体"/>
          <w:b/>
          <w:bCs/>
          <w:color w:val="000000"/>
          <w:sz w:val="24"/>
          <w:szCs w:val="24"/>
          <w:highlight w:val="none"/>
        </w:rPr>
      </w:pPr>
      <w:r>
        <w:rPr>
          <w:rFonts w:hint="eastAsia" w:ascii="宋体" w:hAnsi="宋体" w:eastAsia="宋体" w:cs="宋体"/>
          <w:color w:val="auto"/>
          <w:sz w:val="24"/>
        </w:rPr>
        <w:t>关于工程保险的特别约定：</w:t>
      </w:r>
      <w:r>
        <w:rPr>
          <w:rFonts w:hint="eastAsia" w:ascii="宋体" w:hAnsi="宋体" w:eastAsia="宋体" w:cs="宋体"/>
          <w:color w:val="auto"/>
          <w:sz w:val="24"/>
          <w:u w:val="single"/>
        </w:rPr>
        <w:t>为工程购买建筑工程一切险，保险费用由承包人支付</w:t>
      </w:r>
      <w:r>
        <w:rPr>
          <w:rFonts w:hint="eastAsia" w:ascii="宋体" w:hAnsi="宋体" w:eastAsia="宋体" w:cs="宋体"/>
          <w:color w:val="auto"/>
          <w:sz w:val="24"/>
        </w:rPr>
        <w:t>。</w:t>
      </w:r>
    </w:p>
    <w:p w14:paraId="2CBD851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18.2 其他保险</w:t>
      </w:r>
    </w:p>
    <w:p w14:paraId="19F0440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关于其他保险的约定：</w:t>
      </w:r>
      <w:r>
        <w:rPr>
          <w:rFonts w:hint="eastAsia" w:ascii="宋体" w:hAnsi="宋体" w:eastAsia="宋体" w:cs="宋体"/>
          <w:color w:val="auto"/>
          <w:sz w:val="24"/>
          <w:u w:val="single"/>
        </w:rPr>
        <w:t>承包人为施工现场的全部人员办理意外伤害保险、工程事故保险</w:t>
      </w:r>
      <w:r>
        <w:rPr>
          <w:rFonts w:hint="eastAsia" w:ascii="宋体" w:hAnsi="宋体" w:eastAsia="宋体" w:cs="宋体"/>
          <w:color w:val="auto"/>
          <w:sz w:val="24"/>
          <w:u w:val="none"/>
        </w:rPr>
        <w:t xml:space="preserve">。 </w:t>
      </w:r>
    </w:p>
    <w:p w14:paraId="56117896">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承包人是否应为其施工设备等办理财产保险：</w:t>
      </w:r>
      <w:r>
        <w:rPr>
          <w:rFonts w:hint="eastAsia" w:ascii="宋体" w:hAnsi="宋体" w:eastAsia="宋体" w:cs="宋体"/>
          <w:color w:val="auto"/>
          <w:sz w:val="24"/>
          <w:u w:val="single"/>
        </w:rPr>
        <w:t>承包人为其施工设备等办理财产保险</w:t>
      </w:r>
      <w:r>
        <w:rPr>
          <w:rFonts w:hint="eastAsia" w:ascii="宋体" w:hAnsi="宋体" w:eastAsia="宋体" w:cs="宋体"/>
          <w:color w:val="auto"/>
          <w:sz w:val="24"/>
        </w:rPr>
        <w:t>。</w:t>
      </w:r>
    </w:p>
    <w:p w14:paraId="41652A79">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 xml:space="preserve"> 通知义务</w:t>
      </w:r>
    </w:p>
    <w:p w14:paraId="7F826B67">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关于变更保险合同时的通知义务的约定：</w:t>
      </w:r>
      <w:r>
        <w:rPr>
          <w:rFonts w:hint="eastAsia" w:ascii="宋体" w:hAnsi="宋体" w:eastAsia="宋体" w:cs="宋体"/>
          <w:color w:val="000000"/>
          <w:sz w:val="24"/>
          <w:szCs w:val="24"/>
          <w:highlight w:val="none"/>
          <w:u w:val="single"/>
        </w:rPr>
        <w:t xml:space="preserve"> 变更前应事先征得发包人同意并通知监理人</w:t>
      </w:r>
      <w:r>
        <w:rPr>
          <w:rFonts w:hint="eastAsia" w:ascii="宋体" w:hAnsi="宋体" w:eastAsia="宋体" w:cs="宋体"/>
          <w:color w:val="000000"/>
          <w:sz w:val="24"/>
          <w:szCs w:val="24"/>
          <w:highlight w:val="none"/>
        </w:rPr>
        <w:t>。</w:t>
      </w:r>
    </w:p>
    <w:p w14:paraId="54031B33">
      <w:pPr>
        <w:keepNext w:val="0"/>
        <w:keepLines w:val="0"/>
        <w:pageBreakBefore w:val="0"/>
        <w:widowControl w:val="0"/>
        <w:spacing w:line="360" w:lineRule="auto"/>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19</w:t>
      </w:r>
      <w:r>
        <w:rPr>
          <w:rFonts w:hint="eastAsia" w:ascii="宋体" w:hAnsi="宋体" w:eastAsia="宋体" w:cs="宋体"/>
          <w:b/>
          <w:color w:val="000000"/>
          <w:sz w:val="24"/>
          <w:szCs w:val="24"/>
          <w:highlight w:val="none"/>
        </w:rPr>
        <w:t>. 争议解决</w:t>
      </w:r>
    </w:p>
    <w:p w14:paraId="2988A679">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19</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 xml:space="preserve"> 争议评审</w:t>
      </w:r>
    </w:p>
    <w:p w14:paraId="66582217">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合同当事人是否同意将工程争议提交争议评审小组决定：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p w14:paraId="4E5E9F93">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19</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.1 争议评审小组的确定</w:t>
      </w:r>
    </w:p>
    <w:p w14:paraId="63AA8CF3">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争议评审小组成员的确定：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F11A985">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选定争议评审员的期限：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22CDE542">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争议评审小组成员的报酬承担方式：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5A7257D">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其他事项的约定：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AA795F5">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19</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.2 争议评审小组的决定</w:t>
      </w:r>
    </w:p>
    <w:p w14:paraId="2C7E5E3B">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合同当事人关于本项的约定：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A949873">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19</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仲裁或诉讼</w:t>
      </w:r>
    </w:p>
    <w:p w14:paraId="57C9C03C">
      <w:pPr>
        <w:keepNext w:val="0"/>
        <w:keepLines w:val="0"/>
        <w:pageBreakBefore w:val="0"/>
        <w:widowControl w:val="0"/>
        <w:spacing w:line="360" w:lineRule="auto"/>
        <w:ind w:firstLine="48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因合同及合同有关事项发生的争议，按下列第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种方式解决：</w:t>
      </w:r>
    </w:p>
    <w:p w14:paraId="634FDA7A">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仲裁委员会申请仲裁；</w:t>
      </w:r>
    </w:p>
    <w:p w14:paraId="32369D07">
      <w:pPr>
        <w:keepNext w:val="0"/>
        <w:keepLines w:val="0"/>
        <w:pageBreakBefore w:val="0"/>
        <w:widowControl w:val="0"/>
        <w:spacing w:line="360" w:lineRule="auto"/>
        <w:ind w:firstLine="48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auto"/>
          <w:sz w:val="24"/>
          <w:u w:val="single"/>
        </w:rPr>
        <w:t>工程所在地由管辖权</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szCs w:val="24"/>
          <w:highlight w:val="none"/>
        </w:rPr>
        <w:t>人民法院起诉。</w:t>
      </w:r>
    </w:p>
    <w:p w14:paraId="04A582F4">
      <w:pPr>
        <w:spacing w:line="360" w:lineRule="auto"/>
        <w:ind w:firstLin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20</w:t>
      </w:r>
      <w:r>
        <w:rPr>
          <w:rFonts w:hint="eastAsia" w:ascii="宋体" w:hAnsi="宋体" w:eastAsia="宋体" w:cs="宋体"/>
          <w:color w:val="000000"/>
          <w:sz w:val="24"/>
          <w:szCs w:val="24"/>
          <w:highlight w:val="none"/>
        </w:rPr>
        <w:t>、补充条款：</w:t>
      </w:r>
    </w:p>
    <w:bookmarkEnd w:id="121"/>
    <w:bookmarkEnd w:id="122"/>
    <w:p w14:paraId="020C5803">
      <w:pPr>
        <w:pageBreakBefore w:val="0"/>
        <w:widowControl w:val="0"/>
        <w:spacing w:line="360" w:lineRule="auto"/>
        <w:ind w:firstLine="422"/>
        <w:jc w:val="left"/>
        <w:outlineLvl w:val="2"/>
        <w:rPr>
          <w:rFonts w:hint="eastAsia" w:ascii="宋体" w:hAnsi="宋体" w:eastAsia="宋体" w:cs="宋体"/>
          <w:b w:val="0"/>
          <w:bCs w:val="0"/>
          <w:i w:val="0"/>
          <w:iCs w:val="0"/>
          <w:color w:val="000000" w:themeColor="text1"/>
          <w:sz w:val="24"/>
          <w:szCs w:val="24"/>
          <w:highlight w:val="none"/>
          <w14:textFill>
            <w14:solidFill>
              <w14:schemeClr w14:val="tx1"/>
            </w14:solidFill>
          </w14:textFill>
        </w:rPr>
      </w:pPr>
      <w:bookmarkStart w:id="161" w:name="_Toc14637"/>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（1）结算时，以成交价及本合同中明确的调整因素、办法为依据进行调整。</w:t>
      </w:r>
    </w:p>
    <w:p w14:paraId="52BB52DF">
      <w:pPr>
        <w:pageBreakBefore w:val="0"/>
        <w:widowControl w:val="0"/>
        <w:spacing w:line="360" w:lineRule="auto"/>
        <w:ind w:firstLine="422"/>
        <w:jc w:val="left"/>
        <w:outlineLvl w:val="2"/>
        <w:rPr>
          <w:rFonts w:hint="eastAsia" w:ascii="宋体" w:hAnsi="宋体" w:eastAsia="宋体" w:cs="宋体"/>
          <w:b w:val="0"/>
          <w:bCs w:val="0"/>
          <w:i w:val="0"/>
          <w:i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（2）为了确保工程顺利完成，施工期间若承包人有违背磋商文件（含合同条件）有关规定之行为，承包人无条件接受招标人的一切处罚并赔偿所造成的一切损失，在发包人规定的时间内无条件撤出施工现场。</w:t>
      </w:r>
    </w:p>
    <w:p w14:paraId="25439673">
      <w:pPr>
        <w:pageBreakBefore w:val="0"/>
        <w:widowControl w:val="0"/>
        <w:spacing w:line="360" w:lineRule="auto"/>
        <w:ind w:firstLine="422"/>
        <w:jc w:val="left"/>
        <w:outlineLvl w:val="2"/>
        <w:rPr>
          <w:rFonts w:hint="eastAsia" w:ascii="宋体" w:hAnsi="宋体" w:eastAsia="宋体" w:cs="宋体"/>
          <w:b w:val="0"/>
          <w:bCs w:val="0"/>
          <w:i w:val="0"/>
          <w:i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（3）施工期间承包人必须按文明施工规定的具体内容进行实施，若未全部实施，结算时将扣除相应费用。</w:t>
      </w:r>
    </w:p>
    <w:p w14:paraId="55A0D4A6">
      <w:pPr>
        <w:pageBreakBefore w:val="0"/>
        <w:widowControl w:val="0"/>
        <w:spacing w:line="360" w:lineRule="auto"/>
        <w:ind w:firstLine="422"/>
        <w:jc w:val="left"/>
        <w:outlineLvl w:val="2"/>
        <w:rPr>
          <w:rFonts w:hint="eastAsia" w:ascii="宋体" w:hAnsi="宋体" w:eastAsia="宋体" w:cs="宋体"/>
          <w:b w:val="0"/>
          <w:bCs w:val="0"/>
          <w:i w:val="0"/>
          <w:i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p>
    <w:p w14:paraId="79D6686B">
      <w:pPr>
        <w:pageBreakBefore w:val="0"/>
        <w:widowControl w:val="0"/>
        <w:spacing w:line="360" w:lineRule="auto"/>
        <w:ind w:firstLine="422"/>
        <w:jc w:val="left"/>
        <w:outlineLvl w:val="2"/>
        <w:rPr>
          <w:rFonts w:hint="eastAsia" w:ascii="宋体" w:hAnsi="宋体" w:eastAsia="宋体" w:cs="宋体"/>
          <w:b w:val="0"/>
          <w:bCs w:val="0"/>
          <w:i w:val="0"/>
          <w:i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p>
    <w:p w14:paraId="343CBFEF">
      <w:pPr>
        <w:pageBreakBefore w:val="0"/>
        <w:widowControl w:val="0"/>
        <w:spacing w:line="360" w:lineRule="auto"/>
        <w:ind w:firstLine="422"/>
        <w:jc w:val="left"/>
        <w:outlineLvl w:val="2"/>
        <w:rPr>
          <w:rFonts w:hint="eastAsia" w:ascii="宋体" w:hAnsi="宋体" w:eastAsia="宋体" w:cs="宋体"/>
          <w:b w:val="0"/>
          <w:bCs w:val="0"/>
          <w:i w:val="0"/>
          <w:i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（6）无论发包人是否给予了批准或者同意，承包人应对现场作业、施工方法及施工过程的完整性、稳定性和安全性承担全部责任，负责完成对工程的稳定、完整、安全、可靠及有效运行所必需的全部工作。</w:t>
      </w:r>
    </w:p>
    <w:p w14:paraId="231E4ADE">
      <w:pPr>
        <w:pageBreakBefore w:val="0"/>
        <w:widowControl w:val="0"/>
        <w:spacing w:line="360" w:lineRule="auto"/>
        <w:ind w:firstLine="422"/>
        <w:jc w:val="left"/>
        <w:outlineLvl w:val="2"/>
        <w:rPr>
          <w:rFonts w:hint="eastAsia" w:ascii="宋体" w:hAnsi="宋体" w:eastAsia="宋体" w:cs="宋体"/>
          <w:b w:val="0"/>
          <w:bCs w:val="0"/>
          <w:i w:val="0"/>
          <w:i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（7）施工过程中，如发生扰民及正常施工过程民扰的现象，所产生的费用均由承包单位承担。</w:t>
      </w:r>
    </w:p>
    <w:p w14:paraId="6589370C">
      <w:pPr>
        <w:pageBreakBefore w:val="0"/>
        <w:widowControl w:val="0"/>
        <w:spacing w:line="360" w:lineRule="auto"/>
        <w:ind w:firstLine="422"/>
        <w:jc w:val="left"/>
        <w:outlineLvl w:val="2"/>
        <w:rPr>
          <w:rFonts w:hint="eastAsia" w:ascii="宋体" w:hAnsi="宋体" w:eastAsia="宋体" w:cs="宋体"/>
          <w:b w:val="0"/>
          <w:bCs w:val="0"/>
          <w:i w:val="0"/>
          <w:i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（8）因承包人自身原因造成的人员伤害及伤亡，由承包人承担相应责任及经济赔偿。</w:t>
      </w:r>
    </w:p>
    <w:p w14:paraId="576737C8">
      <w:pPr>
        <w:pageBreakBefore w:val="0"/>
        <w:widowControl w:val="0"/>
        <w:spacing w:line="360" w:lineRule="auto"/>
        <w:ind w:firstLine="422"/>
        <w:jc w:val="left"/>
        <w:outlineLvl w:val="2"/>
        <w:rPr>
          <w:rFonts w:hint="eastAsia" w:ascii="宋体" w:hAnsi="宋体" w:eastAsia="宋体" w:cs="宋体"/>
          <w:b w:val="0"/>
          <w:bCs w:val="0"/>
          <w:i w:val="0"/>
          <w:i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（9）因承包人自身原因造成的工期延长，除按照合同要求进行经济处罚以外，还应赔偿监理单位延期产生的监理费。</w:t>
      </w:r>
    </w:p>
    <w:p w14:paraId="67420A99">
      <w:pPr>
        <w:pageBreakBefore w:val="0"/>
        <w:widowControl w:val="0"/>
        <w:spacing w:line="360" w:lineRule="auto"/>
        <w:ind w:firstLine="422"/>
        <w:jc w:val="left"/>
        <w:outlineLvl w:val="2"/>
        <w:rPr>
          <w:rFonts w:hint="eastAsia" w:ascii="宋体" w:hAnsi="宋体" w:eastAsia="宋体" w:cs="宋体"/>
          <w:b w:val="0"/>
          <w:bCs w:val="0"/>
          <w:i w:val="0"/>
          <w:i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t>（10）承包范围内的建筑材料及构配件，按规范必须进行检测，送检及检测费用均由承包单位承担，保证检测结果符合环保要求；相关检测证明由专业检测机构提供，费用包含在投标报价中。</w:t>
      </w:r>
    </w:p>
    <w:p w14:paraId="04ED421C">
      <w:pPr>
        <w:pageBreakBefore w:val="0"/>
        <w:widowControl w:val="0"/>
        <w:spacing w:line="360" w:lineRule="auto"/>
        <w:ind w:firstLine="422"/>
        <w:jc w:val="left"/>
        <w:outlineLvl w:val="2"/>
        <w:rPr>
          <w:rFonts w:hint="eastAsia" w:ascii="宋体" w:hAnsi="宋体" w:eastAsia="宋体" w:cs="宋体"/>
          <w:b/>
          <w:color w:val="000000" w:themeColor="text1"/>
          <w:sz w:val="24"/>
          <w:szCs w:val="24"/>
          <w:lang w:bidi="ar"/>
          <w14:textFill>
            <w14:solidFill>
              <w14:schemeClr w14:val="tx1"/>
            </w14:solidFill>
          </w14:textFill>
        </w:rPr>
      </w:pPr>
    </w:p>
    <w:p w14:paraId="7B510D05">
      <w:pPr>
        <w:pageBreakBefore w:val="0"/>
        <w:widowControl w:val="0"/>
        <w:spacing w:line="360" w:lineRule="auto"/>
        <w:ind w:firstLine="422"/>
        <w:jc w:val="left"/>
        <w:outlineLvl w:val="2"/>
        <w:rPr>
          <w:rFonts w:hint="eastAsia" w:ascii="宋体" w:hAnsi="宋体" w:eastAsia="宋体" w:cs="宋体"/>
          <w:b/>
          <w:color w:val="000000" w:themeColor="text1"/>
          <w:sz w:val="24"/>
          <w:szCs w:val="24"/>
          <w:lang w:bidi="ar"/>
          <w14:textFill>
            <w14:solidFill>
              <w14:schemeClr w14:val="tx1"/>
            </w14:solidFill>
          </w14:textFill>
        </w:rPr>
      </w:pPr>
    </w:p>
    <w:p w14:paraId="1C83F92D">
      <w:pPr>
        <w:pageBreakBefore w:val="0"/>
        <w:widowControl w:val="0"/>
        <w:spacing w:line="360" w:lineRule="auto"/>
        <w:ind w:firstLine="0"/>
        <w:jc w:val="left"/>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附件</w:t>
      </w:r>
      <w:bookmarkEnd w:id="161"/>
    </w:p>
    <w:p w14:paraId="59064475">
      <w:pPr>
        <w:pageBreakBefore w:val="0"/>
        <w:widowControl w:val="0"/>
        <w:spacing w:line="360" w:lineRule="auto"/>
        <w:ind w:firstLine="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附件1：承包人主要施工管理人员表</w:t>
      </w:r>
    </w:p>
    <w:p w14:paraId="7FF96839">
      <w:pPr>
        <w:pageBreakBefore w:val="0"/>
        <w:widowControl w:val="0"/>
        <w:spacing w:line="360" w:lineRule="auto"/>
        <w:ind w:firstLine="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附件</w:t>
      </w:r>
      <w:r>
        <w:rPr>
          <w:rFonts w:hint="eastAsia" w:ascii="宋体" w:hAnsi="宋体" w:cs="宋体"/>
          <w:color w:val="000000" w:themeColor="text1"/>
          <w:sz w:val="24"/>
          <w:szCs w:val="24"/>
          <w:lang w:val="en-US" w:eastAsia="zh-CN" w:bidi="ar"/>
          <w14:textFill>
            <w14:solidFill>
              <w14:schemeClr w14:val="tx1"/>
            </w14:solidFill>
          </w14:textFill>
        </w:rPr>
        <w:t>2</w:t>
      </w:r>
      <w:r>
        <w:rPr>
          <w:rFonts w:hint="eastAsia" w:ascii="宋体" w:hAnsi="宋体" w:eastAsia="宋体" w:cs="宋体"/>
          <w:color w:val="000000" w:themeColor="text1"/>
          <w:sz w:val="24"/>
          <w:szCs w:val="24"/>
          <w:lang w:bidi="ar"/>
          <w14:textFill>
            <w14:solidFill>
              <w14:schemeClr w14:val="tx1"/>
            </w14:solidFill>
          </w14:textFill>
        </w:rPr>
        <w:t>：工程质量保修书</w:t>
      </w:r>
    </w:p>
    <w:p w14:paraId="63A4BC00">
      <w:pPr>
        <w:pageBreakBefore w:val="0"/>
        <w:widowControl w:val="0"/>
        <w:spacing w:line="360" w:lineRule="auto"/>
        <w:ind w:firstLine="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附件</w:t>
      </w:r>
      <w:r>
        <w:rPr>
          <w:rFonts w:hint="eastAsia" w:ascii="宋体" w:hAnsi="宋体" w:cs="宋体"/>
          <w:color w:val="000000" w:themeColor="text1"/>
          <w:sz w:val="24"/>
          <w:szCs w:val="24"/>
          <w:lang w:val="en-US" w:eastAsia="zh-CN" w:bidi="ar"/>
          <w14:textFill>
            <w14:solidFill>
              <w14:schemeClr w14:val="tx1"/>
            </w14:solidFill>
          </w14:textFill>
        </w:rPr>
        <w:t>3</w:t>
      </w:r>
      <w:r>
        <w:rPr>
          <w:rFonts w:hint="eastAsia" w:ascii="宋体" w:hAnsi="宋体" w:eastAsia="宋体" w:cs="宋体"/>
          <w:color w:val="000000" w:themeColor="text1"/>
          <w:sz w:val="24"/>
          <w:szCs w:val="24"/>
          <w:lang w:bidi="ar"/>
          <w14:textFill>
            <w14:solidFill>
              <w14:schemeClr w14:val="tx1"/>
            </w14:solidFill>
          </w14:textFill>
        </w:rPr>
        <w:t>：工程安全环境管理协议</w:t>
      </w:r>
    </w:p>
    <w:p w14:paraId="6BC3242F">
      <w:pPr>
        <w:pageBreakBefore w:val="0"/>
        <w:widowControl w:val="0"/>
        <w:spacing w:line="360" w:lineRule="auto"/>
        <w:ind w:firstLine="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附件</w:t>
      </w:r>
      <w:r>
        <w:rPr>
          <w:rFonts w:hint="eastAsia" w:ascii="宋体" w:hAnsi="宋体" w:cs="宋体"/>
          <w:color w:val="000000" w:themeColor="text1"/>
          <w:sz w:val="24"/>
          <w:szCs w:val="24"/>
          <w:lang w:val="en-US" w:eastAsia="zh-CN" w:bidi="ar"/>
          <w14:textFill>
            <w14:solidFill>
              <w14:schemeClr w14:val="tx1"/>
            </w14:solidFill>
          </w14:textFill>
        </w:rPr>
        <w:t>4</w:t>
      </w:r>
      <w:r>
        <w:rPr>
          <w:rFonts w:hint="eastAsia" w:ascii="宋体" w:hAnsi="宋体" w:eastAsia="宋体" w:cs="宋体"/>
          <w:color w:val="000000" w:themeColor="text1"/>
          <w:sz w:val="24"/>
          <w:szCs w:val="24"/>
          <w:lang w:bidi="ar"/>
          <w14:textFill>
            <w14:solidFill>
              <w14:schemeClr w14:val="tx1"/>
            </w14:solidFill>
          </w14:textFill>
        </w:rPr>
        <w:t>：工程廉政协议</w:t>
      </w:r>
    </w:p>
    <w:p w14:paraId="0D822A9A">
      <w:pPr>
        <w:pageBreakBefore w:val="0"/>
        <w:widowControl w:val="0"/>
        <w:spacing w:line="360" w:lineRule="auto"/>
        <w:ind w:firstLine="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附件</w:t>
      </w:r>
      <w:r>
        <w:rPr>
          <w:rFonts w:hint="eastAsia" w:ascii="宋体" w:hAnsi="宋体" w:cs="宋体"/>
          <w:color w:val="000000" w:themeColor="text1"/>
          <w:sz w:val="24"/>
          <w:szCs w:val="24"/>
          <w:lang w:val="en-US" w:eastAsia="zh-CN" w:bidi="ar"/>
          <w14:textFill>
            <w14:solidFill>
              <w14:schemeClr w14:val="tx1"/>
            </w14:solidFill>
          </w14:textFill>
        </w:rPr>
        <w:t>5</w:t>
      </w:r>
      <w:r>
        <w:rPr>
          <w:rFonts w:hint="eastAsia" w:ascii="宋体" w:hAnsi="宋体" w:eastAsia="宋体" w:cs="宋体"/>
          <w:color w:val="000000" w:themeColor="text1"/>
          <w:sz w:val="24"/>
          <w:szCs w:val="24"/>
          <w:lang w:bidi="ar"/>
          <w14:textFill>
            <w14:solidFill>
              <w14:schemeClr w14:val="tx1"/>
            </w14:solidFill>
          </w14:textFill>
        </w:rPr>
        <w:t>：不拖欠农民工工资</w:t>
      </w:r>
    </w:p>
    <w:p w14:paraId="356787B8">
      <w:pPr>
        <w:pageBreakBefore w:val="0"/>
        <w:widowControl w:val="0"/>
        <w:spacing w:line="360" w:lineRule="auto"/>
        <w:ind w:firstLine="420"/>
        <w:jc w:val="left"/>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附件</w:t>
      </w:r>
      <w:r>
        <w:rPr>
          <w:rFonts w:hint="eastAsia" w:ascii="宋体" w:hAnsi="宋体" w:cs="宋体"/>
          <w:color w:val="000000" w:themeColor="text1"/>
          <w:sz w:val="24"/>
          <w:szCs w:val="24"/>
          <w:lang w:val="en-US" w:eastAsia="zh-CN" w:bidi="ar"/>
          <w14:textFill>
            <w14:solidFill>
              <w14:schemeClr w14:val="tx1"/>
            </w14:solidFill>
          </w14:textFill>
        </w:rPr>
        <w:t>6</w:t>
      </w:r>
      <w:r>
        <w:rPr>
          <w:rFonts w:hint="eastAsia" w:ascii="宋体" w:hAnsi="宋体" w:eastAsia="宋体" w:cs="宋体"/>
          <w:color w:val="000000" w:themeColor="text1"/>
          <w:sz w:val="24"/>
          <w:szCs w:val="24"/>
          <w:lang w:bidi="ar"/>
          <w14:textFill>
            <w14:solidFill>
              <w14:schemeClr w14:val="tx1"/>
            </w14:solidFill>
          </w14:textFill>
        </w:rPr>
        <w:t>：中标人诚信承诺</w:t>
      </w:r>
    </w:p>
    <w:p w14:paraId="44F3564E">
      <w:pPr>
        <w:pageBreakBefore w:val="0"/>
        <w:widowControl w:val="0"/>
        <w:spacing w:line="360" w:lineRule="auto"/>
        <w:ind w:firstLine="420"/>
        <w:jc w:val="left"/>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附件</w:t>
      </w:r>
      <w:r>
        <w:rPr>
          <w:rFonts w:hint="eastAsia" w:ascii="宋体" w:hAnsi="宋体" w:cs="宋体"/>
          <w:color w:val="000000" w:themeColor="text1"/>
          <w:sz w:val="24"/>
          <w:szCs w:val="24"/>
          <w:lang w:val="en-US" w:eastAsia="zh-CN" w:bidi="ar"/>
          <w14:textFill>
            <w14:solidFill>
              <w14:schemeClr w14:val="tx1"/>
            </w14:solidFill>
          </w14:textFill>
        </w:rPr>
        <w:t>7</w:t>
      </w:r>
      <w:r>
        <w:rPr>
          <w:rFonts w:hint="eastAsia" w:ascii="宋体" w:hAnsi="宋体" w:eastAsia="宋体" w:cs="宋体"/>
          <w:color w:val="000000" w:themeColor="text1"/>
          <w:sz w:val="24"/>
          <w:szCs w:val="24"/>
          <w:lang w:val="en-US" w:eastAsia="zh-CN" w:bidi="ar"/>
          <w14:textFill>
            <w14:solidFill>
              <w14:schemeClr w14:val="tx1"/>
            </w14:solidFill>
          </w14:textFill>
        </w:rPr>
        <w:t>：安全生产责任承诺书</w:t>
      </w:r>
    </w:p>
    <w:p w14:paraId="009FBF64">
      <w:pPr>
        <w:pageBreakBefore w:val="0"/>
        <w:widowControl w:val="0"/>
        <w:spacing w:line="360" w:lineRule="auto"/>
        <w:ind w:firstLine="420"/>
        <w:jc w:val="left"/>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附件</w:t>
      </w:r>
      <w:r>
        <w:rPr>
          <w:rFonts w:hint="eastAsia" w:ascii="宋体" w:hAnsi="宋体" w:cs="宋体"/>
          <w:color w:val="000000" w:themeColor="text1"/>
          <w:sz w:val="24"/>
          <w:szCs w:val="24"/>
          <w:lang w:val="en-US" w:eastAsia="zh-CN" w:bidi="ar"/>
          <w14:textFill>
            <w14:solidFill>
              <w14:schemeClr w14:val="tx1"/>
            </w14:solidFill>
          </w14:textFill>
        </w:rPr>
        <w:t>8</w:t>
      </w:r>
      <w:r>
        <w:rPr>
          <w:rFonts w:hint="eastAsia" w:ascii="宋体" w:hAnsi="宋体" w:eastAsia="宋体" w:cs="宋体"/>
          <w:color w:val="000000" w:themeColor="text1"/>
          <w:sz w:val="24"/>
          <w:szCs w:val="24"/>
          <w:lang w:val="en-US" w:eastAsia="zh-CN" w:bidi="ar"/>
          <w14:textFill>
            <w14:solidFill>
              <w14:schemeClr w14:val="tx1"/>
            </w14:solidFill>
          </w14:textFill>
        </w:rPr>
        <w:t>：成交供应商诚信承诺书</w:t>
      </w:r>
    </w:p>
    <w:p w14:paraId="518BA090">
      <w:pPr>
        <w:pageBreakBefore w:val="0"/>
        <w:widowControl w:val="0"/>
        <w:spacing w:line="360" w:lineRule="auto"/>
        <w:ind w:firstLine="420"/>
        <w:jc w:val="left"/>
        <w:rPr>
          <w:rFonts w:hint="eastAsia" w:ascii="宋体" w:hAnsi="宋体" w:eastAsia="宋体" w:cs="宋体"/>
          <w:color w:val="000000" w:themeColor="text1"/>
          <w:sz w:val="24"/>
          <w:szCs w:val="24"/>
          <w14:textFill>
            <w14:solidFill>
              <w14:schemeClr w14:val="tx1"/>
            </w14:solidFill>
          </w14:textFill>
        </w:rPr>
        <w:sectPr>
          <w:headerReference r:id="rId12" w:type="first"/>
          <w:footerReference r:id="rId15" w:type="first"/>
          <w:headerReference r:id="rId10" w:type="default"/>
          <w:footerReference r:id="rId13" w:type="default"/>
          <w:headerReference r:id="rId11" w:type="even"/>
          <w:footerReference r:id="rId14" w:type="even"/>
          <w:pgSz w:w="11906" w:h="16838"/>
          <w:pgMar w:top="1134" w:right="1134" w:bottom="1134" w:left="1134" w:header="851" w:footer="907" w:gutter="0"/>
          <w:pgNumType w:fmt="decimal"/>
          <w:cols w:space="0" w:num="1"/>
          <w:titlePg/>
          <w:rtlGutter w:val="0"/>
          <w:docGrid w:linePitch="360" w:charSpace="0"/>
        </w:sectPr>
      </w:pPr>
      <w:r>
        <w:rPr>
          <w:rFonts w:hint="eastAsia" w:ascii="宋体" w:hAnsi="宋体" w:eastAsia="宋体" w:cs="宋体"/>
          <w:color w:val="000000" w:themeColor="text1"/>
          <w:sz w:val="24"/>
          <w:szCs w:val="24"/>
          <w:lang w:val="en-US" w:eastAsia="zh-CN" w:bidi="ar"/>
          <w14:textFill>
            <w14:solidFill>
              <w14:schemeClr w14:val="tx1"/>
            </w14:solidFill>
          </w14:textFill>
        </w:rPr>
        <w:t>附件</w:t>
      </w:r>
      <w:r>
        <w:rPr>
          <w:rFonts w:hint="eastAsia" w:ascii="宋体" w:hAnsi="宋体" w:cs="宋体"/>
          <w:color w:val="000000" w:themeColor="text1"/>
          <w:sz w:val="24"/>
          <w:szCs w:val="24"/>
          <w:lang w:val="en-US" w:eastAsia="zh-CN" w:bidi="ar"/>
          <w14:textFill>
            <w14:solidFill>
              <w14:schemeClr w14:val="tx1"/>
            </w14:solidFill>
          </w14:textFill>
        </w:rPr>
        <w:t>9</w:t>
      </w:r>
      <w:r>
        <w:rPr>
          <w:rFonts w:hint="eastAsia" w:ascii="宋体" w:hAnsi="宋体" w:eastAsia="宋体" w:cs="宋体"/>
          <w:color w:val="000000" w:themeColor="text1"/>
          <w:sz w:val="24"/>
          <w:szCs w:val="24"/>
          <w:lang w:val="en-US" w:eastAsia="zh-CN" w:bidi="ar"/>
          <w14:textFill>
            <w14:solidFill>
              <w14:schemeClr w14:val="tx1"/>
            </w14:solidFill>
          </w14:textFill>
        </w:rPr>
        <w:t>：项目周边成品保护承诺书</w:t>
      </w:r>
    </w:p>
    <w:p w14:paraId="194B6A86">
      <w:pPr>
        <w:spacing w:line="360" w:lineRule="auto"/>
        <w:ind w:firstLine="0"/>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sz w:val="21"/>
          <w:highlight w:val="none"/>
          <w:lang w:bidi="ar"/>
        </w:rPr>
        <w:t>附</w:t>
      </w:r>
      <w:bookmarkStart w:id="162" w:name="_Toc296891056"/>
      <w:bookmarkStart w:id="163" w:name="_Toc296346729"/>
      <w:bookmarkStart w:id="164" w:name="_Toc267261699"/>
      <w:bookmarkStart w:id="165" w:name="_Toc296944567"/>
      <w:bookmarkStart w:id="166" w:name="_Toc296347227"/>
      <w:bookmarkStart w:id="167" w:name="_Toc296891268"/>
      <w:bookmarkStart w:id="168" w:name="_Toc296503228"/>
      <w:r>
        <w:rPr>
          <w:rFonts w:hint="eastAsia" w:ascii="宋体" w:hAnsi="宋体" w:cs="宋体"/>
          <w:color w:val="000000"/>
          <w:sz w:val="21"/>
          <w:highlight w:val="none"/>
          <w:lang w:bidi="ar"/>
        </w:rPr>
        <w:t>件1</w:t>
      </w:r>
      <w:bookmarkEnd w:id="162"/>
      <w:bookmarkEnd w:id="163"/>
      <w:bookmarkEnd w:id="164"/>
      <w:bookmarkEnd w:id="165"/>
      <w:bookmarkEnd w:id="166"/>
      <w:bookmarkEnd w:id="167"/>
      <w:bookmarkEnd w:id="168"/>
      <w:r>
        <w:rPr>
          <w:rFonts w:hint="eastAsia" w:ascii="宋体" w:hAnsi="宋体" w:eastAsia="宋体" w:cs="宋体"/>
          <w:color w:val="000000" w:themeColor="text1"/>
          <w:sz w:val="24"/>
          <w:lang w:eastAsia="zh-CN" w:bidi="ar"/>
          <w14:textFill>
            <w14:solidFill>
              <w14:schemeClr w14:val="tx1"/>
            </w14:solidFill>
          </w14:textFill>
        </w:rPr>
        <w:t>：</w:t>
      </w:r>
    </w:p>
    <w:p w14:paraId="67A509B0">
      <w:pPr>
        <w:spacing w:before="120" w:after="120" w:line="440" w:lineRule="exact"/>
        <w:ind w:firstLine="0"/>
        <w:jc w:val="center"/>
        <w:rPr>
          <w:rFonts w:ascii="宋体" w:hAnsi="宋体"/>
          <w:color w:val="auto"/>
          <w:sz w:val="30"/>
          <w:szCs w:val="30"/>
          <w:highlight w:val="none"/>
        </w:rPr>
      </w:pPr>
      <w:r>
        <w:rPr>
          <w:rFonts w:ascii="宋体" w:hAnsi="宋体"/>
          <w:color w:val="auto"/>
          <w:sz w:val="30"/>
          <w:szCs w:val="30"/>
          <w:highlight w:val="none"/>
        </w:rPr>
        <w:t>承包人主要施工管理人员表</w:t>
      </w:r>
    </w:p>
    <w:tbl>
      <w:tblPr>
        <w:tblStyle w:val="37"/>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74DF61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4EB0C8CB">
            <w:pPr>
              <w:keepNext/>
              <w:spacing w:line="440" w:lineRule="exact"/>
              <w:ind w:left="72" w:right="72" w:firstLine="0"/>
              <w:jc w:val="center"/>
              <w:rPr>
                <w:rFonts w:ascii="宋体" w:hAnsi="宋体"/>
                <w:color w:val="auto"/>
                <w:highlight w:val="none"/>
              </w:rPr>
            </w:pPr>
            <w:r>
              <w:rPr>
                <w:rFonts w:ascii="宋体" w:hAnsi="宋体"/>
                <w:color w:val="auto"/>
                <w:highlight w:val="none"/>
              </w:rPr>
              <w:t>名    称</w:t>
            </w:r>
          </w:p>
        </w:tc>
        <w:tc>
          <w:tcPr>
            <w:tcW w:w="1418" w:type="dxa"/>
            <w:noWrap w:val="0"/>
            <w:vAlign w:val="center"/>
          </w:tcPr>
          <w:p w14:paraId="68536E81">
            <w:pPr>
              <w:keepNext/>
              <w:spacing w:line="440" w:lineRule="exact"/>
              <w:ind w:left="72" w:right="72" w:firstLine="0"/>
              <w:jc w:val="center"/>
              <w:rPr>
                <w:rFonts w:ascii="宋体" w:hAnsi="宋体"/>
                <w:color w:val="auto"/>
                <w:highlight w:val="none"/>
              </w:rPr>
            </w:pPr>
            <w:r>
              <w:rPr>
                <w:rFonts w:ascii="宋体" w:hAnsi="宋体"/>
                <w:color w:val="auto"/>
                <w:highlight w:val="none"/>
              </w:rPr>
              <w:t>姓名</w:t>
            </w:r>
          </w:p>
        </w:tc>
        <w:tc>
          <w:tcPr>
            <w:tcW w:w="1134" w:type="dxa"/>
            <w:noWrap w:val="0"/>
            <w:vAlign w:val="center"/>
          </w:tcPr>
          <w:p w14:paraId="56DCDB58">
            <w:pPr>
              <w:keepNext/>
              <w:spacing w:line="440" w:lineRule="exact"/>
              <w:ind w:left="72" w:right="72" w:firstLine="0"/>
              <w:jc w:val="center"/>
              <w:rPr>
                <w:rFonts w:ascii="宋体" w:hAnsi="宋体"/>
                <w:color w:val="auto"/>
                <w:highlight w:val="none"/>
              </w:rPr>
            </w:pPr>
            <w:r>
              <w:rPr>
                <w:rFonts w:ascii="宋体" w:hAnsi="宋体"/>
                <w:color w:val="auto"/>
                <w:highlight w:val="none"/>
              </w:rPr>
              <w:t>职务</w:t>
            </w:r>
          </w:p>
        </w:tc>
        <w:tc>
          <w:tcPr>
            <w:tcW w:w="1134" w:type="dxa"/>
            <w:noWrap w:val="0"/>
            <w:vAlign w:val="center"/>
          </w:tcPr>
          <w:p w14:paraId="7B4D8F29">
            <w:pPr>
              <w:keepNext/>
              <w:spacing w:line="440" w:lineRule="exact"/>
              <w:ind w:left="72" w:right="72" w:firstLine="0"/>
              <w:jc w:val="center"/>
              <w:rPr>
                <w:rFonts w:ascii="宋体" w:hAnsi="宋体"/>
                <w:color w:val="auto"/>
                <w:highlight w:val="none"/>
              </w:rPr>
            </w:pPr>
            <w:r>
              <w:rPr>
                <w:rFonts w:ascii="宋体" w:hAnsi="宋体"/>
                <w:color w:val="auto"/>
                <w:highlight w:val="none"/>
              </w:rPr>
              <w:t>职称</w:t>
            </w:r>
          </w:p>
        </w:tc>
        <w:tc>
          <w:tcPr>
            <w:tcW w:w="4252" w:type="dxa"/>
            <w:noWrap w:val="0"/>
            <w:vAlign w:val="center"/>
          </w:tcPr>
          <w:p w14:paraId="6C2744F4">
            <w:pPr>
              <w:keepNext/>
              <w:spacing w:line="440" w:lineRule="exact"/>
              <w:ind w:left="72" w:right="72" w:firstLine="0"/>
              <w:jc w:val="center"/>
              <w:rPr>
                <w:rFonts w:ascii="宋体" w:hAnsi="宋体"/>
                <w:color w:val="auto"/>
                <w:highlight w:val="none"/>
              </w:rPr>
            </w:pPr>
            <w:r>
              <w:rPr>
                <w:rFonts w:ascii="宋体" w:hAnsi="宋体"/>
                <w:color w:val="auto"/>
                <w:highlight w:val="none"/>
              </w:rPr>
              <w:t>主要资历、经验及承担过的项目</w:t>
            </w:r>
          </w:p>
        </w:tc>
      </w:tr>
      <w:tr w14:paraId="5F5A87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0"/>
            <w:vAlign w:val="center"/>
          </w:tcPr>
          <w:p w14:paraId="1611B2F6">
            <w:pPr>
              <w:keepNext/>
              <w:spacing w:line="440" w:lineRule="exact"/>
              <w:ind w:left="72" w:right="72" w:firstLine="0"/>
              <w:jc w:val="center"/>
              <w:rPr>
                <w:rFonts w:ascii="宋体" w:hAnsi="宋体"/>
                <w:color w:val="auto"/>
                <w:highlight w:val="none"/>
              </w:rPr>
            </w:pPr>
            <w:r>
              <w:rPr>
                <w:rFonts w:ascii="宋体" w:hAnsi="宋体"/>
                <w:color w:val="auto"/>
                <w:highlight w:val="none"/>
              </w:rPr>
              <w:t>一、总部人员</w:t>
            </w:r>
          </w:p>
        </w:tc>
      </w:tr>
      <w:tr w14:paraId="29024C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6F8AB4F">
            <w:pPr>
              <w:keepNext/>
              <w:spacing w:line="440" w:lineRule="exact"/>
              <w:ind w:left="72" w:right="72" w:firstLine="0"/>
              <w:jc w:val="center"/>
              <w:rPr>
                <w:rFonts w:ascii="宋体" w:hAnsi="宋体"/>
                <w:color w:val="auto"/>
                <w:highlight w:val="none"/>
              </w:rPr>
            </w:pPr>
            <w:r>
              <w:rPr>
                <w:rFonts w:ascii="宋体" w:hAnsi="宋体"/>
                <w:color w:val="auto"/>
                <w:highlight w:val="none"/>
              </w:rPr>
              <w:t>项目主管</w:t>
            </w:r>
          </w:p>
        </w:tc>
        <w:tc>
          <w:tcPr>
            <w:tcW w:w="1418" w:type="dxa"/>
            <w:noWrap w:val="0"/>
            <w:vAlign w:val="center"/>
          </w:tcPr>
          <w:p w14:paraId="6FDC5BE5">
            <w:pPr>
              <w:keepNext/>
              <w:spacing w:line="440" w:lineRule="exact"/>
              <w:ind w:left="72" w:right="72" w:firstLine="0"/>
              <w:jc w:val="center"/>
              <w:rPr>
                <w:rFonts w:ascii="宋体" w:hAnsi="宋体"/>
                <w:color w:val="auto"/>
                <w:highlight w:val="none"/>
              </w:rPr>
            </w:pPr>
          </w:p>
        </w:tc>
        <w:tc>
          <w:tcPr>
            <w:tcW w:w="1134" w:type="dxa"/>
            <w:noWrap w:val="0"/>
            <w:vAlign w:val="center"/>
          </w:tcPr>
          <w:p w14:paraId="3A8A6650">
            <w:pPr>
              <w:keepNext/>
              <w:spacing w:line="440" w:lineRule="exact"/>
              <w:ind w:left="72" w:right="72" w:firstLine="0"/>
              <w:jc w:val="center"/>
              <w:rPr>
                <w:rFonts w:ascii="宋体" w:hAnsi="宋体"/>
                <w:color w:val="auto"/>
                <w:highlight w:val="none"/>
              </w:rPr>
            </w:pPr>
          </w:p>
        </w:tc>
        <w:tc>
          <w:tcPr>
            <w:tcW w:w="1134" w:type="dxa"/>
            <w:noWrap w:val="0"/>
            <w:vAlign w:val="center"/>
          </w:tcPr>
          <w:p w14:paraId="62A54848">
            <w:pPr>
              <w:keepNext/>
              <w:spacing w:line="440" w:lineRule="exact"/>
              <w:ind w:left="72" w:right="72" w:firstLine="0"/>
              <w:jc w:val="center"/>
              <w:rPr>
                <w:rFonts w:ascii="宋体" w:hAnsi="宋体"/>
                <w:color w:val="auto"/>
                <w:highlight w:val="none"/>
              </w:rPr>
            </w:pPr>
          </w:p>
        </w:tc>
        <w:tc>
          <w:tcPr>
            <w:tcW w:w="4252" w:type="dxa"/>
            <w:noWrap w:val="0"/>
            <w:vAlign w:val="center"/>
          </w:tcPr>
          <w:p w14:paraId="6AA1935A">
            <w:pPr>
              <w:keepNext/>
              <w:spacing w:line="440" w:lineRule="exact"/>
              <w:ind w:left="72" w:right="72" w:firstLine="0"/>
              <w:jc w:val="center"/>
              <w:rPr>
                <w:rFonts w:ascii="宋体" w:hAnsi="宋体"/>
                <w:color w:val="auto"/>
                <w:highlight w:val="none"/>
              </w:rPr>
            </w:pPr>
          </w:p>
        </w:tc>
      </w:tr>
      <w:tr w14:paraId="77BD05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0"/>
            <w:vAlign w:val="center"/>
          </w:tcPr>
          <w:p w14:paraId="3284B064">
            <w:pPr>
              <w:keepNext/>
              <w:spacing w:after="60" w:line="440" w:lineRule="exact"/>
              <w:ind w:left="72" w:right="72" w:firstLine="0"/>
              <w:jc w:val="center"/>
              <w:rPr>
                <w:rFonts w:ascii="宋体" w:hAnsi="宋体"/>
                <w:color w:val="auto"/>
                <w:highlight w:val="none"/>
              </w:rPr>
            </w:pPr>
            <w:r>
              <w:rPr>
                <w:rFonts w:ascii="宋体" w:hAnsi="宋体"/>
                <w:color w:val="auto"/>
                <w:highlight w:val="none"/>
              </w:rPr>
              <w:t>其他人员</w:t>
            </w:r>
          </w:p>
        </w:tc>
        <w:tc>
          <w:tcPr>
            <w:tcW w:w="1418" w:type="dxa"/>
            <w:noWrap w:val="0"/>
            <w:vAlign w:val="center"/>
          </w:tcPr>
          <w:p w14:paraId="040D1CA3">
            <w:pPr>
              <w:keepNext/>
              <w:spacing w:line="440" w:lineRule="exact"/>
              <w:ind w:left="72" w:right="72" w:firstLine="0"/>
              <w:jc w:val="center"/>
              <w:rPr>
                <w:rFonts w:ascii="宋体" w:hAnsi="宋体"/>
                <w:color w:val="auto"/>
                <w:highlight w:val="none"/>
              </w:rPr>
            </w:pPr>
          </w:p>
        </w:tc>
        <w:tc>
          <w:tcPr>
            <w:tcW w:w="1134" w:type="dxa"/>
            <w:noWrap w:val="0"/>
            <w:vAlign w:val="center"/>
          </w:tcPr>
          <w:p w14:paraId="1F1DD9AB">
            <w:pPr>
              <w:keepNext/>
              <w:spacing w:line="440" w:lineRule="exact"/>
              <w:ind w:left="72" w:right="72" w:firstLine="0"/>
              <w:jc w:val="center"/>
              <w:rPr>
                <w:rFonts w:ascii="宋体" w:hAnsi="宋体"/>
                <w:color w:val="auto"/>
                <w:highlight w:val="none"/>
              </w:rPr>
            </w:pPr>
          </w:p>
        </w:tc>
        <w:tc>
          <w:tcPr>
            <w:tcW w:w="1134" w:type="dxa"/>
            <w:noWrap w:val="0"/>
            <w:vAlign w:val="center"/>
          </w:tcPr>
          <w:p w14:paraId="78019B30">
            <w:pPr>
              <w:keepNext/>
              <w:spacing w:line="440" w:lineRule="exact"/>
              <w:ind w:left="72" w:right="72" w:firstLine="0"/>
              <w:jc w:val="center"/>
              <w:rPr>
                <w:rFonts w:ascii="宋体" w:hAnsi="宋体"/>
                <w:color w:val="auto"/>
                <w:highlight w:val="none"/>
              </w:rPr>
            </w:pPr>
          </w:p>
        </w:tc>
        <w:tc>
          <w:tcPr>
            <w:tcW w:w="4252" w:type="dxa"/>
            <w:noWrap w:val="0"/>
            <w:vAlign w:val="center"/>
          </w:tcPr>
          <w:p w14:paraId="50FC24CE">
            <w:pPr>
              <w:keepNext/>
              <w:spacing w:line="440" w:lineRule="exact"/>
              <w:ind w:left="72" w:right="72" w:firstLine="0"/>
              <w:jc w:val="center"/>
              <w:rPr>
                <w:rFonts w:ascii="宋体" w:hAnsi="宋体"/>
                <w:color w:val="auto"/>
                <w:highlight w:val="none"/>
              </w:rPr>
            </w:pPr>
          </w:p>
        </w:tc>
      </w:tr>
      <w:tr w14:paraId="05C572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03E23CAF">
            <w:pPr>
              <w:keepNext/>
              <w:spacing w:line="440" w:lineRule="exact"/>
              <w:ind w:left="72" w:right="72" w:firstLine="0"/>
              <w:jc w:val="center"/>
              <w:rPr>
                <w:rFonts w:ascii="宋体" w:hAnsi="宋体"/>
                <w:color w:val="auto"/>
                <w:highlight w:val="none"/>
              </w:rPr>
            </w:pPr>
          </w:p>
        </w:tc>
        <w:tc>
          <w:tcPr>
            <w:tcW w:w="1418" w:type="dxa"/>
            <w:noWrap w:val="0"/>
            <w:vAlign w:val="center"/>
          </w:tcPr>
          <w:p w14:paraId="03A25B6E">
            <w:pPr>
              <w:keepNext/>
              <w:spacing w:line="440" w:lineRule="exact"/>
              <w:ind w:left="72" w:right="72" w:firstLine="0"/>
              <w:jc w:val="center"/>
              <w:rPr>
                <w:rFonts w:ascii="宋体" w:hAnsi="宋体"/>
                <w:color w:val="auto"/>
                <w:highlight w:val="none"/>
              </w:rPr>
            </w:pPr>
          </w:p>
        </w:tc>
        <w:tc>
          <w:tcPr>
            <w:tcW w:w="1134" w:type="dxa"/>
            <w:noWrap w:val="0"/>
            <w:vAlign w:val="center"/>
          </w:tcPr>
          <w:p w14:paraId="1F37F655">
            <w:pPr>
              <w:keepNext/>
              <w:spacing w:line="440" w:lineRule="exact"/>
              <w:ind w:left="72" w:right="72" w:firstLine="0"/>
              <w:jc w:val="center"/>
              <w:rPr>
                <w:rFonts w:ascii="宋体" w:hAnsi="宋体"/>
                <w:color w:val="auto"/>
                <w:highlight w:val="none"/>
              </w:rPr>
            </w:pPr>
          </w:p>
        </w:tc>
        <w:tc>
          <w:tcPr>
            <w:tcW w:w="1134" w:type="dxa"/>
            <w:noWrap w:val="0"/>
            <w:vAlign w:val="center"/>
          </w:tcPr>
          <w:p w14:paraId="7730CD99">
            <w:pPr>
              <w:keepNext/>
              <w:spacing w:line="440" w:lineRule="exact"/>
              <w:ind w:left="72" w:right="72" w:firstLine="0"/>
              <w:jc w:val="center"/>
              <w:rPr>
                <w:rFonts w:ascii="宋体" w:hAnsi="宋体"/>
                <w:color w:val="auto"/>
                <w:highlight w:val="none"/>
              </w:rPr>
            </w:pPr>
          </w:p>
        </w:tc>
        <w:tc>
          <w:tcPr>
            <w:tcW w:w="4252" w:type="dxa"/>
            <w:noWrap w:val="0"/>
            <w:vAlign w:val="center"/>
          </w:tcPr>
          <w:p w14:paraId="4F1349D0">
            <w:pPr>
              <w:keepNext/>
              <w:spacing w:line="440" w:lineRule="exact"/>
              <w:ind w:left="72" w:right="72" w:firstLine="0"/>
              <w:jc w:val="center"/>
              <w:rPr>
                <w:rFonts w:ascii="宋体" w:hAnsi="宋体"/>
                <w:color w:val="auto"/>
                <w:highlight w:val="none"/>
              </w:rPr>
            </w:pPr>
          </w:p>
        </w:tc>
      </w:tr>
      <w:tr w14:paraId="1B76B3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29717C26">
            <w:pPr>
              <w:keepNext/>
              <w:spacing w:line="440" w:lineRule="exact"/>
              <w:ind w:left="72" w:right="72" w:firstLine="0"/>
              <w:jc w:val="center"/>
              <w:rPr>
                <w:rFonts w:ascii="宋体" w:hAnsi="宋体"/>
                <w:color w:val="auto"/>
                <w:highlight w:val="none"/>
              </w:rPr>
            </w:pPr>
          </w:p>
        </w:tc>
        <w:tc>
          <w:tcPr>
            <w:tcW w:w="1418" w:type="dxa"/>
            <w:noWrap w:val="0"/>
            <w:vAlign w:val="center"/>
          </w:tcPr>
          <w:p w14:paraId="691C7333">
            <w:pPr>
              <w:keepNext/>
              <w:spacing w:line="440" w:lineRule="exact"/>
              <w:ind w:left="72" w:right="72" w:firstLine="0"/>
              <w:jc w:val="center"/>
              <w:rPr>
                <w:rFonts w:ascii="宋体" w:hAnsi="宋体"/>
                <w:color w:val="auto"/>
                <w:highlight w:val="none"/>
              </w:rPr>
            </w:pPr>
          </w:p>
        </w:tc>
        <w:tc>
          <w:tcPr>
            <w:tcW w:w="1134" w:type="dxa"/>
            <w:noWrap w:val="0"/>
            <w:vAlign w:val="center"/>
          </w:tcPr>
          <w:p w14:paraId="3D51BE25">
            <w:pPr>
              <w:keepNext/>
              <w:spacing w:line="440" w:lineRule="exact"/>
              <w:ind w:left="72" w:right="72" w:firstLine="0"/>
              <w:jc w:val="center"/>
              <w:rPr>
                <w:rFonts w:ascii="宋体" w:hAnsi="宋体"/>
                <w:color w:val="auto"/>
                <w:highlight w:val="none"/>
              </w:rPr>
            </w:pPr>
          </w:p>
        </w:tc>
        <w:tc>
          <w:tcPr>
            <w:tcW w:w="1134" w:type="dxa"/>
            <w:noWrap w:val="0"/>
            <w:vAlign w:val="center"/>
          </w:tcPr>
          <w:p w14:paraId="53F8AFD7">
            <w:pPr>
              <w:keepNext/>
              <w:spacing w:line="440" w:lineRule="exact"/>
              <w:ind w:left="72" w:right="72" w:firstLine="0"/>
              <w:jc w:val="center"/>
              <w:rPr>
                <w:rFonts w:ascii="宋体" w:hAnsi="宋体"/>
                <w:color w:val="auto"/>
                <w:highlight w:val="none"/>
              </w:rPr>
            </w:pPr>
          </w:p>
        </w:tc>
        <w:tc>
          <w:tcPr>
            <w:tcW w:w="4252" w:type="dxa"/>
            <w:noWrap w:val="0"/>
            <w:vAlign w:val="center"/>
          </w:tcPr>
          <w:p w14:paraId="5B5607B4">
            <w:pPr>
              <w:keepNext/>
              <w:spacing w:line="440" w:lineRule="exact"/>
              <w:ind w:left="72" w:right="72" w:firstLine="0"/>
              <w:jc w:val="center"/>
              <w:rPr>
                <w:rFonts w:ascii="宋体" w:hAnsi="宋体"/>
                <w:color w:val="auto"/>
                <w:highlight w:val="none"/>
              </w:rPr>
            </w:pPr>
          </w:p>
        </w:tc>
      </w:tr>
      <w:tr w14:paraId="3B22D6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0"/>
            <w:vAlign w:val="center"/>
          </w:tcPr>
          <w:p w14:paraId="51B9F1CA">
            <w:pPr>
              <w:keepNext/>
              <w:spacing w:line="440" w:lineRule="exact"/>
              <w:ind w:left="72" w:right="72" w:firstLine="0"/>
              <w:jc w:val="center"/>
              <w:rPr>
                <w:rFonts w:ascii="宋体" w:hAnsi="宋体"/>
                <w:color w:val="auto"/>
                <w:highlight w:val="none"/>
              </w:rPr>
            </w:pPr>
            <w:r>
              <w:rPr>
                <w:rFonts w:ascii="宋体" w:hAnsi="宋体"/>
                <w:color w:val="auto"/>
                <w:highlight w:val="none"/>
              </w:rPr>
              <w:t>二、现场人员</w:t>
            </w:r>
          </w:p>
        </w:tc>
      </w:tr>
      <w:tr w14:paraId="245950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17032292">
            <w:pPr>
              <w:keepNext/>
              <w:spacing w:line="440" w:lineRule="exact"/>
              <w:ind w:left="72" w:right="72" w:firstLine="0"/>
              <w:jc w:val="center"/>
              <w:rPr>
                <w:rFonts w:ascii="宋体" w:hAnsi="宋体"/>
                <w:color w:val="auto"/>
                <w:highlight w:val="none"/>
              </w:rPr>
            </w:pPr>
            <w:r>
              <w:rPr>
                <w:rFonts w:ascii="宋体" w:hAnsi="宋体"/>
                <w:color w:val="auto"/>
                <w:highlight w:val="none"/>
              </w:rPr>
              <w:t>项目经理</w:t>
            </w:r>
          </w:p>
        </w:tc>
        <w:tc>
          <w:tcPr>
            <w:tcW w:w="1418" w:type="dxa"/>
            <w:noWrap w:val="0"/>
            <w:vAlign w:val="center"/>
          </w:tcPr>
          <w:p w14:paraId="351187C4">
            <w:pPr>
              <w:keepNext/>
              <w:spacing w:line="440" w:lineRule="exact"/>
              <w:ind w:left="72" w:right="72" w:firstLine="0"/>
              <w:jc w:val="center"/>
              <w:rPr>
                <w:rFonts w:ascii="宋体" w:hAnsi="宋体"/>
                <w:color w:val="auto"/>
                <w:highlight w:val="none"/>
              </w:rPr>
            </w:pPr>
          </w:p>
        </w:tc>
        <w:tc>
          <w:tcPr>
            <w:tcW w:w="1134" w:type="dxa"/>
            <w:noWrap w:val="0"/>
            <w:vAlign w:val="center"/>
          </w:tcPr>
          <w:p w14:paraId="6A6FC28A">
            <w:pPr>
              <w:keepNext/>
              <w:spacing w:line="440" w:lineRule="exact"/>
              <w:ind w:left="72" w:right="72" w:firstLine="0"/>
              <w:jc w:val="center"/>
              <w:rPr>
                <w:rFonts w:ascii="宋体" w:hAnsi="宋体"/>
                <w:color w:val="auto"/>
                <w:highlight w:val="none"/>
              </w:rPr>
            </w:pPr>
          </w:p>
        </w:tc>
        <w:tc>
          <w:tcPr>
            <w:tcW w:w="1134" w:type="dxa"/>
            <w:noWrap w:val="0"/>
            <w:vAlign w:val="center"/>
          </w:tcPr>
          <w:p w14:paraId="784B7E64">
            <w:pPr>
              <w:keepNext/>
              <w:spacing w:line="440" w:lineRule="exact"/>
              <w:ind w:left="72" w:right="72" w:firstLine="0"/>
              <w:jc w:val="center"/>
              <w:rPr>
                <w:rFonts w:ascii="宋体" w:hAnsi="宋体"/>
                <w:color w:val="auto"/>
                <w:highlight w:val="none"/>
              </w:rPr>
            </w:pPr>
          </w:p>
        </w:tc>
        <w:tc>
          <w:tcPr>
            <w:tcW w:w="4252" w:type="dxa"/>
            <w:noWrap w:val="0"/>
            <w:vAlign w:val="center"/>
          </w:tcPr>
          <w:p w14:paraId="7B4B4587">
            <w:pPr>
              <w:keepNext/>
              <w:spacing w:line="440" w:lineRule="exact"/>
              <w:ind w:left="72" w:right="72" w:firstLine="0"/>
              <w:jc w:val="center"/>
              <w:rPr>
                <w:rFonts w:ascii="宋体" w:hAnsi="宋体"/>
                <w:color w:val="auto"/>
                <w:highlight w:val="none"/>
              </w:rPr>
            </w:pPr>
          </w:p>
        </w:tc>
      </w:tr>
      <w:tr w14:paraId="28E272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2DD6BED7">
            <w:pPr>
              <w:keepNext/>
              <w:spacing w:line="440" w:lineRule="exact"/>
              <w:ind w:left="72" w:right="72" w:firstLine="0"/>
              <w:jc w:val="center"/>
              <w:rPr>
                <w:rFonts w:ascii="宋体" w:hAnsi="宋体"/>
                <w:color w:val="auto"/>
                <w:highlight w:val="none"/>
              </w:rPr>
            </w:pPr>
            <w:r>
              <w:rPr>
                <w:rFonts w:ascii="宋体" w:hAnsi="宋体"/>
                <w:color w:val="auto"/>
                <w:highlight w:val="none"/>
              </w:rPr>
              <w:t>项目副经理</w:t>
            </w:r>
          </w:p>
        </w:tc>
        <w:tc>
          <w:tcPr>
            <w:tcW w:w="1418" w:type="dxa"/>
            <w:noWrap w:val="0"/>
            <w:vAlign w:val="center"/>
          </w:tcPr>
          <w:p w14:paraId="7089D948">
            <w:pPr>
              <w:keepNext/>
              <w:spacing w:line="440" w:lineRule="exact"/>
              <w:ind w:left="72" w:right="72" w:firstLine="0"/>
              <w:jc w:val="center"/>
              <w:rPr>
                <w:rFonts w:ascii="宋体" w:hAnsi="宋体"/>
                <w:color w:val="auto"/>
                <w:highlight w:val="none"/>
              </w:rPr>
            </w:pPr>
          </w:p>
        </w:tc>
        <w:tc>
          <w:tcPr>
            <w:tcW w:w="1134" w:type="dxa"/>
            <w:noWrap w:val="0"/>
            <w:vAlign w:val="center"/>
          </w:tcPr>
          <w:p w14:paraId="645DF62D">
            <w:pPr>
              <w:keepNext/>
              <w:spacing w:line="440" w:lineRule="exact"/>
              <w:ind w:left="72" w:right="72" w:firstLine="0"/>
              <w:jc w:val="center"/>
              <w:rPr>
                <w:rFonts w:ascii="宋体" w:hAnsi="宋体"/>
                <w:color w:val="auto"/>
                <w:highlight w:val="none"/>
              </w:rPr>
            </w:pPr>
          </w:p>
        </w:tc>
        <w:tc>
          <w:tcPr>
            <w:tcW w:w="1134" w:type="dxa"/>
            <w:noWrap w:val="0"/>
            <w:vAlign w:val="center"/>
          </w:tcPr>
          <w:p w14:paraId="1A24D4DB">
            <w:pPr>
              <w:keepNext/>
              <w:spacing w:line="440" w:lineRule="exact"/>
              <w:ind w:left="72" w:right="72" w:firstLine="0"/>
              <w:jc w:val="center"/>
              <w:rPr>
                <w:rFonts w:ascii="宋体" w:hAnsi="宋体"/>
                <w:color w:val="auto"/>
                <w:highlight w:val="none"/>
              </w:rPr>
            </w:pPr>
          </w:p>
        </w:tc>
        <w:tc>
          <w:tcPr>
            <w:tcW w:w="4252" w:type="dxa"/>
            <w:noWrap w:val="0"/>
            <w:vAlign w:val="center"/>
          </w:tcPr>
          <w:p w14:paraId="2404A15C">
            <w:pPr>
              <w:keepNext/>
              <w:spacing w:line="440" w:lineRule="exact"/>
              <w:ind w:left="72" w:right="72" w:firstLine="0"/>
              <w:jc w:val="center"/>
              <w:rPr>
                <w:rFonts w:ascii="宋体" w:hAnsi="宋体"/>
                <w:color w:val="auto"/>
                <w:highlight w:val="none"/>
              </w:rPr>
            </w:pPr>
          </w:p>
        </w:tc>
      </w:tr>
      <w:tr w14:paraId="1444E9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17B58406">
            <w:pPr>
              <w:keepNext/>
              <w:spacing w:line="440" w:lineRule="exact"/>
              <w:ind w:left="72" w:right="72" w:firstLine="0"/>
              <w:jc w:val="center"/>
              <w:rPr>
                <w:rFonts w:ascii="宋体" w:hAnsi="宋体"/>
                <w:color w:val="auto"/>
                <w:highlight w:val="none"/>
              </w:rPr>
            </w:pPr>
            <w:r>
              <w:rPr>
                <w:rFonts w:ascii="宋体" w:hAnsi="宋体"/>
                <w:color w:val="auto"/>
                <w:highlight w:val="none"/>
              </w:rPr>
              <w:t>技术负责人</w:t>
            </w:r>
          </w:p>
        </w:tc>
        <w:tc>
          <w:tcPr>
            <w:tcW w:w="1418" w:type="dxa"/>
            <w:noWrap w:val="0"/>
            <w:vAlign w:val="center"/>
          </w:tcPr>
          <w:p w14:paraId="452E532B">
            <w:pPr>
              <w:keepNext/>
              <w:spacing w:line="440" w:lineRule="exact"/>
              <w:ind w:left="72" w:right="72" w:firstLine="0"/>
              <w:jc w:val="center"/>
              <w:rPr>
                <w:rFonts w:ascii="宋体" w:hAnsi="宋体"/>
                <w:color w:val="auto"/>
                <w:highlight w:val="none"/>
              </w:rPr>
            </w:pPr>
          </w:p>
        </w:tc>
        <w:tc>
          <w:tcPr>
            <w:tcW w:w="1134" w:type="dxa"/>
            <w:noWrap w:val="0"/>
            <w:vAlign w:val="center"/>
          </w:tcPr>
          <w:p w14:paraId="7F0E9512">
            <w:pPr>
              <w:keepNext/>
              <w:spacing w:line="440" w:lineRule="exact"/>
              <w:ind w:left="72" w:right="72" w:firstLine="0"/>
              <w:jc w:val="center"/>
              <w:rPr>
                <w:rFonts w:ascii="宋体" w:hAnsi="宋体"/>
                <w:color w:val="auto"/>
                <w:highlight w:val="none"/>
              </w:rPr>
            </w:pPr>
          </w:p>
        </w:tc>
        <w:tc>
          <w:tcPr>
            <w:tcW w:w="1134" w:type="dxa"/>
            <w:noWrap w:val="0"/>
            <w:vAlign w:val="center"/>
          </w:tcPr>
          <w:p w14:paraId="7EEE8E85">
            <w:pPr>
              <w:keepNext/>
              <w:spacing w:line="440" w:lineRule="exact"/>
              <w:ind w:left="72" w:right="72" w:firstLine="0"/>
              <w:jc w:val="center"/>
              <w:rPr>
                <w:rFonts w:ascii="宋体" w:hAnsi="宋体"/>
                <w:color w:val="auto"/>
                <w:highlight w:val="none"/>
              </w:rPr>
            </w:pPr>
          </w:p>
        </w:tc>
        <w:tc>
          <w:tcPr>
            <w:tcW w:w="4252" w:type="dxa"/>
            <w:noWrap w:val="0"/>
            <w:vAlign w:val="center"/>
          </w:tcPr>
          <w:p w14:paraId="618CD9AF">
            <w:pPr>
              <w:keepNext/>
              <w:spacing w:line="440" w:lineRule="exact"/>
              <w:ind w:left="72" w:right="72" w:firstLine="0"/>
              <w:jc w:val="center"/>
              <w:rPr>
                <w:rFonts w:ascii="宋体" w:hAnsi="宋体"/>
                <w:color w:val="auto"/>
                <w:highlight w:val="none"/>
              </w:rPr>
            </w:pPr>
          </w:p>
        </w:tc>
      </w:tr>
      <w:tr w14:paraId="14D0B6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201A06D2">
            <w:pPr>
              <w:keepNext/>
              <w:spacing w:line="440" w:lineRule="exact"/>
              <w:ind w:left="72" w:right="72" w:firstLine="0"/>
              <w:jc w:val="center"/>
              <w:rPr>
                <w:rFonts w:ascii="宋体" w:hAnsi="宋体"/>
                <w:color w:val="auto"/>
                <w:highlight w:val="none"/>
              </w:rPr>
            </w:pPr>
            <w:r>
              <w:rPr>
                <w:rFonts w:ascii="宋体" w:hAnsi="宋体"/>
                <w:color w:val="auto"/>
                <w:highlight w:val="none"/>
              </w:rPr>
              <w:t>造价管理</w:t>
            </w:r>
          </w:p>
        </w:tc>
        <w:tc>
          <w:tcPr>
            <w:tcW w:w="1418" w:type="dxa"/>
            <w:noWrap w:val="0"/>
            <w:vAlign w:val="center"/>
          </w:tcPr>
          <w:p w14:paraId="04C05FBA">
            <w:pPr>
              <w:keepNext/>
              <w:spacing w:line="440" w:lineRule="exact"/>
              <w:ind w:left="72" w:right="72" w:firstLine="0"/>
              <w:jc w:val="center"/>
              <w:rPr>
                <w:rFonts w:ascii="宋体" w:hAnsi="宋体"/>
                <w:color w:val="auto"/>
                <w:highlight w:val="none"/>
              </w:rPr>
            </w:pPr>
          </w:p>
        </w:tc>
        <w:tc>
          <w:tcPr>
            <w:tcW w:w="1134" w:type="dxa"/>
            <w:noWrap w:val="0"/>
            <w:vAlign w:val="center"/>
          </w:tcPr>
          <w:p w14:paraId="60D8E4E7">
            <w:pPr>
              <w:keepNext/>
              <w:spacing w:line="440" w:lineRule="exact"/>
              <w:ind w:left="72" w:right="72" w:firstLine="0"/>
              <w:jc w:val="center"/>
              <w:rPr>
                <w:rFonts w:ascii="宋体" w:hAnsi="宋体"/>
                <w:color w:val="auto"/>
                <w:highlight w:val="none"/>
              </w:rPr>
            </w:pPr>
          </w:p>
        </w:tc>
        <w:tc>
          <w:tcPr>
            <w:tcW w:w="1134" w:type="dxa"/>
            <w:noWrap w:val="0"/>
            <w:vAlign w:val="center"/>
          </w:tcPr>
          <w:p w14:paraId="6C15E956">
            <w:pPr>
              <w:keepNext/>
              <w:spacing w:line="440" w:lineRule="exact"/>
              <w:ind w:left="72" w:right="72" w:firstLine="0"/>
              <w:jc w:val="center"/>
              <w:rPr>
                <w:rFonts w:ascii="宋体" w:hAnsi="宋体"/>
                <w:color w:val="auto"/>
                <w:highlight w:val="none"/>
              </w:rPr>
            </w:pPr>
          </w:p>
        </w:tc>
        <w:tc>
          <w:tcPr>
            <w:tcW w:w="4252" w:type="dxa"/>
            <w:noWrap w:val="0"/>
            <w:vAlign w:val="center"/>
          </w:tcPr>
          <w:p w14:paraId="72EEB1BC">
            <w:pPr>
              <w:keepNext/>
              <w:spacing w:line="440" w:lineRule="exact"/>
              <w:ind w:left="72" w:right="72" w:firstLine="0"/>
              <w:jc w:val="center"/>
              <w:rPr>
                <w:rFonts w:ascii="宋体" w:hAnsi="宋体"/>
                <w:color w:val="auto"/>
                <w:highlight w:val="none"/>
              </w:rPr>
            </w:pPr>
          </w:p>
        </w:tc>
      </w:tr>
      <w:tr w14:paraId="42FA43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C81B78E">
            <w:pPr>
              <w:keepNext/>
              <w:spacing w:line="440" w:lineRule="exact"/>
              <w:ind w:left="72" w:right="72" w:firstLine="0"/>
              <w:jc w:val="center"/>
              <w:rPr>
                <w:rFonts w:ascii="宋体" w:hAnsi="宋体"/>
                <w:color w:val="auto"/>
                <w:highlight w:val="none"/>
              </w:rPr>
            </w:pPr>
            <w:r>
              <w:rPr>
                <w:rFonts w:ascii="宋体" w:hAnsi="宋体"/>
                <w:color w:val="auto"/>
                <w:highlight w:val="none"/>
              </w:rPr>
              <w:t>质量管理</w:t>
            </w:r>
          </w:p>
        </w:tc>
        <w:tc>
          <w:tcPr>
            <w:tcW w:w="1418" w:type="dxa"/>
            <w:noWrap w:val="0"/>
            <w:vAlign w:val="center"/>
          </w:tcPr>
          <w:p w14:paraId="4923D8BF">
            <w:pPr>
              <w:keepNext/>
              <w:spacing w:line="440" w:lineRule="exact"/>
              <w:ind w:left="72" w:right="72" w:firstLine="0"/>
              <w:jc w:val="center"/>
              <w:rPr>
                <w:rFonts w:ascii="宋体" w:hAnsi="宋体"/>
                <w:color w:val="auto"/>
                <w:highlight w:val="none"/>
              </w:rPr>
            </w:pPr>
          </w:p>
        </w:tc>
        <w:tc>
          <w:tcPr>
            <w:tcW w:w="1134" w:type="dxa"/>
            <w:noWrap w:val="0"/>
            <w:vAlign w:val="center"/>
          </w:tcPr>
          <w:p w14:paraId="0985F90E">
            <w:pPr>
              <w:keepNext/>
              <w:spacing w:line="440" w:lineRule="exact"/>
              <w:ind w:left="72" w:right="72" w:firstLine="0"/>
              <w:jc w:val="center"/>
              <w:rPr>
                <w:rFonts w:ascii="宋体" w:hAnsi="宋体"/>
                <w:color w:val="auto"/>
                <w:highlight w:val="none"/>
              </w:rPr>
            </w:pPr>
          </w:p>
        </w:tc>
        <w:tc>
          <w:tcPr>
            <w:tcW w:w="1134" w:type="dxa"/>
            <w:noWrap w:val="0"/>
            <w:vAlign w:val="center"/>
          </w:tcPr>
          <w:p w14:paraId="7E5AD1BB">
            <w:pPr>
              <w:keepNext/>
              <w:spacing w:line="440" w:lineRule="exact"/>
              <w:ind w:left="72" w:right="72" w:firstLine="0"/>
              <w:jc w:val="center"/>
              <w:rPr>
                <w:rFonts w:ascii="宋体" w:hAnsi="宋体"/>
                <w:color w:val="auto"/>
                <w:highlight w:val="none"/>
              </w:rPr>
            </w:pPr>
          </w:p>
        </w:tc>
        <w:tc>
          <w:tcPr>
            <w:tcW w:w="4252" w:type="dxa"/>
            <w:noWrap w:val="0"/>
            <w:vAlign w:val="center"/>
          </w:tcPr>
          <w:p w14:paraId="06D10DC2">
            <w:pPr>
              <w:keepNext/>
              <w:spacing w:line="440" w:lineRule="exact"/>
              <w:ind w:left="72" w:right="72" w:firstLine="0"/>
              <w:jc w:val="center"/>
              <w:rPr>
                <w:rFonts w:ascii="宋体" w:hAnsi="宋体"/>
                <w:color w:val="auto"/>
                <w:highlight w:val="none"/>
              </w:rPr>
            </w:pPr>
          </w:p>
        </w:tc>
      </w:tr>
      <w:tr w14:paraId="0B5B62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57D403DE">
            <w:pPr>
              <w:keepNext/>
              <w:spacing w:line="440" w:lineRule="exact"/>
              <w:ind w:left="72" w:right="72" w:firstLine="0"/>
              <w:jc w:val="center"/>
              <w:rPr>
                <w:rFonts w:ascii="宋体" w:hAnsi="宋体"/>
                <w:color w:val="auto"/>
                <w:highlight w:val="none"/>
              </w:rPr>
            </w:pPr>
            <w:r>
              <w:rPr>
                <w:rFonts w:ascii="宋体" w:hAnsi="宋体"/>
                <w:color w:val="auto"/>
                <w:highlight w:val="none"/>
              </w:rPr>
              <w:t>材料管理</w:t>
            </w:r>
          </w:p>
        </w:tc>
        <w:tc>
          <w:tcPr>
            <w:tcW w:w="1418" w:type="dxa"/>
            <w:noWrap w:val="0"/>
            <w:vAlign w:val="center"/>
          </w:tcPr>
          <w:p w14:paraId="329DA787">
            <w:pPr>
              <w:keepNext/>
              <w:spacing w:line="440" w:lineRule="exact"/>
              <w:ind w:left="72" w:right="72" w:firstLine="0"/>
              <w:jc w:val="center"/>
              <w:rPr>
                <w:rFonts w:ascii="宋体" w:hAnsi="宋体"/>
                <w:color w:val="auto"/>
                <w:highlight w:val="none"/>
              </w:rPr>
            </w:pPr>
          </w:p>
        </w:tc>
        <w:tc>
          <w:tcPr>
            <w:tcW w:w="1134" w:type="dxa"/>
            <w:noWrap w:val="0"/>
            <w:vAlign w:val="center"/>
          </w:tcPr>
          <w:p w14:paraId="241B425B">
            <w:pPr>
              <w:keepNext/>
              <w:spacing w:line="440" w:lineRule="exact"/>
              <w:ind w:left="72" w:right="72" w:firstLine="0"/>
              <w:jc w:val="center"/>
              <w:rPr>
                <w:rFonts w:ascii="宋体" w:hAnsi="宋体"/>
                <w:color w:val="auto"/>
                <w:highlight w:val="none"/>
              </w:rPr>
            </w:pPr>
          </w:p>
        </w:tc>
        <w:tc>
          <w:tcPr>
            <w:tcW w:w="1134" w:type="dxa"/>
            <w:noWrap w:val="0"/>
            <w:vAlign w:val="center"/>
          </w:tcPr>
          <w:p w14:paraId="4F9C2AE2">
            <w:pPr>
              <w:keepNext/>
              <w:spacing w:line="440" w:lineRule="exact"/>
              <w:ind w:left="72" w:right="72" w:firstLine="0"/>
              <w:jc w:val="center"/>
              <w:rPr>
                <w:rFonts w:ascii="宋体" w:hAnsi="宋体"/>
                <w:color w:val="auto"/>
                <w:highlight w:val="none"/>
              </w:rPr>
            </w:pPr>
          </w:p>
        </w:tc>
        <w:tc>
          <w:tcPr>
            <w:tcW w:w="4252" w:type="dxa"/>
            <w:noWrap w:val="0"/>
            <w:vAlign w:val="center"/>
          </w:tcPr>
          <w:p w14:paraId="40EF72C7">
            <w:pPr>
              <w:keepNext/>
              <w:spacing w:line="440" w:lineRule="exact"/>
              <w:ind w:left="72" w:right="72" w:firstLine="0"/>
              <w:jc w:val="center"/>
              <w:rPr>
                <w:rFonts w:ascii="宋体" w:hAnsi="宋体"/>
                <w:color w:val="auto"/>
                <w:highlight w:val="none"/>
              </w:rPr>
            </w:pPr>
          </w:p>
        </w:tc>
      </w:tr>
      <w:tr w14:paraId="7A37C6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0D645511">
            <w:pPr>
              <w:keepNext/>
              <w:spacing w:line="440" w:lineRule="exact"/>
              <w:ind w:left="72" w:right="72" w:firstLine="0"/>
              <w:jc w:val="center"/>
              <w:rPr>
                <w:rFonts w:ascii="宋体" w:hAnsi="宋体"/>
                <w:color w:val="auto"/>
                <w:highlight w:val="none"/>
              </w:rPr>
            </w:pPr>
            <w:r>
              <w:rPr>
                <w:rFonts w:ascii="宋体" w:hAnsi="宋体"/>
                <w:color w:val="auto"/>
                <w:highlight w:val="none"/>
              </w:rPr>
              <w:t>计划管理</w:t>
            </w:r>
          </w:p>
        </w:tc>
        <w:tc>
          <w:tcPr>
            <w:tcW w:w="1418" w:type="dxa"/>
            <w:noWrap w:val="0"/>
            <w:vAlign w:val="center"/>
          </w:tcPr>
          <w:p w14:paraId="08F8A7AD">
            <w:pPr>
              <w:keepNext/>
              <w:spacing w:line="440" w:lineRule="exact"/>
              <w:ind w:left="72" w:right="72" w:firstLine="0"/>
              <w:jc w:val="center"/>
              <w:rPr>
                <w:rFonts w:ascii="宋体" w:hAnsi="宋体"/>
                <w:color w:val="auto"/>
                <w:highlight w:val="none"/>
              </w:rPr>
            </w:pPr>
          </w:p>
        </w:tc>
        <w:tc>
          <w:tcPr>
            <w:tcW w:w="1134" w:type="dxa"/>
            <w:noWrap w:val="0"/>
            <w:vAlign w:val="center"/>
          </w:tcPr>
          <w:p w14:paraId="23F70431">
            <w:pPr>
              <w:keepNext/>
              <w:spacing w:line="440" w:lineRule="exact"/>
              <w:ind w:left="72" w:right="72" w:firstLine="0"/>
              <w:jc w:val="center"/>
              <w:rPr>
                <w:rFonts w:ascii="宋体" w:hAnsi="宋体"/>
                <w:color w:val="auto"/>
                <w:highlight w:val="none"/>
              </w:rPr>
            </w:pPr>
          </w:p>
        </w:tc>
        <w:tc>
          <w:tcPr>
            <w:tcW w:w="1134" w:type="dxa"/>
            <w:noWrap w:val="0"/>
            <w:vAlign w:val="center"/>
          </w:tcPr>
          <w:p w14:paraId="273FDD4B">
            <w:pPr>
              <w:keepNext/>
              <w:spacing w:line="440" w:lineRule="exact"/>
              <w:ind w:left="72" w:right="72" w:firstLine="0"/>
              <w:jc w:val="center"/>
              <w:rPr>
                <w:rFonts w:ascii="宋体" w:hAnsi="宋体"/>
                <w:color w:val="auto"/>
                <w:highlight w:val="none"/>
              </w:rPr>
            </w:pPr>
          </w:p>
        </w:tc>
        <w:tc>
          <w:tcPr>
            <w:tcW w:w="4252" w:type="dxa"/>
            <w:noWrap w:val="0"/>
            <w:vAlign w:val="center"/>
          </w:tcPr>
          <w:p w14:paraId="0AC1F9ED">
            <w:pPr>
              <w:keepNext/>
              <w:spacing w:line="440" w:lineRule="exact"/>
              <w:ind w:left="72" w:right="72" w:firstLine="0"/>
              <w:jc w:val="center"/>
              <w:rPr>
                <w:rFonts w:ascii="宋体" w:hAnsi="宋体"/>
                <w:color w:val="auto"/>
                <w:highlight w:val="none"/>
              </w:rPr>
            </w:pPr>
          </w:p>
        </w:tc>
      </w:tr>
      <w:tr w14:paraId="636656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3C536302">
            <w:pPr>
              <w:keepNext/>
              <w:spacing w:line="440" w:lineRule="exact"/>
              <w:ind w:left="72" w:right="72" w:firstLine="0"/>
              <w:jc w:val="center"/>
              <w:rPr>
                <w:rFonts w:ascii="宋体" w:hAnsi="宋体"/>
                <w:color w:val="auto"/>
                <w:highlight w:val="none"/>
              </w:rPr>
            </w:pPr>
            <w:r>
              <w:rPr>
                <w:rFonts w:ascii="宋体" w:hAnsi="宋体"/>
                <w:color w:val="auto"/>
                <w:highlight w:val="none"/>
              </w:rPr>
              <w:t>安全管理</w:t>
            </w:r>
          </w:p>
        </w:tc>
        <w:tc>
          <w:tcPr>
            <w:tcW w:w="1418" w:type="dxa"/>
            <w:noWrap w:val="0"/>
            <w:vAlign w:val="center"/>
          </w:tcPr>
          <w:p w14:paraId="408D4BAF">
            <w:pPr>
              <w:keepNext/>
              <w:spacing w:line="440" w:lineRule="exact"/>
              <w:ind w:left="72" w:right="72" w:firstLine="0"/>
              <w:jc w:val="center"/>
              <w:rPr>
                <w:rFonts w:ascii="宋体" w:hAnsi="宋体"/>
                <w:color w:val="auto"/>
                <w:highlight w:val="none"/>
              </w:rPr>
            </w:pPr>
          </w:p>
        </w:tc>
        <w:tc>
          <w:tcPr>
            <w:tcW w:w="1134" w:type="dxa"/>
            <w:noWrap w:val="0"/>
            <w:vAlign w:val="center"/>
          </w:tcPr>
          <w:p w14:paraId="33839364">
            <w:pPr>
              <w:keepNext/>
              <w:spacing w:line="440" w:lineRule="exact"/>
              <w:ind w:left="72" w:right="72" w:firstLine="0"/>
              <w:jc w:val="center"/>
              <w:rPr>
                <w:rFonts w:ascii="宋体" w:hAnsi="宋体"/>
                <w:color w:val="auto"/>
                <w:highlight w:val="none"/>
              </w:rPr>
            </w:pPr>
          </w:p>
        </w:tc>
        <w:tc>
          <w:tcPr>
            <w:tcW w:w="1134" w:type="dxa"/>
            <w:noWrap w:val="0"/>
            <w:vAlign w:val="center"/>
          </w:tcPr>
          <w:p w14:paraId="4CEEC831">
            <w:pPr>
              <w:keepNext/>
              <w:spacing w:line="440" w:lineRule="exact"/>
              <w:ind w:left="72" w:right="72" w:firstLine="0"/>
              <w:jc w:val="center"/>
              <w:rPr>
                <w:rFonts w:ascii="宋体" w:hAnsi="宋体"/>
                <w:color w:val="auto"/>
                <w:highlight w:val="none"/>
              </w:rPr>
            </w:pPr>
          </w:p>
        </w:tc>
        <w:tc>
          <w:tcPr>
            <w:tcW w:w="4252" w:type="dxa"/>
            <w:noWrap w:val="0"/>
            <w:vAlign w:val="center"/>
          </w:tcPr>
          <w:p w14:paraId="350650C1">
            <w:pPr>
              <w:keepNext/>
              <w:spacing w:line="440" w:lineRule="exact"/>
              <w:ind w:left="72" w:right="72" w:firstLine="0"/>
              <w:jc w:val="center"/>
              <w:rPr>
                <w:rFonts w:ascii="宋体" w:hAnsi="宋体"/>
                <w:color w:val="auto"/>
                <w:highlight w:val="none"/>
              </w:rPr>
            </w:pPr>
          </w:p>
        </w:tc>
      </w:tr>
      <w:tr w14:paraId="4FE70F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0"/>
            <w:vAlign w:val="center"/>
          </w:tcPr>
          <w:p w14:paraId="2A1173BC">
            <w:pPr>
              <w:keepNext/>
              <w:spacing w:line="440" w:lineRule="exact"/>
              <w:ind w:left="72" w:right="72" w:firstLine="0"/>
              <w:jc w:val="center"/>
              <w:rPr>
                <w:rFonts w:ascii="宋体" w:hAnsi="宋体"/>
                <w:color w:val="auto"/>
                <w:highlight w:val="none"/>
              </w:rPr>
            </w:pPr>
            <w:r>
              <w:rPr>
                <w:rFonts w:ascii="宋体" w:hAnsi="宋体"/>
                <w:color w:val="auto"/>
                <w:highlight w:val="none"/>
              </w:rPr>
              <w:t>其他人员</w:t>
            </w:r>
          </w:p>
        </w:tc>
        <w:tc>
          <w:tcPr>
            <w:tcW w:w="1418" w:type="dxa"/>
            <w:noWrap w:val="0"/>
            <w:vAlign w:val="center"/>
          </w:tcPr>
          <w:p w14:paraId="29C2698F">
            <w:pPr>
              <w:keepNext/>
              <w:spacing w:line="440" w:lineRule="exact"/>
              <w:ind w:left="72" w:right="72" w:firstLine="0"/>
              <w:jc w:val="center"/>
              <w:rPr>
                <w:rFonts w:ascii="宋体" w:hAnsi="宋体"/>
                <w:color w:val="auto"/>
                <w:highlight w:val="none"/>
              </w:rPr>
            </w:pPr>
          </w:p>
        </w:tc>
        <w:tc>
          <w:tcPr>
            <w:tcW w:w="1134" w:type="dxa"/>
            <w:noWrap w:val="0"/>
            <w:vAlign w:val="center"/>
          </w:tcPr>
          <w:p w14:paraId="65CAA268">
            <w:pPr>
              <w:keepNext/>
              <w:spacing w:line="440" w:lineRule="exact"/>
              <w:ind w:left="72" w:right="72" w:firstLine="0"/>
              <w:jc w:val="center"/>
              <w:rPr>
                <w:rFonts w:ascii="宋体" w:hAnsi="宋体"/>
                <w:color w:val="auto"/>
                <w:highlight w:val="none"/>
              </w:rPr>
            </w:pPr>
          </w:p>
        </w:tc>
        <w:tc>
          <w:tcPr>
            <w:tcW w:w="1134" w:type="dxa"/>
            <w:noWrap w:val="0"/>
            <w:vAlign w:val="center"/>
          </w:tcPr>
          <w:p w14:paraId="0C4091D8">
            <w:pPr>
              <w:keepNext/>
              <w:spacing w:line="440" w:lineRule="exact"/>
              <w:ind w:left="72" w:right="72" w:firstLine="0"/>
              <w:jc w:val="center"/>
              <w:rPr>
                <w:rFonts w:ascii="宋体" w:hAnsi="宋体"/>
                <w:color w:val="auto"/>
                <w:highlight w:val="none"/>
              </w:rPr>
            </w:pPr>
          </w:p>
        </w:tc>
        <w:tc>
          <w:tcPr>
            <w:tcW w:w="4252" w:type="dxa"/>
            <w:noWrap w:val="0"/>
            <w:vAlign w:val="center"/>
          </w:tcPr>
          <w:p w14:paraId="21A473CA">
            <w:pPr>
              <w:keepNext/>
              <w:spacing w:line="440" w:lineRule="exact"/>
              <w:ind w:left="72" w:right="72" w:firstLine="0"/>
              <w:jc w:val="center"/>
              <w:rPr>
                <w:rFonts w:ascii="宋体" w:hAnsi="宋体"/>
                <w:color w:val="auto"/>
                <w:highlight w:val="none"/>
              </w:rPr>
            </w:pPr>
          </w:p>
        </w:tc>
      </w:tr>
      <w:tr w14:paraId="0B9293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54F88350">
            <w:pPr>
              <w:keepNext/>
              <w:spacing w:line="440" w:lineRule="exact"/>
              <w:ind w:left="72" w:right="72" w:firstLine="0"/>
              <w:jc w:val="center"/>
              <w:rPr>
                <w:rFonts w:ascii="宋体" w:hAnsi="宋体"/>
                <w:color w:val="auto"/>
                <w:highlight w:val="none"/>
              </w:rPr>
            </w:pPr>
          </w:p>
        </w:tc>
        <w:tc>
          <w:tcPr>
            <w:tcW w:w="1418" w:type="dxa"/>
            <w:noWrap w:val="0"/>
            <w:vAlign w:val="center"/>
          </w:tcPr>
          <w:p w14:paraId="4FDBDCEA">
            <w:pPr>
              <w:keepNext/>
              <w:spacing w:line="440" w:lineRule="exact"/>
              <w:ind w:left="72" w:right="72" w:firstLine="0"/>
              <w:jc w:val="center"/>
              <w:rPr>
                <w:rFonts w:ascii="宋体" w:hAnsi="宋体"/>
                <w:color w:val="auto"/>
                <w:highlight w:val="none"/>
              </w:rPr>
            </w:pPr>
          </w:p>
        </w:tc>
        <w:tc>
          <w:tcPr>
            <w:tcW w:w="1134" w:type="dxa"/>
            <w:noWrap w:val="0"/>
            <w:vAlign w:val="center"/>
          </w:tcPr>
          <w:p w14:paraId="4C3BFA29">
            <w:pPr>
              <w:keepNext/>
              <w:spacing w:line="440" w:lineRule="exact"/>
              <w:ind w:left="72" w:right="72" w:firstLine="0"/>
              <w:jc w:val="center"/>
              <w:rPr>
                <w:rFonts w:ascii="宋体" w:hAnsi="宋体"/>
                <w:color w:val="auto"/>
                <w:highlight w:val="none"/>
              </w:rPr>
            </w:pPr>
          </w:p>
        </w:tc>
        <w:tc>
          <w:tcPr>
            <w:tcW w:w="1134" w:type="dxa"/>
            <w:noWrap w:val="0"/>
            <w:vAlign w:val="center"/>
          </w:tcPr>
          <w:p w14:paraId="6452D615">
            <w:pPr>
              <w:keepNext/>
              <w:spacing w:line="440" w:lineRule="exact"/>
              <w:ind w:left="72" w:right="72" w:firstLine="0"/>
              <w:jc w:val="center"/>
              <w:rPr>
                <w:rFonts w:ascii="宋体" w:hAnsi="宋体"/>
                <w:color w:val="auto"/>
                <w:highlight w:val="none"/>
              </w:rPr>
            </w:pPr>
          </w:p>
        </w:tc>
        <w:tc>
          <w:tcPr>
            <w:tcW w:w="4252" w:type="dxa"/>
            <w:noWrap w:val="0"/>
            <w:vAlign w:val="center"/>
          </w:tcPr>
          <w:p w14:paraId="2F321FC2">
            <w:pPr>
              <w:keepNext/>
              <w:spacing w:line="440" w:lineRule="exact"/>
              <w:ind w:left="72" w:right="72" w:firstLine="0"/>
              <w:jc w:val="center"/>
              <w:rPr>
                <w:rFonts w:ascii="宋体" w:hAnsi="宋体"/>
                <w:color w:val="auto"/>
                <w:highlight w:val="none"/>
              </w:rPr>
            </w:pPr>
          </w:p>
        </w:tc>
      </w:tr>
      <w:tr w14:paraId="511D42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3F0D3676">
            <w:pPr>
              <w:keepNext/>
              <w:spacing w:line="440" w:lineRule="exact"/>
              <w:ind w:left="72" w:right="72" w:firstLine="0"/>
              <w:jc w:val="center"/>
              <w:rPr>
                <w:rFonts w:ascii="宋体" w:hAnsi="宋体"/>
                <w:color w:val="auto"/>
                <w:highlight w:val="none"/>
              </w:rPr>
            </w:pPr>
          </w:p>
        </w:tc>
        <w:tc>
          <w:tcPr>
            <w:tcW w:w="1418" w:type="dxa"/>
            <w:noWrap w:val="0"/>
            <w:vAlign w:val="center"/>
          </w:tcPr>
          <w:p w14:paraId="6929929C">
            <w:pPr>
              <w:keepNext/>
              <w:spacing w:line="440" w:lineRule="exact"/>
              <w:ind w:left="72" w:right="72" w:firstLine="0"/>
              <w:jc w:val="center"/>
              <w:rPr>
                <w:rFonts w:ascii="宋体" w:hAnsi="宋体"/>
                <w:color w:val="auto"/>
                <w:highlight w:val="none"/>
              </w:rPr>
            </w:pPr>
          </w:p>
        </w:tc>
        <w:tc>
          <w:tcPr>
            <w:tcW w:w="1134" w:type="dxa"/>
            <w:noWrap w:val="0"/>
            <w:vAlign w:val="center"/>
          </w:tcPr>
          <w:p w14:paraId="2C8C9968">
            <w:pPr>
              <w:keepNext/>
              <w:spacing w:line="440" w:lineRule="exact"/>
              <w:ind w:left="72" w:right="72" w:firstLine="0"/>
              <w:jc w:val="center"/>
              <w:rPr>
                <w:rFonts w:ascii="宋体" w:hAnsi="宋体"/>
                <w:color w:val="auto"/>
                <w:highlight w:val="none"/>
              </w:rPr>
            </w:pPr>
          </w:p>
        </w:tc>
        <w:tc>
          <w:tcPr>
            <w:tcW w:w="1134" w:type="dxa"/>
            <w:noWrap w:val="0"/>
            <w:vAlign w:val="center"/>
          </w:tcPr>
          <w:p w14:paraId="1955F574">
            <w:pPr>
              <w:keepNext/>
              <w:spacing w:line="440" w:lineRule="exact"/>
              <w:ind w:left="72" w:right="72" w:firstLine="0"/>
              <w:jc w:val="center"/>
              <w:rPr>
                <w:rFonts w:ascii="宋体" w:hAnsi="宋体"/>
                <w:color w:val="auto"/>
                <w:highlight w:val="none"/>
              </w:rPr>
            </w:pPr>
          </w:p>
        </w:tc>
        <w:tc>
          <w:tcPr>
            <w:tcW w:w="4252" w:type="dxa"/>
            <w:noWrap w:val="0"/>
            <w:vAlign w:val="center"/>
          </w:tcPr>
          <w:p w14:paraId="69488CA0">
            <w:pPr>
              <w:keepNext/>
              <w:spacing w:line="440" w:lineRule="exact"/>
              <w:ind w:left="72" w:right="72" w:firstLine="0"/>
              <w:jc w:val="center"/>
              <w:rPr>
                <w:rFonts w:ascii="宋体" w:hAnsi="宋体"/>
                <w:color w:val="auto"/>
                <w:highlight w:val="none"/>
              </w:rPr>
            </w:pPr>
          </w:p>
        </w:tc>
      </w:tr>
      <w:tr w14:paraId="1E7BE5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5A245B94">
            <w:pPr>
              <w:keepNext/>
              <w:spacing w:line="440" w:lineRule="exact"/>
              <w:ind w:left="72" w:right="72" w:firstLine="0"/>
              <w:jc w:val="center"/>
              <w:rPr>
                <w:rFonts w:ascii="宋体" w:hAnsi="宋体"/>
                <w:color w:val="auto"/>
                <w:highlight w:val="none"/>
              </w:rPr>
            </w:pPr>
          </w:p>
        </w:tc>
        <w:tc>
          <w:tcPr>
            <w:tcW w:w="1418" w:type="dxa"/>
            <w:noWrap w:val="0"/>
            <w:vAlign w:val="center"/>
          </w:tcPr>
          <w:p w14:paraId="37E06F46">
            <w:pPr>
              <w:keepNext/>
              <w:spacing w:line="440" w:lineRule="exact"/>
              <w:ind w:left="72" w:right="72" w:firstLine="0"/>
              <w:jc w:val="center"/>
              <w:rPr>
                <w:rFonts w:ascii="宋体" w:hAnsi="宋体"/>
                <w:color w:val="auto"/>
                <w:highlight w:val="none"/>
              </w:rPr>
            </w:pPr>
          </w:p>
        </w:tc>
        <w:tc>
          <w:tcPr>
            <w:tcW w:w="1134" w:type="dxa"/>
            <w:noWrap w:val="0"/>
            <w:vAlign w:val="center"/>
          </w:tcPr>
          <w:p w14:paraId="364EA319">
            <w:pPr>
              <w:keepNext/>
              <w:spacing w:line="440" w:lineRule="exact"/>
              <w:ind w:left="72" w:right="72" w:firstLine="0"/>
              <w:jc w:val="center"/>
              <w:rPr>
                <w:rFonts w:ascii="宋体" w:hAnsi="宋体"/>
                <w:color w:val="auto"/>
                <w:highlight w:val="none"/>
              </w:rPr>
            </w:pPr>
          </w:p>
        </w:tc>
        <w:tc>
          <w:tcPr>
            <w:tcW w:w="1134" w:type="dxa"/>
            <w:noWrap w:val="0"/>
            <w:vAlign w:val="center"/>
          </w:tcPr>
          <w:p w14:paraId="1B8C4BB4">
            <w:pPr>
              <w:keepNext/>
              <w:spacing w:line="440" w:lineRule="exact"/>
              <w:ind w:left="72" w:right="72" w:firstLine="0"/>
              <w:jc w:val="center"/>
              <w:rPr>
                <w:rFonts w:ascii="宋体" w:hAnsi="宋体"/>
                <w:color w:val="auto"/>
                <w:highlight w:val="none"/>
              </w:rPr>
            </w:pPr>
          </w:p>
        </w:tc>
        <w:tc>
          <w:tcPr>
            <w:tcW w:w="4252" w:type="dxa"/>
            <w:noWrap w:val="0"/>
            <w:vAlign w:val="center"/>
          </w:tcPr>
          <w:p w14:paraId="6B14FCB2">
            <w:pPr>
              <w:keepNext/>
              <w:spacing w:line="440" w:lineRule="exact"/>
              <w:ind w:left="72" w:right="72" w:firstLine="0"/>
              <w:jc w:val="center"/>
              <w:rPr>
                <w:rFonts w:ascii="宋体" w:hAnsi="宋体"/>
                <w:color w:val="auto"/>
                <w:highlight w:val="none"/>
              </w:rPr>
            </w:pPr>
          </w:p>
        </w:tc>
      </w:tr>
      <w:tr w14:paraId="5891B10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2FF940C0">
            <w:pPr>
              <w:keepNext/>
              <w:spacing w:line="440" w:lineRule="exact"/>
              <w:ind w:left="72" w:right="72" w:firstLine="0"/>
              <w:jc w:val="center"/>
              <w:rPr>
                <w:rFonts w:ascii="宋体" w:hAnsi="宋体"/>
                <w:color w:val="auto"/>
                <w:highlight w:val="none"/>
              </w:rPr>
            </w:pPr>
          </w:p>
        </w:tc>
        <w:tc>
          <w:tcPr>
            <w:tcW w:w="1418" w:type="dxa"/>
            <w:noWrap w:val="0"/>
            <w:vAlign w:val="center"/>
          </w:tcPr>
          <w:p w14:paraId="4D32CED0">
            <w:pPr>
              <w:keepNext/>
              <w:spacing w:line="440" w:lineRule="exact"/>
              <w:ind w:left="72" w:right="72" w:firstLine="0"/>
              <w:jc w:val="center"/>
              <w:rPr>
                <w:rFonts w:ascii="宋体" w:hAnsi="宋体"/>
                <w:color w:val="auto"/>
                <w:highlight w:val="none"/>
              </w:rPr>
            </w:pPr>
          </w:p>
        </w:tc>
        <w:tc>
          <w:tcPr>
            <w:tcW w:w="1134" w:type="dxa"/>
            <w:noWrap w:val="0"/>
            <w:vAlign w:val="center"/>
          </w:tcPr>
          <w:p w14:paraId="661EC22B">
            <w:pPr>
              <w:keepNext/>
              <w:spacing w:line="440" w:lineRule="exact"/>
              <w:ind w:left="72" w:right="72" w:firstLine="0"/>
              <w:jc w:val="center"/>
              <w:rPr>
                <w:rFonts w:ascii="宋体" w:hAnsi="宋体"/>
                <w:color w:val="auto"/>
                <w:highlight w:val="none"/>
              </w:rPr>
            </w:pPr>
          </w:p>
        </w:tc>
        <w:tc>
          <w:tcPr>
            <w:tcW w:w="1134" w:type="dxa"/>
            <w:noWrap w:val="0"/>
            <w:vAlign w:val="center"/>
          </w:tcPr>
          <w:p w14:paraId="6E08670A">
            <w:pPr>
              <w:keepNext/>
              <w:spacing w:line="440" w:lineRule="exact"/>
              <w:ind w:left="72" w:right="72" w:firstLine="0"/>
              <w:jc w:val="center"/>
              <w:rPr>
                <w:rFonts w:ascii="宋体" w:hAnsi="宋体"/>
                <w:color w:val="auto"/>
                <w:highlight w:val="none"/>
              </w:rPr>
            </w:pPr>
          </w:p>
        </w:tc>
        <w:tc>
          <w:tcPr>
            <w:tcW w:w="4252" w:type="dxa"/>
            <w:noWrap w:val="0"/>
            <w:vAlign w:val="center"/>
          </w:tcPr>
          <w:p w14:paraId="150E40AC">
            <w:pPr>
              <w:keepNext/>
              <w:spacing w:line="440" w:lineRule="exact"/>
              <w:ind w:left="72" w:right="72" w:firstLine="0"/>
              <w:jc w:val="center"/>
              <w:rPr>
                <w:rFonts w:ascii="宋体" w:hAnsi="宋体"/>
                <w:color w:val="auto"/>
                <w:highlight w:val="none"/>
              </w:rPr>
            </w:pPr>
          </w:p>
        </w:tc>
      </w:tr>
      <w:tr w14:paraId="2D4DCF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7A399B22">
            <w:pPr>
              <w:keepNext/>
              <w:spacing w:line="440" w:lineRule="exact"/>
              <w:ind w:left="72" w:right="72" w:firstLine="0"/>
              <w:jc w:val="center"/>
              <w:rPr>
                <w:rFonts w:ascii="宋体" w:hAnsi="宋体"/>
                <w:color w:val="auto"/>
                <w:highlight w:val="none"/>
              </w:rPr>
            </w:pPr>
          </w:p>
        </w:tc>
        <w:tc>
          <w:tcPr>
            <w:tcW w:w="1418" w:type="dxa"/>
            <w:noWrap w:val="0"/>
            <w:vAlign w:val="center"/>
          </w:tcPr>
          <w:p w14:paraId="57D2C17B">
            <w:pPr>
              <w:keepNext/>
              <w:spacing w:line="440" w:lineRule="exact"/>
              <w:ind w:left="72" w:right="72" w:firstLine="0"/>
              <w:jc w:val="center"/>
              <w:rPr>
                <w:rFonts w:ascii="宋体" w:hAnsi="宋体"/>
                <w:color w:val="auto"/>
                <w:highlight w:val="none"/>
              </w:rPr>
            </w:pPr>
          </w:p>
        </w:tc>
        <w:tc>
          <w:tcPr>
            <w:tcW w:w="1134" w:type="dxa"/>
            <w:noWrap w:val="0"/>
            <w:vAlign w:val="center"/>
          </w:tcPr>
          <w:p w14:paraId="2CC59D9A">
            <w:pPr>
              <w:keepNext/>
              <w:spacing w:line="440" w:lineRule="exact"/>
              <w:ind w:left="72" w:right="72" w:firstLine="0"/>
              <w:jc w:val="center"/>
              <w:rPr>
                <w:rFonts w:ascii="宋体" w:hAnsi="宋体"/>
                <w:color w:val="auto"/>
                <w:highlight w:val="none"/>
              </w:rPr>
            </w:pPr>
          </w:p>
        </w:tc>
        <w:tc>
          <w:tcPr>
            <w:tcW w:w="1134" w:type="dxa"/>
            <w:noWrap w:val="0"/>
            <w:vAlign w:val="center"/>
          </w:tcPr>
          <w:p w14:paraId="3CF07BE1">
            <w:pPr>
              <w:keepNext/>
              <w:spacing w:line="440" w:lineRule="exact"/>
              <w:ind w:left="72" w:right="72" w:firstLine="0"/>
              <w:jc w:val="center"/>
              <w:rPr>
                <w:rFonts w:ascii="宋体" w:hAnsi="宋体"/>
                <w:color w:val="auto"/>
                <w:highlight w:val="none"/>
              </w:rPr>
            </w:pPr>
          </w:p>
        </w:tc>
        <w:tc>
          <w:tcPr>
            <w:tcW w:w="4252" w:type="dxa"/>
            <w:noWrap w:val="0"/>
            <w:vAlign w:val="center"/>
          </w:tcPr>
          <w:p w14:paraId="48F41033">
            <w:pPr>
              <w:keepNext/>
              <w:spacing w:line="440" w:lineRule="exact"/>
              <w:ind w:left="72" w:right="72" w:firstLine="0"/>
              <w:jc w:val="center"/>
              <w:rPr>
                <w:rFonts w:ascii="宋体" w:hAnsi="宋体"/>
                <w:color w:val="auto"/>
                <w:highlight w:val="none"/>
              </w:rPr>
            </w:pPr>
          </w:p>
        </w:tc>
      </w:tr>
    </w:tbl>
    <w:p w14:paraId="59DE307A">
      <w:pPr>
        <w:rPr>
          <w:rFonts w:hint="eastAsia" w:ascii="宋体" w:hAnsi="宋体" w:eastAsia="宋体" w:cs="宋体"/>
          <w:color w:val="000000" w:themeColor="text1"/>
          <w:sz w:val="24"/>
          <w:szCs w:val="24"/>
          <w14:textFill>
            <w14:solidFill>
              <w14:schemeClr w14:val="tx1"/>
            </w14:solidFill>
          </w14:textFill>
        </w:rPr>
        <w:sectPr>
          <w:headerReference r:id="rId18" w:type="first"/>
          <w:footerReference r:id="rId21" w:type="first"/>
          <w:headerReference r:id="rId16" w:type="default"/>
          <w:footerReference r:id="rId19" w:type="default"/>
          <w:headerReference r:id="rId17" w:type="even"/>
          <w:footerReference r:id="rId20" w:type="even"/>
          <w:pgSz w:w="11906" w:h="16838"/>
          <w:pgMar w:top="1134" w:right="1134" w:bottom="1134" w:left="1134" w:header="851" w:footer="907" w:gutter="0"/>
          <w:pgNumType w:fmt="decimal"/>
          <w:cols w:space="0" w:num="1"/>
          <w:titlePg/>
          <w:rtlGutter w:val="0"/>
          <w:docGrid w:linePitch="360" w:charSpace="0"/>
        </w:sectPr>
      </w:pPr>
    </w:p>
    <w:p w14:paraId="4D553A6B">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1"/>
          <w:szCs w:val="24"/>
          <w:highlight w:val="none"/>
          <w:lang w:bidi="ar"/>
        </w:rPr>
        <w:t>附件</w:t>
      </w:r>
      <w:r>
        <w:rPr>
          <w:rFonts w:hint="eastAsia" w:ascii="宋体" w:hAnsi="宋体" w:cs="宋体"/>
          <w:color w:val="000000"/>
          <w:sz w:val="21"/>
          <w:szCs w:val="24"/>
          <w:highlight w:val="none"/>
          <w:lang w:val="en-US" w:eastAsia="zh-CN" w:bidi="ar"/>
        </w:rPr>
        <w:t>2</w:t>
      </w:r>
      <w:r>
        <w:rPr>
          <w:rFonts w:hint="eastAsia" w:ascii="宋体" w:hAnsi="宋体" w:eastAsia="宋体" w:cs="宋体"/>
          <w:color w:val="000000" w:themeColor="text1"/>
          <w:sz w:val="24"/>
          <w:szCs w:val="24"/>
          <w:lang w:bidi="ar"/>
          <w14:textFill>
            <w14:solidFill>
              <w14:schemeClr w14:val="tx1"/>
            </w14:solidFill>
          </w14:textFill>
        </w:rPr>
        <w:t xml:space="preserve">：    </w:t>
      </w:r>
    </w:p>
    <w:p w14:paraId="572FA5AA">
      <w:pPr>
        <w:keepNext w:val="0"/>
        <w:keepLines w:val="0"/>
        <w:pageBreakBefore w:val="0"/>
        <w:widowControl w:val="0"/>
        <w:spacing w:line="480" w:lineRule="auto"/>
        <w:jc w:val="center"/>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工程质量保修书</w:t>
      </w:r>
    </w:p>
    <w:p w14:paraId="7606CD97">
      <w:pPr>
        <w:keepNext w:val="0"/>
        <w:keepLines w:val="0"/>
        <w:pageBreakBefore w:val="0"/>
        <w:widowControl w:val="0"/>
        <w:spacing w:line="360" w:lineRule="auto"/>
        <w:ind w:firstLine="420"/>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发包人（全称）：</w:t>
      </w:r>
      <w:r>
        <w:rPr>
          <w:rFonts w:hint="eastAsia" w:ascii="宋体" w:hAnsi="宋体" w:eastAsia="宋体" w:cs="宋体"/>
          <w:b/>
          <w:color w:val="000000" w:themeColor="text1"/>
          <w:sz w:val="24"/>
          <w:szCs w:val="24"/>
          <w:u w:val="single"/>
          <w:lang w:val="en-US" w:eastAsia="zh-CN" w:bidi="ar"/>
          <w14:textFill>
            <w14:solidFill>
              <w14:schemeClr w14:val="tx1"/>
            </w14:solidFill>
          </w14:textFill>
        </w:rPr>
        <w:t xml:space="preserve">                    </w:t>
      </w:r>
    </w:p>
    <w:p w14:paraId="610A7504">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承包人（全称）：</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p>
    <w:p w14:paraId="44F6BD54">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发包人和承包人根据《中华人民共和国建筑法》和《建设工程质量管理条例》，经协商一致就</w:t>
      </w:r>
      <w:r>
        <w:rPr>
          <w:rFonts w:hint="eastAsia" w:ascii="宋体" w:hAnsi="宋体" w:eastAsia="宋体" w:cs="宋体"/>
          <w:b/>
          <w:bCs/>
          <w:color w:val="000000" w:themeColor="text1"/>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（工程全称）签订工程质量保修书。</w:t>
      </w:r>
    </w:p>
    <w:p w14:paraId="7CF75604">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一、工程质量保修范围和内容</w:t>
      </w:r>
    </w:p>
    <w:p w14:paraId="545653DC">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承包人在质量保修期内，按照有关法律规定和合同约定，承担工程质量保修责任。</w:t>
      </w:r>
    </w:p>
    <w:p w14:paraId="28692337">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themeColor="text1"/>
          <w:sz w:val="24"/>
          <w:szCs w:val="24"/>
          <w:u w:val="single"/>
          <w:lang w:bidi="ar"/>
          <w14:textFill>
            <w14:solidFill>
              <w14:schemeClr w14:val="tx1"/>
            </w14:solidFill>
          </w14:textFill>
        </w:rPr>
        <w:t>根据《建设工程质量管理条例》及有关规定执行</w:t>
      </w:r>
      <w:r>
        <w:rPr>
          <w:rFonts w:hint="eastAsia" w:ascii="宋体" w:hAnsi="宋体" w:eastAsia="宋体" w:cs="宋体"/>
          <w:color w:val="000000" w:themeColor="text1"/>
          <w:sz w:val="24"/>
          <w:szCs w:val="24"/>
          <w:lang w:bidi="ar"/>
          <w14:textFill>
            <w14:solidFill>
              <w14:schemeClr w14:val="tx1"/>
            </w14:solidFill>
          </w14:textFill>
        </w:rPr>
        <w:t>。</w:t>
      </w:r>
    </w:p>
    <w:p w14:paraId="526D41B6">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二、质量保修期</w:t>
      </w:r>
    </w:p>
    <w:p w14:paraId="46294C84">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根据《建设工程质量管理条例》及有关规定，工程的质量保修期如下：</w:t>
      </w:r>
    </w:p>
    <w:p w14:paraId="2A92A8C6">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地基基础工程和主体结构工程为设计文件规定的工程合理使用年限；</w:t>
      </w:r>
    </w:p>
    <w:p w14:paraId="31FFF52A">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屋面防水工程、有防水要求的卫生间、房间和外墙面的防渗为</w:t>
      </w:r>
      <w:r>
        <w:rPr>
          <w:rFonts w:hint="eastAsia" w:ascii="宋体" w:hAnsi="宋体" w:eastAsia="宋体" w:cs="宋体"/>
          <w:color w:val="000000" w:themeColor="text1"/>
          <w:sz w:val="24"/>
          <w:szCs w:val="24"/>
          <w:u w:val="single"/>
          <w:lang w:bidi="ar"/>
          <w14:textFill>
            <w14:solidFill>
              <w14:schemeClr w14:val="tx1"/>
            </w14:solidFill>
          </w14:textFill>
        </w:rPr>
        <w:t xml:space="preserve"> 5 </w:t>
      </w:r>
      <w:r>
        <w:rPr>
          <w:rFonts w:hint="eastAsia" w:ascii="宋体" w:hAnsi="宋体" w:eastAsia="宋体" w:cs="宋体"/>
          <w:color w:val="000000" w:themeColor="text1"/>
          <w:sz w:val="24"/>
          <w:szCs w:val="24"/>
          <w:lang w:bidi="ar"/>
          <w14:textFill>
            <w14:solidFill>
              <w14:schemeClr w14:val="tx1"/>
            </w14:solidFill>
          </w14:textFill>
        </w:rPr>
        <w:t>年；</w:t>
      </w:r>
    </w:p>
    <w:p w14:paraId="2640C17E">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装修工程为</w:t>
      </w:r>
      <w:r>
        <w:rPr>
          <w:rFonts w:hint="eastAsia" w:ascii="宋体" w:hAnsi="宋体" w:eastAsia="宋体" w:cs="宋体"/>
          <w:color w:val="000000" w:themeColor="text1"/>
          <w:sz w:val="24"/>
          <w:szCs w:val="24"/>
          <w:u w:val="single"/>
          <w:lang w:bidi="ar"/>
          <w14:textFill>
            <w14:solidFill>
              <w14:schemeClr w14:val="tx1"/>
            </w14:solidFill>
          </w14:textFill>
        </w:rPr>
        <w:t xml:space="preserve"> 2 </w:t>
      </w:r>
      <w:r>
        <w:rPr>
          <w:rFonts w:hint="eastAsia" w:ascii="宋体" w:hAnsi="宋体" w:eastAsia="宋体" w:cs="宋体"/>
          <w:color w:val="000000" w:themeColor="text1"/>
          <w:sz w:val="24"/>
          <w:szCs w:val="24"/>
          <w:lang w:bidi="ar"/>
          <w14:textFill>
            <w14:solidFill>
              <w14:schemeClr w14:val="tx1"/>
            </w14:solidFill>
          </w14:textFill>
        </w:rPr>
        <w:t>年；</w:t>
      </w:r>
    </w:p>
    <w:p w14:paraId="21CF0DCB">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电气管线、给排水管道、设备安装工程为</w:t>
      </w:r>
      <w:r>
        <w:rPr>
          <w:rFonts w:hint="eastAsia" w:ascii="宋体" w:hAnsi="宋体" w:eastAsia="宋体" w:cs="宋体"/>
          <w:color w:val="000000" w:themeColor="text1"/>
          <w:sz w:val="24"/>
          <w:szCs w:val="24"/>
          <w:u w:val="single"/>
          <w:lang w:bidi="ar"/>
          <w14:textFill>
            <w14:solidFill>
              <w14:schemeClr w14:val="tx1"/>
            </w14:solidFill>
          </w14:textFill>
        </w:rPr>
        <w:t xml:space="preserve"> 2</w:t>
      </w:r>
      <w:r>
        <w:rPr>
          <w:rFonts w:hint="eastAsia" w:ascii="宋体" w:hAnsi="宋体" w:eastAsia="宋体" w:cs="宋体"/>
          <w:color w:val="000000" w:themeColor="text1"/>
          <w:sz w:val="24"/>
          <w:szCs w:val="24"/>
          <w:lang w:bidi="ar"/>
          <w14:textFill>
            <w14:solidFill>
              <w14:schemeClr w14:val="tx1"/>
            </w14:solidFill>
          </w14:textFill>
        </w:rPr>
        <w:t>年；</w:t>
      </w:r>
    </w:p>
    <w:p w14:paraId="443F9D22">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供热与供冷系统为</w:t>
      </w:r>
      <w:r>
        <w:rPr>
          <w:rFonts w:hint="eastAsia" w:ascii="宋体" w:hAnsi="宋体" w:eastAsia="宋体" w:cs="宋体"/>
          <w:color w:val="000000" w:themeColor="text1"/>
          <w:sz w:val="24"/>
          <w:szCs w:val="24"/>
          <w:u w:val="single"/>
          <w:lang w:bidi="ar"/>
          <w14:textFill>
            <w14:solidFill>
              <w14:schemeClr w14:val="tx1"/>
            </w14:solidFill>
          </w14:textFill>
        </w:rPr>
        <w:t xml:space="preserve"> 2 </w:t>
      </w:r>
      <w:r>
        <w:rPr>
          <w:rFonts w:hint="eastAsia" w:ascii="宋体" w:hAnsi="宋体" w:eastAsia="宋体" w:cs="宋体"/>
          <w:color w:val="000000" w:themeColor="text1"/>
          <w:sz w:val="24"/>
          <w:szCs w:val="24"/>
          <w:lang w:bidi="ar"/>
          <w14:textFill>
            <w14:solidFill>
              <w14:schemeClr w14:val="tx1"/>
            </w14:solidFill>
          </w14:textFill>
        </w:rPr>
        <w:t>个采暖期、供冷期；</w:t>
      </w:r>
    </w:p>
    <w:p w14:paraId="4DBCA721">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住宅小区内的给排水设施、道路等配套工程为</w:t>
      </w:r>
      <w:r>
        <w:rPr>
          <w:rFonts w:hint="eastAsia" w:ascii="宋体" w:hAnsi="宋体" w:eastAsia="宋体" w:cs="宋体"/>
          <w:color w:val="000000" w:themeColor="text1"/>
          <w:sz w:val="24"/>
          <w:szCs w:val="24"/>
          <w:u w:val="single"/>
          <w:lang w:bidi="ar"/>
          <w14:textFill>
            <w14:solidFill>
              <w14:schemeClr w14:val="tx1"/>
            </w14:solidFill>
          </w14:textFill>
        </w:rPr>
        <w:t xml:space="preserve"> 2 </w:t>
      </w:r>
      <w:r>
        <w:rPr>
          <w:rFonts w:hint="eastAsia" w:ascii="宋体" w:hAnsi="宋体" w:eastAsia="宋体" w:cs="宋体"/>
          <w:color w:val="000000" w:themeColor="text1"/>
          <w:sz w:val="24"/>
          <w:szCs w:val="24"/>
          <w:lang w:bidi="ar"/>
          <w14:textFill>
            <w14:solidFill>
              <w14:schemeClr w14:val="tx1"/>
            </w14:solidFill>
          </w14:textFill>
        </w:rPr>
        <w:t>年；</w:t>
      </w:r>
    </w:p>
    <w:p w14:paraId="195244E6">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其他项目保修期限约定如下：</w:t>
      </w:r>
      <w:r>
        <w:rPr>
          <w:rFonts w:hint="eastAsia" w:ascii="宋体" w:hAnsi="宋体" w:eastAsia="宋体" w:cs="宋体"/>
          <w:color w:val="000000" w:themeColor="text1"/>
          <w:sz w:val="24"/>
          <w:szCs w:val="24"/>
          <w:u w:val="single"/>
          <w:lang w:val="en-US" w:eastAsia="zh-CN" w:bidi="ar"/>
          <w14:textFill>
            <w14:solidFill>
              <w14:schemeClr w14:val="tx1"/>
            </w14:solidFill>
          </w14:textFill>
        </w:rPr>
        <w:t>不少于2年</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w:t>
      </w:r>
    </w:p>
    <w:p w14:paraId="1480AF11">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质量保修期自工程竣工验收合格之日起计算。</w:t>
      </w:r>
    </w:p>
    <w:p w14:paraId="225360E5">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三、缺陷责任期</w:t>
      </w:r>
    </w:p>
    <w:p w14:paraId="60A2808A">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工程缺陷责任期为</w:t>
      </w:r>
      <w:r>
        <w:rPr>
          <w:rFonts w:hint="eastAsia" w:ascii="宋体" w:hAnsi="宋体" w:eastAsia="宋体" w:cs="宋体"/>
          <w:color w:val="000000" w:themeColor="text1"/>
          <w:sz w:val="24"/>
          <w:szCs w:val="24"/>
          <w:u w:val="single"/>
          <w:lang w:bidi="ar"/>
          <w14:textFill>
            <w14:solidFill>
              <w14:schemeClr w14:val="tx1"/>
            </w14:solidFill>
          </w14:textFill>
        </w:rPr>
        <w:t xml:space="preserve"> 24 </w:t>
      </w:r>
      <w:r>
        <w:rPr>
          <w:rFonts w:hint="eastAsia" w:ascii="宋体" w:hAnsi="宋体" w:eastAsia="宋体" w:cs="宋体"/>
          <w:color w:val="000000" w:themeColor="text1"/>
          <w:sz w:val="24"/>
          <w:szCs w:val="24"/>
          <w:lang w:bidi="ar"/>
          <w14:textFill>
            <w14:solidFill>
              <w14:schemeClr w14:val="tx1"/>
            </w14:solidFill>
          </w14:textFill>
        </w:rPr>
        <w:t>个月，缺陷责任期自工程通过竣工验收之日起计算。单位工程先于全部工程进行验收，单位工程缺陷责任期自单位工程验收合格之日起算。</w:t>
      </w:r>
    </w:p>
    <w:p w14:paraId="3BD69333">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缺陷责任期终止后，发包人应退还剩余的质量保证金。</w:t>
      </w:r>
    </w:p>
    <w:p w14:paraId="1F3EB5C9">
      <w:pPr>
        <w:keepNext w:val="0"/>
        <w:keepLines w:val="0"/>
        <w:pageBreakBefore w:val="0"/>
        <w:widowControl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四、质量保修责任</w:t>
      </w:r>
    </w:p>
    <w:p w14:paraId="073C469C">
      <w:pPr>
        <w:keepNext w:val="0"/>
        <w:keepLines w:val="0"/>
        <w:pageBreakBefore w:val="0"/>
        <w:widowControl w:val="0"/>
        <w:spacing w:line="360" w:lineRule="auto"/>
        <w:ind w:firstLine="42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属于保修范围、内容的项目，承包人应当在接到保修通知之日起7天内派人保修。承包人不在约定期限内派人保修的，发包人可以委托他人修理。</w:t>
      </w:r>
    </w:p>
    <w:p w14:paraId="43912D02">
      <w:pPr>
        <w:keepNext w:val="0"/>
        <w:keepLines w:val="0"/>
        <w:pageBreakBefore w:val="0"/>
        <w:widowControl w:val="0"/>
        <w:spacing w:line="360" w:lineRule="auto"/>
        <w:ind w:firstLine="42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发生紧急事故需抢修的，承包人在接到事故通知后，应当立即到达事故现场抢修。</w:t>
      </w:r>
    </w:p>
    <w:p w14:paraId="5C02E1A0">
      <w:pPr>
        <w:keepNext w:val="0"/>
        <w:keepLines w:val="0"/>
        <w:pageBreakBefore w:val="0"/>
        <w:widowControl w:val="0"/>
        <w:spacing w:line="360" w:lineRule="auto"/>
        <w:ind w:firstLine="42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0E6F5E8">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质量保修完成后，由发包人组织验收。</w:t>
      </w:r>
    </w:p>
    <w:p w14:paraId="727B564C">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五、保修费用</w:t>
      </w:r>
    </w:p>
    <w:p w14:paraId="64B4FE85">
      <w:pPr>
        <w:keepNext w:val="0"/>
        <w:keepLines w:val="0"/>
        <w:pageBreakBefore w:val="0"/>
        <w:widowControl w:val="0"/>
        <w:spacing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保修费用由造成质量缺陷的责任方承担。</w:t>
      </w:r>
    </w:p>
    <w:p w14:paraId="5BAA63A5">
      <w:pPr>
        <w:keepNext w:val="0"/>
        <w:keepLines w:val="0"/>
        <w:pageBreakBefore w:val="0"/>
        <w:widowControl w:val="0"/>
        <w:spacing w:line="360" w:lineRule="auto"/>
        <w:ind w:firstLine="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六</w:t>
      </w:r>
      <w:r>
        <w:rPr>
          <w:rFonts w:hint="eastAsia" w:ascii="宋体" w:hAnsi="宋体" w:eastAsia="宋体" w:cs="宋体"/>
          <w:color w:val="000000" w:themeColor="text1"/>
          <w:sz w:val="24"/>
          <w:szCs w:val="24"/>
          <w:lang w:bidi="ar"/>
          <w14:textFill>
            <w14:solidFill>
              <w14:schemeClr w14:val="tx1"/>
            </w14:solidFill>
          </w14:textFill>
        </w:rPr>
        <w:t>、双方约定的其他工程质量保修事项：</w:t>
      </w:r>
      <w:r>
        <w:rPr>
          <w:rFonts w:hint="eastAsia" w:ascii="宋体" w:hAnsi="宋体" w:eastAsia="宋体" w:cs="宋体"/>
          <w:color w:val="000000" w:themeColor="text1"/>
          <w:sz w:val="24"/>
          <w:szCs w:val="24"/>
          <w:u w:val="single"/>
          <w:lang w:bidi="ar"/>
          <w14:textFill>
            <w14:solidFill>
              <w14:schemeClr w14:val="tx1"/>
            </w14:solidFill>
          </w14:textFill>
        </w:rPr>
        <w:t xml:space="preserve"> 根据《建设工程质量管理条例》及有关规定执行 </w:t>
      </w:r>
      <w:r>
        <w:rPr>
          <w:rFonts w:hint="eastAsia" w:ascii="宋体" w:hAnsi="宋体" w:eastAsia="宋体" w:cs="宋体"/>
          <w:color w:val="000000" w:themeColor="text1"/>
          <w:sz w:val="24"/>
          <w:szCs w:val="24"/>
          <w:lang w:bidi="ar"/>
          <w14:textFill>
            <w14:solidFill>
              <w14:schemeClr w14:val="tx1"/>
            </w14:solidFill>
          </w14:textFill>
        </w:rPr>
        <w:t>。</w:t>
      </w:r>
    </w:p>
    <w:p w14:paraId="646A1DC9">
      <w:pPr>
        <w:keepNext w:val="0"/>
        <w:keepLines w:val="0"/>
        <w:pageBreakBefore w:val="0"/>
        <w:widowControl w:val="0"/>
        <w:spacing w:line="360" w:lineRule="auto"/>
        <w:ind w:firstLine="39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工程质量保修书由发包人、承包人在工程竣工验收前共同签署，作为施工合同附件，其有效期限至保修期满。</w:t>
      </w:r>
    </w:p>
    <w:p w14:paraId="0914C6DD">
      <w:pPr>
        <w:spacing w:line="360" w:lineRule="auto"/>
        <w:ind w:firstLine="420"/>
        <w:rPr>
          <w:rFonts w:hint="eastAsia" w:ascii="宋体" w:hAnsi="宋体" w:eastAsia="宋体" w:cs="宋体"/>
          <w:color w:val="000000" w:themeColor="text1"/>
          <w:sz w:val="24"/>
          <w:szCs w:val="24"/>
          <w14:textFill>
            <w14:solidFill>
              <w14:schemeClr w14:val="tx1"/>
            </w14:solidFill>
          </w14:textFill>
        </w:rPr>
      </w:pPr>
    </w:p>
    <w:p w14:paraId="10160C4F">
      <w:pPr>
        <w:spacing w:line="360" w:lineRule="auto"/>
        <w:jc w:val="left"/>
        <w:rPr>
          <w:rFonts w:hint="eastAsia" w:ascii="宋体" w:hAnsi="宋体" w:eastAsia="宋体" w:cs="宋体"/>
          <w:color w:val="000000" w:themeColor="text1"/>
          <w:sz w:val="24"/>
          <w:szCs w:val="24"/>
          <w:lang w:bidi="ar"/>
          <w14:textFill>
            <w14:solidFill>
              <w14:schemeClr w14:val="tx1"/>
            </w14:solidFill>
          </w14:textFill>
        </w:rPr>
      </w:pPr>
    </w:p>
    <w:p w14:paraId="68C062CD">
      <w:pPr>
        <w:spacing w:line="360" w:lineRule="auto"/>
        <w:jc w:val="left"/>
        <w:rPr>
          <w:rFonts w:hint="eastAsia" w:ascii="宋体" w:hAnsi="宋体" w:eastAsia="宋体" w:cs="宋体"/>
          <w:color w:val="000000" w:themeColor="text1"/>
          <w:sz w:val="24"/>
          <w:szCs w:val="24"/>
          <w:lang w:bidi="ar"/>
          <w14:textFill>
            <w14:solidFill>
              <w14:schemeClr w14:val="tx1"/>
            </w14:solidFill>
          </w14:textFill>
        </w:rPr>
      </w:pPr>
    </w:p>
    <w:p w14:paraId="5B086BA4">
      <w:pPr>
        <w:keepNext w:val="0"/>
        <w:keepLines w:val="0"/>
        <w:pageBreakBefore w:val="0"/>
        <w:widowControl w:val="0"/>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发包人</w:t>
      </w:r>
      <w:r>
        <w:rPr>
          <w:rFonts w:hint="eastAsia" w:ascii="宋体" w:hAnsi="宋体" w:eastAsia="宋体" w:cs="宋体"/>
          <w:color w:val="000000" w:themeColor="text1"/>
          <w:sz w:val="24"/>
          <w:szCs w:val="24"/>
          <w:lang w:eastAsia="zh-CN" w:bidi="ar"/>
          <w14:textFill>
            <w14:solidFill>
              <w14:schemeClr w14:val="tx1"/>
            </w14:solidFill>
          </w14:textFill>
        </w:rPr>
        <w:t>（项目单位）</w:t>
      </w:r>
      <w:r>
        <w:rPr>
          <w:rFonts w:hint="eastAsia" w:ascii="宋体" w:hAnsi="宋体" w:eastAsia="宋体" w:cs="宋体"/>
          <w:color w:val="000000" w:themeColor="text1"/>
          <w:sz w:val="24"/>
          <w:szCs w:val="24"/>
          <w:lang w:bidi="ar"/>
          <w14:textFill>
            <w14:solidFill>
              <w14:schemeClr w14:val="tx1"/>
            </w14:solidFill>
          </w14:textFill>
        </w:rPr>
        <w:t>(公章)：             承包人(公章)：</w:t>
      </w:r>
    </w:p>
    <w:p w14:paraId="6D0A1A66">
      <w:pPr>
        <w:keepNext w:val="0"/>
        <w:keepLines w:val="0"/>
        <w:pageBreakBefore w:val="0"/>
        <w:widowControl w:val="0"/>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法定代表人</w:t>
      </w:r>
      <w:r>
        <w:rPr>
          <w:rFonts w:hint="eastAsia" w:ascii="宋体" w:hAnsi="宋体" w:eastAsia="宋体" w:cs="宋体"/>
          <w:color w:val="000000" w:themeColor="text1"/>
          <w:sz w:val="24"/>
          <w:szCs w:val="24"/>
          <w:lang w:val="en-US" w:eastAsia="zh-CN" w:bidi="ar"/>
          <w14:textFill>
            <w14:solidFill>
              <w14:schemeClr w14:val="tx1"/>
            </w14:solidFill>
          </w14:textFill>
        </w:rPr>
        <w:t>或其</w:t>
      </w:r>
      <w:r>
        <w:rPr>
          <w:rFonts w:hint="eastAsia" w:ascii="宋体" w:hAnsi="宋体" w:eastAsia="宋体" w:cs="宋体"/>
          <w:color w:val="000000" w:themeColor="text1"/>
          <w:sz w:val="24"/>
          <w:szCs w:val="24"/>
          <w:lang w:bidi="ar"/>
          <w14:textFill>
            <w14:solidFill>
              <w14:schemeClr w14:val="tx1"/>
            </w14:solidFill>
          </w14:textFill>
        </w:rPr>
        <w:t>委托代理人(签字)：       法定代表人</w:t>
      </w:r>
      <w:r>
        <w:rPr>
          <w:rFonts w:hint="eastAsia" w:ascii="宋体" w:hAnsi="宋体" w:eastAsia="宋体" w:cs="宋体"/>
          <w:color w:val="000000" w:themeColor="text1"/>
          <w:sz w:val="24"/>
          <w:szCs w:val="24"/>
          <w:lang w:val="en-US" w:eastAsia="zh-CN" w:bidi="ar"/>
          <w14:textFill>
            <w14:solidFill>
              <w14:schemeClr w14:val="tx1"/>
            </w14:solidFill>
          </w14:textFill>
        </w:rPr>
        <w:t>或其</w:t>
      </w:r>
      <w:r>
        <w:rPr>
          <w:rFonts w:hint="eastAsia" w:ascii="宋体" w:hAnsi="宋体" w:eastAsia="宋体" w:cs="宋体"/>
          <w:color w:val="000000" w:themeColor="text1"/>
          <w:sz w:val="24"/>
          <w:szCs w:val="24"/>
          <w:lang w:bidi="ar"/>
          <w14:textFill>
            <w14:solidFill>
              <w14:schemeClr w14:val="tx1"/>
            </w14:solidFill>
          </w14:textFill>
        </w:rPr>
        <w:t>委托代理人(签字)：</w:t>
      </w:r>
    </w:p>
    <w:p w14:paraId="64F2F8BE">
      <w:pPr>
        <w:keepNext w:val="0"/>
        <w:keepLines w:val="0"/>
        <w:pageBreakBefore w:val="0"/>
        <w:widowControl w:val="0"/>
        <w:spacing w:line="360" w:lineRule="auto"/>
        <w:ind w:firstLine="480"/>
        <w:jc w:val="left"/>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签订日期：</w:t>
      </w:r>
    </w:p>
    <w:p w14:paraId="4E738524">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w:t>
      </w:r>
    </w:p>
    <w:p w14:paraId="24BA5092">
      <w:pPr>
        <w:spacing w:line="360" w:lineRule="auto"/>
        <w:jc w:val="left"/>
        <w:rPr>
          <w:rFonts w:hint="eastAsia" w:ascii="宋体" w:hAnsi="宋体" w:eastAsia="宋体" w:cs="宋体"/>
          <w:color w:val="000000" w:themeColor="text1"/>
          <w:sz w:val="24"/>
          <w:szCs w:val="24"/>
          <w:lang w:bidi="ar"/>
          <w14:textFill>
            <w14:solidFill>
              <w14:schemeClr w14:val="tx1"/>
            </w14:solidFill>
          </w14:textFill>
        </w:rPr>
      </w:pPr>
    </w:p>
    <w:p w14:paraId="01CDF05D">
      <w:pPr>
        <w:pageBreakBefore w:val="0"/>
        <w:spacing w:line="240" w:lineRule="auto"/>
        <w:ind w:left="0"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br w:type="page" w:clear="all"/>
      </w:r>
      <w:r>
        <w:rPr>
          <w:rFonts w:hint="eastAsia" w:ascii="宋体" w:hAnsi="宋体" w:eastAsia="宋体" w:cs="宋体"/>
          <w:color w:val="000000"/>
          <w:sz w:val="21"/>
          <w:szCs w:val="24"/>
          <w:highlight w:val="none"/>
          <w:lang w:bidi="ar"/>
        </w:rPr>
        <w:t>附件</w:t>
      </w:r>
      <w:r>
        <w:rPr>
          <w:rFonts w:hint="eastAsia" w:ascii="宋体" w:hAnsi="宋体" w:cs="宋体"/>
          <w:color w:val="000000"/>
          <w:sz w:val="21"/>
          <w:szCs w:val="24"/>
          <w:highlight w:val="none"/>
          <w:lang w:val="en-US" w:eastAsia="zh-CN" w:bidi="ar"/>
        </w:rPr>
        <w:t>3</w:t>
      </w:r>
      <w:r>
        <w:rPr>
          <w:rFonts w:hint="eastAsia" w:ascii="宋体" w:hAnsi="宋体" w:eastAsia="宋体" w:cs="宋体"/>
          <w:color w:val="000000" w:themeColor="text1"/>
          <w:sz w:val="24"/>
          <w:szCs w:val="24"/>
          <w:lang w:bidi="ar"/>
          <w14:textFill>
            <w14:solidFill>
              <w14:schemeClr w14:val="tx1"/>
            </w14:solidFill>
          </w14:textFill>
        </w:rPr>
        <w:t xml:space="preserve">：                       </w:t>
      </w:r>
    </w:p>
    <w:p w14:paraId="3729224D">
      <w:pPr>
        <w:spacing w:line="360" w:lineRule="auto"/>
        <w:ind w:left="0" w:firstLine="422"/>
        <w:jc w:val="center"/>
        <w:rPr>
          <w:rFonts w:hint="eastAsia" w:ascii="宋体" w:hAnsi="宋体" w:eastAsia="宋体" w:cs="宋体"/>
          <w:b/>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工程安全环境管理协议</w:t>
      </w:r>
    </w:p>
    <w:p w14:paraId="7B059EDF">
      <w:pPr>
        <w:keepNext w:val="0"/>
        <w:keepLines w:val="0"/>
        <w:pageBreakBefore w:val="0"/>
        <w:widowControl w:val="0"/>
        <w:spacing w:line="360" w:lineRule="auto"/>
        <w:ind w:left="0" w:firstLine="420"/>
        <w:rPr>
          <w:rFonts w:hint="eastAsia" w:ascii="宋体" w:hAnsi="宋体" w:eastAsia="宋体" w:cs="宋体"/>
          <w:b w:val="0"/>
          <w:bCs w:val="0"/>
          <w:color w:val="000000" w:themeColor="text1"/>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lang w:bidi="ar"/>
          <w14:textFill>
            <w14:solidFill>
              <w14:schemeClr w14:val="tx1"/>
            </w14:solidFill>
          </w14:textFill>
        </w:rPr>
        <w:t>发包人（全称）：</w:t>
      </w:r>
      <w:r>
        <w:rPr>
          <w:rFonts w:hint="eastAsia" w:ascii="宋体" w:hAnsi="宋体" w:eastAsia="宋体" w:cs="宋体"/>
          <w:b w:val="0"/>
          <w:bCs w:val="0"/>
          <w:color w:val="000000" w:themeColor="text1"/>
          <w:sz w:val="24"/>
          <w:szCs w:val="24"/>
          <w:u w:val="single"/>
          <w:lang w:val="en-US" w:eastAsia="zh-CN" w:bidi="ar"/>
          <w14:textFill>
            <w14:solidFill>
              <w14:schemeClr w14:val="tx1"/>
            </w14:solidFill>
          </w14:textFill>
        </w:rPr>
        <w:t xml:space="preserve">                    </w:t>
      </w:r>
    </w:p>
    <w:p w14:paraId="794E3A51">
      <w:pPr>
        <w:keepNext w:val="0"/>
        <w:keepLines w:val="0"/>
        <w:pageBreakBefore w:val="0"/>
        <w:widowControl w:val="0"/>
        <w:spacing w:line="360" w:lineRule="auto"/>
        <w:ind w:left="0" w:firstLine="420"/>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bidi="ar"/>
          <w14:textFill>
            <w14:solidFill>
              <w14:schemeClr w14:val="tx1"/>
            </w14:solidFill>
          </w14:textFill>
        </w:rPr>
        <w:t>承包人：</w:t>
      </w:r>
      <w:r>
        <w:rPr>
          <w:rFonts w:hint="eastAsia" w:ascii="宋体" w:hAnsi="宋体" w:eastAsia="宋体" w:cs="宋体"/>
          <w:b w:val="0"/>
          <w:bCs w:val="0"/>
          <w:color w:val="000000" w:themeColor="text1"/>
          <w:sz w:val="24"/>
          <w:szCs w:val="24"/>
          <w:u w:val="single"/>
          <w:lang w:val="en-US" w:eastAsia="zh-CN" w:bidi="ar"/>
          <w14:textFill>
            <w14:solidFill>
              <w14:schemeClr w14:val="tx1"/>
            </w14:solidFill>
          </w14:textFill>
        </w:rPr>
        <w:t xml:space="preserve">                            </w:t>
      </w:r>
    </w:p>
    <w:p w14:paraId="32C1635A">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工程项目名称：</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   </w:t>
      </w:r>
    </w:p>
    <w:p w14:paraId="53DC6107">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4E72550C">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 安全文明施工管理目标</w:t>
      </w:r>
    </w:p>
    <w:p w14:paraId="32170FD9">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r>
        <w:rPr>
          <w:rFonts w:hint="eastAsia" w:ascii="宋体" w:hAnsi="宋体" w:eastAsia="宋体" w:cs="宋体"/>
          <w:color w:val="000000" w:themeColor="text1"/>
          <w:sz w:val="24"/>
          <w:szCs w:val="24"/>
          <w:lang w:val="en-US"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1 杜绝重伤及以上事故；</w:t>
      </w:r>
    </w:p>
    <w:p w14:paraId="02C92B03">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2 杜绝重大机械设备事故；</w:t>
      </w:r>
    </w:p>
    <w:p w14:paraId="75E3FA54">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3 杜绝重大火灾事故；</w:t>
      </w:r>
    </w:p>
    <w:p w14:paraId="1D77B16B">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4 杜绝负主要责任的重大交通事故；</w:t>
      </w:r>
    </w:p>
    <w:p w14:paraId="6FC1B2A9">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5 杜绝重复发生相同性质的事故；</w:t>
      </w:r>
    </w:p>
    <w:p w14:paraId="1307E5D4">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6 创建安全文明施工样板工程；</w:t>
      </w:r>
    </w:p>
    <w:p w14:paraId="6FC1662C">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7 杜绝重大设备损坏事故。</w:t>
      </w:r>
    </w:p>
    <w:p w14:paraId="47A1747D">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 安全文明施工和环境管理执行标准：</w:t>
      </w:r>
    </w:p>
    <w:p w14:paraId="27F5ADC0">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以下标准双方均应认真执行：</w:t>
      </w:r>
    </w:p>
    <w:p w14:paraId="0922C8F6">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1 《建设工程安全管理条例》；</w:t>
      </w:r>
    </w:p>
    <w:p w14:paraId="48B758AD">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 xml:space="preserve">2 国家有关部、委、各级政府部门和上级主管部门颁发的有关安全生产和环境保护工作的法令、法规、规定、制度；  </w:t>
      </w:r>
    </w:p>
    <w:p w14:paraId="76251D51">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3 发包人有关安全文明施工及环境保护的规定、制度。</w:t>
      </w:r>
    </w:p>
    <w:p w14:paraId="11F7442F">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 发包人的权利和义务：</w:t>
      </w:r>
    </w:p>
    <w:p w14:paraId="1B5F6F57">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1 发包人按有关规定对承包人的资质进行审查，确认承包人承包的工程与其资质相符合；</w:t>
      </w:r>
    </w:p>
    <w:p w14:paraId="2369597A">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2 发包人在施工前负责审核承包人的施工组织设计；</w:t>
      </w:r>
    </w:p>
    <w:p w14:paraId="38F6B049">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56731240">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4 对承包人在施工中新增的施工人员，发包人有权按以上要求进行检查；</w:t>
      </w:r>
    </w:p>
    <w:p w14:paraId="6FBAE090">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5 施工前发包人有权对承包人的电动工器具、仪表等进行抽样检查；</w:t>
      </w:r>
    </w:p>
    <w:p w14:paraId="0B936064">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6 施工期间，发包人设专职安监人员负责联系、检查、督促承包人执行有关安全、防火规定，并协助检查和处理工程施工中有关的安全、防火工作、预防事故发生；</w:t>
      </w:r>
    </w:p>
    <w:p w14:paraId="2686EF17">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7 发包人有协助承包人搞好安全生产、防火管理的义务。当承包人出现安全、文明施工严重失控情况下，发包人有权按《建设工程安全管理条例》的要求做出停工整顿，限期整改、直到清退出场的决定；</w:t>
      </w:r>
    </w:p>
    <w:p w14:paraId="09D91474">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8 发包人不得要求承包人违反安全管理规定进行施工。因发包人原因导致事故由发包人承担责任；</w:t>
      </w:r>
    </w:p>
    <w:p w14:paraId="3FBB51F5">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9 由发包人提供的机械设备、安全设施，在安装完毕提交使用前，发包人应配合承包人共同按规定验收，并做好验收及交付使用的书面手续。</w:t>
      </w:r>
    </w:p>
    <w:p w14:paraId="562801CC">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 承包人的权利和义务：</w:t>
      </w:r>
    </w:p>
    <w:p w14:paraId="54837134">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1 承包人需根据现场的实际开工情况，找出危险源，列出《风险源清单》，根据风险的大小，编制《施工现场工作风险评估》；</w:t>
      </w:r>
    </w:p>
    <w:p w14:paraId="1DF1394D">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63FE3186">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3 承包人必须建立安全管理制度，各级安全生产岗位责任制和定期安全检查、安全教育制度，包括各工种的安全操作规程、特种作业人员的考核制度等；</w:t>
      </w:r>
    </w:p>
    <w:p w14:paraId="1234B82F">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4 承包人在项目施工开始前要根据《施工组织设计》或《安全施工方案（措施）》向施工人员进行安全技术交底；</w:t>
      </w:r>
    </w:p>
    <w:p w14:paraId="7C8DB4AC">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5 承包人必须严格按施工组织设计和有关安全要求规定组织施工。对有可能发生火灾、爆炸、触电、中毒、窒息、机械伤害、烧烫伤等危险或会引起严重设备事故的作业，承包人应制定专项施工安全技术措施；</w:t>
      </w:r>
    </w:p>
    <w:p w14:paraId="11058F68">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39AAADC4">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7 承包人施工人员应经安规考试合格后上岗；</w:t>
      </w:r>
    </w:p>
    <w:p w14:paraId="76A55FB0">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8 承包人施工人员应对所在的施工区域、作业环境、操作设施设备、工器具等进行认真检查，发现隐患立即处理，落实整改措施；</w:t>
      </w:r>
    </w:p>
    <w:p w14:paraId="74DD5726">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9承包人在施工期间由于施工机械、工器具原因或使用操作不当而造成伤亡事故，由承包人负责；</w:t>
      </w:r>
    </w:p>
    <w:p w14:paraId="3364CC8C">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10承包人对施工现场安全设施（如脚手架等）每天开工前必须检查，发现隐患及时整改；</w:t>
      </w:r>
    </w:p>
    <w:p w14:paraId="5DF1DF41">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123564BE">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12承包人必须按规定为作业人员配备应有的劳动保护用品、用具。承包人所属人员的身体健康状况必须能满足所从事工作的要求；</w:t>
      </w:r>
    </w:p>
    <w:p w14:paraId="17F56F0E">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0E174B5B">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1A85219F">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 其他</w:t>
      </w:r>
    </w:p>
    <w:p w14:paraId="01CD42C1">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1承包人工程施工方案中必须包括安全、健康、环保等措施，并贯彻落实到具体工作中区，确保施工安全及当地环境不受工程施工破坏；</w:t>
      </w:r>
    </w:p>
    <w:p w14:paraId="01FA5F58">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2施工过程中产生的废弃物、噪音等排放必须符合相关规定标准；</w:t>
      </w:r>
    </w:p>
    <w:p w14:paraId="109A0255">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3由于承包人施工破坏周围环境，造成恶劣影响印发纠纷和社会矛盾等由承包人承担全部责任；</w:t>
      </w:r>
    </w:p>
    <w:p w14:paraId="1DD1DEF3">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4承包人按月（年）向发包人报送企业职工伤亡事故月（年）报告；</w:t>
      </w:r>
    </w:p>
    <w:p w14:paraId="439BAAB7">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5对发包人组织的安全环境大检查、安全工作会议，承包人应及时派员参加，认真贯彻落实；</w:t>
      </w:r>
    </w:p>
    <w:p w14:paraId="6AD213D4">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 本协议执行过程中如遇有与国家、交通部和地方政府的有关规定不一致时，按国家、交通部和地方政府的有关规定执行；</w:t>
      </w:r>
    </w:p>
    <w:p w14:paraId="38B58287">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9 本协议经甲乙双方签字、盖章后生效，作为工程合同的附件与合同具有同等的法律效力；</w:t>
      </w:r>
    </w:p>
    <w:p w14:paraId="68589A3D">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 甲乙双方必须严格执行本协议，因违反本协议而造成设备、伤亡事故，由违约方承担一切经济损失。</w:t>
      </w:r>
    </w:p>
    <w:p w14:paraId="75B9253B">
      <w:pPr>
        <w:keepNext w:val="0"/>
        <w:keepLines w:val="0"/>
        <w:pageBreakBefore w:val="0"/>
        <w:widowControl w:val="0"/>
        <w:spacing w:line="360" w:lineRule="auto"/>
        <w:ind w:left="0" w:firstLine="420"/>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w:t>
      </w:r>
    </w:p>
    <w:p w14:paraId="3EF31E4C">
      <w:pPr>
        <w:keepNext w:val="0"/>
        <w:keepLines w:val="0"/>
        <w:pageBreakBefore w:val="0"/>
        <w:widowControl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发包人（项目单位）</w:t>
      </w:r>
      <w:r>
        <w:rPr>
          <w:rFonts w:hint="eastAsia" w:ascii="宋体" w:hAnsi="宋体" w:eastAsia="宋体" w:cs="宋体"/>
          <w:color w:val="000000" w:themeColor="text1"/>
          <w:sz w:val="24"/>
          <w:szCs w:val="24"/>
          <w:lang w:bidi="ar"/>
          <w14:textFill>
            <w14:solidFill>
              <w14:schemeClr w14:val="tx1"/>
            </w14:solidFill>
          </w14:textFill>
        </w:rPr>
        <w:t xml:space="preserve">：  (盖章)             </w:t>
      </w:r>
      <w:r>
        <w:rPr>
          <w:rFonts w:hint="eastAsia" w:ascii="宋体" w:hAnsi="宋体" w:eastAsia="宋体" w:cs="宋体"/>
          <w:color w:val="000000" w:themeColor="text1"/>
          <w:sz w:val="24"/>
          <w:szCs w:val="24"/>
          <w:lang w:eastAsia="zh-CN" w:bidi="ar"/>
          <w14:textFill>
            <w14:solidFill>
              <w14:schemeClr w14:val="tx1"/>
            </w14:solidFill>
          </w14:textFill>
        </w:rPr>
        <w:t>承包人</w:t>
      </w:r>
      <w:r>
        <w:rPr>
          <w:rFonts w:hint="eastAsia" w:ascii="宋体" w:hAnsi="宋体" w:eastAsia="宋体" w:cs="宋体"/>
          <w:color w:val="000000" w:themeColor="text1"/>
          <w:sz w:val="24"/>
          <w:szCs w:val="24"/>
          <w:lang w:bidi="ar"/>
          <w14:textFill>
            <w14:solidFill>
              <w14:schemeClr w14:val="tx1"/>
            </w14:solidFill>
          </w14:textFill>
        </w:rPr>
        <w:t>：（单位全称）（盖章）</w:t>
      </w:r>
    </w:p>
    <w:p w14:paraId="2CD2B384">
      <w:pPr>
        <w:keepNext w:val="0"/>
        <w:keepLines w:val="0"/>
        <w:pageBreakBefore w:val="0"/>
        <w:widowControl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法定代表人：                             法定代表人：</w:t>
      </w:r>
    </w:p>
    <w:p w14:paraId="4A393564">
      <w:pPr>
        <w:keepNext w:val="0"/>
        <w:keepLines w:val="0"/>
        <w:pageBreakBefore w:val="0"/>
        <w:widowControl w:val="0"/>
        <w:spacing w:line="360" w:lineRule="auto"/>
        <w:ind w:left="0" w:right="0" w:firstLine="420"/>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或其授权的代理人：（签字）               或其授权的代理人：（签字）  </w:t>
      </w:r>
    </w:p>
    <w:p w14:paraId="03905939">
      <w:pPr>
        <w:keepNext/>
        <w:keepLines/>
        <w:pageBreakBefore w:val="0"/>
        <w:widowControl w:val="0"/>
        <w:spacing w:before="0" w:after="0" w:line="360" w:lineRule="auto"/>
        <w:ind w:left="0" w:firstLine="420"/>
        <w:jc w:val="both"/>
        <w:outlineLvl w:val="9"/>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 xml:space="preserve">日期：                                   日期：    </w:t>
      </w:r>
      <w:r>
        <w:rPr>
          <w:rFonts w:hint="eastAsia" w:ascii="宋体" w:hAnsi="宋体" w:eastAsia="宋体" w:cs="宋体"/>
          <w:color w:val="000000" w:themeColor="text1"/>
          <w:sz w:val="24"/>
          <w:szCs w:val="24"/>
          <w:lang w:val="en-US" w:eastAsia="zh-CN" w:bidi="ar"/>
          <w14:textFill>
            <w14:solidFill>
              <w14:schemeClr w14:val="tx1"/>
            </w14:solidFill>
          </w14:textFill>
        </w:rPr>
        <w:br w:type="page" w:clear="all"/>
      </w:r>
    </w:p>
    <w:p w14:paraId="0E6487DE">
      <w:pPr>
        <w:keepNext w:val="0"/>
        <w:keepLines w:val="0"/>
        <w:pageBreakBefore w:val="0"/>
        <w:spacing w:line="360" w:lineRule="auto"/>
        <w:ind w:left="0" w:right="0" w:firstLine="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1"/>
          <w:szCs w:val="24"/>
          <w:highlight w:val="none"/>
          <w:lang w:bidi="ar"/>
        </w:rPr>
        <w:t>附件</w:t>
      </w:r>
      <w:r>
        <w:rPr>
          <w:rFonts w:hint="eastAsia" w:ascii="宋体" w:hAnsi="宋体" w:cs="宋体"/>
          <w:color w:val="000000"/>
          <w:sz w:val="21"/>
          <w:szCs w:val="24"/>
          <w:highlight w:val="none"/>
          <w:lang w:val="en-US" w:eastAsia="zh-CN" w:bidi="ar"/>
        </w:rPr>
        <w:t>4</w:t>
      </w:r>
      <w:r>
        <w:rPr>
          <w:rFonts w:hint="eastAsia" w:ascii="宋体" w:hAnsi="宋体" w:eastAsia="宋体" w:cs="宋体"/>
          <w:color w:val="000000"/>
          <w:sz w:val="21"/>
          <w:szCs w:val="24"/>
          <w:highlight w:val="none"/>
          <w:lang w:bidi="ar"/>
        </w:rPr>
        <w:t>：</w:t>
      </w:r>
      <w:r>
        <w:rPr>
          <w:rFonts w:hint="eastAsia" w:ascii="宋体" w:hAnsi="宋体" w:eastAsia="宋体" w:cs="宋体"/>
          <w:color w:val="000000" w:themeColor="text1"/>
          <w:sz w:val="24"/>
          <w:szCs w:val="24"/>
          <w:lang w:bidi="ar"/>
          <w14:textFill>
            <w14:solidFill>
              <w14:schemeClr w14:val="tx1"/>
            </w14:solidFill>
          </w14:textFill>
        </w:rPr>
        <w:t xml:space="preserve">                            </w:t>
      </w:r>
    </w:p>
    <w:p w14:paraId="63F36738">
      <w:pPr>
        <w:keepNext w:val="0"/>
        <w:keepLines w:val="0"/>
        <w:spacing w:line="360" w:lineRule="auto"/>
        <w:ind w:left="0" w:right="0" w:firstLine="422"/>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工程廉政合同</w:t>
      </w:r>
    </w:p>
    <w:p w14:paraId="5F5B1994">
      <w:pPr>
        <w:keepNext w:val="0"/>
        <w:keepLines w:val="0"/>
        <w:pageBreakBefore w:val="0"/>
        <w:widowControl w:val="0"/>
        <w:spacing w:line="360" w:lineRule="auto"/>
        <w:ind w:left="0" w:right="0" w:firstLine="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color w:val="000000" w:themeColor="text1"/>
          <w:sz w:val="24"/>
          <w:szCs w:val="24"/>
          <w:lang w:eastAsia="zh-CN" w:bidi="ar"/>
          <w14:textFill>
            <w14:solidFill>
              <w14:schemeClr w14:val="tx1"/>
            </w14:solidFill>
          </w14:textFill>
        </w:rPr>
        <w:t>发包人</w:t>
      </w:r>
      <w:r>
        <w:rPr>
          <w:rFonts w:hint="eastAsia" w:ascii="宋体" w:hAnsi="宋体" w:eastAsia="宋体" w:cs="宋体"/>
          <w:color w:val="000000" w:themeColor="text1"/>
          <w:sz w:val="24"/>
          <w:szCs w:val="24"/>
          <w:lang w:bidi="ar"/>
          <w14:textFill>
            <w14:solidFill>
              <w14:schemeClr w14:val="tx1"/>
            </w14:solidFill>
          </w14:textFill>
        </w:rPr>
        <w:t>（</w:t>
      </w:r>
      <w:r>
        <w:rPr>
          <w:rFonts w:hint="eastAsia" w:ascii="宋体" w:hAnsi="宋体" w:eastAsia="宋体" w:cs="宋体"/>
          <w:color w:val="000000" w:themeColor="text1"/>
          <w:sz w:val="24"/>
          <w:szCs w:val="24"/>
          <w:lang w:eastAsia="zh-CN" w:bidi="ar"/>
          <w14:textFill>
            <w14:solidFill>
              <w14:schemeClr w14:val="tx1"/>
            </w14:solidFill>
          </w14:textFill>
        </w:rPr>
        <w:t>项目单位</w:t>
      </w:r>
      <w:r>
        <w:rPr>
          <w:rFonts w:hint="eastAsia" w:ascii="宋体" w:hAnsi="宋体" w:eastAsia="宋体" w:cs="宋体"/>
          <w:color w:val="000000" w:themeColor="text1"/>
          <w:sz w:val="24"/>
          <w:szCs w:val="24"/>
          <w:lang w:bidi="ar"/>
          <w14:textFill>
            <w14:solidFill>
              <w14:schemeClr w14:val="tx1"/>
            </w14:solidFill>
          </w14:textFill>
        </w:rPr>
        <w:t>全称）</w:t>
      </w:r>
      <w:r>
        <w:rPr>
          <w:rFonts w:hint="eastAsia" w:ascii="宋体" w:hAnsi="宋体" w:cs="宋体"/>
          <w:b/>
          <w:color w:val="000000" w:themeColor="text1"/>
          <w:sz w:val="24"/>
          <w:szCs w:val="24"/>
          <w:u w:val="single"/>
          <w:lang w:val="en-US" w:eastAsia="zh-CN" w:bidi="ar"/>
          <w14:textFill>
            <w14:solidFill>
              <w14:schemeClr w14:val="tx1"/>
            </w14:solidFill>
          </w14:textFill>
        </w:rPr>
        <w:t xml:space="preserve">               </w:t>
      </w:r>
      <w:r>
        <w:rPr>
          <w:rFonts w:hint="eastAsia" w:ascii="宋体" w:hAnsi="宋体" w:eastAsia="宋体" w:cs="宋体"/>
          <w:b w:val="0"/>
          <w:bCs/>
          <w:color w:val="000000" w:themeColor="text1"/>
          <w:sz w:val="24"/>
          <w:szCs w:val="24"/>
          <w:u w:val="none"/>
          <w:lang w:eastAsia="zh-CN" w:bidi="ar"/>
          <w14:textFill>
            <w14:solidFill>
              <w14:schemeClr w14:val="tx1"/>
            </w14:solidFill>
          </w14:textFill>
        </w:rPr>
        <w:t>（全称）</w:t>
      </w:r>
      <w:r>
        <w:rPr>
          <w:rFonts w:hint="eastAsia" w:ascii="宋体" w:hAnsi="宋体" w:eastAsia="宋体" w:cs="宋体"/>
          <w:color w:val="000000" w:themeColor="text1"/>
          <w:sz w:val="24"/>
          <w:szCs w:val="24"/>
          <w:lang w:bidi="ar"/>
          <w14:textFill>
            <w14:solidFill>
              <w14:schemeClr w14:val="tx1"/>
            </w14:solidFill>
          </w14:textFill>
        </w:rPr>
        <w:t>（以下简称“发包人”）与中标单位（全称）</w:t>
      </w:r>
      <w:r>
        <w:rPr>
          <w:rFonts w:hint="eastAsia" w:ascii="宋体" w:hAnsi="宋体" w:eastAsia="宋体" w:cs="宋体"/>
          <w:color w:val="000000" w:themeColor="text1"/>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（以下简称“承包人”），特订立如下合同。</w:t>
      </w:r>
    </w:p>
    <w:p w14:paraId="55F53819">
      <w:pPr>
        <w:keepNext w:val="0"/>
        <w:keepLines w:val="0"/>
        <w:spacing w:line="360" w:lineRule="auto"/>
        <w:ind w:left="0" w:right="0" w:firstLine="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甲乙双方的权利和义务</w:t>
      </w:r>
    </w:p>
    <w:p w14:paraId="40D01EDD">
      <w:pPr>
        <w:keepNext w:val="0"/>
        <w:keepLines w:val="0"/>
        <w:spacing w:line="360" w:lineRule="auto"/>
        <w:ind w:left="0" w:right="0" w:firstLine="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（1）严格遵守党的政策规定和国家、省、市有关法律法规有关规定。</w:t>
      </w:r>
    </w:p>
    <w:p w14:paraId="49C8C8F0">
      <w:pPr>
        <w:keepNext w:val="0"/>
        <w:keepLines w:val="0"/>
        <w:spacing w:line="360" w:lineRule="auto"/>
        <w:ind w:left="0" w:right="0" w:firstLine="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（2）严格执行工程的合同文件，自觉按合同办事。</w:t>
      </w:r>
    </w:p>
    <w:p w14:paraId="766213D8">
      <w:pPr>
        <w:keepNext w:val="0"/>
        <w:keepLines w:val="0"/>
        <w:spacing w:line="360" w:lineRule="auto"/>
        <w:ind w:left="0" w:right="0" w:firstLine="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（3）双方的业务活动坚持公开、公正、诚信、透明的原则（法律认定的商业秘密和合同文件另有规定除外），不得损害国家和集体利益，违反工程建设管理规章制度。</w:t>
      </w:r>
    </w:p>
    <w:p w14:paraId="652F51FA">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（4）建立健全廉政制度，开展廉政教育，设计廉政告示牌，公布举报电话，监督并认真查处违法违纪行为。</w:t>
      </w:r>
    </w:p>
    <w:p w14:paraId="2138B18D">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（5）发现对方在业务活动中有违反廉政规定的行为，有及时提醒对方纠正的权利和义务。</w:t>
      </w:r>
    </w:p>
    <w:p w14:paraId="3306CF69">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（6）发现对方严重违反合同义务条款的行为，有向其上级有关部门举报、建议给予处理并要求告知处理结果的权利。</w:t>
      </w:r>
    </w:p>
    <w:p w14:paraId="5EA77014">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发包人的义务</w:t>
      </w:r>
    </w:p>
    <w:p w14:paraId="4FDDE2C3">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（1）发包人及其工作人员不得索要或接受承包人的礼金、有价证券和贵重物品，不得在承包人报销任何应由发包人或发包人工作人员个人支付的费用等。</w:t>
      </w:r>
    </w:p>
    <w:p w14:paraId="4A1AC210">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（2）发包人工作人员不得参加承包人安排的超标准宴请和娱乐活动；不得接受承包人提供的通讯工具、交通工具和高档办公用品等。</w:t>
      </w:r>
    </w:p>
    <w:p w14:paraId="46D8AE7D">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（3）发包人及其工作人员不得要求或者接受承包人为其住房装修、婚丧嫁娶活动、配偶子女的工作安排以及出国出境、旅游等提供方便等。</w:t>
      </w:r>
    </w:p>
    <w:p w14:paraId="5633E3EE">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（4）发包人工作人员及其配偶、子女不得从事与发包人工程有关的材料设备供应、工程分包、劳务等经济活动等。</w:t>
      </w:r>
    </w:p>
    <w:p w14:paraId="1ADF036D">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（5）发包人及其工作人员不得以任何理由向承包人推荐分包单位或推销材料，不得要求承包人购买合同规定外的材料和设备。</w:t>
      </w:r>
    </w:p>
    <w:p w14:paraId="33AB2E1A">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（6）发包人工作人员要秉公办事，不准营私舞弊，不准利用职权从事各种个人有偿中介活动和安排个人施工队伍。</w:t>
      </w:r>
    </w:p>
    <w:p w14:paraId="110827CA">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承包人义务</w:t>
      </w:r>
    </w:p>
    <w:p w14:paraId="3FFC0081">
      <w:pPr>
        <w:keepNext w:val="0"/>
        <w:keepLines w:val="0"/>
        <w:pageBreakBefore w:val="0"/>
        <w:widowControl/>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（1）承包人不得以任何理由向发包人及其工作人员行贿或馈赠礼金、有价证券、贵重礼品。</w:t>
      </w:r>
    </w:p>
    <w:p w14:paraId="110B8D50">
      <w:pPr>
        <w:keepNext w:val="0"/>
        <w:keepLines w:val="0"/>
        <w:pageBreakBefore w:val="0"/>
        <w:widowControl/>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（2）承包人不得以任何名义为发包人及其工作人员报销应由发包人单位或个人支付的任何费用。</w:t>
      </w:r>
    </w:p>
    <w:p w14:paraId="365A95A2">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（3）承包人不得以任何理由安排发包人工作人员参加超标准宴请及娱乐活动。</w:t>
      </w:r>
    </w:p>
    <w:p w14:paraId="5577E723">
      <w:pPr>
        <w:keepNext w:val="0"/>
        <w:keepLines w:val="0"/>
        <w:pageBreakBefore w:val="0"/>
        <w:widowControl/>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（4）承包人不得为发包人单位和个人购置或提拱通讯工具、交通工具和高档办公用品等。</w:t>
      </w:r>
    </w:p>
    <w:p w14:paraId="09FB5161">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违约责任</w:t>
      </w:r>
    </w:p>
    <w:p w14:paraId="66F44471">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（1）发包人及其工作人员违反本合同第一、二条，按管理权限，依据有关规定给予党纪、政纪或组织处理；涉嫌犯罪的，移交司法机关追究刑事责任；给承包人单位造成经济损失的，应予以赔偿。</w:t>
      </w:r>
    </w:p>
    <w:p w14:paraId="634AD4D4">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5B8713AB">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24ED7523">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本合同有效期为甲乙双方签署之日起至该工程项目竣工验收后止。</w:t>
      </w:r>
    </w:p>
    <w:p w14:paraId="4E2CBC37">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本合同作为工程施工合同的附件，与工程施工合同具有同等的法律效力，经合同双方签署立即生效。</w:t>
      </w:r>
    </w:p>
    <w:p w14:paraId="3FBBBD4D">
      <w:pPr>
        <w:keepNext w:val="0"/>
        <w:keepLines w:val="0"/>
        <w:spacing w:line="360" w:lineRule="auto"/>
        <w:ind w:left="0" w:right="0" w:firstLine="420"/>
        <w:rPr>
          <w:rFonts w:hint="eastAsia" w:ascii="宋体" w:hAnsi="宋体" w:eastAsia="宋体" w:cs="宋体"/>
          <w:color w:val="000000" w:themeColor="text1"/>
          <w:sz w:val="24"/>
          <w:szCs w:val="24"/>
          <w:lang w:eastAsia="zh-CN" w:bidi="ar"/>
          <w14:textFill>
            <w14:solidFill>
              <w14:schemeClr w14:val="tx1"/>
            </w14:solidFill>
          </w14:textFill>
        </w:rPr>
      </w:pPr>
    </w:p>
    <w:p w14:paraId="49AB554C">
      <w:pPr>
        <w:keepNext w:val="0"/>
        <w:keepLines w:val="0"/>
        <w:spacing w:line="360" w:lineRule="auto"/>
        <w:ind w:left="0" w:right="0" w:firstLine="420"/>
        <w:rPr>
          <w:rFonts w:hint="eastAsia" w:ascii="宋体" w:hAnsi="宋体" w:eastAsia="宋体" w:cs="宋体"/>
          <w:color w:val="000000" w:themeColor="text1"/>
          <w:sz w:val="24"/>
          <w:szCs w:val="24"/>
          <w:lang w:eastAsia="zh-CN" w:bidi="ar"/>
          <w14:textFill>
            <w14:solidFill>
              <w14:schemeClr w14:val="tx1"/>
            </w14:solidFill>
          </w14:textFill>
        </w:rPr>
      </w:pPr>
    </w:p>
    <w:p w14:paraId="2F5CBFE0">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发包人（项目单位）</w:t>
      </w:r>
      <w:r>
        <w:rPr>
          <w:rFonts w:hint="eastAsia" w:ascii="宋体" w:hAnsi="宋体" w:eastAsia="宋体" w:cs="宋体"/>
          <w:color w:val="000000" w:themeColor="text1"/>
          <w:sz w:val="24"/>
          <w:szCs w:val="24"/>
          <w:lang w:bidi="ar"/>
          <w14:textFill>
            <w14:solidFill>
              <w14:schemeClr w14:val="tx1"/>
            </w14:solidFill>
          </w14:textFill>
        </w:rPr>
        <w:t xml:space="preserve">：  (盖章)             </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eastAsia="zh-CN" w:bidi="ar"/>
          <w14:textFill>
            <w14:solidFill>
              <w14:schemeClr w14:val="tx1"/>
            </w14:solidFill>
          </w14:textFill>
        </w:rPr>
        <w:t>承包人</w:t>
      </w:r>
      <w:r>
        <w:rPr>
          <w:rFonts w:hint="eastAsia" w:ascii="宋体" w:hAnsi="宋体" w:eastAsia="宋体" w:cs="宋体"/>
          <w:color w:val="000000" w:themeColor="text1"/>
          <w:sz w:val="24"/>
          <w:szCs w:val="24"/>
          <w:lang w:bidi="ar"/>
          <w14:textFill>
            <w14:solidFill>
              <w14:schemeClr w14:val="tx1"/>
            </w14:solidFill>
          </w14:textFill>
        </w:rPr>
        <w:t>：（单位全称）（盖章）</w:t>
      </w:r>
    </w:p>
    <w:p w14:paraId="6CE8850B">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法定代表人：                              </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法定代表人：</w:t>
      </w:r>
    </w:p>
    <w:p w14:paraId="07F8E822">
      <w:pPr>
        <w:keepNext w:val="0"/>
        <w:keepLines w:val="0"/>
        <w:spacing w:line="360" w:lineRule="auto"/>
        <w:ind w:left="0" w:right="0" w:firstLine="420"/>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或其授权的代理人：（签字）                </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或其授权的代理人：（签字）  </w:t>
      </w:r>
    </w:p>
    <w:p w14:paraId="1B64EFC3">
      <w:pPr>
        <w:keepNext w:val="0"/>
        <w:keepLines w:val="0"/>
        <w:spacing w:line="360" w:lineRule="auto"/>
        <w:ind w:left="0" w:righ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日期：                                      日期：</w:t>
      </w:r>
      <w:r>
        <w:rPr>
          <w:rFonts w:hint="eastAsia" w:ascii="宋体" w:hAnsi="宋体" w:eastAsia="宋体" w:cs="宋体"/>
          <w:color w:val="000000" w:themeColor="text1"/>
          <w:sz w:val="24"/>
          <w:szCs w:val="24"/>
          <w:lang w:bidi="ar"/>
          <w14:textFill>
            <w14:solidFill>
              <w14:schemeClr w14:val="tx1"/>
            </w14:solidFill>
          </w14:textFill>
        </w:rPr>
        <w:br w:type="page" w:clear="all"/>
      </w:r>
      <w:r>
        <w:rPr>
          <w:rFonts w:hint="eastAsia" w:ascii="宋体" w:hAnsi="宋体" w:eastAsia="宋体" w:cs="宋体"/>
          <w:color w:val="000000"/>
          <w:sz w:val="21"/>
          <w:szCs w:val="24"/>
          <w:highlight w:val="none"/>
          <w:lang w:bidi="ar"/>
        </w:rPr>
        <w:t>附件</w:t>
      </w:r>
      <w:r>
        <w:rPr>
          <w:rFonts w:hint="eastAsia" w:ascii="宋体" w:hAnsi="宋体" w:cs="宋体"/>
          <w:color w:val="000000"/>
          <w:sz w:val="21"/>
          <w:szCs w:val="24"/>
          <w:highlight w:val="none"/>
          <w:lang w:val="en-US" w:eastAsia="zh-CN" w:bidi="ar"/>
        </w:rPr>
        <w:t>5</w:t>
      </w:r>
      <w:r>
        <w:rPr>
          <w:rFonts w:hint="eastAsia" w:ascii="宋体" w:hAnsi="宋体" w:eastAsia="宋体" w:cs="宋体"/>
          <w:color w:val="000000"/>
          <w:sz w:val="21"/>
          <w:szCs w:val="24"/>
          <w:highlight w:val="none"/>
          <w:lang w:bidi="ar"/>
        </w:rPr>
        <w:t>：</w:t>
      </w:r>
    </w:p>
    <w:p w14:paraId="5978E463">
      <w:pPr>
        <w:spacing w:line="360" w:lineRule="auto"/>
        <w:ind w:left="0" w:firstLine="42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不拖欠农民工工资承诺书</w:t>
      </w:r>
    </w:p>
    <w:p w14:paraId="4E45D87D">
      <w:pPr>
        <w:spacing w:line="360" w:lineRule="auto"/>
        <w:ind w:left="0" w:firstLine="422"/>
        <w:rPr>
          <w:rFonts w:hint="eastAsia" w:ascii="宋体" w:hAnsi="宋体" w:eastAsia="宋体" w:cs="宋体"/>
          <w:b/>
          <w:color w:val="000000" w:themeColor="text1"/>
          <w:sz w:val="24"/>
          <w:szCs w:val="24"/>
          <w14:textFill>
            <w14:solidFill>
              <w14:schemeClr w14:val="tx1"/>
            </w14:solidFill>
          </w14:textFill>
        </w:rPr>
      </w:pPr>
    </w:p>
    <w:p w14:paraId="5F8F63B0">
      <w:pPr>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我公司承诺我公司承接的</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6898F7B0">
      <w:pPr>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p>
    <w:p w14:paraId="1928FD9D">
      <w:pPr>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p>
    <w:p w14:paraId="37C88AB5">
      <w:pPr>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单位全称：     （盖  章）</w:t>
      </w:r>
    </w:p>
    <w:p w14:paraId="7868BF16">
      <w:pPr>
        <w:spacing w:line="360" w:lineRule="auto"/>
        <w:ind w:left="0" w:firstLine="42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法定代表人或委托人：（签 字）</w:t>
      </w:r>
    </w:p>
    <w:p w14:paraId="720E0D71">
      <w:pPr>
        <w:spacing w:line="360" w:lineRule="auto"/>
        <w:ind w:left="0" w:firstLine="4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年  月  日</w:t>
      </w:r>
    </w:p>
    <w:p w14:paraId="27A51317">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47F2227D">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0CB9BADB">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0822DB10">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4C08F05F">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1A37D6C1">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37018EDF">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6BED0701">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065D5F35">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2D040612">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24730C7F">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4A71EC95">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0601B463">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2E831EC2">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39E57C49">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201FC992">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61FE7C8C">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345A070E">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3BC8C5D8">
      <w:pPr>
        <w:pageBreakBefore w:val="0"/>
        <w:spacing w:line="360" w:lineRule="auto"/>
        <w:ind w:left="0" w:firstLine="0"/>
        <w:rPr>
          <w:rFonts w:hint="eastAsia" w:ascii="宋体" w:hAnsi="宋体" w:eastAsia="宋体" w:cs="宋体"/>
          <w:color w:val="000000" w:themeColor="text1"/>
          <w:sz w:val="24"/>
          <w:szCs w:val="24"/>
          <w:lang w:bidi="ar"/>
          <w14:textFill>
            <w14:solidFill>
              <w14:schemeClr w14:val="tx1"/>
            </w14:solidFill>
          </w14:textFill>
        </w:rPr>
      </w:pPr>
    </w:p>
    <w:p w14:paraId="20474821">
      <w:pPr>
        <w:pageBreakBefore w:val="0"/>
        <w:spacing w:line="360" w:lineRule="auto"/>
        <w:ind w:left="0" w:firstLine="0"/>
        <w:rPr>
          <w:rFonts w:hint="eastAsia" w:ascii="宋体" w:hAnsi="宋体" w:eastAsia="宋体" w:cs="宋体"/>
          <w:color w:val="000000"/>
          <w:sz w:val="21"/>
          <w:szCs w:val="24"/>
          <w:highlight w:val="none"/>
          <w:lang w:bidi="ar"/>
        </w:rPr>
      </w:pPr>
      <w:r>
        <w:rPr>
          <w:rFonts w:hint="eastAsia" w:ascii="宋体" w:hAnsi="宋体" w:eastAsia="宋体" w:cs="宋体"/>
          <w:color w:val="000000"/>
          <w:sz w:val="21"/>
          <w:szCs w:val="24"/>
          <w:highlight w:val="none"/>
          <w:lang w:bidi="ar"/>
        </w:rPr>
        <w:t>附件</w:t>
      </w:r>
      <w:r>
        <w:rPr>
          <w:rFonts w:hint="eastAsia" w:ascii="宋体" w:hAnsi="宋体" w:cs="宋体"/>
          <w:color w:val="000000"/>
          <w:sz w:val="21"/>
          <w:szCs w:val="24"/>
          <w:highlight w:val="none"/>
          <w:lang w:val="en-US" w:eastAsia="zh-CN" w:bidi="ar"/>
        </w:rPr>
        <w:t>6</w:t>
      </w:r>
      <w:r>
        <w:rPr>
          <w:rFonts w:hint="eastAsia" w:ascii="宋体" w:hAnsi="宋体" w:eastAsia="宋体" w:cs="宋体"/>
          <w:color w:val="000000"/>
          <w:sz w:val="21"/>
          <w:szCs w:val="24"/>
          <w:highlight w:val="none"/>
          <w:lang w:bidi="ar"/>
        </w:rPr>
        <w:t>：</w:t>
      </w:r>
    </w:p>
    <w:p w14:paraId="078ABEE1">
      <w:pPr>
        <w:spacing w:line="360" w:lineRule="auto"/>
        <w:ind w:left="0" w:firstLine="42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bidi="ar"/>
          <w14:textFill>
            <w14:solidFill>
              <w14:schemeClr w14:val="tx1"/>
            </w14:solidFill>
          </w14:textFill>
        </w:rPr>
        <w:t>中标人诚信承诺书</w:t>
      </w:r>
    </w:p>
    <w:p w14:paraId="77DD8CDD">
      <w:pPr>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p>
    <w:p w14:paraId="62E5FF7D">
      <w:pPr>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我单位系公司作为</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（建设单位）</w:t>
      </w:r>
      <w:r>
        <w:rPr>
          <w:rFonts w:hint="eastAsia" w:ascii="宋体" w:hAnsi="宋体" w:eastAsia="宋体" w:cs="宋体"/>
          <w:color w:val="000000" w:themeColor="text1"/>
          <w:sz w:val="24"/>
          <w:szCs w:val="24"/>
          <w:u w:val="single"/>
          <w:lang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color w:val="000000" w:themeColor="text1"/>
          <w:sz w:val="24"/>
          <w:szCs w:val="24"/>
          <w:lang w:eastAsia="zh-CN" w:bidi="ar"/>
          <w14:textFill>
            <w14:solidFill>
              <w14:schemeClr w14:val="tx1"/>
            </w14:solidFill>
          </w14:textFill>
        </w:rPr>
        <w:t>响应文件</w:t>
      </w:r>
      <w:r>
        <w:rPr>
          <w:rFonts w:hint="eastAsia" w:ascii="宋体" w:hAnsi="宋体" w:eastAsia="宋体" w:cs="宋体"/>
          <w:color w:val="000000" w:themeColor="text1"/>
          <w:sz w:val="24"/>
          <w:szCs w:val="24"/>
          <w:lang w:bidi="ar"/>
          <w14:textFill>
            <w14:solidFill>
              <w14:schemeClr w14:val="tx1"/>
            </w14:solidFill>
          </w14:textFill>
        </w:rPr>
        <w:t>及合同约定的内容、期限等积极到场开展工作，若我单位投标过程中提供的资审资料及</w:t>
      </w:r>
      <w:r>
        <w:rPr>
          <w:rFonts w:hint="eastAsia" w:ascii="宋体" w:hAnsi="宋体" w:eastAsia="宋体" w:cs="宋体"/>
          <w:color w:val="000000" w:themeColor="text1"/>
          <w:sz w:val="24"/>
          <w:szCs w:val="24"/>
          <w:lang w:eastAsia="zh-CN" w:bidi="ar"/>
          <w14:textFill>
            <w14:solidFill>
              <w14:schemeClr w14:val="tx1"/>
            </w14:solidFill>
          </w14:textFill>
        </w:rPr>
        <w:t>响应文件</w:t>
      </w:r>
      <w:r>
        <w:rPr>
          <w:rFonts w:hint="eastAsia" w:ascii="宋体" w:hAnsi="宋体" w:eastAsia="宋体" w:cs="宋体"/>
          <w:color w:val="000000" w:themeColor="text1"/>
          <w:sz w:val="24"/>
          <w:szCs w:val="24"/>
          <w:lang w:bidi="ar"/>
          <w14:textFill>
            <w14:solidFill>
              <w14:schemeClr w14:val="tx1"/>
            </w14:solidFill>
          </w14:textFill>
        </w:rPr>
        <w:t>有伪造事实以及建造师未按合同约定开展现场工作，经查实后，我单位愿意接受相关法律法规处罚，并承担作为不良行为公示所产生的一切后果。</w:t>
      </w:r>
    </w:p>
    <w:p w14:paraId="4B19E07C">
      <w:pPr>
        <w:spacing w:line="360" w:lineRule="auto"/>
        <w:ind w:left="0" w:firstLine="420"/>
        <w:rPr>
          <w:rFonts w:hint="eastAsia" w:ascii="宋体" w:hAnsi="宋体" w:eastAsia="宋体" w:cs="宋体"/>
          <w:color w:val="000000" w:themeColor="text1"/>
          <w:sz w:val="24"/>
          <w:szCs w:val="24"/>
          <w:u w:val="single"/>
          <w14:textFill>
            <w14:solidFill>
              <w14:schemeClr w14:val="tx1"/>
            </w14:solidFill>
          </w14:textFill>
        </w:rPr>
      </w:pPr>
    </w:p>
    <w:p w14:paraId="5AB3438F">
      <w:pPr>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p>
    <w:p w14:paraId="0E12643D">
      <w:pPr>
        <w:keepNext w:val="0"/>
        <w:keepLines w:val="0"/>
        <w:pageBreakBefore w:val="0"/>
        <w:widowControl w:val="0"/>
        <w:spacing w:line="360" w:lineRule="auto"/>
        <w:ind w:left="0" w:firstLine="42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建造师签字：</w:t>
      </w:r>
    </w:p>
    <w:p w14:paraId="1C56688B">
      <w:pPr>
        <w:keepNext w:val="0"/>
        <w:keepLines w:val="0"/>
        <w:pageBreakBefore w:val="0"/>
        <w:widowControl w:val="0"/>
        <w:spacing w:line="360" w:lineRule="auto"/>
        <w:ind w:left="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中标人法定代表人或授权委托人签字：</w:t>
      </w:r>
    </w:p>
    <w:p w14:paraId="108E2C4C">
      <w:pPr>
        <w:keepNext w:val="0"/>
        <w:keepLines w:val="0"/>
        <w:pageBreakBefore w:val="0"/>
        <w:widowControl w:val="0"/>
        <w:spacing w:line="360" w:lineRule="auto"/>
        <w:ind w:left="0" w:firstLine="42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单位全称：     （盖  章）</w:t>
      </w:r>
    </w:p>
    <w:p w14:paraId="08DDB7BA">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年  </w:t>
      </w:r>
      <w:r>
        <w:rPr>
          <w:rFonts w:hint="eastAsia" w:ascii="宋体" w:hAnsi="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月    日</w:t>
      </w:r>
    </w:p>
    <w:p w14:paraId="7123CBDF">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360C1CDA">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6758AB83">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401EDD7D">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02F1237C">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37A88205">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2AAB32CE">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78015783">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3DA783E6">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10FFC0EE">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03660393">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1B60D753">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49133E74">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2D81C39D">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119F4F5C">
      <w:pPr>
        <w:keepNext w:val="0"/>
        <w:keepLines w:val="0"/>
        <w:pageBreakBefore w:val="0"/>
        <w:widowControl w:val="0"/>
        <w:spacing w:line="360" w:lineRule="auto"/>
        <w:ind w:left="0" w:firstLine="960" w:firstLineChars="400"/>
        <w:rPr>
          <w:rFonts w:hint="eastAsia" w:ascii="宋体" w:hAnsi="宋体" w:eastAsia="宋体" w:cs="宋体"/>
          <w:color w:val="000000" w:themeColor="text1"/>
          <w:sz w:val="24"/>
          <w:szCs w:val="24"/>
          <w:lang w:bidi="ar"/>
          <w14:textFill>
            <w14:solidFill>
              <w14:schemeClr w14:val="tx1"/>
            </w14:solidFill>
          </w14:textFill>
        </w:rPr>
      </w:pPr>
    </w:p>
    <w:p w14:paraId="266F6341">
      <w:pPr>
        <w:pageBreakBefore w:val="0"/>
        <w:spacing w:line="360" w:lineRule="auto"/>
        <w:ind w:left="0"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1"/>
          <w:szCs w:val="24"/>
          <w:highlight w:val="none"/>
          <w:lang w:bidi="ar"/>
        </w:rPr>
        <w:t>附件</w:t>
      </w:r>
      <w:r>
        <w:rPr>
          <w:rFonts w:hint="eastAsia" w:ascii="宋体" w:hAnsi="宋体" w:cs="宋体"/>
          <w:color w:val="000000"/>
          <w:sz w:val="21"/>
          <w:szCs w:val="24"/>
          <w:highlight w:val="none"/>
          <w:lang w:val="en-US" w:eastAsia="zh-CN" w:bidi="ar"/>
        </w:rPr>
        <w:t>7</w:t>
      </w:r>
      <w:r>
        <w:rPr>
          <w:rFonts w:hint="eastAsia" w:ascii="宋体" w:hAnsi="宋体" w:eastAsia="宋体" w:cs="宋体"/>
          <w:color w:val="000000" w:themeColor="text1"/>
          <w:sz w:val="24"/>
          <w:szCs w:val="24"/>
          <w:lang w:bidi="ar"/>
          <w14:textFill>
            <w14:solidFill>
              <w14:schemeClr w14:val="tx1"/>
            </w14:solidFill>
          </w14:textFill>
        </w:rPr>
        <w:t>：</w:t>
      </w:r>
    </w:p>
    <w:p w14:paraId="3011BB65">
      <w:pPr>
        <w:keepNext w:val="0"/>
        <w:keepLines w:val="0"/>
        <w:pageBreakBefore w:val="0"/>
        <w:widowControl w:val="0"/>
        <w:spacing w:line="360" w:lineRule="auto"/>
        <w:ind w:left="0" w:firstLine="0" w:firstLineChars="0"/>
        <w:rPr>
          <w:rFonts w:hint="eastAsia" w:ascii="宋体" w:hAnsi="宋体" w:eastAsia="宋体" w:cs="宋体"/>
          <w:color w:val="000000" w:themeColor="text1"/>
          <w:sz w:val="24"/>
          <w:szCs w:val="24"/>
          <w:lang w:bidi="ar"/>
          <w14:textFill>
            <w14:solidFill>
              <w14:schemeClr w14:val="tx1"/>
            </w14:solidFill>
          </w14:textFill>
        </w:rPr>
      </w:pPr>
    </w:p>
    <w:p w14:paraId="0EDD8A87">
      <w:pPr>
        <w:ind w:firstLine="602"/>
        <w:jc w:val="center"/>
        <w:outlineLvl w:val="0"/>
        <w:rPr>
          <w:rFonts w:hint="eastAsia" w:ascii="宋体" w:hAnsi="宋体" w:eastAsia="宋体" w:cs="宋体"/>
          <w:b/>
          <w:color w:val="000000"/>
          <w:szCs w:val="21"/>
          <w:highlight w:val="none"/>
        </w:rPr>
      </w:pPr>
      <w:bookmarkStart w:id="169" w:name="_Toc28841"/>
      <w:r>
        <w:rPr>
          <w:rFonts w:hint="eastAsia" w:ascii="宋体" w:hAnsi="宋体" w:eastAsia="宋体" w:cs="宋体"/>
          <w:b/>
          <w:bCs/>
          <w:color w:val="000000"/>
          <w:sz w:val="24"/>
          <w:szCs w:val="24"/>
          <w:highlight w:val="none"/>
        </w:rPr>
        <w:t>安全生产责任承诺书</w:t>
      </w:r>
      <w:bookmarkEnd w:id="169"/>
    </w:p>
    <w:p w14:paraId="6EA54723">
      <w:pPr>
        <w:ind w:firstLine="560"/>
        <w:rPr>
          <w:rFonts w:hint="eastAsia" w:ascii="宋体" w:hAnsi="宋体" w:eastAsia="宋体" w:cs="宋体"/>
          <w:color w:val="000000"/>
          <w:szCs w:val="21"/>
          <w:highlight w:val="none"/>
        </w:rPr>
      </w:pPr>
    </w:p>
    <w:p w14:paraId="0831F5B8">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w:t>
      </w:r>
    </w:p>
    <w:p w14:paraId="0BE8108F">
      <w:pPr>
        <w:ind w:firstLine="480"/>
        <w:rPr>
          <w:rFonts w:hint="eastAsia" w:ascii="宋体" w:hAnsi="宋体" w:eastAsia="宋体" w:cs="宋体"/>
          <w:color w:val="000000"/>
          <w:sz w:val="24"/>
          <w:szCs w:val="24"/>
          <w:highlight w:val="none"/>
        </w:rPr>
      </w:pPr>
    </w:p>
    <w:p w14:paraId="15EAB3AD">
      <w:pPr>
        <w:spacing w:line="52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我单位在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（项目名称）中有幸成交，承诺现场安全文明施工措施费必须全部用于本工程中，保证不发生重大人员伤亡事故，在此工程施工过程中所发生的一切工伤事故或安全事故，均由我单位承担一切责任。</w:t>
      </w:r>
    </w:p>
    <w:p w14:paraId="41AF489A">
      <w:pPr>
        <w:spacing w:line="520" w:lineRule="exact"/>
        <w:ind w:firstLine="480"/>
        <w:rPr>
          <w:rFonts w:hint="eastAsia" w:ascii="宋体" w:hAnsi="宋体" w:eastAsia="宋体" w:cs="宋体"/>
          <w:color w:val="000000"/>
          <w:sz w:val="24"/>
          <w:szCs w:val="24"/>
          <w:highlight w:val="none"/>
        </w:rPr>
      </w:pPr>
    </w:p>
    <w:p w14:paraId="18ED3C2B">
      <w:pPr>
        <w:spacing w:line="520" w:lineRule="exact"/>
        <w:ind w:firstLine="480"/>
        <w:rPr>
          <w:rFonts w:hint="eastAsia" w:ascii="宋体" w:hAnsi="宋体" w:eastAsia="宋体" w:cs="宋体"/>
          <w:color w:val="000000"/>
          <w:sz w:val="24"/>
          <w:szCs w:val="24"/>
          <w:highlight w:val="none"/>
        </w:rPr>
      </w:pPr>
    </w:p>
    <w:p w14:paraId="10AB7742">
      <w:pPr>
        <w:spacing w:line="520" w:lineRule="exact"/>
        <w:ind w:firstLine="500"/>
        <w:rPr>
          <w:rFonts w:hint="eastAsia" w:ascii="宋体" w:hAnsi="宋体" w:eastAsia="宋体" w:cs="宋体"/>
          <w:bCs/>
          <w:color w:val="000000"/>
          <w:spacing w:val="5"/>
          <w:sz w:val="24"/>
          <w:szCs w:val="24"/>
          <w:highlight w:val="none"/>
          <w:u w:val="single"/>
        </w:rPr>
      </w:pPr>
      <w:r>
        <w:rPr>
          <w:rFonts w:hint="eastAsia" w:ascii="宋体" w:hAnsi="宋体" w:eastAsia="宋体" w:cs="宋体"/>
          <w:bCs/>
          <w:color w:val="000000"/>
          <w:spacing w:val="5"/>
          <w:sz w:val="24"/>
          <w:szCs w:val="24"/>
          <w:highlight w:val="none"/>
        </w:rPr>
        <w:t xml:space="preserve">                     </w:t>
      </w:r>
      <w:r>
        <w:rPr>
          <w:rFonts w:hint="eastAsia" w:ascii="宋体" w:hAnsi="宋体" w:eastAsia="宋体" w:cs="宋体"/>
          <w:bCs/>
          <w:color w:val="000000"/>
          <w:spacing w:val="5"/>
          <w:sz w:val="24"/>
          <w:szCs w:val="24"/>
          <w:highlight w:val="none"/>
          <w:lang w:val="en-US" w:eastAsia="zh-CN"/>
        </w:rPr>
        <w:t xml:space="preserve">                </w:t>
      </w:r>
      <w:r>
        <w:rPr>
          <w:rFonts w:hint="eastAsia" w:ascii="宋体" w:hAnsi="宋体" w:eastAsia="宋体" w:cs="宋体"/>
          <w:bCs/>
          <w:color w:val="000000"/>
          <w:spacing w:val="5"/>
          <w:sz w:val="24"/>
          <w:szCs w:val="24"/>
          <w:highlight w:val="none"/>
        </w:rPr>
        <w:t xml:space="preserve"> </w:t>
      </w:r>
    </w:p>
    <w:p w14:paraId="3B2ED2AC">
      <w:pPr>
        <w:spacing w:line="520" w:lineRule="exact"/>
        <w:ind w:firstLine="500"/>
        <w:rPr>
          <w:rFonts w:hint="eastAsia" w:ascii="宋体" w:hAnsi="宋体" w:eastAsia="宋体" w:cs="宋体"/>
          <w:bCs/>
          <w:color w:val="000000"/>
          <w:spacing w:val="5"/>
          <w:sz w:val="24"/>
          <w:szCs w:val="24"/>
          <w:highlight w:val="none"/>
          <w:u w:val="single"/>
        </w:rPr>
      </w:pPr>
      <w:r>
        <w:rPr>
          <w:rFonts w:hint="eastAsia" w:ascii="宋体" w:hAnsi="宋体" w:eastAsia="宋体" w:cs="宋体"/>
          <w:bCs/>
          <w:color w:val="000000"/>
          <w:spacing w:val="5"/>
          <w:sz w:val="24"/>
          <w:szCs w:val="24"/>
          <w:highlight w:val="none"/>
        </w:rPr>
        <w:t xml:space="preserve">                      </w:t>
      </w:r>
      <w:r>
        <w:rPr>
          <w:rFonts w:hint="eastAsia" w:ascii="宋体" w:hAnsi="宋体" w:eastAsia="宋体" w:cs="宋体"/>
          <w:bCs/>
          <w:color w:val="000000"/>
          <w:spacing w:val="5"/>
          <w:sz w:val="24"/>
          <w:szCs w:val="24"/>
          <w:highlight w:val="none"/>
          <w:lang w:val="en-US" w:eastAsia="zh-CN"/>
        </w:rPr>
        <w:t xml:space="preserve">               </w:t>
      </w:r>
      <w:r>
        <w:rPr>
          <w:rFonts w:hint="eastAsia" w:ascii="宋体" w:hAnsi="宋体" w:eastAsia="宋体" w:cs="宋体"/>
          <w:bCs/>
          <w:color w:val="000000"/>
          <w:spacing w:val="5"/>
          <w:sz w:val="24"/>
          <w:szCs w:val="24"/>
          <w:highlight w:val="none"/>
        </w:rPr>
        <w:t>法定代表人（签字）：</w:t>
      </w:r>
    </w:p>
    <w:p w14:paraId="7B37CB68">
      <w:pPr>
        <w:spacing w:line="520" w:lineRule="exact"/>
        <w:ind w:firstLine="500"/>
        <w:rPr>
          <w:rFonts w:hint="eastAsia" w:ascii="宋体" w:hAnsi="宋体" w:eastAsia="宋体" w:cs="宋体"/>
          <w:bCs/>
          <w:color w:val="000000"/>
          <w:spacing w:val="5"/>
          <w:sz w:val="24"/>
          <w:szCs w:val="24"/>
          <w:highlight w:val="none"/>
        </w:rPr>
      </w:pPr>
      <w:r>
        <w:rPr>
          <w:rFonts w:hint="eastAsia" w:ascii="宋体" w:hAnsi="宋体" w:eastAsia="宋体" w:cs="宋体"/>
          <w:bCs/>
          <w:color w:val="000000"/>
          <w:spacing w:val="5"/>
          <w:sz w:val="24"/>
          <w:szCs w:val="24"/>
          <w:highlight w:val="none"/>
        </w:rPr>
        <w:t xml:space="preserve">                     </w:t>
      </w:r>
      <w:r>
        <w:rPr>
          <w:rFonts w:hint="eastAsia" w:ascii="宋体" w:hAnsi="宋体" w:eastAsia="宋体" w:cs="宋体"/>
          <w:bCs/>
          <w:color w:val="000000"/>
          <w:spacing w:val="5"/>
          <w:sz w:val="24"/>
          <w:szCs w:val="24"/>
          <w:highlight w:val="none"/>
          <w:lang w:val="en-US" w:eastAsia="zh-CN"/>
        </w:rPr>
        <w:t xml:space="preserve">            </w:t>
      </w:r>
      <w:r>
        <w:rPr>
          <w:rFonts w:hint="eastAsia" w:ascii="宋体" w:hAnsi="宋体" w:eastAsia="宋体" w:cs="宋体"/>
          <w:bCs/>
          <w:color w:val="000000"/>
          <w:spacing w:val="5"/>
          <w:sz w:val="24"/>
          <w:szCs w:val="24"/>
          <w:highlight w:val="none"/>
        </w:rPr>
        <w:t xml:space="preserve"> </w:t>
      </w:r>
      <w:r>
        <w:rPr>
          <w:rFonts w:hint="eastAsia" w:ascii="宋体" w:hAnsi="宋体" w:eastAsia="宋体" w:cs="宋体"/>
          <w:bCs/>
          <w:color w:val="000000"/>
          <w:spacing w:val="5"/>
          <w:sz w:val="24"/>
          <w:szCs w:val="24"/>
          <w:highlight w:val="none"/>
          <w:lang w:val="en-US" w:eastAsia="zh-CN"/>
        </w:rPr>
        <w:t xml:space="preserve">   </w:t>
      </w:r>
      <w:r>
        <w:rPr>
          <w:rFonts w:hint="eastAsia" w:ascii="宋体" w:hAnsi="宋体" w:eastAsia="宋体" w:cs="宋体"/>
          <w:bCs/>
          <w:color w:val="000000"/>
          <w:spacing w:val="5"/>
          <w:sz w:val="24"/>
          <w:szCs w:val="24"/>
          <w:highlight w:val="none"/>
        </w:rPr>
        <w:t>承诺单位（盖章）：</w:t>
      </w:r>
    </w:p>
    <w:p w14:paraId="7ED6BE07">
      <w:pPr>
        <w:spacing w:line="520" w:lineRule="exact"/>
        <w:ind w:firstLine="6092"/>
        <w:rPr>
          <w:rFonts w:hint="eastAsia" w:ascii="宋体" w:hAnsi="宋体" w:eastAsia="宋体" w:cs="宋体"/>
          <w:bCs/>
          <w:color w:val="000000"/>
          <w:spacing w:val="5"/>
          <w:szCs w:val="21"/>
          <w:highlight w:val="none"/>
        </w:rPr>
      </w:pPr>
      <w:r>
        <w:rPr>
          <w:rFonts w:hint="eastAsia" w:ascii="宋体" w:hAnsi="宋体" w:eastAsia="宋体" w:cs="宋体"/>
          <w:bCs/>
          <w:color w:val="000000"/>
          <w:spacing w:val="5"/>
          <w:sz w:val="24"/>
          <w:szCs w:val="24"/>
          <w:highlight w:val="none"/>
        </w:rPr>
        <w:t>日期：    年  月   日</w:t>
      </w:r>
    </w:p>
    <w:p w14:paraId="4BF5EF61">
      <w:pPr>
        <w:spacing w:line="520" w:lineRule="exact"/>
        <w:rPr>
          <w:rFonts w:hint="eastAsia" w:ascii="宋体" w:hAnsi="宋体" w:eastAsia="宋体" w:cs="宋体"/>
          <w:color w:val="000000"/>
          <w:highlight w:val="none"/>
        </w:rPr>
        <w:sectPr>
          <w:footerReference r:id="rId22" w:type="default"/>
          <w:pgSz w:w="11906" w:h="16838"/>
          <w:pgMar w:top="1134" w:right="1417" w:bottom="1134" w:left="1417" w:header="851" w:footer="828" w:gutter="0"/>
          <w:pgNumType w:fmt="decimal"/>
          <w:cols w:space="1701" w:num="1"/>
          <w:docGrid w:linePitch="360" w:charSpace="0"/>
        </w:sectPr>
      </w:pPr>
    </w:p>
    <w:p w14:paraId="3A503F4C">
      <w:pPr>
        <w:outlineLvl w:val="0"/>
        <w:rPr>
          <w:rFonts w:hint="eastAsia" w:ascii="宋体" w:hAnsi="宋体" w:eastAsia="宋体" w:cs="宋体"/>
          <w:color w:val="000000"/>
          <w:highlight w:val="none"/>
        </w:rPr>
      </w:pPr>
      <w:bookmarkStart w:id="170" w:name="_Toc29282"/>
      <w:r>
        <w:rPr>
          <w:rFonts w:hint="eastAsia" w:ascii="宋体" w:hAnsi="宋体" w:eastAsia="宋体" w:cs="宋体"/>
          <w:color w:val="000000"/>
          <w:highlight w:val="none"/>
        </w:rPr>
        <w:t>附件</w:t>
      </w:r>
      <w:r>
        <w:rPr>
          <w:rFonts w:hint="eastAsia" w:ascii="宋体" w:hAnsi="宋体" w:eastAsia="宋体" w:cs="宋体"/>
          <w:color w:val="000000"/>
          <w:highlight w:val="none"/>
          <w:lang w:val="en-US" w:eastAsia="zh-CN"/>
        </w:rPr>
        <w:t>8</w:t>
      </w:r>
      <w:r>
        <w:rPr>
          <w:rFonts w:hint="eastAsia" w:ascii="宋体" w:hAnsi="宋体" w:eastAsia="宋体" w:cs="宋体"/>
          <w:color w:val="000000"/>
          <w:highlight w:val="none"/>
        </w:rPr>
        <w:t>：</w:t>
      </w:r>
      <w:bookmarkEnd w:id="170"/>
    </w:p>
    <w:p w14:paraId="46E0EEC6">
      <w:pPr>
        <w:jc w:val="center"/>
        <w:rPr>
          <w:rFonts w:hint="eastAsia" w:ascii="宋体" w:hAnsi="宋体" w:eastAsia="宋体" w:cs="宋体"/>
          <w:b/>
          <w:bCs/>
          <w:color w:val="000000"/>
          <w:szCs w:val="21"/>
          <w:highlight w:val="none"/>
        </w:rPr>
      </w:pPr>
    </w:p>
    <w:p w14:paraId="52434DF4">
      <w:pPr>
        <w:jc w:val="center"/>
        <w:rPr>
          <w:rFonts w:hint="eastAsia" w:ascii="宋体" w:hAnsi="宋体" w:eastAsia="宋体" w:cs="宋体"/>
          <w:b/>
          <w:bCs/>
          <w:color w:val="000000"/>
          <w:szCs w:val="21"/>
          <w:highlight w:val="none"/>
        </w:rPr>
      </w:pPr>
      <w:r>
        <w:rPr>
          <w:rFonts w:hint="eastAsia" w:ascii="宋体" w:hAnsi="宋体" w:eastAsia="宋体" w:cs="宋体"/>
          <w:b/>
          <w:bCs/>
          <w:color w:val="000000"/>
          <w:sz w:val="24"/>
          <w:szCs w:val="24"/>
          <w:highlight w:val="none"/>
        </w:rPr>
        <w:t>成交供应商诚信承诺书</w:t>
      </w:r>
    </w:p>
    <w:p w14:paraId="26D3B6BB">
      <w:pPr>
        <w:spacing w:line="240" w:lineRule="exact"/>
        <w:ind w:firstLine="2648"/>
        <w:rPr>
          <w:rFonts w:hint="eastAsia" w:ascii="宋体" w:hAnsi="宋体" w:eastAsia="宋体" w:cs="宋体"/>
          <w:b/>
          <w:color w:val="000000"/>
          <w:sz w:val="44"/>
          <w:szCs w:val="44"/>
          <w:highlight w:val="none"/>
        </w:rPr>
      </w:pPr>
    </w:p>
    <w:p w14:paraId="781E01B4">
      <w:pPr>
        <w:spacing w:line="520" w:lineRule="exac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我单位系</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color w:val="000000"/>
          <w:sz w:val="24"/>
          <w:highlight w:val="none"/>
        </w:rPr>
        <w:t>，作为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w:t>
      </w:r>
      <w:r>
        <w:rPr>
          <w:rFonts w:hint="eastAsia" w:ascii="宋体" w:hAnsi="宋体" w:eastAsia="宋体" w:cs="宋体"/>
          <w:color w:val="000000"/>
          <w:sz w:val="24"/>
          <w:highlight w:val="none"/>
        </w:rPr>
        <w:t>采购人）的</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p>
    <w:p w14:paraId="028CAE56">
      <w:pPr>
        <w:spacing w:line="520" w:lineRule="exact"/>
        <w:ind w:left="240" w:hanging="240"/>
        <w:rPr>
          <w:rFonts w:hint="eastAsia" w:ascii="宋体" w:hAnsi="宋体" w:eastAsia="宋体" w:cs="宋体"/>
          <w:color w:val="000000"/>
          <w:sz w:val="24"/>
          <w:highlight w:val="none"/>
        </w:rPr>
      </w:pPr>
    </w:p>
    <w:p w14:paraId="219E8CEF">
      <w:pPr>
        <w:spacing w:line="520" w:lineRule="exact"/>
        <w:ind w:firstLine="480" w:firstLineChars="200"/>
        <w:jc w:val="both"/>
        <w:rPr>
          <w:rFonts w:hint="eastAsia" w:ascii="宋体" w:hAnsi="宋体" w:eastAsia="宋体" w:cs="宋体"/>
          <w:color w:val="000000"/>
          <w:sz w:val="24"/>
          <w:highlight w:val="none"/>
        </w:rPr>
      </w:pPr>
    </w:p>
    <w:p w14:paraId="6C13D8D5">
      <w:pPr>
        <w:spacing w:line="520" w:lineRule="exact"/>
        <w:ind w:firstLine="5520" w:firstLineChars="230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项目负责人（签字）：</w:t>
      </w:r>
    </w:p>
    <w:p w14:paraId="266BADA9">
      <w:pPr>
        <w:spacing w:line="520" w:lineRule="exact"/>
        <w:ind w:firstLine="5520" w:firstLineChars="23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法定代表人（签字）：</w:t>
      </w:r>
    </w:p>
    <w:p w14:paraId="474C328A">
      <w:pPr>
        <w:spacing w:line="520" w:lineRule="exact"/>
        <w:ind w:firstLine="5500" w:firstLineChars="2200"/>
        <w:rPr>
          <w:rFonts w:hint="eastAsia" w:ascii="宋体" w:hAnsi="宋体" w:eastAsia="宋体" w:cs="宋体"/>
          <w:bCs/>
          <w:color w:val="000000"/>
          <w:spacing w:val="5"/>
          <w:sz w:val="24"/>
          <w:szCs w:val="24"/>
          <w:highlight w:val="none"/>
        </w:rPr>
      </w:pPr>
      <w:r>
        <w:rPr>
          <w:rFonts w:hint="eastAsia" w:ascii="宋体" w:hAnsi="宋体" w:eastAsia="宋体" w:cs="宋体"/>
          <w:bCs/>
          <w:color w:val="000000"/>
          <w:spacing w:val="5"/>
          <w:sz w:val="24"/>
          <w:szCs w:val="24"/>
          <w:highlight w:val="none"/>
        </w:rPr>
        <w:t>承诺单位（盖章）：</w:t>
      </w:r>
    </w:p>
    <w:p w14:paraId="2EA10606">
      <w:pPr>
        <w:spacing w:line="520" w:lineRule="exact"/>
        <w:ind w:firstLine="480"/>
        <w:rPr>
          <w:rFonts w:hint="eastAsia" w:ascii="宋体" w:hAnsi="宋体" w:eastAsia="宋体" w:cs="宋体"/>
          <w:color w:val="000000"/>
          <w:highlight w:val="none"/>
        </w:rPr>
        <w:sectPr>
          <w:headerReference r:id="rId23" w:type="default"/>
          <w:footerReference r:id="rId24" w:type="default"/>
          <w:footerReference r:id="rId25" w:type="even"/>
          <w:pgSz w:w="11906" w:h="16838"/>
          <w:pgMar w:top="1015" w:right="1196" w:bottom="868" w:left="1259" w:header="851" w:footer="907" w:gutter="0"/>
          <w:pgNumType w:fmt="decimal"/>
          <w:cols w:space="1701" w:num="1"/>
          <w:titlePg/>
          <w:docGrid w:linePitch="360" w:charSpace="0"/>
        </w:sect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日期：  </w:t>
      </w:r>
      <w:r>
        <w:rPr>
          <w:rFonts w:hint="eastAsia" w:ascii="宋体" w:hAnsi="宋体" w:eastAsia="宋体" w:cs="宋体"/>
          <w:color w:val="000000"/>
          <w:sz w:val="24"/>
          <w:highlight w:val="none"/>
        </w:rPr>
        <w:t>年   月    日</w:t>
      </w:r>
    </w:p>
    <w:p w14:paraId="6E0DCC56">
      <w:pPr>
        <w:outlineLvl w:val="0"/>
        <w:rPr>
          <w:rFonts w:hint="eastAsia" w:ascii="宋体" w:hAnsi="宋体" w:eastAsia="宋体" w:cs="宋体"/>
          <w:color w:val="000000"/>
          <w:highlight w:val="none"/>
          <w:lang w:val="en-US" w:eastAsia="zh-CN"/>
        </w:rPr>
      </w:pPr>
      <w:bookmarkStart w:id="171" w:name="_Toc32603"/>
      <w:r>
        <w:rPr>
          <w:rFonts w:hint="eastAsia" w:ascii="宋体" w:hAnsi="宋体" w:eastAsia="宋体" w:cs="宋体"/>
          <w:color w:val="000000"/>
          <w:highlight w:val="none"/>
        </w:rPr>
        <w:t>附件</w:t>
      </w:r>
      <w:r>
        <w:rPr>
          <w:rFonts w:hint="eastAsia" w:ascii="宋体" w:hAnsi="宋体" w:eastAsia="宋体" w:cs="宋体"/>
          <w:color w:val="000000"/>
          <w:highlight w:val="none"/>
          <w:lang w:val="en-US" w:eastAsia="zh-CN"/>
        </w:rPr>
        <w:t>9：</w:t>
      </w:r>
      <w:bookmarkEnd w:id="171"/>
    </w:p>
    <w:p w14:paraId="6DA71A2C">
      <w:pPr>
        <w:spacing w:line="440" w:lineRule="exact"/>
        <w:jc w:val="left"/>
        <w:rPr>
          <w:rFonts w:hint="eastAsia" w:ascii="宋体" w:hAnsi="宋体" w:eastAsia="宋体" w:cs="宋体"/>
          <w:sz w:val="21"/>
          <w:szCs w:val="21"/>
          <w:highlight w:val="none"/>
          <w:lang w:val="en-US" w:eastAsia="zh-CN"/>
        </w:rPr>
      </w:pPr>
    </w:p>
    <w:p w14:paraId="2370AC7F">
      <w:pPr>
        <w:spacing w:line="300" w:lineRule="auto"/>
        <w:jc w:val="center"/>
        <w:rPr>
          <w:rFonts w:hint="eastAsia" w:ascii="宋体" w:hAnsi="宋体" w:eastAsia="宋体" w:cs="宋体"/>
          <w:b/>
          <w:sz w:val="24"/>
          <w:szCs w:val="24"/>
          <w:highlight w:val="none"/>
          <w:lang w:eastAsia="zh-CN"/>
        </w:rPr>
      </w:pPr>
      <w:r>
        <w:rPr>
          <w:rFonts w:hint="eastAsia" w:ascii="宋体" w:hAnsi="宋体" w:eastAsia="宋体" w:cs="宋体"/>
          <w:b/>
          <w:bCs/>
          <w:sz w:val="24"/>
          <w:szCs w:val="24"/>
          <w:highlight w:val="none"/>
        </w:rPr>
        <w:t>项目周边成品保护</w:t>
      </w:r>
      <w:r>
        <w:rPr>
          <w:rFonts w:hint="eastAsia" w:ascii="宋体" w:hAnsi="宋体" w:eastAsia="宋体" w:cs="宋体"/>
          <w:b/>
          <w:bCs/>
          <w:sz w:val="24"/>
          <w:szCs w:val="24"/>
          <w:highlight w:val="none"/>
          <w:lang w:val="en-US" w:eastAsia="zh-CN"/>
        </w:rPr>
        <w:t>承诺书</w:t>
      </w:r>
    </w:p>
    <w:p w14:paraId="51510F59">
      <w:pPr>
        <w:rPr>
          <w:rFonts w:hint="eastAsia" w:ascii="宋体" w:hAnsi="宋体" w:eastAsia="宋体" w:cs="宋体"/>
          <w:sz w:val="24"/>
          <w:szCs w:val="24"/>
          <w:highlight w:val="none"/>
        </w:rPr>
      </w:pPr>
    </w:p>
    <w:p w14:paraId="0911705A">
      <w:pPr>
        <w:spacing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sz w:val="24"/>
          <w:szCs w:val="24"/>
          <w:highlight w:val="none"/>
        </w:rPr>
        <w:t>：</w:t>
      </w:r>
    </w:p>
    <w:p w14:paraId="69C872B1">
      <w:pPr>
        <w:spacing w:line="240" w:lineRule="exact"/>
        <w:rPr>
          <w:rFonts w:hint="eastAsia" w:ascii="宋体" w:hAnsi="宋体" w:eastAsia="宋体" w:cs="宋体"/>
          <w:sz w:val="24"/>
          <w:szCs w:val="24"/>
          <w:highlight w:val="none"/>
        </w:rPr>
      </w:pPr>
    </w:p>
    <w:p w14:paraId="2E6AC2CB">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我单位在</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项目投标中有幸中标，</w:t>
      </w:r>
      <w:r>
        <w:rPr>
          <w:rFonts w:hint="eastAsia" w:ascii="宋体" w:hAnsi="宋体" w:eastAsia="宋体" w:cs="宋体"/>
          <w:sz w:val="24"/>
          <w:szCs w:val="24"/>
          <w:highlight w:val="none"/>
          <w:lang w:val="en-US" w:eastAsia="zh-CN"/>
        </w:rPr>
        <w:t>现承诺</w:t>
      </w:r>
      <w:r>
        <w:rPr>
          <w:rFonts w:hint="eastAsia" w:ascii="宋体" w:hAnsi="宋体" w:eastAsia="宋体" w:cs="宋体"/>
          <w:sz w:val="24"/>
          <w:szCs w:val="24"/>
          <w:highlight w:val="none"/>
        </w:rPr>
        <w:t>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p>
    <w:p w14:paraId="61FE1CA3">
      <w:pPr>
        <w:spacing w:line="520" w:lineRule="exact"/>
        <w:ind w:firstLine="480"/>
        <w:rPr>
          <w:rFonts w:hint="eastAsia" w:ascii="宋体" w:hAnsi="宋体" w:eastAsia="宋体" w:cs="宋体"/>
          <w:sz w:val="24"/>
          <w:szCs w:val="24"/>
          <w:highlight w:val="none"/>
        </w:rPr>
      </w:pPr>
    </w:p>
    <w:p w14:paraId="03B4DE26">
      <w:pPr>
        <w:spacing w:line="520" w:lineRule="exact"/>
        <w:ind w:firstLine="5514"/>
        <w:rPr>
          <w:rFonts w:hint="eastAsia" w:ascii="宋体" w:hAnsi="宋体" w:eastAsia="宋体" w:cs="宋体"/>
          <w:sz w:val="24"/>
          <w:szCs w:val="24"/>
          <w:highlight w:val="none"/>
          <w:lang w:val="en-US" w:eastAsia="zh-CN"/>
        </w:rPr>
      </w:pPr>
    </w:p>
    <w:p w14:paraId="0E0E34C3">
      <w:pPr>
        <w:spacing w:line="360" w:lineRule="auto"/>
        <w:ind w:firstLine="551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法定代表人（签字）：</w:t>
      </w:r>
    </w:p>
    <w:p w14:paraId="54835D31">
      <w:pPr>
        <w:spacing w:line="360" w:lineRule="auto"/>
        <w:ind w:firstLine="551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承诺</w:t>
      </w:r>
      <w:r>
        <w:rPr>
          <w:rFonts w:hint="eastAsia" w:ascii="宋体" w:hAnsi="宋体" w:eastAsia="宋体" w:cs="宋体"/>
          <w:sz w:val="24"/>
          <w:szCs w:val="24"/>
          <w:highlight w:val="none"/>
        </w:rPr>
        <w:t>单位</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盖章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24E35771">
      <w:pPr>
        <w:keepNext w:val="0"/>
        <w:keepLines w:val="0"/>
        <w:pageBreakBefore w:val="0"/>
        <w:widowControl w:val="0"/>
        <w:spacing w:line="360" w:lineRule="auto"/>
        <w:ind w:left="0" w:firstLine="6240" w:firstLineChars="2600"/>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lang w:val="en-US" w:eastAsia="zh-CN"/>
        </w:rPr>
        <w:t xml:space="preserve">  年  月  日</w:t>
      </w:r>
    </w:p>
    <w:p w14:paraId="2CAD52F3">
      <w:pPr>
        <w:spacing w:line="360" w:lineRule="auto"/>
        <w:contextualSpacing/>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p>
    <w:p w14:paraId="00D25431">
      <w:pPr>
        <w:pStyle w:val="55"/>
        <w:rPr>
          <w:rFonts w:hint="eastAsia"/>
          <w:color w:val="000000" w:themeColor="text1"/>
          <w14:textFill>
            <w14:solidFill>
              <w14:schemeClr w14:val="tx1"/>
            </w14:solidFill>
          </w14:textFill>
        </w:rPr>
      </w:pPr>
    </w:p>
    <w:bookmarkEnd w:id="108"/>
    <w:bookmarkEnd w:id="109"/>
    <w:bookmarkEnd w:id="110"/>
    <w:p w14:paraId="0C4849FE">
      <w:pPr>
        <w:pStyle w:val="14"/>
        <w:rPr>
          <w:rFonts w:hint="eastAsia" w:ascii="宋体" w:hAnsi="宋体" w:cs="宋体"/>
          <w:color w:val="000000" w:themeColor="text1"/>
          <w:szCs w:val="21"/>
          <w:highlight w:val="none"/>
          <w14:textFill>
            <w14:solidFill>
              <w14:schemeClr w14:val="tx1"/>
            </w14:solidFill>
          </w14:textFill>
        </w:rPr>
      </w:pPr>
    </w:p>
    <w:p w14:paraId="1E578AD8">
      <w:pPr>
        <w:pStyle w:val="14"/>
        <w:rPr>
          <w:rFonts w:hint="eastAsia" w:ascii="宋体" w:hAnsi="宋体" w:cs="宋体"/>
          <w:color w:val="000000" w:themeColor="text1"/>
          <w:szCs w:val="21"/>
          <w:highlight w:val="none"/>
          <w14:textFill>
            <w14:solidFill>
              <w14:schemeClr w14:val="tx1"/>
            </w14:solidFill>
          </w14:textFill>
        </w:rPr>
      </w:pPr>
    </w:p>
    <w:p w14:paraId="78E5BC45">
      <w:pPr>
        <w:rPr>
          <w:rFonts w:hint="eastAsia" w:ascii="宋体" w:hAnsi="宋体" w:eastAsia="宋体" w:cs="宋体"/>
          <w:b/>
          <w:bCs/>
          <w:color w:val="000000" w:themeColor="text1"/>
          <w:sz w:val="44"/>
          <w:szCs w:val="44"/>
          <w:highlight w:val="none"/>
          <w:lang w:eastAsia="zh-CN"/>
          <w14:textFill>
            <w14:solidFill>
              <w14:schemeClr w14:val="tx1"/>
            </w14:solidFill>
          </w14:textFill>
        </w:rPr>
      </w:pPr>
      <w:bookmarkStart w:id="172" w:name="_Toc18540"/>
      <w:bookmarkStart w:id="173" w:name="_Toc474"/>
      <w:bookmarkStart w:id="174" w:name="_Toc25773"/>
      <w:bookmarkStart w:id="175" w:name="_Toc31702"/>
      <w:bookmarkStart w:id="176" w:name="_Toc465856615"/>
      <w:r>
        <w:rPr>
          <w:rFonts w:hint="eastAsia" w:ascii="宋体" w:hAnsi="宋体" w:eastAsia="宋体" w:cs="宋体"/>
          <w:b/>
          <w:bCs/>
          <w:color w:val="000000" w:themeColor="text1"/>
          <w:sz w:val="44"/>
          <w:szCs w:val="44"/>
          <w:highlight w:val="none"/>
          <w:lang w:eastAsia="zh-CN"/>
          <w14:textFill>
            <w14:solidFill>
              <w14:schemeClr w14:val="tx1"/>
            </w14:solidFill>
          </w14:textFill>
        </w:rPr>
        <w:br w:type="page" w:clear="all"/>
      </w:r>
    </w:p>
    <w:p w14:paraId="64D9B43F">
      <w:pPr>
        <w:pStyle w:val="207"/>
        <w:numPr>
          <w:ilvl w:val="0"/>
          <w:numId w:val="0"/>
        </w:numPr>
        <w:jc w:val="center"/>
        <w:rPr>
          <w:rFonts w:hint="default" w:ascii="宋体" w:hAnsi="宋体" w:eastAsia="宋体" w:cs="宋体"/>
          <w:color w:val="000000" w:themeColor="text1"/>
          <w:sz w:val="44"/>
          <w:szCs w:val="44"/>
          <w:highlight w:val="none"/>
          <w:lang w:val="en-US" w:eastAsia="zh-CN"/>
          <w14:textFill>
            <w14:solidFill>
              <w14:schemeClr w14:val="tx1"/>
            </w14:solidFill>
          </w14:textFill>
        </w:rPr>
      </w:pPr>
      <w:r>
        <w:rPr>
          <w:rFonts w:hint="eastAsia" w:ascii="宋体" w:hAnsi="宋体" w:eastAsia="宋体" w:cs="宋体"/>
          <w:b/>
          <w:bCs/>
          <w:color w:val="000000" w:themeColor="text1"/>
          <w:sz w:val="44"/>
          <w:szCs w:val="44"/>
          <w:highlight w:val="none"/>
          <w:lang w:eastAsia="zh-CN"/>
          <w14:textFill>
            <w14:solidFill>
              <w14:schemeClr w14:val="tx1"/>
            </w14:solidFill>
          </w14:textFill>
        </w:rPr>
        <w:t>第四章</w:t>
      </w:r>
      <w:bookmarkEnd w:id="172"/>
      <w:bookmarkEnd w:id="173"/>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 项目需求</w:t>
      </w:r>
    </w:p>
    <w:p w14:paraId="65CBDCFF">
      <w:pPr>
        <w:numPr>
          <w:ilvl w:val="0"/>
          <w:numId w:val="0"/>
        </w:numPr>
        <w:rPr>
          <w:rFonts w:hint="eastAsia" w:ascii="宋体" w:hAnsi="宋体" w:eastAsia="宋体" w:cs="宋体"/>
          <w:color w:val="000000" w:themeColor="text1"/>
          <w:highlight w:val="none"/>
          <w:lang w:eastAsia="zh-CN"/>
          <w14:textFill>
            <w14:solidFill>
              <w14:schemeClr w14:val="tx1"/>
            </w14:solidFill>
          </w14:textFill>
        </w:rPr>
      </w:pPr>
    </w:p>
    <w:p w14:paraId="2667EDF5">
      <w:pPr>
        <w:keepNext w:val="0"/>
        <w:keepLines w:val="0"/>
        <w:pageBreakBefore w:val="0"/>
        <w:widowControl w:val="0"/>
        <w:numPr>
          <w:ilvl w:val="0"/>
          <w:numId w:val="0"/>
        </w:numPr>
        <w:spacing w:line="360" w:lineRule="auto"/>
        <w:ind w:firstLine="482"/>
        <w:rPr>
          <w:rFonts w:hint="eastAsia" w:ascii="宋体" w:hAnsi="宋体" w:eastAsia="宋体" w:cs="宋体"/>
          <w:b/>
          <w:color w:val="000000" w:themeColor="text1"/>
          <w:sz w:val="24"/>
          <w:szCs w:val="24"/>
          <w:highlight w:val="none"/>
          <w:lang w:val="en-US" w:eastAsia="zh-CN"/>
          <w14:textFill>
            <w14:solidFill>
              <w14:schemeClr w14:val="tx1"/>
            </w14:solidFill>
          </w14:textFill>
        </w:rPr>
      </w:pPr>
      <w:bookmarkStart w:id="177" w:name="_Toc142708871"/>
      <w:bookmarkStart w:id="178" w:name="_Toc153678434"/>
      <w:bookmarkStart w:id="179" w:name="_Toc204595694"/>
      <w:bookmarkStart w:id="180" w:name="_Toc28603"/>
      <w:bookmarkStart w:id="181" w:name="_Toc515874992"/>
      <w:bookmarkStart w:id="182" w:name="_Toc224532089"/>
      <w:bookmarkStart w:id="183" w:name="_Toc22510"/>
      <w:r>
        <w:rPr>
          <w:rFonts w:hint="eastAsia" w:ascii="宋体" w:hAnsi="宋体" w:eastAsia="宋体" w:cs="宋体"/>
          <w:b/>
          <w:color w:val="000000" w:themeColor="text1"/>
          <w:sz w:val="24"/>
          <w:szCs w:val="24"/>
          <w:highlight w:val="none"/>
          <w:lang w:val="en-US" w:eastAsia="zh-CN"/>
          <w14:textFill>
            <w14:solidFill>
              <w14:schemeClr w14:val="tx1"/>
            </w14:solidFill>
          </w14:textFill>
        </w:rPr>
        <w:t>说明：</w:t>
      </w:r>
    </w:p>
    <w:p w14:paraId="02169A12">
      <w:pPr>
        <w:widowControl/>
        <w:spacing w:line="360" w:lineRule="auto"/>
        <w:ind w:firstLine="802"/>
        <w:jc w:val="lef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1．</w:t>
      </w:r>
      <w:r>
        <w:rPr>
          <w:rFonts w:hint="eastAsia" w:ascii="宋体" w:hAnsi="宋体" w:eastAsia="宋体" w:cs="宋体"/>
          <w:b/>
          <w:bCs/>
          <w:color w:val="000000" w:themeColor="text1"/>
          <w:sz w:val="24"/>
          <w14:textFill>
            <w14:solidFill>
              <w14:schemeClr w14:val="tx1"/>
            </w14:solidFill>
          </w14:textFill>
        </w:rPr>
        <w:t>本项目需求中标注★号的部分为实质性要求和条件（由采购人根据实际情况设置），磋商供应商必须逐条明确作出满足原要求和条件的响应，否则作无效响应处理。</w:t>
      </w:r>
    </w:p>
    <w:p w14:paraId="4399CAE2">
      <w:pPr>
        <w:widowControl/>
        <w:spacing w:line="360" w:lineRule="auto"/>
        <w:ind w:firstLine="802"/>
        <w:jc w:val="lef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2．</w:t>
      </w:r>
      <w:r>
        <w:rPr>
          <w:rFonts w:hint="eastAsia" w:ascii="宋体" w:hAnsi="宋体" w:eastAsia="宋体" w:cs="宋体"/>
          <w:b/>
          <w:bCs/>
          <w:color w:val="000000" w:themeColor="text1"/>
          <w:sz w:val="24"/>
          <w14:textFill>
            <w14:solidFill>
              <w14:schemeClr w14:val="tx1"/>
            </w14:solidFill>
          </w14:textFill>
        </w:rPr>
        <w:t>本项目采购方式为竞争性磋商，项目属性为工程。</w:t>
      </w:r>
    </w:p>
    <w:p w14:paraId="35E92230">
      <w:pPr>
        <w:widowControl/>
        <w:spacing w:line="360" w:lineRule="auto"/>
        <w:ind w:firstLine="802"/>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3．</w:t>
      </w:r>
      <w:r>
        <w:rPr>
          <w:rFonts w:hint="eastAsia" w:ascii="宋体" w:hAnsi="宋体" w:eastAsia="宋体" w:cs="宋体"/>
          <w:b/>
          <w:bCs/>
          <w:color w:val="000000" w:themeColor="text1"/>
          <w:sz w:val="24"/>
          <w14:textFill>
            <w14:solidFill>
              <w14:schemeClr w14:val="tx1"/>
            </w14:solidFill>
          </w14:textFill>
        </w:rPr>
        <w:t>本项目采购标的对应的中小企业划分标准所属行业为</w:t>
      </w:r>
      <w:r>
        <w:rPr>
          <w:rFonts w:hint="eastAsia" w:ascii="宋体" w:hAnsi="宋体" w:eastAsia="宋体" w:cs="宋体"/>
          <w:b/>
          <w:bCs/>
          <w:color w:val="000000" w:themeColor="text1"/>
          <w:sz w:val="24"/>
          <w:u w:val="single"/>
          <w:lang w:val="en-US" w:eastAsia="zh-CN"/>
          <w14:textFill>
            <w14:solidFill>
              <w14:schemeClr w14:val="tx1"/>
            </w14:solidFill>
          </w14:textFill>
        </w:rPr>
        <w:t>建筑业</w:t>
      </w:r>
      <w:r>
        <w:rPr>
          <w:rFonts w:hint="eastAsia" w:ascii="宋体" w:hAnsi="宋体" w:eastAsia="宋体" w:cs="宋体"/>
          <w:b/>
          <w:bCs/>
          <w:color w:val="000000" w:themeColor="text1"/>
          <w:sz w:val="24"/>
          <w14:textFill>
            <w14:solidFill>
              <w14:schemeClr w14:val="tx1"/>
            </w14:solidFill>
          </w14:textFill>
        </w:rPr>
        <w:t xml:space="preserve">。 </w:t>
      </w:r>
    </w:p>
    <w:p w14:paraId="0B9B334A">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cs="宋体"/>
          <w:b/>
          <w:bCs/>
          <w:color w:val="000000" w:themeColor="text1"/>
          <w:sz w:val="24"/>
          <w:szCs w:val="24"/>
          <w:lang w:val="en-US" w:eastAsia="zh-CN"/>
          <w14:textFill>
            <w14:solidFill>
              <w14:schemeClr w14:val="tx1"/>
            </w14:solidFill>
          </w14:textFill>
        </w:rPr>
      </w:pPr>
      <w:r>
        <w:rPr>
          <w:rFonts w:hint="eastAsia" w:cs="宋体"/>
          <w:b/>
          <w:bCs/>
          <w:color w:val="000000" w:themeColor="text1"/>
          <w:sz w:val="24"/>
          <w:szCs w:val="24"/>
          <w:lang w:val="en-US" w:eastAsia="zh-CN"/>
          <w14:textFill>
            <w14:solidFill>
              <w14:schemeClr w14:val="tx1"/>
            </w14:solidFill>
          </w14:textFill>
        </w:rPr>
        <w:t>一</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cs="宋体"/>
          <w:b/>
          <w:bCs/>
          <w:color w:val="000000" w:themeColor="text1"/>
          <w:sz w:val="24"/>
          <w:szCs w:val="24"/>
          <w:lang w:val="en-US" w:eastAsia="zh-CN"/>
          <w14:textFill>
            <w14:solidFill>
              <w14:schemeClr w14:val="tx1"/>
            </w14:solidFill>
          </w14:textFill>
        </w:rPr>
        <w:t>工程概况</w:t>
      </w:r>
    </w:p>
    <w:p w14:paraId="6D9B9D01">
      <w:pPr>
        <w:pageBreakBefore w:val="0"/>
        <w:spacing w:line="360" w:lineRule="auto"/>
        <w:ind w:firstLine="787" w:firstLineChars="32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建设地点：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连云港市海州区浦南镇</w:t>
      </w:r>
      <w:r>
        <w:rPr>
          <w:rFonts w:hint="eastAsia" w:ascii="宋体" w:hAnsi="宋体" w:cs="宋体"/>
          <w:color w:val="000000" w:themeColor="text1"/>
          <w:sz w:val="24"/>
          <w:szCs w:val="24"/>
          <w:highlight w:val="none"/>
          <w:lang w:val="en-US" w:eastAsia="zh-CN"/>
          <w14:textFill>
            <w14:solidFill>
              <w14:schemeClr w14:val="tx1"/>
            </w14:solidFill>
          </w14:textFill>
        </w:rPr>
        <w:t>浦北村</w:t>
      </w:r>
    </w:p>
    <w:p w14:paraId="614A3593">
      <w:pPr>
        <w:pageBreakBefore w:val="0"/>
        <w:spacing w:line="360" w:lineRule="auto"/>
        <w:ind w:firstLine="787" w:firstLineChars="328"/>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施工范围：</w:t>
      </w:r>
      <w:r>
        <w:rPr>
          <w:rFonts w:hint="eastAsia" w:ascii="宋体" w:hAnsi="宋体" w:cs="宋体"/>
          <w:color w:val="000000" w:themeColor="text1"/>
          <w:sz w:val="24"/>
          <w:szCs w:val="24"/>
          <w:highlight w:val="none"/>
          <w:lang w:eastAsia="zh-CN"/>
          <w14:textFill>
            <w14:solidFill>
              <w14:schemeClr w14:val="tx1"/>
            </w14:solidFill>
          </w14:textFill>
        </w:rPr>
        <w:t>浦南镇2025年度宜居宜业和美乡村建设项目</w:t>
      </w:r>
      <w:r>
        <w:rPr>
          <w:rFonts w:hint="eastAsia" w:ascii="宋体" w:hAnsi="宋体" w:cs="宋体"/>
          <w:color w:val="000000" w:themeColor="text1"/>
          <w:sz w:val="24"/>
          <w:szCs w:val="24"/>
          <w:highlight w:val="none"/>
          <w:lang w:val="en-US" w:eastAsia="zh-CN"/>
          <w14:textFill>
            <w14:solidFill>
              <w14:schemeClr w14:val="tx1"/>
            </w14:solidFill>
          </w14:textFill>
        </w:rPr>
        <w:t>，具体详见工程量清单及图纸。</w:t>
      </w:r>
    </w:p>
    <w:p w14:paraId="5D7092F6">
      <w:pPr>
        <w:pageBreakBefore w:val="0"/>
        <w:spacing w:line="360" w:lineRule="auto"/>
        <w:ind w:firstLine="787" w:firstLineChars="32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承包方式：包工包料</w:t>
      </w:r>
    </w:p>
    <w:p w14:paraId="0E5373FD">
      <w:pPr>
        <w:spacing w:line="360" w:lineRule="auto"/>
        <w:ind w:firstLine="790" w:firstLineChars="328"/>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质量标准：执行国家现行验收标准，等级为合格</w:t>
      </w:r>
      <w:r>
        <w:rPr>
          <w:rFonts w:hint="eastAsia" w:ascii="宋体" w:hAnsi="宋体" w:cs="宋体"/>
          <w:color w:val="000000" w:themeColor="text1"/>
          <w:sz w:val="24"/>
          <w:szCs w:val="24"/>
          <w:highlight w:val="none"/>
          <w:lang w:eastAsia="zh-CN"/>
          <w14:textFill>
            <w14:solidFill>
              <w14:schemeClr w14:val="tx1"/>
            </w14:solidFill>
          </w14:textFill>
        </w:rPr>
        <w:t>。</w:t>
      </w:r>
    </w:p>
    <w:p w14:paraId="731C37CC">
      <w:pPr>
        <w:spacing w:line="360" w:lineRule="auto"/>
        <w:ind w:firstLine="790" w:firstLineChars="328"/>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合同履行期限（工期）：</w:t>
      </w:r>
      <w:r>
        <w:rPr>
          <w:rFonts w:hint="eastAsia" w:ascii="宋体" w:hAnsi="宋体" w:cs="宋体"/>
          <w:color w:val="000000" w:themeColor="text1"/>
          <w:sz w:val="24"/>
          <w:szCs w:val="24"/>
          <w:highlight w:val="none"/>
          <w:lang w:val="en-US" w:eastAsia="zh-CN"/>
          <w14:textFill>
            <w14:solidFill>
              <w14:schemeClr w14:val="tx1"/>
            </w14:solidFill>
          </w14:textFill>
        </w:rPr>
        <w:t>50日历天，具体开工日期以采购人发出的书面通知（开工令）为准。</w:t>
      </w:r>
    </w:p>
    <w:p w14:paraId="0FE19385">
      <w:pPr>
        <w:keepNext w:val="0"/>
        <w:keepLines w:val="0"/>
        <w:widowControl w:val="0"/>
        <w:suppressLineNumbers w:val="0"/>
        <w:pBdr>
          <w:top w:val="none" w:color="auto" w:sz="0" w:space="0"/>
          <w:left w:val="none" w:color="auto" w:sz="0" w:space="0"/>
          <w:right w:val="none" w:color="auto" w:sz="0" w:space="0"/>
          <w:between w:val="none" w:color="auto" w:sz="0" w:space="0"/>
        </w:pBdr>
        <w:spacing w:before="0" w:beforeAutospacing="0" w:after="0" w:afterAutospacing="0" w:line="360" w:lineRule="auto"/>
        <w:ind w:left="0" w:firstLine="790" w:firstLineChars="328"/>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付款方式</w:t>
      </w:r>
    </w:p>
    <w:p w14:paraId="1A40286A">
      <w:pPr>
        <w:keepNext w:val="0"/>
        <w:keepLines w:val="0"/>
        <w:widowControl w:val="0"/>
        <w:suppressLineNumbers w:val="0"/>
        <w:pBdr>
          <w:top w:val="none" w:color="auto" w:sz="0" w:space="0"/>
          <w:left w:val="none" w:color="auto" w:sz="0" w:space="0"/>
          <w:right w:val="none" w:color="auto" w:sz="0" w:space="0"/>
          <w:between w:val="none" w:color="auto" w:sz="0" w:space="0"/>
        </w:pBdr>
        <w:spacing w:before="0" w:beforeAutospacing="0" w:after="0" w:afterAutospacing="0" w:line="360" w:lineRule="auto"/>
        <w:ind w:left="0" w:firstLine="787" w:firstLineChars="328"/>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（1）本工程预付款10%，</w:t>
      </w:r>
      <w:r>
        <w:rPr>
          <w:rFonts w:hint="eastAsia" w:ascii="宋体" w:hAnsi="宋体" w:eastAsia="宋体" w:cs="宋体"/>
          <w:color w:val="000000" w:themeColor="text1"/>
          <w:sz w:val="24"/>
          <w:szCs w:val="24"/>
          <w:highlight w:val="none"/>
          <w:lang w:eastAsia="zh-CN"/>
          <w14:textFill>
            <w14:solidFill>
              <w14:schemeClr w14:val="tx1"/>
            </w14:solidFill>
          </w14:textFill>
        </w:rPr>
        <w:t>工程完工并验收合格后付已完合格工程量价款的80%，工程结算审计完成后付至审定价的97%。留审定价款的3％作为质量保修金，待缺陷责任期（2年）满后且无质量问题也无违约情况下付清余款（不计利息）。</w:t>
      </w:r>
    </w:p>
    <w:p w14:paraId="69FBAA12">
      <w:pPr>
        <w:keepNext w:val="0"/>
        <w:keepLines w:val="0"/>
        <w:widowControl w:val="0"/>
        <w:suppressLineNumbers w:val="0"/>
        <w:pBdr>
          <w:top w:val="none" w:color="auto" w:sz="0" w:space="0"/>
          <w:left w:val="none" w:color="auto" w:sz="0" w:space="0"/>
          <w:right w:val="none" w:color="auto" w:sz="0" w:space="0"/>
          <w:between w:val="none" w:color="auto" w:sz="0" w:space="0"/>
        </w:pBdr>
        <w:spacing w:before="0" w:beforeAutospacing="0" w:after="0" w:afterAutospacing="0" w:line="360" w:lineRule="auto"/>
        <w:ind w:left="0" w:firstLine="787" w:firstLineChars="328"/>
        <w:rPr>
          <w:rFonts w:hint="eastAsia" w:ascii="宋体" w:hAnsi="宋体" w:eastAsia="宋体" w:cs="宋体"/>
          <w:b/>
          <w:bCs w:val="0"/>
          <w:color w:val="000000" w:themeColor="text1"/>
          <w:spacing w:val="2"/>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（2）每次支付工程款前，承包人必须提供符合发包人要求的发票，否则延迟付款的责任由承包人自行承担。</w:t>
      </w:r>
    </w:p>
    <w:p w14:paraId="53D0B86B">
      <w:pPr>
        <w:keepNext w:val="0"/>
        <w:keepLines w:val="0"/>
        <w:widowControl w:val="0"/>
        <w:suppressLineNumbers w:val="0"/>
        <w:pBdr>
          <w:top w:val="none" w:color="auto" w:sz="0" w:space="0"/>
          <w:left w:val="none" w:color="auto" w:sz="0" w:space="0"/>
          <w:right w:val="none" w:color="auto" w:sz="0" w:space="0"/>
          <w:between w:val="none" w:color="auto" w:sz="0" w:space="0"/>
        </w:pBdr>
        <w:spacing w:before="0" w:beforeAutospacing="0" w:after="0" w:afterAutospacing="0" w:line="360" w:lineRule="auto"/>
        <w:ind w:left="0" w:firstLine="482" w:firstLineChars="200"/>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cs="宋体"/>
          <w:b/>
          <w:bCs/>
          <w:color w:val="000000" w:themeColor="text1"/>
          <w:sz w:val="24"/>
          <w:szCs w:val="24"/>
          <w:lang w:val="en-US" w:eastAsia="zh-CN"/>
          <w14:textFill>
            <w14:solidFill>
              <w14:schemeClr w14:val="tx1"/>
            </w14:solidFill>
          </w14:textFill>
        </w:rPr>
        <w:t>二</w:t>
      </w:r>
      <w:r>
        <w:rPr>
          <w:rFonts w:hint="eastAsia" w:ascii="宋体" w:hAnsi="宋体" w:eastAsia="宋体" w:cs="宋体"/>
          <w:b/>
          <w:bCs/>
          <w:color w:val="000000" w:themeColor="text1"/>
          <w:sz w:val="24"/>
          <w:szCs w:val="24"/>
          <w14:textFill>
            <w14:solidFill>
              <w14:schemeClr w14:val="tx1"/>
            </w14:solidFill>
          </w14:textFill>
        </w:rPr>
        <w:t>、工程建设标准及技术规范</w:t>
      </w:r>
    </w:p>
    <w:p w14:paraId="3872B29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78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(一)本工程采用的计价规范 </w:t>
      </w:r>
    </w:p>
    <w:p w14:paraId="76C1782D">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787"/>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eastAsia" w:eastAsia="宋体"/>
          <w:color w:val="000000" w:themeColor="text1"/>
          <w:highlight w:val="none"/>
          <w:lang w:eastAsia="zh-CN"/>
          <w14:textFill>
            <w14:solidFill>
              <w14:schemeClr w14:val="tx1"/>
            </w14:solidFill>
          </w14:textFill>
        </w:rPr>
        <w:t>《建设工程工程量清单计价标准》（GB/T50500-2024）</w:t>
      </w:r>
    </w:p>
    <w:p w14:paraId="73F00D3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787"/>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eastAsia="宋体"/>
          <w:color w:val="000000" w:themeColor="text1"/>
          <w:highlight w:val="none"/>
          <w:lang w:eastAsia="zh-CN"/>
          <w14:textFill>
            <w14:solidFill>
              <w14:schemeClr w14:val="tx1"/>
            </w14:solidFill>
          </w14:textFill>
        </w:rPr>
        <w:t>、《房屋建筑与装饰工程工程量计算标准》（GB/T50854-2024）</w:t>
      </w:r>
    </w:p>
    <w:p w14:paraId="2A12DA2D">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787"/>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eastAsia" w:eastAsia="宋体"/>
          <w:color w:val="000000" w:themeColor="text1"/>
          <w:highlight w:val="none"/>
          <w:lang w:eastAsia="zh-CN"/>
          <w14:textFill>
            <w14:solidFill>
              <w14:schemeClr w14:val="tx1"/>
            </w14:solidFill>
          </w14:textFill>
        </w:rPr>
        <w:t>、《通用安装工程工程量计算标准》（GB/T50856-2024）</w:t>
      </w:r>
    </w:p>
    <w:p w14:paraId="4C33ED5F">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787"/>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eastAsia="宋体"/>
          <w:color w:val="000000" w:themeColor="text1"/>
          <w:highlight w:val="none"/>
          <w:lang w:eastAsia="zh-CN"/>
          <w14:textFill>
            <w14:solidFill>
              <w14:schemeClr w14:val="tx1"/>
            </w14:solidFill>
          </w14:textFill>
        </w:rPr>
        <w:t>、《市政工程工程量计算标准》（GB/T50857-2024）</w:t>
      </w:r>
    </w:p>
    <w:p w14:paraId="3DEA777A">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787"/>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eastAsia" w:eastAsia="宋体"/>
          <w:color w:val="000000" w:themeColor="text1"/>
          <w:highlight w:val="none"/>
          <w:lang w:eastAsia="zh-CN"/>
          <w14:textFill>
            <w14:solidFill>
              <w14:schemeClr w14:val="tx1"/>
            </w14:solidFill>
          </w14:textFill>
        </w:rPr>
        <w:t>、《园林绿化工程工程量计算标准》（GB/T50858-2024）</w:t>
      </w:r>
    </w:p>
    <w:p w14:paraId="18810A43">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787"/>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r>
        <w:rPr>
          <w:rFonts w:hint="eastAsia" w:eastAsia="宋体"/>
          <w:color w:val="000000" w:themeColor="text1"/>
          <w:highlight w:val="none"/>
          <w:lang w:eastAsia="zh-CN"/>
          <w14:textFill>
            <w14:solidFill>
              <w14:schemeClr w14:val="tx1"/>
            </w14:solidFill>
          </w14:textFill>
        </w:rPr>
        <w:t>、《2007江苏园林定额》</w:t>
      </w:r>
    </w:p>
    <w:p w14:paraId="4A12977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787"/>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w:t>
      </w:r>
      <w:r>
        <w:rPr>
          <w:rFonts w:hint="eastAsia" w:eastAsia="宋体"/>
          <w:color w:val="000000" w:themeColor="text1"/>
          <w:highlight w:val="none"/>
          <w:lang w:eastAsia="zh-CN"/>
          <w14:textFill>
            <w14:solidFill>
              <w14:schemeClr w14:val="tx1"/>
            </w14:solidFill>
          </w14:textFill>
        </w:rPr>
        <w:t>、《2026江苏省建筑与装饰工程消耗量定额》</w:t>
      </w:r>
    </w:p>
    <w:p w14:paraId="1B241D44">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787"/>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w:t>
      </w:r>
      <w:r>
        <w:rPr>
          <w:rFonts w:hint="eastAsia" w:eastAsia="宋体"/>
          <w:color w:val="000000" w:themeColor="text1"/>
          <w:highlight w:val="none"/>
          <w:lang w:eastAsia="zh-CN"/>
          <w14:textFill>
            <w14:solidFill>
              <w14:schemeClr w14:val="tx1"/>
            </w14:solidFill>
          </w14:textFill>
        </w:rPr>
        <w:t>、《2026江苏省通用安装工程消耗量定额》</w:t>
      </w:r>
    </w:p>
    <w:p w14:paraId="71486AD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787"/>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9</w:t>
      </w:r>
      <w:r>
        <w:rPr>
          <w:rFonts w:hint="eastAsia" w:eastAsia="宋体"/>
          <w:color w:val="000000" w:themeColor="text1"/>
          <w:highlight w:val="none"/>
          <w:lang w:eastAsia="zh-CN"/>
          <w14:textFill>
            <w14:solidFill>
              <w14:schemeClr w14:val="tx1"/>
            </w14:solidFill>
          </w14:textFill>
        </w:rPr>
        <w:t>、《2026江苏省市政工程消耗量定额》</w:t>
      </w:r>
    </w:p>
    <w:p w14:paraId="3E33EFD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787"/>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w:t>
      </w:r>
      <w:r>
        <w:rPr>
          <w:rFonts w:hint="eastAsia" w:eastAsia="宋体"/>
          <w:color w:val="000000" w:themeColor="text1"/>
          <w:highlight w:val="none"/>
          <w:lang w:eastAsia="zh-CN"/>
          <w14:textFill>
            <w14:solidFill>
              <w14:schemeClr w14:val="tx1"/>
            </w14:solidFill>
          </w14:textFill>
        </w:rPr>
        <w:t>、《江苏省建设工程费用参考2024》等</w:t>
      </w:r>
    </w:p>
    <w:p w14:paraId="2B239A8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(二)本工程采用的技术规范 </w:t>
      </w:r>
    </w:p>
    <w:p w14:paraId="643F5C5F">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1、采用国家现行相关的国家标准和行业标准。 </w:t>
      </w:r>
    </w:p>
    <w:p w14:paraId="2404D90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2、采用行业标准的不得低于国家标准； </w:t>
      </w:r>
    </w:p>
    <w:p w14:paraId="18DABE5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3、同类标准中若国家有新颁布实施的，按新标准执行。 </w:t>
      </w:r>
    </w:p>
    <w:p w14:paraId="783F307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4、如没有国颁标准的，按相应的行业标准执行。</w:t>
      </w:r>
    </w:p>
    <w:p w14:paraId="565DB30F">
      <w:pPr>
        <w:widowControl/>
        <w:spacing w:line="360" w:lineRule="auto"/>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三</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其他要求</w:t>
      </w:r>
    </w:p>
    <w:p w14:paraId="46D84CCD">
      <w:pPr>
        <w:keepNext w:val="0"/>
        <w:keepLines w:val="0"/>
        <w:pageBreakBefore w:val="0"/>
        <w:widowControl w:val="0"/>
        <w:numPr>
          <w:ilvl w:val="0"/>
          <w:numId w:val="0"/>
        </w:numPr>
        <w:spacing w:beforeAutospacing="0" w:afterAutospacing="0" w:line="360" w:lineRule="auto"/>
        <w:ind w:left="0" w:right="0" w:firstLine="480"/>
        <w:jc w:val="left"/>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1、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p>
    <w:p w14:paraId="66773093">
      <w:pPr>
        <w:widowControl/>
        <w:spacing w:line="360" w:lineRule="auto"/>
        <w:ind w:left="0" w:firstLine="480"/>
        <w:jc w:val="lef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spacing w:val="0"/>
          <w:sz w:val="24"/>
          <w:szCs w:val="24"/>
          <w:highlight w:val="none"/>
          <w:lang w:val="en-US" w:eastAsia="zh-CN"/>
        </w:rPr>
        <w:t>2、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投标报价含含人工费、材料费、运输费、机械费、措施费、管理费、利润、规费、税金、临时设施、安全文明施工费、材料检测等其他投标成本和完成项目的全部费用</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w:t>
      </w:r>
    </w:p>
    <w:p w14:paraId="1516A2EA">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themeColor="text1"/>
          <w:sz w:val="24"/>
          <w:szCs w:val="24"/>
          <w14:textFill>
            <w14:solidFill>
              <w14:schemeClr w14:val="tx1"/>
            </w14:solidFill>
          </w14:textFill>
        </w:rPr>
      </w:pPr>
    </w:p>
    <w:p w14:paraId="49F7B968">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themeColor="text1"/>
          <w:sz w:val="24"/>
          <w:szCs w:val="24"/>
          <w14:textFill>
            <w14:solidFill>
              <w14:schemeClr w14:val="tx1"/>
            </w14:solidFill>
          </w14:textFill>
        </w:rPr>
      </w:pPr>
    </w:p>
    <w:p w14:paraId="53D090B8">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themeColor="text1"/>
          <w:sz w:val="24"/>
          <w:szCs w:val="24"/>
          <w14:textFill>
            <w14:solidFill>
              <w14:schemeClr w14:val="tx1"/>
            </w14:solidFill>
          </w14:textFill>
        </w:rPr>
      </w:pPr>
    </w:p>
    <w:p w14:paraId="4DE3AF39">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themeColor="text1"/>
          <w:sz w:val="24"/>
          <w:szCs w:val="24"/>
          <w14:textFill>
            <w14:solidFill>
              <w14:schemeClr w14:val="tx1"/>
            </w14:solidFill>
          </w14:textFill>
        </w:rPr>
      </w:pPr>
    </w:p>
    <w:p w14:paraId="71AB9BAE">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br w:type="page" w:clear="all"/>
      </w:r>
    </w:p>
    <w:bookmarkEnd w:id="177"/>
    <w:bookmarkEnd w:id="178"/>
    <w:p w14:paraId="02E9F9AA">
      <w:pPr>
        <w:pStyle w:val="207"/>
        <w:numPr>
          <w:ilvl w:val="0"/>
          <w:numId w:val="0"/>
        </w:numPr>
        <w:spacing w:line="360" w:lineRule="auto"/>
        <w:jc w:val="center"/>
        <w:rPr>
          <w:rFonts w:hint="eastAsia" w:ascii="宋体" w:hAnsi="宋体" w:eastAsia="宋体" w:cs="宋体"/>
          <w:b/>
          <w:bCs/>
          <w:color w:val="000000" w:themeColor="text1"/>
          <w:sz w:val="44"/>
          <w:szCs w:val="44"/>
          <w:highlight w:val="none"/>
          <w14:textFill>
            <w14:solidFill>
              <w14:schemeClr w14:val="tx1"/>
            </w14:solidFill>
          </w14:textFill>
        </w:rPr>
      </w:pPr>
      <w:bookmarkStart w:id="184" w:name="_Toc8176"/>
      <w:r>
        <w:rPr>
          <w:rFonts w:hint="eastAsia" w:ascii="宋体" w:hAnsi="宋体" w:eastAsia="宋体" w:cs="宋体"/>
          <w:b/>
          <w:bCs/>
          <w:color w:val="000000" w:themeColor="text1"/>
          <w:sz w:val="44"/>
          <w:szCs w:val="44"/>
          <w:lang w:val="en-US" w:eastAsia="zh-CN" w:bidi="ar-SA"/>
          <w14:textFill>
            <w14:solidFill>
              <w14:schemeClr w14:val="tx1"/>
            </w14:solidFill>
          </w14:textFill>
        </w:rPr>
        <w:t>第五章</w:t>
      </w:r>
      <w:r>
        <w:rPr>
          <w:rFonts w:hint="eastAsia" w:ascii="宋体" w:hAnsi="宋体" w:eastAsia="宋体" w:cs="宋体"/>
          <w:b/>
          <w:bCs/>
          <w:color w:val="000000" w:themeColor="text1"/>
          <w:sz w:val="44"/>
          <w:szCs w:val="44"/>
          <w:highlight w:val="none"/>
          <w14:textFill>
            <w14:solidFill>
              <w14:schemeClr w14:val="tx1"/>
            </w14:solidFill>
          </w14:textFill>
        </w:rPr>
        <w:t>工程量清单</w:t>
      </w:r>
      <w:bookmarkEnd w:id="179"/>
      <w:bookmarkEnd w:id="180"/>
      <w:bookmarkEnd w:id="181"/>
      <w:bookmarkEnd w:id="182"/>
      <w:bookmarkEnd w:id="183"/>
    </w:p>
    <w:p w14:paraId="4C4C136E">
      <w:pPr>
        <w:pStyle w:val="207"/>
        <w:numPr>
          <w:ilvl w:val="0"/>
          <w:numId w:val="0"/>
        </w:numPr>
        <w:spacing w:line="360" w:lineRule="auto"/>
        <w:jc w:val="center"/>
        <w:rPr>
          <w:rFonts w:hint="eastAsia" w:ascii="宋体" w:hAnsi="宋体" w:eastAsia="宋体" w:cs="宋体"/>
          <w:b/>
          <w:bCs/>
          <w:color w:val="000000" w:themeColor="text1"/>
          <w:sz w:val="44"/>
          <w:szCs w:val="4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（图纸、清单详见附件）</w:t>
      </w:r>
      <w:bookmarkEnd w:id="184"/>
    </w:p>
    <w:p w14:paraId="11D8144E">
      <w:pPr>
        <w:widowControl w:val="0"/>
        <w:numPr>
          <w:ilvl w:val="0"/>
          <w:numId w:val="0"/>
        </w:numPr>
        <w:jc w:val="both"/>
        <w:rPr>
          <w:rFonts w:hint="eastAsia"/>
          <w:color w:val="000000" w:themeColor="text1"/>
          <w:lang w:eastAsia="zh-CN"/>
          <w14:textFill>
            <w14:solidFill>
              <w14:schemeClr w14:val="tx1"/>
            </w14:solidFill>
          </w14:textFill>
        </w:rPr>
      </w:pPr>
    </w:p>
    <w:p w14:paraId="3496581E">
      <w:pPr>
        <w:pStyle w:val="55"/>
        <w:rPr>
          <w:rFonts w:hint="eastAsia"/>
          <w:color w:val="000000" w:themeColor="text1"/>
          <w:lang w:eastAsia="zh-CN"/>
          <w14:textFill>
            <w14:solidFill>
              <w14:schemeClr w14:val="tx1"/>
            </w14:solidFill>
          </w14:textFill>
        </w:rPr>
      </w:pPr>
    </w:p>
    <w:p w14:paraId="7C00BB69">
      <w:pPr>
        <w:pStyle w:val="55"/>
        <w:rPr>
          <w:rFonts w:hint="eastAsia"/>
          <w:color w:val="000000" w:themeColor="text1"/>
          <w:lang w:eastAsia="zh-CN"/>
          <w14:textFill>
            <w14:solidFill>
              <w14:schemeClr w14:val="tx1"/>
            </w14:solidFill>
          </w14:textFill>
        </w:rPr>
      </w:pPr>
    </w:p>
    <w:p w14:paraId="5EE48E70">
      <w:pPr>
        <w:keepNext w:val="0"/>
        <w:keepLines w:val="0"/>
        <w:pageBreakBefore w:val="0"/>
        <w:widowControl w:val="0"/>
        <w:spacing w:beforeAutospacing="0" w:afterAutospacing="0" w:line="360" w:lineRule="auto"/>
        <w:ind w:left="0" w:right="0" w:firstLine="480"/>
        <w:jc w:val="center"/>
        <w:outlineLvl w:val="9"/>
        <w:rPr>
          <w:rFonts w:hint="eastAsia" w:ascii="宋体" w:hAnsi="宋体" w:eastAsia="宋体" w:cs="宋体"/>
          <w:color w:val="000000" w:themeColor="text1"/>
          <w:sz w:val="24"/>
          <w:highlight w:val="none"/>
          <w14:textFill>
            <w14:solidFill>
              <w14:schemeClr w14:val="tx1"/>
            </w14:solidFill>
          </w14:textFill>
        </w:rPr>
      </w:pPr>
    </w:p>
    <w:p w14:paraId="4F8E1569">
      <w:pPr>
        <w:pStyle w:val="55"/>
        <w:rPr>
          <w:rFonts w:hint="eastAsia"/>
          <w:color w:val="000000" w:themeColor="text1"/>
          <w:lang w:eastAsia="zh-CN"/>
          <w14:textFill>
            <w14:solidFill>
              <w14:schemeClr w14:val="tx1"/>
            </w14:solidFill>
          </w14:textFill>
        </w:rPr>
      </w:pPr>
    </w:p>
    <w:p w14:paraId="09A372A8">
      <w:pPr>
        <w:pStyle w:val="55"/>
        <w:rPr>
          <w:rFonts w:hint="eastAsia"/>
          <w:color w:val="000000" w:themeColor="text1"/>
          <w:lang w:eastAsia="zh-CN"/>
          <w14:textFill>
            <w14:solidFill>
              <w14:schemeClr w14:val="tx1"/>
            </w14:solidFill>
          </w14:textFill>
        </w:rPr>
      </w:pPr>
    </w:p>
    <w:p w14:paraId="00EDA089">
      <w:pPr>
        <w:pStyle w:val="55"/>
        <w:rPr>
          <w:rFonts w:hint="eastAsia"/>
          <w:color w:val="000000" w:themeColor="text1"/>
          <w:lang w:eastAsia="zh-CN"/>
          <w14:textFill>
            <w14:solidFill>
              <w14:schemeClr w14:val="tx1"/>
            </w14:solidFill>
          </w14:textFill>
        </w:rPr>
      </w:pPr>
    </w:p>
    <w:p w14:paraId="41ABDC2C">
      <w:pPr>
        <w:pStyle w:val="55"/>
        <w:rPr>
          <w:rFonts w:hint="eastAsia"/>
          <w:color w:val="000000" w:themeColor="text1"/>
          <w:lang w:eastAsia="zh-CN"/>
          <w14:textFill>
            <w14:solidFill>
              <w14:schemeClr w14:val="tx1"/>
            </w14:solidFill>
          </w14:textFill>
        </w:rPr>
      </w:pPr>
    </w:p>
    <w:p w14:paraId="03E32E46">
      <w:pPr>
        <w:pStyle w:val="55"/>
        <w:rPr>
          <w:rFonts w:hint="eastAsia"/>
          <w:color w:val="000000" w:themeColor="text1"/>
          <w:lang w:eastAsia="zh-CN"/>
          <w14:textFill>
            <w14:solidFill>
              <w14:schemeClr w14:val="tx1"/>
            </w14:solidFill>
          </w14:textFill>
        </w:rPr>
      </w:pPr>
    </w:p>
    <w:p w14:paraId="3418E020">
      <w:pPr>
        <w:pStyle w:val="55"/>
        <w:rPr>
          <w:rFonts w:hint="eastAsia"/>
          <w:color w:val="000000" w:themeColor="text1"/>
          <w:lang w:eastAsia="zh-CN"/>
          <w14:textFill>
            <w14:solidFill>
              <w14:schemeClr w14:val="tx1"/>
            </w14:solidFill>
          </w14:textFill>
        </w:rPr>
      </w:pPr>
    </w:p>
    <w:p w14:paraId="66CA553F">
      <w:pPr>
        <w:pStyle w:val="55"/>
        <w:rPr>
          <w:rFonts w:hint="eastAsia"/>
          <w:color w:val="000000" w:themeColor="text1"/>
          <w:lang w:eastAsia="zh-CN"/>
          <w14:textFill>
            <w14:solidFill>
              <w14:schemeClr w14:val="tx1"/>
            </w14:solidFill>
          </w14:textFill>
        </w:rPr>
      </w:pPr>
    </w:p>
    <w:p w14:paraId="0D67AD9C">
      <w:pPr>
        <w:pStyle w:val="55"/>
        <w:rPr>
          <w:rFonts w:hint="eastAsia"/>
          <w:color w:val="000000" w:themeColor="text1"/>
          <w:lang w:eastAsia="zh-CN"/>
          <w14:textFill>
            <w14:solidFill>
              <w14:schemeClr w14:val="tx1"/>
            </w14:solidFill>
          </w14:textFill>
        </w:rPr>
      </w:pPr>
    </w:p>
    <w:p w14:paraId="2F968B7A">
      <w:pPr>
        <w:pStyle w:val="55"/>
        <w:rPr>
          <w:rFonts w:hint="eastAsia"/>
          <w:color w:val="000000" w:themeColor="text1"/>
          <w:lang w:eastAsia="zh-CN"/>
          <w14:textFill>
            <w14:solidFill>
              <w14:schemeClr w14:val="tx1"/>
            </w14:solidFill>
          </w14:textFill>
        </w:rPr>
      </w:pPr>
    </w:p>
    <w:p w14:paraId="7409A7C5">
      <w:pPr>
        <w:pStyle w:val="55"/>
        <w:rPr>
          <w:rFonts w:hint="eastAsia"/>
          <w:color w:val="000000" w:themeColor="text1"/>
          <w:lang w:eastAsia="zh-CN"/>
          <w14:textFill>
            <w14:solidFill>
              <w14:schemeClr w14:val="tx1"/>
            </w14:solidFill>
          </w14:textFill>
        </w:rPr>
      </w:pPr>
    </w:p>
    <w:p w14:paraId="6D395355">
      <w:pPr>
        <w:pStyle w:val="55"/>
        <w:rPr>
          <w:rFonts w:hint="eastAsia"/>
          <w:color w:val="000000" w:themeColor="text1"/>
          <w:lang w:eastAsia="zh-CN"/>
          <w14:textFill>
            <w14:solidFill>
              <w14:schemeClr w14:val="tx1"/>
            </w14:solidFill>
          </w14:textFill>
        </w:rPr>
      </w:pPr>
    </w:p>
    <w:p w14:paraId="1683CE79">
      <w:pPr>
        <w:pStyle w:val="55"/>
        <w:rPr>
          <w:rFonts w:hint="eastAsia"/>
          <w:color w:val="000000" w:themeColor="text1"/>
          <w:lang w:eastAsia="zh-CN"/>
          <w14:textFill>
            <w14:solidFill>
              <w14:schemeClr w14:val="tx1"/>
            </w14:solidFill>
          </w14:textFill>
        </w:rPr>
      </w:pPr>
    </w:p>
    <w:p w14:paraId="19E9C25E">
      <w:pPr>
        <w:pStyle w:val="55"/>
        <w:rPr>
          <w:rFonts w:hint="eastAsia"/>
          <w:color w:val="000000" w:themeColor="text1"/>
          <w:lang w:eastAsia="zh-CN"/>
          <w14:textFill>
            <w14:solidFill>
              <w14:schemeClr w14:val="tx1"/>
            </w14:solidFill>
          </w14:textFill>
        </w:rPr>
      </w:pPr>
    </w:p>
    <w:p w14:paraId="6151633A">
      <w:pPr>
        <w:pStyle w:val="55"/>
        <w:rPr>
          <w:rFonts w:hint="eastAsia"/>
          <w:color w:val="000000" w:themeColor="text1"/>
          <w:lang w:eastAsia="zh-CN"/>
          <w14:textFill>
            <w14:solidFill>
              <w14:schemeClr w14:val="tx1"/>
            </w14:solidFill>
          </w14:textFill>
        </w:rPr>
      </w:pPr>
    </w:p>
    <w:p w14:paraId="3ABC57CE">
      <w:pPr>
        <w:pStyle w:val="55"/>
        <w:rPr>
          <w:rFonts w:hint="eastAsia"/>
          <w:color w:val="000000" w:themeColor="text1"/>
          <w:lang w:eastAsia="zh-CN"/>
          <w14:textFill>
            <w14:solidFill>
              <w14:schemeClr w14:val="tx1"/>
            </w14:solidFill>
          </w14:textFill>
        </w:rPr>
      </w:pPr>
    </w:p>
    <w:p w14:paraId="22F0CB96">
      <w:pPr>
        <w:pStyle w:val="55"/>
        <w:rPr>
          <w:rFonts w:hint="eastAsia"/>
          <w:color w:val="000000" w:themeColor="text1"/>
          <w:lang w:eastAsia="zh-CN"/>
          <w14:textFill>
            <w14:solidFill>
              <w14:schemeClr w14:val="tx1"/>
            </w14:solidFill>
          </w14:textFill>
        </w:rPr>
      </w:pPr>
    </w:p>
    <w:p w14:paraId="3D222AC6">
      <w:pPr>
        <w:pStyle w:val="55"/>
        <w:rPr>
          <w:rFonts w:hint="eastAsia"/>
          <w:color w:val="000000" w:themeColor="text1"/>
          <w:lang w:eastAsia="zh-CN"/>
          <w14:textFill>
            <w14:solidFill>
              <w14:schemeClr w14:val="tx1"/>
            </w14:solidFill>
          </w14:textFill>
        </w:rPr>
      </w:pPr>
    </w:p>
    <w:p w14:paraId="5EC37451">
      <w:pPr>
        <w:pStyle w:val="55"/>
        <w:rPr>
          <w:rFonts w:hint="eastAsia"/>
          <w:color w:val="000000" w:themeColor="text1"/>
          <w:lang w:eastAsia="zh-CN"/>
          <w14:textFill>
            <w14:solidFill>
              <w14:schemeClr w14:val="tx1"/>
            </w14:solidFill>
          </w14:textFill>
        </w:rPr>
      </w:pPr>
    </w:p>
    <w:p w14:paraId="59CC7ECB">
      <w:pPr>
        <w:pStyle w:val="55"/>
        <w:rPr>
          <w:rFonts w:hint="eastAsia"/>
          <w:color w:val="000000" w:themeColor="text1"/>
          <w:lang w:eastAsia="zh-CN"/>
          <w14:textFill>
            <w14:solidFill>
              <w14:schemeClr w14:val="tx1"/>
            </w14:solidFill>
          </w14:textFill>
        </w:rPr>
      </w:pPr>
    </w:p>
    <w:p w14:paraId="7BAAC404">
      <w:pPr>
        <w:pStyle w:val="55"/>
        <w:rPr>
          <w:rFonts w:hint="eastAsia"/>
          <w:color w:val="000000" w:themeColor="text1"/>
          <w:lang w:eastAsia="zh-CN"/>
          <w14:textFill>
            <w14:solidFill>
              <w14:schemeClr w14:val="tx1"/>
            </w14:solidFill>
          </w14:textFill>
        </w:rPr>
      </w:pPr>
    </w:p>
    <w:p w14:paraId="1B15BABD">
      <w:pPr>
        <w:pStyle w:val="55"/>
        <w:rPr>
          <w:rFonts w:hint="eastAsia"/>
          <w:color w:val="000000" w:themeColor="text1"/>
          <w:lang w:eastAsia="zh-CN"/>
          <w14:textFill>
            <w14:solidFill>
              <w14:schemeClr w14:val="tx1"/>
            </w14:solidFill>
          </w14:textFill>
        </w:rPr>
      </w:pPr>
    </w:p>
    <w:p w14:paraId="450785A3">
      <w:pPr>
        <w:pStyle w:val="55"/>
        <w:rPr>
          <w:rFonts w:hint="eastAsia"/>
          <w:color w:val="000000" w:themeColor="text1"/>
          <w:lang w:eastAsia="zh-CN"/>
          <w14:textFill>
            <w14:solidFill>
              <w14:schemeClr w14:val="tx1"/>
            </w14:solidFill>
          </w14:textFill>
        </w:rPr>
      </w:pPr>
    </w:p>
    <w:p w14:paraId="5B0EC182">
      <w:pPr>
        <w:pStyle w:val="55"/>
        <w:rPr>
          <w:rFonts w:hint="eastAsia"/>
          <w:color w:val="000000" w:themeColor="text1"/>
          <w:lang w:eastAsia="zh-CN"/>
          <w14:textFill>
            <w14:solidFill>
              <w14:schemeClr w14:val="tx1"/>
            </w14:solidFill>
          </w14:textFill>
        </w:rPr>
      </w:pPr>
    </w:p>
    <w:p w14:paraId="3906CAC2">
      <w:pPr>
        <w:pStyle w:val="55"/>
        <w:rPr>
          <w:rFonts w:hint="eastAsia"/>
          <w:color w:val="000000" w:themeColor="text1"/>
          <w:lang w:eastAsia="zh-CN"/>
          <w14:textFill>
            <w14:solidFill>
              <w14:schemeClr w14:val="tx1"/>
            </w14:solidFill>
          </w14:textFill>
        </w:rPr>
      </w:pPr>
    </w:p>
    <w:p w14:paraId="0CC6CE84">
      <w:pPr>
        <w:pStyle w:val="55"/>
        <w:rPr>
          <w:rFonts w:hint="eastAsia"/>
          <w:color w:val="000000" w:themeColor="text1"/>
          <w:lang w:eastAsia="zh-CN"/>
          <w14:textFill>
            <w14:solidFill>
              <w14:schemeClr w14:val="tx1"/>
            </w14:solidFill>
          </w14:textFill>
        </w:rPr>
      </w:pPr>
    </w:p>
    <w:p w14:paraId="78964E88">
      <w:pPr>
        <w:pStyle w:val="55"/>
        <w:rPr>
          <w:rFonts w:hint="eastAsia"/>
          <w:color w:val="000000" w:themeColor="text1"/>
          <w:lang w:eastAsia="zh-CN"/>
          <w14:textFill>
            <w14:solidFill>
              <w14:schemeClr w14:val="tx1"/>
            </w14:solidFill>
          </w14:textFill>
        </w:rPr>
      </w:pPr>
    </w:p>
    <w:p w14:paraId="20352C13">
      <w:pPr>
        <w:pStyle w:val="55"/>
        <w:rPr>
          <w:rFonts w:hint="eastAsia"/>
          <w:color w:val="000000" w:themeColor="text1"/>
          <w:lang w:eastAsia="zh-CN"/>
          <w14:textFill>
            <w14:solidFill>
              <w14:schemeClr w14:val="tx1"/>
            </w14:solidFill>
          </w14:textFill>
        </w:rPr>
      </w:pPr>
    </w:p>
    <w:p w14:paraId="41ECDC03">
      <w:pPr>
        <w:pStyle w:val="55"/>
        <w:rPr>
          <w:rFonts w:hint="eastAsia"/>
          <w:color w:val="000000" w:themeColor="text1"/>
          <w:lang w:eastAsia="zh-CN"/>
          <w14:textFill>
            <w14:solidFill>
              <w14:schemeClr w14:val="tx1"/>
            </w14:solidFill>
          </w14:textFill>
        </w:rPr>
      </w:pPr>
    </w:p>
    <w:p w14:paraId="7C408637">
      <w:pPr>
        <w:pStyle w:val="55"/>
        <w:rPr>
          <w:rFonts w:hint="eastAsia"/>
          <w:color w:val="000000" w:themeColor="text1"/>
          <w:lang w:eastAsia="zh-CN"/>
          <w14:textFill>
            <w14:solidFill>
              <w14:schemeClr w14:val="tx1"/>
            </w14:solidFill>
          </w14:textFill>
        </w:rPr>
      </w:pPr>
    </w:p>
    <w:p w14:paraId="7668EF40">
      <w:pPr>
        <w:pStyle w:val="55"/>
        <w:rPr>
          <w:rFonts w:hint="eastAsia"/>
          <w:color w:val="000000" w:themeColor="text1"/>
          <w:lang w:eastAsia="zh-CN"/>
          <w14:textFill>
            <w14:solidFill>
              <w14:schemeClr w14:val="tx1"/>
            </w14:solidFill>
          </w14:textFill>
        </w:rPr>
      </w:pPr>
    </w:p>
    <w:p w14:paraId="0CAE43D7">
      <w:pPr>
        <w:pStyle w:val="55"/>
        <w:rPr>
          <w:rFonts w:hint="eastAsia"/>
          <w:color w:val="000000" w:themeColor="text1"/>
          <w:lang w:eastAsia="zh-CN"/>
          <w14:textFill>
            <w14:solidFill>
              <w14:schemeClr w14:val="tx1"/>
            </w14:solidFill>
          </w14:textFill>
        </w:rPr>
      </w:pPr>
    </w:p>
    <w:p w14:paraId="669C3D8D">
      <w:pPr>
        <w:pStyle w:val="55"/>
        <w:rPr>
          <w:rFonts w:hint="eastAsia"/>
          <w:color w:val="000000" w:themeColor="text1"/>
          <w:lang w:eastAsia="zh-CN"/>
          <w14:textFill>
            <w14:solidFill>
              <w14:schemeClr w14:val="tx1"/>
            </w14:solidFill>
          </w14:textFill>
        </w:rPr>
      </w:pPr>
    </w:p>
    <w:p w14:paraId="6BDCA2BB">
      <w:pPr>
        <w:pStyle w:val="55"/>
        <w:rPr>
          <w:rFonts w:hint="eastAsia"/>
          <w:color w:val="000000" w:themeColor="text1"/>
          <w:lang w:eastAsia="zh-CN"/>
          <w14:textFill>
            <w14:solidFill>
              <w14:schemeClr w14:val="tx1"/>
            </w14:solidFill>
          </w14:textFill>
        </w:rPr>
      </w:pPr>
    </w:p>
    <w:p w14:paraId="1D162C74">
      <w:pPr>
        <w:pStyle w:val="55"/>
        <w:rPr>
          <w:rFonts w:hint="eastAsia"/>
          <w:color w:val="000000" w:themeColor="text1"/>
          <w:lang w:eastAsia="zh-CN"/>
          <w14:textFill>
            <w14:solidFill>
              <w14:schemeClr w14:val="tx1"/>
            </w14:solidFill>
          </w14:textFill>
        </w:rPr>
      </w:pPr>
    </w:p>
    <w:p w14:paraId="75846831">
      <w:pPr>
        <w:pStyle w:val="55"/>
        <w:rPr>
          <w:rFonts w:hint="eastAsia"/>
          <w:color w:val="000000" w:themeColor="text1"/>
          <w:lang w:eastAsia="zh-CN"/>
          <w14:textFill>
            <w14:solidFill>
              <w14:schemeClr w14:val="tx1"/>
            </w14:solidFill>
          </w14:textFill>
        </w:rPr>
      </w:pPr>
    </w:p>
    <w:p w14:paraId="1D51F847">
      <w:pPr>
        <w:pStyle w:val="55"/>
        <w:rPr>
          <w:rFonts w:hint="eastAsia"/>
          <w:color w:val="000000" w:themeColor="text1"/>
          <w:lang w:eastAsia="zh-CN"/>
          <w14:textFill>
            <w14:solidFill>
              <w14:schemeClr w14:val="tx1"/>
            </w14:solidFill>
          </w14:textFill>
        </w:rPr>
      </w:pPr>
    </w:p>
    <w:p w14:paraId="3F5B85D4">
      <w:pPr>
        <w:pStyle w:val="55"/>
        <w:rPr>
          <w:rFonts w:hint="eastAsia"/>
          <w:color w:val="000000" w:themeColor="text1"/>
          <w:lang w:eastAsia="zh-CN"/>
          <w14:textFill>
            <w14:solidFill>
              <w14:schemeClr w14:val="tx1"/>
            </w14:solidFill>
          </w14:textFill>
        </w:rPr>
      </w:pPr>
    </w:p>
    <w:p w14:paraId="7338CD72">
      <w:pPr>
        <w:pStyle w:val="55"/>
        <w:rPr>
          <w:rFonts w:hint="eastAsia"/>
          <w:color w:val="000000" w:themeColor="text1"/>
          <w:lang w:eastAsia="zh-CN"/>
          <w14:textFill>
            <w14:solidFill>
              <w14:schemeClr w14:val="tx1"/>
            </w14:solidFill>
          </w14:textFill>
        </w:rPr>
      </w:pPr>
    </w:p>
    <w:p w14:paraId="1D1D5DAB">
      <w:pPr>
        <w:pStyle w:val="55"/>
        <w:rPr>
          <w:rFonts w:hint="eastAsia"/>
          <w:color w:val="000000" w:themeColor="text1"/>
          <w:lang w:eastAsia="zh-CN"/>
          <w14:textFill>
            <w14:solidFill>
              <w14:schemeClr w14:val="tx1"/>
            </w14:solidFill>
          </w14:textFill>
        </w:rPr>
      </w:pPr>
    </w:p>
    <w:p w14:paraId="4E4CCC06">
      <w:pPr>
        <w:pStyle w:val="55"/>
        <w:rPr>
          <w:rFonts w:hint="eastAsia"/>
          <w:color w:val="000000" w:themeColor="text1"/>
          <w:lang w:eastAsia="zh-CN"/>
          <w14:textFill>
            <w14:solidFill>
              <w14:schemeClr w14:val="tx1"/>
            </w14:solidFill>
          </w14:textFill>
        </w:rPr>
      </w:pPr>
    </w:p>
    <w:p w14:paraId="7B4F953B">
      <w:pPr>
        <w:pStyle w:val="55"/>
        <w:rPr>
          <w:rFonts w:hint="eastAsia"/>
          <w:color w:val="000000" w:themeColor="text1"/>
          <w:lang w:eastAsia="zh-CN"/>
          <w14:textFill>
            <w14:solidFill>
              <w14:schemeClr w14:val="tx1"/>
            </w14:solidFill>
          </w14:textFill>
        </w:rPr>
      </w:pPr>
    </w:p>
    <w:p w14:paraId="5A0F16B7">
      <w:pPr>
        <w:pStyle w:val="55"/>
        <w:rPr>
          <w:rFonts w:hint="eastAsia"/>
          <w:color w:val="000000" w:themeColor="text1"/>
          <w:lang w:eastAsia="zh-CN"/>
          <w14:textFill>
            <w14:solidFill>
              <w14:schemeClr w14:val="tx1"/>
            </w14:solidFill>
          </w14:textFill>
        </w:rPr>
      </w:pPr>
    </w:p>
    <w:p w14:paraId="1D65C630">
      <w:pPr>
        <w:pStyle w:val="55"/>
        <w:rPr>
          <w:rFonts w:hint="eastAsia"/>
          <w:color w:val="000000" w:themeColor="text1"/>
          <w:lang w:eastAsia="zh-CN"/>
          <w14:textFill>
            <w14:solidFill>
              <w14:schemeClr w14:val="tx1"/>
            </w14:solidFill>
          </w14:textFill>
        </w:rPr>
      </w:pPr>
    </w:p>
    <w:p w14:paraId="23F01765">
      <w:pPr>
        <w:pStyle w:val="55"/>
        <w:rPr>
          <w:rFonts w:hint="eastAsia"/>
          <w:color w:val="000000" w:themeColor="text1"/>
          <w:lang w:eastAsia="zh-CN"/>
          <w14:textFill>
            <w14:solidFill>
              <w14:schemeClr w14:val="tx1"/>
            </w14:solidFill>
          </w14:textFill>
        </w:rPr>
      </w:pPr>
    </w:p>
    <w:p w14:paraId="2F061CB0">
      <w:pPr>
        <w:pStyle w:val="55"/>
        <w:rPr>
          <w:rFonts w:hint="eastAsia"/>
          <w:color w:val="000000" w:themeColor="text1"/>
          <w:lang w:eastAsia="zh-CN"/>
          <w14:textFill>
            <w14:solidFill>
              <w14:schemeClr w14:val="tx1"/>
            </w14:solidFill>
          </w14:textFill>
        </w:rPr>
      </w:pPr>
    </w:p>
    <w:p w14:paraId="10F38F90">
      <w:pPr>
        <w:pStyle w:val="55"/>
        <w:rPr>
          <w:rFonts w:hint="eastAsia"/>
          <w:color w:val="000000" w:themeColor="text1"/>
          <w:lang w:eastAsia="zh-CN"/>
          <w14:textFill>
            <w14:solidFill>
              <w14:schemeClr w14:val="tx1"/>
            </w14:solidFill>
          </w14:textFill>
        </w:rPr>
      </w:pPr>
    </w:p>
    <w:p w14:paraId="2C679B25">
      <w:pPr>
        <w:pStyle w:val="55"/>
        <w:rPr>
          <w:rFonts w:hint="eastAsia"/>
          <w:color w:val="000000" w:themeColor="text1"/>
          <w:lang w:eastAsia="zh-CN"/>
          <w14:textFill>
            <w14:solidFill>
              <w14:schemeClr w14:val="tx1"/>
            </w14:solidFill>
          </w14:textFill>
        </w:rPr>
      </w:pPr>
    </w:p>
    <w:p w14:paraId="544760AC">
      <w:pPr>
        <w:pStyle w:val="55"/>
        <w:ind w:firstLine="0"/>
        <w:rPr>
          <w:rFonts w:hint="eastAsia"/>
          <w:color w:val="000000" w:themeColor="text1"/>
          <w:lang w:eastAsia="zh-CN"/>
          <w14:textFill>
            <w14:solidFill>
              <w14:schemeClr w14:val="tx1"/>
            </w14:solidFill>
          </w14:textFill>
        </w:rPr>
      </w:pPr>
    </w:p>
    <w:p w14:paraId="796C94E0">
      <w:pPr>
        <w:pStyle w:val="207"/>
        <w:spacing w:before="0" w:after="0" w:line="360" w:lineRule="auto"/>
        <w:jc w:val="center"/>
        <w:rPr>
          <w:rFonts w:hint="eastAsia" w:ascii="宋体" w:hAnsi="宋体" w:cs="宋体"/>
          <w:b/>
          <w:color w:val="000000" w:themeColor="text1"/>
          <w:highlight w:val="none"/>
          <w14:textFill>
            <w14:solidFill>
              <w14:schemeClr w14:val="tx1"/>
            </w14:solidFill>
          </w14:textFill>
        </w:rPr>
      </w:pPr>
      <w:bookmarkStart w:id="185" w:name="_Toc9612"/>
      <w:bookmarkEnd w:id="185"/>
      <w:bookmarkStart w:id="186" w:name="_Toc515874993"/>
      <w:bookmarkEnd w:id="186"/>
      <w:bookmarkStart w:id="187" w:name="_Toc204595695"/>
      <w:bookmarkEnd w:id="187"/>
      <w:bookmarkStart w:id="188" w:name="_Toc224532090"/>
      <w:bookmarkEnd w:id="188"/>
      <w:bookmarkStart w:id="189" w:name="_Toc28412"/>
      <w:bookmarkStart w:id="190" w:name="_Toc23658"/>
      <w:r>
        <w:rPr>
          <w:rFonts w:hint="eastAsia" w:ascii="宋体" w:hAnsi="宋体" w:eastAsia="宋体" w:cs="宋体"/>
          <w:b/>
          <w:bCs/>
          <w:color w:val="000000" w:themeColor="text1"/>
          <w:sz w:val="44"/>
          <w:szCs w:val="44"/>
          <w:highlight w:val="none"/>
          <w14:textFill>
            <w14:solidFill>
              <w14:schemeClr w14:val="tx1"/>
            </w14:solidFill>
          </w14:textFill>
        </w:rPr>
        <w:t>第</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六</w:t>
      </w:r>
      <w:r>
        <w:rPr>
          <w:rFonts w:hint="eastAsia" w:ascii="宋体" w:hAnsi="宋体" w:eastAsia="宋体" w:cs="宋体"/>
          <w:b/>
          <w:bCs/>
          <w:color w:val="000000" w:themeColor="text1"/>
          <w:sz w:val="44"/>
          <w:szCs w:val="44"/>
          <w:highlight w:val="none"/>
          <w14:textFill>
            <w14:solidFill>
              <w14:schemeClr w14:val="tx1"/>
            </w14:solidFill>
          </w14:textFill>
        </w:rPr>
        <w:t>章 评审方法和评审标准</w:t>
      </w:r>
      <w:bookmarkEnd w:id="174"/>
      <w:bookmarkEnd w:id="175"/>
      <w:bookmarkEnd w:id="176"/>
      <w:bookmarkEnd w:id="189"/>
      <w:bookmarkEnd w:id="190"/>
    </w:p>
    <w:p w14:paraId="18E283DB">
      <w:pPr>
        <w:spacing w:line="360" w:lineRule="auto"/>
        <w:ind w:firstLine="482"/>
        <w:jc w:val="lef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一、政府采购政策功能落实</w:t>
      </w:r>
    </w:p>
    <w:p w14:paraId="127A327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p>
    <w:p w14:paraId="2B9D411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（二）供应商为残疾人福利性单位的，符合财库〔2017〕141号文件规定条件的残疾人福利性单位视同小型、微型企业，提供《残疾人福利性单位声明函》。</w:t>
      </w:r>
    </w:p>
    <w:p w14:paraId="2ECF3114">
      <w:pPr>
        <w:widowControl w:val="0"/>
        <w:spacing w:before="0" w:after="0" w:line="360" w:lineRule="auto"/>
        <w:ind w:firstLine="482"/>
        <w:jc w:val="left"/>
        <w:rPr>
          <w:rFonts w:hint="eastAsia" w:ascii="宋体" w:hAnsi="宋体" w:eastAsia="宋体" w:cs="Times New Roman"/>
          <w:b/>
          <w:color w:val="000000" w:themeColor="text1"/>
          <w:sz w:val="24"/>
          <w:szCs w:val="24"/>
          <w14:textFill>
            <w14:solidFill>
              <w14:schemeClr w14:val="tx1"/>
            </w14:solidFill>
          </w14:textFill>
        </w:rPr>
      </w:pPr>
      <w:r>
        <w:rPr>
          <w:rFonts w:hint="eastAsia" w:ascii="宋体" w:hAnsi="宋体" w:cs="宋体"/>
          <w:color w:val="auto"/>
          <w:sz w:val="24"/>
          <w:highlight w:val="none"/>
        </w:rPr>
        <w:t>（三）供应商为监狱企业的，根据《财政部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507EA5EB">
      <w:pPr>
        <w:widowControl w:val="0"/>
        <w:spacing w:before="0" w:after="0" w:line="360" w:lineRule="auto"/>
        <w:ind w:firstLine="482"/>
        <w:jc w:val="left"/>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二、</w:t>
      </w:r>
      <w:r>
        <w:rPr>
          <w:rFonts w:hint="default" w:ascii="宋体" w:hAnsi="宋体" w:eastAsia="宋体" w:cs="Times New Roman"/>
          <w:b/>
          <w:color w:val="000000" w:themeColor="text1"/>
          <w:sz w:val="24"/>
          <w:szCs w:val="24"/>
          <w14:textFill>
            <w14:solidFill>
              <w14:schemeClr w14:val="tx1"/>
            </w14:solidFill>
          </w14:textFill>
        </w:rPr>
        <w:t>磋商小组：</w:t>
      </w:r>
    </w:p>
    <w:p w14:paraId="204B0330">
      <w:pPr>
        <w:widowControl w:val="0"/>
        <w:spacing w:before="0" w:after="0" w:line="360" w:lineRule="auto"/>
        <w:ind w:firstLine="482"/>
        <w:jc w:val="left"/>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bCs/>
          <w:color w:val="000000" w:themeColor="text1"/>
          <w:sz w:val="24"/>
          <w:szCs w:val="24"/>
          <w14:textFill>
            <w14:solidFill>
              <w14:schemeClr w14:val="tx1"/>
            </w14:solidFill>
          </w14:textFill>
        </w:rPr>
        <w:t>本采购项目磋商小组的评委由相关的专家、采购人代表等有关人员构成。</w:t>
      </w:r>
    </w:p>
    <w:p w14:paraId="459B153F">
      <w:pPr>
        <w:widowControl w:val="0"/>
        <w:spacing w:before="0" w:after="0" w:line="360" w:lineRule="auto"/>
        <w:ind w:firstLine="482"/>
        <w:jc w:val="left"/>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三</w:t>
      </w:r>
      <w:r>
        <w:rPr>
          <w:rFonts w:hint="default" w:ascii="宋体" w:hAnsi="宋体" w:eastAsia="宋体" w:cs="Times New Roman"/>
          <w:b/>
          <w:color w:val="000000" w:themeColor="text1"/>
          <w:sz w:val="24"/>
          <w:szCs w:val="24"/>
          <w14:textFill>
            <w14:solidFill>
              <w14:schemeClr w14:val="tx1"/>
            </w14:solidFill>
          </w14:textFill>
        </w:rPr>
        <w:t>、评审方法：</w:t>
      </w:r>
      <w:r>
        <w:rPr>
          <w:rFonts w:hint="default" w:ascii="宋体" w:hAnsi="宋体" w:eastAsia="宋体" w:cs="Times New Roman"/>
          <w:b/>
          <w:bCs/>
          <w:color w:val="000000" w:themeColor="text1"/>
          <w:sz w:val="24"/>
          <w:szCs w:val="24"/>
          <w14:textFill>
            <w14:solidFill>
              <w14:schemeClr w14:val="tx1"/>
            </w14:solidFill>
          </w14:textFill>
        </w:rPr>
        <w:t>综合评分法</w:t>
      </w:r>
    </w:p>
    <w:p w14:paraId="675F9FB8">
      <w:pPr>
        <w:widowControl w:val="0"/>
        <w:spacing w:before="0" w:after="0" w:line="360" w:lineRule="auto"/>
        <w:ind w:firstLine="480"/>
        <w:jc w:val="left"/>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t>经磋商确定最终采购需求和确定提交最后报价的供应商后，由磋商小组采用综合评分法对提交最后报价的供应商的响应文件和最后报价进行综合评分。</w:t>
      </w:r>
    </w:p>
    <w:p w14:paraId="4CFC8E8E">
      <w:pPr>
        <w:widowControl w:val="0"/>
        <w:spacing w:before="0" w:after="0" w:line="360" w:lineRule="auto"/>
        <w:ind w:firstLine="482"/>
        <w:jc w:val="left"/>
        <w:rPr>
          <w:rFonts w:hint="default" w:ascii="宋体" w:hAnsi="宋体" w:eastAsia="宋体" w:cs="Times New Roman"/>
          <w:bCs/>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t>综合评分法，是指响应文件满足磋商文件全部实质性要求且按评审因素的量化指标评审得分最高的供应商为成交候选供应商的评审方法。</w:t>
      </w:r>
    </w:p>
    <w:p w14:paraId="09D92DD5">
      <w:pPr>
        <w:widowControl w:val="0"/>
        <w:spacing w:before="0" w:after="0" w:line="360" w:lineRule="auto"/>
        <w:ind w:firstLine="482"/>
        <w:jc w:val="left"/>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四</w:t>
      </w:r>
      <w:r>
        <w:rPr>
          <w:rFonts w:hint="default" w:ascii="宋体" w:hAnsi="宋体" w:eastAsia="宋体" w:cs="Times New Roman"/>
          <w:b/>
          <w:color w:val="000000" w:themeColor="text1"/>
          <w:sz w:val="24"/>
          <w:szCs w:val="24"/>
          <w14:textFill>
            <w14:solidFill>
              <w14:schemeClr w14:val="tx1"/>
            </w14:solidFill>
          </w14:textFill>
        </w:rPr>
        <w:t>、评审原则：</w:t>
      </w:r>
    </w:p>
    <w:p w14:paraId="0E05E851">
      <w:pPr>
        <w:widowControl w:val="0"/>
        <w:spacing w:before="0" w:after="0" w:line="360" w:lineRule="auto"/>
        <w:ind w:firstLine="482"/>
        <w:jc w:val="left"/>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t>磋商小组</w:t>
      </w:r>
      <w:r>
        <w:rPr>
          <w:rFonts w:hint="default" w:ascii="宋体" w:hAnsi="宋体" w:eastAsia="宋体" w:cs="Times New Roman"/>
          <w:bCs/>
          <w:color w:val="000000" w:themeColor="text1"/>
          <w:sz w:val="24"/>
          <w:szCs w:val="24"/>
          <w14:textFill>
            <w14:solidFill>
              <w14:schemeClr w14:val="tx1"/>
            </w14:solidFill>
          </w14:textFill>
        </w:rPr>
        <w:t>必须公平、公正、客观，不带任何倾向性和启发性；不得向外界透露任何与评审有关的内容；任何单位和个人不得干扰、影响评审的正常进行；</w:t>
      </w:r>
      <w:r>
        <w:rPr>
          <w:rFonts w:hint="default" w:ascii="宋体" w:hAnsi="宋体" w:eastAsia="宋体" w:cs="Times New Roman"/>
          <w:color w:val="000000" w:themeColor="text1"/>
          <w:sz w:val="24"/>
          <w:szCs w:val="24"/>
          <w14:textFill>
            <w14:solidFill>
              <w14:schemeClr w14:val="tx1"/>
            </w14:solidFill>
          </w14:textFill>
        </w:rPr>
        <w:t>磋商小组</w:t>
      </w:r>
      <w:r>
        <w:rPr>
          <w:rFonts w:hint="default" w:ascii="宋体" w:hAnsi="宋体" w:eastAsia="宋体" w:cs="Times New Roman"/>
          <w:bCs/>
          <w:color w:val="000000" w:themeColor="text1"/>
          <w:sz w:val="24"/>
          <w:szCs w:val="24"/>
          <w14:textFill>
            <w14:solidFill>
              <w14:schemeClr w14:val="tx1"/>
            </w14:solidFill>
          </w14:textFill>
        </w:rPr>
        <w:t>及有关工作人员不得私下与供应商接触。</w:t>
      </w:r>
    </w:p>
    <w:p w14:paraId="35A60B56">
      <w:pPr>
        <w:widowControl w:val="0"/>
        <w:spacing w:before="0" w:after="0" w:line="360" w:lineRule="auto"/>
        <w:ind w:firstLine="482"/>
        <w:jc w:val="left"/>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五</w:t>
      </w:r>
      <w:r>
        <w:rPr>
          <w:rFonts w:hint="default" w:ascii="宋体" w:hAnsi="宋体" w:eastAsia="宋体" w:cs="Times New Roman"/>
          <w:b/>
          <w:color w:val="000000" w:themeColor="text1"/>
          <w:sz w:val="24"/>
          <w:szCs w:val="24"/>
          <w14:textFill>
            <w14:solidFill>
              <w14:schemeClr w14:val="tx1"/>
            </w14:solidFill>
          </w14:textFill>
        </w:rPr>
        <w:t>、评审标准：</w:t>
      </w:r>
    </w:p>
    <w:p w14:paraId="778E4522">
      <w:pPr>
        <w:widowControl w:val="0"/>
        <w:spacing w:before="0" w:after="0" w:line="360" w:lineRule="auto"/>
        <w:ind w:firstLine="480"/>
        <w:jc w:val="left"/>
        <w:rPr>
          <w:rFonts w:hint="default" w:ascii="宋体" w:hAnsi="宋体" w:eastAsia="宋体" w:cs="Times New Roman"/>
          <w:bCs/>
          <w:color w:val="000000" w:themeColor="text1"/>
          <w:sz w:val="24"/>
          <w:szCs w:val="24"/>
          <w14:textFill>
            <w14:solidFill>
              <w14:schemeClr w14:val="tx1"/>
            </w14:solidFill>
          </w14:textFill>
        </w:rPr>
      </w:pPr>
      <w:r>
        <w:rPr>
          <w:rFonts w:hint="default" w:ascii="宋体" w:hAnsi="宋体" w:eastAsia="宋体" w:cs="Times New Roman"/>
          <w:bCs/>
          <w:color w:val="000000" w:themeColor="text1"/>
          <w:sz w:val="24"/>
          <w:szCs w:val="24"/>
          <w14:textFill>
            <w14:solidFill>
              <w14:schemeClr w14:val="tx1"/>
            </w14:solidFill>
          </w14:textFill>
        </w:rPr>
        <w:t>（一）评审时，磋商小组以磋商文件为评审依据，磋商小组各成员独立对每个有效响应的文件进行评价、打分，然后汇总每个供应商每项评审因素的得分。</w:t>
      </w:r>
    </w:p>
    <w:p w14:paraId="00647E03">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default" w:ascii="宋体" w:hAnsi="宋体" w:eastAsia="宋体" w:cs="Times New Roman"/>
          <w:bCs/>
          <w:color w:val="000000" w:themeColor="text1"/>
          <w:sz w:val="24"/>
          <w:szCs w:val="24"/>
          <w:lang w:eastAsia="zh-CN"/>
          <w14:textFill>
            <w14:solidFill>
              <w14:schemeClr w14:val="tx1"/>
            </w14:solidFill>
          </w14:textFill>
        </w:rPr>
      </w:pPr>
      <w:r>
        <w:rPr>
          <w:rFonts w:hint="default" w:ascii="宋体" w:hAnsi="宋体" w:eastAsia="宋体" w:cs="Times New Roman"/>
          <w:bCs/>
          <w:color w:val="000000" w:themeColor="text1"/>
          <w:sz w:val="24"/>
          <w:szCs w:val="24"/>
          <w:lang w:eastAsia="zh-CN"/>
          <w14:textFill>
            <w14:solidFill>
              <w14:schemeClr w14:val="tx1"/>
            </w14:solidFill>
          </w14:textFill>
        </w:rPr>
        <w:t>（二）本项目评分总分为100分，按四舍五入取至小数点后两位。</w:t>
      </w:r>
    </w:p>
    <w:tbl>
      <w:tblPr>
        <w:tblStyle w:val="37"/>
        <w:tblW w:w="9477" w:type="dxa"/>
        <w:jc w:val="center"/>
        <w:tblLayout w:type="fixed"/>
        <w:tblCellMar>
          <w:top w:w="0" w:type="dxa"/>
          <w:left w:w="108" w:type="dxa"/>
          <w:bottom w:w="0" w:type="dxa"/>
          <w:right w:w="108" w:type="dxa"/>
        </w:tblCellMar>
      </w:tblPr>
      <w:tblGrid>
        <w:gridCol w:w="1294"/>
        <w:gridCol w:w="1037"/>
        <w:gridCol w:w="7146"/>
      </w:tblGrid>
      <w:tr w14:paraId="0334B47F">
        <w:tblPrEx>
          <w:tblCellMar>
            <w:top w:w="0" w:type="dxa"/>
            <w:left w:w="108" w:type="dxa"/>
            <w:bottom w:w="0" w:type="dxa"/>
            <w:right w:w="108" w:type="dxa"/>
          </w:tblCellMar>
        </w:tblPrEx>
        <w:trPr>
          <w:trHeight w:val="486" w:hRule="atLeast"/>
          <w:jc w:val="center"/>
        </w:trPr>
        <w:tc>
          <w:tcPr>
            <w:tcW w:w="1294" w:type="dxa"/>
            <w:tcBorders>
              <w:top w:val="single" w:color="000000" w:sz="4" w:space="0"/>
              <w:left w:val="single" w:color="000000" w:sz="4" w:space="0"/>
              <w:bottom w:val="single" w:color="000000" w:sz="4" w:space="0"/>
              <w:right w:val="single" w:color="000000" w:sz="4" w:space="0"/>
            </w:tcBorders>
            <w:noWrap w:val="0"/>
            <w:vAlign w:val="center"/>
          </w:tcPr>
          <w:p w14:paraId="4EEDB26F">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评分项目</w:t>
            </w:r>
          </w:p>
        </w:tc>
        <w:tc>
          <w:tcPr>
            <w:tcW w:w="1037" w:type="dxa"/>
            <w:tcBorders>
              <w:top w:val="single" w:color="000000" w:sz="4" w:space="0"/>
              <w:left w:val="nil"/>
              <w:bottom w:val="single" w:color="000000" w:sz="4" w:space="0"/>
              <w:right w:val="single" w:color="000000" w:sz="4" w:space="0"/>
            </w:tcBorders>
            <w:noWrap w:val="0"/>
            <w:vAlign w:val="center"/>
          </w:tcPr>
          <w:p w14:paraId="4D5B42DF">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分值</w:t>
            </w:r>
          </w:p>
        </w:tc>
        <w:tc>
          <w:tcPr>
            <w:tcW w:w="7146" w:type="dxa"/>
            <w:tcBorders>
              <w:top w:val="single" w:color="000000" w:sz="4" w:space="0"/>
              <w:left w:val="nil"/>
              <w:bottom w:val="single" w:color="000000" w:sz="4" w:space="0"/>
              <w:right w:val="single" w:color="000000" w:sz="4" w:space="0"/>
            </w:tcBorders>
            <w:noWrap w:val="0"/>
            <w:vAlign w:val="center"/>
          </w:tcPr>
          <w:p w14:paraId="2E035934">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评分标准</w:t>
            </w:r>
          </w:p>
        </w:tc>
      </w:tr>
      <w:tr w14:paraId="5C83F446">
        <w:tblPrEx>
          <w:tblCellMar>
            <w:top w:w="0" w:type="dxa"/>
            <w:left w:w="108" w:type="dxa"/>
            <w:bottom w:w="0" w:type="dxa"/>
            <w:right w:w="108" w:type="dxa"/>
          </w:tblCellMar>
        </w:tblPrEx>
        <w:trPr>
          <w:trHeight w:val="374" w:hRule="atLeast"/>
          <w:jc w:val="center"/>
        </w:trPr>
        <w:tc>
          <w:tcPr>
            <w:tcW w:w="1294" w:type="dxa"/>
            <w:tcBorders>
              <w:top w:val="single" w:color="000000" w:sz="4" w:space="0"/>
              <w:left w:val="single" w:color="000000" w:sz="4" w:space="0"/>
              <w:bottom w:val="single" w:color="000000" w:sz="4" w:space="0"/>
              <w:right w:val="single" w:color="000000" w:sz="4" w:space="0"/>
            </w:tcBorders>
            <w:noWrap w:val="0"/>
            <w:vAlign w:val="center"/>
          </w:tcPr>
          <w:p w14:paraId="47B94435">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价格部分</w:t>
            </w:r>
          </w:p>
        </w:tc>
        <w:tc>
          <w:tcPr>
            <w:tcW w:w="1037" w:type="dxa"/>
            <w:tcBorders>
              <w:top w:val="single" w:color="000000" w:sz="4" w:space="0"/>
              <w:left w:val="nil"/>
              <w:bottom w:val="single" w:color="000000" w:sz="4" w:space="0"/>
              <w:right w:val="single" w:color="000000" w:sz="4" w:space="0"/>
            </w:tcBorders>
            <w:noWrap w:val="0"/>
            <w:vAlign w:val="center"/>
          </w:tcPr>
          <w:p w14:paraId="641D1A48">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50</w:t>
            </w:r>
            <w:r>
              <w:rPr>
                <w:rFonts w:hint="eastAsia" w:ascii="宋体" w:hAnsi="宋体" w:eastAsia="宋体" w:cs="宋体"/>
                <w:b/>
                <w:color w:val="000000" w:themeColor="text1"/>
                <w:sz w:val="24"/>
                <w:szCs w:val="24"/>
                <w:highlight w:val="none"/>
                <w14:textFill>
                  <w14:solidFill>
                    <w14:schemeClr w14:val="tx1"/>
                  </w14:solidFill>
                </w14:textFill>
              </w:rPr>
              <w:t>分</w:t>
            </w:r>
          </w:p>
        </w:tc>
        <w:tc>
          <w:tcPr>
            <w:tcW w:w="7146" w:type="dxa"/>
            <w:tcBorders>
              <w:top w:val="single" w:color="000000" w:sz="4" w:space="0"/>
              <w:left w:val="nil"/>
              <w:bottom w:val="single" w:color="000000" w:sz="4" w:space="0"/>
              <w:right w:val="single" w:color="000000" w:sz="4" w:space="0"/>
            </w:tcBorders>
            <w:noWrap w:val="0"/>
            <w:vAlign w:val="center"/>
          </w:tcPr>
          <w:p w14:paraId="5EEA5975">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p>
        </w:tc>
      </w:tr>
      <w:tr w14:paraId="5E458784">
        <w:tblPrEx>
          <w:tblCellMar>
            <w:top w:w="0" w:type="dxa"/>
            <w:left w:w="108" w:type="dxa"/>
            <w:bottom w:w="0" w:type="dxa"/>
            <w:right w:w="108" w:type="dxa"/>
          </w:tblCellMar>
        </w:tblPrEx>
        <w:trPr>
          <w:trHeight w:val="90" w:hRule="atLeast"/>
          <w:jc w:val="center"/>
        </w:trPr>
        <w:tc>
          <w:tcPr>
            <w:tcW w:w="1294" w:type="dxa"/>
            <w:tcBorders>
              <w:top w:val="single" w:color="000000" w:sz="4" w:space="0"/>
              <w:left w:val="single" w:color="000000" w:sz="4" w:space="0"/>
              <w:bottom w:val="single" w:color="000000" w:sz="4" w:space="0"/>
              <w:right w:val="single" w:color="000000" w:sz="4" w:space="0"/>
            </w:tcBorders>
            <w:noWrap w:val="0"/>
            <w:vAlign w:val="center"/>
          </w:tcPr>
          <w:p w14:paraId="1DBE2475">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报价评分</w:t>
            </w:r>
          </w:p>
        </w:tc>
        <w:tc>
          <w:tcPr>
            <w:tcW w:w="1037" w:type="dxa"/>
            <w:tcBorders>
              <w:top w:val="single" w:color="000000" w:sz="4" w:space="0"/>
              <w:left w:val="nil"/>
              <w:bottom w:val="single" w:color="000000" w:sz="4" w:space="0"/>
              <w:right w:val="single" w:color="000000" w:sz="4" w:space="0"/>
            </w:tcBorders>
            <w:noWrap w:val="0"/>
            <w:vAlign w:val="center"/>
          </w:tcPr>
          <w:p w14:paraId="592F0D66">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7146" w:type="dxa"/>
            <w:tcBorders>
              <w:top w:val="single" w:color="000000" w:sz="4" w:space="0"/>
              <w:left w:val="nil"/>
              <w:bottom w:val="single" w:color="000000" w:sz="4" w:space="0"/>
              <w:right w:val="single" w:color="000000" w:sz="4" w:space="0"/>
            </w:tcBorders>
            <w:noWrap w:val="0"/>
            <w:vAlign w:val="center"/>
          </w:tcPr>
          <w:p w14:paraId="40655B95">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价格分统一采用低价优先法计算，即满足磋商文件要求且最后报价最低的供应商的价格为磋商基准价，其价格分为满分。其他供应商的价格分统一按照下列公式计算：</w:t>
            </w:r>
          </w:p>
          <w:p w14:paraId="1E51EA6B">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磋商报价得分=(磋商基准价/最后磋商报价)×</w:t>
            </w:r>
            <w:r>
              <w:rPr>
                <w:rFonts w:hint="eastAsia" w:ascii="宋体" w:hAnsi="宋体" w:cs="宋体"/>
                <w:color w:val="000000" w:themeColor="text1"/>
                <w:sz w:val="24"/>
                <w:szCs w:val="24"/>
                <w:highlight w:val="none"/>
                <w:lang w:val="en-US" w:eastAsia="zh-CN"/>
                <w14:textFill>
                  <w14:solidFill>
                    <w14:schemeClr w14:val="tx1"/>
                  </w14:solidFill>
                </w14:textFill>
              </w:rPr>
              <w:t>50</w:t>
            </w:r>
            <w:r>
              <w:rPr>
                <w:rFonts w:hint="eastAsia" w:ascii="宋体" w:hAnsi="宋体" w:eastAsia="宋体" w:cs="宋体"/>
                <w:color w:val="000000" w:themeColor="text1"/>
                <w:sz w:val="24"/>
                <w:szCs w:val="24"/>
                <w:highlight w:val="none"/>
                <w14:textFill>
                  <w14:solidFill>
                    <w14:schemeClr w14:val="tx1"/>
                  </w14:solidFill>
                </w14:textFill>
              </w:rPr>
              <w:t>分</w:t>
            </w:r>
          </w:p>
          <w:p w14:paraId="3E05533A">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项目评审过程中，不得去掉最后报价中的最高报价和最低报价。</w:t>
            </w:r>
          </w:p>
        </w:tc>
      </w:tr>
      <w:tr w14:paraId="68455012">
        <w:tblPrEx>
          <w:tblCellMar>
            <w:top w:w="0" w:type="dxa"/>
            <w:left w:w="108" w:type="dxa"/>
            <w:bottom w:w="0" w:type="dxa"/>
            <w:right w:w="108" w:type="dxa"/>
          </w:tblCellMar>
        </w:tblPrEx>
        <w:trPr>
          <w:trHeight w:val="90" w:hRule="atLeast"/>
          <w:jc w:val="center"/>
        </w:trPr>
        <w:tc>
          <w:tcPr>
            <w:tcW w:w="1294" w:type="dxa"/>
            <w:tcBorders>
              <w:top w:val="single" w:color="000000" w:sz="4" w:space="0"/>
              <w:left w:val="single" w:color="000000" w:sz="4" w:space="0"/>
              <w:bottom w:val="single" w:color="000000" w:sz="4" w:space="0"/>
              <w:right w:val="single" w:color="000000" w:sz="4" w:space="0"/>
            </w:tcBorders>
            <w:noWrap w:val="0"/>
            <w:vAlign w:val="center"/>
          </w:tcPr>
          <w:p w14:paraId="69312F50">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技术部分</w:t>
            </w:r>
          </w:p>
        </w:tc>
        <w:tc>
          <w:tcPr>
            <w:tcW w:w="1037" w:type="dxa"/>
            <w:tcBorders>
              <w:top w:val="single" w:color="000000" w:sz="4" w:space="0"/>
              <w:left w:val="nil"/>
              <w:bottom w:val="single" w:color="000000" w:sz="4" w:space="0"/>
              <w:right w:val="single" w:color="000000" w:sz="4" w:space="0"/>
            </w:tcBorders>
            <w:noWrap w:val="0"/>
            <w:vAlign w:val="center"/>
          </w:tcPr>
          <w:p w14:paraId="275BE1E6">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35</w:t>
            </w:r>
            <w:r>
              <w:rPr>
                <w:rFonts w:hint="eastAsia" w:ascii="宋体" w:hAnsi="宋体" w:eastAsia="宋体" w:cs="宋体"/>
                <w:b/>
                <w:color w:val="000000" w:themeColor="text1"/>
                <w:sz w:val="24"/>
                <w:szCs w:val="24"/>
                <w:highlight w:val="none"/>
                <w14:textFill>
                  <w14:solidFill>
                    <w14:schemeClr w14:val="tx1"/>
                  </w14:solidFill>
                </w14:textFill>
              </w:rPr>
              <w:t>分</w:t>
            </w:r>
          </w:p>
        </w:tc>
        <w:tc>
          <w:tcPr>
            <w:tcW w:w="7146" w:type="dxa"/>
            <w:tcBorders>
              <w:top w:val="single" w:color="000000" w:sz="4" w:space="0"/>
              <w:left w:val="nil"/>
              <w:bottom w:val="single" w:color="000000" w:sz="4" w:space="0"/>
              <w:right w:val="single" w:color="000000" w:sz="4" w:space="0"/>
            </w:tcBorders>
            <w:noWrap w:val="0"/>
            <w:vAlign w:val="center"/>
          </w:tcPr>
          <w:p w14:paraId="240E8708">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p>
        </w:tc>
      </w:tr>
      <w:tr w14:paraId="4DBB4CE8">
        <w:tblPrEx>
          <w:tblCellMar>
            <w:top w:w="0" w:type="dxa"/>
            <w:left w:w="108" w:type="dxa"/>
            <w:bottom w:w="0" w:type="dxa"/>
            <w:right w:w="108" w:type="dxa"/>
          </w:tblCellMar>
        </w:tblPrEx>
        <w:trPr>
          <w:trHeight w:val="593" w:hRule="atLeast"/>
          <w:jc w:val="center"/>
        </w:trPr>
        <w:tc>
          <w:tcPr>
            <w:tcW w:w="1294" w:type="dxa"/>
            <w:vMerge w:val="restart"/>
            <w:tcBorders>
              <w:top w:val="single" w:color="000000" w:sz="4" w:space="0"/>
              <w:left w:val="single" w:color="000000" w:sz="4" w:space="0"/>
              <w:bottom w:val="nil"/>
              <w:right w:val="single" w:color="000000" w:sz="4" w:space="0"/>
            </w:tcBorders>
            <w:noWrap w:val="0"/>
            <w:vAlign w:val="center"/>
          </w:tcPr>
          <w:p w14:paraId="1731558C">
            <w:pPr>
              <w:widowControl/>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施工组织设计</w:t>
            </w:r>
          </w:p>
        </w:tc>
        <w:tc>
          <w:tcPr>
            <w:tcW w:w="1037" w:type="dxa"/>
            <w:vMerge w:val="restart"/>
            <w:tcBorders>
              <w:top w:val="single" w:color="000000" w:sz="4" w:space="0"/>
              <w:left w:val="single" w:color="000000" w:sz="4" w:space="0"/>
              <w:bottom w:val="nil"/>
              <w:right w:val="single" w:color="000000" w:sz="4" w:space="0"/>
            </w:tcBorders>
            <w:noWrap w:val="0"/>
            <w:vAlign w:val="center"/>
          </w:tcPr>
          <w:p w14:paraId="7D30F74E">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35</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7146" w:type="dxa"/>
            <w:tcBorders>
              <w:top w:val="single" w:color="000000" w:sz="4" w:space="0"/>
              <w:left w:val="single" w:color="000000" w:sz="4" w:space="0"/>
              <w:bottom w:val="single" w:color="000000" w:sz="4" w:space="0"/>
              <w:right w:val="single" w:color="000000" w:sz="4" w:space="0"/>
            </w:tcBorders>
            <w:noWrap w:val="0"/>
            <w:vAlign w:val="center"/>
          </w:tcPr>
          <w:p w14:paraId="4D55DCA6">
            <w:pPr>
              <w:spacing w:line="360" w:lineRule="auto"/>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1、施工组织总体设想（</w:t>
            </w:r>
            <w:r>
              <w:rPr>
                <w:rFonts w:hint="eastAsia" w:ascii="宋体" w:hAnsi="宋体" w:cs="宋体"/>
                <w:b/>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分）</w:t>
            </w:r>
          </w:p>
          <w:p w14:paraId="3B777E8B">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供应商提供项目实施总体方案表述的清晰性、全面性、前瞻性、合理性、科学性、可行性及针对性等。</w:t>
            </w:r>
          </w:p>
          <w:p w14:paraId="5E11C5FF">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总体方案表述的清晰、全面、前瞻、合理、科学、可行及针对性强：</w:t>
            </w:r>
            <w:r>
              <w:rPr>
                <w:rFonts w:hint="eastAsia" w:ascii="宋体"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分；</w:t>
            </w:r>
          </w:p>
          <w:p w14:paraId="3702C870">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总体方案表述的清晰、全面、前瞻、合理、科学、可行及针对性较强：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分；</w:t>
            </w:r>
          </w:p>
          <w:p w14:paraId="3FFD3371">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总体方案表述的清晰、全面、前瞻、合理、科学、可行及针对性一般：</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分；</w:t>
            </w:r>
          </w:p>
          <w:p w14:paraId="54382C41">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不提供不得分。</w:t>
            </w:r>
          </w:p>
        </w:tc>
      </w:tr>
      <w:tr w14:paraId="55AE2F4A">
        <w:tblPrEx>
          <w:tblCellMar>
            <w:top w:w="0" w:type="dxa"/>
            <w:left w:w="108" w:type="dxa"/>
            <w:bottom w:w="0" w:type="dxa"/>
            <w:right w:w="108" w:type="dxa"/>
          </w:tblCellMar>
        </w:tblPrEx>
        <w:trPr>
          <w:trHeight w:val="828" w:hRule="atLeast"/>
          <w:jc w:val="center"/>
        </w:trPr>
        <w:tc>
          <w:tcPr>
            <w:tcW w:w="1294" w:type="dxa"/>
            <w:vMerge w:val="continue"/>
            <w:tcBorders>
              <w:top w:val="nil"/>
              <w:left w:val="single" w:color="000000" w:sz="4" w:space="0"/>
              <w:bottom w:val="nil"/>
              <w:right w:val="single" w:color="000000" w:sz="4" w:space="0"/>
            </w:tcBorders>
            <w:noWrap w:val="0"/>
            <w:vAlign w:val="center"/>
          </w:tcPr>
          <w:p w14:paraId="31954F12">
            <w:pPr>
              <w:widowControl/>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37" w:type="dxa"/>
            <w:vMerge w:val="continue"/>
            <w:tcBorders>
              <w:top w:val="nil"/>
              <w:left w:val="single" w:color="000000" w:sz="4" w:space="0"/>
              <w:bottom w:val="nil"/>
              <w:right w:val="single" w:color="000000" w:sz="4" w:space="0"/>
            </w:tcBorders>
            <w:noWrap w:val="0"/>
            <w:vAlign w:val="center"/>
          </w:tcPr>
          <w:p w14:paraId="14417B9D">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146" w:type="dxa"/>
            <w:tcBorders>
              <w:top w:val="single" w:color="000000" w:sz="4" w:space="0"/>
              <w:left w:val="single" w:color="000000" w:sz="4" w:space="0"/>
              <w:bottom w:val="single" w:color="000000" w:sz="4" w:space="0"/>
              <w:right w:val="single" w:color="000000" w:sz="4" w:space="0"/>
            </w:tcBorders>
            <w:noWrap w:val="0"/>
            <w:vAlign w:val="center"/>
          </w:tcPr>
          <w:p w14:paraId="1771C822">
            <w:pPr>
              <w:widowControl w:val="0"/>
              <w:spacing w:line="360" w:lineRule="auto"/>
              <w:jc w:val="left"/>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2、施工总体实施方案（</w:t>
            </w:r>
            <w:r>
              <w:rPr>
                <w:rFonts w:hint="eastAsia" w:ascii="宋体" w:hAnsi="宋体" w:cs="宋体"/>
                <w:b/>
                <w:color w:val="000000" w:themeColor="text1"/>
                <w:sz w:val="24"/>
                <w:szCs w:val="24"/>
                <w:highlight w:val="none"/>
                <w:lang w:val="en-US" w:eastAsia="zh-CN" w:bidi="ar-SA"/>
                <w14:textFill>
                  <w14:solidFill>
                    <w14:schemeClr w14:val="tx1"/>
                  </w14:solidFill>
                </w14:textFill>
              </w:rPr>
              <w:t>5</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分）</w:t>
            </w:r>
          </w:p>
          <w:p w14:paraId="3008BC38">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针对本项目提供工程施工方案、关键施工技术、具体施工技术措施科学、合理、操作性强、规范、高效等。</w:t>
            </w:r>
          </w:p>
          <w:p w14:paraId="325078AA">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总体方案详细，施工安排合理，方案针对性合理规范，操作性强：</w:t>
            </w:r>
            <w:r>
              <w:rPr>
                <w:rFonts w:hint="eastAsia" w:ascii="宋体"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分；</w:t>
            </w:r>
          </w:p>
          <w:p w14:paraId="274029B0">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总体方案较强，施工安排相对合理，方案针对性、操作性较强：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分；</w:t>
            </w:r>
          </w:p>
          <w:p w14:paraId="658608DE">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总体方案简单，施工安排不合理，方案针对性一般，操作性一般：</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分；</w:t>
            </w:r>
          </w:p>
          <w:p w14:paraId="5C37EBE1">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不提供不得分。</w:t>
            </w:r>
          </w:p>
        </w:tc>
      </w:tr>
      <w:tr w14:paraId="4717BA5D">
        <w:tblPrEx>
          <w:tblCellMar>
            <w:top w:w="0" w:type="dxa"/>
            <w:left w:w="108" w:type="dxa"/>
            <w:bottom w:w="0" w:type="dxa"/>
            <w:right w:w="108" w:type="dxa"/>
          </w:tblCellMar>
        </w:tblPrEx>
        <w:trPr>
          <w:trHeight w:val="983" w:hRule="atLeast"/>
          <w:jc w:val="center"/>
        </w:trPr>
        <w:tc>
          <w:tcPr>
            <w:tcW w:w="1294" w:type="dxa"/>
            <w:vMerge w:val="continue"/>
            <w:tcBorders>
              <w:top w:val="nil"/>
              <w:left w:val="single" w:color="000000" w:sz="4" w:space="0"/>
              <w:bottom w:val="nil"/>
              <w:right w:val="single" w:color="000000" w:sz="4" w:space="0"/>
            </w:tcBorders>
            <w:noWrap w:val="0"/>
            <w:vAlign w:val="center"/>
          </w:tcPr>
          <w:p w14:paraId="495E8274">
            <w:pPr>
              <w:widowControl/>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37" w:type="dxa"/>
            <w:vMerge w:val="continue"/>
            <w:tcBorders>
              <w:top w:val="nil"/>
              <w:left w:val="single" w:color="000000" w:sz="4" w:space="0"/>
              <w:bottom w:val="nil"/>
              <w:right w:val="single" w:color="000000" w:sz="4" w:space="0"/>
            </w:tcBorders>
            <w:noWrap w:val="0"/>
            <w:vAlign w:val="center"/>
          </w:tcPr>
          <w:p w14:paraId="16F889E6">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146" w:type="dxa"/>
            <w:tcBorders>
              <w:top w:val="single" w:color="000000" w:sz="4" w:space="0"/>
              <w:left w:val="single" w:color="000000" w:sz="4" w:space="0"/>
              <w:bottom w:val="single" w:color="000000" w:sz="4" w:space="0"/>
              <w:right w:val="single" w:color="000000" w:sz="4" w:space="0"/>
            </w:tcBorders>
            <w:noWrap w:val="0"/>
            <w:vAlign w:val="center"/>
          </w:tcPr>
          <w:p w14:paraId="1BB6F1C1">
            <w:pPr>
              <w:spacing w:line="360" w:lineRule="auto"/>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3、施工进度计划和各阶段进度的保证措施（</w:t>
            </w:r>
            <w:r>
              <w:rPr>
                <w:rFonts w:hint="eastAsia" w:ascii="宋体" w:hAnsi="宋体" w:cs="宋体"/>
                <w:b/>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分）</w:t>
            </w:r>
          </w:p>
          <w:p w14:paraId="3CB009F9">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供应商针对本项目实施</w:t>
            </w:r>
            <w:r>
              <w:rPr>
                <w:rFonts w:hint="eastAsia" w:ascii="宋体" w:hAnsi="宋体" w:eastAsia="宋体" w:cs="宋体"/>
                <w:color w:val="000000" w:themeColor="text1"/>
                <w:sz w:val="24"/>
                <w:szCs w:val="24"/>
                <w:highlight w:val="none"/>
                <w14:textFill>
                  <w14:solidFill>
                    <w14:schemeClr w14:val="tx1"/>
                  </w14:solidFill>
                </w14:textFill>
              </w:rPr>
              <w:t>关键线路的清晰性、施工进度计划编制的完整性、合理性及可行等。</w:t>
            </w:r>
          </w:p>
          <w:p w14:paraId="7A38719E">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总进度计划详尽，各阶段进度的保证措施清晰准确：</w:t>
            </w:r>
            <w:r>
              <w:rPr>
                <w:rFonts w:hint="eastAsia" w:ascii="宋体"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分；</w:t>
            </w:r>
          </w:p>
          <w:p w14:paraId="4D2B7084">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总进度计划较为详尽，各阶段进度的保证措施比较清晰准确：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分；</w:t>
            </w:r>
          </w:p>
          <w:p w14:paraId="110DB7E9">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总进度计划不详尽，各阶段进度的保证措施比较清晰准确：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w:t>
            </w:r>
          </w:p>
          <w:p w14:paraId="23DF6D1D">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不提供不得分。</w:t>
            </w:r>
          </w:p>
        </w:tc>
      </w:tr>
      <w:tr w14:paraId="0CCEDF07">
        <w:tblPrEx>
          <w:tblCellMar>
            <w:top w:w="0" w:type="dxa"/>
            <w:left w:w="108" w:type="dxa"/>
            <w:bottom w:w="0" w:type="dxa"/>
            <w:right w:w="108" w:type="dxa"/>
          </w:tblCellMar>
        </w:tblPrEx>
        <w:trPr>
          <w:trHeight w:val="405" w:hRule="atLeast"/>
          <w:jc w:val="center"/>
        </w:trPr>
        <w:tc>
          <w:tcPr>
            <w:tcW w:w="1294" w:type="dxa"/>
            <w:vMerge w:val="continue"/>
            <w:tcBorders>
              <w:top w:val="nil"/>
              <w:left w:val="single" w:color="000000" w:sz="4" w:space="0"/>
              <w:bottom w:val="nil"/>
              <w:right w:val="single" w:color="000000" w:sz="4" w:space="0"/>
            </w:tcBorders>
            <w:noWrap w:val="0"/>
            <w:vAlign w:val="center"/>
          </w:tcPr>
          <w:p w14:paraId="2C9A4363">
            <w:pPr>
              <w:widowControl/>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37" w:type="dxa"/>
            <w:vMerge w:val="continue"/>
            <w:tcBorders>
              <w:top w:val="nil"/>
              <w:left w:val="single" w:color="000000" w:sz="4" w:space="0"/>
              <w:bottom w:val="nil"/>
              <w:right w:val="single" w:color="000000" w:sz="4" w:space="0"/>
            </w:tcBorders>
            <w:noWrap w:val="0"/>
            <w:vAlign w:val="center"/>
          </w:tcPr>
          <w:p w14:paraId="6164B6C6">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146" w:type="dxa"/>
            <w:tcBorders>
              <w:top w:val="single" w:color="000000" w:sz="4" w:space="0"/>
              <w:left w:val="single" w:color="000000" w:sz="4" w:space="0"/>
              <w:bottom w:val="single" w:color="000000" w:sz="4" w:space="0"/>
              <w:right w:val="single" w:color="000000" w:sz="4" w:space="0"/>
            </w:tcBorders>
            <w:noWrap w:val="0"/>
            <w:vAlign w:val="center"/>
          </w:tcPr>
          <w:p w14:paraId="25D81231">
            <w:pPr>
              <w:spacing w:line="360" w:lineRule="auto"/>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4、施工质量保证措施（</w:t>
            </w:r>
            <w:r>
              <w:rPr>
                <w:rFonts w:hint="eastAsia" w:ascii="宋体" w:hAnsi="宋体" w:cs="宋体"/>
                <w:b/>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分）</w:t>
            </w:r>
          </w:p>
          <w:p w14:paraId="20000FC0">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供应商提供</w:t>
            </w:r>
            <w:r>
              <w:rPr>
                <w:rFonts w:hint="eastAsia" w:ascii="宋体" w:hAnsi="宋体" w:eastAsia="宋体" w:cs="宋体"/>
                <w:bCs/>
                <w:color w:val="000000" w:themeColor="text1"/>
                <w:sz w:val="24"/>
                <w:szCs w:val="24"/>
                <w:highlight w:val="none"/>
                <w14:textFill>
                  <w14:solidFill>
                    <w14:schemeClr w14:val="tx1"/>
                  </w14:solidFill>
                </w14:textFill>
              </w:rPr>
              <w:t>施工质量保证措施，内容包括但不限于施工质量控制措施、工程施工过程质量控制等。</w:t>
            </w:r>
          </w:p>
          <w:p w14:paraId="29246849">
            <w:pPr>
              <w:widowControl w:val="0"/>
              <w:spacing w:line="360" w:lineRule="auto"/>
              <w:jc w:val="lef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施工质量控制措施清晰合理，质量控制具体办法详尽、可行的：</w:t>
            </w:r>
            <w:r>
              <w:rPr>
                <w:rFonts w:hint="eastAsia" w:ascii="宋体" w:hAnsi="宋体" w:cs="宋体"/>
                <w:bCs/>
                <w:color w:val="000000" w:themeColor="text1"/>
                <w:sz w:val="24"/>
                <w:szCs w:val="24"/>
                <w:highlight w:val="none"/>
                <w:lang w:val="en-US" w:eastAsia="zh-CN" w:bidi="ar-SA"/>
                <w14:textFill>
                  <w14:solidFill>
                    <w14:schemeClr w14:val="tx1"/>
                  </w14:solidFill>
                </w14:textFill>
              </w:rPr>
              <w:t>5</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分；</w:t>
            </w:r>
          </w:p>
          <w:p w14:paraId="5F86781F">
            <w:pPr>
              <w:widowControl w:val="0"/>
              <w:spacing w:line="360" w:lineRule="auto"/>
              <w:jc w:val="lef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施工质量控制措施比较清晰合理，质量控制具体办法比较详尽、可行：3分；</w:t>
            </w:r>
          </w:p>
          <w:p w14:paraId="7617F013">
            <w:pPr>
              <w:widowControl w:val="0"/>
              <w:spacing w:line="360" w:lineRule="auto"/>
              <w:jc w:val="lef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施工质量控制措施模糊不合理，质量控制具体办法模糊不可行：1分；</w:t>
            </w:r>
          </w:p>
          <w:p w14:paraId="25413685">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不提供不得分。</w:t>
            </w:r>
          </w:p>
        </w:tc>
      </w:tr>
      <w:tr w14:paraId="77387ED9">
        <w:tblPrEx>
          <w:tblCellMar>
            <w:top w:w="0" w:type="dxa"/>
            <w:left w:w="108" w:type="dxa"/>
            <w:bottom w:w="0" w:type="dxa"/>
            <w:right w:w="108" w:type="dxa"/>
          </w:tblCellMar>
        </w:tblPrEx>
        <w:trPr>
          <w:trHeight w:val="333" w:hRule="atLeast"/>
          <w:jc w:val="center"/>
        </w:trPr>
        <w:tc>
          <w:tcPr>
            <w:tcW w:w="1294" w:type="dxa"/>
            <w:vMerge w:val="continue"/>
            <w:tcBorders>
              <w:top w:val="nil"/>
              <w:left w:val="single" w:color="000000" w:sz="4" w:space="0"/>
              <w:bottom w:val="single" w:color="auto" w:sz="4" w:space="0"/>
              <w:right w:val="single" w:color="000000" w:sz="4" w:space="0"/>
            </w:tcBorders>
            <w:noWrap w:val="0"/>
            <w:vAlign w:val="center"/>
          </w:tcPr>
          <w:p w14:paraId="171596E6">
            <w:pPr>
              <w:widowControl/>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37" w:type="dxa"/>
            <w:vMerge w:val="continue"/>
            <w:tcBorders>
              <w:top w:val="nil"/>
              <w:left w:val="single" w:color="000000" w:sz="4" w:space="0"/>
              <w:bottom w:val="single" w:color="auto" w:sz="4" w:space="0"/>
              <w:right w:val="single" w:color="000000" w:sz="4" w:space="0"/>
            </w:tcBorders>
            <w:noWrap w:val="0"/>
            <w:vAlign w:val="center"/>
          </w:tcPr>
          <w:p w14:paraId="7BCBBCDA">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146" w:type="dxa"/>
            <w:tcBorders>
              <w:top w:val="single" w:color="000000" w:sz="4" w:space="0"/>
              <w:left w:val="single" w:color="000000" w:sz="4" w:space="0"/>
              <w:bottom w:val="single" w:color="000000" w:sz="4" w:space="0"/>
              <w:right w:val="single" w:color="000000" w:sz="4" w:space="0"/>
            </w:tcBorders>
            <w:noWrap w:val="0"/>
            <w:vAlign w:val="center"/>
          </w:tcPr>
          <w:p w14:paraId="3DB21E1A">
            <w:pPr>
              <w:widowControl w:val="0"/>
              <w:spacing w:line="360" w:lineRule="auto"/>
              <w:jc w:val="left"/>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5、施工机具设备及劳动力配置方案（</w:t>
            </w:r>
            <w:r>
              <w:rPr>
                <w:rFonts w:hint="eastAsia" w:ascii="宋体" w:hAnsi="宋体" w:cs="宋体"/>
                <w:b/>
                <w:color w:val="000000" w:themeColor="text1"/>
                <w:sz w:val="24"/>
                <w:szCs w:val="24"/>
                <w:highlight w:val="none"/>
                <w:lang w:val="en-US" w:eastAsia="zh-CN" w:bidi="ar-SA"/>
                <w14:textFill>
                  <w14:solidFill>
                    <w14:schemeClr w14:val="tx1"/>
                  </w14:solidFill>
                </w14:textFill>
              </w:rPr>
              <w:t>5</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分）</w:t>
            </w:r>
          </w:p>
          <w:p w14:paraId="14BD368E">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施工机具配置、劳动力配置合理，方案及措施切实可行：</w:t>
            </w:r>
            <w:r>
              <w:rPr>
                <w:rFonts w:hint="eastAsia" w:ascii="宋体"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分；</w:t>
            </w:r>
          </w:p>
          <w:p w14:paraId="4CF5B318">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施工机具配置、劳动力配置较为合理，方案及措施可行性较强：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分；</w:t>
            </w:r>
          </w:p>
          <w:p w14:paraId="7E10D269">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施工机具配置、劳动力配置不合理，方案及措施实施性差：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分；</w:t>
            </w:r>
          </w:p>
          <w:p w14:paraId="6E8EE941">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不提供不得分。</w:t>
            </w:r>
          </w:p>
        </w:tc>
      </w:tr>
      <w:tr w14:paraId="61B4ECBC">
        <w:tblPrEx>
          <w:tblCellMar>
            <w:top w:w="0" w:type="dxa"/>
            <w:left w:w="108" w:type="dxa"/>
            <w:bottom w:w="0" w:type="dxa"/>
            <w:right w:w="108" w:type="dxa"/>
          </w:tblCellMar>
        </w:tblPrEx>
        <w:trPr>
          <w:trHeight w:val="2087" w:hRule="atLeast"/>
          <w:jc w:val="center"/>
        </w:trPr>
        <w:tc>
          <w:tcPr>
            <w:tcW w:w="1294" w:type="dxa"/>
            <w:vMerge w:val="continue"/>
            <w:tcBorders>
              <w:top w:val="single" w:color="auto" w:sz="4" w:space="0"/>
              <w:left w:val="single" w:color="000000" w:sz="4" w:space="0"/>
              <w:bottom w:val="single" w:color="auto" w:sz="4" w:space="0"/>
              <w:right w:val="single" w:color="000000" w:sz="4" w:space="0"/>
            </w:tcBorders>
            <w:noWrap w:val="0"/>
            <w:vAlign w:val="center"/>
          </w:tcPr>
          <w:p w14:paraId="67A222A6">
            <w:pPr>
              <w:widowControl/>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37" w:type="dxa"/>
            <w:vMerge w:val="continue"/>
            <w:tcBorders>
              <w:top w:val="single" w:color="auto" w:sz="4" w:space="0"/>
              <w:left w:val="single" w:color="000000" w:sz="4" w:space="0"/>
              <w:bottom w:val="single" w:color="auto" w:sz="4" w:space="0"/>
              <w:right w:val="single" w:color="000000" w:sz="4" w:space="0"/>
            </w:tcBorders>
            <w:noWrap w:val="0"/>
            <w:vAlign w:val="center"/>
          </w:tcPr>
          <w:p w14:paraId="6CD3C0BD">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146" w:type="dxa"/>
            <w:tcBorders>
              <w:top w:val="single" w:color="000000" w:sz="4" w:space="0"/>
              <w:left w:val="single" w:color="000000" w:sz="4" w:space="0"/>
              <w:bottom w:val="single" w:color="000000" w:sz="4" w:space="0"/>
              <w:right w:val="single" w:color="000000" w:sz="4" w:space="0"/>
            </w:tcBorders>
            <w:noWrap w:val="0"/>
            <w:vAlign w:val="center"/>
          </w:tcPr>
          <w:p w14:paraId="0B37D9AE">
            <w:pPr>
              <w:spacing w:line="360" w:lineRule="auto"/>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6、安全文明施工及环境保护措施（</w:t>
            </w:r>
            <w:r>
              <w:rPr>
                <w:rFonts w:hint="eastAsia" w:ascii="宋体" w:hAnsi="宋体" w:eastAsia="宋体" w:cs="宋体"/>
                <w:b/>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分）</w:t>
            </w:r>
          </w:p>
          <w:p w14:paraId="47F64FB8">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供应商提供针对本项目安全文明施工及环境保护采取措施。</w:t>
            </w:r>
          </w:p>
          <w:p w14:paraId="665143BE">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安全文明施工、环境保护具体措施合理，有针对性：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分；</w:t>
            </w:r>
          </w:p>
          <w:p w14:paraId="6EC17AD2">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安全文明施工、环境保护具体措施较为合理：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分；</w:t>
            </w:r>
          </w:p>
          <w:p w14:paraId="22073ED2">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安全文明施工、环境保护具体措施不合理：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分；</w:t>
            </w:r>
          </w:p>
          <w:p w14:paraId="67C496B7">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不提供不得分。</w:t>
            </w:r>
          </w:p>
        </w:tc>
      </w:tr>
      <w:tr w14:paraId="55D12FAA">
        <w:tblPrEx>
          <w:tblCellMar>
            <w:top w:w="0" w:type="dxa"/>
            <w:left w:w="108" w:type="dxa"/>
            <w:bottom w:w="0" w:type="dxa"/>
            <w:right w:w="108" w:type="dxa"/>
          </w:tblCellMar>
        </w:tblPrEx>
        <w:trPr>
          <w:trHeight w:val="90" w:hRule="atLeast"/>
          <w:jc w:val="center"/>
        </w:trPr>
        <w:tc>
          <w:tcPr>
            <w:tcW w:w="1294" w:type="dxa"/>
            <w:vMerge w:val="continue"/>
            <w:tcBorders>
              <w:top w:val="single" w:color="auto" w:sz="4" w:space="0"/>
              <w:left w:val="single" w:color="000000" w:sz="4" w:space="0"/>
              <w:bottom w:val="single" w:color="auto" w:sz="4" w:space="0"/>
              <w:right w:val="single" w:color="000000" w:sz="4" w:space="0"/>
            </w:tcBorders>
            <w:noWrap w:val="0"/>
            <w:vAlign w:val="center"/>
          </w:tcPr>
          <w:p w14:paraId="17029F0E">
            <w:pPr>
              <w:widowControl/>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37" w:type="dxa"/>
            <w:vMerge w:val="continue"/>
            <w:tcBorders>
              <w:top w:val="single" w:color="auto" w:sz="4" w:space="0"/>
              <w:left w:val="single" w:color="000000" w:sz="4" w:space="0"/>
              <w:bottom w:val="single" w:color="auto" w:sz="4" w:space="0"/>
              <w:right w:val="single" w:color="000000" w:sz="4" w:space="0"/>
            </w:tcBorders>
            <w:noWrap w:val="0"/>
            <w:vAlign w:val="center"/>
          </w:tcPr>
          <w:p w14:paraId="797567B7">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146" w:type="dxa"/>
            <w:tcBorders>
              <w:top w:val="single" w:color="000000" w:sz="4" w:space="0"/>
              <w:left w:val="single" w:color="000000" w:sz="4" w:space="0"/>
              <w:bottom w:val="single" w:color="000000" w:sz="4" w:space="0"/>
              <w:right w:val="single" w:color="000000" w:sz="4" w:space="0"/>
            </w:tcBorders>
            <w:noWrap w:val="0"/>
            <w:vAlign w:val="center"/>
          </w:tcPr>
          <w:p w14:paraId="5B730985">
            <w:pPr>
              <w:spacing w:line="360" w:lineRule="auto"/>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7、难点、重点及</w:t>
            </w:r>
            <w:r>
              <w:rPr>
                <w:rFonts w:hint="eastAsia" w:ascii="宋体" w:hAnsi="宋体" w:eastAsia="宋体" w:cs="宋体"/>
                <w:b/>
                <w:bCs/>
                <w:color w:val="000000" w:themeColor="text1"/>
                <w:sz w:val="24"/>
                <w:szCs w:val="24"/>
                <w:highlight w:val="none"/>
                <w14:textFill>
                  <w14:solidFill>
                    <w14:schemeClr w14:val="tx1"/>
                  </w14:solidFill>
                </w14:textFill>
              </w:rPr>
              <w:t>合理化建议（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分）</w:t>
            </w:r>
          </w:p>
          <w:p w14:paraId="5BFF8732">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供应商针对本项目</w:t>
            </w:r>
            <w:r>
              <w:rPr>
                <w:rFonts w:hint="eastAsia" w:ascii="宋体" w:hAnsi="宋体" w:eastAsia="宋体" w:cs="宋体"/>
                <w:color w:val="000000" w:themeColor="text1"/>
                <w:sz w:val="24"/>
                <w:szCs w:val="24"/>
                <w:highlight w:val="none"/>
                <w14:textFill>
                  <w14:solidFill>
                    <w14:schemeClr w14:val="tx1"/>
                  </w14:solidFill>
                </w14:textFill>
              </w:rPr>
              <w:t>关键施工技术</w:t>
            </w:r>
            <w:r>
              <w:rPr>
                <w:rFonts w:hint="eastAsia" w:ascii="宋体" w:hAnsi="宋体" w:eastAsia="宋体" w:cs="宋体"/>
                <w:bCs/>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难点、重点的分析及针对性</w:t>
            </w:r>
            <w:r>
              <w:rPr>
                <w:rFonts w:hint="eastAsia" w:ascii="宋体" w:hAnsi="宋体" w:eastAsia="宋体" w:cs="宋体"/>
                <w:bCs/>
                <w:color w:val="000000" w:themeColor="text1"/>
                <w:sz w:val="24"/>
                <w:szCs w:val="24"/>
                <w:highlight w:val="none"/>
                <w14:textFill>
                  <w14:solidFill>
                    <w14:schemeClr w14:val="tx1"/>
                  </w14:solidFill>
                </w14:textFill>
              </w:rPr>
              <w:t>合理化建议（措施）的科学性、可行性</w:t>
            </w:r>
            <w:r>
              <w:rPr>
                <w:rFonts w:hint="eastAsia" w:ascii="宋体" w:hAnsi="宋体" w:eastAsia="宋体" w:cs="宋体"/>
                <w:color w:val="000000" w:themeColor="text1"/>
                <w:sz w:val="24"/>
                <w:szCs w:val="24"/>
                <w:highlight w:val="none"/>
                <w14:textFill>
                  <w14:solidFill>
                    <w14:schemeClr w14:val="tx1"/>
                  </w14:solidFill>
                </w14:textFill>
              </w:rPr>
              <w:t>、全面性、针对性及有效性等。</w:t>
            </w:r>
          </w:p>
          <w:p w14:paraId="6D09C92B">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对关键施工技术、工艺及工程项目实施的重点、难点分析准确，解决方案切实可行，针对性及有效性强：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分；</w:t>
            </w:r>
          </w:p>
          <w:p w14:paraId="49F5EB48">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对关键施工技术、工艺及工程项目实施的重点、难点分析准确，解决方案较为可行，针对性及有效性较强：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分；</w:t>
            </w:r>
          </w:p>
          <w:p w14:paraId="7FC17436">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对关键施工技术、工艺及工程项目实施的重点、难点分析一般，解决方案一般，针对性及有效性一般：</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分；</w:t>
            </w:r>
          </w:p>
          <w:p w14:paraId="757C7435">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不提供不得分。</w:t>
            </w:r>
          </w:p>
        </w:tc>
      </w:tr>
      <w:tr w14:paraId="156F736F">
        <w:tblPrEx>
          <w:tblCellMar>
            <w:top w:w="0" w:type="dxa"/>
            <w:left w:w="108" w:type="dxa"/>
            <w:bottom w:w="0" w:type="dxa"/>
            <w:right w:w="108" w:type="dxa"/>
          </w:tblCellMar>
        </w:tblPrEx>
        <w:trPr>
          <w:trHeight w:val="308" w:hRule="atLeast"/>
          <w:jc w:val="center"/>
        </w:trPr>
        <w:tc>
          <w:tcPr>
            <w:tcW w:w="1294" w:type="dxa"/>
            <w:tcBorders>
              <w:top w:val="single" w:color="auto" w:sz="4" w:space="0"/>
              <w:left w:val="single" w:color="000000" w:sz="4" w:space="0"/>
              <w:bottom w:val="single" w:color="000000" w:sz="4" w:space="0"/>
              <w:right w:val="single" w:color="000000" w:sz="4" w:space="0"/>
            </w:tcBorders>
            <w:noWrap w:val="0"/>
            <w:vAlign w:val="center"/>
          </w:tcPr>
          <w:p w14:paraId="61CC8F27">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商务部分</w:t>
            </w:r>
          </w:p>
        </w:tc>
        <w:tc>
          <w:tcPr>
            <w:tcW w:w="1037" w:type="dxa"/>
            <w:tcBorders>
              <w:top w:val="single" w:color="auto" w:sz="4" w:space="0"/>
              <w:left w:val="nil"/>
              <w:bottom w:val="single" w:color="000000" w:sz="4" w:space="0"/>
              <w:right w:val="single" w:color="000000" w:sz="4" w:space="0"/>
            </w:tcBorders>
            <w:noWrap w:val="0"/>
            <w:vAlign w:val="center"/>
          </w:tcPr>
          <w:p w14:paraId="1B2FF533">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color w:val="000000" w:themeColor="text1"/>
                <w:sz w:val="24"/>
                <w:szCs w:val="24"/>
                <w:highlight w:val="none"/>
                <w14:textFill>
                  <w14:solidFill>
                    <w14:schemeClr w14:val="tx1"/>
                  </w14:solidFill>
                </w14:textFill>
              </w:rPr>
              <w:t>分</w:t>
            </w:r>
          </w:p>
        </w:tc>
        <w:tc>
          <w:tcPr>
            <w:tcW w:w="7146" w:type="dxa"/>
            <w:tcBorders>
              <w:top w:val="single" w:color="000000" w:sz="4" w:space="0"/>
              <w:left w:val="nil"/>
              <w:bottom w:val="single" w:color="000000" w:sz="4" w:space="0"/>
              <w:right w:val="single" w:color="000000" w:sz="4" w:space="0"/>
            </w:tcBorders>
            <w:noWrap w:val="0"/>
            <w:vAlign w:val="center"/>
          </w:tcPr>
          <w:p w14:paraId="23C97D3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p>
        </w:tc>
      </w:tr>
      <w:tr w14:paraId="25269AF2">
        <w:tblPrEx>
          <w:tblCellMar>
            <w:top w:w="0" w:type="dxa"/>
            <w:left w:w="108" w:type="dxa"/>
            <w:bottom w:w="0" w:type="dxa"/>
            <w:right w:w="108" w:type="dxa"/>
          </w:tblCellMar>
        </w:tblPrEx>
        <w:trPr>
          <w:trHeight w:val="531" w:hRule="atLeast"/>
          <w:jc w:val="center"/>
        </w:trPr>
        <w:tc>
          <w:tcPr>
            <w:tcW w:w="1294" w:type="dxa"/>
            <w:tcBorders>
              <w:top w:val="single" w:color="000000" w:sz="4" w:space="0"/>
              <w:left w:val="single" w:color="000000" w:sz="4" w:space="0"/>
              <w:bottom w:val="single" w:color="000000" w:sz="4" w:space="0"/>
              <w:right w:val="single" w:color="000000" w:sz="4" w:space="0"/>
            </w:tcBorders>
            <w:noWrap w:val="0"/>
            <w:vAlign w:val="center"/>
          </w:tcPr>
          <w:p w14:paraId="634EE5EF">
            <w:pPr>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人员配备</w:t>
            </w:r>
          </w:p>
        </w:tc>
        <w:tc>
          <w:tcPr>
            <w:tcW w:w="1037" w:type="dxa"/>
            <w:tcBorders>
              <w:top w:val="single" w:color="000000" w:sz="4" w:space="0"/>
              <w:left w:val="nil"/>
              <w:bottom w:val="single" w:color="000000" w:sz="4" w:space="0"/>
              <w:right w:val="single" w:color="000000" w:sz="4" w:space="0"/>
            </w:tcBorders>
            <w:noWrap w:val="0"/>
            <w:vAlign w:val="center"/>
          </w:tcPr>
          <w:p w14:paraId="431E34D5">
            <w:pPr>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分</w:t>
            </w:r>
          </w:p>
        </w:tc>
        <w:tc>
          <w:tcPr>
            <w:tcW w:w="7146" w:type="dxa"/>
            <w:tcBorders>
              <w:top w:val="single" w:color="000000" w:sz="4" w:space="0"/>
              <w:left w:val="nil"/>
              <w:bottom w:val="single" w:color="000000" w:sz="4" w:space="0"/>
              <w:right w:val="single" w:color="000000" w:sz="4" w:space="0"/>
            </w:tcBorders>
            <w:noWrap w:val="0"/>
            <w:vAlign w:val="center"/>
          </w:tcPr>
          <w:p w14:paraId="04B6035F">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1、拟投入技术负责人具有中级职称证书得2分，本项最多得</w:t>
            </w:r>
            <w:r>
              <w:rPr>
                <w:rFonts w:hint="eastAsia" w:ascii="宋体" w:hAnsi="宋体" w:cs="宋体"/>
                <w:color w:val="000000" w:themeColor="text1"/>
                <w:sz w:val="24"/>
                <w:szCs w:val="24"/>
                <w:lang w:val="en-US" w:eastAsia="zh-CN" w:bidi="ar-SA"/>
                <w14:textFill>
                  <w14:solidFill>
                    <w14:schemeClr w14:val="tx1"/>
                  </w14:solidFill>
                </w14:textFill>
              </w:rPr>
              <w:t>2</w:t>
            </w:r>
            <w:r>
              <w:rPr>
                <w:rFonts w:hint="eastAsia" w:ascii="宋体" w:hAnsi="宋体" w:eastAsia="宋体" w:cs="宋体"/>
                <w:color w:val="000000" w:themeColor="text1"/>
                <w:sz w:val="24"/>
                <w:szCs w:val="24"/>
                <w:lang w:val="en-US" w:eastAsia="zh-CN" w:bidi="ar-SA"/>
                <w14:textFill>
                  <w14:solidFill>
                    <w14:schemeClr w14:val="tx1"/>
                  </w14:solidFill>
                </w14:textFill>
              </w:rPr>
              <w:t>分。</w:t>
            </w:r>
          </w:p>
          <w:p w14:paraId="2203FFE5">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2、拟投入项目组成员中(不含项目负责人、技术负责人)具有安全员、质量员、施工员、机械员的、资料员的每有一个得0.5分，最高得2.5分</w:t>
            </w:r>
            <w:r>
              <w:rPr>
                <w:rFonts w:hint="eastAsia" w:ascii="宋体" w:hAnsi="宋体" w:cs="宋体"/>
                <w:color w:val="000000" w:themeColor="text1"/>
                <w:sz w:val="24"/>
                <w:szCs w:val="24"/>
                <w:lang w:val="en-US" w:eastAsia="zh-CN" w:bidi="ar-SA"/>
                <w14:textFill>
                  <w14:solidFill>
                    <w14:schemeClr w14:val="tx1"/>
                  </w14:solidFill>
                </w14:textFill>
              </w:rPr>
              <w:t>。</w:t>
            </w:r>
          </w:p>
          <w:p w14:paraId="42BF3CE4">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3、拟投入项目组成员中(不含项目负责人、技术负责人)具有一级注册造价师资格的，每有一个得1.5分，最高得1.5分。</w:t>
            </w:r>
          </w:p>
          <w:p w14:paraId="26380240">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注：严禁一人身兼多职。磋商供应商应提供有效的证书原件彩色扫描件及供应商为其缴纳的2025年12月起至今任意一个月由社保机构出具的社保缴纳证明</w:t>
            </w:r>
            <w:bookmarkStart w:id="224" w:name="_GoBack"/>
            <w:bookmarkEnd w:id="224"/>
            <w:r>
              <w:rPr>
                <w:rFonts w:hint="eastAsia" w:ascii="宋体" w:hAnsi="宋体" w:eastAsia="宋体" w:cs="宋体"/>
                <w:b/>
                <w:bCs/>
                <w:color w:val="000000" w:themeColor="text1"/>
                <w:sz w:val="24"/>
                <w:szCs w:val="24"/>
                <w:lang w:val="en-US" w:eastAsia="zh-CN" w:bidi="ar-SA"/>
                <w14:textFill>
                  <w14:solidFill>
                    <w14:schemeClr w14:val="tx1"/>
                  </w14:solidFill>
                </w14:textFill>
              </w:rPr>
              <w:t>(加盖社保中心章或社保中心参保缴费证明电子专用章)上传至响应文件中</w:t>
            </w:r>
            <w:r>
              <w:rPr>
                <w:rFonts w:hint="eastAsia" w:ascii="宋体" w:hAnsi="宋体" w:cs="宋体"/>
                <w:b/>
                <w:bCs/>
                <w:color w:val="000000" w:themeColor="text1"/>
                <w:sz w:val="24"/>
                <w:szCs w:val="24"/>
                <w:lang w:val="en-US" w:eastAsia="zh-CN" w:bidi="ar-SA"/>
                <w14:textFill>
                  <w14:solidFill>
                    <w14:schemeClr w14:val="tx1"/>
                  </w14:solidFill>
                </w14:textFill>
              </w:rPr>
              <w:t>，</w:t>
            </w:r>
            <w:r>
              <w:rPr>
                <w:rFonts w:hint="eastAsia" w:ascii="宋体" w:hAnsi="宋体" w:eastAsia="宋体" w:cs="宋体"/>
                <w:b/>
                <w:bCs/>
                <w:color w:val="000000" w:themeColor="text1"/>
                <w:sz w:val="24"/>
                <w:szCs w:val="24"/>
                <w:lang w:val="en-US" w:eastAsia="zh-CN" w:bidi="ar-SA"/>
                <w14:textFill>
                  <w14:solidFill>
                    <w14:schemeClr w14:val="tx1"/>
                  </w14:solidFill>
                </w14:textFill>
              </w:rPr>
              <w:t>以上材料未提供或材料不清晰导致无法辨别均不得分。</w:t>
            </w:r>
          </w:p>
        </w:tc>
      </w:tr>
      <w:tr w14:paraId="51233FDF">
        <w:tblPrEx>
          <w:tblCellMar>
            <w:top w:w="0" w:type="dxa"/>
            <w:left w:w="108" w:type="dxa"/>
            <w:bottom w:w="0" w:type="dxa"/>
            <w:right w:w="108" w:type="dxa"/>
          </w:tblCellMar>
        </w:tblPrEx>
        <w:trPr>
          <w:trHeight w:val="322" w:hRule="atLeast"/>
          <w:jc w:val="center"/>
        </w:trPr>
        <w:tc>
          <w:tcPr>
            <w:tcW w:w="1294" w:type="dxa"/>
            <w:tcBorders>
              <w:top w:val="single" w:color="000000" w:sz="4" w:space="0"/>
              <w:left w:val="single" w:color="000000" w:sz="4" w:space="0"/>
              <w:bottom w:val="single" w:color="000000" w:sz="4" w:space="0"/>
              <w:right w:val="single" w:color="000000" w:sz="4" w:space="0"/>
            </w:tcBorders>
            <w:noWrap w:val="0"/>
            <w:vAlign w:val="center"/>
          </w:tcPr>
          <w:p w14:paraId="6B89BD6B">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类似业绩</w:t>
            </w:r>
          </w:p>
        </w:tc>
        <w:tc>
          <w:tcPr>
            <w:tcW w:w="1037" w:type="dxa"/>
            <w:tcBorders>
              <w:top w:val="single" w:color="000000" w:sz="4" w:space="0"/>
              <w:left w:val="nil"/>
              <w:bottom w:val="single" w:color="000000" w:sz="4" w:space="0"/>
              <w:right w:val="single" w:color="000000" w:sz="4" w:space="0"/>
            </w:tcBorders>
            <w:noWrap w:val="0"/>
            <w:vAlign w:val="center"/>
          </w:tcPr>
          <w:p w14:paraId="05C1A062">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7146" w:type="dxa"/>
            <w:tcBorders>
              <w:top w:val="single" w:color="000000" w:sz="4" w:space="0"/>
              <w:left w:val="nil"/>
              <w:bottom w:val="single" w:color="000000" w:sz="4" w:space="0"/>
              <w:right w:val="single" w:color="000000" w:sz="4" w:space="0"/>
            </w:tcBorders>
            <w:noWrap w:val="0"/>
            <w:vAlign w:val="center"/>
          </w:tcPr>
          <w:p w14:paraId="7886DBAD">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企业业绩：</w:t>
            </w:r>
          </w:p>
          <w:p w14:paraId="37569338">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供应商提供自2022年1月1日以来企业承担过类似和美乡村或美丽乡村业绩</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有一个得3分，最高得9分；</w:t>
            </w:r>
          </w:p>
          <w:p w14:paraId="511A7DE3">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注：时间以合同签订时间为准</w:t>
            </w:r>
            <w:r>
              <w:rPr>
                <w:rFonts w:hint="eastAsia" w:ascii="宋体" w:hAnsi="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业绩证明材料须提供中标通知书、施工合同</w:t>
            </w:r>
            <w:r>
              <w:rPr>
                <w:rFonts w:hint="eastAsia" w:ascii="宋体" w:hAnsi="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竣工验收证明，以上材料需提供彩色扫描件并加盖供应商公章，未提供或未按要求提供有效的证明文件的此项不得分。若提供的中标通知书、施工合同、竣工验收证明等不能明示的内容，则需提供建设单位书面证明文件，证明文件上需加盖建设单位</w:t>
            </w:r>
            <w:r>
              <w:rPr>
                <w:rFonts w:hint="eastAsia" w:ascii="宋体" w:hAnsi="宋体" w:cs="宋体"/>
                <w:b/>
                <w:bCs/>
                <w:color w:val="000000" w:themeColor="text1"/>
                <w:sz w:val="24"/>
                <w:szCs w:val="24"/>
                <w:highlight w:val="none"/>
                <w:lang w:val="en-US" w:eastAsia="zh-CN"/>
                <w14:textFill>
                  <w14:solidFill>
                    <w14:schemeClr w14:val="tx1"/>
                  </w14:solidFill>
                </w14:textFill>
              </w:rPr>
              <w:t>公章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，否则不予认可。</w:t>
            </w:r>
          </w:p>
        </w:tc>
      </w:tr>
    </w:tbl>
    <w:p w14:paraId="0462D901">
      <w:pPr>
        <w:widowControl/>
        <w:spacing w:line="360" w:lineRule="auto"/>
        <w:ind w:firstLine="0"/>
        <w:jc w:val="left"/>
        <w:rPr>
          <w:rFonts w:hint="eastAsia" w:ascii="宋体" w:hAnsi="宋体" w:eastAsia="宋体" w:cs="Times New Roman"/>
          <w:b/>
          <w:bCs/>
          <w:color w:val="000000" w:themeColor="text1"/>
          <w:sz w:val="24"/>
          <w:szCs w:val="24"/>
          <w:lang w:val="en-US" w:eastAsia="zh-CN"/>
          <w14:textFill>
            <w14:solidFill>
              <w14:schemeClr w14:val="tx1"/>
            </w14:solidFill>
          </w14:textFill>
        </w:rPr>
      </w:pPr>
    </w:p>
    <w:p w14:paraId="0BA58D5F">
      <w:pPr>
        <w:widowControl/>
        <w:spacing w:line="360" w:lineRule="auto"/>
        <w:ind w:firstLine="0"/>
        <w:jc w:val="left"/>
        <w:rPr>
          <w:rFonts w:hint="default" w:ascii="宋体" w:hAnsi="宋体" w:eastAsia="宋体" w:cs="Times New Roman"/>
          <w:b/>
          <w:bCs/>
          <w:color w:val="000000" w:themeColor="text1"/>
          <w:sz w:val="24"/>
          <w:szCs w:val="24"/>
          <w:lang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六</w:t>
      </w:r>
      <w:r>
        <w:rPr>
          <w:rFonts w:hint="default" w:ascii="宋体" w:hAnsi="宋体" w:eastAsia="宋体" w:cs="Times New Roman"/>
          <w:b/>
          <w:bCs/>
          <w:color w:val="000000" w:themeColor="text1"/>
          <w:sz w:val="24"/>
          <w:szCs w:val="24"/>
          <w:lang w:eastAsia="zh-CN"/>
          <w14:textFill>
            <w14:solidFill>
              <w14:schemeClr w14:val="tx1"/>
            </w14:solidFill>
          </w14:textFill>
        </w:rPr>
        <w:t>、成交标准：</w:t>
      </w:r>
    </w:p>
    <w:p w14:paraId="33607F07">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default" w:ascii="宋体" w:hAnsi="宋体" w:eastAsia="宋体" w:cs="Times New Roman"/>
          <w:color w:val="000000" w:themeColor="text1"/>
          <w:sz w:val="24"/>
          <w:szCs w:val="24"/>
          <w:lang w:eastAsia="zh-CN"/>
          <w14:textFill>
            <w14:solidFill>
              <w14:schemeClr w14:val="tx1"/>
            </w14:solidFill>
          </w14:textFill>
        </w:rPr>
      </w:pPr>
      <w:r>
        <w:rPr>
          <w:rFonts w:hint="default" w:ascii="宋体" w:hAnsi="宋体" w:eastAsia="宋体" w:cs="Times New Roman"/>
          <w:bCs/>
          <w:color w:val="000000" w:themeColor="text1"/>
          <w:sz w:val="24"/>
          <w:szCs w:val="24"/>
          <w:lang w:eastAsia="zh-CN"/>
          <w14:textFill>
            <w14:solidFill>
              <w14:schemeClr w14:val="tx1"/>
            </w14:solidFill>
          </w14:textFill>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default" w:ascii="宋体" w:hAnsi="宋体" w:eastAsia="宋体" w:cs="Times New Roman"/>
          <w:color w:val="000000" w:themeColor="text1"/>
          <w:sz w:val="24"/>
          <w:szCs w:val="24"/>
          <w:lang w:eastAsia="zh-CN"/>
          <w14:textFill>
            <w14:solidFill>
              <w14:schemeClr w14:val="tx1"/>
            </w14:solidFill>
          </w14:textFill>
        </w:rPr>
        <w:t>评审得分且最后报价相同的，按照技术指标优劣顺序推荐。</w:t>
      </w:r>
    </w:p>
    <w:p w14:paraId="272AFBBE">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bookmarkStart w:id="191" w:name="_Toc32193"/>
      <w:bookmarkStart w:id="192" w:name="_Toc2728"/>
      <w:bookmarkStart w:id="193" w:name="_Toc3613"/>
      <w:bookmarkStart w:id="194" w:name="_Toc465856616"/>
      <w:bookmarkStart w:id="195" w:name="_Toc27402"/>
    </w:p>
    <w:p w14:paraId="4D595A8C">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4F621999">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440FDD59">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62ABD920">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0F41C271">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1988E744">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1049D0A9">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4215279E">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61EAA97B">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5B0E2A7F">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6F5DA007">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675C61A1">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0A17823B">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43AE3B62">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2BF0816E">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0E44CA26">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7664DAD9">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73FCC239">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238360A9">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54712AB1">
      <w:pPr>
        <w:pStyle w:val="207"/>
        <w:ind w:left="0" w:firstLine="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51FD7B44">
      <w:pP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br w:type="page"/>
      </w:r>
    </w:p>
    <w:p w14:paraId="74C757E2">
      <w:pPr>
        <w:pStyle w:val="207"/>
        <w:ind w:left="0" w:firstLine="0"/>
        <w:jc w:val="cente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第</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七</w:t>
      </w:r>
      <w:r>
        <w:rPr>
          <w:rFonts w:hint="eastAsia" w:ascii="宋体" w:hAnsi="宋体" w:eastAsia="宋体" w:cs="宋体"/>
          <w:b/>
          <w:bCs/>
          <w:color w:val="000000" w:themeColor="text1"/>
          <w:sz w:val="44"/>
          <w:szCs w:val="44"/>
          <w:highlight w:val="none"/>
          <w14:textFill>
            <w14:solidFill>
              <w14:schemeClr w14:val="tx1"/>
            </w14:solidFill>
          </w14:textFill>
        </w:rPr>
        <w:t>章 竞争性磋商响应文件格式</w:t>
      </w:r>
      <w:bookmarkEnd w:id="191"/>
      <w:bookmarkEnd w:id="192"/>
      <w:bookmarkEnd w:id="193"/>
      <w:bookmarkEnd w:id="194"/>
      <w:bookmarkEnd w:id="195"/>
    </w:p>
    <w:p w14:paraId="1F2D201E">
      <w:pPr>
        <w:pStyle w:val="223"/>
        <w:ind w:left="1874" w:right="1470" w:firstLine="0"/>
        <w:rPr>
          <w:rFonts w:cs="宋体"/>
          <w:color w:val="000000" w:themeColor="text1"/>
          <w:highlight w:val="none"/>
          <w14:textFill>
            <w14:solidFill>
              <w14:schemeClr w14:val="tx1"/>
            </w14:solidFill>
          </w14:textFill>
        </w:rPr>
      </w:pPr>
    </w:p>
    <w:p w14:paraId="3C7A0795">
      <w:pPr>
        <w:pStyle w:val="223"/>
        <w:ind w:left="1874" w:right="1470" w:firstLine="0"/>
        <w:rPr>
          <w:rFonts w:cs="宋体"/>
          <w:color w:val="000000" w:themeColor="text1"/>
          <w:highlight w:val="none"/>
          <w14:textFill>
            <w14:solidFill>
              <w14:schemeClr w14:val="tx1"/>
            </w14:solidFill>
          </w14:textFill>
        </w:rPr>
      </w:pPr>
    </w:p>
    <w:p w14:paraId="548BB9D1">
      <w:pPr>
        <w:jc w:val="center"/>
        <w:rPr>
          <w:rFonts w:ascii="宋体" w:hAnsi="宋体" w:cs="宋体"/>
          <w:b/>
          <w:color w:val="000000" w:themeColor="text1"/>
          <w:sz w:val="56"/>
          <w:szCs w:val="48"/>
          <w:highlight w:val="none"/>
          <w14:textFill>
            <w14:solidFill>
              <w14:schemeClr w14:val="tx1"/>
            </w14:solidFill>
          </w14:textFill>
        </w:rPr>
      </w:pPr>
      <w:r>
        <w:rPr>
          <w:rFonts w:hint="eastAsia" w:ascii="宋体" w:hAnsi="宋体" w:cs="宋体"/>
          <w:b/>
          <w:color w:val="000000" w:themeColor="text1"/>
          <w:sz w:val="56"/>
          <w:szCs w:val="48"/>
          <w:highlight w:val="none"/>
          <w:lang w:val="en-US" w:eastAsia="zh-CN"/>
          <w14:textFill>
            <w14:solidFill>
              <w14:schemeClr w14:val="tx1"/>
            </w14:solidFill>
          </w14:textFill>
        </w:rPr>
        <w:t>连 云 港 市</w:t>
      </w:r>
      <w:r>
        <w:rPr>
          <w:rFonts w:hint="eastAsia" w:ascii="宋体" w:hAnsi="宋体" w:cs="宋体"/>
          <w:b/>
          <w:color w:val="000000" w:themeColor="text1"/>
          <w:sz w:val="56"/>
          <w:szCs w:val="48"/>
          <w:highlight w:val="none"/>
          <w14:textFill>
            <w14:solidFill>
              <w14:schemeClr w14:val="tx1"/>
            </w14:solidFill>
          </w14:textFill>
        </w:rPr>
        <w:t xml:space="preserve"> 政 府 采 购</w:t>
      </w:r>
    </w:p>
    <w:p w14:paraId="72C5EEC9">
      <w:pPr>
        <w:jc w:val="center"/>
        <w:rPr>
          <w:rFonts w:ascii="宋体" w:hAnsi="宋体" w:cs="宋体"/>
          <w:b/>
          <w:color w:val="000000" w:themeColor="text1"/>
          <w:sz w:val="72"/>
          <w:szCs w:val="21"/>
          <w:highlight w:val="none"/>
          <w14:textFill>
            <w14:solidFill>
              <w14:schemeClr w14:val="tx1"/>
            </w14:solidFill>
          </w14:textFill>
        </w:rPr>
      </w:pPr>
    </w:p>
    <w:p w14:paraId="0177FA21">
      <w:pPr>
        <w:jc w:val="center"/>
        <w:rPr>
          <w:rFonts w:ascii="宋体" w:hAnsi="宋体" w:cs="宋体"/>
          <w:b/>
          <w:color w:val="000000" w:themeColor="text1"/>
          <w:sz w:val="56"/>
          <w:szCs w:val="20"/>
          <w:highlight w:val="none"/>
          <w14:textFill>
            <w14:solidFill>
              <w14:schemeClr w14:val="tx1"/>
            </w14:solidFill>
          </w14:textFill>
        </w:rPr>
      </w:pPr>
      <w:r>
        <w:rPr>
          <w:rFonts w:hint="eastAsia" w:ascii="宋体" w:hAnsi="宋体" w:cs="宋体"/>
          <w:b/>
          <w:color w:val="000000" w:themeColor="text1"/>
          <w:sz w:val="56"/>
          <w:szCs w:val="20"/>
          <w:highlight w:val="none"/>
          <w14:textFill>
            <w14:solidFill>
              <w14:schemeClr w14:val="tx1"/>
            </w14:solidFill>
          </w14:textFill>
        </w:rPr>
        <w:t>响应文件</w:t>
      </w:r>
    </w:p>
    <w:p w14:paraId="78335EEE">
      <w:pPr>
        <w:ind w:firstLine="643"/>
        <w:jc w:val="center"/>
        <w:rPr>
          <w:rFonts w:ascii="宋体" w:hAnsi="宋体" w:cs="宋体"/>
          <w:b/>
          <w:color w:val="000000" w:themeColor="text1"/>
          <w:sz w:val="32"/>
          <w:szCs w:val="32"/>
          <w:highlight w:val="none"/>
          <w14:textFill>
            <w14:solidFill>
              <w14:schemeClr w14:val="tx1"/>
            </w14:solidFill>
          </w14:textFill>
        </w:rPr>
      </w:pPr>
    </w:p>
    <w:p w14:paraId="69CC60E9">
      <w:pPr>
        <w:pStyle w:val="212"/>
        <w:spacing w:line="480" w:lineRule="atLeast"/>
        <w:ind w:firstLine="1749"/>
        <w:jc w:val="both"/>
        <w:rPr>
          <w:rFonts w:eastAsia="宋体"/>
          <w:b/>
          <w:color w:val="000000" w:themeColor="text1"/>
          <w:sz w:val="32"/>
          <w:szCs w:val="32"/>
          <w:highlight w:val="none"/>
          <w:u w:val="single"/>
          <w:lang w:val="en-US" w:eastAsia="zh-CN"/>
          <w14:textFill>
            <w14:solidFill>
              <w14:schemeClr w14:val="tx1"/>
            </w14:solidFill>
          </w14:textFill>
        </w:rPr>
      </w:pPr>
      <w:r>
        <w:rPr>
          <w:rFonts w:hint="eastAsia"/>
          <w:b/>
          <w:color w:val="000000" w:themeColor="text1"/>
          <w:sz w:val="32"/>
          <w:szCs w:val="32"/>
          <w:highlight w:val="none"/>
          <w:lang w:eastAsia="zh-CN"/>
          <w14:textFill>
            <w14:solidFill>
              <w14:schemeClr w14:val="tx1"/>
            </w14:solidFill>
          </w14:textFill>
        </w:rPr>
        <w:t>项目名称</w:t>
      </w:r>
      <w:r>
        <w:rPr>
          <w:rFonts w:hint="eastAsia"/>
          <w:b/>
          <w:color w:val="000000" w:themeColor="text1"/>
          <w:sz w:val="32"/>
          <w:szCs w:val="32"/>
          <w:highlight w:val="none"/>
          <w14:textFill>
            <w14:solidFill>
              <w14:schemeClr w14:val="tx1"/>
            </w14:solidFill>
          </w14:textFill>
        </w:rPr>
        <w:t>：</w:t>
      </w:r>
      <w:r>
        <w:rPr>
          <w:rFonts w:hint="eastAsia"/>
          <w:b/>
          <w:color w:val="000000" w:themeColor="text1"/>
          <w:sz w:val="32"/>
          <w:szCs w:val="32"/>
          <w:highlight w:val="none"/>
          <w:u w:val="single"/>
          <w:lang w:val="en-US" w:eastAsia="zh-CN"/>
          <w14:textFill>
            <w14:solidFill>
              <w14:schemeClr w14:val="tx1"/>
            </w14:solidFill>
          </w14:textFill>
        </w:rPr>
        <w:t xml:space="preserve">                    </w:t>
      </w:r>
    </w:p>
    <w:p w14:paraId="232B7169">
      <w:pPr>
        <w:pStyle w:val="212"/>
        <w:spacing w:line="480" w:lineRule="atLeast"/>
        <w:ind w:firstLine="1749"/>
        <w:jc w:val="both"/>
        <w:rPr>
          <w:color w:val="000000" w:themeColor="text1"/>
          <w:highlight w:val="none"/>
          <w14:textFill>
            <w14:solidFill>
              <w14:schemeClr w14:val="tx1"/>
            </w14:solidFill>
          </w14:textFill>
        </w:rPr>
      </w:pPr>
      <w:r>
        <w:rPr>
          <w:rFonts w:hint="eastAsia"/>
          <w:b/>
          <w:color w:val="000000" w:themeColor="text1"/>
          <w:sz w:val="32"/>
          <w:szCs w:val="32"/>
          <w:highlight w:val="none"/>
          <w:lang w:eastAsia="zh-CN"/>
          <w14:textFill>
            <w14:solidFill>
              <w14:schemeClr w14:val="tx1"/>
            </w14:solidFill>
          </w14:textFill>
        </w:rPr>
        <w:t>项目编号</w:t>
      </w:r>
      <w:r>
        <w:rPr>
          <w:rFonts w:hint="eastAsia"/>
          <w:b/>
          <w:color w:val="000000" w:themeColor="text1"/>
          <w:sz w:val="32"/>
          <w:szCs w:val="32"/>
          <w:highlight w:val="none"/>
          <w14:textFill>
            <w14:solidFill>
              <w14:schemeClr w14:val="tx1"/>
            </w14:solidFill>
          </w14:textFill>
        </w:rPr>
        <w:t>：</w:t>
      </w:r>
      <w:r>
        <w:rPr>
          <w:rFonts w:hint="eastAsia"/>
          <w:b/>
          <w:color w:val="000000" w:themeColor="text1"/>
          <w:sz w:val="32"/>
          <w:szCs w:val="32"/>
          <w:highlight w:val="none"/>
          <w:u w:val="single"/>
          <w:lang w:val="en-US" w:eastAsia="zh-CN"/>
          <w14:textFill>
            <w14:solidFill>
              <w14:schemeClr w14:val="tx1"/>
            </w14:solidFill>
          </w14:textFill>
        </w:rPr>
        <w:t xml:space="preserve">                    </w:t>
      </w:r>
    </w:p>
    <w:p w14:paraId="163BBA6E">
      <w:pPr>
        <w:pStyle w:val="212"/>
        <w:spacing w:line="360" w:lineRule="atLeast"/>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p w14:paraId="0229538A">
      <w:pPr>
        <w:pStyle w:val="212"/>
        <w:spacing w:line="480" w:lineRule="atLeast"/>
        <w:ind w:firstLine="1749"/>
        <w:jc w:val="both"/>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供应商名称：</w:t>
      </w:r>
      <w:r>
        <w:rPr>
          <w:rFonts w:hint="eastAsia" w:ascii="宋体" w:hAnsi="宋体" w:eastAsia="宋体" w:cs="宋体"/>
          <w:b/>
          <w:bCs/>
          <w:color w:val="000000" w:themeColor="text1"/>
          <w:sz w:val="36"/>
          <w:szCs w:val="36"/>
          <w:highlight w:val="none"/>
          <w:u w:val="single"/>
          <w14:textFill>
            <w14:solidFill>
              <w14:schemeClr w14:val="tx1"/>
            </w14:solidFill>
          </w14:textFill>
        </w:rPr>
        <w:t>（加盖公章）</w:t>
      </w:r>
      <w:r>
        <w:rPr>
          <w:rFonts w:hint="eastAsia"/>
          <w:b/>
          <w:color w:val="000000" w:themeColor="text1"/>
          <w:sz w:val="32"/>
          <w:szCs w:val="32"/>
          <w:highlight w:val="none"/>
          <w14:textFill>
            <w14:solidFill>
              <w14:schemeClr w14:val="tx1"/>
            </w14:solidFill>
          </w14:textFill>
        </w:rPr>
        <w:t> </w:t>
      </w:r>
    </w:p>
    <w:p w14:paraId="16A97D01">
      <w:pPr>
        <w:pStyle w:val="212"/>
        <w:spacing w:line="480" w:lineRule="atLeast"/>
        <w:ind w:firstLine="1749"/>
        <w:jc w:val="both"/>
        <w:rPr>
          <w:color w:val="000000" w:themeColor="text1"/>
          <w:sz w:val="36"/>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日 期 ：</w:t>
      </w:r>
      <w:r>
        <w:rPr>
          <w:rFonts w:hint="eastAsia"/>
          <w:b/>
          <w:color w:val="000000" w:themeColor="text1"/>
          <w:sz w:val="32"/>
          <w:szCs w:val="32"/>
          <w:highlight w:val="none"/>
          <w:u w:val="single"/>
          <w:lang w:val="en-US" w:eastAsia="zh-CN"/>
          <w14:textFill>
            <w14:solidFill>
              <w14:schemeClr w14:val="tx1"/>
            </w14:solidFill>
          </w14:textFill>
        </w:rPr>
        <w:t xml:space="preserve">                    </w:t>
      </w:r>
    </w:p>
    <w:p w14:paraId="33CC99A6">
      <w:pPr>
        <w:pStyle w:val="209"/>
        <w:spacing w:before="0" w:after="0"/>
        <w:ind w:firstLine="0"/>
        <w:rPr>
          <w:rFonts w:hint="eastAsia" w:ascii="宋体" w:hAnsi="宋体" w:eastAsia="宋体" w:cs="宋体"/>
          <w:color w:val="000000" w:themeColor="text1"/>
          <w:highlight w:val="none"/>
          <w14:textFill>
            <w14:solidFill>
              <w14:schemeClr w14:val="tx1"/>
            </w14:solidFill>
          </w14:textFill>
        </w:rPr>
      </w:pPr>
    </w:p>
    <w:p w14:paraId="6303D84E">
      <w:pPr>
        <w:pStyle w:val="209"/>
        <w:spacing w:before="0" w:after="0"/>
        <w:ind w:firstLine="0"/>
        <w:rPr>
          <w:rFonts w:hint="eastAsia" w:ascii="宋体" w:hAnsi="宋体" w:eastAsia="宋体" w:cs="宋体"/>
          <w:color w:val="000000" w:themeColor="text1"/>
          <w:highlight w:val="none"/>
          <w14:textFill>
            <w14:solidFill>
              <w14:schemeClr w14:val="tx1"/>
            </w14:solidFill>
          </w14:textFill>
        </w:rPr>
      </w:pPr>
    </w:p>
    <w:p w14:paraId="2BF59DA3">
      <w:pPr>
        <w:pageBreakBefore w:val="0"/>
        <w:widowControl w:val="0"/>
        <w:numPr>
          <w:ilvl w:val="0"/>
          <w:numId w:val="0"/>
        </w:numPr>
        <w:spacing w:line="360" w:lineRule="auto"/>
        <w:jc w:val="both"/>
        <w:outlineLvl w:val="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p>
    <w:p w14:paraId="272CB5E4">
      <w:pPr>
        <w:pStyle w:val="31"/>
        <w:ind w:left="0" w:firstLine="0"/>
        <w:jc w:val="center"/>
        <w:rPr>
          <w:bCs/>
          <w:color w:val="000000" w:themeColor="text1"/>
          <w:sz w:val="21"/>
          <w:szCs w:val="20"/>
          <w:highlight w:val="none"/>
          <w14:textFill>
            <w14:solidFill>
              <w14:schemeClr w14:val="tx1"/>
            </w14:solidFill>
          </w14:textFill>
        </w:rPr>
      </w:pPr>
      <w:r>
        <w:rPr>
          <w:rFonts w:hint="eastAsia" w:ascii="宋体" w:eastAsia="宋体" w:cs="宋体"/>
          <w:b/>
          <w:bCs w:val="0"/>
          <w:color w:val="000000" w:themeColor="text1"/>
          <w:sz w:val="30"/>
          <w:szCs w:val="30"/>
          <w:highlight w:val="none"/>
          <w:lang w:eastAsia="zh-CN"/>
          <w14:textFill>
            <w14:solidFill>
              <w14:schemeClr w14:val="tx1"/>
            </w14:solidFill>
          </w14:textFill>
        </w:rPr>
        <w:t>一、</w:t>
      </w:r>
      <w:r>
        <w:rPr>
          <w:rFonts w:hint="eastAsia" w:ascii="宋体" w:hAnsi="宋体" w:eastAsia="宋体" w:cs="宋体"/>
          <w:b/>
          <w:bCs w:val="0"/>
          <w:color w:val="000000" w:themeColor="text1"/>
          <w:sz w:val="30"/>
          <w:szCs w:val="30"/>
          <w:highlight w:val="none"/>
          <w14:textFill>
            <w14:solidFill>
              <w14:schemeClr w14:val="tx1"/>
            </w14:solidFill>
          </w14:textFill>
        </w:rPr>
        <w:t>磋商响应函</w:t>
      </w:r>
    </w:p>
    <w:p w14:paraId="3BAF58F3">
      <w:pPr>
        <w:spacing w:line="500" w:lineRule="exact"/>
        <w:ind w:firstLine="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致：</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u w:val="singl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u w:val="single"/>
          <w14:textFill>
            <w14:solidFill>
              <w14:schemeClr w14:val="tx1"/>
            </w14:solidFill>
          </w14:textFill>
        </w:rPr>
        <w:t>　</w:t>
      </w:r>
    </w:p>
    <w:p w14:paraId="41032122">
      <w:pPr>
        <w:spacing w:line="5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(一)根据已收到的采购编号为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（项目</w:t>
      </w:r>
      <w:r>
        <w:rPr>
          <w:rFonts w:hint="eastAsia" w:ascii="宋体" w:hAnsi="宋体" w:cs="宋体"/>
          <w:color w:val="000000" w:themeColor="text1"/>
          <w:sz w:val="24"/>
          <w:szCs w:val="24"/>
          <w:highlight w:val="none"/>
          <w:u w:val="single"/>
          <w:lang w:val="en-US" w:eastAsia="zh-CN"/>
          <w14:textFill>
            <w14:solidFill>
              <w14:schemeClr w14:val="tx1"/>
            </w14:solidFill>
          </w14:textFill>
        </w:rPr>
        <w:t>编号</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（项目</w:t>
      </w:r>
      <w:r>
        <w:rPr>
          <w:rFonts w:hint="eastAsia" w:ascii="宋体" w:hAnsi="宋体" w:cs="宋体"/>
          <w:color w:val="000000" w:themeColor="text1"/>
          <w:sz w:val="24"/>
          <w:szCs w:val="24"/>
          <w:highlight w:val="none"/>
          <w:u w:val="single"/>
          <w:lang w:val="en-US" w:eastAsia="zh-CN"/>
          <w14:textFill>
            <w14:solidFill>
              <w14:schemeClr w14:val="tx1"/>
            </w14:solidFill>
          </w14:textFill>
        </w:rPr>
        <w:t>名称</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工程的磋商文件</w:t>
      </w:r>
      <w:r>
        <w:rPr>
          <w:rFonts w:hint="eastAsia" w:ascii="宋体" w:hAnsi="宋体" w:eastAsia="宋体" w:cs="宋体"/>
          <w:bCs/>
          <w:color w:val="000000" w:themeColor="text1"/>
          <w:sz w:val="24"/>
          <w:szCs w:val="24"/>
          <w:highlight w:val="none"/>
          <w14:textFill>
            <w14:solidFill>
              <w14:schemeClr w14:val="tx1"/>
            </w14:solidFill>
          </w14:textFill>
        </w:rPr>
        <w:t>(包括补充通知)</w:t>
      </w:r>
      <w:r>
        <w:rPr>
          <w:rFonts w:hint="eastAsia" w:ascii="宋体" w:hAnsi="宋体" w:eastAsia="宋体" w:cs="宋体"/>
          <w:color w:val="000000" w:themeColor="text1"/>
          <w:sz w:val="24"/>
          <w:szCs w:val="24"/>
          <w:highlight w:val="none"/>
          <w14:textFill>
            <w14:solidFill>
              <w14:schemeClr w14:val="tx1"/>
            </w14:solidFill>
          </w14:textFill>
        </w:rPr>
        <w:t>，遵照《中华人民共和国政府采购法》及相关法律的规定，我单位经考察现场和研究上述工程磋商文件后，我方愿以人民币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元(大写)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的总价，按磋商文件的要求承包本次采购范围内的全部工程，并承担相关的责任。</w:t>
      </w:r>
    </w:p>
    <w:p w14:paraId="5EF8AA67">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p>
    <w:p w14:paraId="7FC5A332">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(三)我单位保证在收到贵单位发出的书面开工令后立即开工，并在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日历</w:t>
      </w:r>
      <w:r>
        <w:rPr>
          <w:rFonts w:hint="eastAsia" w:ascii="宋体" w:hAnsi="宋体" w:eastAsia="宋体" w:cs="宋体"/>
          <w:color w:val="000000" w:themeColor="text1"/>
          <w:sz w:val="24"/>
          <w:szCs w:val="24"/>
          <w:highlight w:val="none"/>
          <w14:textFill>
            <w14:solidFill>
              <w14:schemeClr w14:val="tx1"/>
            </w14:solidFill>
          </w14:textFill>
        </w:rPr>
        <w:t>天内竣工。</w:t>
      </w:r>
    </w:p>
    <w:p w14:paraId="3E9B9081">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(四)我单位保证本工程质量达到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0EDD467D">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(五)我单位保证在成交后派出</w:t>
      </w:r>
      <w:r>
        <w:rPr>
          <w:rFonts w:hint="eastAsia" w:ascii="宋体" w:hAnsi="宋体" w:eastAsia="宋体" w:cs="宋体"/>
          <w:b/>
          <w:bCs/>
          <w:color w:val="000000" w:themeColor="text1"/>
          <w:sz w:val="24"/>
          <w:szCs w:val="24"/>
          <w:highlight w:val="none"/>
          <w14:textFill>
            <w14:solidFill>
              <w14:schemeClr w14:val="tx1"/>
            </w14:solidFill>
          </w14:textFill>
        </w:rPr>
        <w:t>项目负责人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同志(身份证号：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)全面负责本工程的施工。</w:t>
      </w:r>
    </w:p>
    <w:p w14:paraId="2C23BF80">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(六)贵单位所发出的磋商文件、成交通知书和本响应文件将构成约束我们双方的合同。</w:t>
      </w:r>
    </w:p>
    <w:p w14:paraId="522DB059">
      <w:pPr>
        <w:spacing w:line="500" w:lineRule="exact"/>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磋商供应商：(签章)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3253F702">
      <w:pPr>
        <w:spacing w:line="500" w:lineRule="exact"/>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p>
    <w:p w14:paraId="4FDCCF81">
      <w:pPr>
        <w:spacing w:line="500" w:lineRule="exact"/>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00A3FFBC">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法定代表人或委托代理人(签字或盖章)：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45D59DC8">
      <w:pPr>
        <w:spacing w:line="500" w:lineRule="exact"/>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p>
    <w:p w14:paraId="33D7E2F8">
      <w:pPr>
        <w:spacing w:line="500" w:lineRule="exact"/>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153E8A71">
      <w:pPr>
        <w:spacing w:line="500" w:lineRule="exact"/>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7E7BD786">
      <w:pPr>
        <w:spacing w:line="500" w:lineRule="exact"/>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银行帐号：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5C7C4C8D">
      <w:pPr>
        <w:spacing w:line="500" w:lineRule="exact"/>
        <w:ind w:firstLine="480"/>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开户行地址：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4FE04815">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日</w:t>
      </w:r>
    </w:p>
    <w:p w14:paraId="2FF94823">
      <w:pPr>
        <w:jc w:val="both"/>
        <w:outlineLvl w:val="0"/>
        <w:rPr>
          <w:rFonts w:hint="eastAsia" w:ascii="宋体" w:hAnsi="宋体" w:eastAsia="宋体" w:cs="宋体"/>
          <w:b/>
          <w:color w:val="000000" w:themeColor="text1"/>
          <w:sz w:val="30"/>
          <w:szCs w:val="30"/>
          <w:highlight w:val="none"/>
          <w:u w:val="single"/>
          <w14:textFill>
            <w14:solidFill>
              <w14:schemeClr w14:val="tx1"/>
            </w14:solidFill>
          </w14:textFill>
        </w:rPr>
      </w:pPr>
    </w:p>
    <w:p w14:paraId="37FBD141">
      <w:pPr>
        <w:jc w:val="both"/>
        <w:outlineLvl w:val="0"/>
        <w:rPr>
          <w:rFonts w:hint="eastAsia" w:ascii="宋体" w:hAnsi="宋体" w:eastAsia="宋体" w:cs="宋体"/>
          <w:b/>
          <w:color w:val="000000" w:themeColor="text1"/>
          <w:sz w:val="30"/>
          <w:szCs w:val="30"/>
          <w:highlight w:val="none"/>
          <w:u w:val="single"/>
          <w14:textFill>
            <w14:solidFill>
              <w14:schemeClr w14:val="tx1"/>
            </w14:solidFill>
          </w14:textFill>
        </w:rPr>
      </w:pPr>
    </w:p>
    <w:p w14:paraId="69578AC1">
      <w:pPr>
        <w:jc w:val="both"/>
        <w:outlineLvl w:val="0"/>
        <w:rPr>
          <w:rFonts w:hint="eastAsia" w:ascii="宋体" w:hAnsi="宋体" w:eastAsia="宋体" w:cs="宋体"/>
          <w:b/>
          <w:color w:val="000000" w:themeColor="text1"/>
          <w:sz w:val="30"/>
          <w:szCs w:val="30"/>
          <w:highlight w:val="none"/>
          <w:u w:val="single"/>
          <w14:textFill>
            <w14:solidFill>
              <w14:schemeClr w14:val="tx1"/>
            </w14:solidFill>
          </w14:textFill>
        </w:rPr>
      </w:pPr>
    </w:p>
    <w:p w14:paraId="16CB2ABC">
      <w:pPr>
        <w:jc w:val="both"/>
        <w:outlineLvl w:val="0"/>
        <w:rPr>
          <w:rFonts w:hint="eastAsia" w:ascii="宋体" w:hAnsi="宋体" w:eastAsia="宋体" w:cs="宋体"/>
          <w:b/>
          <w:color w:val="000000" w:themeColor="text1"/>
          <w:sz w:val="30"/>
          <w:szCs w:val="30"/>
          <w:highlight w:val="none"/>
          <w:u w:val="single"/>
          <w14:textFill>
            <w14:solidFill>
              <w14:schemeClr w14:val="tx1"/>
            </w14:solidFill>
          </w14:textFill>
        </w:rPr>
      </w:pPr>
    </w:p>
    <w:p w14:paraId="6DCE9D07">
      <w:pPr>
        <w:jc w:val="both"/>
        <w:outlineLvl w:val="0"/>
        <w:rPr>
          <w:rFonts w:hint="eastAsia" w:ascii="宋体" w:hAnsi="宋体" w:eastAsia="宋体" w:cs="宋体"/>
          <w:b/>
          <w:color w:val="000000" w:themeColor="text1"/>
          <w:sz w:val="30"/>
          <w:szCs w:val="30"/>
          <w:highlight w:val="none"/>
          <w:u w:val="single"/>
          <w14:textFill>
            <w14:solidFill>
              <w14:schemeClr w14:val="tx1"/>
            </w14:solidFill>
          </w14:textFill>
        </w:rPr>
      </w:pPr>
    </w:p>
    <w:p w14:paraId="07A65312">
      <w:pPr>
        <w:pStyle w:val="31"/>
        <w:ind w:left="0" w:firstLine="0"/>
        <w:jc w:val="center"/>
        <w:rPr>
          <w:rFonts w:hint="eastAsia" w:ascii="宋体" w:hAnsi="宋体" w:eastAsia="宋体" w:cs="宋体"/>
          <w:b/>
          <w:bCs w:val="0"/>
          <w:color w:val="000000" w:themeColor="text1"/>
          <w:sz w:val="32"/>
          <w:szCs w:val="32"/>
          <w:highlight w:val="none"/>
          <w14:textFill>
            <w14:solidFill>
              <w14:schemeClr w14:val="tx1"/>
            </w14:solidFill>
          </w14:textFill>
        </w:rPr>
      </w:pPr>
    </w:p>
    <w:p w14:paraId="15950E10">
      <w:pPr>
        <w:pStyle w:val="31"/>
        <w:ind w:left="0" w:firstLine="0"/>
        <w:jc w:val="center"/>
        <w:rPr>
          <w:rFonts w:hint="eastAsia" w:ascii="宋体" w:hAnsi="宋体" w:eastAsia="宋体" w:cs="宋体"/>
          <w:b/>
          <w:bCs w:val="0"/>
          <w:color w:val="000000" w:themeColor="text1"/>
          <w:sz w:val="32"/>
          <w:szCs w:val="32"/>
          <w:highlight w:val="none"/>
          <w14:textFill>
            <w14:solidFill>
              <w14:schemeClr w14:val="tx1"/>
            </w14:solidFill>
          </w14:textFill>
        </w:rPr>
      </w:pPr>
      <w:r>
        <w:rPr>
          <w:rFonts w:hint="eastAsia" w:ascii="宋体" w:hAnsi="宋体" w:eastAsia="宋体" w:cs="宋体"/>
          <w:b/>
          <w:bCs w:val="0"/>
          <w:color w:val="000000" w:themeColor="text1"/>
          <w:sz w:val="30"/>
          <w:szCs w:val="30"/>
          <w:highlight w:val="none"/>
          <w14:textFill>
            <w14:solidFill>
              <w14:schemeClr w14:val="tx1"/>
            </w14:solidFill>
          </w14:textFill>
        </w:rPr>
        <w:t>二、磋商响应报价表</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9"/>
        <w:gridCol w:w="7600"/>
      </w:tblGrid>
      <w:tr w14:paraId="02919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9" w:hRule="atLeast"/>
          <w:jc w:val="center"/>
        </w:trPr>
        <w:tc>
          <w:tcPr>
            <w:tcW w:w="1539" w:type="dxa"/>
            <w:noWrap w:val="0"/>
            <w:vAlign w:val="center"/>
          </w:tcPr>
          <w:p w14:paraId="10911A65">
            <w:pPr>
              <w:widowControl/>
              <w:spacing w:before="100" w:beforeAutospacing="1" w:after="100" w:afterAutospacing="1"/>
              <w:jc w:val="lef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项目</w:t>
            </w:r>
          </w:p>
        </w:tc>
        <w:tc>
          <w:tcPr>
            <w:tcW w:w="7600" w:type="dxa"/>
            <w:noWrap w:val="0"/>
            <w:vAlign w:val="center"/>
          </w:tcPr>
          <w:p w14:paraId="63A4BD48">
            <w:pPr>
              <w:widowControl/>
              <w:spacing w:before="100" w:beforeAutospacing="1" w:after="100" w:afterAutospacing="1"/>
              <w:jc w:val="lef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项目名称：</w:t>
            </w:r>
          </w:p>
          <w:p w14:paraId="02B21234">
            <w:pPr>
              <w:widowControl/>
              <w:spacing w:before="100" w:beforeAutospacing="1" w:after="100" w:afterAutospacing="1"/>
              <w:jc w:val="lef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项目编号：</w:t>
            </w:r>
          </w:p>
        </w:tc>
      </w:tr>
      <w:tr w14:paraId="0E1D1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74" w:hRule="atLeast"/>
          <w:jc w:val="center"/>
        </w:trPr>
        <w:tc>
          <w:tcPr>
            <w:tcW w:w="1539" w:type="dxa"/>
            <w:noWrap w:val="0"/>
            <w:vAlign w:val="center"/>
          </w:tcPr>
          <w:p w14:paraId="36D66147">
            <w:pPr>
              <w:widowControl/>
              <w:spacing w:before="100" w:beforeAutospacing="1" w:after="100" w:afterAutospacing="1"/>
              <w:jc w:val="lef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响应报价</w:t>
            </w:r>
          </w:p>
        </w:tc>
        <w:tc>
          <w:tcPr>
            <w:tcW w:w="7600" w:type="dxa"/>
            <w:noWrap w:val="0"/>
            <w:vAlign w:val="center"/>
          </w:tcPr>
          <w:p w14:paraId="6AA5CA99">
            <w:pPr>
              <w:widowControl/>
              <w:spacing w:before="100" w:beforeAutospacing="1" w:after="100" w:afterAutospacing="1"/>
              <w:jc w:val="lef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人民币</w:t>
            </w:r>
            <w:r>
              <w:rPr>
                <w:rFonts w:hint="eastAsia" w:ascii="宋体" w:hAnsi="宋体" w:eastAsia="宋体" w:cs="宋体"/>
                <w:color w:val="000000" w:themeColor="text1"/>
                <w:sz w:val="24"/>
                <w:lang w:eastAsia="zh-CN"/>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大写</w:t>
            </w:r>
            <w:r>
              <w:rPr>
                <w:rFonts w:hint="eastAsia" w:ascii="宋体" w:hAnsi="宋体" w:eastAsia="宋体" w:cs="宋体"/>
                <w:color w:val="000000" w:themeColor="text1"/>
                <w:sz w:val="24"/>
                <w:lang w:eastAsia="zh-CN"/>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w:t>
            </w:r>
          </w:p>
          <w:p w14:paraId="3C8B5F72">
            <w:pPr>
              <w:widowControl/>
              <w:spacing w:before="100" w:beforeAutospacing="1" w:after="100" w:afterAutospacing="1"/>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小写</w:t>
            </w:r>
            <w:r>
              <w:rPr>
                <w:rFonts w:hint="eastAsia" w:ascii="宋体" w:hAnsi="宋体" w:eastAsia="宋体" w:cs="宋体"/>
                <w:color w:val="000000" w:themeColor="text1"/>
                <w:sz w:val="24"/>
                <w:lang w:eastAsia="zh-CN"/>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w:t>
            </w:r>
          </w:p>
        </w:tc>
      </w:tr>
      <w:tr w14:paraId="36EE0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1" w:hRule="atLeast"/>
          <w:jc w:val="center"/>
        </w:trPr>
        <w:tc>
          <w:tcPr>
            <w:tcW w:w="1539" w:type="dxa"/>
            <w:noWrap w:val="0"/>
            <w:vAlign w:val="center"/>
          </w:tcPr>
          <w:p w14:paraId="53D699B1">
            <w:pPr>
              <w:widowControl/>
              <w:spacing w:before="100" w:beforeAutospacing="1" w:after="100" w:afterAutospacing="1"/>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合同履行期限（工期）</w:t>
            </w:r>
          </w:p>
        </w:tc>
        <w:tc>
          <w:tcPr>
            <w:tcW w:w="7600" w:type="dxa"/>
            <w:noWrap w:val="0"/>
            <w:vAlign w:val="center"/>
          </w:tcPr>
          <w:p w14:paraId="6B7303D5">
            <w:pPr>
              <w:widowControl/>
              <w:spacing w:before="100" w:beforeAutospacing="1" w:after="100" w:afterAutospacing="1"/>
              <w:jc w:val="left"/>
              <w:rPr>
                <w:rFonts w:ascii="宋体" w:hAnsi="宋体" w:eastAsia="宋体" w:cs="宋体"/>
                <w:color w:val="000000" w:themeColor="text1"/>
                <w:sz w:val="24"/>
                <w14:textFill>
                  <w14:solidFill>
                    <w14:schemeClr w14:val="tx1"/>
                  </w14:solidFill>
                </w14:textFill>
              </w:rPr>
            </w:pPr>
          </w:p>
        </w:tc>
      </w:tr>
      <w:tr w14:paraId="2E32C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1" w:hRule="atLeast"/>
          <w:jc w:val="center"/>
        </w:trPr>
        <w:tc>
          <w:tcPr>
            <w:tcW w:w="9139" w:type="dxa"/>
            <w:gridSpan w:val="2"/>
            <w:noWrap w:val="0"/>
            <w:vAlign w:val="center"/>
          </w:tcPr>
          <w:p w14:paraId="38B1C986">
            <w:pPr>
              <w:widowControl/>
              <w:spacing w:before="100" w:beforeAutospacing="1" w:after="100" w:afterAutospacing="1"/>
              <w:jc w:val="lef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质量标准：</w:t>
            </w:r>
          </w:p>
          <w:p w14:paraId="0CBF22F6">
            <w:pPr>
              <w:widowControl/>
              <w:spacing w:before="100" w:beforeAutospacing="1" w:after="100" w:afterAutospacing="1"/>
              <w:jc w:val="lef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项目负责人：</w:t>
            </w:r>
          </w:p>
        </w:tc>
      </w:tr>
    </w:tbl>
    <w:p w14:paraId="3DEC0DF3">
      <w:pPr>
        <w:widowControl/>
        <w:spacing w:before="100" w:beforeAutospacing="1" w:after="100" w:afterAutospacing="1"/>
        <w:jc w:val="left"/>
        <w:rPr>
          <w:rFonts w:ascii="宋体" w:hAnsi="宋体" w:eastAsia="宋体" w:cs="宋体"/>
          <w:color w:val="000000" w:themeColor="text1"/>
          <w:sz w:val="24"/>
          <w14:textFill>
            <w14:solidFill>
              <w14:schemeClr w14:val="tx1"/>
            </w14:solidFill>
          </w14:textFill>
        </w:rPr>
      </w:pPr>
    </w:p>
    <w:p w14:paraId="58060CB7">
      <w:pPr>
        <w:spacing w:line="276" w:lineRule="auto"/>
        <w:ind w:firstLine="0"/>
        <w:rPr>
          <w:rFonts w:ascii="宋体" w:hAnsi="宋体" w:eastAsia="宋体" w:cs="Times New Roman"/>
          <w:color w:val="000000" w:themeColor="text1"/>
          <w:sz w:val="24"/>
          <w:szCs w:val="21"/>
          <w14:textFill>
            <w14:solidFill>
              <w14:schemeClr w14:val="tx1"/>
            </w14:solidFill>
          </w14:textFill>
        </w:rPr>
      </w:pPr>
    </w:p>
    <w:p w14:paraId="2AB24DBE">
      <w:pPr>
        <w:spacing w:line="480" w:lineRule="auto"/>
        <w:ind w:firstLine="480"/>
        <w:rPr>
          <w:rFonts w:ascii="宋体" w:hAnsi="宋体" w:eastAsia="宋体" w:cs="Times New Roman"/>
          <w:color w:val="000000" w:themeColor="text1"/>
          <w:sz w:val="24"/>
          <w:szCs w:val="2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供应商：</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（加盖CA电子公章）</w:t>
      </w:r>
    </w:p>
    <w:p w14:paraId="734E0E61">
      <w:pPr>
        <w:spacing w:line="480" w:lineRule="auto"/>
        <w:ind w:firstLine="480"/>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法定代表人或委托代理人：</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（签字或盖章）</w:t>
      </w:r>
    </w:p>
    <w:p w14:paraId="67E57903">
      <w:pPr>
        <w:spacing w:line="480" w:lineRule="auto"/>
        <w:ind w:firstLine="480"/>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日</w:t>
      </w:r>
    </w:p>
    <w:p w14:paraId="51EDEE48">
      <w:pPr>
        <w:spacing w:line="480" w:lineRule="auto"/>
        <w:ind w:firstLine="480"/>
        <w:rPr>
          <w:rFonts w:ascii="Times New Roman" w:hAnsi="Times New Roman" w:eastAsia="宋体" w:cs="Times New Roman"/>
          <w:color w:val="000000" w:themeColor="text1"/>
          <w:sz w:val="24"/>
          <w14:textFill>
            <w14:solidFill>
              <w14:schemeClr w14:val="tx1"/>
            </w14:solidFill>
          </w14:textFill>
        </w:rPr>
      </w:pPr>
    </w:p>
    <w:p w14:paraId="08C74C50">
      <w:pPr>
        <w:spacing w:line="480" w:lineRule="auto"/>
        <w:ind w:firstLine="480"/>
        <w:jc w:val="left"/>
        <w:rPr>
          <w:rFonts w:hint="eastAsia" w:ascii="Times New Roman" w:hAnsi="Times New Roman" w:eastAsia="宋体" w:cs="Times New Roman"/>
          <w:color w:val="000000" w:themeColor="text1"/>
          <w:sz w:val="24"/>
          <w:lang w:eastAsia="zh-CN"/>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注</w:t>
      </w:r>
      <w:r>
        <w:rPr>
          <w:rFonts w:hint="eastAsia" w:ascii="Times New Roman" w:hAnsi="Times New Roman" w:eastAsia="宋体" w:cs="Times New Roman"/>
          <w:color w:val="000000" w:themeColor="text1"/>
          <w:sz w:val="24"/>
          <w:lang w:eastAsia="zh-CN"/>
          <w14:textFill>
            <w14:solidFill>
              <w14:schemeClr w14:val="tx1"/>
            </w14:solidFill>
          </w14:textFill>
        </w:rPr>
        <w:t>：①磋商报价应包括磋商文件所确定的采购范围的全部内容，但</w:t>
      </w:r>
      <w:r>
        <w:rPr>
          <w:rFonts w:hint="eastAsia" w:ascii="Times New Roman" w:hAnsi="Times New Roman" w:eastAsia="宋体" w:cs="Times New Roman"/>
          <w:b/>
          <w:bCs/>
          <w:color w:val="000000" w:themeColor="text1"/>
          <w:sz w:val="24"/>
          <w:lang w:eastAsia="zh-CN"/>
          <w14:textFill>
            <w14:solidFill>
              <w14:schemeClr w14:val="tx1"/>
            </w14:solidFill>
          </w14:textFill>
        </w:rPr>
        <w:t>该表报价非本次磋商的最后报价。</w:t>
      </w:r>
    </w:p>
    <w:p w14:paraId="2A7468D9">
      <w:pPr>
        <w:spacing w:line="480" w:lineRule="auto"/>
        <w:ind w:firstLine="480"/>
        <w:jc w:val="left"/>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lang w:eastAsia="zh-CN"/>
          <w14:textFill>
            <w14:solidFill>
              <w14:schemeClr w14:val="tx1"/>
            </w14:solidFill>
          </w14:textFill>
        </w:rPr>
        <w:t>②此表格式不得自行改动</w:t>
      </w:r>
      <w:r>
        <w:rPr>
          <w:rFonts w:ascii="Times New Roman" w:hAnsi="Times New Roman" w:eastAsia="宋体" w:cs="Times New Roman"/>
          <w:color w:val="000000" w:themeColor="text1"/>
          <w:sz w:val="24"/>
          <w14:textFill>
            <w14:solidFill>
              <w14:schemeClr w14:val="tx1"/>
            </w14:solidFill>
          </w14:textFill>
        </w:rPr>
        <w:t>。</w:t>
      </w:r>
    </w:p>
    <w:p w14:paraId="78BD0424">
      <w:pPr>
        <w:spacing w:before="0" w:after="0" w:line="360" w:lineRule="auto"/>
        <w:ind w:firstLine="482"/>
        <w:jc w:val="center"/>
        <w:rPr>
          <w:rFonts w:ascii="黑体" w:hAnsi="黑体" w:eastAsia="黑体" w:cs="宋体"/>
          <w:bCs/>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u w:val="single"/>
          <w14:textFill>
            <w14:solidFill>
              <w14:schemeClr w14:val="tx1"/>
            </w14:solidFill>
          </w14:textFill>
        </w:rPr>
        <w:br w:type="page" w:clear="all"/>
      </w:r>
      <w:bookmarkStart w:id="196" w:name="_Toc2452"/>
      <w:bookmarkStart w:id="197" w:name="_Toc28392"/>
      <w:bookmarkStart w:id="198" w:name="_Toc17281"/>
      <w:bookmarkStart w:id="199" w:name="_Toc8251"/>
      <w:r>
        <w:rPr>
          <w:rFonts w:hint="eastAsia" w:ascii="宋体" w:hAnsi="宋体" w:cs="宋体"/>
          <w:b/>
          <w:color w:val="000000" w:themeColor="text1"/>
          <w:sz w:val="30"/>
          <w:szCs w:val="30"/>
          <w:highlight w:val="none"/>
          <w:lang w:val="en-US" w:eastAsia="zh-CN"/>
          <w14:textFill>
            <w14:solidFill>
              <w14:schemeClr w14:val="tx1"/>
            </w14:solidFill>
          </w14:textFill>
        </w:rPr>
        <w:t>三</w:t>
      </w:r>
      <w:r>
        <w:rPr>
          <w:rFonts w:hint="eastAsia" w:ascii="宋体" w:hAnsi="宋体" w:eastAsia="宋体" w:cs="宋体"/>
          <w:b/>
          <w:color w:val="000000" w:themeColor="text1"/>
          <w:sz w:val="30"/>
          <w:szCs w:val="30"/>
          <w:highlight w:val="none"/>
          <w14:textFill>
            <w14:solidFill>
              <w14:schemeClr w14:val="tx1"/>
            </w14:solidFill>
          </w14:textFill>
        </w:rPr>
        <w:t>、中小企业声明函</w:t>
      </w:r>
      <w:r>
        <w:rPr>
          <w:rFonts w:hint="eastAsia" w:ascii="宋体" w:hAnsi="宋体" w:eastAsia="宋体" w:cs="宋体"/>
          <w:b/>
          <w:color w:val="000000" w:themeColor="text1"/>
          <w:sz w:val="30"/>
          <w:szCs w:val="30"/>
          <w:highlight w:val="none"/>
          <w:lang w:eastAsia="zh-CN"/>
          <w14:textFill>
            <w14:solidFill>
              <w14:schemeClr w14:val="tx1"/>
            </w14:solidFill>
          </w14:textFill>
        </w:rPr>
        <w:t>、残疾人福利性单位声明函</w:t>
      </w:r>
      <w:bookmarkEnd w:id="196"/>
    </w:p>
    <w:p w14:paraId="682FA120">
      <w:pPr>
        <w:spacing w:before="0" w:after="0" w:line="360" w:lineRule="auto"/>
        <w:ind w:firstLine="482"/>
        <w:jc w:val="center"/>
        <w:rPr>
          <w:rFonts w:ascii="黑体" w:hAnsi="黑体" w:eastAsia="黑体" w:cs="宋体"/>
          <w:bCs/>
          <w:color w:val="000000" w:themeColor="text1"/>
          <w:sz w:val="36"/>
          <w:szCs w:val="28"/>
          <w:highlight w:val="none"/>
          <w14:textFill>
            <w14:solidFill>
              <w14:schemeClr w14:val="tx1"/>
            </w14:solidFill>
          </w14:textFill>
        </w:rPr>
      </w:pPr>
      <w:r>
        <w:rPr>
          <w:rFonts w:hint="eastAsia" w:ascii="宋体" w:hAnsi="宋体" w:eastAsia="宋体" w:cs="宋体"/>
          <w:b/>
          <w:bCs w:val="0"/>
          <w:color w:val="000000" w:themeColor="text1"/>
          <w:sz w:val="30"/>
          <w:szCs w:val="30"/>
          <w:highlight w:val="none"/>
          <w14:textFill>
            <w14:solidFill>
              <w14:schemeClr w14:val="tx1"/>
            </w14:solidFill>
          </w14:textFill>
        </w:rPr>
        <w:t>中小企业声明函</w:t>
      </w:r>
    </w:p>
    <w:p w14:paraId="6173A753">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本公司郑重声明，根据《政府采购促进中小企业发展管理办法》（财库﹝2020﹞46号）的规定，本公司参加</w:t>
      </w:r>
      <w:r>
        <w:rPr>
          <w:rFonts w:hint="eastAsia" w:ascii="宋体" w:hAnsi="宋体" w:eastAsia="宋体" w:cs="宋体"/>
          <w:color w:val="000000" w:themeColor="text1"/>
          <w:sz w:val="24"/>
          <w:highlight w:val="none"/>
          <w:u w:val="single"/>
          <w14:textFill>
            <w14:solidFill>
              <w14:schemeClr w14:val="tx1"/>
            </w14:solidFill>
          </w14:textFill>
        </w:rPr>
        <w:t>（单位名称）</w:t>
      </w:r>
      <w:r>
        <w:rPr>
          <w:rFonts w:hint="eastAsia" w:ascii="宋体" w:hAnsi="宋体" w:eastAsia="宋体" w:cs="宋体"/>
          <w:color w:val="000000" w:themeColor="text1"/>
          <w:sz w:val="24"/>
          <w:highlight w:val="none"/>
          <w14:textFill>
            <w14:solidFill>
              <w14:schemeClr w14:val="tx1"/>
            </w14:solidFill>
          </w14:textFill>
        </w:rPr>
        <w:t>的</w:t>
      </w:r>
      <w:r>
        <w:rPr>
          <w:rFonts w:hint="eastAsia" w:ascii="宋体" w:hAnsi="宋体" w:eastAsia="宋体" w:cs="宋体"/>
          <w:color w:val="000000" w:themeColor="text1"/>
          <w:sz w:val="24"/>
          <w:highlight w:val="none"/>
          <w:u w:val="single"/>
          <w14:textFill>
            <w14:solidFill>
              <w14:schemeClr w14:val="tx1"/>
            </w14:solidFill>
          </w14:textFill>
        </w:rPr>
        <w:t>（项目名称）</w:t>
      </w:r>
      <w:r>
        <w:rPr>
          <w:rFonts w:hint="eastAsia" w:ascii="宋体" w:hAnsi="宋体" w:eastAsia="宋体" w:cs="宋体"/>
          <w:color w:val="000000" w:themeColor="text1"/>
          <w:sz w:val="24"/>
          <w:highlight w:val="none"/>
          <w14:textFill>
            <w14:solidFill>
              <w14:schemeClr w14:val="tx1"/>
            </w14:solidFill>
          </w14:textFill>
        </w:rPr>
        <w:t>采购活动，工程的施工单位全部为符合政策要求的中小企业。</w:t>
      </w:r>
    </w:p>
    <w:p w14:paraId="3342525A">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（标的名称） </w:t>
      </w:r>
      <w:r>
        <w:rPr>
          <w:rFonts w:hint="eastAsia" w:ascii="宋体" w:hAnsi="宋体" w:eastAsia="宋体" w:cs="宋体"/>
          <w:color w:val="000000" w:themeColor="text1"/>
          <w:sz w:val="24"/>
          <w:highlight w:val="none"/>
          <w14:textFill>
            <w14:solidFill>
              <w14:schemeClr w14:val="tx1"/>
            </w14:solidFill>
          </w14:textFill>
        </w:rPr>
        <w:t>，属于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建筑业   </w:t>
      </w:r>
      <w:r>
        <w:rPr>
          <w:rFonts w:hint="eastAsia" w:ascii="宋体" w:hAnsi="宋体" w:eastAsia="宋体" w:cs="宋体"/>
          <w:color w:val="000000" w:themeColor="text1"/>
          <w:sz w:val="24"/>
          <w:highlight w:val="none"/>
          <w14:textFill>
            <w14:solidFill>
              <w14:schemeClr w14:val="tx1"/>
            </w14:solidFill>
          </w14:textFill>
        </w:rPr>
        <w:t>行业；承建企业为</w:t>
      </w:r>
      <w:r>
        <w:rPr>
          <w:rFonts w:hint="eastAsia" w:ascii="宋体" w:hAnsi="宋体" w:eastAsia="宋体" w:cs="宋体"/>
          <w:color w:val="000000" w:themeColor="text1"/>
          <w:sz w:val="24"/>
          <w:highlight w:val="none"/>
          <w:u w:val="single"/>
          <w14:textFill>
            <w14:solidFill>
              <w14:schemeClr w14:val="tx1"/>
            </w14:solidFill>
          </w14:textFill>
        </w:rPr>
        <w:t>（企业名称）</w:t>
      </w:r>
      <w:r>
        <w:rPr>
          <w:rFonts w:hint="eastAsia" w:ascii="宋体" w:hAnsi="宋体" w:eastAsia="宋体" w:cs="宋体"/>
          <w:color w:val="000000" w:themeColor="text1"/>
          <w:sz w:val="24"/>
          <w:highlight w:val="none"/>
          <w14:textFill>
            <w14:solidFill>
              <w14:schemeClr w14:val="tx1"/>
            </w14:solidFill>
          </w14:textFill>
        </w:rPr>
        <w:t>，从业人员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人，营业收入为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万元，属于</w:t>
      </w:r>
      <w:r>
        <w:rPr>
          <w:rFonts w:hint="eastAsia" w:ascii="宋体" w:hAnsi="宋体" w:eastAsia="宋体" w:cs="宋体"/>
          <w:color w:val="000000" w:themeColor="text1"/>
          <w:sz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 </w:t>
      </w:r>
    </w:p>
    <w:p w14:paraId="227B2027">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以上企业，不属于大企业的分支机构，不存在控股股东为大企业的情形，也不存在与大企业的负责人为同一人的情形。</w:t>
      </w:r>
    </w:p>
    <w:p w14:paraId="3AB943F3">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 </w:t>
      </w:r>
    </w:p>
    <w:p w14:paraId="5030F982">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p>
    <w:p w14:paraId="0E073B9E">
      <w:pPr>
        <w:spacing w:line="560" w:lineRule="exact"/>
        <w:ind w:firstLine="504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企业名称（盖章）</w:t>
      </w:r>
      <w:r>
        <w:rPr>
          <w:rFonts w:hint="eastAsia" w:ascii="宋体" w:hAnsi="宋体" w:eastAsia="宋体" w:cs="宋体"/>
          <w:color w:val="000000" w:themeColor="text1"/>
          <w:sz w:val="24"/>
          <w:szCs w:val="21"/>
          <w:highlight w:val="none"/>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027A5741">
      <w:pPr>
        <w:spacing w:line="560" w:lineRule="exact"/>
        <w:ind w:firstLine="504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 年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 月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日</w:t>
      </w:r>
    </w:p>
    <w:p w14:paraId="3810242D">
      <w:pPr>
        <w:spacing w:line="360" w:lineRule="auto"/>
        <w:ind w:right="480"/>
        <w:rPr>
          <w:rFonts w:hint="eastAsia" w:ascii="宋体" w:hAnsi="宋体" w:eastAsia="宋体" w:cs="宋体"/>
          <w:b/>
          <w:color w:val="000000" w:themeColor="text1"/>
          <w:sz w:val="24"/>
          <w:highlight w:val="none"/>
          <w14:textFill>
            <w14:solidFill>
              <w14:schemeClr w14:val="tx1"/>
            </w14:solidFill>
          </w14:textFill>
        </w:rPr>
      </w:pPr>
    </w:p>
    <w:p w14:paraId="1FDCEA19">
      <w:pPr>
        <w:spacing w:line="360" w:lineRule="auto"/>
        <w:jc w:val="left"/>
        <w:rPr>
          <w:rFonts w:ascii="宋体" w:hAnsi="宋体"/>
          <w:b/>
          <w:color w:val="000000" w:themeColor="text1"/>
          <w:sz w:val="24"/>
          <w:highlight w:val="none"/>
          <w14:textFill>
            <w14:solidFill>
              <w14:schemeClr w14:val="tx1"/>
            </w14:solidFill>
          </w14:textFill>
        </w:rPr>
      </w:pPr>
    </w:p>
    <w:p w14:paraId="5A6361CA">
      <w:pPr>
        <w:spacing w:line="360" w:lineRule="auto"/>
        <w:ind w:firstLine="482"/>
        <w:jc w:val="left"/>
        <w:rPr>
          <w:rFonts w:ascii="宋体" w:hAnsi="宋体"/>
          <w:b/>
          <w:color w:val="000000" w:themeColor="text1"/>
          <w:sz w:val="24"/>
          <w:highlight w:val="none"/>
          <w14:textFill>
            <w14:solidFill>
              <w14:schemeClr w14:val="tx1"/>
            </w14:solidFill>
          </w14:textFill>
        </w:rPr>
      </w:pPr>
    </w:p>
    <w:p w14:paraId="1C5715E5">
      <w:pPr>
        <w:spacing w:line="360" w:lineRule="auto"/>
        <w:ind w:firstLine="482"/>
        <w:jc w:val="left"/>
        <w:rPr>
          <w:rFonts w:ascii="宋体" w:hAnsi="宋体"/>
          <w:b/>
          <w:color w:val="000000" w:themeColor="text1"/>
          <w:sz w:val="24"/>
          <w:highlight w:val="none"/>
          <w14:textFill>
            <w14:solidFill>
              <w14:schemeClr w14:val="tx1"/>
            </w14:solidFill>
          </w14:textFill>
        </w:rPr>
      </w:pPr>
    </w:p>
    <w:p w14:paraId="02958C8E">
      <w:pPr>
        <w:spacing w:line="360" w:lineRule="auto"/>
        <w:ind w:firstLine="480"/>
        <w:jc w:val="lef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填报说明</w:t>
      </w:r>
      <w:r>
        <w:rPr>
          <w:rFonts w:hint="eastAsia" w:ascii="宋体" w:hAnsi="宋体"/>
          <w:bCs/>
          <w:color w:val="000000" w:themeColor="text1"/>
          <w:sz w:val="24"/>
          <w:highlight w:val="none"/>
          <w14:textFill>
            <w14:solidFill>
              <w14:schemeClr w14:val="tx1"/>
            </w14:solidFill>
          </w14:textFill>
        </w:rPr>
        <w:t>：</w:t>
      </w:r>
    </w:p>
    <w:p w14:paraId="3C068787">
      <w:pPr>
        <w:spacing w:line="360" w:lineRule="auto"/>
        <w:ind w:firstLine="48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w:t>
      </w:r>
      <w:r>
        <w:rPr>
          <w:rFonts w:ascii="宋体" w:hAnsi="宋体"/>
          <w:bCs/>
          <w:color w:val="000000" w:themeColor="text1"/>
          <w:sz w:val="24"/>
          <w:highlight w:val="none"/>
          <w14:textFill>
            <w14:solidFill>
              <w14:schemeClr w14:val="tx1"/>
            </w14:solidFill>
          </w14:textFill>
        </w:rPr>
        <w:t>从业人员、营业收入、资产总额填报上一年度数据，无上一年度数据的新成立企业可不填报。</w:t>
      </w:r>
    </w:p>
    <w:p w14:paraId="257DEC32">
      <w:pPr>
        <w:spacing w:line="360" w:lineRule="auto"/>
        <w:ind w:firstLine="48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2、请供应商如实填写，所填内容将作为评审的依据。如填写不完整，将不享受扶持政策。</w:t>
      </w:r>
    </w:p>
    <w:p w14:paraId="0576C28A">
      <w:pPr>
        <w:spacing w:line="360" w:lineRule="auto"/>
        <w:ind w:firstLine="48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3、成交供应商的《中小企业声明函》随成交结果公开。</w:t>
      </w:r>
    </w:p>
    <w:p w14:paraId="2D35F777">
      <w:pPr>
        <w:spacing w:line="360" w:lineRule="auto"/>
        <w:ind w:firstLine="6776"/>
        <w:rPr>
          <w:rFonts w:hint="eastAsia" w:ascii="宋体" w:hAnsi="宋体" w:eastAsia="宋体" w:cs="宋体"/>
          <w:b/>
          <w:color w:val="000000" w:themeColor="text1"/>
          <w:sz w:val="30"/>
          <w:szCs w:val="30"/>
          <w:highlight w:val="none"/>
          <w:u w:val="single"/>
          <w14:textFill>
            <w14:solidFill>
              <w14:schemeClr w14:val="tx1"/>
            </w14:solidFill>
          </w14:textFill>
        </w:rPr>
      </w:pPr>
    </w:p>
    <w:p w14:paraId="10C54CE3">
      <w:pPr>
        <w:keepNext w:val="0"/>
        <w:keepLines w:val="0"/>
        <w:pageBreakBefore w:val="0"/>
        <w:widowControl w:val="0"/>
        <w:spacing w:line="360" w:lineRule="auto"/>
        <w:ind w:firstLine="482"/>
        <w:jc w:val="cente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br w:type="page" w:clear="all"/>
      </w:r>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残疾人福利性单位声明函(格式)</w:t>
      </w:r>
    </w:p>
    <w:p w14:paraId="21EB9818">
      <w:pPr>
        <w:pStyle w:val="16"/>
        <w:rPr>
          <w:rFonts w:hint="eastAsia"/>
          <w:color w:val="000000" w:themeColor="text1"/>
          <w:highlight w:val="none"/>
          <w:lang w:val="en-US" w:eastAsia="zh-CN"/>
          <w14:textFill>
            <w14:solidFill>
              <w14:schemeClr w14:val="tx1"/>
            </w14:solidFill>
          </w14:textFill>
        </w:rPr>
      </w:pPr>
    </w:p>
    <w:p w14:paraId="4EEF55A8">
      <w:pPr>
        <w:pStyle w:val="16"/>
        <w:rPr>
          <w:rFonts w:hint="eastAsia"/>
          <w:color w:val="000000" w:themeColor="text1"/>
          <w:highlight w:val="none"/>
          <w14:textFill>
            <w14:solidFill>
              <w14:schemeClr w14:val="tx1"/>
            </w14:solidFill>
          </w14:textFill>
        </w:rPr>
      </w:pPr>
    </w:p>
    <w:p w14:paraId="193716ED">
      <w:pPr>
        <w:keepNext w:val="0"/>
        <w:keepLines w:val="0"/>
        <w:pageBreakBefore w:val="0"/>
        <w:widowControl w:val="0"/>
        <w:spacing w:line="48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单位的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项目由本单位承建。</w:t>
      </w:r>
    </w:p>
    <w:p w14:paraId="5354464E">
      <w:pPr>
        <w:keepNext w:val="0"/>
        <w:keepLines w:val="0"/>
        <w:pageBreakBefore w:val="0"/>
        <w:widowControl w:val="0"/>
        <w:spacing w:line="48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本单位对上述声明的真实性负责。如有虚假，将依法承担相应责任。</w:t>
      </w:r>
    </w:p>
    <w:p w14:paraId="00D30DC3">
      <w:pPr>
        <w:pStyle w:val="16"/>
        <w:keepNext w:val="0"/>
        <w:keepLines w:val="0"/>
        <w:pageBreakBefore w:val="0"/>
        <w:widowControl w:val="0"/>
        <w:spacing w:line="480" w:lineRule="auto"/>
        <w:rPr>
          <w:rFonts w:hint="eastAsia" w:ascii="宋体" w:hAnsi="宋体" w:eastAsia="宋体" w:cs="宋体"/>
          <w:color w:val="000000" w:themeColor="text1"/>
          <w:sz w:val="24"/>
          <w:szCs w:val="24"/>
          <w:highlight w:val="none"/>
          <w14:textFill>
            <w14:solidFill>
              <w14:schemeClr w14:val="tx1"/>
            </w14:solidFill>
          </w14:textFill>
        </w:rPr>
      </w:pPr>
    </w:p>
    <w:p w14:paraId="75B232D9">
      <w:pPr>
        <w:pStyle w:val="16"/>
        <w:keepNext w:val="0"/>
        <w:keepLines w:val="0"/>
        <w:pageBreakBefore w:val="0"/>
        <w:widowControl w:val="0"/>
        <w:spacing w:line="480" w:lineRule="auto"/>
        <w:rPr>
          <w:rFonts w:hint="eastAsia" w:ascii="宋体" w:hAnsi="宋体" w:eastAsia="宋体" w:cs="宋体"/>
          <w:color w:val="000000" w:themeColor="text1"/>
          <w:sz w:val="24"/>
          <w:szCs w:val="24"/>
          <w:highlight w:val="none"/>
          <w14:textFill>
            <w14:solidFill>
              <w14:schemeClr w14:val="tx1"/>
            </w14:solidFill>
          </w14:textFill>
        </w:rPr>
      </w:pPr>
    </w:p>
    <w:p w14:paraId="104737A5">
      <w:pPr>
        <w:keepNext w:val="0"/>
        <w:keepLines w:val="0"/>
        <w:pageBreakBefore w:val="0"/>
        <w:widowControl w:val="0"/>
        <w:spacing w:line="480" w:lineRule="auto"/>
        <w:ind w:firstLine="43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企业名称（盖章）：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4FBC9EC1">
      <w:pPr>
        <w:keepNext w:val="0"/>
        <w:keepLines w:val="0"/>
        <w:pageBreakBefore w:val="0"/>
        <w:widowControl w:val="0"/>
        <w:spacing w:line="480" w:lineRule="auto"/>
        <w:ind w:firstLine="43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日</w:t>
      </w:r>
    </w:p>
    <w:p w14:paraId="3D6D0007">
      <w:pPr>
        <w:jc w:val="center"/>
        <w:rPr>
          <w:color w:val="000000" w:themeColor="text1"/>
          <w:sz w:val="24"/>
          <w:szCs w:val="21"/>
          <w:highlight w:val="none"/>
          <w14:textFill>
            <w14:solidFill>
              <w14:schemeClr w14:val="tx1"/>
            </w14:solidFill>
          </w14:textFill>
        </w:rPr>
      </w:pPr>
    </w:p>
    <w:p w14:paraId="0E8A16E9">
      <w:pPr>
        <w:spacing w:line="360" w:lineRule="auto"/>
        <w:ind w:right="480"/>
        <w:rPr>
          <w:rFonts w:ascii="宋体" w:hAnsi="宋体"/>
          <w:b/>
          <w:color w:val="000000" w:themeColor="text1"/>
          <w:sz w:val="24"/>
          <w:highlight w:val="none"/>
          <w14:textFill>
            <w14:solidFill>
              <w14:schemeClr w14:val="tx1"/>
            </w14:solidFill>
          </w14:textFill>
        </w:rPr>
      </w:pPr>
    </w:p>
    <w:p w14:paraId="7540148C">
      <w:pPr>
        <w:spacing w:line="360" w:lineRule="auto"/>
        <w:ind w:right="480"/>
        <w:rPr>
          <w:rFonts w:ascii="宋体" w:hAnsi="宋体"/>
          <w:b/>
          <w:color w:val="000000" w:themeColor="text1"/>
          <w:sz w:val="24"/>
          <w:highlight w:val="none"/>
          <w14:textFill>
            <w14:solidFill>
              <w14:schemeClr w14:val="tx1"/>
            </w14:solidFill>
          </w14:textFill>
        </w:rPr>
      </w:pPr>
    </w:p>
    <w:p w14:paraId="0F3DA412">
      <w:pPr>
        <w:spacing w:line="360" w:lineRule="auto"/>
        <w:ind w:right="480"/>
        <w:rPr>
          <w:rFonts w:ascii="宋体" w:hAnsi="宋体"/>
          <w:b/>
          <w:color w:val="000000" w:themeColor="text1"/>
          <w:sz w:val="24"/>
          <w:highlight w:val="none"/>
          <w14:textFill>
            <w14:solidFill>
              <w14:schemeClr w14:val="tx1"/>
            </w14:solidFill>
          </w14:textFill>
        </w:rPr>
      </w:pPr>
    </w:p>
    <w:p w14:paraId="2E033DE3">
      <w:pPr>
        <w:spacing w:line="360" w:lineRule="auto"/>
        <w:ind w:right="480"/>
        <w:rPr>
          <w:rFonts w:ascii="宋体" w:hAnsi="宋体"/>
          <w:b/>
          <w:color w:val="000000" w:themeColor="text1"/>
          <w:sz w:val="24"/>
          <w:highlight w:val="none"/>
          <w14:textFill>
            <w14:solidFill>
              <w14:schemeClr w14:val="tx1"/>
            </w14:solidFill>
          </w14:textFill>
        </w:rPr>
      </w:pPr>
    </w:p>
    <w:p w14:paraId="52B3FA83">
      <w:pPr>
        <w:spacing w:line="360" w:lineRule="auto"/>
        <w:ind w:right="480"/>
        <w:rPr>
          <w:rFonts w:ascii="宋体" w:hAnsi="宋体"/>
          <w:b/>
          <w:color w:val="000000" w:themeColor="text1"/>
          <w:sz w:val="24"/>
          <w:highlight w:val="none"/>
          <w14:textFill>
            <w14:solidFill>
              <w14:schemeClr w14:val="tx1"/>
            </w14:solidFill>
          </w14:textFill>
        </w:rPr>
      </w:pPr>
    </w:p>
    <w:p w14:paraId="04593DF0">
      <w:pPr>
        <w:spacing w:line="360" w:lineRule="auto"/>
        <w:ind w:right="480"/>
        <w:rPr>
          <w:rFonts w:ascii="宋体" w:hAnsi="宋体"/>
          <w:b/>
          <w:color w:val="000000" w:themeColor="text1"/>
          <w:sz w:val="24"/>
          <w:highlight w:val="none"/>
          <w14:textFill>
            <w14:solidFill>
              <w14:schemeClr w14:val="tx1"/>
            </w14:solidFill>
          </w14:textFill>
        </w:rPr>
      </w:pPr>
    </w:p>
    <w:p w14:paraId="44EF898D">
      <w:pPr>
        <w:spacing w:line="360" w:lineRule="auto"/>
        <w:ind w:right="480"/>
        <w:rPr>
          <w:rFonts w:ascii="宋体" w:hAnsi="宋体"/>
          <w:b/>
          <w:color w:val="000000" w:themeColor="text1"/>
          <w:sz w:val="24"/>
          <w:highlight w:val="none"/>
          <w14:textFill>
            <w14:solidFill>
              <w14:schemeClr w14:val="tx1"/>
            </w14:solidFill>
          </w14:textFill>
        </w:rPr>
      </w:pPr>
    </w:p>
    <w:p w14:paraId="05C3291E">
      <w:pPr>
        <w:spacing w:line="360" w:lineRule="auto"/>
        <w:ind w:right="480"/>
        <w:rPr>
          <w:rFonts w:ascii="宋体" w:hAnsi="宋体"/>
          <w:b/>
          <w:color w:val="000000" w:themeColor="text1"/>
          <w:sz w:val="24"/>
          <w:highlight w:val="none"/>
          <w14:textFill>
            <w14:solidFill>
              <w14:schemeClr w14:val="tx1"/>
            </w14:solidFill>
          </w14:textFill>
        </w:rPr>
      </w:pPr>
    </w:p>
    <w:p w14:paraId="73F8A91D">
      <w:pPr>
        <w:spacing w:line="360" w:lineRule="auto"/>
        <w:ind w:right="480"/>
        <w:rPr>
          <w:rFonts w:ascii="宋体" w:hAnsi="宋体"/>
          <w:b/>
          <w:color w:val="000000" w:themeColor="text1"/>
          <w:sz w:val="24"/>
          <w:highlight w:val="none"/>
          <w14:textFill>
            <w14:solidFill>
              <w14:schemeClr w14:val="tx1"/>
            </w14:solidFill>
          </w14:textFill>
        </w:rPr>
      </w:pPr>
    </w:p>
    <w:p w14:paraId="3B64BE05">
      <w:pPr>
        <w:spacing w:line="360" w:lineRule="auto"/>
        <w:ind w:right="480"/>
        <w:rPr>
          <w:rFonts w:ascii="宋体" w:hAnsi="宋体"/>
          <w:b/>
          <w:color w:val="000000" w:themeColor="text1"/>
          <w:sz w:val="24"/>
          <w:highlight w:val="none"/>
          <w14:textFill>
            <w14:solidFill>
              <w14:schemeClr w14:val="tx1"/>
            </w14:solidFill>
          </w14:textFill>
        </w:rPr>
      </w:pPr>
    </w:p>
    <w:p w14:paraId="1CE23F0D">
      <w:pPr>
        <w:spacing w:line="360" w:lineRule="auto"/>
        <w:ind w:firstLine="480"/>
        <w:jc w:val="lef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填报说明</w:t>
      </w:r>
      <w:r>
        <w:rPr>
          <w:rFonts w:hint="eastAsia" w:ascii="宋体" w:hAnsi="宋体"/>
          <w:bCs/>
          <w:color w:val="000000" w:themeColor="text1"/>
          <w:sz w:val="24"/>
          <w:highlight w:val="none"/>
          <w14:textFill>
            <w14:solidFill>
              <w14:schemeClr w14:val="tx1"/>
            </w14:solidFill>
          </w14:textFill>
        </w:rPr>
        <w:t>：</w:t>
      </w:r>
    </w:p>
    <w:p w14:paraId="3E8D08AD">
      <w:pPr>
        <w:spacing w:line="360" w:lineRule="auto"/>
        <w:ind w:firstLine="48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1、请供应商如实填写，所填内容将作为评审的依据。如填写不完整，将不享受扶持政策。</w:t>
      </w:r>
    </w:p>
    <w:p w14:paraId="42016049">
      <w:pPr>
        <w:spacing w:line="360" w:lineRule="auto"/>
        <w:ind w:firstLine="48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2、成交供应商的《残疾人福利性单位声明函》随成交结果公开。</w:t>
      </w:r>
    </w:p>
    <w:p w14:paraId="04EC8687">
      <w:pPr>
        <w:spacing w:line="560" w:lineRule="exact"/>
        <w:outlineLvl w:val="9"/>
        <w:rPr>
          <w:rFonts w:hint="eastAsia" w:ascii="宋体" w:hAnsi="宋体" w:eastAsia="宋体" w:cs="宋体"/>
          <w:b/>
          <w:color w:val="000000" w:themeColor="text1"/>
          <w:sz w:val="28"/>
          <w:szCs w:val="28"/>
          <w:highlight w:val="none"/>
          <w:lang w:val="en-US" w:eastAsia="zh-CN"/>
          <w14:textFill>
            <w14:solidFill>
              <w14:schemeClr w14:val="tx1"/>
            </w14:solidFill>
          </w14:textFill>
        </w:rPr>
      </w:pPr>
    </w:p>
    <w:p w14:paraId="5660DA5F">
      <w:pPr>
        <w:spacing w:line="560" w:lineRule="exact"/>
        <w:jc w:val="center"/>
        <w:outlineLvl w:val="0"/>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val="en-US" w:eastAsia="zh-CN"/>
          <w14:textFill>
            <w14:solidFill>
              <w14:schemeClr w14:val="tx1"/>
            </w14:solidFill>
          </w14:textFill>
        </w:rPr>
        <w:br w:type="page" w:clear="all"/>
      </w:r>
      <w:bookmarkStart w:id="200" w:name="_Toc24172"/>
      <w:r>
        <w:rPr>
          <w:rFonts w:hint="eastAsia" w:ascii="宋体" w:hAnsi="宋体" w:cs="宋体"/>
          <w:b/>
          <w:color w:val="000000" w:themeColor="text1"/>
          <w:sz w:val="30"/>
          <w:szCs w:val="30"/>
          <w:highlight w:val="none"/>
          <w:lang w:val="en-US" w:eastAsia="zh-CN"/>
          <w14:textFill>
            <w14:solidFill>
              <w14:schemeClr w14:val="tx1"/>
            </w14:solidFill>
          </w14:textFill>
        </w:rPr>
        <w:t>四</w:t>
      </w:r>
      <w:r>
        <w:rPr>
          <w:rFonts w:hint="eastAsia" w:ascii="宋体" w:hAnsi="宋体" w:eastAsia="宋体" w:cs="宋体"/>
          <w:b/>
          <w:color w:val="000000" w:themeColor="text1"/>
          <w:sz w:val="30"/>
          <w:szCs w:val="30"/>
          <w:highlight w:val="none"/>
          <w14:textFill>
            <w14:solidFill>
              <w14:schemeClr w14:val="tx1"/>
            </w14:solidFill>
          </w14:textFill>
        </w:rPr>
        <w:t>、</w:t>
      </w:r>
      <w:bookmarkEnd w:id="197"/>
      <w:bookmarkEnd w:id="198"/>
      <w:bookmarkStart w:id="201" w:name="_Toc14505"/>
      <w:bookmarkStart w:id="202" w:name="_Toc26401"/>
      <w:r>
        <w:rPr>
          <w:rFonts w:hint="eastAsia" w:ascii="宋体" w:hAnsi="宋体" w:eastAsia="宋体" w:cs="宋体"/>
          <w:b/>
          <w:color w:val="000000" w:themeColor="text1"/>
          <w:sz w:val="30"/>
          <w:szCs w:val="30"/>
          <w:highlight w:val="none"/>
          <w14:textFill>
            <w14:solidFill>
              <w14:schemeClr w14:val="tx1"/>
            </w14:solidFill>
          </w14:textFill>
        </w:rPr>
        <w:t>资格证明文件</w:t>
      </w:r>
      <w:bookmarkEnd w:id="199"/>
      <w:bookmarkEnd w:id="200"/>
      <w:bookmarkEnd w:id="201"/>
      <w:bookmarkEnd w:id="202"/>
    </w:p>
    <w:p w14:paraId="10772E6D">
      <w:pPr>
        <w:spacing w:before="143" w:line="360" w:lineRule="auto"/>
        <w:ind w:firstLine="1120"/>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请根据磋商文件对磋商供应商的资格要求（第一章 竞争性磋商采购</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公告</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二、申请人的资格要求），提供资格证明文件。</w:t>
      </w:r>
    </w:p>
    <w:p w14:paraId="7410245B">
      <w:pPr>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0"/>
          <w:szCs w:val="30"/>
          <w:highlight w:val="none"/>
          <w14:textFill>
            <w14:solidFill>
              <w14:schemeClr w14:val="tx1"/>
            </w14:solidFill>
          </w14:textFill>
        </w:rPr>
        <w:t>财务状况报告及税收、社会保障资金</w:t>
      </w:r>
    </w:p>
    <w:p w14:paraId="24834A8C">
      <w:pPr>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缴纳情况承诺函</w:t>
      </w:r>
    </w:p>
    <w:p w14:paraId="66649155">
      <w:pPr>
        <w:spacing w:line="56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采购人名称</w:t>
      </w:r>
    </w:p>
    <w:p w14:paraId="77E1376F">
      <w:pPr>
        <w:spacing w:line="560" w:lineRule="exact"/>
        <w:ind w:firstLine="480"/>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我方</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供应商名称</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参加</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项目名称</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（项目编号：</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项目编号</w:t>
      </w:r>
      <w:r>
        <w:rPr>
          <w:rFonts w:hint="eastAsia" w:ascii="宋体"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）采购，根据《</w:t>
      </w:r>
      <w:r>
        <w:rPr>
          <w:rStyle w:val="226"/>
          <w:rFonts w:hint="eastAsia" w:ascii="宋体" w:hAnsi="宋体" w:eastAsia="宋体" w:cs="宋体"/>
          <w:b w:val="0"/>
          <w:i w:val="0"/>
          <w:iCs w:val="0"/>
          <w:color w:val="000000" w:themeColor="text1"/>
          <w:sz w:val="24"/>
          <w:szCs w:val="24"/>
          <w:highlight w:val="none"/>
          <w14:textFill>
            <w14:solidFill>
              <w14:schemeClr w14:val="tx1"/>
            </w14:solidFill>
          </w14:textFill>
        </w:rPr>
        <w:t>关于简化政府采购供应商资格审查有关事项的通知</w:t>
      </w:r>
      <w:r>
        <w:rPr>
          <w:rFonts w:hint="eastAsia" w:ascii="宋体" w:hAnsi="宋体" w:eastAsia="宋体" w:cs="宋体"/>
          <w:i w:val="0"/>
          <w:iCs w:val="0"/>
          <w:color w:val="000000" w:themeColor="text1"/>
          <w:sz w:val="24"/>
          <w:szCs w:val="24"/>
          <w:highlight w:val="none"/>
          <w14:textFill>
            <w14:solidFill>
              <w14:schemeClr w14:val="tx1"/>
            </w14:solidFill>
          </w14:textFill>
        </w:rPr>
        <w:t>》（连财购〔2023〕4号），我方承诺具备《中华人民共和国政府采购法》第二十二条第（二）、第（四）项，《中华人民共和国政府采购法实施条例》第十七条第（二）项规定条件的，具体包括：</w:t>
      </w:r>
    </w:p>
    <w:p w14:paraId="28B00FAC">
      <w:pPr>
        <w:spacing w:line="560" w:lineRule="exact"/>
        <w:ind w:left="360" w:firstLine="240"/>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（1）具有良好的商业信誉和健全的财务会计制度（财务状况报告）；</w:t>
      </w:r>
    </w:p>
    <w:p w14:paraId="29F976F6">
      <w:pPr>
        <w:spacing w:line="560" w:lineRule="exact"/>
        <w:ind w:left="360" w:firstLine="240"/>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（2）有依法缴纳税收和社会保障资金的良好记录。</w:t>
      </w:r>
    </w:p>
    <w:p w14:paraId="4EEC4D14">
      <w:pPr>
        <w:widowControl/>
        <w:spacing w:line="560" w:lineRule="exact"/>
        <w:ind w:firstLine="480"/>
        <w:jc w:val="lef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我方对上述承诺的真实性负责，如有虚假，将依法承担提供虚假材料谋取中标、成交责任，同时同意有关主管部门将相关失信信息记入公共信用信息系统并在相关政府门户网站公开。</w:t>
      </w:r>
    </w:p>
    <w:p w14:paraId="362E0EFE">
      <w:pPr>
        <w:widowControl/>
        <w:spacing w:line="560" w:lineRule="exact"/>
        <w:ind w:firstLine="480"/>
        <w:jc w:val="lef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特此承诺</w:t>
      </w:r>
    </w:p>
    <w:p w14:paraId="334A6362">
      <w:pPr>
        <w:spacing w:line="560" w:lineRule="exact"/>
        <w:ind w:left="360" w:firstLine="405"/>
        <w:rPr>
          <w:rFonts w:hint="eastAsia" w:ascii="宋体" w:hAnsi="宋体" w:eastAsia="宋体" w:cs="宋体"/>
          <w:i w:val="0"/>
          <w:iCs w:val="0"/>
          <w:color w:val="000000" w:themeColor="text1"/>
          <w:sz w:val="24"/>
          <w:szCs w:val="24"/>
          <w:highlight w:val="none"/>
          <w14:textFill>
            <w14:solidFill>
              <w14:schemeClr w14:val="tx1"/>
            </w14:solidFill>
          </w14:textFill>
        </w:rPr>
      </w:pPr>
    </w:p>
    <w:p w14:paraId="5CC29304">
      <w:pPr>
        <w:spacing w:line="560" w:lineRule="exact"/>
        <w:ind w:left="360" w:firstLine="405"/>
        <w:rPr>
          <w:rFonts w:hint="eastAsia" w:ascii="宋体" w:hAnsi="宋体" w:eastAsia="宋体" w:cs="宋体"/>
          <w:i w:val="0"/>
          <w:iCs w:val="0"/>
          <w:color w:val="000000" w:themeColor="text1"/>
          <w:sz w:val="24"/>
          <w:szCs w:val="24"/>
          <w:highlight w:val="none"/>
          <w14:textFill>
            <w14:solidFill>
              <w14:schemeClr w14:val="tx1"/>
            </w14:solidFill>
          </w14:textFill>
        </w:rPr>
      </w:pPr>
    </w:p>
    <w:p w14:paraId="794956E5">
      <w:pPr>
        <w:spacing w:line="560" w:lineRule="exact"/>
        <w:ind w:left="360" w:firstLine="405"/>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供应商（公章）：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p>
    <w:p w14:paraId="68405FE7">
      <w:pPr>
        <w:spacing w:line="560" w:lineRule="exact"/>
        <w:ind w:left="360" w:firstLine="405"/>
        <w:rPr>
          <w:rFonts w:hint="eastAsia" w:ascii="宋体" w:hAnsi="宋体" w:eastAsia="宋体" w:cs="宋体"/>
          <w:i w:val="0"/>
          <w:iCs w:val="0"/>
          <w:color w:val="000000" w:themeColor="text1"/>
          <w:sz w:val="24"/>
          <w:szCs w:val="24"/>
          <w:highlight w:val="none"/>
          <w14:textFill>
            <w14:solidFill>
              <w14:schemeClr w14:val="tx1"/>
            </w14:solidFill>
          </w14:textFill>
        </w:rPr>
      </w:pPr>
    </w:p>
    <w:p w14:paraId="398624DE">
      <w:pPr>
        <w:spacing w:line="560" w:lineRule="exact"/>
        <w:ind w:left="360" w:firstLine="405"/>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法定代表人或其委托代理人（签名或签章）：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539DCE79">
      <w:pPr>
        <w:spacing w:line="560" w:lineRule="exact"/>
        <w:ind w:left="360" w:firstLine="405"/>
        <w:rPr>
          <w:rFonts w:hint="eastAsia" w:ascii="宋体" w:hAnsi="宋体" w:eastAsia="宋体" w:cs="宋体"/>
          <w:i w:val="0"/>
          <w:iCs w:val="0"/>
          <w:color w:val="000000" w:themeColor="text1"/>
          <w:sz w:val="24"/>
          <w:szCs w:val="24"/>
          <w:highlight w:val="none"/>
          <w14:textFill>
            <w14:solidFill>
              <w14:schemeClr w14:val="tx1"/>
            </w14:solidFill>
          </w14:textFill>
        </w:rPr>
      </w:pPr>
    </w:p>
    <w:p w14:paraId="2D580ECB">
      <w:pPr>
        <w:spacing w:line="560" w:lineRule="exact"/>
        <w:ind w:left="360" w:firstLine="405"/>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highlight w:val="none"/>
          <w14:textFill>
            <w14:solidFill>
              <w14:schemeClr w14:val="tx1"/>
            </w14:solidFill>
          </w14:textFill>
        </w:rPr>
        <w:t>_____年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44622857">
      <w:pPr>
        <w:keepNext w:val="0"/>
        <w:keepLines w:val="0"/>
        <w:pageBreakBefore w:val="0"/>
        <w:widowControl w:val="0"/>
        <w:spacing w:line="360" w:lineRule="auto"/>
        <w:ind w:right="0" w:firstLine="480"/>
        <w:jc w:val="left"/>
        <w:outlineLvl w:val="9"/>
        <w:rPr>
          <w:rFonts w:hint="eastAsia" w:ascii="宋体" w:hAnsi="宋体" w:eastAsia="宋体" w:cs="宋体"/>
          <w:color w:val="000000" w:themeColor="text1"/>
          <w:sz w:val="24"/>
          <w:highlight w:val="none"/>
          <w14:textFill>
            <w14:solidFill>
              <w14:schemeClr w14:val="tx1"/>
            </w14:solidFill>
          </w14:textFill>
        </w:rPr>
      </w:pPr>
    </w:p>
    <w:p w14:paraId="22A77BDC">
      <w:pPr>
        <w:keepNext w:val="0"/>
        <w:keepLines w:val="0"/>
        <w:pageBreakBefore w:val="0"/>
        <w:widowControl w:val="0"/>
        <w:spacing w:line="360" w:lineRule="auto"/>
        <w:ind w:right="0" w:firstLine="643"/>
        <w:jc w:val="center"/>
        <w:outlineLvl w:val="9"/>
        <w:rPr>
          <w:rFonts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0"/>
          <w:szCs w:val="30"/>
          <w:highlight w:val="none"/>
          <w14:textFill>
            <w14:solidFill>
              <w14:schemeClr w14:val="tx1"/>
            </w14:solidFill>
          </w14:textFill>
        </w:rPr>
        <w:t>具备履行合同所必需的设备和专业技术能力的声明</w:t>
      </w:r>
      <w:r>
        <w:rPr>
          <w:rFonts w:hint="eastAsia" w:ascii="宋体" w:hAnsi="宋体" w:eastAsia="宋体" w:cs="宋体"/>
          <w:b/>
          <w:color w:val="000000" w:themeColor="text1"/>
          <w:sz w:val="30"/>
          <w:szCs w:val="30"/>
          <w:highlight w:val="none"/>
          <w:lang w:val="en-US" w:eastAsia="zh-CN"/>
          <w14:textFill>
            <w14:solidFill>
              <w14:schemeClr w14:val="tx1"/>
            </w14:solidFill>
          </w14:textFill>
        </w:rPr>
        <w:t>及证明材料</w:t>
      </w:r>
    </w:p>
    <w:p w14:paraId="76EC2EAB">
      <w:pPr>
        <w:spacing w:line="460" w:lineRule="exact"/>
        <w:ind w:firstLine="492"/>
        <w:rPr>
          <w:rFonts w:hint="eastAsia" w:ascii="宋体" w:hAnsi="宋体" w:eastAsia="宋体" w:cs="宋体"/>
          <w:color w:val="000000" w:themeColor="text1"/>
          <w:highlight w:val="none"/>
          <w14:textFill>
            <w14:solidFill>
              <w14:schemeClr w14:val="tx1"/>
            </w14:solidFill>
          </w14:textFill>
        </w:rPr>
      </w:pPr>
    </w:p>
    <w:p w14:paraId="22C8403F">
      <w:pPr>
        <w:keepNext w:val="0"/>
        <w:keepLines w:val="0"/>
        <w:pageBreakBefore w:val="0"/>
        <w:widowControl w:val="0"/>
        <w:spacing w:line="360" w:lineRule="auto"/>
        <w:ind w:firstLine="49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（供应商名称）</w:t>
      </w:r>
      <w:r>
        <w:rPr>
          <w:rFonts w:hint="eastAsia" w:ascii="宋体" w:hAnsi="宋体" w:eastAsia="宋体" w:cs="宋体"/>
          <w:color w:val="000000" w:themeColor="text1"/>
          <w:sz w:val="24"/>
          <w:highlight w:val="none"/>
          <w14:textFill>
            <w14:solidFill>
              <w14:schemeClr w14:val="tx1"/>
            </w14:solidFill>
          </w14:textFill>
        </w:rPr>
        <w:t>公司郑重声明：我单位具备履行本项采购合同所必需的设备和专业技术能力，为履行本项采购合同我单位具备如下主要设备和主要专业技术能力：</w:t>
      </w:r>
    </w:p>
    <w:p w14:paraId="489ED8F4">
      <w:pPr>
        <w:keepNext w:val="0"/>
        <w:keepLines w:val="0"/>
        <w:pageBreakBefore w:val="0"/>
        <w:widowControl w:val="0"/>
        <w:spacing w:line="360" w:lineRule="auto"/>
        <w:ind w:firstLine="49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主要设备有：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p>
    <w:p w14:paraId="10077A9A">
      <w:pPr>
        <w:keepNext w:val="0"/>
        <w:keepLines w:val="0"/>
        <w:pageBreakBefore w:val="0"/>
        <w:widowControl w:val="0"/>
        <w:spacing w:line="360" w:lineRule="auto"/>
        <w:ind w:firstLine="49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主要专业技术能力有：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p>
    <w:p w14:paraId="1AE5379C">
      <w:pPr>
        <w:keepNext w:val="0"/>
        <w:keepLines w:val="0"/>
        <w:pageBreakBefore w:val="0"/>
        <w:widowControl w:val="0"/>
        <w:spacing w:line="360" w:lineRule="auto"/>
        <w:ind w:firstLine="492"/>
        <w:jc w:val="both"/>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注：须附证明材料。</w:t>
      </w:r>
    </w:p>
    <w:p w14:paraId="4DA1447C">
      <w:pPr>
        <w:keepNext w:val="0"/>
        <w:keepLines w:val="0"/>
        <w:pageBreakBefore w:val="0"/>
        <w:widowControl w:val="0"/>
        <w:spacing w:line="360" w:lineRule="auto"/>
        <w:rPr>
          <w:rFonts w:hint="eastAsia" w:ascii="宋体" w:hAnsi="宋体" w:eastAsia="宋体" w:cs="宋体"/>
          <w:color w:val="000000" w:themeColor="text1"/>
          <w:sz w:val="24"/>
          <w:highlight w:val="none"/>
          <w14:textFill>
            <w14:solidFill>
              <w14:schemeClr w14:val="tx1"/>
            </w14:solidFill>
          </w14:textFill>
        </w:rPr>
      </w:pPr>
    </w:p>
    <w:p w14:paraId="3927375D">
      <w:pPr>
        <w:keepNext w:val="0"/>
        <w:keepLines w:val="0"/>
        <w:pageBreakBefore w:val="0"/>
        <w:widowControl w:val="0"/>
        <w:spacing w:line="360" w:lineRule="auto"/>
        <w:ind w:firstLine="3840"/>
        <w:jc w:val="left"/>
        <w:rPr>
          <w:rFonts w:hint="default"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（公章）：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p>
    <w:p w14:paraId="2728151C">
      <w:pPr>
        <w:keepNext w:val="0"/>
        <w:keepLines w:val="0"/>
        <w:pageBreakBefore w:val="0"/>
        <w:widowControl w:val="0"/>
        <w:spacing w:line="360" w:lineRule="auto"/>
        <w:ind w:firstLine="480"/>
        <w:jc w:val="left"/>
        <w:rPr>
          <w:rFonts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法定代表人或授权委托人（签字或盖章）</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7CDC7489">
      <w:pPr>
        <w:keepNext w:val="0"/>
        <w:keepLines w:val="0"/>
        <w:pageBreakBefore w:val="0"/>
        <w:widowControl w:val="0"/>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日期：______年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1A133DD2">
      <w:pPr>
        <w:keepNext w:val="0"/>
        <w:keepLines w:val="0"/>
        <w:pageBreakBefore w:val="0"/>
        <w:widowControl w:val="0"/>
        <w:spacing w:line="360" w:lineRule="auto"/>
        <w:jc w:val="both"/>
        <w:rPr>
          <w:rFonts w:hint="eastAsia" w:ascii="宋体" w:hAnsi="宋体" w:eastAsia="宋体" w:cs="宋体"/>
          <w:b/>
          <w:color w:val="000000" w:themeColor="text1"/>
          <w:sz w:val="32"/>
          <w:szCs w:val="32"/>
          <w:highlight w:val="none"/>
          <w14:textFill>
            <w14:solidFill>
              <w14:schemeClr w14:val="tx1"/>
            </w14:solidFill>
          </w14:textFill>
        </w:rPr>
      </w:pPr>
    </w:p>
    <w:p w14:paraId="4032004C">
      <w:pPr>
        <w:keepNext w:val="0"/>
        <w:keepLines w:val="0"/>
        <w:pageBreakBefore w:val="0"/>
        <w:widowControl w:val="0"/>
        <w:spacing w:line="360" w:lineRule="auto"/>
        <w:jc w:val="both"/>
        <w:rPr>
          <w:rFonts w:hint="eastAsia" w:ascii="宋体" w:hAnsi="宋体" w:eastAsia="宋体" w:cs="宋体"/>
          <w:b/>
          <w:color w:val="000000" w:themeColor="text1"/>
          <w:sz w:val="32"/>
          <w:szCs w:val="32"/>
          <w:highlight w:val="none"/>
          <w14:textFill>
            <w14:solidFill>
              <w14:schemeClr w14:val="tx1"/>
            </w14:solidFill>
          </w14:textFill>
        </w:rPr>
      </w:pPr>
    </w:p>
    <w:p w14:paraId="49205AF3">
      <w:pPr>
        <w:pStyle w:val="218"/>
        <w:rPr>
          <w:rFonts w:hint="eastAsia" w:ascii="宋体" w:hAnsi="宋体" w:eastAsia="宋体" w:cs="宋体"/>
          <w:b/>
          <w:color w:val="000000" w:themeColor="text1"/>
          <w:sz w:val="32"/>
          <w:szCs w:val="32"/>
          <w:highlight w:val="none"/>
          <w14:textFill>
            <w14:solidFill>
              <w14:schemeClr w14:val="tx1"/>
            </w14:solidFill>
          </w14:textFill>
        </w:rPr>
      </w:pPr>
    </w:p>
    <w:p w14:paraId="7F227F81">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24988BF1">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1813F477">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2D96B092">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6AA45F60">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4F03985F">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5C81D183">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408B0A3D">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55B6CA19">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16312492">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43159298">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3B8A214C">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5A3B21C8">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669685AD">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53A88E6F">
      <w:pPr>
        <w:pStyle w:val="219"/>
        <w:rPr>
          <w:rFonts w:hint="eastAsia" w:ascii="宋体" w:hAnsi="宋体" w:eastAsia="宋体" w:cs="宋体"/>
          <w:b/>
          <w:color w:val="000000" w:themeColor="text1"/>
          <w:sz w:val="32"/>
          <w:szCs w:val="32"/>
          <w:highlight w:val="none"/>
          <w14:textFill>
            <w14:solidFill>
              <w14:schemeClr w14:val="tx1"/>
            </w14:solidFill>
          </w14:textFill>
        </w:rPr>
      </w:pPr>
    </w:p>
    <w:p w14:paraId="6FF0C80B">
      <w:pPr>
        <w:keepNext w:val="0"/>
        <w:keepLines w:val="0"/>
        <w:pageBreakBefore w:val="0"/>
        <w:widowControl w:val="0"/>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p>
    <w:p w14:paraId="4898E8C5">
      <w:pPr>
        <w:keepNext w:val="0"/>
        <w:keepLines w:val="0"/>
        <w:pageBreakBefore w:val="0"/>
        <w:widowControl w:val="0"/>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p>
    <w:p w14:paraId="1F003297">
      <w:pPr>
        <w:keepNext w:val="0"/>
        <w:keepLines w:val="0"/>
        <w:pageBreakBefore w:val="0"/>
        <w:widowControl w:val="0"/>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参加政府采购活动前 3 年内在经营活动中没有重大违法记录的</w:t>
      </w:r>
    </w:p>
    <w:p w14:paraId="48B79E89">
      <w:pPr>
        <w:keepNext w:val="0"/>
        <w:keepLines w:val="0"/>
        <w:pageBreakBefore w:val="0"/>
        <w:widowControl w:val="0"/>
        <w:spacing w:line="360" w:lineRule="auto"/>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书面声明</w:t>
      </w:r>
    </w:p>
    <w:p w14:paraId="3716DBE9">
      <w:pPr>
        <w:spacing w:line="46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44"/>
          <w:szCs w:val="44"/>
          <w:highlight w:val="none"/>
          <w14:textFill>
            <w14:solidFill>
              <w14:schemeClr w14:val="tx1"/>
            </w14:solidFill>
          </w14:textFill>
        </w:rPr>
        <w:t xml:space="preserve">   </w:t>
      </w:r>
      <w:r>
        <w:rPr>
          <w:rFonts w:hint="eastAsia" w:ascii="宋体" w:hAnsi="宋体" w:eastAsia="宋体" w:cs="宋体"/>
          <w:b/>
          <w:bCs/>
          <w:color w:val="000000" w:themeColor="text1"/>
          <w:sz w:val="32"/>
          <w:szCs w:val="32"/>
          <w:highlight w:val="none"/>
          <w14:textFill>
            <w14:solidFill>
              <w14:schemeClr w14:val="tx1"/>
            </w14:solidFill>
          </w14:textFill>
        </w:rPr>
        <w:t xml:space="preserve">  </w:t>
      </w:r>
    </w:p>
    <w:p w14:paraId="1FDC0CED">
      <w:pPr>
        <w:keepNext w:val="0"/>
        <w:keepLines w:val="0"/>
        <w:pageBreakBefore w:val="0"/>
        <w:widowControl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我公司郑重声明：参加本次政府采购活动前 3 年内，我公司在经营活动中没有因违法经营受到刑事处罚或者责令停产停业、吊销许可证或者执照、较大数额罚款等行政处罚。</w:t>
      </w:r>
    </w:p>
    <w:p w14:paraId="7C9F7C3C">
      <w:pPr>
        <w:keepNext w:val="0"/>
        <w:keepLines w:val="0"/>
        <w:pageBreakBefore w:val="0"/>
        <w:widowControl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w:t>
      </w:r>
    </w:p>
    <w:p w14:paraId="10EA2CCF">
      <w:pPr>
        <w:keepNext w:val="0"/>
        <w:keepLines w:val="0"/>
        <w:pageBreakBefore w:val="0"/>
        <w:widowControl w:val="0"/>
        <w:spacing w:line="360" w:lineRule="auto"/>
        <w:ind w:firstLine="5040"/>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（公章）：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3B013EEC">
      <w:pPr>
        <w:keepNext w:val="0"/>
        <w:keepLines w:val="0"/>
        <w:pageBreakBefore w:val="0"/>
        <w:widowControl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法定代表人或授权代表签字：</w:t>
      </w:r>
      <w:r>
        <w:rPr>
          <w:rFonts w:hint="eastAsia" w:ascii="宋体" w:hAnsi="宋体" w:eastAsia="宋体" w:cs="宋体"/>
          <w:bCs/>
          <w:color w:val="000000" w:themeColor="text1"/>
          <w:sz w:val="24"/>
          <w:highlight w:val="none"/>
          <w:u w:val="none"/>
          <w14:textFill>
            <w14:solidFill>
              <w14:schemeClr w14:val="tx1"/>
            </w14:solidFill>
          </w14:textFill>
        </w:rPr>
        <w:t>______</w:t>
      </w:r>
    </w:p>
    <w:p w14:paraId="3C0374CB">
      <w:pPr>
        <w:keepNext w:val="0"/>
        <w:keepLines w:val="0"/>
        <w:pageBreakBefore w:val="0"/>
        <w:widowControl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日期：</w:t>
      </w:r>
      <w:r>
        <w:rPr>
          <w:rFonts w:hint="eastAsia" w:ascii="宋体" w:hAnsi="宋体" w:eastAsia="宋体" w:cs="宋体"/>
          <w:bCs/>
          <w:color w:val="000000" w:themeColor="text1"/>
          <w:sz w:val="24"/>
          <w:highlight w:val="none"/>
          <w:u w:val="none"/>
          <w14:textFill>
            <w14:solidFill>
              <w14:schemeClr w14:val="tx1"/>
            </w14:solidFill>
          </w14:textFill>
        </w:rPr>
        <w:t>______</w:t>
      </w:r>
      <w:r>
        <w:rPr>
          <w:rFonts w:hint="eastAsia" w:ascii="宋体" w:hAnsi="宋体" w:eastAsia="宋体" w:cs="宋体"/>
          <w:bCs/>
          <w:color w:val="000000" w:themeColor="text1"/>
          <w:sz w:val="24"/>
          <w:highlight w:val="none"/>
          <w14:textFill>
            <w14:solidFill>
              <w14:schemeClr w14:val="tx1"/>
            </w14:solidFill>
          </w14:textFill>
        </w:rPr>
        <w:t>年</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月</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日</w:t>
      </w:r>
    </w:p>
    <w:p w14:paraId="28662BB9">
      <w:pPr>
        <w:keepNext w:val="0"/>
        <w:keepLines w:val="0"/>
        <w:pageBreakBefore w:val="0"/>
        <w:widowControl w:val="0"/>
        <w:spacing w:before="50" w:after="143" w:line="360" w:lineRule="auto"/>
        <w:jc w:val="left"/>
        <w:rPr>
          <w:rFonts w:hint="eastAsia" w:ascii="宋体" w:hAnsi="宋体" w:eastAsia="宋体" w:cs="宋体"/>
          <w:color w:val="000000" w:themeColor="text1"/>
          <w:sz w:val="24"/>
          <w:highlight w:val="none"/>
          <w:u w:val="single"/>
          <w14:textFill>
            <w14:solidFill>
              <w14:schemeClr w14:val="tx1"/>
            </w14:solidFill>
          </w14:textFill>
        </w:rPr>
      </w:pPr>
    </w:p>
    <w:p w14:paraId="18BDC30B">
      <w:pPr>
        <w:spacing w:before="50" w:after="143" w:line="560" w:lineRule="exact"/>
        <w:jc w:val="left"/>
        <w:rPr>
          <w:rFonts w:hint="eastAsia" w:ascii="宋体" w:hAnsi="宋体" w:eastAsia="宋体" w:cs="宋体"/>
          <w:b/>
          <w:bCs/>
          <w:color w:val="000000" w:themeColor="text1"/>
          <w:sz w:val="24"/>
          <w:highlight w:val="none"/>
          <w:u w:val="single"/>
          <w14:textFill>
            <w14:solidFill>
              <w14:schemeClr w14:val="tx1"/>
            </w14:solidFill>
          </w14:textFill>
        </w:rPr>
      </w:pPr>
    </w:p>
    <w:p w14:paraId="7C707CA3">
      <w:pPr>
        <w:spacing w:before="50" w:after="143"/>
        <w:ind w:firstLine="480"/>
        <w:jc w:val="left"/>
        <w:rPr>
          <w:rFonts w:hint="eastAsia" w:ascii="宋体" w:hAnsi="宋体" w:eastAsia="宋体" w:cs="宋体"/>
          <w:b/>
          <w:bCs/>
          <w:i/>
          <w:color w:val="000000" w:themeColor="text1"/>
          <w:sz w:val="24"/>
          <w:highlight w:val="none"/>
          <w:u w:val="single"/>
          <w14:textFill>
            <w14:solidFill>
              <w14:schemeClr w14:val="tx1"/>
            </w14:solidFill>
          </w14:textFill>
        </w:rPr>
      </w:pPr>
    </w:p>
    <w:p w14:paraId="48836249">
      <w:pPr>
        <w:spacing w:line="400" w:lineRule="exact"/>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br w:type="page" w:clear="all"/>
      </w:r>
      <w:bookmarkStart w:id="203" w:name="_Toc91183849"/>
      <w:bookmarkStart w:id="204" w:name="_Toc91256337"/>
      <w:r>
        <w:rPr>
          <w:rFonts w:hint="eastAsia" w:ascii="宋体" w:hAnsi="宋体" w:eastAsia="宋体" w:cs="宋体"/>
          <w:b/>
          <w:bCs/>
          <w:color w:val="000000" w:themeColor="text1"/>
          <w:sz w:val="30"/>
          <w:szCs w:val="30"/>
          <w:highlight w:val="none"/>
          <w14:textFill>
            <w14:solidFill>
              <w14:schemeClr w14:val="tx1"/>
            </w14:solidFill>
          </w14:textFill>
        </w:rPr>
        <w:t>法定代表人授权委托书</w:t>
      </w:r>
    </w:p>
    <w:p w14:paraId="4B177796">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ascii="Times New Roman" w:hAnsi="Times New Roman" w:cs="Times New Roman"/>
          <w:color w:val="000000" w:themeColor="text1"/>
          <w:sz w:val="24"/>
          <w:szCs w:val="24"/>
          <w:highlight w:val="none"/>
          <w14:textFill>
            <w14:solidFill>
              <w14:schemeClr w14:val="tx1"/>
            </w14:solidFill>
          </w14:textFill>
        </w:rPr>
      </w:pPr>
    </w:p>
    <w:p w14:paraId="3FE554DF">
      <w:pPr>
        <w:keepNext w:val="0"/>
        <w:keepLines w:val="0"/>
        <w:pageBreakBefore w:val="0"/>
        <w:widowControl w:val="0"/>
        <w:spacing w:line="480" w:lineRule="auto"/>
        <w:ind w:firstLine="4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本授权委托书声明：我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(磋商供应商名称)       </w:t>
      </w:r>
      <w:r>
        <w:rPr>
          <w:rFonts w:hint="eastAsia" w:ascii="宋体" w:hAnsi="宋体" w:eastAsia="宋体" w:cs="宋体"/>
          <w:color w:val="000000" w:themeColor="text1"/>
          <w:sz w:val="24"/>
          <w:szCs w:val="24"/>
          <w:highlight w:val="none"/>
          <w14:textFill>
            <w14:solidFill>
              <w14:schemeClr w14:val="tx1"/>
            </w14:solidFill>
          </w14:textFill>
        </w:rPr>
        <w:t>的法定代表人，现授权委托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(单位名称)          </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为我公司代理人，参加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       </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工程项目的采购活动。代理人在磋商、评审、合同磋商过程中所签署的一切文件和处理与之有关的一切事务，我均予以承认。</w:t>
      </w:r>
    </w:p>
    <w:p w14:paraId="5F711A0C">
      <w:pPr>
        <w:keepNext w:val="0"/>
        <w:keepLines w:val="0"/>
        <w:pageBreakBefore w:val="0"/>
        <w:widowControl w:val="0"/>
        <w:spacing w:line="480" w:lineRule="auto"/>
        <w:ind w:firstLine="4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代理人无转委权。特此委托。</w:t>
      </w:r>
    </w:p>
    <w:p w14:paraId="75A931E7">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2"/>
        <w:jc w:val="both"/>
        <w:rPr>
          <w:color w:val="000000" w:themeColor="text1"/>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本授权书于______年____月____日起生效，特此声明。</w:t>
      </w:r>
    </w:p>
    <w:p w14:paraId="1BED7142">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2"/>
        <w:jc w:val="both"/>
        <w:rPr>
          <w:rFonts w:hint="default" w:eastAsia="宋体"/>
          <w:color w:val="000000" w:themeColor="text1"/>
          <w:highlight w:val="none"/>
          <w:lang w:val="en-US"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被授权人身份证号码：</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p>
    <w:p w14:paraId="4283C48A">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2"/>
        <w:jc w:val="both"/>
        <w:rPr>
          <w:color w:val="000000" w:themeColor="text1"/>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被授权人联系电话：（手机）</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p>
    <w:p w14:paraId="79ECFA04">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2"/>
        <w:jc w:val="both"/>
        <w:rPr>
          <w:rFonts w:hint="default" w:eastAsia="宋体"/>
          <w:color w:val="000000" w:themeColor="text1"/>
          <w:highlight w:val="none"/>
          <w:lang w:val="en-US"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授权单位名称：</w:t>
      </w:r>
      <w:r>
        <w:rPr>
          <w:rFonts w:ascii="Times New Roman" w:hAnsi="Times New Roman" w:cs="Times New Roman"/>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盖章</w:t>
      </w:r>
      <w:r>
        <w:rPr>
          <w:rFonts w:ascii="Times New Roman" w:hAnsi="Times New Roman" w:cs="Times New Roman"/>
          <w:color w:val="000000" w:themeColor="text1"/>
          <w:sz w:val="24"/>
          <w:szCs w:val="24"/>
          <w:highlight w:val="none"/>
          <w:u w:val="single"/>
          <w14:textFill>
            <w14:solidFill>
              <w14:schemeClr w14:val="tx1"/>
            </w14:solidFill>
          </w14:textFill>
        </w:rPr>
        <w:t>）</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p>
    <w:p w14:paraId="4A98BA02">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2"/>
        <w:jc w:val="both"/>
        <w:rPr>
          <w:rFonts w:hint="default" w:eastAsia="宋体"/>
          <w:color w:val="000000" w:themeColor="text1"/>
          <w:highlight w:val="none"/>
          <w:lang w:val="en-US"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单位地址：</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p>
    <w:p w14:paraId="3AFFD614">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2"/>
        <w:jc w:val="both"/>
        <w:rPr>
          <w:rFonts w:hint="default" w:eastAsia="宋体"/>
          <w:color w:val="000000" w:themeColor="text1"/>
          <w:highlight w:val="none"/>
          <w:lang w:val="en-US"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日期：</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p>
    <w:p w14:paraId="23D4A2AB">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07687F66">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法定代表人（单位负责人）有效期内的身份证</w:t>
      </w:r>
      <w:r>
        <w:rPr>
          <w:rFonts w:ascii="宋体" w:hAnsi="宋体"/>
          <w:b/>
          <w:color w:val="000000" w:themeColor="text1"/>
          <w:sz w:val="24"/>
          <w:szCs w:val="20"/>
          <w:highlight w:val="none"/>
          <w14:textFill>
            <w14:solidFill>
              <w14:schemeClr w14:val="tx1"/>
            </w14:solidFill>
          </w14:textFill>
        </w:rPr>
        <w:t>正反面</w:t>
      </w:r>
      <w:r>
        <w:rPr>
          <w:rFonts w:ascii="宋体" w:hAnsi="宋体"/>
          <w:color w:val="000000" w:themeColor="text1"/>
          <w:sz w:val="24"/>
          <w:szCs w:val="20"/>
          <w:highlight w:val="none"/>
          <w14:textFill>
            <w14:solidFill>
              <w14:schemeClr w14:val="tx1"/>
            </w14:solidFill>
          </w14:textFill>
        </w:rPr>
        <w:t>电子件：</w:t>
      </w:r>
    </w:p>
    <w:tbl>
      <w:tblPr>
        <w:tblStyle w:val="3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E321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2070FF9">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4D48ECB2">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noWrap w:val="0"/>
            <w:vAlign w:val="top"/>
          </w:tcPr>
          <w:p w14:paraId="4450D294">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51230BD3">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14:paraId="047BEDFD">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委托代理人</w:t>
      </w:r>
      <w:r>
        <w:rPr>
          <w:rFonts w:ascii="宋体" w:hAnsi="宋体"/>
          <w:color w:val="000000" w:themeColor="text1"/>
          <w:sz w:val="24"/>
          <w:szCs w:val="20"/>
          <w:highlight w:val="none"/>
          <w14:textFill>
            <w14:solidFill>
              <w14:schemeClr w14:val="tx1"/>
            </w14:solidFill>
          </w14:textFill>
        </w:rPr>
        <w:t>有效期内的身份证</w:t>
      </w:r>
      <w:r>
        <w:rPr>
          <w:rFonts w:ascii="宋体" w:hAnsi="宋体"/>
          <w:b/>
          <w:color w:val="000000" w:themeColor="text1"/>
          <w:sz w:val="24"/>
          <w:szCs w:val="20"/>
          <w:highlight w:val="none"/>
          <w14:textFill>
            <w14:solidFill>
              <w14:schemeClr w14:val="tx1"/>
            </w14:solidFill>
          </w14:textFill>
        </w:rPr>
        <w:t>正反面</w:t>
      </w:r>
      <w:r>
        <w:rPr>
          <w:rFonts w:ascii="宋体" w:hAnsi="宋体"/>
          <w:color w:val="000000" w:themeColor="text1"/>
          <w:sz w:val="24"/>
          <w:szCs w:val="20"/>
          <w:highlight w:val="none"/>
          <w14:textFill>
            <w14:solidFill>
              <w14:schemeClr w14:val="tx1"/>
            </w14:solidFill>
          </w14:textFill>
        </w:rPr>
        <w:t>电子件：</w:t>
      </w:r>
    </w:p>
    <w:tbl>
      <w:tblPr>
        <w:tblStyle w:val="3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F781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D1A4596">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498B9E86">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noWrap w:val="0"/>
            <w:vAlign w:val="top"/>
          </w:tcPr>
          <w:p w14:paraId="621A5150">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13F916E0">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14:paraId="27B345B2">
      <w:pPr>
        <w:keepNext w:val="0"/>
        <w:keepLines w:val="0"/>
        <w:pageBreakBefore w:val="0"/>
        <w:tabs>
          <w:tab w:val="left" w:pos="5580"/>
        </w:tabs>
        <w:spacing w:line="360" w:lineRule="auto"/>
        <w:jc w:val="left"/>
        <w:rPr>
          <w:rFonts w:ascii="宋体" w:hAnsi="宋体"/>
          <w:color w:val="000000" w:themeColor="text1"/>
          <w:szCs w:val="16"/>
          <w:highlight w:val="none"/>
          <w14:textFill>
            <w14:solidFill>
              <w14:schemeClr w14:val="tx1"/>
            </w14:solidFill>
          </w14:textFill>
        </w:rPr>
      </w:pPr>
      <w:r>
        <w:rPr>
          <w:rFonts w:hint="eastAsia" w:ascii="宋体" w:hAnsi="宋体"/>
          <w:color w:val="000000" w:themeColor="text1"/>
          <w:szCs w:val="16"/>
          <w:highlight w:val="none"/>
          <w14:textFill>
            <w14:solidFill>
              <w14:schemeClr w14:val="tx1"/>
            </w14:solidFill>
          </w14:textFill>
        </w:rPr>
        <w:t>填报说明</w:t>
      </w:r>
      <w:r>
        <w:rPr>
          <w:rFonts w:ascii="宋体" w:hAnsi="宋体"/>
          <w:color w:val="000000" w:themeColor="text1"/>
          <w:szCs w:val="16"/>
          <w:highlight w:val="none"/>
          <w14:textFill>
            <w14:solidFill>
              <w14:schemeClr w14:val="tx1"/>
            </w14:solidFill>
          </w14:textFill>
        </w:rPr>
        <w:t>：</w:t>
      </w:r>
    </w:p>
    <w:p w14:paraId="5C173BD7">
      <w:pPr>
        <w:keepNext w:val="0"/>
        <w:keepLines w:val="0"/>
        <w:pageBreakBefore w:val="0"/>
        <w:tabs>
          <w:tab w:val="left" w:pos="5580"/>
        </w:tabs>
        <w:spacing w:line="360" w:lineRule="auto"/>
        <w:ind w:firstLine="480"/>
        <w:jc w:val="left"/>
        <w:rPr>
          <w:rFonts w:ascii="宋体" w:hAnsi="宋体"/>
          <w:color w:val="000000" w:themeColor="text1"/>
          <w:szCs w:val="16"/>
          <w:highlight w:val="none"/>
          <w14:textFill>
            <w14:solidFill>
              <w14:schemeClr w14:val="tx1"/>
            </w14:solidFill>
          </w14:textFill>
        </w:rPr>
      </w:pPr>
      <w:r>
        <w:rPr>
          <w:rFonts w:ascii="宋体" w:hAnsi="宋体"/>
          <w:color w:val="000000" w:themeColor="text1"/>
          <w:szCs w:val="16"/>
          <w:highlight w:val="none"/>
          <w14:textFill>
            <w14:solidFill>
              <w14:schemeClr w14:val="tx1"/>
            </w14:solidFill>
          </w14:textFill>
        </w:rPr>
        <w:t>1、若供应商为事业单位或其他组织或分支机构（仅当</w:t>
      </w:r>
      <w:r>
        <w:rPr>
          <w:rFonts w:hint="eastAsia" w:ascii="宋体" w:hAnsi="宋体"/>
          <w:color w:val="000000" w:themeColor="text1"/>
          <w:szCs w:val="16"/>
          <w:highlight w:val="none"/>
          <w:lang w:eastAsia="zh-CN"/>
          <w14:textFill>
            <w14:solidFill>
              <w14:schemeClr w14:val="tx1"/>
            </w14:solidFill>
          </w14:textFill>
        </w:rPr>
        <w:t>磋商文件</w:t>
      </w:r>
      <w:r>
        <w:rPr>
          <w:rFonts w:ascii="宋体" w:hAnsi="宋体"/>
          <w:color w:val="000000" w:themeColor="text1"/>
          <w:szCs w:val="16"/>
          <w:highlight w:val="none"/>
          <w14:textFill>
            <w14:solidFill>
              <w14:schemeClr w14:val="tx1"/>
            </w14:solidFill>
          </w14:textFill>
        </w:rPr>
        <w:t>注明允许分支机构</w:t>
      </w:r>
      <w:r>
        <w:rPr>
          <w:rFonts w:hint="eastAsia" w:ascii="宋体" w:hAnsi="宋体"/>
          <w:color w:val="000000" w:themeColor="text1"/>
          <w:szCs w:val="16"/>
          <w:highlight w:val="none"/>
          <w14:textFill>
            <w14:solidFill>
              <w14:schemeClr w14:val="tx1"/>
            </w14:solidFill>
          </w14:textFill>
        </w:rPr>
        <w:t>投标</w:t>
      </w:r>
      <w:r>
        <w:rPr>
          <w:rFonts w:ascii="宋体" w:hAnsi="宋体"/>
          <w:color w:val="000000" w:themeColor="text1"/>
          <w:szCs w:val="16"/>
          <w:highlight w:val="none"/>
          <w14:textFill>
            <w14:solidFill>
              <w14:schemeClr w14:val="tx1"/>
            </w14:solidFill>
          </w14:textFill>
        </w:rPr>
        <w:t>的），则法定代表人（单位负责人）</w:t>
      </w:r>
      <w:r>
        <w:rPr>
          <w:rFonts w:hint="eastAsia" w:ascii="宋体" w:hAnsi="宋体"/>
          <w:color w:val="000000" w:themeColor="text1"/>
          <w:szCs w:val="16"/>
          <w:highlight w:val="none"/>
          <w14:textFill>
            <w14:solidFill>
              <w14:schemeClr w14:val="tx1"/>
            </w14:solidFill>
          </w14:textFill>
        </w:rPr>
        <w:t>处</w:t>
      </w:r>
      <w:r>
        <w:rPr>
          <w:rFonts w:ascii="宋体" w:hAnsi="宋体"/>
          <w:color w:val="000000" w:themeColor="text1"/>
          <w:szCs w:val="16"/>
          <w:highlight w:val="none"/>
          <w14:textFill>
            <w14:solidFill>
              <w14:schemeClr w14:val="tx1"/>
            </w14:solidFill>
          </w14:textFill>
        </w:rPr>
        <w:t>的签署人可为单位负责人</w:t>
      </w:r>
      <w:r>
        <w:rPr>
          <w:rFonts w:hint="eastAsia" w:ascii="宋体" w:hAnsi="宋体"/>
          <w:color w:val="000000" w:themeColor="text1"/>
          <w:szCs w:val="16"/>
          <w:highlight w:val="none"/>
          <w14:textFill>
            <w14:solidFill>
              <w14:schemeClr w14:val="tx1"/>
            </w14:solidFill>
          </w14:textFill>
        </w:rPr>
        <w:t>。</w:t>
      </w:r>
    </w:p>
    <w:p w14:paraId="28CACEE3">
      <w:pPr>
        <w:keepNext w:val="0"/>
        <w:keepLines w:val="0"/>
        <w:pageBreakBefore w:val="0"/>
        <w:tabs>
          <w:tab w:val="left" w:pos="5580"/>
        </w:tabs>
        <w:spacing w:line="360" w:lineRule="auto"/>
        <w:ind w:firstLine="480"/>
        <w:jc w:val="left"/>
        <w:rPr>
          <w:rFonts w:ascii="宋体" w:hAnsi="宋体"/>
          <w:color w:val="000000" w:themeColor="text1"/>
          <w:szCs w:val="16"/>
          <w:highlight w:val="none"/>
          <w14:textFill>
            <w14:solidFill>
              <w14:schemeClr w14:val="tx1"/>
            </w14:solidFill>
          </w14:textFill>
        </w:rPr>
      </w:pPr>
      <w:r>
        <w:rPr>
          <w:rFonts w:hint="eastAsia" w:ascii="宋体" w:hAnsi="宋体"/>
          <w:color w:val="000000" w:themeColor="text1"/>
          <w:szCs w:val="16"/>
          <w:highlight w:val="none"/>
          <w14:textFill>
            <w14:solidFill>
              <w14:schemeClr w14:val="tx1"/>
            </w14:solidFill>
          </w14:textFill>
        </w:rPr>
        <w:t>2、</w:t>
      </w:r>
      <w:r>
        <w:rPr>
          <w:rFonts w:ascii="宋体" w:hAnsi="宋体"/>
          <w:color w:val="000000" w:themeColor="text1"/>
          <w:szCs w:val="16"/>
          <w:highlight w:val="none"/>
          <w14:textFill>
            <w14:solidFill>
              <w14:schemeClr w14:val="tx1"/>
            </w14:solidFill>
          </w14:textFill>
        </w:rPr>
        <w:t>若</w:t>
      </w:r>
      <w:r>
        <w:rPr>
          <w:rFonts w:hint="eastAsia" w:ascii="宋体" w:hAnsi="宋体"/>
          <w:color w:val="000000" w:themeColor="text1"/>
          <w:szCs w:val="16"/>
          <w:highlight w:val="none"/>
          <w14:textFill>
            <w14:solidFill>
              <w14:schemeClr w14:val="tx1"/>
            </w14:solidFill>
          </w14:textFill>
        </w:rPr>
        <w:t>响应文件</w:t>
      </w:r>
      <w:r>
        <w:rPr>
          <w:rFonts w:ascii="宋体" w:hAnsi="宋体"/>
          <w:color w:val="000000" w:themeColor="text1"/>
          <w:szCs w:val="16"/>
          <w:highlight w:val="none"/>
          <w14:textFill>
            <w14:solidFill>
              <w14:schemeClr w14:val="tx1"/>
            </w14:solidFill>
          </w14:textFill>
        </w:rPr>
        <w:t>中全部签字之处均为法定代表人（单位负责人）本人签署，则可不提供本《</w:t>
      </w:r>
      <w:r>
        <w:rPr>
          <w:rFonts w:hint="eastAsia" w:ascii="宋体" w:hAnsi="宋体"/>
          <w:color w:val="000000" w:themeColor="text1"/>
          <w:szCs w:val="16"/>
          <w:highlight w:val="none"/>
          <w14:textFill>
            <w14:solidFill>
              <w14:schemeClr w14:val="tx1"/>
            </w14:solidFill>
          </w14:textFill>
        </w:rPr>
        <w:t>授权委托书</w:t>
      </w:r>
      <w:r>
        <w:rPr>
          <w:rFonts w:ascii="宋体" w:hAnsi="宋体"/>
          <w:color w:val="000000" w:themeColor="text1"/>
          <w:szCs w:val="16"/>
          <w:highlight w:val="none"/>
          <w14:textFill>
            <w14:solidFill>
              <w14:schemeClr w14:val="tx1"/>
            </w14:solidFill>
          </w14:textFill>
        </w:rPr>
        <w:t>》，但须提供</w:t>
      </w:r>
      <w:r>
        <w:rPr>
          <w:rFonts w:hint="eastAsia" w:ascii="宋体" w:hAnsi="宋体"/>
          <w:color w:val="000000" w:themeColor="text1"/>
          <w:szCs w:val="16"/>
          <w:highlight w:val="none"/>
          <w14:textFill>
            <w14:solidFill>
              <w14:schemeClr w14:val="tx1"/>
            </w14:solidFill>
          </w14:textFill>
        </w:rPr>
        <w:t>《</w:t>
      </w:r>
      <w:r>
        <w:rPr>
          <w:rFonts w:ascii="宋体" w:hAnsi="宋体"/>
          <w:color w:val="000000" w:themeColor="text1"/>
          <w:szCs w:val="16"/>
          <w:highlight w:val="none"/>
          <w14:textFill>
            <w14:solidFill>
              <w14:schemeClr w14:val="tx1"/>
            </w14:solidFill>
          </w14:textFill>
        </w:rPr>
        <w:t>法定代表人（单位负责人）身份证</w:t>
      </w:r>
      <w:r>
        <w:rPr>
          <w:rFonts w:hint="eastAsia" w:ascii="宋体" w:hAnsi="宋体"/>
          <w:color w:val="000000" w:themeColor="text1"/>
          <w:szCs w:val="16"/>
          <w:highlight w:val="none"/>
          <w14:textFill>
            <w14:solidFill>
              <w14:schemeClr w14:val="tx1"/>
            </w14:solidFill>
          </w14:textFill>
        </w:rPr>
        <w:t>明》</w:t>
      </w:r>
      <w:r>
        <w:rPr>
          <w:rFonts w:ascii="宋体" w:hAnsi="宋体"/>
          <w:color w:val="000000" w:themeColor="text1"/>
          <w:szCs w:val="16"/>
          <w:highlight w:val="none"/>
          <w14:textFill>
            <w14:solidFill>
              <w14:schemeClr w14:val="tx1"/>
            </w14:solidFill>
          </w14:textFill>
        </w:rPr>
        <w:t>。</w:t>
      </w:r>
    </w:p>
    <w:p w14:paraId="2CFDDFBC">
      <w:pPr>
        <w:keepNext w:val="0"/>
        <w:keepLines w:val="0"/>
        <w:pageBreakBefore w:val="0"/>
        <w:tabs>
          <w:tab w:val="left" w:pos="5580"/>
        </w:tabs>
        <w:spacing w:line="360" w:lineRule="auto"/>
        <w:ind w:firstLine="480"/>
        <w:rPr>
          <w:rFonts w:ascii="宋体" w:hAnsi="宋体"/>
          <w:color w:val="000000" w:themeColor="text1"/>
          <w:szCs w:val="16"/>
          <w:highlight w:val="none"/>
          <w14:textFill>
            <w14:solidFill>
              <w14:schemeClr w14:val="tx1"/>
            </w14:solidFill>
          </w14:textFill>
        </w:rPr>
      </w:pPr>
      <w:r>
        <w:rPr>
          <w:rFonts w:ascii="宋体" w:hAnsi="宋体"/>
          <w:color w:val="000000" w:themeColor="text1"/>
          <w:szCs w:val="16"/>
          <w:highlight w:val="none"/>
          <w14:textFill>
            <w14:solidFill>
              <w14:schemeClr w14:val="tx1"/>
            </w14:solidFill>
          </w14:textFill>
        </w:rPr>
        <w:t>3、</w:t>
      </w:r>
      <w:r>
        <w:rPr>
          <w:rFonts w:hint="eastAsia" w:ascii="宋体" w:hAnsi="宋体"/>
          <w:color w:val="000000" w:themeColor="text1"/>
          <w:szCs w:val="16"/>
          <w:highlight w:val="none"/>
          <w14:textFill>
            <w14:solidFill>
              <w14:schemeClr w14:val="tx1"/>
            </w14:solidFill>
          </w14:textFill>
        </w:rPr>
        <w:t>供应商为自然人的情形，可不提供本</w:t>
      </w:r>
      <w:r>
        <w:rPr>
          <w:rFonts w:ascii="宋体" w:hAnsi="宋体"/>
          <w:color w:val="000000" w:themeColor="text1"/>
          <w:szCs w:val="16"/>
          <w:highlight w:val="none"/>
          <w14:textFill>
            <w14:solidFill>
              <w14:schemeClr w14:val="tx1"/>
            </w14:solidFill>
          </w14:textFill>
        </w:rPr>
        <w:t>《</w:t>
      </w:r>
      <w:r>
        <w:rPr>
          <w:rFonts w:hint="eastAsia" w:ascii="宋体" w:hAnsi="宋体"/>
          <w:color w:val="000000" w:themeColor="text1"/>
          <w:szCs w:val="16"/>
          <w:highlight w:val="none"/>
          <w14:textFill>
            <w14:solidFill>
              <w14:schemeClr w14:val="tx1"/>
            </w14:solidFill>
          </w14:textFill>
        </w:rPr>
        <w:t>授权委托书</w:t>
      </w:r>
      <w:r>
        <w:rPr>
          <w:rFonts w:ascii="宋体" w:hAnsi="宋体"/>
          <w:color w:val="000000" w:themeColor="text1"/>
          <w:szCs w:val="16"/>
          <w:highlight w:val="none"/>
          <w14:textFill>
            <w14:solidFill>
              <w14:schemeClr w14:val="tx1"/>
            </w14:solidFill>
          </w14:textFill>
        </w:rPr>
        <w:t>》</w:t>
      </w:r>
      <w:r>
        <w:rPr>
          <w:rFonts w:hint="eastAsia" w:ascii="宋体" w:hAnsi="宋体"/>
          <w:color w:val="000000" w:themeColor="text1"/>
          <w:szCs w:val="16"/>
          <w:highlight w:val="none"/>
          <w14:textFill>
            <w14:solidFill>
              <w14:schemeClr w14:val="tx1"/>
            </w14:solidFill>
          </w14:textFill>
        </w:rPr>
        <w:t>。</w:t>
      </w:r>
      <w:bookmarkEnd w:id="203"/>
      <w:bookmarkEnd w:id="204"/>
    </w:p>
    <w:p w14:paraId="1239022E">
      <w:pPr>
        <w:spacing w:line="400" w:lineRule="exact"/>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009122D5">
      <w:pPr>
        <w:spacing w:line="400" w:lineRule="exact"/>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br w:type="page" w:clear="all"/>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法定代表人身份证明</w:t>
      </w:r>
    </w:p>
    <w:p w14:paraId="67DB8FFD">
      <w:pPr>
        <w:keepNext w:val="0"/>
        <w:keepLines w:val="0"/>
        <w:pageBreakBefore w:val="0"/>
        <w:tabs>
          <w:tab w:val="left" w:pos="5580"/>
        </w:tabs>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致：</w:t>
      </w:r>
      <w:r>
        <w:rPr>
          <w:rFonts w:hint="eastAsia"/>
          <w:color w:val="000000" w:themeColor="text1"/>
          <w:sz w:val="24"/>
          <w:highlight w:val="none"/>
          <w14:textFill>
            <w14:solidFill>
              <w14:schemeClr w14:val="tx1"/>
            </w14:solidFill>
          </w14:textFill>
        </w:rPr>
        <w:t>【采购单位】</w:t>
      </w:r>
    </w:p>
    <w:p w14:paraId="3A9DA14D">
      <w:pPr>
        <w:spacing w:line="560" w:lineRule="exact"/>
        <w:ind w:firstLine="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磋商供应商名称：</w:t>
      </w:r>
    </w:p>
    <w:p w14:paraId="34C3FE7E">
      <w:pPr>
        <w:spacing w:line="560" w:lineRule="exact"/>
        <w:ind w:firstLine="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单位性质：</w:t>
      </w:r>
    </w:p>
    <w:p w14:paraId="7B14059F">
      <w:pPr>
        <w:spacing w:line="560" w:lineRule="exact"/>
        <w:ind w:firstLine="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E47830A">
      <w:pPr>
        <w:spacing w:line="560" w:lineRule="exact"/>
        <w:ind w:firstLine="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成立时间：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4E1ECE70">
      <w:pPr>
        <w:spacing w:line="560" w:lineRule="exact"/>
        <w:ind w:firstLine="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经营期限：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AE70660">
      <w:pPr>
        <w:spacing w:line="560" w:lineRule="exact"/>
        <w:ind w:firstLine="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    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性     别：</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F111543">
      <w:pPr>
        <w:spacing w:line="560" w:lineRule="exact"/>
        <w:ind w:firstLine="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    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职     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C72C880">
      <w:pPr>
        <w:spacing w:line="560" w:lineRule="exact"/>
        <w:ind w:firstLine="6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(磋商供应商名称)的法定代表人。</w:t>
      </w:r>
    </w:p>
    <w:p w14:paraId="688098B1">
      <w:pPr>
        <w:spacing w:line="560" w:lineRule="exact"/>
        <w:ind w:firstLine="600"/>
        <w:rPr>
          <w:rFonts w:ascii="宋体" w:hAnsi="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特此证明。</w:t>
      </w:r>
    </w:p>
    <w:p w14:paraId="449ACF5B">
      <w:pPr>
        <w:keepNext w:val="0"/>
        <w:keepLines w:val="0"/>
        <w:pageBreakBefore w:val="0"/>
        <w:tabs>
          <w:tab w:val="left" w:pos="567"/>
          <w:tab w:val="left" w:pos="2412"/>
          <w:tab w:val="left" w:pos="3883"/>
          <w:tab w:val="left" w:pos="5352"/>
          <w:tab w:val="left" w:pos="6821"/>
        </w:tabs>
        <w:spacing w:line="360" w:lineRule="auto"/>
        <w:rPr>
          <w:rFonts w:ascii="宋体" w:hAnsi="宋体"/>
          <w:color w:val="000000" w:themeColor="text1"/>
          <w:sz w:val="24"/>
          <w:highlight w:val="none"/>
          <w14:textFill>
            <w14:solidFill>
              <w14:schemeClr w14:val="tx1"/>
            </w14:solidFill>
          </w14:textFill>
        </w:rPr>
      </w:pPr>
    </w:p>
    <w:p w14:paraId="5630C8CF">
      <w:pPr>
        <w:keepNext w:val="0"/>
        <w:keepLines w:val="0"/>
        <w:pageBreakBefore w:val="0"/>
        <w:tabs>
          <w:tab w:val="left" w:pos="567"/>
        </w:tabs>
        <w:spacing w:line="360" w:lineRule="auto"/>
        <w:ind w:right="-46"/>
        <w:rPr>
          <w:rFonts w:ascii="宋体" w:hAnsi="宋体"/>
          <w:color w:val="000000" w:themeColor="text1"/>
          <w:spacing w:val="-3"/>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附：</w:t>
      </w:r>
      <w:r>
        <w:rPr>
          <w:rFonts w:ascii="宋体" w:hAnsi="宋体"/>
          <w:color w:val="000000" w:themeColor="text1"/>
          <w:spacing w:val="-3"/>
          <w:sz w:val="24"/>
          <w:highlight w:val="none"/>
          <w14:textFill>
            <w14:solidFill>
              <w14:schemeClr w14:val="tx1"/>
            </w14:solidFill>
          </w14:textFill>
        </w:rPr>
        <w:t>法</w:t>
      </w:r>
      <w:r>
        <w:rPr>
          <w:rFonts w:ascii="宋体" w:hAnsi="宋体"/>
          <w:color w:val="000000" w:themeColor="text1"/>
          <w:sz w:val="24"/>
          <w:highlight w:val="none"/>
          <w14:textFill>
            <w14:solidFill>
              <w14:schemeClr w14:val="tx1"/>
            </w14:solidFill>
          </w14:textFill>
        </w:rPr>
        <w:t>定</w:t>
      </w:r>
      <w:r>
        <w:rPr>
          <w:rFonts w:ascii="宋体" w:hAnsi="宋体"/>
          <w:color w:val="000000" w:themeColor="text1"/>
          <w:spacing w:val="-3"/>
          <w:sz w:val="24"/>
          <w:highlight w:val="none"/>
          <w14:textFill>
            <w14:solidFill>
              <w14:schemeClr w14:val="tx1"/>
            </w14:solidFill>
          </w14:textFill>
        </w:rPr>
        <w:t>代</w:t>
      </w:r>
      <w:r>
        <w:rPr>
          <w:rFonts w:ascii="宋体" w:hAnsi="宋体"/>
          <w:color w:val="000000" w:themeColor="text1"/>
          <w:sz w:val="24"/>
          <w:highlight w:val="none"/>
          <w14:textFill>
            <w14:solidFill>
              <w14:schemeClr w14:val="tx1"/>
            </w14:solidFill>
          </w14:textFill>
        </w:rPr>
        <w:t>表</w:t>
      </w:r>
      <w:r>
        <w:rPr>
          <w:rFonts w:ascii="宋体" w:hAnsi="宋体"/>
          <w:color w:val="000000" w:themeColor="text1"/>
          <w:spacing w:val="-3"/>
          <w:sz w:val="24"/>
          <w:highlight w:val="none"/>
          <w14:textFill>
            <w14:solidFill>
              <w14:schemeClr w14:val="tx1"/>
            </w14:solidFill>
          </w14:textFill>
        </w:rPr>
        <w:t>人</w:t>
      </w:r>
      <w:r>
        <w:rPr>
          <w:rFonts w:ascii="宋体" w:hAnsi="宋体"/>
          <w:color w:val="000000" w:themeColor="text1"/>
          <w:sz w:val="24"/>
          <w:highlight w:val="none"/>
          <w14:textFill>
            <w14:solidFill>
              <w14:schemeClr w14:val="tx1"/>
            </w14:solidFill>
          </w14:textFill>
        </w:rPr>
        <w:t>（</w:t>
      </w:r>
      <w:r>
        <w:rPr>
          <w:rFonts w:ascii="宋体" w:hAnsi="宋体"/>
          <w:color w:val="000000" w:themeColor="text1"/>
          <w:spacing w:val="-3"/>
          <w:sz w:val="24"/>
          <w:highlight w:val="none"/>
          <w14:textFill>
            <w14:solidFill>
              <w14:schemeClr w14:val="tx1"/>
            </w14:solidFill>
          </w14:textFill>
        </w:rPr>
        <w:t>单</w:t>
      </w:r>
      <w:r>
        <w:rPr>
          <w:rFonts w:ascii="宋体" w:hAnsi="宋体"/>
          <w:color w:val="000000" w:themeColor="text1"/>
          <w:sz w:val="24"/>
          <w:highlight w:val="none"/>
          <w14:textFill>
            <w14:solidFill>
              <w14:schemeClr w14:val="tx1"/>
            </w14:solidFill>
          </w14:textFill>
        </w:rPr>
        <w:t>位</w:t>
      </w:r>
      <w:r>
        <w:rPr>
          <w:rFonts w:ascii="宋体" w:hAnsi="宋体"/>
          <w:color w:val="000000" w:themeColor="text1"/>
          <w:spacing w:val="-3"/>
          <w:sz w:val="24"/>
          <w:highlight w:val="none"/>
          <w14:textFill>
            <w14:solidFill>
              <w14:schemeClr w14:val="tx1"/>
            </w14:solidFill>
          </w14:textFill>
        </w:rPr>
        <w:t>负</w:t>
      </w:r>
      <w:r>
        <w:rPr>
          <w:rFonts w:ascii="宋体" w:hAnsi="宋体"/>
          <w:color w:val="000000" w:themeColor="text1"/>
          <w:sz w:val="24"/>
          <w:highlight w:val="none"/>
          <w14:textFill>
            <w14:solidFill>
              <w14:schemeClr w14:val="tx1"/>
            </w14:solidFill>
          </w14:textFill>
        </w:rPr>
        <w:t>责人</w:t>
      </w:r>
      <w:r>
        <w:rPr>
          <w:rFonts w:ascii="宋体" w:hAnsi="宋体"/>
          <w:color w:val="000000" w:themeColor="text1"/>
          <w:spacing w:val="-3"/>
          <w:sz w:val="24"/>
          <w:highlight w:val="none"/>
          <w14:textFill>
            <w14:solidFill>
              <w14:schemeClr w14:val="tx1"/>
            </w14:solidFill>
          </w14:textFill>
        </w:rPr>
        <w:t>）有效期内的身</w:t>
      </w:r>
      <w:r>
        <w:rPr>
          <w:rFonts w:hint="eastAsia" w:ascii="宋体" w:hAnsi="宋体"/>
          <w:color w:val="000000" w:themeColor="text1"/>
          <w:spacing w:val="-3"/>
          <w:sz w:val="24"/>
          <w:highlight w:val="none"/>
          <w14:textFill>
            <w14:solidFill>
              <w14:schemeClr w14:val="tx1"/>
            </w14:solidFill>
          </w14:textFill>
        </w:rPr>
        <w:t>份</w:t>
      </w:r>
      <w:r>
        <w:rPr>
          <w:rFonts w:ascii="宋体" w:hAnsi="宋体"/>
          <w:color w:val="000000" w:themeColor="text1"/>
          <w:spacing w:val="-3"/>
          <w:sz w:val="24"/>
          <w:highlight w:val="none"/>
          <w14:textFill>
            <w14:solidFill>
              <w14:schemeClr w14:val="tx1"/>
            </w14:solidFill>
          </w14:textFill>
        </w:rPr>
        <w:t>证正反面</w:t>
      </w:r>
      <w:r>
        <w:rPr>
          <w:rFonts w:hint="eastAsia" w:ascii="宋体" w:hAnsi="宋体"/>
          <w:color w:val="000000" w:themeColor="text1"/>
          <w:spacing w:val="-3"/>
          <w:sz w:val="24"/>
          <w:highlight w:val="none"/>
          <w14:textFill>
            <w14:solidFill>
              <w14:schemeClr w14:val="tx1"/>
            </w14:solidFill>
          </w14:textFill>
        </w:rPr>
        <w:t>电子</w:t>
      </w:r>
      <w:r>
        <w:rPr>
          <w:rFonts w:ascii="宋体" w:hAnsi="宋体"/>
          <w:color w:val="000000" w:themeColor="text1"/>
          <w:spacing w:val="-3"/>
          <w:sz w:val="24"/>
          <w:highlight w:val="none"/>
          <w14:textFill>
            <w14:solidFill>
              <w14:schemeClr w14:val="tx1"/>
            </w14:solidFill>
          </w14:textFill>
        </w:rPr>
        <w:t>件</w:t>
      </w:r>
      <w:r>
        <w:rPr>
          <w:rFonts w:hint="eastAsia" w:ascii="宋体" w:hAnsi="宋体"/>
          <w:color w:val="000000" w:themeColor="text1"/>
          <w:spacing w:val="-3"/>
          <w:sz w:val="24"/>
          <w:highlight w:val="none"/>
          <w14:textFill>
            <w14:solidFill>
              <w14:schemeClr w14:val="tx1"/>
            </w14:solidFill>
          </w14:textFill>
        </w:rPr>
        <w:t>。</w:t>
      </w:r>
    </w:p>
    <w:tbl>
      <w:tblPr>
        <w:tblStyle w:val="3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B742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9126D35">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151859AC">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285B9187">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noWrap w:val="0"/>
            <w:vAlign w:val="top"/>
          </w:tcPr>
          <w:p w14:paraId="6DE3A3C2">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08170DBD">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06E2ED6F">
            <w:pPr>
              <w:keepNext w:val="0"/>
              <w:keepLines w:val="0"/>
              <w:pageBreakBefore w:val="0"/>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14:paraId="29EBA9F0">
      <w:pPr>
        <w:keepNext w:val="0"/>
        <w:keepLines w:val="0"/>
        <w:pageBreakBefore w:val="0"/>
        <w:tabs>
          <w:tab w:val="left" w:pos="567"/>
        </w:tabs>
        <w:spacing w:line="360" w:lineRule="auto"/>
        <w:ind w:right="4305"/>
        <w:rPr>
          <w:rFonts w:ascii="宋体" w:hAnsi="宋体"/>
          <w:color w:val="000000" w:themeColor="text1"/>
          <w:spacing w:val="-3"/>
          <w:sz w:val="24"/>
          <w:highlight w:val="none"/>
          <w14:textFill>
            <w14:solidFill>
              <w14:schemeClr w14:val="tx1"/>
            </w14:solidFill>
          </w14:textFill>
        </w:rPr>
      </w:pPr>
    </w:p>
    <w:p w14:paraId="4FD9DBA6">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default" w:eastAsia="宋体"/>
          <w:color w:val="000000" w:themeColor="text1"/>
          <w:highlight w:val="none"/>
          <w:lang w:val="en-US"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单位名称：</w:t>
      </w:r>
      <w:r>
        <w:rPr>
          <w:rFonts w:ascii="Times New Roman" w:hAnsi="Times New Roman" w:cs="Times New Roman"/>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盖章</w:t>
      </w:r>
      <w:r>
        <w:rPr>
          <w:rFonts w:ascii="Times New Roman" w:hAnsi="Times New Roman" w:cs="Times New Roman"/>
          <w:color w:val="000000" w:themeColor="text1"/>
          <w:sz w:val="24"/>
          <w:szCs w:val="24"/>
          <w:highlight w:val="none"/>
          <w:u w:val="single"/>
          <w14:textFill>
            <w14:solidFill>
              <w14:schemeClr w14:val="tx1"/>
            </w14:solidFill>
          </w14:textFill>
        </w:rPr>
        <w:t>）</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p>
    <w:p w14:paraId="13C954F7">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color w:val="000000" w:themeColor="text1"/>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单位地址：</w:t>
      </w:r>
      <w:r>
        <w:rPr>
          <w:rFonts w:ascii="Times New Roman" w:hAnsi="Times New Roman" w:cs="Times New Roman"/>
          <w:color w:val="000000" w:themeColor="text1"/>
          <w:sz w:val="24"/>
          <w:szCs w:val="24"/>
          <w:highlight w:val="none"/>
          <w:u w:val="single"/>
          <w14:textFill>
            <w14:solidFill>
              <w14:schemeClr w14:val="tx1"/>
            </w14:solidFill>
          </w14:textFill>
        </w:rPr>
        <w:t xml:space="preserve">                                         </w:t>
      </w:r>
    </w:p>
    <w:p w14:paraId="218EEB19">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ascii="Times New Roman" w:hAnsi="Times New Roman" w:cs="Times New Roman"/>
          <w:color w:val="000000" w:themeColor="text1"/>
          <w:sz w:val="24"/>
          <w:szCs w:val="24"/>
          <w:highlight w:val="none"/>
          <w:u w:val="singl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日期：</w:t>
      </w:r>
      <w:r>
        <w:rPr>
          <w:rFonts w:ascii="Times New Roman" w:hAnsi="Times New Roman" w:cs="Times New Roman"/>
          <w:color w:val="000000" w:themeColor="text1"/>
          <w:sz w:val="24"/>
          <w:szCs w:val="24"/>
          <w:highlight w:val="none"/>
          <w:u w:val="single"/>
          <w14:textFill>
            <w14:solidFill>
              <w14:schemeClr w14:val="tx1"/>
            </w14:solidFill>
          </w14:textFill>
        </w:rPr>
        <w:t>                                      </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 xml:space="preserve">     </w:t>
      </w:r>
      <w:r>
        <w:rPr>
          <w:rFonts w:ascii="Times New Roman" w:hAnsi="Times New Roman" w:cs="Times New Roman"/>
          <w:color w:val="000000" w:themeColor="text1"/>
          <w:sz w:val="24"/>
          <w:szCs w:val="24"/>
          <w:highlight w:val="none"/>
          <w:u w:val="single"/>
          <w14:textFill>
            <w14:solidFill>
              <w14:schemeClr w14:val="tx1"/>
            </w14:solidFill>
          </w14:textFill>
        </w:rPr>
        <w:t> </w:t>
      </w:r>
    </w:p>
    <w:p w14:paraId="423FF019">
      <w:pPr>
        <w:pStyle w:val="212"/>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left="0" w:firstLine="480"/>
        <w:jc w:val="both"/>
        <w:rPr>
          <w:rFonts w:ascii="Times New Roman" w:hAnsi="Times New Roman" w:cs="Times New Roman"/>
          <w:color w:val="000000" w:themeColor="text1"/>
          <w:sz w:val="24"/>
          <w:szCs w:val="24"/>
          <w:highlight w:val="none"/>
          <w:u w:val="single"/>
          <w14:textFill>
            <w14:solidFill>
              <w14:schemeClr w14:val="tx1"/>
            </w14:solidFill>
          </w14:textFill>
        </w:rPr>
      </w:pPr>
    </w:p>
    <w:p w14:paraId="5217F5F4">
      <w:pPr>
        <w:pStyle w:val="225"/>
        <w:keepNext w:val="0"/>
        <w:keepLines w:val="0"/>
        <w:pageBreakBefore w:val="0"/>
        <w:widowControl w:val="0"/>
        <w:spacing w:line="360" w:lineRule="auto"/>
        <w:jc w:val="both"/>
        <w:rPr>
          <w:rFonts w:hint="eastAsia" w:ascii="宋体" w:hAnsi="宋体" w:eastAsia="宋体" w:cs="宋体"/>
          <w:b/>
          <w:bCs/>
          <w:color w:val="000000" w:themeColor="text1"/>
          <w:szCs w:val="21"/>
          <w:highlight w:val="none"/>
          <w14:textFill>
            <w14:solidFill>
              <w14:schemeClr w14:val="tx1"/>
            </w14:solidFill>
          </w14:textFill>
        </w:rPr>
      </w:pPr>
    </w:p>
    <w:p w14:paraId="23CE3712">
      <w:pPr>
        <w:pStyle w:val="225"/>
        <w:keepNext w:val="0"/>
        <w:keepLines w:val="0"/>
        <w:pageBreakBefore w:val="0"/>
        <w:widowControl w:val="0"/>
        <w:spacing w:line="360" w:lineRule="auto"/>
        <w:jc w:val="both"/>
        <w:rPr>
          <w:rFonts w:hint="eastAsia" w:ascii="宋体" w:hAnsi="宋体" w:eastAsia="宋体" w:cs="宋体"/>
          <w:b/>
          <w:bCs/>
          <w:color w:val="000000" w:themeColor="text1"/>
          <w:szCs w:val="21"/>
          <w:highlight w:val="none"/>
          <w14:textFill>
            <w14:solidFill>
              <w14:schemeClr w14:val="tx1"/>
            </w14:solidFill>
          </w14:textFill>
        </w:rPr>
      </w:pPr>
    </w:p>
    <w:p w14:paraId="3CF012F4">
      <w:pPr>
        <w:pStyle w:val="225"/>
        <w:jc w:val="both"/>
        <w:rPr>
          <w:rFonts w:hint="eastAsia" w:ascii="宋体" w:hAnsi="宋体" w:eastAsia="宋体" w:cs="宋体"/>
          <w:b/>
          <w:bCs/>
          <w:color w:val="000000" w:themeColor="text1"/>
          <w:szCs w:val="21"/>
          <w:highlight w:val="none"/>
          <w14:textFill>
            <w14:solidFill>
              <w14:schemeClr w14:val="tx1"/>
            </w14:solidFill>
          </w14:textFill>
        </w:rPr>
      </w:pPr>
    </w:p>
    <w:p w14:paraId="6ED6D30B">
      <w:pPr>
        <w:spacing w:line="240" w:lineRule="auto"/>
        <w:ind w:firstLine="0"/>
        <w:jc w:val="center"/>
        <w:rPr>
          <w:color w:val="000000" w:themeColor="text1"/>
          <w:highlight w:val="none"/>
          <w:u w:val="single"/>
          <w14:textFill>
            <w14:solidFill>
              <w14:schemeClr w14:val="tx1"/>
            </w14:solidFill>
          </w14:textFill>
        </w:rPr>
      </w:pPr>
      <w:r>
        <w:rPr>
          <w:rFonts w:hint="eastAsia" w:ascii="宋体" w:hAnsi="宋体" w:eastAsia="宋体" w:cs="宋体"/>
          <w:b/>
          <w:bCs w:val="0"/>
          <w:color w:val="000000" w:themeColor="text1"/>
          <w:sz w:val="32"/>
          <w:szCs w:val="32"/>
          <w:highlight w:val="none"/>
          <w:lang w:eastAsia="zh-CN"/>
          <w14:textFill>
            <w14:solidFill>
              <w14:schemeClr w14:val="tx1"/>
            </w14:solidFill>
          </w14:textFill>
        </w:rPr>
        <w:br w:type="page" w:clear="all"/>
      </w:r>
      <w:r>
        <w:rPr>
          <w:rFonts w:hint="eastAsia" w:ascii="宋体" w:hAnsi="宋体" w:eastAsia="宋体" w:cs="宋体"/>
          <w:b/>
          <w:bCs w:val="0"/>
          <w:color w:val="000000" w:themeColor="text1"/>
          <w:sz w:val="30"/>
          <w:szCs w:val="30"/>
          <w:highlight w:val="none"/>
          <w:lang w:eastAsia="zh-CN"/>
          <w14:textFill>
            <w14:solidFill>
              <w14:schemeClr w14:val="tx1"/>
            </w14:solidFill>
          </w14:textFill>
        </w:rPr>
        <w:t>供应商承诺书</w:t>
      </w:r>
    </w:p>
    <w:p w14:paraId="29035462">
      <w:pPr>
        <w:spacing w:line="33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致：</w:t>
      </w:r>
      <w:r>
        <w:rPr>
          <w:rFonts w:hint="eastAsia" w:ascii="宋体" w:hAnsi="宋体" w:eastAsia="宋体" w:cs="Times New Roman"/>
          <w:color w:val="000000" w:themeColor="text1"/>
          <w:sz w:val="24"/>
          <w:u w:val="single"/>
          <w14:textFill>
            <w14:solidFill>
              <w14:schemeClr w14:val="tx1"/>
            </w14:solidFill>
          </w14:textFill>
        </w:rPr>
        <w:t>采购人名称</w:t>
      </w:r>
    </w:p>
    <w:p w14:paraId="05D90851">
      <w:pPr>
        <w:widowControl/>
        <w:spacing w:line="336" w:lineRule="auto"/>
        <w:ind w:firstLine="480"/>
        <w:jc w:val="left"/>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我公司参与贵单位工程项目的磋商，我单位郑重承诺： </w:t>
      </w:r>
    </w:p>
    <w:p w14:paraId="669762F5">
      <w:pPr>
        <w:widowControl/>
        <w:spacing w:line="336" w:lineRule="auto"/>
        <w:ind w:firstLine="480"/>
        <w:jc w:val="left"/>
        <w:rPr>
          <w:rFonts w:ascii="宋体" w:hAnsi="宋体" w:eastAsia="宋体" w:cs="Times New Roman"/>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1、拟派项目负责人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同志</w:t>
      </w:r>
      <w:r>
        <w:rPr>
          <w:rFonts w:ascii="宋体" w:hAnsi="宋体" w:eastAsia="宋体" w:cs="Times New Roman"/>
          <w:color w:val="000000" w:themeColor="text1"/>
          <w:sz w:val="24"/>
          <w14:textFill>
            <w14:solidFill>
              <w14:schemeClr w14:val="tx1"/>
            </w14:solidFill>
          </w14:textFill>
        </w:rPr>
        <w:t>无在建工程；</w:t>
      </w:r>
    </w:p>
    <w:p w14:paraId="1824862B">
      <w:pPr>
        <w:spacing w:line="336" w:lineRule="auto"/>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2、</w:t>
      </w:r>
      <w:r>
        <w:rPr>
          <w:rFonts w:hint="eastAsia" w:ascii="宋体" w:hAnsi="宋体" w:eastAsia="宋体" w:cs="宋体"/>
          <w:bCs/>
          <w:color w:val="000000" w:themeColor="text1"/>
          <w:sz w:val="24"/>
          <w14:textFill>
            <w14:solidFill>
              <w14:schemeClr w14:val="tx1"/>
            </w14:solidFill>
          </w14:textFill>
        </w:rPr>
        <w:t>所报项目负责人</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同志及本单位近</w:t>
      </w:r>
      <w:r>
        <w:rPr>
          <w:rFonts w:hint="eastAsia" w:ascii="宋体" w:hAnsi="宋体" w:eastAsia="宋体" w:cs="宋体"/>
          <w:bCs/>
          <w:color w:val="000000" w:themeColor="text1"/>
          <w:sz w:val="24"/>
          <w:u w:val="single"/>
          <w14:textFill>
            <w14:solidFill>
              <w14:schemeClr w14:val="tx1"/>
            </w14:solidFill>
          </w14:textFill>
        </w:rPr>
        <w:t xml:space="preserve"> 3 </w:t>
      </w:r>
      <w:r>
        <w:rPr>
          <w:rFonts w:hint="eastAsia" w:ascii="宋体" w:hAnsi="宋体" w:eastAsia="宋体" w:cs="宋体"/>
          <w:bCs/>
          <w:color w:val="000000" w:themeColor="text1"/>
          <w:sz w:val="24"/>
          <w14:textFill>
            <w14:solidFill>
              <w14:schemeClr w14:val="tx1"/>
            </w14:solidFill>
          </w14:textFill>
        </w:rPr>
        <w:t>年以来无建筑市场不良行为；</w:t>
      </w:r>
    </w:p>
    <w:p w14:paraId="2D9FEB1C">
      <w:pPr>
        <w:spacing w:line="336" w:lineRule="auto"/>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3、</w:t>
      </w:r>
      <w:r>
        <w:rPr>
          <w:rFonts w:hint="eastAsia" w:ascii="宋体" w:hAnsi="宋体" w:eastAsia="宋体" w:cs="宋体"/>
          <w:bCs/>
          <w:color w:val="000000" w:themeColor="text1"/>
          <w:sz w:val="24"/>
          <w14:textFill>
            <w14:solidFill>
              <w14:schemeClr w14:val="tx1"/>
            </w14:solidFill>
          </w14:textFill>
        </w:rPr>
        <w:t>我单位不存在借牌挂靠行为，不出借挂靠资质；</w:t>
      </w:r>
    </w:p>
    <w:p w14:paraId="40A63605">
      <w:pPr>
        <w:spacing w:line="336"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4、我公司在磋商响应有效期内企业资质动态监管核查为合格；若磋商响应有效期内企业资质动态监管核查不合格，将主动放弃成交资格</w:t>
      </w:r>
      <w:r>
        <w:rPr>
          <w:rFonts w:hint="eastAsia" w:ascii="宋体" w:hAnsi="宋体" w:eastAsia="宋体" w:cs="Times New Roman"/>
          <w:color w:val="000000" w:themeColor="text1"/>
          <w:sz w:val="24"/>
          <w14:textFill>
            <w14:solidFill>
              <w14:schemeClr w14:val="tx1"/>
            </w14:solidFill>
          </w14:textFill>
        </w:rPr>
        <w:t>；</w:t>
      </w:r>
    </w:p>
    <w:p w14:paraId="1B46D7C5">
      <w:pPr>
        <w:spacing w:line="336"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5、我公司</w:t>
      </w:r>
      <w:r>
        <w:rPr>
          <w:rFonts w:hint="eastAsia" w:ascii="宋体" w:hAnsi="宋体" w:eastAsia="宋体" w:cs="Times New Roman"/>
          <w:color w:val="000000" w:themeColor="text1"/>
          <w:sz w:val="24"/>
          <w:szCs w:val="22"/>
          <w14:textFill>
            <w14:solidFill>
              <w14:schemeClr w14:val="tx1"/>
            </w14:solidFill>
          </w14:textFill>
        </w:rPr>
        <w:t>在“信用中国”网站未被列入失信被执行人、重大税收违法案件当事人名单、</w:t>
      </w:r>
      <w:bookmarkStart w:id="205" w:name="OLE_LINK103"/>
      <w:bookmarkStart w:id="206" w:name="OLE_LINK102"/>
      <w:r>
        <w:rPr>
          <w:rFonts w:hint="eastAsia" w:ascii="宋体" w:hAnsi="宋体" w:eastAsia="宋体" w:cs="Times New Roman"/>
          <w:color w:val="000000" w:themeColor="text1"/>
          <w:sz w:val="24"/>
          <w14:textFill>
            <w14:solidFill>
              <w14:schemeClr w14:val="tx1"/>
            </w14:solidFill>
          </w14:textFill>
        </w:rPr>
        <w:t>严重失信主体名单</w:t>
      </w:r>
      <w:bookmarkEnd w:id="205"/>
      <w:bookmarkEnd w:id="206"/>
      <w:r>
        <w:rPr>
          <w:rFonts w:hint="eastAsia" w:ascii="宋体" w:hAnsi="宋体" w:eastAsia="宋体" w:cs="Times New Roman"/>
          <w:color w:val="000000" w:themeColor="text1"/>
          <w:sz w:val="24"/>
          <w:szCs w:val="22"/>
          <w14:textFill>
            <w14:solidFill>
              <w14:schemeClr w14:val="tx1"/>
            </w14:solidFill>
          </w14:textFill>
        </w:rPr>
        <w:t>及其他不符合《中华人民共和国政府采购法》</w:t>
      </w:r>
      <w:r>
        <w:rPr>
          <w:rFonts w:hint="eastAsia" w:ascii="宋体" w:hAnsi="宋体" w:eastAsia="宋体" w:cs="宋体"/>
          <w:color w:val="000000" w:themeColor="text1"/>
          <w:sz w:val="24"/>
          <w14:textFill>
            <w14:solidFill>
              <w14:schemeClr w14:val="tx1"/>
            </w14:solidFill>
          </w14:textFill>
        </w:rPr>
        <w:t>第二十二条规定条件的信用记录；</w:t>
      </w:r>
    </w:p>
    <w:p w14:paraId="57343EEB">
      <w:pPr>
        <w:spacing w:line="336"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w:t>
      </w:r>
      <w:r>
        <w:rPr>
          <w:rFonts w:ascii="宋体" w:hAnsi="宋体" w:eastAsia="宋体" w:cs="宋体"/>
          <w:color w:val="000000" w:themeColor="text1"/>
          <w:sz w:val="24"/>
          <w14:textFill>
            <w14:solidFill>
              <w14:schemeClr w14:val="tx1"/>
            </w14:solidFill>
          </w14:textFill>
        </w:rPr>
        <w:t>、本单位（超过3年）、法定代表人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同志</w:t>
      </w:r>
      <w:r>
        <w:rPr>
          <w:rFonts w:ascii="宋体" w:hAnsi="宋体" w:eastAsia="宋体" w:cs="宋体"/>
          <w:color w:val="000000" w:themeColor="text1"/>
          <w:sz w:val="24"/>
          <w14:textFill>
            <w14:solidFill>
              <w14:schemeClr w14:val="tx1"/>
            </w14:solidFill>
          </w14:textFill>
        </w:rPr>
        <w:t>（超过5年）、项目负责人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同志（超过5年）无行贿犯罪记录；</w:t>
      </w:r>
    </w:p>
    <w:p w14:paraId="5D86BFA3">
      <w:pPr>
        <w:widowControl/>
        <w:spacing w:line="336" w:lineRule="auto"/>
        <w:ind w:firstLine="480"/>
        <w:jc w:val="left"/>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7</w:t>
      </w:r>
      <w:r>
        <w:rPr>
          <w:rFonts w:ascii="宋体" w:hAnsi="宋体" w:eastAsia="宋体" w:cs="Times New Roman"/>
          <w:color w:val="000000" w:themeColor="text1"/>
          <w:sz w:val="24"/>
          <w14:textFill>
            <w14:solidFill>
              <w14:schemeClr w14:val="tx1"/>
            </w14:solidFill>
          </w14:textFill>
        </w:rPr>
        <w:t>、本单位及项目负责人</w:t>
      </w:r>
      <w:r>
        <w:rPr>
          <w:rFonts w:ascii="宋体" w:hAnsi="宋体" w:eastAsia="宋体" w:cs="Times New Roman"/>
          <w:color w:val="000000" w:themeColor="text1"/>
          <w:sz w:val="24"/>
          <w:u w:val="single"/>
          <w14:textFill>
            <w14:solidFill>
              <w14:schemeClr w14:val="tx1"/>
            </w14:solidFill>
          </w14:textFill>
        </w:rPr>
        <w:t> </w:t>
      </w:r>
      <w:r>
        <w:rPr>
          <w:rFonts w:hint="eastAsia" w:ascii="宋体" w:hAnsi="宋体" w:eastAsia="宋体" w:cs="Times New Roman"/>
          <w:color w:val="000000" w:themeColor="text1"/>
          <w:sz w:val="24"/>
          <w:u w:val="single"/>
          <w14:textFill>
            <w14:solidFill>
              <w14:schemeClr w14:val="tx1"/>
            </w14:solidFill>
          </w14:textFill>
        </w:rPr>
        <w:t xml:space="preserve">     </w:t>
      </w:r>
      <w:r>
        <w:rPr>
          <w:rFonts w:ascii="宋体" w:hAnsi="宋体" w:eastAsia="宋体" w:cs="Times New Roman"/>
          <w:color w:val="000000" w:themeColor="text1"/>
          <w:sz w:val="24"/>
          <w14:textFill>
            <w14:solidFill>
              <w14:schemeClr w14:val="tx1"/>
            </w14:solidFill>
          </w14:textFill>
        </w:rPr>
        <w:t>同志未被建设行政主管部门限制在招标项目所在地投标</w:t>
      </w:r>
      <w:r>
        <w:rPr>
          <w:rFonts w:hint="eastAsia" w:ascii="宋体" w:hAnsi="宋体" w:eastAsia="宋体" w:cs="Times New Roman"/>
          <w:color w:val="000000" w:themeColor="text1"/>
          <w:sz w:val="24"/>
          <w14:textFill>
            <w14:solidFill>
              <w14:schemeClr w14:val="tx1"/>
            </w14:solidFill>
          </w14:textFill>
        </w:rPr>
        <w:t>；</w:t>
      </w:r>
    </w:p>
    <w:p w14:paraId="13B4E783">
      <w:pPr>
        <w:spacing w:line="336" w:lineRule="auto"/>
        <w:ind w:firstLine="480"/>
        <w:rPr>
          <w:rFonts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8、</w:t>
      </w:r>
      <w:r>
        <w:rPr>
          <w:rFonts w:hint="eastAsia" w:ascii="宋体" w:hAnsi="宋体" w:eastAsia="宋体" w:cs="Times New Roman"/>
          <w:color w:val="000000" w:themeColor="text1"/>
          <w:sz w:val="24"/>
          <w:szCs w:val="22"/>
          <w14:textFill>
            <w14:solidFill>
              <w14:schemeClr w14:val="tx1"/>
            </w14:solidFill>
          </w14:textFill>
        </w:rPr>
        <w:t>单位负责人为同一人或者存在直接控股、管理关系的不同供应商，不得参加同一合同项下的政府采购活动。</w:t>
      </w:r>
    </w:p>
    <w:p w14:paraId="431A3697">
      <w:pPr>
        <w:spacing w:line="336"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9、本项目我单位中标后不分包或转包；</w:t>
      </w:r>
    </w:p>
    <w:p w14:paraId="5B471CD1">
      <w:pPr>
        <w:spacing w:line="336"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10.将委托授权项目负责人参与投标全过程（含开评标、异议、投诉环节）工作。开评标如非该委托授权代理人参与，则视为未实质响应</w:t>
      </w:r>
      <w:r>
        <w:rPr>
          <w:rFonts w:hint="eastAsia" w:ascii="宋体" w:hAnsi="宋体" w:eastAsia="宋体" w:cs="宋体"/>
          <w:color w:val="000000" w:themeColor="text1"/>
          <w:sz w:val="24"/>
          <w:lang w:val="en-US" w:eastAsia="zh-CN"/>
          <w14:textFill>
            <w14:solidFill>
              <w14:schemeClr w14:val="tx1"/>
            </w14:solidFill>
          </w14:textFill>
        </w:rPr>
        <w:t>磋商</w:t>
      </w:r>
      <w:r>
        <w:rPr>
          <w:rFonts w:hint="eastAsia" w:ascii="宋体" w:hAnsi="宋体" w:eastAsia="宋体" w:cs="宋体"/>
          <w:color w:val="000000" w:themeColor="text1"/>
          <w:sz w:val="24"/>
          <w14:textFill>
            <w14:solidFill>
              <w14:schemeClr w14:val="tx1"/>
            </w14:solidFill>
          </w14:textFill>
        </w:rPr>
        <w:t>文件要求；后期如发生异议或投诉，也将授权投标项目负责人本人参与处理，本单位法定代表人将在异议或投诉书中真实署名并实际参与</w:t>
      </w:r>
      <w:r>
        <w:rPr>
          <w:rFonts w:hint="eastAsia" w:ascii="宋体" w:hAnsi="宋体" w:eastAsia="宋体" w:cs="宋体"/>
          <w:color w:val="000000" w:themeColor="text1"/>
          <w:sz w:val="24"/>
          <w:lang w:val="en-US" w:eastAsia="zh-CN"/>
          <w14:textFill>
            <w14:solidFill>
              <w14:schemeClr w14:val="tx1"/>
            </w14:solidFill>
          </w14:textFill>
        </w:rPr>
        <w:t>采购</w:t>
      </w:r>
      <w:r>
        <w:rPr>
          <w:rFonts w:hint="eastAsia" w:ascii="宋体" w:hAnsi="宋体" w:eastAsia="宋体" w:cs="宋体"/>
          <w:color w:val="000000" w:themeColor="text1"/>
          <w:sz w:val="24"/>
          <w14:textFill>
            <w14:solidFill>
              <w14:schemeClr w14:val="tx1"/>
            </w14:solidFill>
          </w14:textFill>
        </w:rPr>
        <w:t>人或监管部门的质询，否则，异议或投诉不成立；</w:t>
      </w:r>
    </w:p>
    <w:p w14:paraId="156D7328">
      <w:pPr>
        <w:spacing w:line="336"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11、磋商全过程（含质疑、投诉环节）出示的文件资料均是真实、有效的。</w:t>
      </w:r>
    </w:p>
    <w:p w14:paraId="72A130E8">
      <w:pPr>
        <w:spacing w:line="336"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综上，我公司承诺如有弄虚作假，违反规定参加磋商，愿意无条件接受被取消磋商或成交资格、履约保证金不予退还、合同解除及清除出场，一切损失由我单位自行承担，同时愿意接受相关处罚，特此承诺！</w:t>
      </w:r>
    </w:p>
    <w:p w14:paraId="66722A53">
      <w:pPr>
        <w:widowControl/>
        <w:spacing w:line="336" w:lineRule="auto"/>
        <w:jc w:val="left"/>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供应商全称</w:t>
      </w:r>
      <w:r>
        <w:rPr>
          <w:rFonts w:ascii="Calibri" w:hAnsi="Calibri" w:eastAsia="宋体" w:cs="Times New Roman"/>
          <w:color w:val="000000" w:themeColor="text1"/>
          <w:sz w:val="24"/>
          <w14:textFill>
            <w14:solidFill>
              <w14:schemeClr w14:val="tx1"/>
            </w14:solidFill>
          </w14:textFill>
        </w:rPr>
        <w:t>：</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（加盖CA电子公章）</w:t>
      </w:r>
    </w:p>
    <w:p w14:paraId="34B9AB68">
      <w:pPr>
        <w:widowControl/>
        <w:spacing w:line="336" w:lineRule="auto"/>
        <w:jc w:val="left"/>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（签字或盖章） </w:t>
      </w:r>
    </w:p>
    <w:p w14:paraId="73955D8D">
      <w:pPr>
        <w:widowControl/>
        <w:spacing w:line="336" w:lineRule="auto"/>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（签字）</w:t>
      </w:r>
    </w:p>
    <w:p w14:paraId="26E68EA6">
      <w:pPr>
        <w:widowControl/>
        <w:spacing w:line="336" w:lineRule="auto"/>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项目负责人证书编号：</w:t>
      </w:r>
      <w:r>
        <w:rPr>
          <w:rFonts w:hint="eastAsia" w:ascii="宋体" w:hAnsi="宋体" w:eastAsia="宋体" w:cs="宋体"/>
          <w:color w:val="000000" w:themeColor="text1"/>
          <w:sz w:val="24"/>
          <w:u w:val="single"/>
          <w14:textFill>
            <w14:solidFill>
              <w14:schemeClr w14:val="tx1"/>
            </w14:solidFill>
          </w14:textFill>
        </w:rPr>
        <w:t xml:space="preserve">                  </w:t>
      </w:r>
    </w:p>
    <w:p w14:paraId="02C342F7">
      <w:pPr>
        <w:widowControl/>
        <w:spacing w:line="336" w:lineRule="auto"/>
        <w:jc w:val="left"/>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日</w:t>
      </w:r>
    </w:p>
    <w:p w14:paraId="63235A22">
      <w:pPr>
        <w:keepNext w:val="0"/>
        <w:keepLines w:val="0"/>
        <w:pageBreakBefore w:val="0"/>
        <w:widowControl/>
        <w:suppressLineNumbers w:val="0"/>
        <w:spacing w:line="360" w:lineRule="auto"/>
        <w:ind w:firstLine="480"/>
        <w:jc w:val="left"/>
        <w:rPr>
          <w:color w:val="000000" w:themeColor="text1"/>
          <w:highlight w:val="none"/>
          <w14:textFill>
            <w14:solidFill>
              <w14:schemeClr w14:val="tx1"/>
            </w14:solidFill>
          </w14:textFill>
        </w:rPr>
      </w:pPr>
    </w:p>
    <w:p w14:paraId="74D67F39">
      <w:pPr>
        <w:keepNext w:val="0"/>
        <w:keepLines w:val="0"/>
        <w:pageBreakBefore w:val="0"/>
        <w:spacing w:line="360" w:lineRule="auto"/>
        <w:ind w:firstLine="0"/>
        <w:rPr>
          <w:bCs/>
          <w:color w:val="000000" w:themeColor="text1"/>
          <w:highlight w:val="none"/>
          <w14:textFill>
            <w14:solidFill>
              <w14:schemeClr w14:val="tx1"/>
            </w14:solidFill>
          </w14:textFill>
        </w:rPr>
      </w:pPr>
    </w:p>
    <w:p w14:paraId="01CA7337">
      <w:pPr>
        <w:ind w:firstLine="0"/>
        <w:rPr>
          <w:bCs/>
          <w:color w:val="000000" w:themeColor="text1"/>
          <w:highlight w:val="none"/>
          <w14:textFill>
            <w14:solidFill>
              <w14:schemeClr w14:val="tx1"/>
            </w14:solidFill>
          </w14:textFill>
        </w:rPr>
      </w:pPr>
    </w:p>
    <w:p w14:paraId="46FDC5DA">
      <w:pPr>
        <w:spacing w:line="400" w:lineRule="exact"/>
        <w:jc w:val="center"/>
        <w:rPr>
          <w:rFonts w:hint="eastAsia" w:ascii="宋体" w:hAnsi="宋体" w:cs="宋体"/>
          <w:b/>
          <w:bCs/>
          <w:color w:val="000000" w:themeColor="text1"/>
          <w:sz w:val="30"/>
          <w:szCs w:val="30"/>
          <w:highlight w:val="none"/>
          <w:lang w:val="en-US" w:eastAsia="zh-CN"/>
          <w14:textFill>
            <w14:solidFill>
              <w14:schemeClr w14:val="tx1"/>
            </w14:solidFill>
          </w14:textFill>
        </w:rPr>
      </w:pPr>
      <w:bookmarkStart w:id="207" w:name="_Toc27900"/>
      <w:bookmarkStart w:id="208" w:name="_Toc20606"/>
    </w:p>
    <w:p w14:paraId="7F71FC2A">
      <w:pPr>
        <w:spacing w:line="400" w:lineRule="exact"/>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五</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w:t>
      </w:r>
      <w:bookmarkEnd w:id="207"/>
      <w:bookmarkEnd w:id="208"/>
      <w:r>
        <w:rPr>
          <w:rFonts w:hint="eastAsia" w:ascii="宋体" w:hAnsi="宋体" w:eastAsia="宋体" w:cs="宋体"/>
          <w:b/>
          <w:bCs/>
          <w:color w:val="000000" w:themeColor="text1"/>
          <w:sz w:val="30"/>
          <w:szCs w:val="30"/>
          <w:highlight w:val="none"/>
          <w:lang w:eastAsia="zh-CN"/>
          <w14:textFill>
            <w14:solidFill>
              <w14:schemeClr w14:val="tx1"/>
            </w14:solidFill>
          </w14:textFill>
        </w:rPr>
        <w:t>施工组织设计</w:t>
      </w:r>
    </w:p>
    <w:p w14:paraId="22ADCDB3">
      <w:pPr>
        <w:pStyle w:val="227"/>
        <w:spacing w:line="360" w:lineRule="auto"/>
        <w:jc w:val="center"/>
        <w:rPr>
          <w:rFonts w:hint="eastAsia" w:ascii="宋体" w:hAnsi="宋体" w:eastAsia="宋体" w:cs="宋体"/>
          <w:color w:val="000000" w:themeColor="text1"/>
          <w:szCs w:val="24"/>
          <w:highlight w:val="none"/>
          <w14:textFill>
            <w14:solidFill>
              <w14:schemeClr w14:val="tx1"/>
            </w14:solidFill>
          </w14:textFill>
        </w:rPr>
      </w:pPr>
    </w:p>
    <w:p w14:paraId="6894C3F0">
      <w:pPr>
        <w:pStyle w:val="227"/>
        <w:spacing w:line="360" w:lineRule="auto"/>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53515E4E">
      <w:pPr>
        <w:pStyle w:val="227"/>
        <w:spacing w:line="360" w:lineRule="auto"/>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（格式自定）</w:t>
      </w:r>
    </w:p>
    <w:p w14:paraId="7EB59B98">
      <w:pPr>
        <w:pStyle w:val="227"/>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项目名称</w:t>
      </w:r>
      <w:r>
        <w:rPr>
          <w:rFonts w:hint="eastAsia" w:ascii="宋体" w:hAnsi="宋体" w:eastAsia="宋体" w:cs="宋体"/>
          <w:color w:val="000000" w:themeColor="text1"/>
          <w:szCs w:val="24"/>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项目名称</w:t>
      </w:r>
      <w:r>
        <w:rPr>
          <w:rFonts w:hint="eastAsia" w:ascii="宋体" w:hAnsi="宋体" w:eastAsia="宋体" w:cs="宋体"/>
          <w:color w:val="000000" w:themeColor="text1"/>
          <w:highlight w:val="none"/>
          <w14:textFill>
            <w14:solidFill>
              <w14:schemeClr w14:val="tx1"/>
            </w14:solidFill>
          </w14:textFill>
        </w:rPr>
        <w:t>】</w:t>
      </w:r>
    </w:p>
    <w:p w14:paraId="6543D368">
      <w:pPr>
        <w:rPr>
          <w:rFonts w:hint="eastAsia"/>
          <w:color w:val="000000" w:themeColor="text1"/>
          <w:highlight w:val="none"/>
          <w14:textFill>
            <w14:solidFill>
              <w14:schemeClr w14:val="tx1"/>
            </w14:solidFill>
          </w14:textFill>
        </w:rPr>
      </w:pPr>
    </w:p>
    <w:p w14:paraId="141BA142">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项目编号</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eastAsia="zh-CN"/>
          <w14:textFill>
            <w14:solidFill>
              <w14:schemeClr w14:val="tx1"/>
            </w14:solidFill>
          </w14:textFill>
        </w:rPr>
        <w:t>项目编号</w:t>
      </w:r>
      <w:r>
        <w:rPr>
          <w:rFonts w:hint="eastAsia" w:ascii="宋体" w:hAnsi="宋体" w:eastAsia="宋体" w:cs="宋体"/>
          <w:color w:val="000000" w:themeColor="text1"/>
          <w:sz w:val="24"/>
          <w:highlight w:val="none"/>
          <w14:textFill>
            <w14:solidFill>
              <w14:schemeClr w14:val="tx1"/>
            </w14:solidFill>
          </w14:textFill>
        </w:rPr>
        <w:t>】</w:t>
      </w:r>
    </w:p>
    <w:p w14:paraId="7B90FD10">
      <w:pPr>
        <w:spacing w:line="360" w:lineRule="auto"/>
        <w:rPr>
          <w:rFonts w:hint="eastAsia" w:ascii="宋体" w:hAnsi="宋体" w:eastAsia="宋体" w:cs="宋体"/>
          <w:color w:val="000000" w:themeColor="text1"/>
          <w:sz w:val="24"/>
          <w:highlight w:val="none"/>
          <w14:textFill>
            <w14:solidFill>
              <w14:schemeClr w14:val="tx1"/>
            </w14:solidFill>
          </w14:textFill>
        </w:rPr>
      </w:pPr>
    </w:p>
    <w:p w14:paraId="166C3440">
      <w:pPr>
        <w:pStyle w:val="16"/>
        <w:rPr>
          <w:rFonts w:hint="eastAsia" w:ascii="宋体" w:hAnsi="宋体" w:eastAsia="宋体" w:cs="宋体"/>
          <w:color w:val="000000" w:themeColor="text1"/>
          <w:sz w:val="24"/>
          <w:highlight w:val="none"/>
          <w14:textFill>
            <w14:solidFill>
              <w14:schemeClr w14:val="tx1"/>
            </w14:solidFill>
          </w14:textFill>
        </w:rPr>
      </w:pPr>
    </w:p>
    <w:p w14:paraId="26304067">
      <w:pPr>
        <w:pStyle w:val="16"/>
        <w:rPr>
          <w:rFonts w:hint="eastAsia" w:ascii="宋体" w:hAnsi="宋体" w:eastAsia="宋体" w:cs="宋体"/>
          <w:color w:val="000000" w:themeColor="text1"/>
          <w:sz w:val="24"/>
          <w:highlight w:val="none"/>
          <w14:textFill>
            <w14:solidFill>
              <w14:schemeClr w14:val="tx1"/>
            </w14:solidFill>
          </w14:textFill>
        </w:rPr>
      </w:pPr>
    </w:p>
    <w:p w14:paraId="7420F262">
      <w:pPr>
        <w:pStyle w:val="16"/>
        <w:rPr>
          <w:rFonts w:hint="eastAsia" w:ascii="宋体" w:hAnsi="宋体" w:eastAsia="宋体" w:cs="宋体"/>
          <w:color w:val="000000" w:themeColor="text1"/>
          <w:sz w:val="24"/>
          <w:highlight w:val="none"/>
          <w14:textFill>
            <w14:solidFill>
              <w14:schemeClr w14:val="tx1"/>
            </w14:solidFill>
          </w14:textFill>
        </w:rPr>
      </w:pPr>
    </w:p>
    <w:p w14:paraId="76BF9A51">
      <w:pPr>
        <w:pStyle w:val="16"/>
        <w:rPr>
          <w:rFonts w:hint="eastAsia" w:ascii="宋体" w:hAnsi="宋体" w:eastAsia="宋体" w:cs="宋体"/>
          <w:color w:val="000000" w:themeColor="text1"/>
          <w:sz w:val="24"/>
          <w:highlight w:val="none"/>
          <w14:textFill>
            <w14:solidFill>
              <w14:schemeClr w14:val="tx1"/>
            </w14:solidFill>
          </w14:textFill>
        </w:rPr>
      </w:pPr>
    </w:p>
    <w:p w14:paraId="66B456B7">
      <w:pPr>
        <w:pStyle w:val="16"/>
        <w:rPr>
          <w:rFonts w:hint="eastAsia" w:ascii="宋体" w:hAnsi="宋体" w:eastAsia="宋体" w:cs="宋体"/>
          <w:color w:val="000000" w:themeColor="text1"/>
          <w:sz w:val="24"/>
          <w:highlight w:val="none"/>
          <w14:textFill>
            <w14:solidFill>
              <w14:schemeClr w14:val="tx1"/>
            </w14:solidFill>
          </w14:textFill>
        </w:rPr>
      </w:pPr>
    </w:p>
    <w:p w14:paraId="16B7596F">
      <w:pPr>
        <w:pStyle w:val="16"/>
        <w:rPr>
          <w:rFonts w:hint="eastAsia" w:ascii="宋体" w:hAnsi="宋体" w:eastAsia="宋体" w:cs="宋体"/>
          <w:color w:val="000000" w:themeColor="text1"/>
          <w:sz w:val="24"/>
          <w:highlight w:val="none"/>
          <w14:textFill>
            <w14:solidFill>
              <w14:schemeClr w14:val="tx1"/>
            </w14:solidFill>
          </w14:textFill>
        </w:rPr>
      </w:pPr>
    </w:p>
    <w:p w14:paraId="6801B2F0">
      <w:pPr>
        <w:pStyle w:val="16"/>
        <w:rPr>
          <w:rFonts w:hint="eastAsia" w:ascii="宋体" w:hAnsi="宋体" w:eastAsia="宋体" w:cs="宋体"/>
          <w:color w:val="000000" w:themeColor="text1"/>
          <w:sz w:val="24"/>
          <w:highlight w:val="none"/>
          <w14:textFill>
            <w14:solidFill>
              <w14:schemeClr w14:val="tx1"/>
            </w14:solidFill>
          </w14:textFill>
        </w:rPr>
      </w:pPr>
    </w:p>
    <w:p w14:paraId="41FD9AF6">
      <w:pPr>
        <w:pStyle w:val="16"/>
        <w:rPr>
          <w:rFonts w:hint="eastAsia" w:ascii="宋体" w:hAnsi="宋体" w:eastAsia="宋体" w:cs="宋体"/>
          <w:color w:val="000000" w:themeColor="text1"/>
          <w:sz w:val="24"/>
          <w:highlight w:val="none"/>
          <w14:textFill>
            <w14:solidFill>
              <w14:schemeClr w14:val="tx1"/>
            </w14:solidFill>
          </w14:textFill>
        </w:rPr>
      </w:pPr>
    </w:p>
    <w:p w14:paraId="6DE062EF">
      <w:pPr>
        <w:pStyle w:val="16"/>
        <w:rPr>
          <w:rFonts w:hint="eastAsia" w:ascii="宋体" w:hAnsi="宋体" w:eastAsia="宋体" w:cs="宋体"/>
          <w:color w:val="000000" w:themeColor="text1"/>
          <w:sz w:val="24"/>
          <w:highlight w:val="none"/>
          <w14:textFill>
            <w14:solidFill>
              <w14:schemeClr w14:val="tx1"/>
            </w14:solidFill>
          </w14:textFill>
        </w:rPr>
      </w:pPr>
    </w:p>
    <w:p w14:paraId="1C89238C">
      <w:pPr>
        <w:pStyle w:val="16"/>
        <w:rPr>
          <w:rFonts w:hint="eastAsia" w:ascii="宋体" w:hAnsi="宋体" w:eastAsia="宋体" w:cs="宋体"/>
          <w:color w:val="000000" w:themeColor="text1"/>
          <w:sz w:val="24"/>
          <w:highlight w:val="none"/>
          <w14:textFill>
            <w14:solidFill>
              <w14:schemeClr w14:val="tx1"/>
            </w14:solidFill>
          </w14:textFill>
        </w:rPr>
      </w:pPr>
    </w:p>
    <w:p w14:paraId="01F73547">
      <w:pPr>
        <w:pStyle w:val="16"/>
        <w:rPr>
          <w:rFonts w:hint="eastAsia" w:ascii="宋体" w:hAnsi="宋体" w:eastAsia="宋体" w:cs="宋体"/>
          <w:color w:val="000000" w:themeColor="text1"/>
          <w:sz w:val="24"/>
          <w:highlight w:val="none"/>
          <w14:textFill>
            <w14:solidFill>
              <w14:schemeClr w14:val="tx1"/>
            </w14:solidFill>
          </w14:textFill>
        </w:rPr>
      </w:pPr>
    </w:p>
    <w:p w14:paraId="4410D3AE">
      <w:pPr>
        <w:pStyle w:val="16"/>
        <w:rPr>
          <w:rFonts w:hint="eastAsia" w:ascii="宋体" w:hAnsi="宋体" w:eastAsia="宋体" w:cs="宋体"/>
          <w:color w:val="000000" w:themeColor="text1"/>
          <w:sz w:val="24"/>
          <w:highlight w:val="none"/>
          <w14:textFill>
            <w14:solidFill>
              <w14:schemeClr w14:val="tx1"/>
            </w14:solidFill>
          </w14:textFill>
        </w:rPr>
      </w:pPr>
    </w:p>
    <w:p w14:paraId="7043663A">
      <w:pPr>
        <w:pStyle w:val="16"/>
        <w:rPr>
          <w:rFonts w:hint="eastAsia" w:ascii="宋体" w:hAnsi="宋体" w:eastAsia="宋体" w:cs="宋体"/>
          <w:color w:val="000000" w:themeColor="text1"/>
          <w:sz w:val="24"/>
          <w:highlight w:val="none"/>
          <w14:textFill>
            <w14:solidFill>
              <w14:schemeClr w14:val="tx1"/>
            </w14:solidFill>
          </w14:textFill>
        </w:rPr>
      </w:pPr>
    </w:p>
    <w:p w14:paraId="3914E748">
      <w:pPr>
        <w:pStyle w:val="16"/>
        <w:rPr>
          <w:rFonts w:hint="eastAsia" w:ascii="宋体" w:hAnsi="宋体" w:eastAsia="宋体" w:cs="宋体"/>
          <w:color w:val="000000" w:themeColor="text1"/>
          <w:sz w:val="24"/>
          <w:highlight w:val="none"/>
          <w14:textFill>
            <w14:solidFill>
              <w14:schemeClr w14:val="tx1"/>
            </w14:solidFill>
          </w14:textFill>
        </w:rPr>
      </w:pPr>
    </w:p>
    <w:p w14:paraId="2847BDB6">
      <w:pPr>
        <w:pStyle w:val="16"/>
        <w:rPr>
          <w:rFonts w:hint="eastAsia" w:ascii="宋体" w:hAnsi="宋体" w:eastAsia="宋体" w:cs="宋体"/>
          <w:color w:val="000000" w:themeColor="text1"/>
          <w:sz w:val="24"/>
          <w:highlight w:val="none"/>
          <w14:textFill>
            <w14:solidFill>
              <w14:schemeClr w14:val="tx1"/>
            </w14:solidFill>
          </w14:textFill>
        </w:rPr>
      </w:pPr>
    </w:p>
    <w:p w14:paraId="7C373E62">
      <w:pPr>
        <w:pStyle w:val="16"/>
        <w:rPr>
          <w:rFonts w:hint="eastAsia" w:ascii="宋体" w:hAnsi="宋体" w:eastAsia="宋体" w:cs="宋体"/>
          <w:color w:val="000000" w:themeColor="text1"/>
          <w:sz w:val="24"/>
          <w:highlight w:val="none"/>
          <w14:textFill>
            <w14:solidFill>
              <w14:schemeClr w14:val="tx1"/>
            </w14:solidFill>
          </w14:textFill>
        </w:rPr>
      </w:pPr>
    </w:p>
    <w:p w14:paraId="6BEC6138">
      <w:pPr>
        <w:pStyle w:val="16"/>
        <w:rPr>
          <w:rFonts w:hint="eastAsia" w:ascii="宋体" w:hAnsi="宋体" w:eastAsia="宋体" w:cs="宋体"/>
          <w:color w:val="000000" w:themeColor="text1"/>
          <w:sz w:val="24"/>
          <w:highlight w:val="none"/>
          <w14:textFill>
            <w14:solidFill>
              <w14:schemeClr w14:val="tx1"/>
            </w14:solidFill>
          </w14:textFill>
        </w:rPr>
      </w:pPr>
    </w:p>
    <w:p w14:paraId="3463C03A">
      <w:pPr>
        <w:pStyle w:val="16"/>
        <w:rPr>
          <w:rFonts w:hint="eastAsia" w:ascii="宋体" w:hAnsi="宋体" w:eastAsia="宋体" w:cs="宋体"/>
          <w:color w:val="000000" w:themeColor="text1"/>
          <w:sz w:val="24"/>
          <w:highlight w:val="none"/>
          <w14:textFill>
            <w14:solidFill>
              <w14:schemeClr w14:val="tx1"/>
            </w14:solidFill>
          </w14:textFill>
        </w:rPr>
      </w:pPr>
    </w:p>
    <w:p w14:paraId="4F4D5337">
      <w:pPr>
        <w:shd w:val="clear" w:color="auto" w:fill="auto"/>
        <w:outlineLvl w:val="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p>
    <w:p w14:paraId="0A6EA2C2">
      <w:pPr>
        <w:numPr>
          <w:ilvl w:val="0"/>
          <w:numId w:val="0"/>
        </w:numPr>
        <w:spacing w:line="520" w:lineRule="exact"/>
        <w:jc w:val="both"/>
        <w:outlineLvl w:val="0"/>
        <w:rPr>
          <w:rFonts w:hint="eastAsia" w:ascii="宋体" w:hAnsi="宋体" w:cs="宋体"/>
          <w:b/>
          <w:bCs/>
          <w:color w:val="000000" w:themeColor="text1"/>
          <w:sz w:val="30"/>
          <w:szCs w:val="30"/>
          <w:highlight w:val="none"/>
          <w:lang w:val="en-US" w:eastAsia="zh-CN"/>
          <w14:textFill>
            <w14:solidFill>
              <w14:schemeClr w14:val="tx1"/>
            </w14:solidFill>
          </w14:textFill>
        </w:rPr>
      </w:pPr>
      <w:bookmarkStart w:id="209" w:name="_Toc32188"/>
      <w:bookmarkStart w:id="210" w:name="_Toc25497"/>
      <w:bookmarkStart w:id="211" w:name="_Toc18727"/>
      <w:bookmarkStart w:id="212" w:name="_Toc25888"/>
      <w:r>
        <w:rPr>
          <w:rFonts w:hint="eastAsia" w:ascii="宋体" w:hAnsi="宋体" w:cs="宋体"/>
          <w:b/>
          <w:bCs/>
          <w:color w:val="000000" w:themeColor="text1"/>
          <w:sz w:val="30"/>
          <w:szCs w:val="30"/>
          <w:highlight w:val="none"/>
          <w:lang w:val="en-US" w:eastAsia="zh-CN"/>
          <w14:textFill>
            <w14:solidFill>
              <w14:schemeClr w14:val="tx1"/>
            </w14:solidFill>
          </w14:textFill>
        </w:rPr>
        <w:t>六、</w:t>
      </w:r>
      <w:r>
        <w:rPr>
          <w:rFonts w:hint="eastAsia" w:ascii="宋体" w:hAnsi="宋体" w:cs="宋体"/>
          <w:b/>
          <w:bCs/>
          <w:color w:val="000000" w:themeColor="text1"/>
          <w:sz w:val="30"/>
          <w:szCs w:val="30"/>
          <w:highlight w:val="none"/>
          <w14:textFill>
            <w14:solidFill>
              <w14:schemeClr w14:val="tx1"/>
            </w14:solidFill>
          </w14:textFill>
        </w:rPr>
        <w:t>商务、技术条款偏离表</w:t>
      </w:r>
    </w:p>
    <w:p w14:paraId="22A9016D">
      <w:pPr>
        <w:spacing w:before="50" w:after="50" w:line="560" w:lineRule="exact"/>
        <w:jc w:val="center"/>
        <w:rPr>
          <w:rFonts w:ascii="Times New Roman" w:hAnsi="Times New Roman" w:eastAsia="宋体" w:cs="Times New Roman"/>
          <w:b/>
          <w:bCs/>
          <w:color w:val="000000" w:themeColor="text1"/>
          <w:sz w:val="32"/>
          <w:szCs w:val="32"/>
          <w14:textFill>
            <w14:solidFill>
              <w14:schemeClr w14:val="tx1"/>
            </w14:solidFill>
          </w14:textFill>
        </w:rPr>
      </w:pPr>
      <w:bookmarkStart w:id="213" w:name="OLE_LINK114"/>
      <w:r>
        <w:rPr>
          <w:rFonts w:hint="eastAsia" w:ascii="Times New Roman" w:hAnsi="Times New Roman" w:eastAsia="宋体" w:cs="Times New Roman"/>
          <w:b/>
          <w:bCs/>
          <w:color w:val="000000" w:themeColor="text1"/>
          <w:sz w:val="30"/>
          <w:szCs w:val="30"/>
          <w14:textFill>
            <w14:solidFill>
              <w14:schemeClr w14:val="tx1"/>
            </w14:solidFill>
          </w14:textFill>
        </w:rPr>
        <w:t>商务、技术条款偏离表</w:t>
      </w:r>
      <w:bookmarkEnd w:id="213"/>
    </w:p>
    <w:p w14:paraId="0D134D50">
      <w:pPr>
        <w:spacing w:before="50" w:after="50" w:line="560" w:lineRule="exact"/>
        <w:jc w:val="center"/>
        <w:rPr>
          <w:rFonts w:ascii="Times New Roman" w:hAnsi="Times New Roman" w:eastAsia="宋体" w:cs="Times New Roman"/>
          <w:b/>
          <w:bCs/>
          <w:color w:val="000000" w:themeColor="text1"/>
          <w:sz w:val="32"/>
          <w:szCs w:val="32"/>
          <w14:textFill>
            <w14:solidFill>
              <w14:schemeClr w14:val="tx1"/>
            </w14:solidFill>
          </w14:textFill>
        </w:rPr>
      </w:pPr>
    </w:p>
    <w:p w14:paraId="207A131F">
      <w:pPr>
        <w:spacing w:line="360" w:lineRule="auto"/>
        <w:jc w:val="center"/>
        <w:rPr>
          <w:rFonts w:ascii="宋体" w:hAnsi="宋体" w:eastAsia="宋体" w:cs="Times New Roman"/>
          <w:b/>
          <w:bCs/>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请逐条对应采购文件中的商务、技术条件，填写该表。</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7"/>
        <w:gridCol w:w="2774"/>
        <w:gridCol w:w="2927"/>
        <w:gridCol w:w="2444"/>
      </w:tblGrid>
      <w:tr w14:paraId="5F620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ign w:val="center"/>
          </w:tcPr>
          <w:p w14:paraId="20A964A5">
            <w:pPr>
              <w:spacing w:line="360" w:lineRule="auto"/>
              <w:jc w:val="center"/>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项号</w:t>
            </w:r>
          </w:p>
        </w:tc>
        <w:tc>
          <w:tcPr>
            <w:tcW w:w="2774" w:type="dxa"/>
            <w:noWrap/>
            <w:vAlign w:val="center"/>
          </w:tcPr>
          <w:p w14:paraId="5B71EA36">
            <w:pPr>
              <w:spacing w:line="360" w:lineRule="auto"/>
              <w:jc w:val="center"/>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采购文件的商务、技术条款</w:t>
            </w:r>
          </w:p>
        </w:tc>
        <w:tc>
          <w:tcPr>
            <w:tcW w:w="2927" w:type="dxa"/>
            <w:noWrap/>
            <w:vAlign w:val="center"/>
          </w:tcPr>
          <w:p w14:paraId="7DF767B9">
            <w:pPr>
              <w:spacing w:line="360" w:lineRule="auto"/>
              <w:jc w:val="center"/>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响应文件的商务、技术条款</w:t>
            </w:r>
          </w:p>
        </w:tc>
        <w:tc>
          <w:tcPr>
            <w:tcW w:w="2444" w:type="dxa"/>
            <w:noWrap/>
            <w:vAlign w:val="center"/>
          </w:tcPr>
          <w:p w14:paraId="0DCE0656">
            <w:pPr>
              <w:spacing w:line="360" w:lineRule="auto"/>
              <w:jc w:val="center"/>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偏离说明</w:t>
            </w:r>
          </w:p>
        </w:tc>
      </w:tr>
      <w:tr w14:paraId="05E89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2C8A5811">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774" w:type="dxa"/>
            <w:noWrap/>
          </w:tcPr>
          <w:p w14:paraId="3CE618D4">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927" w:type="dxa"/>
            <w:noWrap/>
          </w:tcPr>
          <w:p w14:paraId="1A868129">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444" w:type="dxa"/>
            <w:noWrap/>
          </w:tcPr>
          <w:p w14:paraId="772AA875">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r>
      <w:tr w14:paraId="06788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2B4FC406">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774" w:type="dxa"/>
            <w:noWrap/>
          </w:tcPr>
          <w:p w14:paraId="04918F2D">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927" w:type="dxa"/>
            <w:noWrap/>
          </w:tcPr>
          <w:p w14:paraId="32E8997E">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444" w:type="dxa"/>
            <w:noWrap/>
          </w:tcPr>
          <w:p w14:paraId="623CAE0B">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r>
      <w:tr w14:paraId="2DE37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67D43822">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774" w:type="dxa"/>
            <w:noWrap/>
          </w:tcPr>
          <w:p w14:paraId="6109ABD9">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927" w:type="dxa"/>
            <w:noWrap/>
          </w:tcPr>
          <w:p w14:paraId="794888B2">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444" w:type="dxa"/>
            <w:noWrap/>
          </w:tcPr>
          <w:p w14:paraId="429CD511">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r>
      <w:tr w14:paraId="4629C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0B5BE080">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774" w:type="dxa"/>
            <w:noWrap/>
          </w:tcPr>
          <w:p w14:paraId="60A44934">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927" w:type="dxa"/>
            <w:noWrap/>
          </w:tcPr>
          <w:p w14:paraId="58332567">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444" w:type="dxa"/>
            <w:noWrap/>
          </w:tcPr>
          <w:p w14:paraId="3A714929">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r>
      <w:tr w14:paraId="776F1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065F9C2B">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774" w:type="dxa"/>
            <w:noWrap/>
          </w:tcPr>
          <w:p w14:paraId="294DE4FA">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927" w:type="dxa"/>
            <w:noWrap/>
          </w:tcPr>
          <w:p w14:paraId="4EB6CBFA">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444" w:type="dxa"/>
            <w:noWrap/>
          </w:tcPr>
          <w:p w14:paraId="6A3742F5">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r>
      <w:tr w14:paraId="7E402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1CADFEEE">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774" w:type="dxa"/>
            <w:noWrap/>
          </w:tcPr>
          <w:p w14:paraId="3EACCE46">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927" w:type="dxa"/>
            <w:noWrap/>
          </w:tcPr>
          <w:p w14:paraId="678C0860">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444" w:type="dxa"/>
            <w:noWrap/>
          </w:tcPr>
          <w:p w14:paraId="2B3286EC">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r>
      <w:tr w14:paraId="47E38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185752E3">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774" w:type="dxa"/>
            <w:noWrap/>
          </w:tcPr>
          <w:p w14:paraId="18E122FC">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927" w:type="dxa"/>
            <w:noWrap/>
          </w:tcPr>
          <w:p w14:paraId="6D248231">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444" w:type="dxa"/>
            <w:noWrap/>
          </w:tcPr>
          <w:p w14:paraId="0E1F3F67">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r>
      <w:tr w14:paraId="14D7F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7336C9EB">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774" w:type="dxa"/>
            <w:noWrap/>
          </w:tcPr>
          <w:p w14:paraId="174DA448">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927" w:type="dxa"/>
            <w:noWrap/>
          </w:tcPr>
          <w:p w14:paraId="650FFD26">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444" w:type="dxa"/>
            <w:noWrap/>
          </w:tcPr>
          <w:p w14:paraId="2D53CE95">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r>
      <w:tr w14:paraId="417C4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32211197">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774" w:type="dxa"/>
            <w:noWrap/>
          </w:tcPr>
          <w:p w14:paraId="437577CA">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927" w:type="dxa"/>
            <w:noWrap/>
          </w:tcPr>
          <w:p w14:paraId="2D47319E">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444" w:type="dxa"/>
            <w:noWrap/>
          </w:tcPr>
          <w:p w14:paraId="5D50AE3F">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r>
      <w:tr w14:paraId="6AEBC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tcPr>
          <w:p w14:paraId="15ECD8DB">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774" w:type="dxa"/>
            <w:noWrap/>
          </w:tcPr>
          <w:p w14:paraId="150E64FF">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927" w:type="dxa"/>
            <w:noWrap/>
          </w:tcPr>
          <w:p w14:paraId="39FACCDE">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c>
          <w:tcPr>
            <w:tcW w:w="2444" w:type="dxa"/>
            <w:noWrap/>
          </w:tcPr>
          <w:p w14:paraId="2E4EE75D">
            <w:pPr>
              <w:spacing w:line="360" w:lineRule="auto"/>
              <w:ind w:firstLine="480"/>
              <w:jc w:val="center"/>
              <w:rPr>
                <w:rFonts w:ascii="宋体" w:hAnsi="宋体" w:eastAsia="宋体" w:cs="Times New Roman"/>
                <w:color w:val="000000" w:themeColor="text1"/>
                <w:sz w:val="24"/>
                <w14:textFill>
                  <w14:solidFill>
                    <w14:schemeClr w14:val="tx1"/>
                  </w14:solidFill>
                </w14:textFill>
              </w:rPr>
            </w:pPr>
          </w:p>
        </w:tc>
      </w:tr>
    </w:tbl>
    <w:p w14:paraId="52A83EB4">
      <w:pPr>
        <w:spacing w:line="400" w:lineRule="exact"/>
        <w:ind w:firstLine="480"/>
        <w:rPr>
          <w:rFonts w:ascii="宋体" w:hAnsi="宋体" w:eastAsia="宋体" w:cs="Times New Roman"/>
          <w:color w:val="000000" w:themeColor="text1"/>
          <w:szCs w:val="20"/>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注：“偏离说明”填写“正偏离”“负偏离”或“无偏离”。</w:t>
      </w:r>
    </w:p>
    <w:p w14:paraId="32EE4587">
      <w:pPr>
        <w:spacing w:line="360" w:lineRule="auto"/>
        <w:ind w:firstLine="480"/>
        <w:rPr>
          <w:rFonts w:ascii="宋体" w:hAnsi="宋体" w:eastAsia="宋体" w:cs="Times New Roman"/>
          <w:color w:val="000000" w:themeColor="text1"/>
          <w:sz w:val="24"/>
          <w14:textFill>
            <w14:solidFill>
              <w14:schemeClr w14:val="tx1"/>
            </w14:solidFill>
          </w14:textFill>
        </w:rPr>
      </w:pPr>
    </w:p>
    <w:p w14:paraId="74B04B37">
      <w:pPr>
        <w:spacing w:line="276" w:lineRule="auto"/>
        <w:ind w:firstLine="480"/>
        <w:rPr>
          <w:rFonts w:ascii="宋体" w:hAnsi="宋体" w:eastAsia="宋体" w:cs="Times New Roman"/>
          <w:color w:val="000000" w:themeColor="text1"/>
          <w:sz w:val="24"/>
          <w:szCs w:val="2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供应商全称：</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（加盖CA电子公章）</w:t>
      </w:r>
    </w:p>
    <w:p w14:paraId="798D2A5E">
      <w:pPr>
        <w:spacing w:line="276" w:lineRule="auto"/>
        <w:ind w:firstLine="480"/>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法定代表人或委托代理人：</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（签字或盖章）</w:t>
      </w:r>
    </w:p>
    <w:p w14:paraId="36A9E240">
      <w:pPr>
        <w:spacing w:line="276" w:lineRule="auto"/>
        <w:ind w:firstLine="480"/>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日</w:t>
      </w:r>
    </w:p>
    <w:p w14:paraId="663B66C8">
      <w:pPr>
        <w:numPr>
          <w:ilvl w:val="0"/>
          <w:numId w:val="0"/>
        </w:numPr>
        <w:spacing w:line="520" w:lineRule="exact"/>
        <w:jc w:val="both"/>
        <w:outlineLvl w:val="0"/>
        <w:rPr>
          <w:rFonts w:hint="eastAsia" w:ascii="宋体" w:hAnsi="宋体" w:cs="宋体"/>
          <w:b/>
          <w:bCs/>
          <w:color w:val="000000" w:themeColor="text1"/>
          <w:sz w:val="28"/>
          <w:szCs w:val="28"/>
          <w:highlight w:val="none"/>
          <w:lang w:val="en-US" w:eastAsia="zh-CN"/>
          <w14:textFill>
            <w14:solidFill>
              <w14:schemeClr w14:val="tx1"/>
            </w14:solidFill>
          </w14:textFill>
        </w:rPr>
      </w:pPr>
    </w:p>
    <w:p w14:paraId="376747AE">
      <w:pPr>
        <w:rPr>
          <w:rFonts w:hint="eastAsia"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br w:type="page" w:clear="all"/>
      </w:r>
    </w:p>
    <w:p w14:paraId="5F6B6B97">
      <w:pPr>
        <w:numPr>
          <w:ilvl w:val="0"/>
          <w:numId w:val="0"/>
        </w:numPr>
        <w:spacing w:line="520" w:lineRule="exact"/>
        <w:jc w:val="both"/>
        <w:outlineLvl w:val="0"/>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七、</w:t>
      </w:r>
      <w:r>
        <w:rPr>
          <w:rFonts w:hint="eastAsia" w:ascii="宋体" w:hAnsi="宋体" w:cs="宋体"/>
          <w:b/>
          <w:bCs/>
          <w:color w:val="000000" w:themeColor="text1"/>
          <w:sz w:val="30"/>
          <w:szCs w:val="30"/>
          <w:highlight w:val="none"/>
          <w14:textFill>
            <w14:solidFill>
              <w14:schemeClr w14:val="tx1"/>
            </w14:solidFill>
          </w14:textFill>
        </w:rPr>
        <w:t>项目团队人员一览表</w:t>
      </w:r>
    </w:p>
    <w:p w14:paraId="0DD73DD4">
      <w:pPr>
        <w:pStyle w:val="2"/>
        <w:numPr>
          <w:ilvl w:val="0"/>
          <w:numId w:val="0"/>
        </w:numPr>
        <w:jc w:val="center"/>
        <w:rPr>
          <w:color w:val="000000" w:themeColor="text1"/>
          <w14:textFill>
            <w14:solidFill>
              <w14:schemeClr w14:val="tx1"/>
            </w14:solidFill>
          </w14:textFill>
        </w:rPr>
      </w:pPr>
      <w:r>
        <w:rPr>
          <w:rFonts w:hint="eastAsia" w:ascii="Times New Roman" w:hAnsi="Times New Roman" w:eastAsia="宋体" w:cs="Times New Roman"/>
          <w:b/>
          <w:bCs/>
          <w:color w:val="000000" w:themeColor="text1"/>
          <w:sz w:val="30"/>
          <w:szCs w:val="30"/>
          <w14:textFill>
            <w14:solidFill>
              <w14:schemeClr w14:val="tx1"/>
            </w14:solidFill>
          </w14:textFill>
        </w:rPr>
        <w:t>项目团队人员一览表</w:t>
      </w:r>
    </w:p>
    <w:tbl>
      <w:tblPr>
        <w:tblStyle w:val="37"/>
        <w:tblpPr w:leftFromText="180" w:rightFromText="180" w:vertAnchor="text" w:horzAnchor="margin" w:tblpXSpec="left"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0"/>
        <w:gridCol w:w="1905"/>
        <w:gridCol w:w="1127"/>
        <w:gridCol w:w="896"/>
        <w:gridCol w:w="2473"/>
        <w:gridCol w:w="1237"/>
      </w:tblGrid>
      <w:tr w14:paraId="2A2BC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1470" w:type="dxa"/>
            <w:noWrap/>
            <w:vAlign w:val="center"/>
          </w:tcPr>
          <w:p w14:paraId="62EF471C">
            <w:pPr>
              <w:spacing w:line="276" w:lineRule="auto"/>
              <w:jc w:val="center"/>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姓  名</w:t>
            </w:r>
          </w:p>
        </w:tc>
        <w:tc>
          <w:tcPr>
            <w:tcW w:w="1905" w:type="dxa"/>
            <w:noWrap/>
            <w:vAlign w:val="center"/>
          </w:tcPr>
          <w:p w14:paraId="7EFB8210">
            <w:pPr>
              <w:spacing w:line="276" w:lineRule="auto"/>
              <w:jc w:val="center"/>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本项目拟任</w:t>
            </w:r>
          </w:p>
          <w:p w14:paraId="7D22FE94">
            <w:pPr>
              <w:spacing w:line="276" w:lineRule="auto"/>
              <w:jc w:val="center"/>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职  务</w:t>
            </w:r>
          </w:p>
        </w:tc>
        <w:tc>
          <w:tcPr>
            <w:tcW w:w="1127" w:type="dxa"/>
            <w:noWrap/>
            <w:vAlign w:val="center"/>
          </w:tcPr>
          <w:p w14:paraId="50968815">
            <w:pPr>
              <w:spacing w:line="276" w:lineRule="auto"/>
              <w:jc w:val="center"/>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职称</w:t>
            </w:r>
          </w:p>
        </w:tc>
        <w:tc>
          <w:tcPr>
            <w:tcW w:w="896" w:type="dxa"/>
            <w:noWrap/>
            <w:vAlign w:val="center"/>
          </w:tcPr>
          <w:p w14:paraId="1D5272C5">
            <w:pPr>
              <w:spacing w:line="276" w:lineRule="auto"/>
              <w:jc w:val="center"/>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执业资格</w:t>
            </w:r>
          </w:p>
        </w:tc>
        <w:tc>
          <w:tcPr>
            <w:tcW w:w="2473" w:type="dxa"/>
            <w:noWrap/>
            <w:vAlign w:val="center"/>
          </w:tcPr>
          <w:p w14:paraId="5B1F2310">
            <w:pPr>
              <w:spacing w:line="276" w:lineRule="auto"/>
              <w:jc w:val="center"/>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类似工作经验</w:t>
            </w:r>
          </w:p>
        </w:tc>
        <w:tc>
          <w:tcPr>
            <w:tcW w:w="1237" w:type="dxa"/>
            <w:noWrap/>
            <w:vAlign w:val="center"/>
          </w:tcPr>
          <w:p w14:paraId="189BAD77">
            <w:pPr>
              <w:spacing w:line="276" w:lineRule="auto"/>
              <w:jc w:val="center"/>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备注</w:t>
            </w:r>
          </w:p>
        </w:tc>
      </w:tr>
      <w:tr w14:paraId="244B3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ign w:val="center"/>
          </w:tcPr>
          <w:p w14:paraId="447DE4C6">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905" w:type="dxa"/>
            <w:noWrap/>
            <w:vAlign w:val="center"/>
          </w:tcPr>
          <w:p w14:paraId="6634DEB4">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127" w:type="dxa"/>
            <w:noWrap/>
            <w:vAlign w:val="center"/>
          </w:tcPr>
          <w:p w14:paraId="0B9D8168">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896" w:type="dxa"/>
            <w:noWrap/>
            <w:vAlign w:val="center"/>
          </w:tcPr>
          <w:p w14:paraId="49354DCE">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2473" w:type="dxa"/>
            <w:noWrap/>
            <w:vAlign w:val="center"/>
          </w:tcPr>
          <w:p w14:paraId="4277B08A">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237" w:type="dxa"/>
            <w:noWrap/>
            <w:vAlign w:val="center"/>
          </w:tcPr>
          <w:p w14:paraId="278C6DB6">
            <w:pPr>
              <w:spacing w:line="276" w:lineRule="auto"/>
              <w:jc w:val="center"/>
              <w:rPr>
                <w:rFonts w:ascii="宋体" w:hAnsi="宋体" w:eastAsia="宋体" w:cs="Times New Roman"/>
                <w:color w:val="000000" w:themeColor="text1"/>
                <w:sz w:val="24"/>
                <w14:textFill>
                  <w14:solidFill>
                    <w14:schemeClr w14:val="tx1"/>
                  </w14:solidFill>
                </w14:textFill>
              </w:rPr>
            </w:pPr>
          </w:p>
        </w:tc>
      </w:tr>
      <w:tr w14:paraId="5E259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ign w:val="center"/>
          </w:tcPr>
          <w:p w14:paraId="4CA15C9B">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905" w:type="dxa"/>
            <w:noWrap/>
            <w:vAlign w:val="center"/>
          </w:tcPr>
          <w:p w14:paraId="019B4B21">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127" w:type="dxa"/>
            <w:noWrap/>
            <w:vAlign w:val="center"/>
          </w:tcPr>
          <w:p w14:paraId="62CBD382">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896" w:type="dxa"/>
            <w:noWrap/>
            <w:vAlign w:val="center"/>
          </w:tcPr>
          <w:p w14:paraId="42E9B0CF">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2473" w:type="dxa"/>
            <w:noWrap/>
            <w:vAlign w:val="center"/>
          </w:tcPr>
          <w:p w14:paraId="2785B1D2">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237" w:type="dxa"/>
            <w:noWrap/>
            <w:vAlign w:val="center"/>
          </w:tcPr>
          <w:p w14:paraId="0E9C9F68">
            <w:pPr>
              <w:spacing w:line="276" w:lineRule="auto"/>
              <w:jc w:val="center"/>
              <w:rPr>
                <w:rFonts w:ascii="宋体" w:hAnsi="宋体" w:eastAsia="宋体" w:cs="Times New Roman"/>
                <w:color w:val="000000" w:themeColor="text1"/>
                <w:sz w:val="24"/>
                <w14:textFill>
                  <w14:solidFill>
                    <w14:schemeClr w14:val="tx1"/>
                  </w14:solidFill>
                </w14:textFill>
              </w:rPr>
            </w:pPr>
          </w:p>
        </w:tc>
      </w:tr>
      <w:tr w14:paraId="515D4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ign w:val="center"/>
          </w:tcPr>
          <w:p w14:paraId="0324BCF9">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905" w:type="dxa"/>
            <w:noWrap/>
            <w:vAlign w:val="center"/>
          </w:tcPr>
          <w:p w14:paraId="7D6F11D7">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127" w:type="dxa"/>
            <w:noWrap/>
            <w:vAlign w:val="center"/>
          </w:tcPr>
          <w:p w14:paraId="326B2EF6">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896" w:type="dxa"/>
            <w:noWrap/>
            <w:vAlign w:val="center"/>
          </w:tcPr>
          <w:p w14:paraId="4EF0C0B4">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2473" w:type="dxa"/>
            <w:noWrap/>
            <w:vAlign w:val="center"/>
          </w:tcPr>
          <w:p w14:paraId="5B048D6C">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237" w:type="dxa"/>
            <w:noWrap/>
            <w:vAlign w:val="center"/>
          </w:tcPr>
          <w:p w14:paraId="61037CD4">
            <w:pPr>
              <w:spacing w:line="276" w:lineRule="auto"/>
              <w:jc w:val="center"/>
              <w:rPr>
                <w:rFonts w:ascii="宋体" w:hAnsi="宋体" w:eastAsia="宋体" w:cs="Times New Roman"/>
                <w:color w:val="000000" w:themeColor="text1"/>
                <w:sz w:val="24"/>
                <w14:textFill>
                  <w14:solidFill>
                    <w14:schemeClr w14:val="tx1"/>
                  </w14:solidFill>
                </w14:textFill>
              </w:rPr>
            </w:pPr>
          </w:p>
        </w:tc>
      </w:tr>
      <w:tr w14:paraId="26AB7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ign w:val="center"/>
          </w:tcPr>
          <w:p w14:paraId="2D3C57AF">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905" w:type="dxa"/>
            <w:noWrap/>
            <w:vAlign w:val="center"/>
          </w:tcPr>
          <w:p w14:paraId="7A6A596D">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127" w:type="dxa"/>
            <w:noWrap/>
            <w:vAlign w:val="center"/>
          </w:tcPr>
          <w:p w14:paraId="7A4516CE">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896" w:type="dxa"/>
            <w:noWrap/>
            <w:vAlign w:val="center"/>
          </w:tcPr>
          <w:p w14:paraId="64D11991">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2473" w:type="dxa"/>
            <w:noWrap/>
            <w:vAlign w:val="center"/>
          </w:tcPr>
          <w:p w14:paraId="13516966">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237" w:type="dxa"/>
            <w:noWrap/>
            <w:vAlign w:val="center"/>
          </w:tcPr>
          <w:p w14:paraId="3B43A5E0">
            <w:pPr>
              <w:spacing w:line="276" w:lineRule="auto"/>
              <w:jc w:val="center"/>
              <w:rPr>
                <w:rFonts w:ascii="宋体" w:hAnsi="宋体" w:eastAsia="宋体" w:cs="Times New Roman"/>
                <w:color w:val="000000" w:themeColor="text1"/>
                <w:sz w:val="24"/>
                <w14:textFill>
                  <w14:solidFill>
                    <w14:schemeClr w14:val="tx1"/>
                  </w14:solidFill>
                </w14:textFill>
              </w:rPr>
            </w:pPr>
          </w:p>
        </w:tc>
      </w:tr>
      <w:tr w14:paraId="203B5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ign w:val="center"/>
          </w:tcPr>
          <w:p w14:paraId="0DB2A3F5">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905" w:type="dxa"/>
            <w:noWrap/>
            <w:vAlign w:val="center"/>
          </w:tcPr>
          <w:p w14:paraId="3AA5B84C">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127" w:type="dxa"/>
            <w:noWrap/>
            <w:vAlign w:val="center"/>
          </w:tcPr>
          <w:p w14:paraId="141781A4">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896" w:type="dxa"/>
            <w:noWrap/>
            <w:vAlign w:val="center"/>
          </w:tcPr>
          <w:p w14:paraId="06DE9B19">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2473" w:type="dxa"/>
            <w:noWrap/>
            <w:vAlign w:val="center"/>
          </w:tcPr>
          <w:p w14:paraId="0A82E0A0">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237" w:type="dxa"/>
            <w:noWrap/>
            <w:vAlign w:val="center"/>
          </w:tcPr>
          <w:p w14:paraId="2CAF7F07">
            <w:pPr>
              <w:spacing w:line="276" w:lineRule="auto"/>
              <w:jc w:val="center"/>
              <w:rPr>
                <w:rFonts w:ascii="宋体" w:hAnsi="宋体" w:eastAsia="宋体" w:cs="Times New Roman"/>
                <w:color w:val="000000" w:themeColor="text1"/>
                <w:sz w:val="24"/>
                <w14:textFill>
                  <w14:solidFill>
                    <w14:schemeClr w14:val="tx1"/>
                  </w14:solidFill>
                </w14:textFill>
              </w:rPr>
            </w:pPr>
          </w:p>
        </w:tc>
      </w:tr>
      <w:tr w14:paraId="6AFF2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ign w:val="center"/>
          </w:tcPr>
          <w:p w14:paraId="49AC0E50">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905" w:type="dxa"/>
            <w:noWrap/>
            <w:vAlign w:val="center"/>
          </w:tcPr>
          <w:p w14:paraId="4355F3A7">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127" w:type="dxa"/>
            <w:noWrap/>
            <w:vAlign w:val="center"/>
          </w:tcPr>
          <w:p w14:paraId="7CD92654">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896" w:type="dxa"/>
            <w:noWrap/>
            <w:vAlign w:val="center"/>
          </w:tcPr>
          <w:p w14:paraId="02AC0398">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2473" w:type="dxa"/>
            <w:noWrap/>
            <w:vAlign w:val="center"/>
          </w:tcPr>
          <w:p w14:paraId="722BE095">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237" w:type="dxa"/>
            <w:noWrap/>
            <w:vAlign w:val="center"/>
          </w:tcPr>
          <w:p w14:paraId="3816B115">
            <w:pPr>
              <w:spacing w:line="276" w:lineRule="auto"/>
              <w:jc w:val="center"/>
              <w:rPr>
                <w:rFonts w:ascii="宋体" w:hAnsi="宋体" w:eastAsia="宋体" w:cs="Times New Roman"/>
                <w:color w:val="000000" w:themeColor="text1"/>
                <w:sz w:val="24"/>
                <w14:textFill>
                  <w14:solidFill>
                    <w14:schemeClr w14:val="tx1"/>
                  </w14:solidFill>
                </w14:textFill>
              </w:rPr>
            </w:pPr>
          </w:p>
        </w:tc>
      </w:tr>
      <w:tr w14:paraId="4D429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ign w:val="center"/>
          </w:tcPr>
          <w:p w14:paraId="487F5516">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905" w:type="dxa"/>
            <w:noWrap/>
            <w:vAlign w:val="center"/>
          </w:tcPr>
          <w:p w14:paraId="4A2F113C">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127" w:type="dxa"/>
            <w:noWrap/>
            <w:vAlign w:val="center"/>
          </w:tcPr>
          <w:p w14:paraId="3B22C7D7">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896" w:type="dxa"/>
            <w:noWrap/>
            <w:vAlign w:val="center"/>
          </w:tcPr>
          <w:p w14:paraId="6A82ECC6">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2473" w:type="dxa"/>
            <w:noWrap/>
            <w:vAlign w:val="center"/>
          </w:tcPr>
          <w:p w14:paraId="00381234">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237" w:type="dxa"/>
            <w:noWrap/>
            <w:vAlign w:val="center"/>
          </w:tcPr>
          <w:p w14:paraId="6BB6B105">
            <w:pPr>
              <w:spacing w:line="276" w:lineRule="auto"/>
              <w:jc w:val="center"/>
              <w:rPr>
                <w:rFonts w:ascii="宋体" w:hAnsi="宋体" w:eastAsia="宋体" w:cs="Times New Roman"/>
                <w:color w:val="000000" w:themeColor="text1"/>
                <w:sz w:val="24"/>
                <w14:textFill>
                  <w14:solidFill>
                    <w14:schemeClr w14:val="tx1"/>
                  </w14:solidFill>
                </w14:textFill>
              </w:rPr>
            </w:pPr>
          </w:p>
        </w:tc>
      </w:tr>
      <w:tr w14:paraId="2A897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ign w:val="center"/>
          </w:tcPr>
          <w:p w14:paraId="3F9C4BE1">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905" w:type="dxa"/>
            <w:noWrap/>
            <w:vAlign w:val="center"/>
          </w:tcPr>
          <w:p w14:paraId="0B16C6BB">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127" w:type="dxa"/>
            <w:noWrap/>
            <w:vAlign w:val="center"/>
          </w:tcPr>
          <w:p w14:paraId="62BD51FF">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896" w:type="dxa"/>
            <w:noWrap/>
            <w:vAlign w:val="center"/>
          </w:tcPr>
          <w:p w14:paraId="5C00A913">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2473" w:type="dxa"/>
            <w:noWrap/>
            <w:vAlign w:val="center"/>
          </w:tcPr>
          <w:p w14:paraId="0A68B0D8">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237" w:type="dxa"/>
            <w:noWrap/>
            <w:vAlign w:val="center"/>
          </w:tcPr>
          <w:p w14:paraId="4F3CBB55">
            <w:pPr>
              <w:spacing w:line="276" w:lineRule="auto"/>
              <w:jc w:val="center"/>
              <w:rPr>
                <w:rFonts w:ascii="宋体" w:hAnsi="宋体" w:eastAsia="宋体" w:cs="Times New Roman"/>
                <w:color w:val="000000" w:themeColor="text1"/>
                <w:sz w:val="24"/>
                <w14:textFill>
                  <w14:solidFill>
                    <w14:schemeClr w14:val="tx1"/>
                  </w14:solidFill>
                </w14:textFill>
              </w:rPr>
            </w:pPr>
          </w:p>
        </w:tc>
      </w:tr>
      <w:tr w14:paraId="3B210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ign w:val="center"/>
          </w:tcPr>
          <w:p w14:paraId="676B1344">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905" w:type="dxa"/>
            <w:noWrap/>
            <w:vAlign w:val="center"/>
          </w:tcPr>
          <w:p w14:paraId="22677657">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127" w:type="dxa"/>
            <w:noWrap/>
            <w:vAlign w:val="center"/>
          </w:tcPr>
          <w:p w14:paraId="6B85305F">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896" w:type="dxa"/>
            <w:noWrap/>
            <w:vAlign w:val="center"/>
          </w:tcPr>
          <w:p w14:paraId="37479A9B">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2473" w:type="dxa"/>
            <w:noWrap/>
            <w:vAlign w:val="center"/>
          </w:tcPr>
          <w:p w14:paraId="0B378A9B">
            <w:pPr>
              <w:spacing w:line="276" w:lineRule="auto"/>
              <w:jc w:val="center"/>
              <w:rPr>
                <w:rFonts w:ascii="宋体" w:hAnsi="宋体" w:eastAsia="宋体" w:cs="Times New Roman"/>
                <w:color w:val="000000" w:themeColor="text1"/>
                <w:sz w:val="24"/>
                <w14:textFill>
                  <w14:solidFill>
                    <w14:schemeClr w14:val="tx1"/>
                  </w14:solidFill>
                </w14:textFill>
              </w:rPr>
            </w:pPr>
          </w:p>
        </w:tc>
        <w:tc>
          <w:tcPr>
            <w:tcW w:w="1237" w:type="dxa"/>
            <w:noWrap/>
            <w:vAlign w:val="center"/>
          </w:tcPr>
          <w:p w14:paraId="0BB07551">
            <w:pPr>
              <w:spacing w:line="276" w:lineRule="auto"/>
              <w:jc w:val="center"/>
              <w:rPr>
                <w:rFonts w:ascii="宋体" w:hAnsi="宋体" w:eastAsia="宋体" w:cs="Times New Roman"/>
                <w:color w:val="000000" w:themeColor="text1"/>
                <w:sz w:val="24"/>
                <w14:textFill>
                  <w14:solidFill>
                    <w14:schemeClr w14:val="tx1"/>
                  </w14:solidFill>
                </w14:textFill>
              </w:rPr>
            </w:pPr>
          </w:p>
        </w:tc>
      </w:tr>
    </w:tbl>
    <w:p w14:paraId="0AB8333C">
      <w:pPr>
        <w:spacing w:line="400" w:lineRule="exact"/>
        <w:jc w:val="left"/>
        <w:rPr>
          <w:rFonts w:ascii="宋体" w:hAnsi="宋体" w:eastAsia="宋体" w:cs="Times New Roman"/>
          <w:color w:val="000000" w:themeColor="text1"/>
          <w:sz w:val="22"/>
          <w:szCs w:val="30"/>
          <w14:textFill>
            <w14:solidFill>
              <w14:schemeClr w14:val="tx1"/>
            </w14:solidFill>
          </w14:textFill>
        </w:rPr>
      </w:pPr>
    </w:p>
    <w:p w14:paraId="6D7BC929">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r>
        <w:rPr>
          <w:rFonts w:hint="eastAsia" w:ascii="宋体" w:hAnsi="宋体" w:eastAsia="宋体" w:cs="Times New Roman"/>
          <w:color w:val="000000" w:themeColor="text1"/>
          <w:sz w:val="22"/>
          <w:szCs w:val="30"/>
          <w:lang w:val="en-US" w:eastAsia="zh-CN"/>
          <w14:textFill>
            <w14:solidFill>
              <w14:schemeClr w14:val="tx1"/>
            </w14:solidFill>
          </w14:textFill>
        </w:rPr>
        <w:t xml:space="preserve">      </w:t>
      </w:r>
    </w:p>
    <w:p w14:paraId="5D60C1F4">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36DD80EE">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5AE6585E">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550176A4">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3258B5DF">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0C2B16F0">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1092C099">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09D64A4D">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71521F84">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1CB4B0F6">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027019AF">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482153F9">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5FC1C6E9">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5E483CEE">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309E1C9E">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22474C58">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4F143F7C">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51E169D7">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565EFAFC">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3D704DC2">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2214F748">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2174F28B">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5A449DBB">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7E19C675">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5C45C551">
      <w:pPr>
        <w:ind w:firstLine="220"/>
        <w:rPr>
          <w:rFonts w:hint="eastAsia" w:ascii="宋体" w:hAnsi="宋体" w:eastAsia="宋体" w:cs="Times New Roman"/>
          <w:color w:val="000000" w:themeColor="text1"/>
          <w:sz w:val="22"/>
          <w:szCs w:val="30"/>
          <w:lang w:val="en-US" w:eastAsia="zh-CN"/>
          <w14:textFill>
            <w14:solidFill>
              <w14:schemeClr w14:val="tx1"/>
            </w14:solidFill>
          </w14:textFill>
        </w:rPr>
      </w:pPr>
    </w:p>
    <w:p w14:paraId="0D44A6B5">
      <w:pPr>
        <w:ind w:firstLine="220"/>
        <w:rPr>
          <w:rFonts w:ascii="宋体" w:hAnsi="宋体" w:eastAsia="宋体" w:cs="Times New Roman"/>
          <w:color w:val="000000" w:themeColor="text1"/>
          <w:sz w:val="22"/>
          <w:szCs w:val="30"/>
          <w14:textFill>
            <w14:solidFill>
              <w14:schemeClr w14:val="tx1"/>
            </w14:solidFill>
          </w14:textFill>
        </w:rPr>
      </w:pPr>
      <w:r>
        <w:rPr>
          <w:rFonts w:ascii="宋体" w:hAnsi="宋体" w:eastAsia="宋体" w:cs="Times New Roman"/>
          <w:color w:val="000000" w:themeColor="text1"/>
          <w:sz w:val="22"/>
          <w:szCs w:val="30"/>
          <w14:textFill>
            <w14:solidFill>
              <w14:schemeClr w14:val="tx1"/>
            </w14:solidFill>
          </w14:textFill>
        </w:rPr>
        <w:t>注：</w:t>
      </w:r>
      <w:r>
        <w:rPr>
          <w:rFonts w:hint="eastAsia" w:ascii="宋体" w:hAnsi="宋体" w:eastAsia="宋体" w:cs="Times New Roman"/>
          <w:color w:val="000000" w:themeColor="text1"/>
          <w:sz w:val="22"/>
          <w:szCs w:val="30"/>
          <w14:textFill>
            <w14:solidFill>
              <w14:schemeClr w14:val="tx1"/>
            </w14:solidFill>
          </w14:textFill>
        </w:rPr>
        <w:t>后</w:t>
      </w:r>
      <w:r>
        <w:rPr>
          <w:rFonts w:ascii="宋体" w:hAnsi="宋体" w:eastAsia="宋体" w:cs="Times New Roman"/>
          <w:color w:val="000000" w:themeColor="text1"/>
          <w:sz w:val="22"/>
          <w:szCs w:val="30"/>
          <w14:textFill>
            <w14:solidFill>
              <w14:schemeClr w14:val="tx1"/>
            </w14:solidFill>
          </w14:textFill>
        </w:rPr>
        <w:t>附相关证明材料。</w:t>
      </w:r>
    </w:p>
    <w:p w14:paraId="66FB1E46">
      <w:pPr>
        <w:spacing w:line="400" w:lineRule="exact"/>
        <w:jc w:val="left"/>
        <w:rPr>
          <w:rFonts w:ascii="宋体" w:hAnsi="宋体" w:eastAsia="宋体" w:cs="Times New Roman"/>
          <w:color w:val="000000" w:themeColor="text1"/>
          <w:sz w:val="22"/>
          <w:szCs w:val="30"/>
          <w14:textFill>
            <w14:solidFill>
              <w14:schemeClr w14:val="tx1"/>
            </w14:solidFill>
          </w14:textFill>
        </w:rPr>
      </w:pPr>
    </w:p>
    <w:p w14:paraId="62931B3F">
      <w:pPr>
        <w:spacing w:line="400" w:lineRule="exact"/>
        <w:jc w:val="center"/>
        <w:rPr>
          <w:rFonts w:ascii="宋体" w:hAnsi="宋体" w:eastAsia="宋体" w:cs="Times New Roman"/>
          <w:b/>
          <w:color w:val="000000" w:themeColor="text1"/>
          <w:sz w:val="28"/>
          <w:szCs w:val="30"/>
          <w14:textFill>
            <w14:solidFill>
              <w14:schemeClr w14:val="tx1"/>
            </w14:solidFill>
          </w14:textFill>
        </w:rPr>
      </w:pPr>
    </w:p>
    <w:p w14:paraId="1EAF2F7D">
      <w:pPr>
        <w:spacing w:line="276" w:lineRule="auto"/>
        <w:ind w:firstLine="480"/>
        <w:rPr>
          <w:rFonts w:ascii="宋体" w:hAnsi="宋体" w:eastAsia="宋体" w:cs="Times New Roman"/>
          <w:color w:val="000000" w:themeColor="text1"/>
          <w:sz w:val="24"/>
          <w:szCs w:val="2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供应商全称：</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（加盖CA电子公章）</w:t>
      </w:r>
    </w:p>
    <w:p w14:paraId="12502078">
      <w:pPr>
        <w:spacing w:line="276" w:lineRule="auto"/>
        <w:ind w:firstLine="480"/>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法定代表人或委托代理人：</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（签字或盖章）</w:t>
      </w:r>
    </w:p>
    <w:p w14:paraId="260EBE31">
      <w:pPr>
        <w:spacing w:line="276" w:lineRule="auto"/>
        <w:ind w:firstLine="480"/>
        <w:rPr>
          <w:rFonts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日</w:t>
      </w:r>
    </w:p>
    <w:p w14:paraId="3AB4C08D">
      <w:pPr>
        <w:jc w:val="center"/>
        <w:rPr>
          <w:rFonts w:ascii="黑体" w:hAnsi="黑体" w:eastAsia="黑体" w:cs="Times New Roman"/>
          <w:b/>
          <w:bCs/>
          <w:color w:val="000000" w:themeColor="text1"/>
          <w:sz w:val="32"/>
          <w:szCs w:val="32"/>
          <w14:textFill>
            <w14:solidFill>
              <w14:schemeClr w14:val="tx1"/>
            </w14:solidFill>
          </w14:textFill>
        </w:rPr>
      </w:pPr>
    </w:p>
    <w:p w14:paraId="514A15F8">
      <w:pPr>
        <w:numPr>
          <w:ilvl w:val="0"/>
          <w:numId w:val="0"/>
        </w:numPr>
        <w:spacing w:line="520" w:lineRule="exact"/>
        <w:jc w:val="both"/>
        <w:outlineLvl w:val="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2731051C">
      <w:pP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br w:type="page" w:clear="all"/>
      </w:r>
    </w:p>
    <w:p w14:paraId="5A46CDC3">
      <w:pPr>
        <w:numPr>
          <w:ilvl w:val="0"/>
          <w:numId w:val="0"/>
        </w:numPr>
        <w:spacing w:line="520" w:lineRule="exact"/>
        <w:jc w:val="both"/>
        <w:outlineLvl w:val="0"/>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八、</w:t>
      </w:r>
      <w:r>
        <w:rPr>
          <w:rFonts w:hint="eastAsia" w:ascii="宋体" w:hAnsi="宋体" w:eastAsia="宋体" w:cs="宋体"/>
          <w:b/>
          <w:bCs/>
          <w:color w:val="000000" w:themeColor="text1"/>
          <w:sz w:val="30"/>
          <w:szCs w:val="30"/>
          <w:highlight w:val="none"/>
          <w14:textFill>
            <w14:solidFill>
              <w14:schemeClr w14:val="tx1"/>
            </w14:solidFill>
          </w14:textFill>
        </w:rPr>
        <w:t>类似项目业绩一览表</w:t>
      </w:r>
      <w:bookmarkEnd w:id="209"/>
      <w:bookmarkEnd w:id="210"/>
      <w:bookmarkEnd w:id="211"/>
      <w:bookmarkEnd w:id="212"/>
    </w:p>
    <w:p w14:paraId="3E976506">
      <w:pPr>
        <w:pStyle w:val="224"/>
        <w:numPr>
          <w:ilvl w:val="0"/>
          <w:numId w:val="0"/>
        </w:num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类似项目业绩一览表</w:t>
      </w:r>
    </w:p>
    <w:tbl>
      <w:tblPr>
        <w:tblStyle w:val="37"/>
        <w:tblW w:w="9656" w:type="dxa"/>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556"/>
        <w:gridCol w:w="1626"/>
        <w:gridCol w:w="1556"/>
        <w:gridCol w:w="1685"/>
        <w:gridCol w:w="1216"/>
        <w:gridCol w:w="1380"/>
      </w:tblGrid>
      <w:tr w14:paraId="60E97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1357DA50">
            <w:pPr>
              <w:jc w:val="center"/>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 </w:t>
            </w:r>
          </w:p>
        </w:tc>
        <w:tc>
          <w:tcPr>
            <w:tcW w:w="1556" w:type="dxa"/>
            <w:noWrap w:val="0"/>
            <w:vAlign w:val="center"/>
          </w:tcPr>
          <w:p w14:paraId="7EB9AA55">
            <w:pPr>
              <w:jc w:val="center"/>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工程名称 </w:t>
            </w:r>
          </w:p>
        </w:tc>
        <w:tc>
          <w:tcPr>
            <w:tcW w:w="1626" w:type="dxa"/>
            <w:noWrap w:val="0"/>
            <w:vAlign w:val="center"/>
          </w:tcPr>
          <w:p w14:paraId="0FF37B16">
            <w:pPr>
              <w:jc w:val="center"/>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工 程 内 容</w:t>
            </w:r>
          </w:p>
        </w:tc>
        <w:tc>
          <w:tcPr>
            <w:tcW w:w="1556" w:type="dxa"/>
            <w:noWrap w:val="0"/>
            <w:vAlign w:val="center"/>
          </w:tcPr>
          <w:p w14:paraId="3E23DFD6">
            <w:pPr>
              <w:jc w:val="center"/>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竣工验收时间</w:t>
            </w:r>
          </w:p>
        </w:tc>
        <w:tc>
          <w:tcPr>
            <w:tcW w:w="1685" w:type="dxa"/>
            <w:noWrap w:val="0"/>
            <w:vAlign w:val="center"/>
          </w:tcPr>
          <w:p w14:paraId="2283BEC0">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建设单位全称</w:t>
            </w:r>
          </w:p>
        </w:tc>
        <w:tc>
          <w:tcPr>
            <w:tcW w:w="1216" w:type="dxa"/>
            <w:noWrap w:val="0"/>
            <w:vAlign w:val="center"/>
          </w:tcPr>
          <w:p w14:paraId="4074F08C">
            <w:pPr>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合同金额</w:t>
            </w:r>
          </w:p>
        </w:tc>
        <w:tc>
          <w:tcPr>
            <w:tcW w:w="1380" w:type="dxa"/>
            <w:noWrap w:val="0"/>
            <w:vAlign w:val="center"/>
          </w:tcPr>
          <w:p w14:paraId="50409DCD">
            <w:pPr>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项目负责人</w:t>
            </w:r>
          </w:p>
        </w:tc>
      </w:tr>
      <w:tr w14:paraId="51125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12BE388C">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w:t>
            </w:r>
          </w:p>
        </w:tc>
        <w:tc>
          <w:tcPr>
            <w:tcW w:w="1556" w:type="dxa"/>
            <w:noWrap w:val="0"/>
            <w:vAlign w:val="center"/>
          </w:tcPr>
          <w:p w14:paraId="3D877030">
            <w:pPr>
              <w:jc w:val="center"/>
              <w:rPr>
                <w:rFonts w:ascii="宋体" w:hAnsi="宋体"/>
                <w:color w:val="000000" w:themeColor="text1"/>
                <w:szCs w:val="21"/>
                <w:highlight w:val="none"/>
                <w14:textFill>
                  <w14:solidFill>
                    <w14:schemeClr w14:val="tx1"/>
                  </w14:solidFill>
                </w14:textFill>
              </w:rPr>
            </w:pPr>
          </w:p>
        </w:tc>
        <w:tc>
          <w:tcPr>
            <w:tcW w:w="1626" w:type="dxa"/>
            <w:noWrap w:val="0"/>
            <w:vAlign w:val="center"/>
          </w:tcPr>
          <w:p w14:paraId="3FFE44B3">
            <w:pPr>
              <w:jc w:val="center"/>
              <w:rPr>
                <w:rFonts w:ascii="宋体" w:hAnsi="宋体"/>
                <w:color w:val="000000" w:themeColor="text1"/>
                <w:szCs w:val="21"/>
                <w:highlight w:val="none"/>
                <w14:textFill>
                  <w14:solidFill>
                    <w14:schemeClr w14:val="tx1"/>
                  </w14:solidFill>
                </w14:textFill>
              </w:rPr>
            </w:pPr>
          </w:p>
        </w:tc>
        <w:tc>
          <w:tcPr>
            <w:tcW w:w="1556" w:type="dxa"/>
            <w:noWrap w:val="0"/>
            <w:vAlign w:val="center"/>
          </w:tcPr>
          <w:p w14:paraId="1BAA3A59">
            <w:pPr>
              <w:jc w:val="center"/>
              <w:rPr>
                <w:rFonts w:ascii="宋体" w:hAnsi="宋体"/>
                <w:color w:val="000000" w:themeColor="text1"/>
                <w:szCs w:val="21"/>
                <w:highlight w:val="none"/>
                <w14:textFill>
                  <w14:solidFill>
                    <w14:schemeClr w14:val="tx1"/>
                  </w14:solidFill>
                </w14:textFill>
              </w:rPr>
            </w:pPr>
          </w:p>
        </w:tc>
        <w:tc>
          <w:tcPr>
            <w:tcW w:w="1685" w:type="dxa"/>
            <w:noWrap w:val="0"/>
            <w:vAlign w:val="center"/>
          </w:tcPr>
          <w:p w14:paraId="11E9BF24">
            <w:pPr>
              <w:jc w:val="center"/>
              <w:rPr>
                <w:rFonts w:ascii="宋体" w:hAnsi="宋体"/>
                <w:color w:val="000000" w:themeColor="text1"/>
                <w:szCs w:val="21"/>
                <w:highlight w:val="none"/>
                <w14:textFill>
                  <w14:solidFill>
                    <w14:schemeClr w14:val="tx1"/>
                  </w14:solidFill>
                </w14:textFill>
              </w:rPr>
            </w:pPr>
          </w:p>
        </w:tc>
        <w:tc>
          <w:tcPr>
            <w:tcW w:w="1216" w:type="dxa"/>
            <w:noWrap w:val="0"/>
            <w:vAlign w:val="center"/>
          </w:tcPr>
          <w:p w14:paraId="2ADCA4A5">
            <w:pPr>
              <w:jc w:val="center"/>
              <w:rPr>
                <w:rFonts w:ascii="宋体" w:hAnsi="宋体"/>
                <w:color w:val="000000" w:themeColor="text1"/>
                <w:szCs w:val="21"/>
                <w:highlight w:val="none"/>
                <w14:textFill>
                  <w14:solidFill>
                    <w14:schemeClr w14:val="tx1"/>
                  </w14:solidFill>
                </w14:textFill>
              </w:rPr>
            </w:pPr>
          </w:p>
        </w:tc>
        <w:tc>
          <w:tcPr>
            <w:tcW w:w="1380" w:type="dxa"/>
            <w:noWrap w:val="0"/>
            <w:vAlign w:val="center"/>
          </w:tcPr>
          <w:p w14:paraId="2E89B839">
            <w:pPr>
              <w:jc w:val="center"/>
              <w:rPr>
                <w:rFonts w:ascii="宋体" w:hAnsi="宋体"/>
                <w:color w:val="000000" w:themeColor="text1"/>
                <w:szCs w:val="21"/>
                <w:highlight w:val="none"/>
                <w14:textFill>
                  <w14:solidFill>
                    <w14:schemeClr w14:val="tx1"/>
                  </w14:solidFill>
                </w14:textFill>
              </w:rPr>
            </w:pPr>
          </w:p>
        </w:tc>
      </w:tr>
      <w:tr w14:paraId="10CEE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22CA9412">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2</w:t>
            </w:r>
          </w:p>
        </w:tc>
        <w:tc>
          <w:tcPr>
            <w:tcW w:w="1556" w:type="dxa"/>
            <w:noWrap w:val="0"/>
            <w:vAlign w:val="center"/>
          </w:tcPr>
          <w:p w14:paraId="6E0C99DE">
            <w:pPr>
              <w:jc w:val="center"/>
              <w:rPr>
                <w:rFonts w:ascii="宋体" w:hAnsi="宋体"/>
                <w:color w:val="000000" w:themeColor="text1"/>
                <w:szCs w:val="21"/>
                <w:highlight w:val="none"/>
                <w14:textFill>
                  <w14:solidFill>
                    <w14:schemeClr w14:val="tx1"/>
                  </w14:solidFill>
                </w14:textFill>
              </w:rPr>
            </w:pPr>
          </w:p>
        </w:tc>
        <w:tc>
          <w:tcPr>
            <w:tcW w:w="1626" w:type="dxa"/>
            <w:noWrap w:val="0"/>
            <w:vAlign w:val="center"/>
          </w:tcPr>
          <w:p w14:paraId="507473F1">
            <w:pPr>
              <w:jc w:val="center"/>
              <w:rPr>
                <w:rFonts w:ascii="宋体" w:hAnsi="宋体"/>
                <w:color w:val="000000" w:themeColor="text1"/>
                <w:szCs w:val="21"/>
                <w:highlight w:val="none"/>
                <w14:textFill>
                  <w14:solidFill>
                    <w14:schemeClr w14:val="tx1"/>
                  </w14:solidFill>
                </w14:textFill>
              </w:rPr>
            </w:pPr>
          </w:p>
        </w:tc>
        <w:tc>
          <w:tcPr>
            <w:tcW w:w="1556" w:type="dxa"/>
            <w:noWrap w:val="0"/>
            <w:vAlign w:val="center"/>
          </w:tcPr>
          <w:p w14:paraId="145A8E30">
            <w:pPr>
              <w:jc w:val="center"/>
              <w:rPr>
                <w:rFonts w:ascii="宋体" w:hAnsi="宋体"/>
                <w:color w:val="000000" w:themeColor="text1"/>
                <w:szCs w:val="21"/>
                <w:highlight w:val="none"/>
                <w14:textFill>
                  <w14:solidFill>
                    <w14:schemeClr w14:val="tx1"/>
                  </w14:solidFill>
                </w14:textFill>
              </w:rPr>
            </w:pPr>
          </w:p>
        </w:tc>
        <w:tc>
          <w:tcPr>
            <w:tcW w:w="1685" w:type="dxa"/>
            <w:noWrap w:val="0"/>
            <w:vAlign w:val="center"/>
          </w:tcPr>
          <w:p w14:paraId="0920569A">
            <w:pPr>
              <w:jc w:val="center"/>
              <w:rPr>
                <w:rFonts w:ascii="宋体" w:hAnsi="宋体"/>
                <w:color w:val="000000" w:themeColor="text1"/>
                <w:szCs w:val="21"/>
                <w:highlight w:val="none"/>
                <w14:textFill>
                  <w14:solidFill>
                    <w14:schemeClr w14:val="tx1"/>
                  </w14:solidFill>
                </w14:textFill>
              </w:rPr>
            </w:pPr>
          </w:p>
        </w:tc>
        <w:tc>
          <w:tcPr>
            <w:tcW w:w="1216" w:type="dxa"/>
            <w:noWrap w:val="0"/>
            <w:vAlign w:val="center"/>
          </w:tcPr>
          <w:p w14:paraId="0A40F0F1">
            <w:pPr>
              <w:jc w:val="center"/>
              <w:rPr>
                <w:rFonts w:ascii="宋体" w:hAnsi="宋体"/>
                <w:color w:val="000000" w:themeColor="text1"/>
                <w:szCs w:val="21"/>
                <w:highlight w:val="none"/>
                <w14:textFill>
                  <w14:solidFill>
                    <w14:schemeClr w14:val="tx1"/>
                  </w14:solidFill>
                </w14:textFill>
              </w:rPr>
            </w:pPr>
          </w:p>
        </w:tc>
        <w:tc>
          <w:tcPr>
            <w:tcW w:w="1380" w:type="dxa"/>
            <w:noWrap w:val="0"/>
            <w:vAlign w:val="center"/>
          </w:tcPr>
          <w:p w14:paraId="1E4263F0">
            <w:pPr>
              <w:jc w:val="center"/>
              <w:rPr>
                <w:rFonts w:ascii="宋体" w:hAnsi="宋体"/>
                <w:color w:val="000000" w:themeColor="text1"/>
                <w:szCs w:val="21"/>
                <w:highlight w:val="none"/>
                <w14:textFill>
                  <w14:solidFill>
                    <w14:schemeClr w14:val="tx1"/>
                  </w14:solidFill>
                </w14:textFill>
              </w:rPr>
            </w:pPr>
          </w:p>
        </w:tc>
      </w:tr>
      <w:tr w14:paraId="30F70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42BE06E6">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3</w:t>
            </w:r>
          </w:p>
        </w:tc>
        <w:tc>
          <w:tcPr>
            <w:tcW w:w="1556" w:type="dxa"/>
            <w:noWrap w:val="0"/>
            <w:vAlign w:val="center"/>
          </w:tcPr>
          <w:p w14:paraId="64C8D1AA">
            <w:pPr>
              <w:jc w:val="center"/>
              <w:rPr>
                <w:rFonts w:ascii="宋体" w:hAnsi="宋体"/>
                <w:color w:val="000000" w:themeColor="text1"/>
                <w:szCs w:val="21"/>
                <w:highlight w:val="none"/>
                <w14:textFill>
                  <w14:solidFill>
                    <w14:schemeClr w14:val="tx1"/>
                  </w14:solidFill>
                </w14:textFill>
              </w:rPr>
            </w:pPr>
          </w:p>
        </w:tc>
        <w:tc>
          <w:tcPr>
            <w:tcW w:w="1626" w:type="dxa"/>
            <w:noWrap w:val="0"/>
            <w:vAlign w:val="center"/>
          </w:tcPr>
          <w:p w14:paraId="0EF12864">
            <w:pPr>
              <w:jc w:val="center"/>
              <w:rPr>
                <w:rFonts w:ascii="宋体" w:hAnsi="宋体"/>
                <w:color w:val="000000" w:themeColor="text1"/>
                <w:szCs w:val="21"/>
                <w:highlight w:val="none"/>
                <w14:textFill>
                  <w14:solidFill>
                    <w14:schemeClr w14:val="tx1"/>
                  </w14:solidFill>
                </w14:textFill>
              </w:rPr>
            </w:pPr>
          </w:p>
        </w:tc>
        <w:tc>
          <w:tcPr>
            <w:tcW w:w="1556" w:type="dxa"/>
            <w:noWrap w:val="0"/>
            <w:vAlign w:val="center"/>
          </w:tcPr>
          <w:p w14:paraId="5D6AC860">
            <w:pPr>
              <w:jc w:val="center"/>
              <w:rPr>
                <w:rFonts w:ascii="宋体" w:hAnsi="宋体"/>
                <w:color w:val="000000" w:themeColor="text1"/>
                <w:szCs w:val="21"/>
                <w:highlight w:val="none"/>
                <w14:textFill>
                  <w14:solidFill>
                    <w14:schemeClr w14:val="tx1"/>
                  </w14:solidFill>
                </w14:textFill>
              </w:rPr>
            </w:pPr>
          </w:p>
        </w:tc>
        <w:tc>
          <w:tcPr>
            <w:tcW w:w="1685" w:type="dxa"/>
            <w:noWrap w:val="0"/>
            <w:vAlign w:val="center"/>
          </w:tcPr>
          <w:p w14:paraId="43E984C4">
            <w:pPr>
              <w:jc w:val="center"/>
              <w:rPr>
                <w:rFonts w:ascii="宋体" w:hAnsi="宋体"/>
                <w:color w:val="000000" w:themeColor="text1"/>
                <w:szCs w:val="21"/>
                <w:highlight w:val="none"/>
                <w14:textFill>
                  <w14:solidFill>
                    <w14:schemeClr w14:val="tx1"/>
                  </w14:solidFill>
                </w14:textFill>
              </w:rPr>
            </w:pPr>
          </w:p>
        </w:tc>
        <w:tc>
          <w:tcPr>
            <w:tcW w:w="1216" w:type="dxa"/>
            <w:noWrap w:val="0"/>
            <w:vAlign w:val="center"/>
          </w:tcPr>
          <w:p w14:paraId="30D723FD">
            <w:pPr>
              <w:jc w:val="center"/>
              <w:rPr>
                <w:rFonts w:ascii="宋体" w:hAnsi="宋体"/>
                <w:color w:val="000000" w:themeColor="text1"/>
                <w:szCs w:val="21"/>
                <w:highlight w:val="none"/>
                <w14:textFill>
                  <w14:solidFill>
                    <w14:schemeClr w14:val="tx1"/>
                  </w14:solidFill>
                </w14:textFill>
              </w:rPr>
            </w:pPr>
          </w:p>
        </w:tc>
        <w:tc>
          <w:tcPr>
            <w:tcW w:w="1380" w:type="dxa"/>
            <w:noWrap w:val="0"/>
            <w:vAlign w:val="center"/>
          </w:tcPr>
          <w:p w14:paraId="43456FA2">
            <w:pPr>
              <w:jc w:val="center"/>
              <w:rPr>
                <w:rFonts w:ascii="宋体" w:hAnsi="宋体"/>
                <w:color w:val="000000" w:themeColor="text1"/>
                <w:szCs w:val="21"/>
                <w:highlight w:val="none"/>
                <w14:textFill>
                  <w14:solidFill>
                    <w14:schemeClr w14:val="tx1"/>
                  </w14:solidFill>
                </w14:textFill>
              </w:rPr>
            </w:pPr>
          </w:p>
        </w:tc>
      </w:tr>
      <w:tr w14:paraId="0840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1015BB7B">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556" w:type="dxa"/>
            <w:noWrap w:val="0"/>
            <w:vAlign w:val="center"/>
          </w:tcPr>
          <w:p w14:paraId="4283621F">
            <w:pPr>
              <w:jc w:val="center"/>
              <w:rPr>
                <w:rFonts w:ascii="宋体" w:hAnsi="宋体"/>
                <w:color w:val="000000" w:themeColor="text1"/>
                <w:szCs w:val="21"/>
                <w:highlight w:val="none"/>
                <w14:textFill>
                  <w14:solidFill>
                    <w14:schemeClr w14:val="tx1"/>
                  </w14:solidFill>
                </w14:textFill>
              </w:rPr>
            </w:pPr>
          </w:p>
        </w:tc>
        <w:tc>
          <w:tcPr>
            <w:tcW w:w="1626" w:type="dxa"/>
            <w:noWrap w:val="0"/>
            <w:vAlign w:val="center"/>
          </w:tcPr>
          <w:p w14:paraId="7F6BBD9B">
            <w:pPr>
              <w:jc w:val="center"/>
              <w:rPr>
                <w:rFonts w:ascii="宋体" w:hAnsi="宋体"/>
                <w:color w:val="000000" w:themeColor="text1"/>
                <w:szCs w:val="21"/>
                <w:highlight w:val="none"/>
                <w14:textFill>
                  <w14:solidFill>
                    <w14:schemeClr w14:val="tx1"/>
                  </w14:solidFill>
                </w14:textFill>
              </w:rPr>
            </w:pPr>
          </w:p>
        </w:tc>
        <w:tc>
          <w:tcPr>
            <w:tcW w:w="1556" w:type="dxa"/>
            <w:noWrap w:val="0"/>
            <w:vAlign w:val="center"/>
          </w:tcPr>
          <w:p w14:paraId="0E65465F">
            <w:pPr>
              <w:jc w:val="center"/>
              <w:rPr>
                <w:rFonts w:ascii="宋体" w:hAnsi="宋体"/>
                <w:color w:val="000000" w:themeColor="text1"/>
                <w:szCs w:val="21"/>
                <w:highlight w:val="none"/>
                <w14:textFill>
                  <w14:solidFill>
                    <w14:schemeClr w14:val="tx1"/>
                  </w14:solidFill>
                </w14:textFill>
              </w:rPr>
            </w:pPr>
          </w:p>
        </w:tc>
        <w:tc>
          <w:tcPr>
            <w:tcW w:w="1685" w:type="dxa"/>
            <w:noWrap w:val="0"/>
            <w:vAlign w:val="center"/>
          </w:tcPr>
          <w:p w14:paraId="710A4B5B">
            <w:pPr>
              <w:jc w:val="center"/>
              <w:rPr>
                <w:rFonts w:ascii="宋体" w:hAnsi="宋体"/>
                <w:color w:val="000000" w:themeColor="text1"/>
                <w:szCs w:val="21"/>
                <w:highlight w:val="none"/>
                <w14:textFill>
                  <w14:solidFill>
                    <w14:schemeClr w14:val="tx1"/>
                  </w14:solidFill>
                </w14:textFill>
              </w:rPr>
            </w:pPr>
          </w:p>
        </w:tc>
        <w:tc>
          <w:tcPr>
            <w:tcW w:w="1216" w:type="dxa"/>
            <w:noWrap w:val="0"/>
            <w:vAlign w:val="center"/>
          </w:tcPr>
          <w:p w14:paraId="2A86D249">
            <w:pPr>
              <w:jc w:val="center"/>
              <w:rPr>
                <w:rFonts w:ascii="宋体" w:hAnsi="宋体"/>
                <w:color w:val="000000" w:themeColor="text1"/>
                <w:szCs w:val="21"/>
                <w:highlight w:val="none"/>
                <w14:textFill>
                  <w14:solidFill>
                    <w14:schemeClr w14:val="tx1"/>
                  </w14:solidFill>
                </w14:textFill>
              </w:rPr>
            </w:pPr>
          </w:p>
        </w:tc>
        <w:tc>
          <w:tcPr>
            <w:tcW w:w="1380" w:type="dxa"/>
            <w:noWrap w:val="0"/>
            <w:vAlign w:val="center"/>
          </w:tcPr>
          <w:p w14:paraId="016C5D68">
            <w:pPr>
              <w:jc w:val="center"/>
              <w:rPr>
                <w:rFonts w:ascii="宋体" w:hAnsi="宋体"/>
                <w:color w:val="000000" w:themeColor="text1"/>
                <w:szCs w:val="21"/>
                <w:highlight w:val="none"/>
                <w14:textFill>
                  <w14:solidFill>
                    <w14:schemeClr w14:val="tx1"/>
                  </w14:solidFill>
                </w14:textFill>
              </w:rPr>
            </w:pPr>
          </w:p>
        </w:tc>
      </w:tr>
      <w:tr w14:paraId="7A9F3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5E066B70">
            <w:pPr>
              <w:jc w:val="center"/>
              <w:rPr>
                <w:rFonts w:ascii="宋体" w:hAnsi="宋体"/>
                <w:color w:val="000000" w:themeColor="text1"/>
                <w:szCs w:val="21"/>
                <w:highlight w:val="none"/>
                <w14:textFill>
                  <w14:solidFill>
                    <w14:schemeClr w14:val="tx1"/>
                  </w14:solidFill>
                </w14:textFill>
              </w:rPr>
            </w:pPr>
          </w:p>
        </w:tc>
        <w:tc>
          <w:tcPr>
            <w:tcW w:w="1556" w:type="dxa"/>
            <w:noWrap w:val="0"/>
            <w:vAlign w:val="center"/>
          </w:tcPr>
          <w:p w14:paraId="3FCE9F71">
            <w:pPr>
              <w:jc w:val="center"/>
              <w:rPr>
                <w:rFonts w:ascii="宋体" w:hAnsi="宋体"/>
                <w:color w:val="000000" w:themeColor="text1"/>
                <w:szCs w:val="21"/>
                <w:highlight w:val="none"/>
                <w14:textFill>
                  <w14:solidFill>
                    <w14:schemeClr w14:val="tx1"/>
                  </w14:solidFill>
                </w14:textFill>
              </w:rPr>
            </w:pPr>
          </w:p>
        </w:tc>
        <w:tc>
          <w:tcPr>
            <w:tcW w:w="1626" w:type="dxa"/>
            <w:noWrap w:val="0"/>
            <w:vAlign w:val="center"/>
          </w:tcPr>
          <w:p w14:paraId="3E476B6A">
            <w:pPr>
              <w:jc w:val="center"/>
              <w:rPr>
                <w:rFonts w:ascii="宋体" w:hAnsi="宋体"/>
                <w:color w:val="000000" w:themeColor="text1"/>
                <w:szCs w:val="21"/>
                <w:highlight w:val="none"/>
                <w14:textFill>
                  <w14:solidFill>
                    <w14:schemeClr w14:val="tx1"/>
                  </w14:solidFill>
                </w14:textFill>
              </w:rPr>
            </w:pPr>
          </w:p>
        </w:tc>
        <w:tc>
          <w:tcPr>
            <w:tcW w:w="1556" w:type="dxa"/>
            <w:noWrap w:val="0"/>
            <w:vAlign w:val="center"/>
          </w:tcPr>
          <w:p w14:paraId="49AD2615">
            <w:pPr>
              <w:jc w:val="center"/>
              <w:rPr>
                <w:rFonts w:ascii="宋体" w:hAnsi="宋体"/>
                <w:color w:val="000000" w:themeColor="text1"/>
                <w:szCs w:val="21"/>
                <w:highlight w:val="none"/>
                <w14:textFill>
                  <w14:solidFill>
                    <w14:schemeClr w14:val="tx1"/>
                  </w14:solidFill>
                </w14:textFill>
              </w:rPr>
            </w:pPr>
          </w:p>
        </w:tc>
        <w:tc>
          <w:tcPr>
            <w:tcW w:w="1685" w:type="dxa"/>
            <w:noWrap w:val="0"/>
            <w:vAlign w:val="center"/>
          </w:tcPr>
          <w:p w14:paraId="06A1FA9B">
            <w:pPr>
              <w:jc w:val="center"/>
              <w:rPr>
                <w:rFonts w:ascii="宋体" w:hAnsi="宋体"/>
                <w:color w:val="000000" w:themeColor="text1"/>
                <w:szCs w:val="21"/>
                <w:highlight w:val="none"/>
                <w14:textFill>
                  <w14:solidFill>
                    <w14:schemeClr w14:val="tx1"/>
                  </w14:solidFill>
                </w14:textFill>
              </w:rPr>
            </w:pPr>
          </w:p>
        </w:tc>
        <w:tc>
          <w:tcPr>
            <w:tcW w:w="1216" w:type="dxa"/>
            <w:noWrap w:val="0"/>
            <w:vAlign w:val="center"/>
          </w:tcPr>
          <w:p w14:paraId="50533509">
            <w:pPr>
              <w:jc w:val="center"/>
              <w:rPr>
                <w:rFonts w:ascii="宋体" w:hAnsi="宋体"/>
                <w:color w:val="000000" w:themeColor="text1"/>
                <w:szCs w:val="21"/>
                <w:highlight w:val="none"/>
                <w14:textFill>
                  <w14:solidFill>
                    <w14:schemeClr w14:val="tx1"/>
                  </w14:solidFill>
                </w14:textFill>
              </w:rPr>
            </w:pPr>
          </w:p>
        </w:tc>
        <w:tc>
          <w:tcPr>
            <w:tcW w:w="1380" w:type="dxa"/>
            <w:noWrap w:val="0"/>
            <w:vAlign w:val="center"/>
          </w:tcPr>
          <w:p w14:paraId="2772357A">
            <w:pPr>
              <w:jc w:val="center"/>
              <w:rPr>
                <w:rFonts w:ascii="宋体" w:hAnsi="宋体"/>
                <w:color w:val="000000" w:themeColor="text1"/>
                <w:szCs w:val="21"/>
                <w:highlight w:val="none"/>
                <w14:textFill>
                  <w14:solidFill>
                    <w14:schemeClr w14:val="tx1"/>
                  </w14:solidFill>
                </w14:textFill>
              </w:rPr>
            </w:pPr>
          </w:p>
        </w:tc>
      </w:tr>
      <w:tr w14:paraId="170C8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637" w:type="dxa"/>
            <w:noWrap w:val="0"/>
            <w:vAlign w:val="center"/>
          </w:tcPr>
          <w:p w14:paraId="0EA939C7">
            <w:pPr>
              <w:jc w:val="center"/>
              <w:rPr>
                <w:rFonts w:ascii="宋体" w:hAnsi="宋体"/>
                <w:color w:val="000000" w:themeColor="text1"/>
                <w:szCs w:val="21"/>
                <w:highlight w:val="none"/>
                <w14:textFill>
                  <w14:solidFill>
                    <w14:schemeClr w14:val="tx1"/>
                  </w14:solidFill>
                </w14:textFill>
              </w:rPr>
            </w:pPr>
          </w:p>
        </w:tc>
        <w:tc>
          <w:tcPr>
            <w:tcW w:w="1556" w:type="dxa"/>
            <w:noWrap w:val="0"/>
            <w:vAlign w:val="center"/>
          </w:tcPr>
          <w:p w14:paraId="5B96282F">
            <w:pPr>
              <w:jc w:val="center"/>
              <w:rPr>
                <w:rFonts w:ascii="宋体" w:hAnsi="宋体"/>
                <w:color w:val="000000" w:themeColor="text1"/>
                <w:szCs w:val="21"/>
                <w:highlight w:val="none"/>
                <w14:textFill>
                  <w14:solidFill>
                    <w14:schemeClr w14:val="tx1"/>
                  </w14:solidFill>
                </w14:textFill>
              </w:rPr>
            </w:pPr>
          </w:p>
        </w:tc>
        <w:tc>
          <w:tcPr>
            <w:tcW w:w="1626" w:type="dxa"/>
            <w:noWrap w:val="0"/>
            <w:vAlign w:val="center"/>
          </w:tcPr>
          <w:p w14:paraId="11083728">
            <w:pPr>
              <w:jc w:val="center"/>
              <w:rPr>
                <w:rFonts w:ascii="宋体" w:hAnsi="宋体"/>
                <w:color w:val="000000" w:themeColor="text1"/>
                <w:szCs w:val="21"/>
                <w:highlight w:val="none"/>
                <w14:textFill>
                  <w14:solidFill>
                    <w14:schemeClr w14:val="tx1"/>
                  </w14:solidFill>
                </w14:textFill>
              </w:rPr>
            </w:pPr>
          </w:p>
        </w:tc>
        <w:tc>
          <w:tcPr>
            <w:tcW w:w="1556" w:type="dxa"/>
            <w:noWrap w:val="0"/>
            <w:vAlign w:val="center"/>
          </w:tcPr>
          <w:p w14:paraId="2189328A">
            <w:pPr>
              <w:jc w:val="center"/>
              <w:rPr>
                <w:rFonts w:ascii="宋体" w:hAnsi="宋体"/>
                <w:color w:val="000000" w:themeColor="text1"/>
                <w:szCs w:val="21"/>
                <w:highlight w:val="none"/>
                <w14:textFill>
                  <w14:solidFill>
                    <w14:schemeClr w14:val="tx1"/>
                  </w14:solidFill>
                </w14:textFill>
              </w:rPr>
            </w:pPr>
          </w:p>
        </w:tc>
        <w:tc>
          <w:tcPr>
            <w:tcW w:w="1685" w:type="dxa"/>
            <w:noWrap w:val="0"/>
            <w:vAlign w:val="center"/>
          </w:tcPr>
          <w:p w14:paraId="23206236">
            <w:pPr>
              <w:jc w:val="center"/>
              <w:rPr>
                <w:rFonts w:ascii="宋体" w:hAnsi="宋体"/>
                <w:color w:val="000000" w:themeColor="text1"/>
                <w:szCs w:val="21"/>
                <w:highlight w:val="none"/>
                <w14:textFill>
                  <w14:solidFill>
                    <w14:schemeClr w14:val="tx1"/>
                  </w14:solidFill>
                </w14:textFill>
              </w:rPr>
            </w:pPr>
          </w:p>
        </w:tc>
        <w:tc>
          <w:tcPr>
            <w:tcW w:w="1216" w:type="dxa"/>
            <w:noWrap w:val="0"/>
            <w:vAlign w:val="center"/>
          </w:tcPr>
          <w:p w14:paraId="6125D011">
            <w:pPr>
              <w:jc w:val="center"/>
              <w:rPr>
                <w:rFonts w:ascii="宋体" w:hAnsi="宋体"/>
                <w:color w:val="000000" w:themeColor="text1"/>
                <w:szCs w:val="21"/>
                <w:highlight w:val="none"/>
                <w14:textFill>
                  <w14:solidFill>
                    <w14:schemeClr w14:val="tx1"/>
                  </w14:solidFill>
                </w14:textFill>
              </w:rPr>
            </w:pPr>
          </w:p>
        </w:tc>
        <w:tc>
          <w:tcPr>
            <w:tcW w:w="1380" w:type="dxa"/>
            <w:noWrap w:val="0"/>
            <w:vAlign w:val="center"/>
          </w:tcPr>
          <w:p w14:paraId="2919DDE9">
            <w:pPr>
              <w:jc w:val="center"/>
              <w:rPr>
                <w:rFonts w:ascii="宋体" w:hAnsi="宋体"/>
                <w:color w:val="000000" w:themeColor="text1"/>
                <w:szCs w:val="21"/>
                <w:highlight w:val="none"/>
                <w14:textFill>
                  <w14:solidFill>
                    <w14:schemeClr w14:val="tx1"/>
                  </w14:solidFill>
                </w14:textFill>
              </w:rPr>
            </w:pPr>
          </w:p>
        </w:tc>
      </w:tr>
      <w:tr w14:paraId="7B0CD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637" w:type="dxa"/>
            <w:noWrap w:val="0"/>
            <w:vAlign w:val="center"/>
          </w:tcPr>
          <w:p w14:paraId="32995EA8">
            <w:pPr>
              <w:jc w:val="center"/>
              <w:rPr>
                <w:rFonts w:ascii="宋体" w:hAnsi="宋体"/>
                <w:color w:val="000000" w:themeColor="text1"/>
                <w:szCs w:val="21"/>
                <w:highlight w:val="none"/>
                <w14:textFill>
                  <w14:solidFill>
                    <w14:schemeClr w14:val="tx1"/>
                  </w14:solidFill>
                </w14:textFill>
              </w:rPr>
            </w:pPr>
          </w:p>
        </w:tc>
        <w:tc>
          <w:tcPr>
            <w:tcW w:w="1556" w:type="dxa"/>
            <w:noWrap w:val="0"/>
            <w:vAlign w:val="center"/>
          </w:tcPr>
          <w:p w14:paraId="1FF318B9">
            <w:pPr>
              <w:jc w:val="center"/>
              <w:rPr>
                <w:rFonts w:ascii="宋体" w:hAnsi="宋体"/>
                <w:color w:val="000000" w:themeColor="text1"/>
                <w:szCs w:val="21"/>
                <w:highlight w:val="none"/>
                <w14:textFill>
                  <w14:solidFill>
                    <w14:schemeClr w14:val="tx1"/>
                  </w14:solidFill>
                </w14:textFill>
              </w:rPr>
            </w:pPr>
          </w:p>
        </w:tc>
        <w:tc>
          <w:tcPr>
            <w:tcW w:w="1626" w:type="dxa"/>
            <w:noWrap w:val="0"/>
            <w:vAlign w:val="center"/>
          </w:tcPr>
          <w:p w14:paraId="487EB5E1">
            <w:pPr>
              <w:jc w:val="center"/>
              <w:rPr>
                <w:rFonts w:ascii="宋体" w:hAnsi="宋体"/>
                <w:color w:val="000000" w:themeColor="text1"/>
                <w:szCs w:val="21"/>
                <w:highlight w:val="none"/>
                <w14:textFill>
                  <w14:solidFill>
                    <w14:schemeClr w14:val="tx1"/>
                  </w14:solidFill>
                </w14:textFill>
              </w:rPr>
            </w:pPr>
          </w:p>
        </w:tc>
        <w:tc>
          <w:tcPr>
            <w:tcW w:w="1556" w:type="dxa"/>
            <w:noWrap w:val="0"/>
            <w:vAlign w:val="center"/>
          </w:tcPr>
          <w:p w14:paraId="79D0C872">
            <w:pPr>
              <w:jc w:val="center"/>
              <w:rPr>
                <w:rFonts w:ascii="宋体" w:hAnsi="宋体"/>
                <w:color w:val="000000" w:themeColor="text1"/>
                <w:szCs w:val="21"/>
                <w:highlight w:val="none"/>
                <w14:textFill>
                  <w14:solidFill>
                    <w14:schemeClr w14:val="tx1"/>
                  </w14:solidFill>
                </w14:textFill>
              </w:rPr>
            </w:pPr>
          </w:p>
        </w:tc>
        <w:tc>
          <w:tcPr>
            <w:tcW w:w="1685" w:type="dxa"/>
            <w:noWrap w:val="0"/>
            <w:vAlign w:val="center"/>
          </w:tcPr>
          <w:p w14:paraId="42C19162">
            <w:pPr>
              <w:jc w:val="center"/>
              <w:rPr>
                <w:rFonts w:ascii="宋体" w:hAnsi="宋体"/>
                <w:color w:val="000000" w:themeColor="text1"/>
                <w:szCs w:val="21"/>
                <w:highlight w:val="none"/>
                <w14:textFill>
                  <w14:solidFill>
                    <w14:schemeClr w14:val="tx1"/>
                  </w14:solidFill>
                </w14:textFill>
              </w:rPr>
            </w:pPr>
          </w:p>
        </w:tc>
        <w:tc>
          <w:tcPr>
            <w:tcW w:w="1216" w:type="dxa"/>
            <w:noWrap w:val="0"/>
            <w:vAlign w:val="center"/>
          </w:tcPr>
          <w:p w14:paraId="3D004D23">
            <w:pPr>
              <w:jc w:val="center"/>
              <w:rPr>
                <w:rFonts w:ascii="宋体" w:hAnsi="宋体"/>
                <w:color w:val="000000" w:themeColor="text1"/>
                <w:szCs w:val="21"/>
                <w:highlight w:val="none"/>
                <w14:textFill>
                  <w14:solidFill>
                    <w14:schemeClr w14:val="tx1"/>
                  </w14:solidFill>
                </w14:textFill>
              </w:rPr>
            </w:pPr>
          </w:p>
        </w:tc>
        <w:tc>
          <w:tcPr>
            <w:tcW w:w="1380" w:type="dxa"/>
            <w:noWrap w:val="0"/>
            <w:vAlign w:val="center"/>
          </w:tcPr>
          <w:p w14:paraId="42D67A75">
            <w:pPr>
              <w:jc w:val="center"/>
              <w:rPr>
                <w:rFonts w:ascii="宋体" w:hAnsi="宋体"/>
                <w:color w:val="000000" w:themeColor="text1"/>
                <w:szCs w:val="21"/>
                <w:highlight w:val="none"/>
                <w14:textFill>
                  <w14:solidFill>
                    <w14:schemeClr w14:val="tx1"/>
                  </w14:solidFill>
                </w14:textFill>
              </w:rPr>
            </w:pPr>
          </w:p>
        </w:tc>
      </w:tr>
    </w:tbl>
    <w:p w14:paraId="6EDCFF98">
      <w:pPr>
        <w:spacing w:line="400" w:lineRule="exact"/>
        <w:ind w:firstLine="802"/>
        <w:rPr>
          <w:rFonts w:ascii="宋体" w:hAnsi="宋体" w:eastAsia="宋体" w:cs="宋体"/>
          <w:b/>
          <w:color w:val="000000" w:themeColor="text1"/>
          <w:sz w:val="28"/>
          <w:szCs w:val="30"/>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后附：按评分标准要求提供类似合同业绩，表格不够自行添加。</w:t>
      </w:r>
    </w:p>
    <w:p w14:paraId="70F43F00">
      <w:pPr>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p>
    <w:p w14:paraId="6243BCC4">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公章：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4D3B42CB">
      <w:pPr>
        <w:spacing w:line="52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法定代表人或授权委托人签字或盖章：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1BBB416D">
      <w:pPr>
        <w:spacing w:line="5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月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日</w:t>
      </w:r>
    </w:p>
    <w:p w14:paraId="4302F36E">
      <w:pPr>
        <w:pStyle w:val="16"/>
        <w:rPr>
          <w:rFonts w:hint="eastAsia" w:ascii="宋体" w:hAnsi="宋体" w:eastAsia="宋体" w:cs="宋体"/>
          <w:b/>
          <w:color w:val="000000" w:themeColor="text1"/>
          <w:sz w:val="28"/>
          <w:szCs w:val="30"/>
          <w:highlight w:val="none"/>
          <w:lang w:val="en-US" w:eastAsia="zh-CN"/>
          <w14:textFill>
            <w14:solidFill>
              <w14:schemeClr w14:val="tx1"/>
            </w14:solidFill>
          </w14:textFill>
        </w:rPr>
      </w:pPr>
    </w:p>
    <w:p w14:paraId="7622AF2C">
      <w:pPr>
        <w:spacing w:line="360" w:lineRule="auto"/>
        <w:rPr>
          <w:rFonts w:hint="eastAsia" w:ascii="宋体" w:hAnsi="宋体" w:eastAsia="宋体" w:cs="宋体"/>
          <w:color w:val="000000" w:themeColor="text1"/>
          <w:sz w:val="24"/>
          <w:highlight w:val="none"/>
          <w14:textFill>
            <w14:solidFill>
              <w14:schemeClr w14:val="tx1"/>
            </w14:solidFill>
          </w14:textFill>
        </w:rPr>
      </w:pPr>
    </w:p>
    <w:p w14:paraId="5B1C2017">
      <w:pPr>
        <w:numPr>
          <w:ilvl w:val="0"/>
          <w:numId w:val="0"/>
        </w:numPr>
        <w:spacing w:line="520" w:lineRule="exact"/>
        <w:jc w:val="both"/>
        <w:outlineLvl w:val="0"/>
        <w:rPr>
          <w:rFonts w:hint="eastAsia" w:ascii="宋体" w:hAnsi="宋体" w:eastAsia="宋体" w:cs="宋体"/>
          <w:b/>
          <w:bCs/>
          <w:color w:val="000000" w:themeColor="text1"/>
          <w:sz w:val="28"/>
          <w:highlight w:val="none"/>
          <w:lang w:val="en-US" w:eastAsia="zh-CN"/>
          <w14:textFill>
            <w14:solidFill>
              <w14:schemeClr w14:val="tx1"/>
            </w14:solidFill>
          </w14:textFill>
        </w:rPr>
      </w:pPr>
      <w:bookmarkStart w:id="214" w:name="_Toc7264"/>
      <w:bookmarkStart w:id="215" w:name="_Toc24229"/>
      <w:bookmarkStart w:id="216" w:name="_Toc860"/>
    </w:p>
    <w:p w14:paraId="094DF265">
      <w:pPr>
        <w:numPr>
          <w:ilvl w:val="0"/>
          <w:numId w:val="0"/>
        </w:numPr>
        <w:spacing w:line="520" w:lineRule="exact"/>
        <w:jc w:val="both"/>
        <w:outlineLvl w:val="0"/>
        <w:rPr>
          <w:rFonts w:hint="eastAsia" w:ascii="宋体" w:hAnsi="宋体" w:cs="宋体"/>
          <w:b/>
          <w:bCs/>
          <w:color w:val="000000" w:themeColor="text1"/>
          <w:sz w:val="28"/>
          <w:highlight w:val="none"/>
          <w:lang w:val="en-US" w:eastAsia="zh-CN"/>
          <w14:textFill>
            <w14:solidFill>
              <w14:schemeClr w14:val="tx1"/>
            </w14:solidFill>
          </w14:textFill>
        </w:rPr>
      </w:pPr>
    </w:p>
    <w:p w14:paraId="64E55C66">
      <w:pPr>
        <w:rPr>
          <w:rFonts w:hint="eastAsia" w:ascii="宋体" w:hAnsi="宋体" w:cs="宋体"/>
          <w:b/>
          <w:bCs/>
          <w:color w:val="000000" w:themeColor="text1"/>
          <w:sz w:val="28"/>
          <w:highlight w:val="none"/>
          <w:lang w:val="en-US" w:eastAsia="zh-CN"/>
          <w14:textFill>
            <w14:solidFill>
              <w14:schemeClr w14:val="tx1"/>
            </w14:solidFill>
          </w14:textFill>
        </w:rPr>
      </w:pPr>
      <w:bookmarkStart w:id="217" w:name="_Toc11750"/>
      <w:r>
        <w:rPr>
          <w:rFonts w:hint="eastAsia" w:ascii="宋体" w:hAnsi="宋体" w:cs="宋体"/>
          <w:b/>
          <w:bCs/>
          <w:color w:val="000000" w:themeColor="text1"/>
          <w:sz w:val="28"/>
          <w:highlight w:val="none"/>
          <w:lang w:val="en-US" w:eastAsia="zh-CN"/>
          <w14:textFill>
            <w14:solidFill>
              <w14:schemeClr w14:val="tx1"/>
            </w14:solidFill>
          </w14:textFill>
        </w:rPr>
        <w:br w:type="page" w:clear="all"/>
      </w:r>
    </w:p>
    <w:p w14:paraId="3E7D83F8">
      <w:pPr>
        <w:numPr>
          <w:ilvl w:val="0"/>
          <w:numId w:val="0"/>
        </w:numPr>
        <w:spacing w:line="520" w:lineRule="exact"/>
        <w:jc w:val="center"/>
        <w:outlineLvl w:val="0"/>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九、已标价的工程量清单</w:t>
      </w:r>
      <w:bookmarkEnd w:id="217"/>
    </w:p>
    <w:p w14:paraId="26BCD665">
      <w:pPr>
        <w:pStyle w:val="16"/>
        <w:rPr>
          <w:rFonts w:hint="eastAsia" w:ascii="宋体" w:hAnsi="宋体" w:cs="宋体"/>
          <w:b/>
          <w:bCs/>
          <w:color w:val="000000" w:themeColor="text1"/>
          <w:sz w:val="28"/>
          <w:highlight w:val="none"/>
          <w:lang w:val="en-US" w:eastAsia="zh-CN"/>
          <w14:textFill>
            <w14:solidFill>
              <w14:schemeClr w14:val="tx1"/>
            </w14:solidFill>
          </w14:textFill>
        </w:rPr>
      </w:pPr>
    </w:p>
    <w:p w14:paraId="172920C9">
      <w:pPr>
        <w:pStyle w:val="16"/>
        <w:rPr>
          <w:rFonts w:hint="eastAsia" w:ascii="宋体" w:hAnsi="宋体" w:cs="宋体"/>
          <w:b/>
          <w:bCs/>
          <w:color w:val="000000" w:themeColor="text1"/>
          <w:sz w:val="28"/>
          <w:highlight w:val="none"/>
          <w:lang w:val="en-US" w:eastAsia="zh-CN"/>
          <w14:textFill>
            <w14:solidFill>
              <w14:schemeClr w14:val="tx1"/>
            </w14:solidFill>
          </w14:textFill>
        </w:rPr>
      </w:pPr>
    </w:p>
    <w:p w14:paraId="22B2B75B">
      <w:pPr>
        <w:pStyle w:val="16"/>
        <w:rPr>
          <w:rFonts w:hint="eastAsia" w:ascii="宋体" w:hAnsi="宋体" w:cs="宋体"/>
          <w:b/>
          <w:bCs/>
          <w:color w:val="000000" w:themeColor="text1"/>
          <w:sz w:val="28"/>
          <w:highlight w:val="none"/>
          <w:lang w:val="en-US" w:eastAsia="zh-CN"/>
          <w14:textFill>
            <w14:solidFill>
              <w14:schemeClr w14:val="tx1"/>
            </w14:solidFill>
          </w14:textFill>
        </w:rPr>
      </w:pPr>
    </w:p>
    <w:p w14:paraId="427EA2A3">
      <w:pPr>
        <w:pStyle w:val="16"/>
        <w:rPr>
          <w:rFonts w:hint="eastAsia" w:ascii="宋体" w:hAnsi="宋体" w:cs="宋体"/>
          <w:b/>
          <w:bCs/>
          <w:color w:val="000000" w:themeColor="text1"/>
          <w:sz w:val="28"/>
          <w:highlight w:val="none"/>
          <w:lang w:val="en-US" w:eastAsia="zh-CN"/>
          <w14:textFill>
            <w14:solidFill>
              <w14:schemeClr w14:val="tx1"/>
            </w14:solidFill>
          </w14:textFill>
        </w:rPr>
      </w:pPr>
    </w:p>
    <w:p w14:paraId="339B43CA">
      <w:pPr>
        <w:pStyle w:val="16"/>
        <w:rPr>
          <w:rFonts w:hint="eastAsia" w:ascii="宋体" w:hAnsi="宋体" w:cs="宋体"/>
          <w:b/>
          <w:bCs/>
          <w:color w:val="000000" w:themeColor="text1"/>
          <w:sz w:val="28"/>
          <w:highlight w:val="none"/>
          <w:lang w:val="en-US" w:eastAsia="zh-CN"/>
          <w14:textFill>
            <w14:solidFill>
              <w14:schemeClr w14:val="tx1"/>
            </w14:solidFill>
          </w14:textFill>
        </w:rPr>
      </w:pPr>
    </w:p>
    <w:p w14:paraId="274A3299">
      <w:pPr>
        <w:pStyle w:val="16"/>
        <w:rPr>
          <w:rFonts w:hint="eastAsia" w:ascii="宋体" w:hAnsi="宋体" w:cs="宋体"/>
          <w:b/>
          <w:bCs/>
          <w:color w:val="000000" w:themeColor="text1"/>
          <w:sz w:val="28"/>
          <w:highlight w:val="none"/>
          <w:lang w:val="en-US" w:eastAsia="zh-CN"/>
          <w14:textFill>
            <w14:solidFill>
              <w14:schemeClr w14:val="tx1"/>
            </w14:solidFill>
          </w14:textFill>
        </w:rPr>
      </w:pPr>
    </w:p>
    <w:p w14:paraId="18F55615">
      <w:pPr>
        <w:pStyle w:val="16"/>
        <w:rPr>
          <w:rFonts w:hint="eastAsia" w:ascii="宋体" w:hAnsi="宋体" w:cs="宋体"/>
          <w:b/>
          <w:bCs/>
          <w:color w:val="000000" w:themeColor="text1"/>
          <w:sz w:val="28"/>
          <w:highlight w:val="none"/>
          <w:lang w:val="en-US" w:eastAsia="zh-CN"/>
          <w14:textFill>
            <w14:solidFill>
              <w14:schemeClr w14:val="tx1"/>
            </w14:solidFill>
          </w14:textFill>
        </w:rPr>
      </w:pPr>
    </w:p>
    <w:p w14:paraId="02E87B25">
      <w:pPr>
        <w:pStyle w:val="16"/>
        <w:rPr>
          <w:rFonts w:hint="eastAsia" w:ascii="宋体" w:hAnsi="宋体" w:cs="宋体"/>
          <w:b/>
          <w:bCs/>
          <w:color w:val="000000" w:themeColor="text1"/>
          <w:sz w:val="28"/>
          <w:highlight w:val="none"/>
          <w:lang w:val="en-US" w:eastAsia="zh-CN"/>
          <w14:textFill>
            <w14:solidFill>
              <w14:schemeClr w14:val="tx1"/>
            </w14:solidFill>
          </w14:textFill>
        </w:rPr>
      </w:pPr>
    </w:p>
    <w:p w14:paraId="06710FB8">
      <w:pPr>
        <w:rPr>
          <w:rFonts w:hint="eastAsia" w:ascii="宋体" w:hAnsi="宋体" w:cs="宋体"/>
          <w:b/>
          <w:bCs/>
          <w:color w:val="000000" w:themeColor="text1"/>
          <w:sz w:val="28"/>
          <w:highlight w:val="none"/>
          <w:lang w:val="en-US" w:eastAsia="zh-CN"/>
          <w14:textFill>
            <w14:solidFill>
              <w14:schemeClr w14:val="tx1"/>
            </w14:solidFill>
          </w14:textFill>
        </w:rPr>
      </w:pPr>
      <w:bookmarkStart w:id="218" w:name="_Toc21174"/>
      <w:r>
        <w:rPr>
          <w:rFonts w:hint="eastAsia" w:ascii="宋体" w:hAnsi="宋体" w:cs="宋体"/>
          <w:b/>
          <w:bCs/>
          <w:color w:val="000000" w:themeColor="text1"/>
          <w:sz w:val="28"/>
          <w:highlight w:val="none"/>
          <w:lang w:val="en-US" w:eastAsia="zh-CN"/>
          <w14:textFill>
            <w14:solidFill>
              <w14:schemeClr w14:val="tx1"/>
            </w14:solidFill>
          </w14:textFill>
        </w:rPr>
        <w:br w:type="page" w:clear="all"/>
      </w:r>
    </w:p>
    <w:p w14:paraId="7B8FAD8A">
      <w:pPr>
        <w:pStyle w:val="35"/>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十、关于投标报价合理性的澄清说明（若涉及则提供，不涉及则无需提供）</w:t>
      </w:r>
    </w:p>
    <w:p w14:paraId="3AF7F3B3">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color w:val="000000" w:themeColor="text1"/>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关于投标报价合理性的澄清说明</w:t>
      </w:r>
    </w:p>
    <w:p w14:paraId="2B9976E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000000" w:themeColor="text1"/>
          <w14:textFill>
            <w14:solidFill>
              <w14:schemeClr w14:val="tx1"/>
            </w14:solidFill>
          </w14:textFill>
        </w:rPr>
      </w:pPr>
      <w:r>
        <w:rPr>
          <w:color w:val="000000" w:themeColor="text1"/>
          <w14:textFill>
            <w14:solidFill>
              <w14:schemeClr w14:val="tx1"/>
            </w14:solidFill>
          </w14:textFill>
        </w:rPr>
        <w:t> </w:t>
      </w:r>
    </w:p>
    <w:p w14:paraId="3999D1A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u w:val="single"/>
          <w14:textFill>
            <w14:solidFill>
              <w14:schemeClr w14:val="tx1"/>
            </w14:solidFill>
          </w14:textFill>
        </w:rPr>
        <w:t xml:space="preserve"> (采购人) </w:t>
      </w:r>
    </w:p>
    <w:p w14:paraId="1073B6ED">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360" w:lineRule="auto"/>
        <w:ind w:left="0" w:firstLine="480"/>
        <w:jc w:val="both"/>
        <w:rPr>
          <w:color w:val="000000" w:themeColor="text1"/>
          <w14:textFill>
            <w14:solidFill>
              <w14:schemeClr w14:val="tx1"/>
            </w14:solidFill>
          </w14:textFill>
        </w:rPr>
      </w:pPr>
      <w:r>
        <w:rPr>
          <w:color w:val="000000" w:themeColor="text1"/>
          <w14:textFill>
            <w14:solidFill>
              <w14:schemeClr w14:val="tx1"/>
            </w14:solidFill>
          </w14:textFill>
        </w:rPr>
        <w:t> </w:t>
      </w:r>
    </w:p>
    <w:p w14:paraId="27128DEA">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line="360" w:lineRule="auto"/>
        <w:ind w:left="0" w:firstLine="480"/>
        <w:jc w:val="both"/>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本公司愿就由贵中心组织实施的编号为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号（项目编号）的磋商活动进行响应，对于本公司的响应报价合理性作出说明如下：</w:t>
      </w:r>
    </w:p>
    <w:tbl>
      <w:tblPr>
        <w:tblStyle w:val="37"/>
        <w:tblW w:w="0" w:type="auto"/>
        <w:tblCellSpacing w:w="0"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182"/>
      </w:tblGrid>
      <w:tr w14:paraId="590F1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940" w:hRule="atLeast"/>
          <w:tblCellSpacing w:w="0" w:type="dxa"/>
        </w:trPr>
        <w:tc>
          <w:tcPr>
            <w:tcW w:w="91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E71B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600" w:lineRule="auto"/>
              <w:jc w:val="both"/>
              <w:rPr>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响应单位应当根据实际情况自拟答复并根据磋商小组关于澄清的要求提供相关证明材料作为附件。</w:t>
            </w:r>
          </w:p>
        </w:tc>
      </w:tr>
    </w:tbl>
    <w:p w14:paraId="7AFDB8A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2"/>
        <w:jc w:val="both"/>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备注：根据竞争性磋商采购文件第二章“供应商须知”要求，在评标过程中当</w:t>
      </w:r>
      <w:r>
        <w:rPr>
          <w:rFonts w:hint="eastAsia" w:ascii="宋体" w:hAnsi="宋体" w:eastAsia="宋体" w:cs="宋体"/>
          <w:b/>
          <w:bCs/>
          <w:color w:val="000000" w:themeColor="text1"/>
          <w:sz w:val="24"/>
          <w:szCs w:val="24"/>
          <w14:textFill>
            <w14:solidFill>
              <w14:schemeClr w14:val="tx1"/>
            </w14:solidFill>
          </w14:textFill>
        </w:rPr>
        <w:t>投标（响应）报价低于采购项目最高限价45%的</w:t>
      </w:r>
      <w:r>
        <w:rPr>
          <w:rFonts w:hint="eastAsia" w:ascii="宋体" w:hAnsi="宋体" w:eastAsia="宋体" w:cs="宋体"/>
          <w:color w:val="000000" w:themeColor="text1"/>
          <w:sz w:val="24"/>
          <w:szCs w:val="24"/>
          <w14:textFill>
            <w14:solidFill>
              <w14:schemeClr w14:val="tx1"/>
            </w14:solidFill>
          </w14:textFill>
        </w:rPr>
        <w:t>，即响应报价&lt;采购项目最高限价×45%；</w:t>
      </w:r>
      <w:r>
        <w:rPr>
          <w:rFonts w:hint="eastAsia" w:ascii="宋体" w:hAnsi="宋体" w:eastAsia="宋体" w:cs="宋体"/>
          <w:b/>
          <w:bCs/>
          <w:color w:val="000000" w:themeColor="text1"/>
          <w:sz w:val="24"/>
          <w:szCs w:val="24"/>
          <w14:textFill>
            <w14:solidFill>
              <w14:schemeClr w14:val="tx1"/>
            </w14:solidFill>
          </w14:textFill>
        </w:rPr>
        <w:t>供应商可随响应文件一并提交相关书面说明及必要的证明材料的对投标（响应）报价作出解释</w:t>
      </w:r>
      <w:r>
        <w:rPr>
          <w:rFonts w:hint="eastAsia" w:ascii="宋体" w:hAnsi="宋体" w:eastAsia="宋体" w:cs="宋体"/>
          <w:color w:val="000000" w:themeColor="text1"/>
          <w:sz w:val="24"/>
          <w:szCs w:val="24"/>
          <w14:textFill>
            <w14:solidFill>
              <w14:schemeClr w14:val="tx1"/>
            </w14:solidFill>
          </w14:textFill>
        </w:rPr>
        <w:t>。书面说明、证明材料主要是项目具体成本测算等与报价合理性相关的说明、材料。响应单位不能证明其报价合理性的，磋商小组应当将其作为无效响应报价处理。</w:t>
      </w:r>
    </w:p>
    <w:p w14:paraId="7CE63D3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2"/>
        <w:jc w:val="both"/>
        <w:rPr>
          <w:color w:val="000000" w:themeColor="text1"/>
          <w14:textFill>
            <w14:solidFill>
              <w14:schemeClr w14:val="tx1"/>
            </w14:solidFill>
          </w14:textFill>
        </w:rPr>
      </w:pPr>
      <w:r>
        <w:rPr>
          <w:color w:val="000000" w:themeColor="text1"/>
          <w14:textFill>
            <w14:solidFill>
              <w14:schemeClr w14:val="tx1"/>
            </w14:solidFill>
          </w14:textFill>
        </w:rPr>
        <w:t> </w:t>
      </w:r>
    </w:p>
    <w:p w14:paraId="4AEA433D">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20" w:afterAutospacing="0"/>
        <w:ind w:left="420"/>
        <w:jc w:val="both"/>
        <w:rPr>
          <w:color w:val="000000" w:themeColor="text1"/>
          <w14:textFill>
            <w14:solidFill>
              <w14:schemeClr w14:val="tx1"/>
            </w14:solidFill>
          </w14:textFill>
        </w:rPr>
      </w:pPr>
      <w:r>
        <w:rPr>
          <w:color w:val="000000" w:themeColor="text1"/>
          <w14:textFill>
            <w14:solidFill>
              <w14:schemeClr w14:val="tx1"/>
            </w14:solidFill>
          </w14:textFill>
        </w:rPr>
        <w:t> </w:t>
      </w:r>
    </w:p>
    <w:p w14:paraId="3AE8246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3422"/>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磋商单位盖章：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 xml:space="preserve">          </w:t>
      </w:r>
    </w:p>
    <w:p w14:paraId="1CA8195D">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000000" w:themeColor="text1"/>
          <w14:textFill>
            <w14:solidFill>
              <w14:schemeClr w14:val="tx1"/>
            </w14:solidFill>
          </w14:textFill>
        </w:rPr>
      </w:pPr>
      <w:r>
        <w:rPr>
          <w:color w:val="000000" w:themeColor="text1"/>
          <w14:textFill>
            <w14:solidFill>
              <w14:schemeClr w14:val="tx1"/>
            </w14:solidFill>
          </w14:textFill>
        </w:rPr>
        <w:t> </w:t>
      </w:r>
    </w:p>
    <w:p w14:paraId="7B7BC65A">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262"/>
        <w:jc w:val="both"/>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法定代表人或委托代理人(签字或盖章)：</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472D1610">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w:t>
      </w:r>
    </w:p>
    <w:p w14:paraId="18988E29">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auto"/>
        <w:ind w:left="0" w:firstLine="3360"/>
        <w:jc w:val="both"/>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46B357DB">
      <w:pPr>
        <w:numPr>
          <w:ilvl w:val="0"/>
          <w:numId w:val="0"/>
        </w:numPr>
        <w:spacing w:line="520" w:lineRule="exact"/>
        <w:jc w:val="both"/>
        <w:outlineLvl w:val="0"/>
        <w:rPr>
          <w:rFonts w:hint="eastAsia" w:ascii="宋体" w:hAnsi="宋体" w:cs="宋体"/>
          <w:b/>
          <w:bCs/>
          <w:color w:val="000000" w:themeColor="text1"/>
          <w:sz w:val="28"/>
          <w:highlight w:val="none"/>
          <w:lang w:val="en-US" w:eastAsia="zh-CN"/>
          <w14:textFill>
            <w14:solidFill>
              <w14:schemeClr w14:val="tx1"/>
            </w14:solidFill>
          </w14:textFill>
        </w:rPr>
      </w:pPr>
    </w:p>
    <w:p w14:paraId="211DA4AC">
      <w:pPr>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br w:type="page" w:clear="all"/>
      </w:r>
    </w:p>
    <w:p w14:paraId="234053C5">
      <w:pPr>
        <w:numPr>
          <w:ilvl w:val="0"/>
          <w:numId w:val="0"/>
        </w:numPr>
        <w:spacing w:line="520" w:lineRule="exact"/>
        <w:jc w:val="center"/>
        <w:outlineLvl w:val="0"/>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十一、</w:t>
      </w:r>
      <w:r>
        <w:rPr>
          <w:rFonts w:hint="eastAsia" w:ascii="宋体" w:hAnsi="宋体" w:eastAsia="宋体" w:cs="宋体"/>
          <w:b/>
          <w:bCs/>
          <w:color w:val="000000" w:themeColor="text1"/>
          <w:sz w:val="30"/>
          <w:szCs w:val="30"/>
          <w:highlight w:val="none"/>
          <w14:textFill>
            <w14:solidFill>
              <w14:schemeClr w14:val="tx1"/>
            </w14:solidFill>
          </w14:textFill>
        </w:rPr>
        <w:t>其它材料</w:t>
      </w:r>
      <w:bookmarkEnd w:id="214"/>
      <w:bookmarkEnd w:id="215"/>
      <w:bookmarkEnd w:id="216"/>
      <w:bookmarkEnd w:id="218"/>
    </w:p>
    <w:p w14:paraId="07BA6959">
      <w:pPr>
        <w:spacing w:line="520" w:lineRule="exact"/>
        <w:ind w:firstLine="420"/>
        <w:rPr>
          <w:rFonts w:hint="eastAsia" w:ascii="宋体" w:hAnsi="宋体" w:eastAsia="宋体" w:cs="宋体"/>
          <w:color w:val="000000" w:themeColor="text1"/>
          <w:sz w:val="28"/>
          <w:highlight w:val="none"/>
          <w14:textFill>
            <w14:solidFill>
              <w14:schemeClr w14:val="tx1"/>
            </w14:solidFill>
          </w14:textFill>
        </w:rPr>
      </w:pPr>
    </w:p>
    <w:p w14:paraId="50C707D9">
      <w:pPr>
        <w:spacing w:line="520" w:lineRule="exact"/>
        <w:ind w:firstLine="420"/>
        <w:jc w:val="center"/>
        <w:outlineLvl w:val="0"/>
        <w:rPr>
          <w:rFonts w:hint="eastAsia" w:ascii="宋体" w:hAnsi="宋体" w:eastAsia="宋体" w:cs="宋体"/>
          <w:color w:val="000000" w:themeColor="text1"/>
          <w:sz w:val="28"/>
          <w:highlight w:val="none"/>
          <w14:textFill>
            <w14:solidFill>
              <w14:schemeClr w14:val="tx1"/>
            </w14:solidFill>
          </w14:textFill>
        </w:rPr>
      </w:pPr>
      <w:bookmarkStart w:id="219" w:name="_Toc4695"/>
      <w:bookmarkStart w:id="220" w:name="_Toc10037"/>
      <w:bookmarkStart w:id="221" w:name="_Toc11517_WPSOffice_Level1"/>
      <w:bookmarkStart w:id="222" w:name="_Toc25997"/>
      <w:bookmarkStart w:id="223" w:name="_Toc15866"/>
      <w:r>
        <w:rPr>
          <w:rFonts w:hint="eastAsia" w:ascii="宋体" w:hAnsi="宋体" w:eastAsia="宋体" w:cs="宋体"/>
          <w:color w:val="000000" w:themeColor="text1"/>
          <w:sz w:val="28"/>
          <w:highlight w:val="none"/>
          <w14:textFill>
            <w14:solidFill>
              <w14:schemeClr w14:val="tx1"/>
            </w14:solidFill>
          </w14:textFill>
        </w:rPr>
        <w:t>供应商认为有必要提供的材料或评分标准中需要提供的材料。</w:t>
      </w:r>
      <w:bookmarkEnd w:id="219"/>
      <w:bookmarkEnd w:id="220"/>
      <w:bookmarkEnd w:id="221"/>
      <w:bookmarkEnd w:id="222"/>
      <w:bookmarkEnd w:id="223"/>
    </w:p>
    <w:p w14:paraId="4FA2A6CC">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p>
    <w:p w14:paraId="76D69797">
      <w:pPr>
        <w:jc w:val="center"/>
        <w:rPr>
          <w:rFonts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t>质疑函范本</w:t>
      </w:r>
    </w:p>
    <w:p w14:paraId="04E78AD8">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一、质疑供应商基本信息</w:t>
      </w:r>
    </w:p>
    <w:p w14:paraId="4C1A7147">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质疑供应商：</w:t>
      </w:r>
    </w:p>
    <w:p w14:paraId="62CD0CF3">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地址：邮编：</w:t>
      </w:r>
    </w:p>
    <w:p w14:paraId="5A502DBD">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联系人：联系电话：</w:t>
      </w:r>
    </w:p>
    <w:p w14:paraId="2BFE0897">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授权代表：</w:t>
      </w:r>
    </w:p>
    <w:p w14:paraId="43616044">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联系电话：</w:t>
      </w:r>
    </w:p>
    <w:p w14:paraId="09EEEA35">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地址：邮编：</w:t>
      </w:r>
    </w:p>
    <w:p w14:paraId="473780E8">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二、质疑项目基本情况</w:t>
      </w:r>
    </w:p>
    <w:p w14:paraId="3E343A6D">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质疑项目的名称：</w:t>
      </w:r>
    </w:p>
    <w:p w14:paraId="067B8B2E">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质疑项目的编号：包号：</w:t>
      </w:r>
    </w:p>
    <w:p w14:paraId="19ADEC67">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采购人名称：</w:t>
      </w:r>
    </w:p>
    <w:p w14:paraId="137E67AC">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采购文件获取日期：</w:t>
      </w:r>
    </w:p>
    <w:p w14:paraId="303DF15C">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三、质疑事项具体内容</w:t>
      </w:r>
    </w:p>
    <w:p w14:paraId="46F58EC1">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质疑事项1：</w:t>
      </w:r>
    </w:p>
    <w:p w14:paraId="2CC335B9">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事实依据：</w:t>
      </w:r>
    </w:p>
    <w:p w14:paraId="69F3A0D8">
      <w:pPr>
        <w:spacing w:line="500" w:lineRule="exact"/>
        <w:rPr>
          <w:rFonts w:ascii="宋体" w:hAnsi="宋体" w:eastAsia="宋体" w:cs="仿宋"/>
          <w:color w:val="000000" w:themeColor="text1"/>
          <w:sz w:val="24"/>
          <w:szCs w:val="24"/>
          <w:highlight w:val="none"/>
          <w14:textFill>
            <w14:solidFill>
              <w14:schemeClr w14:val="tx1"/>
            </w14:solidFill>
          </w14:textFill>
        </w:rPr>
      </w:pPr>
    </w:p>
    <w:p w14:paraId="1CC3DCC8">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法律依据：</w:t>
      </w:r>
    </w:p>
    <w:p w14:paraId="0E026154">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p>
    <w:p w14:paraId="27B9FF02">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质疑事项2</w:t>
      </w:r>
    </w:p>
    <w:p w14:paraId="336D461A">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w:t>
      </w:r>
    </w:p>
    <w:p w14:paraId="30D72421">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四、与质疑事项相关的质疑请求</w:t>
      </w:r>
    </w:p>
    <w:p w14:paraId="667FFF37">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请求：</w:t>
      </w:r>
    </w:p>
    <w:p w14:paraId="3F1C95B9">
      <w:pPr>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签字（签章）：                   公章：                      </w:t>
      </w:r>
    </w:p>
    <w:p w14:paraId="2DA20DFA">
      <w:pPr>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日期：    </w:t>
      </w:r>
    </w:p>
    <w:p w14:paraId="5EEEC94F">
      <w:pPr>
        <w:spacing w:line="500" w:lineRule="exact"/>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质疑函制作说明：</w:t>
      </w:r>
    </w:p>
    <w:p w14:paraId="1C861B3D">
      <w:pPr>
        <w:widowControl/>
        <w:spacing w:line="500" w:lineRule="exact"/>
        <w:ind w:firstLine="480"/>
        <w:jc w:val="lef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1.供应商提出质疑时，应提交质疑函和必要的证明材料。</w:t>
      </w:r>
    </w:p>
    <w:p w14:paraId="73EB17BC">
      <w:pPr>
        <w:widowControl/>
        <w:spacing w:line="500" w:lineRule="exact"/>
        <w:ind w:firstLine="480"/>
        <w:jc w:val="lef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1A178FC4">
      <w:pPr>
        <w:widowControl/>
        <w:spacing w:line="500" w:lineRule="exact"/>
        <w:ind w:firstLine="480"/>
        <w:jc w:val="lef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3.质疑供应商若对项目的某一分包进行质疑，质疑函中应列明具体分包号。</w:t>
      </w:r>
    </w:p>
    <w:p w14:paraId="5FED504E">
      <w:pPr>
        <w:widowControl/>
        <w:spacing w:line="500" w:lineRule="exact"/>
        <w:ind w:firstLine="480"/>
        <w:jc w:val="lef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4.质疑函的质疑事项应具体、明确，并有必要的事实依据和法律依据。</w:t>
      </w:r>
    </w:p>
    <w:p w14:paraId="20D21895">
      <w:pPr>
        <w:widowControl/>
        <w:spacing w:line="500" w:lineRule="exact"/>
        <w:ind w:firstLine="480"/>
        <w:jc w:val="lef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5.质疑函的质疑请求应与质疑事项相关。</w:t>
      </w:r>
    </w:p>
    <w:p w14:paraId="21A75799">
      <w:pPr>
        <w:widowControl/>
        <w:spacing w:line="500" w:lineRule="exact"/>
        <w:ind w:firstLine="480"/>
        <w:jc w:val="left"/>
        <w:rPr>
          <w:rFonts w:hint="eastAsia"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77C692CE">
      <w:pPr>
        <w:spacing w:line="520" w:lineRule="exact"/>
        <w:rPr>
          <w:rFonts w:hint="eastAsia" w:ascii="宋体" w:hAnsi="宋体" w:eastAsia="宋体" w:cs="宋体"/>
          <w:color w:val="000000" w:themeColor="text1"/>
          <w:sz w:val="24"/>
          <w:highlight w:val="none"/>
          <w14:textFill>
            <w14:solidFill>
              <w14:schemeClr w14:val="tx1"/>
            </w14:solidFill>
          </w14:textFill>
        </w:rPr>
      </w:pPr>
    </w:p>
    <w:sectPr>
      <w:footerReference r:id="rId27" w:type="first"/>
      <w:footerReference r:id="rId26" w:type="default"/>
      <w:pgSz w:w="11906" w:h="16838"/>
      <w:pgMar w:top="1134" w:right="1134" w:bottom="1134" w:left="1134" w:header="851" w:footer="907" w:gutter="0"/>
      <w:pgNumType w:fmt="decimal"/>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mbria">
    <w:panose1 w:val="02040503050406030204"/>
    <w:charset w:val="00"/>
    <w:family w:val="auto"/>
    <w:pitch w:val="default"/>
    <w:sig w:usb0="E00002FF" w:usb1="400004FF" w:usb2="00000000" w:usb3="00000000" w:csb0="2000019F" w:csb1="00000000"/>
  </w:font>
  <w:font w:name="幼圆">
    <w:altName w:val="宋体"/>
    <w:panose1 w:val="0201050906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A14E3">
    <w:pPr>
      <w:pStyle w:val="2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3DF23">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9885B">
    <w:pPr>
      <w:pStyle w:val="23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D0F3AB">
                          <w:pPr>
                            <w:pStyle w:val="2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ED0F3AB">
                    <w:pPr>
                      <w:pStyle w:val="2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22BD3">
    <w:pPr>
      <w:pStyle w:val="24"/>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1B941">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1B941">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C6E7C">
    <w:pPr>
      <w:pStyle w:val="23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1DB7AE">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041DB7AE">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23489">
    <w:pPr>
      <w:widowControl w:val="0"/>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AB116">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cs="Times New Roman"/>
                              <w:sz w:val="21"/>
                              <w:szCs w:val="24"/>
                              <w:lang w:val="en-US" w:eastAsia="zh-CN" w:bidi="ar-SA"/>
                            </w:rPr>
                            <w:fldChar w:fldCharType="begin"/>
                          </w:r>
                          <w:r>
                            <w:rPr>
                              <w:rFonts w:hint="default" w:cs="Times New Roman"/>
                              <w:sz w:val="21"/>
                              <w:szCs w:val="24"/>
                              <w:lang w:val="en-US" w:eastAsia="zh-CN" w:bidi="ar-SA"/>
                            </w:rPr>
                            <w:instrText xml:space="preserve"> PAGE  \* MERGEFORMAT </w:instrText>
                          </w:r>
                          <w:r>
                            <w:rPr>
                              <w:rFonts w:hint="default" w:cs="Times New Roman"/>
                              <w:sz w:val="21"/>
                              <w:szCs w:val="24"/>
                              <w:lang w:val="en-US" w:eastAsia="zh-CN" w:bidi="ar-SA"/>
                            </w:rPr>
                            <w:fldChar w:fldCharType="separate"/>
                          </w:r>
                          <w:r>
                            <w:rPr>
                              <w:rFonts w:hint="default" w:cs="Times New Roman"/>
                              <w:sz w:val="21"/>
                              <w:szCs w:val="24"/>
                              <w:lang w:val="en-US" w:eastAsia="zh-CN" w:bidi="ar-SA"/>
                            </w:rPr>
                            <w:t>1</w:t>
                          </w:r>
                          <w:r>
                            <w:rPr>
                              <w:rFonts w:hint="default" w:cs="Times New Roman"/>
                              <w:sz w:val="21"/>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H4IonxCAgAAfQQAAA4AAAAAAAAAAQAgAAAAHwEAAGRy&#10;cy9lMm9Eb2MueG1sUEsFBgAAAAAGAAYAWQEAANMFAAAAAA==&#10;">
              <v:fill on="f" focussize="0,0"/>
              <v:stroke on="f" weight="0.5pt"/>
              <v:imagedata o:title=""/>
              <o:lock v:ext="edit" aspectratio="f"/>
              <v:textbox inset="0mm,0mm,0mm,0mm" style="mso-fit-shape-to-text:t;">
                <w:txbxContent>
                  <w:p w14:paraId="799AB116">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cs="Times New Roman"/>
                        <w:sz w:val="21"/>
                        <w:szCs w:val="24"/>
                        <w:lang w:val="en-US" w:eastAsia="zh-CN" w:bidi="ar-SA"/>
                      </w:rPr>
                      <w:fldChar w:fldCharType="begin"/>
                    </w:r>
                    <w:r>
                      <w:rPr>
                        <w:rFonts w:hint="default" w:cs="Times New Roman"/>
                        <w:sz w:val="21"/>
                        <w:szCs w:val="24"/>
                        <w:lang w:val="en-US" w:eastAsia="zh-CN" w:bidi="ar-SA"/>
                      </w:rPr>
                      <w:instrText xml:space="preserve"> PAGE  \* MERGEFORMAT </w:instrText>
                    </w:r>
                    <w:r>
                      <w:rPr>
                        <w:rFonts w:hint="default" w:cs="Times New Roman"/>
                        <w:sz w:val="21"/>
                        <w:szCs w:val="24"/>
                        <w:lang w:val="en-US" w:eastAsia="zh-CN" w:bidi="ar-SA"/>
                      </w:rPr>
                      <w:fldChar w:fldCharType="separate"/>
                    </w:r>
                    <w:r>
                      <w:rPr>
                        <w:rFonts w:hint="default" w:cs="Times New Roman"/>
                        <w:sz w:val="21"/>
                        <w:szCs w:val="24"/>
                        <w:lang w:val="en-US" w:eastAsia="zh-CN" w:bidi="ar-SA"/>
                      </w:rPr>
                      <w:t>1</w:t>
                    </w:r>
                    <w:r>
                      <w:rPr>
                        <w:rFonts w:hint="default" w:cs="Times New Roman"/>
                        <w:sz w:val="21"/>
                        <w:szCs w:val="24"/>
                        <w:lang w:val="en-US" w:eastAsia="zh-CN" w:bidi="ar-S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D3FEC">
    <w:pPr>
      <w:rPr>
        <w:rFonts w:ascii="Times New Roman" w:hAnsi="Times New Roman" w:eastAsia="宋体" w:cs="Times New Roman"/>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DE4A3">
    <w:pPr>
      <w:rPr>
        <w:rFonts w:ascii="Times New Roman" w:hAnsi="Times New Roman" w:eastAsia="宋体" w:cs="Times New Roman"/>
      </w:rPr>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D775AA">
                          <w:pPr>
                            <w:pStyle w:val="24"/>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3D775AA">
                    <w:pPr>
                      <w:pStyle w:val="24"/>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A82C6">
    <w:pPr>
      <w:widowControl w:val="0"/>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845B7">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cs="Times New Roman"/>
                              <w:sz w:val="21"/>
                              <w:szCs w:val="24"/>
                              <w:lang w:val="en-US" w:eastAsia="zh-CN" w:bidi="ar-SA"/>
                            </w:rPr>
                            <w:fldChar w:fldCharType="begin"/>
                          </w:r>
                          <w:r>
                            <w:rPr>
                              <w:rFonts w:hint="default" w:cs="Times New Roman"/>
                              <w:sz w:val="21"/>
                              <w:szCs w:val="24"/>
                              <w:lang w:val="en-US" w:eastAsia="zh-CN" w:bidi="ar-SA"/>
                            </w:rPr>
                            <w:instrText xml:space="preserve"> PAGE  \* MERGEFORMAT </w:instrText>
                          </w:r>
                          <w:r>
                            <w:rPr>
                              <w:rFonts w:hint="default" w:cs="Times New Roman"/>
                              <w:sz w:val="21"/>
                              <w:szCs w:val="24"/>
                              <w:lang w:val="en-US" w:eastAsia="zh-CN" w:bidi="ar-SA"/>
                            </w:rPr>
                            <w:fldChar w:fldCharType="separate"/>
                          </w:r>
                          <w:r>
                            <w:rPr>
                              <w:rFonts w:hint="default" w:cs="Times New Roman"/>
                              <w:sz w:val="21"/>
                              <w:szCs w:val="24"/>
                              <w:lang w:val="en-US" w:eastAsia="zh-CN" w:bidi="ar-SA"/>
                            </w:rPr>
                            <w:t>1</w:t>
                          </w:r>
                          <w:r>
                            <w:rPr>
                              <w:rFonts w:hint="default" w:cs="Times New Roman"/>
                              <w:sz w:val="21"/>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CpRzbBCAgAAfgQAAA4AAAAAAAAAAQAgAAAAHwEAAGRy&#10;cy9lMm9Eb2MueG1sUEsFBgAAAAAGAAYAWQEAANMFAAAAAA==&#10;">
              <v:fill on="f" focussize="0,0"/>
              <v:stroke on="f" weight="0.5pt"/>
              <v:imagedata o:title=""/>
              <o:lock v:ext="edit" aspectratio="f"/>
              <v:textbox inset="0mm,0mm,0mm,0mm" style="mso-fit-shape-to-text:t;">
                <w:txbxContent>
                  <w:p w14:paraId="224845B7">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cs="Times New Roman"/>
                        <w:sz w:val="21"/>
                        <w:szCs w:val="24"/>
                        <w:lang w:val="en-US" w:eastAsia="zh-CN" w:bidi="ar-SA"/>
                      </w:rPr>
                      <w:fldChar w:fldCharType="begin"/>
                    </w:r>
                    <w:r>
                      <w:rPr>
                        <w:rFonts w:hint="default" w:cs="Times New Roman"/>
                        <w:sz w:val="21"/>
                        <w:szCs w:val="24"/>
                        <w:lang w:val="en-US" w:eastAsia="zh-CN" w:bidi="ar-SA"/>
                      </w:rPr>
                      <w:instrText xml:space="preserve"> PAGE  \* MERGEFORMAT </w:instrText>
                    </w:r>
                    <w:r>
                      <w:rPr>
                        <w:rFonts w:hint="default" w:cs="Times New Roman"/>
                        <w:sz w:val="21"/>
                        <w:szCs w:val="24"/>
                        <w:lang w:val="en-US" w:eastAsia="zh-CN" w:bidi="ar-SA"/>
                      </w:rPr>
                      <w:fldChar w:fldCharType="separate"/>
                    </w:r>
                    <w:r>
                      <w:rPr>
                        <w:rFonts w:hint="default" w:cs="Times New Roman"/>
                        <w:sz w:val="21"/>
                        <w:szCs w:val="24"/>
                        <w:lang w:val="en-US" w:eastAsia="zh-CN" w:bidi="ar-SA"/>
                      </w:rPr>
                      <w:t>1</w:t>
                    </w:r>
                    <w:r>
                      <w:rPr>
                        <w:rFonts w:hint="default" w:cs="Times New Roman"/>
                        <w:sz w:val="21"/>
                        <w:szCs w:val="24"/>
                        <w:lang w:val="en-US" w:eastAsia="zh-CN" w:bidi="ar-SA"/>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7AEC4">
    <w:pPr>
      <w:rPr>
        <w:rFonts w:ascii="Times New Roman" w:hAnsi="Times New Roman" w:eastAsia="宋体"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279E1">
    <w:pPr>
      <w:rPr>
        <w:rFonts w:ascii="Times New Roman" w:hAnsi="Times New Roman" w:eastAsia="宋体" w:cs="Times New Roman"/>
      </w:rPr>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FC12F0">
                          <w:pPr>
                            <w:pStyle w:val="24"/>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0FC12F0">
                    <w:pPr>
                      <w:pStyle w:val="2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798BE">
    <w:pPr>
      <w:pStyle w:val="230"/>
      <w:ind w:firstLine="360"/>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18F93B38">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LNJWO7QAAAABQEAAA8AAAAAAAAAAQAgAAAA&#10;IgAAAGRycy9kb3ducmV2LnhtbFBLAQIUABQAAAAIAIdO4kDUml0+2gEAALADAAAOAAAAAAAAAAEA&#10;IAAAAB8BAABkcnMvZTJvRG9jLnhtbFBLBQYAAAAABgAGAFkBAABrBQAAAAA=&#10;">
              <v:fill on="f" focussize="0,0"/>
              <v:stroke on="f" weight="0.5pt"/>
              <v:imagedata o:title=""/>
              <o:lock v:ext="edit" aspectratio="f"/>
              <v:textbox inset="0mm,0mm,0mm,0mm" style="mso-fit-shape-to-text:t;">
                <w:txbxContent>
                  <w:p w14:paraId="18F93B38">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995DC">
    <w:pPr>
      <w:pStyle w:val="24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F3AD241">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cg2CtMBAACnAwAADgAAAGRycy9lMm9Eb2MueG1srVNLjtswDN0X6B0E&#10;7Rs7WXQC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cg2CtMBAACnAwAADgAAAAAAAAABACAAAAAeAQAA&#10;ZHJzL2Uyb0RvYy54bWxQSwUGAAAAAAYABgBZAQAAYwUAAAAA&#10;">
              <v:fill on="f" focussize="0,0"/>
              <v:stroke on="f"/>
              <v:imagedata o:title=""/>
              <o:lock v:ext="edit" aspectratio="f"/>
              <v:textbox inset="0mm,0mm,0mm,0mm" style="mso-fit-shape-to-text:t;">
                <w:txbxContent>
                  <w:p w14:paraId="3F3AD241">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016D3">
    <w:pPr>
      <w:pStyle w:val="245"/>
      <w:framePr w:wrap="around" w:vAnchor="text" w:hAnchor="margin" w:xAlign="center" w:y="1"/>
      <w:rPr>
        <w:rStyle w:val="246"/>
      </w:rPr>
    </w:pPr>
    <w:r>
      <w:fldChar w:fldCharType="begin"/>
    </w:r>
    <w:r>
      <w:rPr>
        <w:rStyle w:val="246"/>
      </w:rPr>
      <w:instrText xml:space="preserve">PAGE  </w:instrText>
    </w:r>
    <w:r>
      <w:fldChar w:fldCharType="separate"/>
    </w:r>
    <w:r>
      <w:rPr>
        <w:rStyle w:val="246"/>
      </w:rPr>
      <w:t>1</w:t>
    </w:r>
    <w:r>
      <w:fldChar w:fldCharType="end"/>
    </w:r>
  </w:p>
  <w:p w14:paraId="732952DA">
    <w:pPr>
      <w:pStyle w:val="245"/>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D9692">
    <w:pPr>
      <w:pStyle w:val="23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3AC9A2">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LtR89AgAAbwQAAA4AAABkcnMvZTJvRG9jLnhtbK1UwY7TMBC9I/EP&#10;lu806S6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lLSgzT2PDzt6/n7z/P&#10;P76Q6yhPa32BUVuLcaF7DR0OzXjv4+WufQcVvmOHAEmDrnY6aoHsCEaj1KeL1KILhEeI2dVslqOL&#10;o2/8wGwZK8bn1vnwRoAm0Sipw14meHbc+NCHjiExm4G1VCr1UxnSlvTm+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fy7UfPQIAAG8EAAAOAAAAAAAAAAEAIAAAAB8BAABkcnMvZTJv&#10;RG9jLnhtbFBLBQYAAAAABgAGAFkBAADOBQAAAAA=&#10;">
              <v:fill on="f" focussize="0,0"/>
              <v:stroke on="f" weight="0.5pt"/>
              <v:imagedata o:title=""/>
              <o:lock v:ext="edit" aspectratio="f"/>
              <v:textbox inset="0mm,0mm,0mm,0mm" style="mso-fit-shape-to-text:t;">
                <w:txbxContent>
                  <w:p w14:paraId="633AC9A2">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3C616">
    <w:pPr>
      <w:pStyle w:val="2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42AFC1">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QVf09AgAAbwQAAA4AAABkcnMvZTJvRG9jLnhtbK1UwY7TMBC9I/EP&#10;lu806cKu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qyhPa32BUVuLcaF7DR0OzXjv4+WufQcVvmOHAEmDrnY6aoHsCEaj1KeL1KILhEeI2dVslqOL&#10;o2/8wGwZK8bn1vnwRoAm0Sipw14meHbc+NCHjiExm4G1VCr1UxnSlvTm5X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KEFX9PQIAAG8EAAAOAAAAAAAAAAEAIAAAAB8BAABkcnMvZTJv&#10;RG9jLnhtbFBLBQYAAAAABgAGAFkBAADOBQAAAAA=&#10;">
              <v:fill on="f" focussize="0,0"/>
              <v:stroke on="f" weight="0.5pt"/>
              <v:imagedata o:title=""/>
              <o:lock v:ext="edit" aspectratio="f"/>
              <v:textbox inset="0mm,0mm,0mm,0mm" style="mso-fit-shape-to-text:t;">
                <w:txbxContent>
                  <w:p w14:paraId="3C42AFC1">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609CA">
    <w:pPr>
      <w:pStyle w:val="228"/>
      <w:pBdr>
        <w:bottom w:val="none" w:color="auto" w:sz="0" w:space="1"/>
      </w:pBdr>
      <w:tabs>
        <w:tab w:val="left" w:pos="8058"/>
      </w:tabs>
      <w:jc w:val="left"/>
      <w:rPr>
        <w:rFonts w:hint="default" w:eastAsia="宋体"/>
        <w:color w:val="000000"/>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3D69E">
    <w:pPr>
      <w:pStyle w:val="228"/>
      <w:pBdr>
        <w:bottom w:val="none" w:color="auto" w:sz="0" w:space="1"/>
      </w:pBdr>
      <w:tabs>
        <w:tab w:val="left" w:pos="8058"/>
      </w:tabs>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49E18">
    <w:pPr>
      <w:pStyle w:val="228"/>
      <w:pBdr>
        <w:bottom w:val="none" w:color="auto" w:sz="0" w:space="1"/>
      </w:pBdr>
      <w:tabs>
        <w:tab w:val="left" w:pos="8058"/>
      </w:tabs>
      <w:jc w:val="left"/>
      <w:rPr>
        <w:rFonts w:hint="default" w:ascii="Times New Roman" w:hAnsi="Times New Roman" w:eastAsia="宋体" w:cs="Times New Roman"/>
        <w:sz w:val="21"/>
        <w:szCs w:val="24"/>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9626B">
    <w:pPr>
      <w:rPr>
        <w:rFonts w:ascii="Times New Roman" w:hAnsi="Times New Roman" w:eastAsia="宋体" w:cs="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FF347">
    <w:pPr>
      <w:pStyle w:val="228"/>
      <w:pBdr>
        <w:bottom w:val="none" w:color="auto" w:sz="0" w:space="1"/>
      </w:pBdr>
      <w:tabs>
        <w:tab w:val="left" w:pos="8058"/>
      </w:tabs>
      <w:jc w:val="left"/>
      <w:rPr>
        <w:rFonts w:ascii="Times New Roman" w:hAnsi="Times New Roman" w:eastAsia="宋体" w:cs="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5F0A6">
    <w:pPr>
      <w:pStyle w:val="228"/>
      <w:pBdr>
        <w:bottom w:val="none" w:color="auto" w:sz="0" w:space="1"/>
      </w:pBdr>
      <w:tabs>
        <w:tab w:val="left" w:pos="8058"/>
      </w:tabs>
      <w:jc w:val="left"/>
      <w:rPr>
        <w:rFonts w:hint="default" w:ascii="Times New Roman" w:hAnsi="Times New Roman" w:eastAsia="宋体" w:cs="Times New Roman"/>
        <w:sz w:val="21"/>
        <w:szCs w:val="24"/>
        <w:lang w:val="en-US" w:eastAsia="zh-CN" w:bidi="ar-S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A4EA5">
    <w:pPr>
      <w:rPr>
        <w:rFonts w:ascii="Times New Roman" w:hAnsi="Times New Roman" w:eastAsia="宋体" w:cs="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2980E">
    <w:pPr>
      <w:pStyle w:val="228"/>
      <w:pBdr>
        <w:bottom w:val="none" w:color="auto" w:sz="0" w:space="1"/>
      </w:pBdr>
      <w:tabs>
        <w:tab w:val="left" w:pos="8058"/>
      </w:tabs>
      <w:jc w:val="left"/>
      <w:rPr>
        <w:rFonts w:ascii="Times New Roman" w:hAnsi="Times New Roman" w:eastAsia="宋体" w:cs="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E1CA7">
    <w:pPr>
      <w:pStyle w:val="228"/>
      <w:widowControl w:val="0"/>
      <w:pBdr>
        <w:top w:val="none" w:color="000000" w:sz="0" w:space="0"/>
        <w:left w:val="none" w:color="000000" w:sz="0" w:space="0"/>
        <w:bottom w:val="none" w:color="000000" w:sz="0" w:space="1"/>
        <w:right w:val="none" w:color="000000" w:sz="0" w:space="0"/>
        <w:between w:val="none" w:color="000000" w:sz="0" w:space="0"/>
      </w:pBdr>
      <w:tabs>
        <w:tab w:val="left" w:pos="3565"/>
      </w:tabs>
      <w:jc w:val="left"/>
      <w:rPr>
        <w:rFonts w:hint="eastAsia"/>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AB938D"/>
    <w:multiLevelType w:val="multilevel"/>
    <w:tmpl w:val="C3AB938D"/>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6724D88E"/>
    <w:multiLevelType w:val="multilevel"/>
    <w:tmpl w:val="6724D8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749E3"/>
    <w:rsid w:val="00771B68"/>
    <w:rsid w:val="01B42948"/>
    <w:rsid w:val="03526DC6"/>
    <w:rsid w:val="0574110D"/>
    <w:rsid w:val="06573940"/>
    <w:rsid w:val="08283748"/>
    <w:rsid w:val="088E49C1"/>
    <w:rsid w:val="089E3A0A"/>
    <w:rsid w:val="09C81403"/>
    <w:rsid w:val="0C060244"/>
    <w:rsid w:val="0CD12600"/>
    <w:rsid w:val="0D554FDF"/>
    <w:rsid w:val="0EEF3211"/>
    <w:rsid w:val="0FB90FEB"/>
    <w:rsid w:val="11D7260B"/>
    <w:rsid w:val="165F124D"/>
    <w:rsid w:val="167209B0"/>
    <w:rsid w:val="17321EED"/>
    <w:rsid w:val="18020814"/>
    <w:rsid w:val="187C797D"/>
    <w:rsid w:val="19897B9C"/>
    <w:rsid w:val="1A266BC7"/>
    <w:rsid w:val="1CE617B0"/>
    <w:rsid w:val="1DCF267F"/>
    <w:rsid w:val="1E954C5F"/>
    <w:rsid w:val="1F372797"/>
    <w:rsid w:val="21D50047"/>
    <w:rsid w:val="2290744F"/>
    <w:rsid w:val="22AA3280"/>
    <w:rsid w:val="24866F49"/>
    <w:rsid w:val="25875AFA"/>
    <w:rsid w:val="25C7239A"/>
    <w:rsid w:val="264834DB"/>
    <w:rsid w:val="287E1436"/>
    <w:rsid w:val="2B813A3E"/>
    <w:rsid w:val="2BBB64FD"/>
    <w:rsid w:val="2F7E3ACA"/>
    <w:rsid w:val="2FFE620C"/>
    <w:rsid w:val="302723B3"/>
    <w:rsid w:val="3270055F"/>
    <w:rsid w:val="34490C6C"/>
    <w:rsid w:val="34DB551B"/>
    <w:rsid w:val="350C0F70"/>
    <w:rsid w:val="358449EE"/>
    <w:rsid w:val="35C91817"/>
    <w:rsid w:val="37135440"/>
    <w:rsid w:val="37265173"/>
    <w:rsid w:val="372C6501"/>
    <w:rsid w:val="3AEB4E4D"/>
    <w:rsid w:val="3AFD010E"/>
    <w:rsid w:val="3BC82C9D"/>
    <w:rsid w:val="3BC90CAD"/>
    <w:rsid w:val="3CCD014D"/>
    <w:rsid w:val="3E5E3444"/>
    <w:rsid w:val="3FDD65EB"/>
    <w:rsid w:val="403B50AD"/>
    <w:rsid w:val="40A13ABC"/>
    <w:rsid w:val="41FF4F3E"/>
    <w:rsid w:val="43805C0B"/>
    <w:rsid w:val="45905EAD"/>
    <w:rsid w:val="46D06EA9"/>
    <w:rsid w:val="48912668"/>
    <w:rsid w:val="4A00572A"/>
    <w:rsid w:val="4ACE1952"/>
    <w:rsid w:val="4F1C60BB"/>
    <w:rsid w:val="4F3F4BCC"/>
    <w:rsid w:val="503A35E5"/>
    <w:rsid w:val="54067410"/>
    <w:rsid w:val="54C87412"/>
    <w:rsid w:val="554051FA"/>
    <w:rsid w:val="55990DAE"/>
    <w:rsid w:val="55C51BA3"/>
    <w:rsid w:val="5B5E63DA"/>
    <w:rsid w:val="5C2A09B2"/>
    <w:rsid w:val="5C9D037D"/>
    <w:rsid w:val="5D3E6517"/>
    <w:rsid w:val="5E2A16AF"/>
    <w:rsid w:val="5F5875E4"/>
    <w:rsid w:val="5FDA449D"/>
    <w:rsid w:val="656B62C3"/>
    <w:rsid w:val="65AE4402"/>
    <w:rsid w:val="668847A9"/>
    <w:rsid w:val="67220C03"/>
    <w:rsid w:val="67461C10"/>
    <w:rsid w:val="6B19231D"/>
    <w:rsid w:val="6D400035"/>
    <w:rsid w:val="6D764780"/>
    <w:rsid w:val="6EBC7B8F"/>
    <w:rsid w:val="70E64A50"/>
    <w:rsid w:val="72117969"/>
    <w:rsid w:val="766308F1"/>
    <w:rsid w:val="767E6D9E"/>
    <w:rsid w:val="768E30A1"/>
    <w:rsid w:val="77924107"/>
    <w:rsid w:val="78986F77"/>
    <w:rsid w:val="78F148D9"/>
    <w:rsid w:val="79EA48F1"/>
    <w:rsid w:val="7A4078C7"/>
    <w:rsid w:val="7B1F62C6"/>
    <w:rsid w:val="7B7844D8"/>
    <w:rsid w:val="7F45772D"/>
    <w:rsid w:val="7F68244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46"/>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5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5"/>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6"/>
    <w:qFormat/>
    <w:uiPriority w:val="0"/>
    <w:rPr>
      <w:rFonts w:ascii="楷体_GB2312" w:hAnsi="Arial" w:eastAsia="楷体_GB2312"/>
      <w:sz w:val="28"/>
      <w:szCs w:val="20"/>
    </w:rPr>
  </w:style>
  <w:style w:type="paragraph" w:customStyle="1" w:styleId="16">
    <w:name w:val="Default"/>
    <w:qFormat/>
    <w:uiPriority w:val="0"/>
    <w:pPr>
      <w:widowControl w:val="0"/>
    </w:pPr>
    <w:rPr>
      <w:rFonts w:hint="default" w:ascii="宋体" w:hAnsi="Times New Roman" w:eastAsia="宋体" w:cs="宋体"/>
      <w:color w:val="000000"/>
      <w:sz w:val="24"/>
      <w:szCs w:val="24"/>
      <w:lang w:val="en-US" w:eastAsia="zh-CN" w:bidi="ar-SA"/>
    </w:rPr>
  </w:style>
  <w:style w:type="paragraph" w:styleId="17">
    <w:name w:val="Body Text Indent"/>
    <w:basedOn w:val="1"/>
    <w:next w:val="18"/>
    <w:qFormat/>
    <w:uiPriority w:val="0"/>
    <w:pPr>
      <w:ind w:firstLine="645"/>
    </w:pPr>
    <w:rPr>
      <w:rFonts w:ascii="楷体_GB2312" w:eastAsia="楷体_GB2312"/>
      <w:sz w:val="32"/>
      <w:szCs w:val="20"/>
    </w:rPr>
  </w:style>
  <w:style w:type="paragraph" w:styleId="18">
    <w:name w:val="envelope return"/>
    <w:basedOn w:val="1"/>
    <w:qFormat/>
    <w:uiPriority w:val="99"/>
    <w:rPr>
      <w:rFonts w:ascii="Arial" w:hAnsi="Arial"/>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Courier New"/>
      <w:szCs w:val="20"/>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202"/>
    <w:semiHidden/>
    <w:unhideWhenUsed/>
    <w:qFormat/>
    <w:uiPriority w:val="99"/>
    <w:pPr>
      <w:spacing w:after="0" w:line="240" w:lineRule="auto"/>
    </w:pPr>
    <w:rPr>
      <w:sz w:val="20"/>
    </w:rPr>
  </w:style>
  <w:style w:type="paragraph" w:styleId="24">
    <w:name w:val="footer"/>
    <w:basedOn w:val="1"/>
    <w:link w:val="75"/>
    <w:unhideWhenUsed/>
    <w:qFormat/>
    <w:uiPriority w:val="99"/>
    <w:pPr>
      <w:tabs>
        <w:tab w:val="center" w:pos="7143"/>
        <w:tab w:val="right" w:pos="14287"/>
      </w:tabs>
      <w:spacing w:after="0" w:line="240" w:lineRule="auto"/>
    </w:pPr>
  </w:style>
  <w:style w:type="paragraph" w:styleId="25">
    <w:name w:val="header"/>
    <w:basedOn w:val="1"/>
    <w:link w:val="73"/>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68"/>
    <w:qFormat/>
    <w:uiPriority w:val="11"/>
    <w:pPr>
      <w:spacing w:before="200" w:after="200"/>
    </w:pPr>
    <w:rPr>
      <w:sz w:val="24"/>
      <w:szCs w:val="24"/>
    </w:rPr>
  </w:style>
  <w:style w:type="paragraph" w:styleId="29">
    <w:name w:val="footnote text"/>
    <w:basedOn w:val="1"/>
    <w:link w:val="201"/>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Body Text Indent 3"/>
    <w:basedOn w:val="1"/>
    <w:qFormat/>
    <w:uiPriority w:val="0"/>
    <w:pPr>
      <w:ind w:firstLine="523"/>
    </w:pPr>
    <w:rPr>
      <w:rFonts w:ascii="仿宋_GB2312" w:hAnsi="宋体" w:eastAsia="仿宋_GB2312"/>
      <w:sz w:val="24"/>
    </w:r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6">
    <w:name w:val="Title"/>
    <w:basedOn w:val="1"/>
    <w:next w:val="1"/>
    <w:link w:val="67"/>
    <w:qFormat/>
    <w:uiPriority w:val="10"/>
    <w:pPr>
      <w:spacing w:before="300" w:after="200"/>
      <w:contextualSpacing/>
    </w:pPr>
    <w:rPr>
      <w:sz w:val="48"/>
      <w:szCs w:val="48"/>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basedOn w:val="39"/>
    <w:qFormat/>
    <w:uiPriority w:val="0"/>
  </w:style>
  <w:style w:type="character" w:styleId="42">
    <w:name w:val="FollowedHyperlink"/>
    <w:basedOn w:val="39"/>
    <w:semiHidden/>
    <w:unhideWhenUsed/>
    <w:qFormat/>
    <w:uiPriority w:val="99"/>
    <w:rPr>
      <w:color w:val="800080"/>
      <w:u w:val="none"/>
    </w:rPr>
  </w:style>
  <w:style w:type="character" w:styleId="43">
    <w:name w:val="HTML Definition"/>
    <w:basedOn w:val="39"/>
    <w:semiHidden/>
    <w:unhideWhenUsed/>
    <w:qFormat/>
    <w:uiPriority w:val="99"/>
  </w:style>
  <w:style w:type="character" w:styleId="44">
    <w:name w:val="HTML Typewriter"/>
    <w:basedOn w:val="39"/>
    <w:semiHidden/>
    <w:unhideWhenUsed/>
    <w:qFormat/>
    <w:uiPriority w:val="99"/>
    <w:rPr>
      <w:rFonts w:hint="default" w:ascii="monospace" w:hAnsi="monospace" w:eastAsia="monospace" w:cs="monospace"/>
      <w:sz w:val="20"/>
    </w:rPr>
  </w:style>
  <w:style w:type="character" w:styleId="45">
    <w:name w:val="HTML Acronym"/>
    <w:basedOn w:val="39"/>
    <w:semiHidden/>
    <w:unhideWhenUsed/>
    <w:qFormat/>
    <w:uiPriority w:val="99"/>
  </w:style>
  <w:style w:type="character" w:styleId="46">
    <w:name w:val="HTML Variable"/>
    <w:basedOn w:val="39"/>
    <w:semiHidden/>
    <w:unhideWhenUsed/>
    <w:qFormat/>
    <w:uiPriority w:val="99"/>
  </w:style>
  <w:style w:type="character" w:styleId="47">
    <w:name w:val="Hyperlink"/>
    <w:unhideWhenUsed/>
    <w:qFormat/>
    <w:uiPriority w:val="99"/>
    <w:rPr>
      <w:color w:val="0000FF" w:themeColor="hyperlink"/>
      <w:u w:val="single"/>
      <w14:textFill>
        <w14:solidFill>
          <w14:schemeClr w14:val="hlink"/>
        </w14:solidFill>
      </w14:textFill>
    </w:rPr>
  </w:style>
  <w:style w:type="character" w:styleId="48">
    <w:name w:val="HTML Code"/>
    <w:basedOn w:val="39"/>
    <w:semiHidden/>
    <w:unhideWhenUsed/>
    <w:qFormat/>
    <w:uiPriority w:val="99"/>
    <w:rPr>
      <w:rFonts w:hint="default" w:ascii="monospace" w:hAnsi="monospace" w:eastAsia="monospace" w:cs="monospace"/>
      <w:sz w:val="20"/>
    </w:rPr>
  </w:style>
  <w:style w:type="character" w:styleId="49">
    <w:name w:val="HTML Cite"/>
    <w:basedOn w:val="39"/>
    <w:semiHidden/>
    <w:unhideWhenUsed/>
    <w:qFormat/>
    <w:uiPriority w:val="99"/>
  </w:style>
  <w:style w:type="character" w:styleId="50">
    <w:name w:val="footnote reference"/>
    <w:unhideWhenUsed/>
    <w:qFormat/>
    <w:uiPriority w:val="99"/>
    <w:rPr>
      <w:vertAlign w:val="superscript"/>
    </w:rPr>
  </w:style>
  <w:style w:type="character" w:styleId="51">
    <w:name w:val="HTML Keyboard"/>
    <w:basedOn w:val="39"/>
    <w:semiHidden/>
    <w:unhideWhenUsed/>
    <w:qFormat/>
    <w:uiPriority w:val="99"/>
    <w:rPr>
      <w:rFonts w:hint="default" w:ascii="monospace" w:hAnsi="monospace" w:eastAsia="monospace" w:cs="monospace"/>
      <w:sz w:val="20"/>
    </w:rPr>
  </w:style>
  <w:style w:type="character" w:styleId="52">
    <w:name w:val="HTML Sample"/>
    <w:basedOn w:val="39"/>
    <w:semiHidden/>
    <w:unhideWhenUsed/>
    <w:qFormat/>
    <w:uiPriority w:val="99"/>
    <w:rPr>
      <w:rFonts w:ascii="monospace" w:hAnsi="monospace" w:eastAsia="monospace" w:cs="monospace"/>
    </w:rPr>
  </w:style>
  <w:style w:type="paragraph" w:customStyle="1" w:styleId="53">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paragraph" w:styleId="54">
    <w:name w:val="List Paragraph"/>
    <w:basedOn w:val="1"/>
    <w:qFormat/>
    <w:uiPriority w:val="34"/>
    <w:pPr>
      <w:ind w:left="720"/>
      <w:contextualSpacing/>
    </w:pPr>
  </w:style>
  <w:style w:type="paragraph" w:customStyle="1" w:styleId="55">
    <w:name w:val="首行缩进"/>
    <w:basedOn w:val="1"/>
    <w:qFormat/>
    <w:uiPriority w:val="0"/>
    <w:pPr>
      <w:ind w:firstLine="480"/>
    </w:pPr>
    <w:rPr>
      <w:lang w:val="zh-CN"/>
    </w:rPr>
  </w:style>
  <w:style w:type="paragraph" w:customStyle="1" w:styleId="56">
    <w:name w:val="xl58"/>
    <w:basedOn w:val="1"/>
    <w:qFormat/>
    <w:uiPriority w:val="0"/>
    <w:pPr>
      <w:widowControl/>
      <w:pBdr>
        <w:top w:val="single" w:color="000000" w:sz="4" w:space="0"/>
        <w:left w:val="single" w:color="000000" w:sz="4" w:space="0"/>
        <w:bottom w:val="single" w:color="auto" w:sz="4" w:space="0"/>
        <w:right w:val="single" w:color="000000" w:sz="4" w:space="0"/>
      </w:pBdr>
      <w:spacing w:before="100" w:beforeAutospacing="1" w:after="100" w:afterAutospacing="1"/>
      <w:jc w:val="left"/>
    </w:pPr>
    <w:rPr>
      <w:rFonts w:ascii="宋体" w:hAnsi="宋体" w:cs="宋体"/>
      <w:color w:val="000000"/>
      <w:sz w:val="24"/>
    </w:rPr>
  </w:style>
  <w:style w:type="character" w:customStyle="1" w:styleId="57">
    <w:name w:val="Heading 1 Char"/>
    <w:link w:val="2"/>
    <w:qFormat/>
    <w:uiPriority w:val="9"/>
    <w:rPr>
      <w:rFonts w:ascii="Arial" w:hAnsi="Arial" w:eastAsia="Arial" w:cs="Arial"/>
      <w:sz w:val="40"/>
      <w:szCs w:val="40"/>
    </w:rPr>
  </w:style>
  <w:style w:type="character" w:customStyle="1" w:styleId="58">
    <w:name w:val="Heading 2 Char"/>
    <w:link w:val="3"/>
    <w:qFormat/>
    <w:uiPriority w:val="9"/>
    <w:rPr>
      <w:rFonts w:ascii="Arial" w:hAnsi="Arial" w:eastAsia="Arial" w:cs="Arial"/>
      <w:sz w:val="34"/>
    </w:rPr>
  </w:style>
  <w:style w:type="character" w:customStyle="1" w:styleId="59">
    <w:name w:val="Heading 3 Char"/>
    <w:link w:val="4"/>
    <w:qFormat/>
    <w:uiPriority w:val="9"/>
    <w:rPr>
      <w:rFonts w:ascii="Arial" w:hAnsi="Arial" w:eastAsia="Arial" w:cs="Arial"/>
      <w:sz w:val="30"/>
      <w:szCs w:val="30"/>
    </w:rPr>
  </w:style>
  <w:style w:type="character" w:customStyle="1" w:styleId="60">
    <w:name w:val="Heading 4 Char"/>
    <w:link w:val="5"/>
    <w:qFormat/>
    <w:uiPriority w:val="9"/>
    <w:rPr>
      <w:rFonts w:ascii="Arial" w:hAnsi="Arial" w:eastAsia="Arial" w:cs="Arial"/>
      <w:b/>
      <w:bCs/>
      <w:sz w:val="26"/>
      <w:szCs w:val="26"/>
    </w:rPr>
  </w:style>
  <w:style w:type="character" w:customStyle="1" w:styleId="61">
    <w:name w:val="Heading 5 Char"/>
    <w:link w:val="6"/>
    <w:qFormat/>
    <w:uiPriority w:val="9"/>
    <w:rPr>
      <w:rFonts w:ascii="Arial" w:hAnsi="Arial" w:eastAsia="Arial" w:cs="Arial"/>
      <w:b/>
      <w:bCs/>
      <w:sz w:val="24"/>
      <w:szCs w:val="24"/>
    </w:rPr>
  </w:style>
  <w:style w:type="character" w:customStyle="1" w:styleId="62">
    <w:name w:val="Heading 6 Char"/>
    <w:link w:val="7"/>
    <w:qFormat/>
    <w:uiPriority w:val="9"/>
    <w:rPr>
      <w:rFonts w:ascii="Arial" w:hAnsi="Arial" w:eastAsia="Arial" w:cs="Arial"/>
      <w:b/>
      <w:bCs/>
      <w:sz w:val="22"/>
      <w:szCs w:val="22"/>
    </w:rPr>
  </w:style>
  <w:style w:type="character" w:customStyle="1" w:styleId="63">
    <w:name w:val="Heading 7 Char"/>
    <w:link w:val="8"/>
    <w:qFormat/>
    <w:uiPriority w:val="9"/>
    <w:rPr>
      <w:rFonts w:ascii="Arial" w:hAnsi="Arial" w:eastAsia="Arial" w:cs="Arial"/>
      <w:b/>
      <w:bCs/>
      <w:i/>
      <w:iCs/>
      <w:sz w:val="22"/>
      <w:szCs w:val="22"/>
    </w:rPr>
  </w:style>
  <w:style w:type="character" w:customStyle="1" w:styleId="64">
    <w:name w:val="Heading 8 Char"/>
    <w:link w:val="9"/>
    <w:qFormat/>
    <w:uiPriority w:val="9"/>
    <w:rPr>
      <w:rFonts w:ascii="Arial" w:hAnsi="Arial" w:eastAsia="Arial" w:cs="Arial"/>
      <w:i/>
      <w:iCs/>
      <w:sz w:val="22"/>
      <w:szCs w:val="22"/>
    </w:rPr>
  </w:style>
  <w:style w:type="character" w:customStyle="1" w:styleId="65">
    <w:name w:val="Heading 9 Char"/>
    <w:link w:val="10"/>
    <w:qFormat/>
    <w:uiPriority w:val="9"/>
    <w:rPr>
      <w:rFonts w:ascii="Arial" w:hAnsi="Arial" w:eastAsia="Arial" w:cs="Arial"/>
      <w:i/>
      <w:iCs/>
      <w:sz w:val="21"/>
      <w:szCs w:val="21"/>
    </w:rPr>
  </w:style>
  <w:style w:type="paragraph" w:styleId="66">
    <w:name w:val="No Spacing"/>
    <w:qFormat/>
    <w:uiPriority w:val="1"/>
    <w:pPr>
      <w:spacing w:before="0" w:after="0" w:line="240" w:lineRule="auto"/>
    </w:pPr>
    <w:rPr>
      <w:rFonts w:hint="default" w:ascii="Times New Roman" w:hAnsi="Times New Roman" w:eastAsia="宋体" w:cs="Times New Roman"/>
    </w:rPr>
  </w:style>
  <w:style w:type="character" w:customStyle="1" w:styleId="67">
    <w:name w:val="Title Char"/>
    <w:link w:val="36"/>
    <w:qFormat/>
    <w:uiPriority w:val="10"/>
    <w:rPr>
      <w:sz w:val="48"/>
      <w:szCs w:val="48"/>
    </w:rPr>
  </w:style>
  <w:style w:type="character" w:customStyle="1" w:styleId="68">
    <w:name w:val="Subtitle Char"/>
    <w:link w:val="28"/>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Header Char"/>
    <w:link w:val="25"/>
    <w:qFormat/>
    <w:uiPriority w:val="99"/>
  </w:style>
  <w:style w:type="character" w:customStyle="1" w:styleId="74">
    <w:name w:val="Footer Char"/>
    <w:link w:val="24"/>
    <w:qFormat/>
    <w:uiPriority w:val="99"/>
  </w:style>
  <w:style w:type="character" w:customStyle="1" w:styleId="75">
    <w:name w:val="Caption Char"/>
    <w:link w:val="24"/>
    <w:qFormat/>
    <w:uiPriority w:val="99"/>
  </w:style>
  <w:style w:type="table" w:customStyle="1" w:styleId="7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Footnote Text Char"/>
    <w:link w:val="29"/>
    <w:qFormat/>
    <w:uiPriority w:val="99"/>
    <w:rPr>
      <w:sz w:val="18"/>
    </w:rPr>
  </w:style>
  <w:style w:type="character" w:customStyle="1" w:styleId="202">
    <w:name w:val="Endnote Text Char"/>
    <w:link w:val="23"/>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character" w:customStyle="1" w:styleId="204">
    <w:name w:val="默认段落字体11"/>
    <w:link w:val="1"/>
    <w:semiHidden/>
    <w:qFormat/>
    <w:uiPriority w:val="0"/>
  </w:style>
  <w:style w:type="table" w:customStyle="1" w:styleId="205">
    <w:name w:val="普通表格1"/>
    <w:semiHidden/>
    <w:qFormat/>
    <w:uiPriority w:val="0"/>
  </w:style>
  <w:style w:type="paragraph" w:customStyle="1" w:styleId="206">
    <w:name w:val="纯文本11"/>
    <w:basedOn w:val="1"/>
    <w:qFormat/>
    <w:uiPriority w:val="0"/>
    <w:pPr>
      <w:spacing w:line="240" w:lineRule="auto"/>
      <w:ind w:firstLine="0"/>
      <w:jc w:val="both"/>
    </w:pPr>
    <w:rPr>
      <w:rFonts w:hAnsi="Courier New" w:eastAsia="楷体_GB2312"/>
      <w:color w:val="000000"/>
      <w:sz w:val="26"/>
    </w:rPr>
  </w:style>
  <w:style w:type="paragraph" w:customStyle="1" w:styleId="207">
    <w:name w:val="标题 11"/>
    <w:basedOn w:val="1"/>
    <w:next w:val="1"/>
    <w:qFormat/>
    <w:uiPriority w:val="0"/>
    <w:pPr>
      <w:keepNext/>
      <w:outlineLvl w:val="0"/>
    </w:pPr>
    <w:rPr>
      <w:rFonts w:ascii="楷体_GB2312" w:eastAsia="楷体_GB2312"/>
      <w:sz w:val="28"/>
      <w:szCs w:val="20"/>
    </w:rPr>
  </w:style>
  <w:style w:type="character" w:customStyle="1" w:styleId="208">
    <w:name w:val="默认段落字体1"/>
    <w:link w:val="1"/>
    <w:semiHidden/>
    <w:qFormat/>
    <w:uiPriority w:val="0"/>
  </w:style>
  <w:style w:type="paragraph" w:customStyle="1" w:styleId="209">
    <w:name w:val="普通正文"/>
    <w:basedOn w:val="1"/>
    <w:qFormat/>
    <w:uiPriority w:val="0"/>
    <w:pPr>
      <w:spacing w:before="120" w:after="120" w:line="360" w:lineRule="auto"/>
      <w:ind w:firstLine="480"/>
      <w:jc w:val="left"/>
    </w:pPr>
    <w:rPr>
      <w:rFonts w:ascii="Arial" w:hAnsi="Arial"/>
      <w:sz w:val="24"/>
    </w:rPr>
  </w:style>
  <w:style w:type="paragraph" w:customStyle="1" w:styleId="210">
    <w:name w:val="纯文本1"/>
    <w:basedOn w:val="1"/>
    <w:qFormat/>
    <w:uiPriority w:val="0"/>
    <w:rPr>
      <w:rFonts w:ascii="宋体" w:hAnsi="Courier New"/>
      <w:szCs w:val="20"/>
    </w:rPr>
  </w:style>
  <w:style w:type="paragraph" w:customStyle="1" w:styleId="211">
    <w:name w:val="WPSOffice手动目录 1"/>
    <w:qFormat/>
    <w:uiPriority w:val="0"/>
    <w:rPr>
      <w:rFonts w:hint="default" w:ascii="Times New Roman" w:hAnsi="Times New Roman" w:eastAsia="宋体" w:cs="Times New Roman"/>
      <w:lang w:val="en-US" w:eastAsia="zh-CN" w:bidi="ar-SA"/>
    </w:rPr>
  </w:style>
  <w:style w:type="paragraph" w:customStyle="1" w:styleId="212">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13">
    <w:name w:val="副标题1"/>
    <w:basedOn w:val="1"/>
    <w:next w:val="1"/>
    <w:qFormat/>
    <w:uiPriority w:val="0"/>
    <w:pPr>
      <w:spacing w:before="240" w:after="60" w:line="312" w:lineRule="auto"/>
      <w:jc w:val="center"/>
      <w:outlineLvl w:val="1"/>
    </w:pPr>
    <w:rPr>
      <w:rFonts w:ascii="Cambria" w:hAnsi="Cambria"/>
      <w:b/>
      <w:bCs/>
      <w:sz w:val="32"/>
      <w:szCs w:val="32"/>
    </w:rPr>
  </w:style>
  <w:style w:type="paragraph" w:customStyle="1" w:styleId="214">
    <w:name w:val="正文文本缩进 31"/>
    <w:basedOn w:val="1"/>
    <w:qFormat/>
    <w:uiPriority w:val="0"/>
    <w:pPr>
      <w:ind w:firstLine="523"/>
    </w:pPr>
    <w:rPr>
      <w:rFonts w:ascii="仿宋_GB2312" w:hAnsi="宋体" w:eastAsia="仿宋_GB2312"/>
      <w:sz w:val="24"/>
    </w:rPr>
  </w:style>
  <w:style w:type="paragraph" w:customStyle="1" w:styleId="215">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16">
    <w:name w:val="标题 31"/>
    <w:basedOn w:val="1"/>
    <w:next w:val="1"/>
    <w:qFormat/>
    <w:uiPriority w:val="0"/>
    <w:pPr>
      <w:keepNext/>
      <w:keepLines/>
      <w:spacing w:before="260" w:after="260" w:line="416" w:lineRule="auto"/>
      <w:outlineLvl w:val="2"/>
    </w:pPr>
    <w:rPr>
      <w:b/>
      <w:sz w:val="32"/>
      <w:szCs w:val="20"/>
    </w:rPr>
  </w:style>
  <w:style w:type="paragraph" w:customStyle="1" w:styleId="217">
    <w:name w:val="目录 31"/>
    <w:basedOn w:val="1"/>
    <w:next w:val="1"/>
    <w:semiHidden/>
    <w:qFormat/>
    <w:uiPriority w:val="39"/>
    <w:pPr>
      <w:tabs>
        <w:tab w:val="right" w:leader="dot" w:pos="9440"/>
      </w:tabs>
      <w:spacing w:line="240" w:lineRule="exact"/>
      <w:ind w:left="539"/>
      <w:jc w:val="left"/>
    </w:pPr>
    <w:rPr>
      <w:rFonts w:ascii="黑体" w:hAnsi="宋体" w:eastAsia="黑体"/>
      <w:bCs/>
      <w:iCs/>
      <w:sz w:val="18"/>
      <w:szCs w:val="32"/>
    </w:rPr>
  </w:style>
  <w:style w:type="paragraph" w:customStyle="1" w:styleId="218">
    <w:name w:val="正文文本缩进1"/>
    <w:basedOn w:val="1"/>
    <w:next w:val="219"/>
    <w:qFormat/>
    <w:uiPriority w:val="0"/>
    <w:pPr>
      <w:ind w:firstLine="645"/>
    </w:pPr>
    <w:rPr>
      <w:rFonts w:ascii="楷体_GB2312" w:eastAsia="楷体_GB2312"/>
      <w:sz w:val="32"/>
      <w:szCs w:val="20"/>
    </w:rPr>
  </w:style>
  <w:style w:type="paragraph" w:customStyle="1" w:styleId="219">
    <w:name w:val="寄信人地址1"/>
    <w:basedOn w:val="1"/>
    <w:qFormat/>
    <w:uiPriority w:val="99"/>
    <w:rPr>
      <w:rFonts w:ascii="Arial" w:hAnsi="Arial"/>
    </w:rPr>
  </w:style>
  <w:style w:type="paragraph" w:customStyle="1" w:styleId="220">
    <w:name w:val="正文文本1"/>
    <w:basedOn w:val="1"/>
    <w:next w:val="1"/>
    <w:qFormat/>
    <w:uiPriority w:val="0"/>
    <w:rPr>
      <w:rFonts w:ascii="楷体_GB2312" w:hAnsi="Arial" w:eastAsia="楷体_GB2312"/>
      <w:sz w:val="28"/>
      <w:szCs w:val="20"/>
    </w:rPr>
  </w:style>
  <w:style w:type="paragraph" w:customStyle="1" w:styleId="221">
    <w:name w:val="Blockquote"/>
    <w:basedOn w:val="1"/>
    <w:qFormat/>
    <w:uiPriority w:val="0"/>
    <w:pPr>
      <w:spacing w:before="100" w:after="100"/>
      <w:ind w:left="360" w:right="360"/>
      <w:jc w:val="left"/>
    </w:pPr>
    <w:rPr>
      <w:sz w:val="24"/>
      <w:szCs w:val="20"/>
    </w:rPr>
  </w:style>
  <w:style w:type="paragraph" w:customStyle="1" w:styleId="22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23">
    <w:name w:val="文本块1"/>
    <w:basedOn w:val="1"/>
    <w:qFormat/>
    <w:uiPriority w:val="0"/>
    <w:pPr>
      <w:widowControl/>
      <w:spacing w:before="100" w:beforeAutospacing="1" w:after="100" w:afterAutospacing="1" w:line="360" w:lineRule="auto"/>
      <w:ind w:left="1440" w:right="1440" w:firstLine="480"/>
      <w:jc w:val="left"/>
    </w:pPr>
    <w:rPr>
      <w:rFonts w:ascii="宋体" w:hAnsi="宋体"/>
      <w:sz w:val="24"/>
      <w:szCs w:val="24"/>
    </w:rPr>
  </w:style>
  <w:style w:type="paragraph" w:customStyle="1" w:styleId="224">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paragraph" w:customStyle="1" w:styleId="225">
    <w:name w:val="Char"/>
    <w:basedOn w:val="1"/>
    <w:qFormat/>
    <w:uiPriority w:val="0"/>
    <w:pPr>
      <w:tabs>
        <w:tab w:val="left" w:pos="360"/>
      </w:tabs>
    </w:pPr>
    <w:rPr>
      <w:sz w:val="24"/>
    </w:rPr>
  </w:style>
  <w:style w:type="character" w:customStyle="1" w:styleId="226">
    <w:name w:val="要点1"/>
    <w:basedOn w:val="208"/>
    <w:link w:val="1"/>
    <w:qFormat/>
    <w:uiPriority w:val="0"/>
    <w:rPr>
      <w:rFonts w:ascii="Times New Roman" w:hAnsi="Times New Roman" w:eastAsia="宋体" w:cs="Times New Roman"/>
      <w:sz w:val="21"/>
      <w:szCs w:val="24"/>
      <w:lang w:val="en-US" w:eastAsia="zh-CN" w:bidi="ar-SA"/>
    </w:rPr>
  </w:style>
  <w:style w:type="paragraph" w:customStyle="1" w:styleId="227">
    <w:name w:val="日期1"/>
    <w:basedOn w:val="1"/>
    <w:next w:val="1"/>
    <w:qFormat/>
    <w:uiPriority w:val="0"/>
    <w:rPr>
      <w:sz w:val="24"/>
      <w:szCs w:val="20"/>
    </w:rPr>
  </w:style>
  <w:style w:type="paragraph" w:customStyle="1" w:styleId="22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9">
    <w:name w:val="Quote1"/>
    <w:basedOn w:val="1"/>
    <w:next w:val="1"/>
    <w:qFormat/>
    <w:uiPriority w:val="99"/>
    <w:pPr>
      <w:widowControl/>
      <w:spacing w:before="200" w:after="160"/>
      <w:ind w:left="864" w:right="864"/>
      <w:jc w:val="center"/>
    </w:pPr>
    <w:rPr>
      <w:rFonts w:ascii="宋体"/>
      <w:i/>
      <w:color w:val="404040"/>
    </w:rPr>
  </w:style>
  <w:style w:type="paragraph" w:customStyle="1" w:styleId="230">
    <w:name w:val="页脚1"/>
    <w:basedOn w:val="1"/>
    <w:qFormat/>
    <w:uiPriority w:val="0"/>
    <w:pPr>
      <w:tabs>
        <w:tab w:val="center" w:pos="4153"/>
        <w:tab w:val="right" w:pos="8306"/>
      </w:tabs>
      <w:jc w:val="left"/>
    </w:pPr>
    <w:rPr>
      <w:sz w:val="18"/>
      <w:szCs w:val="20"/>
    </w:rPr>
  </w:style>
  <w:style w:type="paragraph" w:customStyle="1" w:styleId="231">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paragraph" w:customStyle="1" w:styleId="232">
    <w:name w:val="正文1"/>
    <w:basedOn w:val="233"/>
    <w:next w:val="1"/>
    <w:qFormat/>
    <w:uiPriority w:val="0"/>
    <w:pPr>
      <w:spacing w:line="500" w:lineRule="exact"/>
      <w:ind w:firstLine="0"/>
    </w:pPr>
    <w:rPr>
      <w:rFonts w:hAnsi="新宋体"/>
    </w:rPr>
  </w:style>
  <w:style w:type="paragraph" w:customStyle="1" w:styleId="233">
    <w:name w:val="正文缩进1"/>
    <w:basedOn w:val="1"/>
    <w:qFormat/>
    <w:uiPriority w:val="0"/>
    <w:pPr>
      <w:spacing w:line="360" w:lineRule="atLeast"/>
      <w:ind w:firstLine="420"/>
    </w:pPr>
    <w:rPr>
      <w:szCs w:val="20"/>
    </w:rPr>
  </w:style>
  <w:style w:type="character" w:customStyle="1" w:styleId="234">
    <w:name w:val="first-child"/>
    <w:basedOn w:val="39"/>
    <w:qFormat/>
    <w:uiPriority w:val="0"/>
  </w:style>
  <w:style w:type="character" w:customStyle="1" w:styleId="235">
    <w:name w:val="layui-this2"/>
    <w:basedOn w:val="39"/>
    <w:qFormat/>
    <w:uiPriority w:val="0"/>
    <w:rPr>
      <w:shd w:val="clear" w:color="auto" w:fill="FFFFFF"/>
    </w:rPr>
  </w:style>
  <w:style w:type="character" w:customStyle="1" w:styleId="236">
    <w:name w:val="hover2"/>
    <w:basedOn w:val="39"/>
    <w:qFormat/>
    <w:uiPriority w:val="0"/>
    <w:rPr>
      <w:color w:val="5FB878"/>
    </w:rPr>
  </w:style>
  <w:style w:type="character" w:customStyle="1" w:styleId="237">
    <w:name w:val="hover3"/>
    <w:basedOn w:val="39"/>
    <w:qFormat/>
    <w:uiPriority w:val="0"/>
    <w:rPr>
      <w:color w:val="5FB878"/>
    </w:rPr>
  </w:style>
  <w:style w:type="character" w:customStyle="1" w:styleId="238">
    <w:name w:val="hover4"/>
    <w:basedOn w:val="39"/>
    <w:qFormat/>
    <w:uiPriority w:val="0"/>
    <w:rPr>
      <w:color w:val="FFFFFF"/>
    </w:rPr>
  </w:style>
  <w:style w:type="character" w:customStyle="1" w:styleId="239">
    <w:name w:val="layui-this"/>
    <w:basedOn w:val="39"/>
    <w:qFormat/>
    <w:uiPriority w:val="0"/>
    <w:rPr>
      <w:shd w:val="clear" w:color="auto" w:fill="FFFFFF"/>
    </w:rPr>
  </w:style>
  <w:style w:type="paragraph" w:customStyle="1" w:styleId="240">
    <w:name w:val="正文文本_0"/>
    <w:qFormat/>
    <w:uiPriority w:val="0"/>
    <w:pPr>
      <w:widowControl w:val="0"/>
      <w:spacing w:after="60" w:line="360" w:lineRule="atLeast"/>
      <w:ind w:left="72" w:right="30"/>
      <w:jc w:val="center"/>
    </w:pPr>
    <w:rPr>
      <w:rFonts w:hint="default" w:ascii="Times New Roman" w:hAnsi="Times New Roman" w:eastAsia="宋体" w:cs="Times New Roman"/>
      <w:sz w:val="20"/>
      <w:szCs w:val="20"/>
      <w:lang w:val="en-US" w:eastAsia="zh-CN" w:bidi="ar-SA"/>
    </w:rPr>
  </w:style>
  <w:style w:type="paragraph" w:customStyle="1" w:styleId="241">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42">
    <w:name w:val="批注文字1"/>
    <w:qFormat/>
    <w:uiPriority w:val="0"/>
    <w:pPr>
      <w:widowControl w:val="0"/>
      <w:spacing w:line="360" w:lineRule="auto"/>
      <w:ind w:firstLine="802"/>
      <w:jc w:val="left"/>
    </w:pPr>
    <w:rPr>
      <w:rFonts w:hint="default" w:ascii="Times New Roman" w:hAnsi="Times New Roman" w:eastAsia="宋体" w:cs="Times New Roman"/>
      <w:sz w:val="21"/>
      <w:szCs w:val="24"/>
      <w:lang w:val="en-US" w:eastAsia="zh-CN" w:bidi="ar-SA"/>
    </w:rPr>
  </w:style>
  <w:style w:type="paragraph" w:customStyle="1" w:styleId="243">
    <w:name w:val="标题 211"/>
    <w:basedOn w:val="1"/>
    <w:next w:val="1"/>
    <w:qFormat/>
    <w:uiPriority w:val="9"/>
    <w:pPr>
      <w:keepNext/>
      <w:keepLines/>
      <w:spacing w:line="360" w:lineRule="auto"/>
      <w:ind w:firstLine="0"/>
      <w:outlineLvl w:val="1"/>
    </w:pPr>
    <w:rPr>
      <w:rFonts w:ascii="Cambria" w:hAnsi="Cambria"/>
      <w:b/>
      <w:bCs/>
      <w:sz w:val="28"/>
      <w:szCs w:val="32"/>
    </w:rPr>
  </w:style>
  <w:style w:type="paragraph" w:customStyle="1" w:styleId="244">
    <w:name w:val="标题 311"/>
    <w:basedOn w:val="1"/>
    <w:next w:val="1"/>
    <w:qFormat/>
    <w:uiPriority w:val="0"/>
    <w:pPr>
      <w:keepNext/>
      <w:keepLines/>
      <w:spacing w:line="360" w:lineRule="auto"/>
      <w:outlineLvl w:val="2"/>
    </w:pPr>
    <w:rPr>
      <w:bCs/>
      <w:szCs w:val="32"/>
    </w:rPr>
  </w:style>
  <w:style w:type="paragraph" w:customStyle="1" w:styleId="245">
    <w:name w:val="页脚11"/>
    <w:basedOn w:val="1"/>
    <w:qFormat/>
    <w:uiPriority w:val="0"/>
    <w:pPr>
      <w:tabs>
        <w:tab w:val="center" w:pos="4153"/>
        <w:tab w:val="right" w:pos="8306"/>
      </w:tabs>
      <w:jc w:val="left"/>
    </w:pPr>
    <w:rPr>
      <w:sz w:val="18"/>
      <w:szCs w:val="20"/>
    </w:rPr>
  </w:style>
  <w:style w:type="character" w:customStyle="1" w:styleId="246">
    <w:name w:val="页码1"/>
    <w:basedOn w:val="208"/>
    <w:link w:val="1"/>
    <w:qFormat/>
    <w:uiPriority w:val="0"/>
  </w:style>
  <w:style w:type="paragraph" w:customStyle="1" w:styleId="247">
    <w:name w:val="Table Text"/>
    <w:basedOn w:val="1"/>
    <w:semiHidden/>
    <w:qFormat/>
    <w:uiPriority w:val="0"/>
    <w:rPr>
      <w:rFonts w:ascii="宋体" w:hAnsi="宋体" w:eastAsia="宋体" w:cs="宋体"/>
      <w:sz w:val="23"/>
      <w:szCs w:val="23"/>
      <w:lang w:val="en-US" w:eastAsia="en-US" w:bidi="ar-SA"/>
    </w:rPr>
  </w:style>
  <w:style w:type="table" w:customStyle="1" w:styleId="24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6.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94</Pages>
  <Words>24182</Words>
  <Characters>25610</Characters>
  <TotalTime>16</TotalTime>
  <ScaleCrop>false</ScaleCrop>
  <LinksUpToDate>false</LinksUpToDate>
  <CharactersWithSpaces>26774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2024-04-03T03:01:00Z</dcterms:created>
  <dc:creator>Adminis</dc:creator>
  <cp:lastModifiedBy>顾顾</cp:lastModifiedBy>
  <dcterms:modified xsi:type="dcterms:W3CDTF">2026-09-03T09:44:31Z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679530EA864447BBA0FE2FC79298927D_13</vt:lpwstr>
  </property>
  <property fmtid="{D5CDD505-2E9C-101B-9397-08002B2CF9AE}" pid="4" name="KSOTemplateDocerSaveRecord">
    <vt:lpwstr>eyJoZGlkIjoiNzMzNGY2ZDZlMWMzYjA4OGVhYTExMzdkNWI5ZWIxMjEiLCJ1c2VySWQiOiIxMDEyNTk2MTAyIn0=</vt:lpwstr>
  </property>
</Properties>
</file>