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6919E">
      <w:pPr>
        <w:spacing w:before="120" w:after="120" w:line="360" w:lineRule="auto"/>
        <w:jc w:val="left"/>
        <w:rPr>
          <w:rFonts w:ascii="Arial" w:hAnsi="Arial" w:eastAsia="黑体"/>
          <w:b/>
          <w:bCs/>
          <w:sz w:val="84"/>
          <w:szCs w:val="24"/>
        </w:rPr>
      </w:pPr>
    </w:p>
    <w:p w14:paraId="4DE60B40">
      <w:pPr>
        <w:spacing w:before="120" w:after="120" w:line="360" w:lineRule="auto"/>
        <w:jc w:val="center"/>
        <w:rPr>
          <w:rFonts w:ascii="Arial" w:hAnsi="Arial" w:eastAsia="黑体"/>
          <w:b/>
          <w:bCs/>
          <w:sz w:val="84"/>
          <w:szCs w:val="24"/>
        </w:rPr>
      </w:pPr>
      <w:r>
        <w:rPr>
          <w:rFonts w:hint="eastAsia" w:ascii="Arial" w:hAnsi="Arial" w:eastAsia="黑体"/>
          <w:b/>
          <w:bCs/>
          <w:sz w:val="84"/>
          <w:szCs w:val="24"/>
        </w:rPr>
        <w:t>单一来源采购文件</w:t>
      </w:r>
    </w:p>
    <w:p w14:paraId="199E5DBE">
      <w:pPr>
        <w:spacing w:before="120" w:after="120" w:line="360" w:lineRule="auto"/>
        <w:jc w:val="center"/>
        <w:rPr>
          <w:rFonts w:ascii="Arial" w:hAnsi="Arial" w:eastAsia="黑体"/>
          <w:b/>
          <w:bCs/>
          <w:sz w:val="84"/>
          <w:szCs w:val="24"/>
        </w:rPr>
      </w:pPr>
    </w:p>
    <w:p w14:paraId="79E11D0D">
      <w:pPr>
        <w:spacing w:before="120" w:after="120" w:line="360" w:lineRule="auto"/>
        <w:ind w:firstLine="964"/>
        <w:rPr>
          <w:rFonts w:hint="default" w:ascii="Times New Roman" w:hAnsi="Times New Roman" w:eastAsiaTheme="minorEastAsia"/>
          <w:b/>
          <w:bCs/>
          <w:sz w:val="32"/>
          <w:lang w:val="en-US" w:eastAsia="zh-CN"/>
        </w:rPr>
      </w:pPr>
      <w:r>
        <w:rPr>
          <w:rFonts w:hint="eastAsia" w:ascii="Times New Roman" w:hAnsi="Times New Roman"/>
          <w:b/>
          <w:bCs/>
          <w:sz w:val="32"/>
        </w:rPr>
        <w:t>项目名称：</w:t>
      </w:r>
      <w:r>
        <w:rPr>
          <w:rFonts w:hint="eastAsia" w:ascii="Times New Roman" w:hAnsi="Times New Roman"/>
          <w:b/>
          <w:bCs/>
          <w:sz w:val="32"/>
          <w:lang w:val="en-US" w:eastAsia="zh-CN"/>
        </w:rPr>
        <w:t>2026年-2029年宿迁市级冻猪肉储备采购</w:t>
      </w:r>
    </w:p>
    <w:p w14:paraId="24C59F66">
      <w:pPr>
        <w:spacing w:before="120" w:after="120" w:line="360" w:lineRule="auto"/>
        <w:ind w:firstLine="964"/>
        <w:jc w:val="left"/>
        <w:rPr>
          <w:rFonts w:hint="default" w:ascii="宋体" w:hAnsi="宋体" w:eastAsia="宋体"/>
          <w:sz w:val="24"/>
          <w:szCs w:val="24"/>
          <w:highlight w:val="yellow"/>
          <w:lang w:val="en-US" w:eastAsia="zh-CN"/>
        </w:rPr>
      </w:pPr>
      <w:r>
        <w:rPr>
          <w:rFonts w:hint="eastAsia" w:ascii="Times New Roman" w:hAnsi="Times New Roman"/>
          <w:b/>
          <w:bCs/>
          <w:sz w:val="32"/>
        </w:rPr>
        <w:t>项目编</w:t>
      </w:r>
      <w:r>
        <w:rPr>
          <w:rFonts w:hint="eastAsia" w:ascii="Times New Roman" w:hAnsi="Times New Roman"/>
          <w:b/>
          <w:bCs/>
          <w:sz w:val="32"/>
          <w:highlight w:val="none"/>
        </w:rPr>
        <w:t>号</w:t>
      </w:r>
      <w:r>
        <w:rPr>
          <w:rFonts w:hint="eastAsia" w:ascii="Times New Roman" w:hAnsi="Times New Roman" w:eastAsia="宋体" w:cs="Times New Roman"/>
          <w:b/>
          <w:bCs/>
          <w:sz w:val="32"/>
          <w:szCs w:val="24"/>
          <w:highlight w:val="none"/>
        </w:rPr>
        <w:t>：</w:t>
      </w:r>
      <w:r>
        <w:rPr>
          <w:rFonts w:hint="eastAsia" w:ascii="Times New Roman" w:hAnsi="Times New Roman" w:eastAsia="宋体" w:cs="Times New Roman"/>
          <w:b/>
          <w:bCs/>
          <w:sz w:val="32"/>
          <w:szCs w:val="24"/>
          <w:highlight w:val="none"/>
          <w:lang w:eastAsia="zh-CN"/>
        </w:rPr>
        <w:t>JSZC-321300-JSZR-D2026-0066</w:t>
      </w:r>
    </w:p>
    <w:p w14:paraId="782C9ACD">
      <w:pPr>
        <w:spacing w:line="360" w:lineRule="auto"/>
        <w:jc w:val="left"/>
        <w:rPr>
          <w:rFonts w:hint="eastAsia" w:ascii="宋体" w:hAnsi="宋体"/>
          <w:sz w:val="24"/>
          <w:szCs w:val="24"/>
        </w:rPr>
      </w:pPr>
    </w:p>
    <w:p w14:paraId="0108AADB">
      <w:pPr>
        <w:spacing w:line="360" w:lineRule="auto"/>
        <w:jc w:val="left"/>
        <w:rPr>
          <w:rFonts w:hint="eastAsia" w:ascii="宋体" w:hAnsi="宋体"/>
          <w:sz w:val="24"/>
          <w:szCs w:val="24"/>
        </w:rPr>
      </w:pPr>
    </w:p>
    <w:p w14:paraId="25ACBF17">
      <w:pPr>
        <w:spacing w:line="360" w:lineRule="auto"/>
        <w:jc w:val="left"/>
        <w:rPr>
          <w:rFonts w:hint="eastAsia" w:ascii="宋体" w:hAnsi="宋体"/>
          <w:sz w:val="24"/>
          <w:szCs w:val="24"/>
        </w:rPr>
      </w:pPr>
    </w:p>
    <w:p w14:paraId="5686E51E">
      <w:pPr>
        <w:spacing w:line="360" w:lineRule="auto"/>
        <w:jc w:val="left"/>
        <w:rPr>
          <w:rFonts w:hint="eastAsia" w:ascii="宋体" w:hAnsi="宋体"/>
          <w:sz w:val="24"/>
          <w:szCs w:val="24"/>
        </w:rPr>
      </w:pPr>
    </w:p>
    <w:p w14:paraId="4E7D1BBD">
      <w:pPr>
        <w:pStyle w:val="251"/>
        <w:ind w:firstLine="1054"/>
        <w:jc w:val="both"/>
        <w:rPr>
          <w:rFonts w:hint="eastAsia" w:ascii="宋体" w:hAnsi="宋体" w:eastAsia="宋体" w:cs="宋体"/>
          <w:b/>
          <w:bCs/>
          <w:sz w:val="32"/>
          <w:lang w:val="en-US" w:eastAsia="zh-CN"/>
        </w:rPr>
      </w:pPr>
      <w:r>
        <w:rPr>
          <w:rFonts w:hint="eastAsia" w:ascii="宋体" w:hAnsi="宋体" w:cs="宋体"/>
          <w:b/>
          <w:bCs/>
          <w:sz w:val="32"/>
        </w:rPr>
        <w:t>采购人：</w:t>
      </w:r>
      <w:r>
        <w:rPr>
          <w:rFonts w:hint="eastAsia" w:ascii="宋体" w:hAnsi="宋体" w:cs="宋体"/>
          <w:b/>
          <w:bCs/>
          <w:sz w:val="32"/>
          <w:lang w:eastAsia="zh-CN"/>
        </w:rPr>
        <w:t xml:space="preserve">宿迁市发展和改革委员会 </w:t>
      </w:r>
    </w:p>
    <w:p w14:paraId="792EDC4C">
      <w:pPr>
        <w:spacing w:before="120" w:after="120" w:line="360" w:lineRule="auto"/>
        <w:ind w:firstLine="964"/>
        <w:rPr>
          <w:rFonts w:hint="eastAsia" w:ascii="宋体" w:hAnsi="宋体" w:cs="宋体" w:eastAsiaTheme="minorEastAsia"/>
          <w:b/>
          <w:bCs/>
          <w:sz w:val="32"/>
          <w:lang w:eastAsia="zh-CN"/>
        </w:rPr>
      </w:pPr>
      <w:r>
        <w:rPr>
          <w:rFonts w:hint="eastAsia" w:ascii="宋体" w:hAnsi="宋体" w:cs="宋体"/>
          <w:b/>
          <w:bCs/>
          <w:sz w:val="32"/>
        </w:rPr>
        <w:t>采购代理机构：</w:t>
      </w:r>
      <w:r>
        <w:rPr>
          <w:rFonts w:hint="eastAsia" w:ascii="宋体" w:hAnsi="宋体" w:cs="宋体"/>
          <w:b/>
          <w:bCs/>
          <w:sz w:val="32"/>
          <w:lang w:eastAsia="zh-CN"/>
        </w:rPr>
        <w:t>江苏中瑞建设项目管理有限公司</w:t>
      </w:r>
    </w:p>
    <w:p w14:paraId="24BEEE86">
      <w:pPr>
        <w:pStyle w:val="251"/>
        <w:rPr>
          <w:rFonts w:hint="eastAsia" w:ascii="宋体" w:hAnsi="宋体" w:cs="宋体"/>
          <w:b/>
          <w:bCs/>
          <w:sz w:val="32"/>
          <w:highlight w:val="none"/>
        </w:rPr>
      </w:pPr>
      <w:r>
        <w:rPr>
          <w:rFonts w:hint="eastAsia" w:ascii="宋体" w:hAnsi="宋体" w:cs="宋体"/>
          <w:b/>
          <w:bCs/>
          <w:sz w:val="32"/>
        </w:rPr>
        <w:t xml:space="preserve">                </w:t>
      </w:r>
    </w:p>
    <w:p w14:paraId="76100865">
      <w:pPr>
        <w:pStyle w:val="251"/>
        <w:ind w:firstLine="2975"/>
        <w:rPr>
          <w:rFonts w:hint="eastAsia" w:ascii="宋体" w:hAnsi="宋体" w:cs="宋体"/>
          <w:b/>
          <w:bCs/>
          <w:sz w:val="32"/>
          <w:highlight w:val="none"/>
        </w:rPr>
      </w:pPr>
      <w:r>
        <w:rPr>
          <w:rFonts w:hint="eastAsia" w:ascii="宋体" w:hAnsi="宋体" w:cs="宋体"/>
          <w:b/>
          <w:bCs/>
          <w:sz w:val="32"/>
          <w:highlight w:val="none"/>
        </w:rPr>
        <w:t>202</w:t>
      </w:r>
      <w:r>
        <w:rPr>
          <w:rFonts w:hint="eastAsia" w:ascii="宋体" w:hAnsi="宋体" w:cs="宋体"/>
          <w:b/>
          <w:bCs/>
          <w:sz w:val="32"/>
          <w:highlight w:val="none"/>
          <w:lang w:val="en-US" w:eastAsia="zh-CN"/>
        </w:rPr>
        <w:t>6</w:t>
      </w:r>
      <w:r>
        <w:rPr>
          <w:rFonts w:hint="eastAsia" w:ascii="宋体" w:hAnsi="宋体" w:cs="宋体"/>
          <w:b/>
          <w:bCs/>
          <w:sz w:val="32"/>
          <w:szCs w:val="22"/>
          <w:highlight w:val="none"/>
        </w:rPr>
        <w:t>年</w:t>
      </w:r>
      <w:r>
        <w:rPr>
          <w:rFonts w:hint="eastAsia" w:ascii="宋体" w:hAnsi="宋体" w:cs="宋体"/>
          <w:b/>
          <w:bCs/>
          <w:sz w:val="32"/>
          <w:szCs w:val="22"/>
          <w:highlight w:val="none"/>
          <w:lang w:val="en-US" w:eastAsia="zh-CN"/>
        </w:rPr>
        <w:t>9</w:t>
      </w:r>
      <w:r>
        <w:rPr>
          <w:rFonts w:hint="eastAsia" w:ascii="宋体" w:hAnsi="宋体" w:cs="宋体"/>
          <w:b/>
          <w:bCs/>
          <w:sz w:val="32"/>
          <w:szCs w:val="22"/>
          <w:highlight w:val="none"/>
        </w:rPr>
        <w:t>月</w:t>
      </w:r>
      <w:r>
        <w:rPr>
          <w:rFonts w:hint="eastAsia" w:ascii="宋体" w:hAnsi="宋体" w:cs="宋体"/>
          <w:b/>
          <w:bCs/>
          <w:sz w:val="32"/>
          <w:szCs w:val="22"/>
          <w:highlight w:val="none"/>
          <w:lang w:val="en-US" w:eastAsia="zh-CN"/>
        </w:rPr>
        <w:t xml:space="preserve"> </w:t>
      </w:r>
    </w:p>
    <w:p w14:paraId="6AE748FB">
      <w:pPr>
        <w:spacing w:before="120" w:after="120" w:line="360" w:lineRule="auto"/>
        <w:jc w:val="left"/>
        <w:rPr>
          <w:rFonts w:ascii="Arial" w:hAnsi="Arial"/>
          <w:sz w:val="24"/>
          <w:szCs w:val="24"/>
          <w:u w:val="single"/>
        </w:rPr>
      </w:pPr>
      <w:r>
        <w:rPr>
          <w:rFonts w:hint="eastAsia" w:ascii="Arial" w:hAnsi="Arial"/>
          <w:sz w:val="24"/>
          <w:szCs w:val="24"/>
        </w:rPr>
        <w:t xml:space="preserve">                        </w:t>
      </w:r>
    </w:p>
    <w:p w14:paraId="019738B5">
      <w:pPr>
        <w:spacing w:before="120" w:after="120" w:line="360" w:lineRule="auto"/>
        <w:jc w:val="center"/>
        <w:rPr>
          <w:rFonts w:ascii="Arial" w:hAnsi="Arial"/>
          <w:sz w:val="24"/>
          <w:szCs w:val="24"/>
        </w:rPr>
      </w:pPr>
    </w:p>
    <w:p w14:paraId="12D75BD9">
      <w:pPr>
        <w:spacing w:line="480" w:lineRule="auto"/>
        <w:jc w:val="center"/>
        <w:outlineLvl w:val="0"/>
        <w:rPr>
          <w:rFonts w:ascii="黑体" w:hAnsi="Arial" w:eastAsia="黑体"/>
          <w:b/>
          <w:sz w:val="44"/>
          <w:szCs w:val="21"/>
        </w:rPr>
      </w:pPr>
      <w:r>
        <w:rPr>
          <w:rFonts w:ascii="Times New Roman" w:hAnsi="Times New Roman"/>
          <w:szCs w:val="21"/>
        </w:rPr>
        <w:br w:type="page" w:clear="all"/>
      </w:r>
      <w:bookmarkStart w:id="0" w:name="_Toc120614210"/>
      <w:bookmarkStart w:id="1" w:name="_Toc16938516"/>
      <w:bookmarkStart w:id="2" w:name="_Toc20823272"/>
      <w:bookmarkStart w:id="3" w:name="_Toc523127445"/>
      <w:bookmarkStart w:id="4" w:name="_Toc479757206"/>
      <w:bookmarkStart w:id="5" w:name="_Toc513029200"/>
      <w:r>
        <w:rPr>
          <w:rFonts w:hint="eastAsia" w:ascii="黑体" w:hAnsi="Arial" w:eastAsia="黑体"/>
          <w:b/>
          <w:sz w:val="44"/>
          <w:szCs w:val="21"/>
        </w:rPr>
        <w:t>总  目  录</w:t>
      </w:r>
    </w:p>
    <w:p w14:paraId="45EDA36F">
      <w:pPr>
        <w:spacing w:line="480" w:lineRule="auto"/>
        <w:rPr>
          <w:rFonts w:ascii="仿宋_GB2312" w:hAnsi="Arial" w:eastAsia="仿宋_GB2312"/>
          <w:b/>
          <w:sz w:val="28"/>
          <w:szCs w:val="21"/>
        </w:rPr>
      </w:pPr>
    </w:p>
    <w:p w14:paraId="1C552772">
      <w:pPr>
        <w:numPr>
          <w:ilvl w:val="0"/>
          <w:numId w:val="4"/>
        </w:numPr>
        <w:spacing w:line="480" w:lineRule="auto"/>
        <w:outlineLvl w:val="0"/>
        <w:rPr>
          <w:rFonts w:ascii="黑体" w:hAnsi="Showcard Gothic" w:eastAsia="黑体"/>
          <w:sz w:val="32"/>
          <w:szCs w:val="21"/>
        </w:rPr>
      </w:pPr>
      <w:r>
        <w:rPr>
          <w:rFonts w:hint="eastAsia" w:ascii="黑体" w:hAnsi="宋体" w:eastAsia="黑体"/>
          <w:sz w:val="36"/>
          <w:szCs w:val="21"/>
        </w:rPr>
        <w:t>单一来源采购邀请</w:t>
      </w:r>
      <w:r>
        <w:rPr>
          <w:rFonts w:hint="eastAsia" w:ascii="黑体" w:hAnsi="Showcard Gothic" w:eastAsia="黑体"/>
          <w:sz w:val="36"/>
          <w:szCs w:val="21"/>
        </w:rPr>
        <w:t>…………………………</w:t>
      </w:r>
      <w:r>
        <w:rPr>
          <w:rFonts w:hint="eastAsia" w:ascii="黑体" w:hAnsi="Showcard Gothic" w:eastAsia="黑体"/>
          <w:sz w:val="36"/>
          <w:szCs w:val="36"/>
        </w:rPr>
        <w:t>……</w:t>
      </w:r>
      <w:r>
        <w:rPr>
          <w:rFonts w:hint="eastAsia" w:ascii="黑体" w:hAnsi="Showcard Gothic" w:eastAsia="黑体"/>
          <w:sz w:val="36"/>
          <w:szCs w:val="21"/>
        </w:rPr>
        <w:t>2</w:t>
      </w:r>
    </w:p>
    <w:p w14:paraId="20176ED4">
      <w:pPr>
        <w:numPr>
          <w:ilvl w:val="0"/>
          <w:numId w:val="4"/>
        </w:numPr>
        <w:spacing w:line="480" w:lineRule="auto"/>
        <w:outlineLvl w:val="0"/>
        <w:rPr>
          <w:rFonts w:ascii="黑体" w:hAnsi="Showcard Gothic" w:eastAsia="黑体"/>
          <w:sz w:val="36"/>
          <w:szCs w:val="21"/>
        </w:rPr>
      </w:pPr>
      <w:r>
        <w:rPr>
          <w:rFonts w:hint="eastAsia" w:ascii="黑体" w:hAnsi="宋体" w:eastAsia="黑体"/>
          <w:bCs/>
          <w:sz w:val="36"/>
          <w:szCs w:val="36"/>
        </w:rPr>
        <w:t>供应商须知</w:t>
      </w:r>
      <w:r>
        <w:rPr>
          <w:rFonts w:hint="eastAsia" w:ascii="黑体" w:hAnsi="Showcard Gothic" w:eastAsia="黑体"/>
          <w:sz w:val="36"/>
          <w:szCs w:val="36"/>
        </w:rPr>
        <w:t>…</w:t>
      </w:r>
      <w:r>
        <w:rPr>
          <w:rFonts w:hint="eastAsia" w:ascii="黑体" w:hAnsi="Showcard Gothic" w:eastAsia="黑体"/>
          <w:sz w:val="36"/>
          <w:szCs w:val="21"/>
        </w:rPr>
        <w:t>………………………………</w:t>
      </w:r>
      <w:r>
        <w:rPr>
          <w:rFonts w:hint="eastAsia" w:ascii="黑体" w:hAnsi="Showcard Gothic" w:eastAsia="黑体"/>
          <w:sz w:val="36"/>
          <w:szCs w:val="36"/>
        </w:rPr>
        <w:t>……</w:t>
      </w:r>
      <w:r>
        <w:rPr>
          <w:rFonts w:hint="eastAsia" w:ascii="黑体" w:hAnsi="Showcard Gothic" w:eastAsia="黑体"/>
          <w:sz w:val="36"/>
          <w:szCs w:val="21"/>
        </w:rPr>
        <w:t xml:space="preserve">4 </w:t>
      </w:r>
    </w:p>
    <w:p w14:paraId="00FC0A01">
      <w:pPr>
        <w:numPr>
          <w:ilvl w:val="0"/>
          <w:numId w:val="4"/>
        </w:numPr>
        <w:spacing w:line="480" w:lineRule="auto"/>
        <w:outlineLvl w:val="0"/>
        <w:rPr>
          <w:rFonts w:ascii="黑体" w:hAnsi="Showcard Gothic" w:eastAsia="黑体"/>
          <w:sz w:val="36"/>
          <w:szCs w:val="21"/>
        </w:rPr>
      </w:pPr>
      <w:r>
        <w:rPr>
          <w:rFonts w:hint="eastAsia" w:ascii="黑体" w:hAnsi="宋体" w:eastAsia="黑体"/>
          <w:sz w:val="36"/>
          <w:szCs w:val="21"/>
        </w:rPr>
        <w:t xml:space="preserve">采购需求 </w:t>
      </w:r>
      <w:r>
        <w:rPr>
          <w:rFonts w:hint="eastAsia" w:ascii="黑体" w:hAnsi="Showcard Gothic" w:eastAsia="黑体"/>
          <w:sz w:val="36"/>
          <w:szCs w:val="21"/>
        </w:rPr>
        <w:t>……………………………………</w:t>
      </w:r>
      <w:r>
        <w:rPr>
          <w:rFonts w:hint="eastAsia" w:ascii="黑体" w:hAnsi="Showcard Gothic" w:eastAsia="黑体"/>
          <w:sz w:val="36"/>
          <w:szCs w:val="36"/>
        </w:rPr>
        <w:t>…</w:t>
      </w:r>
      <w:r>
        <w:rPr>
          <w:rFonts w:hint="eastAsia" w:ascii="黑体" w:hAnsi="Showcard Gothic" w:eastAsia="黑体"/>
          <w:sz w:val="36"/>
          <w:szCs w:val="21"/>
        </w:rPr>
        <w:t>1</w:t>
      </w:r>
      <w:r>
        <w:rPr>
          <w:rFonts w:hint="eastAsia" w:ascii="黑体" w:hAnsi="Showcard Gothic" w:eastAsia="黑体"/>
          <w:sz w:val="36"/>
          <w:szCs w:val="21"/>
          <w:lang w:val="en-US" w:eastAsia="zh-CN"/>
        </w:rPr>
        <w:t>3</w:t>
      </w:r>
    </w:p>
    <w:p w14:paraId="5384F546">
      <w:pPr>
        <w:numPr>
          <w:ilvl w:val="0"/>
          <w:numId w:val="4"/>
        </w:numPr>
        <w:spacing w:line="480" w:lineRule="auto"/>
        <w:outlineLvl w:val="0"/>
        <w:rPr>
          <w:rFonts w:ascii="黑体" w:hAnsi="Showcard Gothic" w:eastAsia="黑体"/>
          <w:sz w:val="36"/>
          <w:szCs w:val="21"/>
        </w:rPr>
      </w:pPr>
      <w:r>
        <w:rPr>
          <w:rFonts w:hint="eastAsia" w:ascii="黑体" w:hAnsi="宋体" w:eastAsia="黑体"/>
          <w:sz w:val="36"/>
          <w:szCs w:val="21"/>
        </w:rPr>
        <w:t xml:space="preserve">合同文本 </w:t>
      </w:r>
      <w:r>
        <w:rPr>
          <w:rFonts w:hint="eastAsia" w:ascii="黑体" w:hAnsi="Showcard Gothic" w:eastAsia="黑体"/>
          <w:sz w:val="36"/>
          <w:szCs w:val="21"/>
        </w:rPr>
        <w:t>……………………………………</w:t>
      </w:r>
      <w:r>
        <w:rPr>
          <w:rFonts w:hint="eastAsia" w:ascii="黑体" w:hAnsi="Showcard Gothic" w:eastAsia="黑体"/>
          <w:sz w:val="36"/>
          <w:szCs w:val="36"/>
        </w:rPr>
        <w:t>…</w:t>
      </w:r>
      <w:r>
        <w:rPr>
          <w:rFonts w:hint="eastAsia" w:ascii="黑体" w:hAnsi="Showcard Gothic" w:eastAsia="黑体"/>
          <w:sz w:val="36"/>
          <w:szCs w:val="21"/>
          <w:lang w:val="en-US" w:eastAsia="zh-CN"/>
        </w:rPr>
        <w:t>26</w:t>
      </w:r>
    </w:p>
    <w:p w14:paraId="0D8DEFCD">
      <w:pPr>
        <w:numPr>
          <w:ilvl w:val="0"/>
          <w:numId w:val="4"/>
        </w:numPr>
        <w:spacing w:line="480" w:lineRule="auto"/>
        <w:outlineLvl w:val="0"/>
        <w:rPr>
          <w:rFonts w:ascii="黑体" w:hAnsi="Showcard Gothic" w:eastAsia="黑体"/>
          <w:sz w:val="36"/>
          <w:szCs w:val="21"/>
        </w:rPr>
      </w:pPr>
      <w:r>
        <w:rPr>
          <w:rFonts w:hint="eastAsia" w:ascii="黑体" w:hAnsi="宋体" w:eastAsia="黑体"/>
          <w:sz w:val="36"/>
          <w:szCs w:val="21"/>
        </w:rPr>
        <w:t>响应文件格式</w:t>
      </w:r>
      <w:r>
        <w:rPr>
          <w:rFonts w:hint="eastAsia" w:ascii="黑体" w:hAnsi="Showcard Gothic" w:eastAsia="黑体"/>
          <w:sz w:val="36"/>
          <w:szCs w:val="36"/>
        </w:rPr>
        <w:t xml:space="preserve"> </w:t>
      </w:r>
      <w:r>
        <w:rPr>
          <w:rFonts w:hint="eastAsia" w:ascii="黑体" w:hAnsi="Showcard Gothic" w:eastAsia="黑体"/>
          <w:sz w:val="36"/>
          <w:szCs w:val="21"/>
        </w:rPr>
        <w:t>………………………………</w:t>
      </w:r>
      <w:r>
        <w:rPr>
          <w:rFonts w:hint="eastAsia" w:ascii="黑体" w:hAnsi="Showcard Gothic" w:eastAsia="黑体"/>
          <w:sz w:val="36"/>
          <w:szCs w:val="36"/>
        </w:rPr>
        <w:t>…</w:t>
      </w:r>
      <w:r>
        <w:rPr>
          <w:rFonts w:hint="eastAsia" w:ascii="黑体" w:hAnsi="Showcard Gothic" w:eastAsia="黑体"/>
          <w:sz w:val="36"/>
          <w:szCs w:val="21"/>
        </w:rPr>
        <w:t>3</w:t>
      </w:r>
      <w:r>
        <w:rPr>
          <w:rFonts w:hint="eastAsia" w:ascii="黑体" w:hAnsi="Showcard Gothic" w:eastAsia="黑体"/>
          <w:sz w:val="36"/>
          <w:szCs w:val="21"/>
          <w:lang w:val="en-US" w:eastAsia="zh-CN"/>
        </w:rPr>
        <w:t>4</w:t>
      </w:r>
    </w:p>
    <w:p w14:paraId="568A9EA3">
      <w:pPr>
        <w:rPr>
          <w:rFonts w:ascii="Times New Roman" w:hAnsi="Times New Roman"/>
          <w:szCs w:val="21"/>
        </w:rPr>
      </w:pPr>
    </w:p>
    <w:p w14:paraId="19EFD9EC">
      <w:pPr>
        <w:rPr>
          <w:rFonts w:ascii="Times New Roman" w:hAnsi="Times New Roman"/>
          <w:szCs w:val="21"/>
        </w:rPr>
      </w:pPr>
    </w:p>
    <w:p w14:paraId="7F639E69">
      <w:pPr>
        <w:rPr>
          <w:rFonts w:ascii="Times New Roman" w:hAnsi="Times New Roman"/>
          <w:szCs w:val="21"/>
        </w:rPr>
      </w:pPr>
    </w:p>
    <w:p w14:paraId="549C155E">
      <w:pPr>
        <w:rPr>
          <w:rFonts w:ascii="Times New Roman" w:hAnsi="Times New Roman"/>
          <w:szCs w:val="21"/>
        </w:rPr>
      </w:pPr>
    </w:p>
    <w:p w14:paraId="64A09403">
      <w:pPr>
        <w:rPr>
          <w:rFonts w:ascii="Times New Roman" w:hAnsi="Times New Roman"/>
          <w:szCs w:val="21"/>
        </w:rPr>
      </w:pPr>
    </w:p>
    <w:p w14:paraId="49CB62A1">
      <w:pPr>
        <w:rPr>
          <w:rFonts w:ascii="Times New Roman" w:hAnsi="Times New Roman"/>
          <w:szCs w:val="21"/>
        </w:rPr>
      </w:pPr>
    </w:p>
    <w:p w14:paraId="20AC7D19">
      <w:pPr>
        <w:rPr>
          <w:rFonts w:ascii="Times New Roman" w:hAnsi="Times New Roman"/>
          <w:szCs w:val="21"/>
        </w:rPr>
      </w:pPr>
    </w:p>
    <w:p w14:paraId="18A8A4DF">
      <w:pPr>
        <w:rPr>
          <w:rFonts w:ascii="Times New Roman" w:hAnsi="Times New Roman"/>
          <w:szCs w:val="21"/>
        </w:rPr>
      </w:pPr>
    </w:p>
    <w:p w14:paraId="54B8A82A">
      <w:pPr>
        <w:rPr>
          <w:rFonts w:ascii="Times New Roman" w:hAnsi="Times New Roman"/>
          <w:szCs w:val="21"/>
        </w:rPr>
      </w:pPr>
    </w:p>
    <w:p w14:paraId="545FABCD">
      <w:pPr>
        <w:rPr>
          <w:rFonts w:ascii="Times New Roman" w:hAnsi="Times New Roman"/>
          <w:szCs w:val="21"/>
        </w:rPr>
      </w:pPr>
    </w:p>
    <w:p w14:paraId="21B2E4EB">
      <w:pPr>
        <w:rPr>
          <w:rFonts w:ascii="Times New Roman" w:hAnsi="Times New Roman"/>
          <w:szCs w:val="21"/>
        </w:rPr>
      </w:pPr>
    </w:p>
    <w:p w14:paraId="4EF7674E">
      <w:pPr>
        <w:rPr>
          <w:rFonts w:ascii="Times New Roman" w:hAnsi="Times New Roman"/>
          <w:szCs w:val="21"/>
        </w:rPr>
      </w:pPr>
    </w:p>
    <w:p w14:paraId="343E716D">
      <w:pPr>
        <w:rPr>
          <w:rFonts w:ascii="Times New Roman" w:hAnsi="Times New Roman"/>
          <w:szCs w:val="21"/>
        </w:rPr>
      </w:pPr>
    </w:p>
    <w:p w14:paraId="34BD3DEE">
      <w:pPr>
        <w:rPr>
          <w:rFonts w:ascii="Times New Roman" w:hAnsi="Times New Roman"/>
          <w:szCs w:val="21"/>
        </w:rPr>
      </w:pPr>
    </w:p>
    <w:p w14:paraId="2EA830E8">
      <w:pPr>
        <w:rPr>
          <w:rFonts w:ascii="Times New Roman" w:hAnsi="Times New Roman"/>
          <w:szCs w:val="21"/>
        </w:rPr>
      </w:pPr>
    </w:p>
    <w:p w14:paraId="1632DC98">
      <w:pPr>
        <w:rPr>
          <w:rFonts w:ascii="Times New Roman" w:hAnsi="Times New Roman"/>
          <w:szCs w:val="21"/>
        </w:rPr>
      </w:pPr>
    </w:p>
    <w:p w14:paraId="3B58FAB7">
      <w:pPr>
        <w:rPr>
          <w:rFonts w:ascii="Times New Roman" w:hAnsi="Times New Roman"/>
          <w:szCs w:val="21"/>
        </w:rPr>
      </w:pPr>
    </w:p>
    <w:p w14:paraId="01E476DF">
      <w:pPr>
        <w:rPr>
          <w:rFonts w:ascii="Times New Roman" w:hAnsi="Times New Roman"/>
          <w:szCs w:val="21"/>
        </w:rPr>
      </w:pPr>
    </w:p>
    <w:p w14:paraId="1B9C4552">
      <w:pPr>
        <w:rPr>
          <w:rFonts w:ascii="Times New Roman" w:hAnsi="Times New Roman"/>
          <w:szCs w:val="21"/>
        </w:rPr>
      </w:pPr>
    </w:p>
    <w:p w14:paraId="03FB8005">
      <w:pPr>
        <w:rPr>
          <w:rFonts w:ascii="Times New Roman" w:hAnsi="Times New Roman"/>
          <w:szCs w:val="21"/>
        </w:rPr>
      </w:pPr>
    </w:p>
    <w:p w14:paraId="2ABEF6C1">
      <w:pPr>
        <w:rPr>
          <w:rFonts w:ascii="Times New Roman" w:hAnsi="Times New Roman"/>
          <w:szCs w:val="21"/>
        </w:rPr>
      </w:pPr>
    </w:p>
    <w:p w14:paraId="18F0241B">
      <w:pPr>
        <w:rPr>
          <w:rFonts w:ascii="Times New Roman" w:hAnsi="Times New Roman"/>
          <w:szCs w:val="21"/>
        </w:rPr>
      </w:pPr>
    </w:p>
    <w:p w14:paraId="3DDF8101">
      <w:pPr>
        <w:rPr>
          <w:rFonts w:ascii="Times New Roman" w:hAnsi="Times New Roman"/>
          <w:szCs w:val="21"/>
        </w:rPr>
      </w:pPr>
    </w:p>
    <w:p w14:paraId="46127964">
      <w:pPr>
        <w:rPr>
          <w:rFonts w:ascii="Times New Roman" w:hAnsi="Times New Roman"/>
          <w:szCs w:val="21"/>
        </w:rPr>
      </w:pPr>
    </w:p>
    <w:p w14:paraId="349394E5">
      <w:pPr>
        <w:rPr>
          <w:rFonts w:ascii="Times New Roman" w:hAnsi="Times New Roman"/>
          <w:szCs w:val="21"/>
        </w:rPr>
      </w:pPr>
    </w:p>
    <w:p w14:paraId="3645DA66">
      <w:pPr>
        <w:rPr>
          <w:rFonts w:ascii="Times New Roman" w:hAnsi="Times New Roman"/>
          <w:szCs w:val="21"/>
        </w:rPr>
      </w:pPr>
    </w:p>
    <w:bookmarkEnd w:id="0"/>
    <w:p w14:paraId="2B666AD1">
      <w:pPr>
        <w:rPr>
          <w:rFonts w:ascii="Times New Roman" w:hAnsi="Times New Roman"/>
          <w:szCs w:val="21"/>
        </w:rPr>
      </w:pPr>
    </w:p>
    <w:p w14:paraId="0CC61CB6">
      <w:pPr>
        <w:rPr>
          <w:rFonts w:ascii="Times New Roman" w:hAnsi="Times New Roman"/>
          <w:szCs w:val="21"/>
        </w:rPr>
      </w:pPr>
    </w:p>
    <w:p w14:paraId="1F7CAA34">
      <w:pPr>
        <w:rPr>
          <w:rFonts w:ascii="Times New Roman" w:hAnsi="Times New Roman"/>
          <w:szCs w:val="21"/>
        </w:rPr>
      </w:pPr>
    </w:p>
    <w:p w14:paraId="4006B9A3">
      <w:pPr>
        <w:pStyle w:val="256"/>
        <w:numPr>
          <w:ilvl w:val="0"/>
          <w:numId w:val="5"/>
        </w:numPr>
        <w:jc w:val="center"/>
        <w:rPr>
          <w:rFonts w:ascii="黑体" w:hAnsi="Times New Roman" w:eastAsia="黑体"/>
          <w:sz w:val="44"/>
          <w:szCs w:val="44"/>
        </w:rPr>
      </w:pPr>
      <w:r>
        <w:rPr>
          <w:rFonts w:hint="eastAsia" w:ascii="黑体" w:hAnsi="Times New Roman" w:eastAsia="黑体"/>
          <w:sz w:val="44"/>
          <w:szCs w:val="44"/>
        </w:rPr>
        <w:t>单一来源采购邀请</w:t>
      </w:r>
    </w:p>
    <w:p w14:paraId="6AA56A45">
      <w:pPr>
        <w:pStyle w:val="256"/>
        <w:ind w:left="2235"/>
        <w:rPr>
          <w:rFonts w:hint="eastAsia" w:ascii="宋体" w:hAnsi="宋体" w:eastAsia="宋体" w:cs="宋体"/>
        </w:rPr>
      </w:pPr>
    </w:p>
    <w:p w14:paraId="28EF41E9">
      <w:pPr>
        <w:pStyle w:val="251"/>
        <w:ind w:left="0" w:firstLine="0"/>
        <w:jc w:val="both"/>
        <w:rPr>
          <w:rFonts w:hint="eastAsia" w:ascii="宋体" w:hAnsi="宋体" w:eastAsia="宋体" w:cs="宋体"/>
        </w:rPr>
      </w:pPr>
      <w:r>
        <w:rPr>
          <w:rFonts w:hint="eastAsia" w:ascii="宋体" w:hAnsi="宋体" w:cs="宋体"/>
          <w:lang w:eastAsia="zh-CN"/>
        </w:rPr>
        <w:t>江苏淮安苏食肉品有限公司</w:t>
      </w:r>
      <w:r>
        <w:rPr>
          <w:rFonts w:hint="eastAsia" w:ascii="宋体" w:hAnsi="宋体" w:eastAsia="宋体" w:cs="宋体"/>
          <w:lang w:val="en-US" w:eastAsia="zh-CN"/>
        </w:rPr>
        <w:t>：</w:t>
      </w:r>
    </w:p>
    <w:p w14:paraId="4881B98F">
      <w:pPr>
        <w:pStyle w:val="251"/>
        <w:ind w:left="0" w:firstLine="480"/>
        <w:jc w:val="both"/>
        <w:rPr>
          <w:rFonts w:hint="eastAsia" w:ascii="宋体" w:hAnsi="宋体" w:eastAsia="宋体" w:cs="宋体"/>
        </w:rPr>
      </w:pPr>
      <w:r>
        <w:rPr>
          <w:rFonts w:hint="eastAsia" w:ascii="宋体" w:hAnsi="宋体" w:eastAsia="宋体" w:cs="宋体"/>
        </w:rPr>
        <w:t>受</w:t>
      </w:r>
      <w:r>
        <w:rPr>
          <w:rFonts w:hint="eastAsia" w:ascii="宋体" w:hAnsi="宋体" w:cs="宋体"/>
          <w:lang w:eastAsia="zh-CN"/>
        </w:rPr>
        <w:t xml:space="preserve">宿迁市发展和改革委员会 </w:t>
      </w:r>
      <w:r>
        <w:rPr>
          <w:rFonts w:hint="eastAsia" w:ascii="宋体" w:hAnsi="宋体" w:eastAsia="宋体" w:cs="宋体"/>
        </w:rPr>
        <w:t>的委托，</w:t>
      </w:r>
      <w:r>
        <w:rPr>
          <w:rFonts w:hint="eastAsia" w:ascii="宋体" w:hAnsi="宋体" w:cs="宋体"/>
          <w:lang w:eastAsia="zh-CN"/>
        </w:rPr>
        <w:t>江苏中瑞建设项目管理有限公司</w:t>
      </w:r>
      <w:r>
        <w:rPr>
          <w:rFonts w:hint="eastAsia" w:ascii="宋体" w:hAnsi="宋体" w:eastAsia="宋体" w:cs="宋体"/>
        </w:rPr>
        <w:t>就</w:t>
      </w:r>
      <w:r>
        <w:rPr>
          <w:rFonts w:hint="eastAsia" w:ascii="宋体" w:hAnsi="宋体" w:cs="宋体"/>
          <w:lang w:eastAsia="zh-CN"/>
        </w:rPr>
        <w:t>2026年-2029年宿迁市级冻猪肉储备采购</w:t>
      </w:r>
      <w:r>
        <w:rPr>
          <w:rFonts w:hint="eastAsia" w:ascii="宋体" w:hAnsi="宋体" w:eastAsia="宋体" w:cs="宋体"/>
          <w:highlight w:val="none"/>
        </w:rPr>
        <w:t>(</w:t>
      </w:r>
      <w:r>
        <w:rPr>
          <w:rFonts w:hint="eastAsia" w:ascii="宋体" w:hAnsi="宋体" w:cs="宋体"/>
          <w:highlight w:val="none"/>
          <w:lang w:eastAsia="zh-CN"/>
        </w:rPr>
        <w:t>JSZC-321300-JSZR-D2026-0066</w:t>
      </w:r>
      <w:r>
        <w:rPr>
          <w:rFonts w:hint="eastAsia" w:ascii="宋体" w:hAnsi="宋体" w:eastAsia="宋体" w:cs="宋体"/>
          <w:highlight w:val="none"/>
        </w:rPr>
        <w:t>)项目</w:t>
      </w:r>
      <w:r>
        <w:rPr>
          <w:rFonts w:hint="eastAsia" w:ascii="宋体" w:hAnsi="宋体" w:eastAsia="宋体" w:cs="宋体"/>
        </w:rPr>
        <w:t>进行单一来源采购，欢迎贵公司前来参与本次采购协商。</w:t>
      </w:r>
    </w:p>
    <w:p w14:paraId="3E9F83FF">
      <w:pPr>
        <w:keepNext/>
        <w:keepLines/>
        <w:spacing w:line="480" w:lineRule="exact"/>
        <w:ind w:firstLine="498"/>
        <w:outlineLvl w:val="2"/>
        <w:rPr>
          <w:rFonts w:hint="eastAsia" w:ascii="宋体" w:hAnsi="宋体" w:eastAsia="宋体" w:cs="宋体"/>
          <w:b/>
          <w:bCs/>
          <w:sz w:val="32"/>
          <w:szCs w:val="32"/>
        </w:rPr>
      </w:pPr>
      <w:bookmarkStart w:id="6" w:name="_Toc35393790"/>
      <w:bookmarkStart w:id="7" w:name="_Toc38985263"/>
      <w:bookmarkStart w:id="8" w:name="_Toc35393621"/>
      <w:bookmarkStart w:id="9" w:name="_Toc28359002"/>
      <w:bookmarkStart w:id="10" w:name="_Toc28359079"/>
      <w:bookmarkStart w:id="11" w:name="_Hlk24379207"/>
      <w:r>
        <w:rPr>
          <w:rFonts w:hint="eastAsia" w:ascii="宋体" w:hAnsi="宋体" w:eastAsia="宋体" w:cs="宋体"/>
          <w:b/>
          <w:bCs/>
          <w:sz w:val="32"/>
          <w:szCs w:val="32"/>
        </w:rPr>
        <w:t>一、项目基本情况</w:t>
      </w:r>
      <w:bookmarkEnd w:id="6"/>
      <w:bookmarkEnd w:id="7"/>
      <w:bookmarkEnd w:id="8"/>
      <w:bookmarkEnd w:id="9"/>
      <w:bookmarkEnd w:id="10"/>
    </w:p>
    <w:p w14:paraId="3CB5E17B">
      <w:pPr>
        <w:spacing w:line="48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rPr>
        <w:t>1.项目编号</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JSZC-321300-JSZR-D2026-0066</w:t>
      </w:r>
    </w:p>
    <w:p w14:paraId="339A4719">
      <w:pPr>
        <w:spacing w:line="480" w:lineRule="exact"/>
        <w:ind w:firstLine="480"/>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rPr>
        <w:t>2.项目名称：</w:t>
      </w:r>
      <w:bookmarkEnd w:id="11"/>
      <w:r>
        <w:rPr>
          <w:rFonts w:hint="eastAsia" w:ascii="宋体" w:hAnsi="宋体" w:eastAsia="宋体" w:cs="宋体"/>
          <w:sz w:val="24"/>
          <w:szCs w:val="24"/>
          <w:highlight w:val="none"/>
          <w:lang w:val="en-US" w:eastAsia="zh-CN" w:bidi="ar-SA"/>
        </w:rPr>
        <w:t>2026年-2029年宿迁市级冻猪肉储备采购</w:t>
      </w:r>
    </w:p>
    <w:p w14:paraId="0ECC1EEE">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3.预算金额：</w:t>
      </w:r>
      <w:r>
        <w:rPr>
          <w:rFonts w:hint="eastAsia" w:ascii="宋体" w:hAnsi="宋体" w:eastAsia="宋体" w:cs="宋体"/>
          <w:sz w:val="24"/>
          <w:szCs w:val="24"/>
          <w:lang w:val="en-US" w:eastAsia="zh-CN"/>
        </w:rPr>
        <w:t>135</w:t>
      </w:r>
      <w:r>
        <w:rPr>
          <w:rFonts w:hint="eastAsia" w:ascii="宋体" w:hAnsi="宋体" w:eastAsia="宋体" w:cs="宋体"/>
          <w:sz w:val="24"/>
          <w:szCs w:val="24"/>
        </w:rPr>
        <w:t>万元，最高限价</w:t>
      </w:r>
      <w:r>
        <w:rPr>
          <w:rFonts w:hint="eastAsia" w:ascii="宋体" w:hAnsi="宋体" w:eastAsia="宋体" w:cs="宋体"/>
          <w:sz w:val="24"/>
          <w:szCs w:val="24"/>
          <w:lang w:val="en-US" w:eastAsia="zh-CN"/>
        </w:rPr>
        <w:t>:135</w:t>
      </w:r>
      <w:r>
        <w:rPr>
          <w:rFonts w:hint="eastAsia" w:ascii="宋体" w:hAnsi="宋体" w:eastAsia="宋体" w:cs="宋体"/>
          <w:sz w:val="24"/>
          <w:szCs w:val="24"/>
        </w:rPr>
        <w:t>万元</w:t>
      </w:r>
    </w:p>
    <w:p w14:paraId="4BE0FD6A">
      <w:pPr>
        <w:spacing w:line="4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bidi="ar-SA"/>
        </w:rPr>
        <w:t>4.采购需求：</w:t>
      </w:r>
      <w:r>
        <w:rPr>
          <w:rFonts w:hint="eastAsia" w:ascii="Times New Roman" w:hAnsi="Times New Roman"/>
          <w:color w:val="000000"/>
          <w:sz w:val="24"/>
          <w:szCs w:val="24"/>
          <w:lang w:eastAsia="zh-CN"/>
        </w:rPr>
        <w:t>2026年-2029年宿迁市级冻猪肉储备采购</w:t>
      </w:r>
      <w:r>
        <w:rPr>
          <w:rFonts w:hint="eastAsia" w:ascii="宋体" w:hAnsi="宋体" w:eastAsia="宋体" w:cs="宋体"/>
          <w:sz w:val="24"/>
          <w:szCs w:val="24"/>
          <w:highlight w:val="none"/>
          <w:lang w:val="en-US" w:eastAsia="zh-CN" w:bidi="ar-SA"/>
        </w:rPr>
        <w:t>，具体内容详见“采购需求</w:t>
      </w:r>
      <w:r>
        <w:rPr>
          <w:rFonts w:hint="eastAsia" w:ascii="宋体" w:hAnsi="宋体" w:eastAsia="宋体" w:cs="宋体"/>
          <w:sz w:val="24"/>
          <w:highlight w:val="white"/>
        </w:rPr>
        <w:t>”。</w:t>
      </w:r>
    </w:p>
    <w:p w14:paraId="1E0334A2">
      <w:pPr>
        <w:spacing w:line="540" w:lineRule="exact"/>
        <w:ind w:firstLine="480"/>
        <w:rPr>
          <w:highlight w:val="none"/>
        </w:rPr>
      </w:pPr>
      <w:r>
        <w:rPr>
          <w:rFonts w:hint="eastAsia" w:ascii="宋体" w:hAnsi="宋体" w:eastAsia="宋体" w:cs="宋体"/>
          <w:b w:val="0"/>
          <w:bCs w:val="0"/>
          <w:sz w:val="24"/>
          <w:szCs w:val="24"/>
          <w:lang w:val="en-US" w:eastAsia="zh-CN" w:bidi="ar-SA"/>
        </w:rPr>
        <w:t>5.合同履行期限：3年</w:t>
      </w:r>
      <w:r>
        <w:rPr>
          <w:rFonts w:hint="eastAsia" w:ascii="宋体" w:hAnsi="宋体" w:eastAsia="宋体" w:cs="宋体"/>
          <w:sz w:val="24"/>
          <w:szCs w:val="24"/>
          <w:lang w:val="en-US" w:eastAsia="zh-CN"/>
        </w:rPr>
        <w:t>。</w:t>
      </w:r>
    </w:p>
    <w:p w14:paraId="18BA8C2A">
      <w:pPr>
        <w:spacing w:line="540" w:lineRule="exact"/>
        <w:ind w:firstLine="480"/>
        <w:rPr>
          <w:rFonts w:hint="eastAsia" w:ascii="宋体" w:hAnsi="宋体" w:eastAsia="宋体" w:cs="宋体"/>
          <w:sz w:val="24"/>
          <w:szCs w:val="24"/>
        </w:rPr>
      </w:pPr>
      <w:r>
        <w:rPr>
          <w:highlight w:val="none"/>
        </w:rPr>
        <w:t>6.</w:t>
      </w:r>
      <w:r>
        <w:rPr>
          <w:rFonts w:hint="eastAsia" w:ascii="宋体" w:hAnsi="宋体" w:eastAsia="宋体" w:cs="宋体"/>
          <w:sz w:val="24"/>
          <w:szCs w:val="24"/>
        </w:rPr>
        <w:t>本项目不接受 联合体参与单一来源采购活动。</w:t>
      </w:r>
    </w:p>
    <w:p w14:paraId="31FCF17E">
      <w:pPr>
        <w:keepNext/>
        <w:keepLines/>
        <w:spacing w:line="480" w:lineRule="exact"/>
        <w:ind w:firstLine="498"/>
        <w:outlineLvl w:val="2"/>
        <w:rPr>
          <w:rFonts w:hint="eastAsia" w:ascii="宋体" w:hAnsi="宋体" w:eastAsia="宋体" w:cs="宋体"/>
          <w:b/>
          <w:bCs/>
          <w:sz w:val="32"/>
          <w:szCs w:val="32"/>
        </w:rPr>
      </w:pPr>
      <w:bookmarkStart w:id="12" w:name="_Toc35393622"/>
      <w:bookmarkStart w:id="13" w:name="_Toc28359003"/>
      <w:bookmarkStart w:id="14" w:name="_Toc35393791"/>
      <w:bookmarkStart w:id="15" w:name="_Toc38985264"/>
      <w:bookmarkStart w:id="16" w:name="_Toc28359080"/>
      <w:r>
        <w:rPr>
          <w:rFonts w:hint="eastAsia" w:ascii="宋体" w:hAnsi="宋体" w:eastAsia="宋体" w:cs="宋体"/>
          <w:b/>
          <w:bCs/>
          <w:sz w:val="32"/>
          <w:szCs w:val="32"/>
        </w:rPr>
        <w:t>二、</w:t>
      </w:r>
      <w:bookmarkEnd w:id="12"/>
      <w:bookmarkEnd w:id="13"/>
      <w:bookmarkEnd w:id="14"/>
      <w:bookmarkEnd w:id="15"/>
      <w:bookmarkEnd w:id="16"/>
      <w:r>
        <w:rPr>
          <w:rFonts w:hint="eastAsia" w:ascii="宋体" w:hAnsi="宋体" w:eastAsia="宋体" w:cs="宋体"/>
          <w:b/>
          <w:bCs/>
          <w:sz w:val="32"/>
          <w:szCs w:val="32"/>
        </w:rPr>
        <w:t>合格单一来源供应商资格要求</w:t>
      </w:r>
    </w:p>
    <w:p w14:paraId="0AD95F40">
      <w:pPr>
        <w:spacing w:line="480" w:lineRule="exact"/>
        <w:ind w:firstLine="482"/>
        <w:rPr>
          <w:rFonts w:hint="eastAsia" w:ascii="宋体" w:hAnsi="宋体" w:eastAsia="宋体" w:cs="宋体"/>
          <w:b/>
          <w:bCs/>
          <w:sz w:val="24"/>
          <w:szCs w:val="24"/>
        </w:rPr>
      </w:pPr>
      <w:bookmarkStart w:id="17" w:name="_Toc35393623"/>
      <w:bookmarkStart w:id="18" w:name="_Toc35393792"/>
      <w:bookmarkStart w:id="19" w:name="_Toc38985265"/>
      <w:bookmarkStart w:id="20" w:name="_Toc28359081"/>
      <w:bookmarkStart w:id="21" w:name="_Toc28359004"/>
      <w:r>
        <w:rPr>
          <w:rFonts w:hint="eastAsia" w:ascii="宋体" w:hAnsi="宋体" w:eastAsia="宋体" w:cs="宋体"/>
          <w:b/>
          <w:bCs/>
          <w:sz w:val="24"/>
          <w:szCs w:val="24"/>
        </w:rPr>
        <w:t>（一）通用资格要求</w:t>
      </w:r>
    </w:p>
    <w:p w14:paraId="310E5B6B">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1.具备《中华人民共和国政府采购法》第二十二条第一款规定的6项条件（按要求提供协商及声明函）。</w:t>
      </w:r>
    </w:p>
    <w:p w14:paraId="1D408912">
      <w:pPr>
        <w:spacing w:line="480" w:lineRule="exact"/>
        <w:ind w:firstLine="480"/>
        <w:rPr>
          <w:rFonts w:hint="eastAsia" w:ascii="宋体" w:hAnsi="宋体" w:eastAsia="宋体" w:cs="宋体"/>
          <w:sz w:val="36"/>
          <w:szCs w:val="36"/>
        </w:rPr>
      </w:pPr>
      <w:r>
        <w:rPr>
          <w:rFonts w:hint="eastAsia" w:ascii="宋体" w:hAnsi="宋体" w:eastAsia="宋体" w:cs="宋体"/>
          <w:color w:val="000000"/>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458B45AF">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3.落实政府采购政策需满足的资格要求：</w:t>
      </w:r>
      <w:r>
        <w:rPr>
          <w:rFonts w:hint="eastAsia" w:ascii="宋体" w:hAnsi="宋体" w:eastAsia="宋体" w:cs="宋体"/>
          <w:color w:val="000000"/>
          <w:sz w:val="24"/>
          <w:szCs w:val="24"/>
          <w:lang w:val="en-US" w:eastAsia="zh-CN"/>
        </w:rPr>
        <w:t>无</w:t>
      </w:r>
      <w:r>
        <w:rPr>
          <w:rFonts w:hint="eastAsia" w:ascii="宋体" w:hAnsi="宋体" w:eastAsia="宋体" w:cs="宋体"/>
          <w:color w:val="000000"/>
          <w:sz w:val="24"/>
          <w:szCs w:val="24"/>
        </w:rPr>
        <w:t>。</w:t>
      </w:r>
    </w:p>
    <w:p w14:paraId="4E84E635">
      <w:pPr>
        <w:spacing w:line="480" w:lineRule="exact"/>
        <w:ind w:firstLine="482"/>
        <w:rPr>
          <w:rFonts w:hint="eastAsia" w:ascii="宋体" w:hAnsi="宋体" w:eastAsia="宋体" w:cs="宋体"/>
          <w:b/>
          <w:bCs/>
          <w:sz w:val="24"/>
          <w:szCs w:val="24"/>
        </w:rPr>
      </w:pPr>
      <w:r>
        <w:rPr>
          <w:rFonts w:hint="eastAsia" w:ascii="宋体" w:hAnsi="宋体" w:eastAsia="宋体" w:cs="宋体"/>
          <w:b/>
          <w:bCs/>
          <w:sz w:val="24"/>
          <w:szCs w:val="24"/>
        </w:rPr>
        <w:t>（二）本项目的特定资格要求</w:t>
      </w:r>
      <w:bookmarkEnd w:id="17"/>
      <w:bookmarkEnd w:id="18"/>
      <w:bookmarkEnd w:id="19"/>
      <w:bookmarkEnd w:id="20"/>
      <w:bookmarkEnd w:id="21"/>
      <w:bookmarkStart w:id="22" w:name="_Toc28359005"/>
      <w:bookmarkStart w:id="23" w:name="_Toc28359082"/>
      <w:bookmarkStart w:id="24" w:name="_Toc38985266"/>
      <w:bookmarkStart w:id="25" w:name="_Toc35393624"/>
      <w:bookmarkStart w:id="26" w:name="_Toc35393793"/>
    </w:p>
    <w:p w14:paraId="48C0237D">
      <w:pPr>
        <w:spacing w:line="480" w:lineRule="exact"/>
        <w:ind w:firstLine="480"/>
        <w:rPr>
          <w:rFonts w:hint="eastAsia" w:ascii="宋体" w:hAnsi="宋体" w:eastAsia="宋体" w:cs="宋体"/>
          <w:sz w:val="24"/>
          <w:szCs w:val="24"/>
        </w:rPr>
      </w:pPr>
      <w:r>
        <w:rPr>
          <w:rFonts w:hint="eastAsia" w:ascii="宋体" w:hAnsi="宋体" w:eastAsia="宋体" w:cs="宋体"/>
          <w:color w:val="000000"/>
          <w:sz w:val="24"/>
          <w:szCs w:val="24"/>
          <w:lang w:val="en-US" w:eastAsia="zh-CN"/>
        </w:rPr>
        <w:t>详见采购需求</w:t>
      </w:r>
      <w:r>
        <w:rPr>
          <w:rFonts w:hint="eastAsia" w:ascii="宋体" w:hAnsi="宋体" w:eastAsia="宋体" w:cs="宋体"/>
          <w:color w:val="000000"/>
          <w:sz w:val="24"/>
          <w:szCs w:val="24"/>
        </w:rPr>
        <w:t>。</w:t>
      </w:r>
    </w:p>
    <w:p w14:paraId="1E5A0587">
      <w:pPr>
        <w:keepNext/>
        <w:keepLines/>
        <w:spacing w:line="480" w:lineRule="exact"/>
        <w:ind w:firstLine="498"/>
        <w:outlineLvl w:val="2"/>
        <w:rPr>
          <w:rFonts w:hint="eastAsia" w:ascii="宋体" w:hAnsi="宋体" w:eastAsia="宋体" w:cs="宋体"/>
          <w:b/>
          <w:bCs/>
          <w:sz w:val="32"/>
          <w:szCs w:val="32"/>
        </w:rPr>
      </w:pPr>
      <w:r>
        <w:rPr>
          <w:rFonts w:hint="eastAsia" w:ascii="宋体" w:hAnsi="宋体" w:eastAsia="宋体" w:cs="宋体"/>
          <w:b/>
          <w:bCs/>
          <w:sz w:val="32"/>
          <w:szCs w:val="32"/>
        </w:rPr>
        <w:t>三、提交</w:t>
      </w:r>
      <w:bookmarkEnd w:id="22"/>
      <w:bookmarkEnd w:id="23"/>
      <w:r>
        <w:rPr>
          <w:rFonts w:hint="eastAsia" w:ascii="宋体" w:hAnsi="宋体" w:eastAsia="宋体" w:cs="宋体"/>
          <w:b/>
          <w:bCs/>
          <w:sz w:val="32"/>
          <w:szCs w:val="32"/>
        </w:rPr>
        <w:t>响应文件截止时间</w:t>
      </w:r>
      <w:bookmarkEnd w:id="24"/>
      <w:bookmarkEnd w:id="25"/>
      <w:bookmarkEnd w:id="26"/>
    </w:p>
    <w:p w14:paraId="6264AC16">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202</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日</w:t>
      </w:r>
      <w:r>
        <w:rPr>
          <w:rFonts w:hint="eastAsia" w:ascii="宋体" w:hAnsi="宋体" w:eastAsia="宋体" w:cs="宋体"/>
          <w:color w:val="000000"/>
          <w:sz w:val="24"/>
          <w:szCs w:val="24"/>
          <w:lang w:val="en-US" w:eastAsia="zh-CN"/>
        </w:rPr>
        <w:t>09</w:t>
      </w:r>
      <w:r>
        <w:rPr>
          <w:rFonts w:hint="eastAsia" w:ascii="宋体" w:hAnsi="宋体" w:eastAsia="宋体" w:cs="宋体"/>
          <w:color w:val="000000"/>
          <w:sz w:val="24"/>
          <w:szCs w:val="24"/>
        </w:rPr>
        <w:t>点</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0分（北京时间）。</w:t>
      </w:r>
    </w:p>
    <w:p w14:paraId="4A73D913">
      <w:pPr>
        <w:keepNext/>
        <w:keepLines/>
        <w:spacing w:line="480" w:lineRule="exact"/>
        <w:ind w:firstLine="498"/>
        <w:outlineLvl w:val="2"/>
        <w:rPr>
          <w:rFonts w:hint="eastAsia" w:ascii="宋体" w:hAnsi="宋体" w:eastAsia="宋体" w:cs="宋体"/>
          <w:b/>
          <w:bCs/>
          <w:sz w:val="32"/>
          <w:szCs w:val="32"/>
        </w:rPr>
      </w:pPr>
      <w:bookmarkStart w:id="27" w:name="_Toc28359085"/>
      <w:bookmarkStart w:id="28" w:name="_Toc38985269"/>
      <w:bookmarkStart w:id="29" w:name="_Toc35393627"/>
      <w:bookmarkStart w:id="30" w:name="_Toc35393796"/>
      <w:bookmarkStart w:id="31" w:name="_Toc28359008"/>
      <w:r>
        <w:rPr>
          <w:rFonts w:hint="eastAsia" w:ascii="宋体" w:hAnsi="宋体" w:eastAsia="宋体" w:cs="宋体"/>
          <w:b/>
          <w:bCs/>
          <w:sz w:val="32"/>
          <w:szCs w:val="32"/>
        </w:rPr>
        <w:t>四、本次单一来源采购联系方式</w:t>
      </w:r>
      <w:bookmarkEnd w:id="27"/>
      <w:bookmarkEnd w:id="28"/>
      <w:bookmarkEnd w:id="29"/>
      <w:bookmarkEnd w:id="30"/>
      <w:bookmarkEnd w:id="31"/>
    </w:p>
    <w:p w14:paraId="32511527">
      <w:pPr>
        <w:widowControl/>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1.采购人信息</w:t>
      </w:r>
    </w:p>
    <w:p w14:paraId="2A77CB15">
      <w:pPr>
        <w:pStyle w:val="339"/>
        <w:spacing w:line="560" w:lineRule="exact"/>
        <w:ind w:firstLine="480"/>
        <w:rPr>
          <w:rFonts w:hint="eastAsia" w:ascii="宋体" w:hAnsi="宋体" w:eastAsia="宋体" w:cs="宋体"/>
          <w:szCs w:val="22"/>
          <w:u w:val="none"/>
        </w:rPr>
      </w:pPr>
      <w:r>
        <w:rPr>
          <w:rFonts w:hint="eastAsia" w:ascii="宋体" w:hAnsi="宋体" w:eastAsia="宋体" w:cs="宋体"/>
          <w:szCs w:val="22"/>
        </w:rPr>
        <w:t>名 称：</w:t>
      </w:r>
      <w:r>
        <w:rPr>
          <w:rFonts w:hint="eastAsia" w:ascii="宋体" w:hAnsi="宋体" w:eastAsia="宋体" w:cs="宋体"/>
          <w:szCs w:val="22"/>
          <w:u w:val="none"/>
          <w:lang w:eastAsia="zh-CN"/>
        </w:rPr>
        <w:t xml:space="preserve">宿迁市发展和改革委员会 </w:t>
      </w:r>
    </w:p>
    <w:p w14:paraId="729EC1B8">
      <w:pPr>
        <w:spacing w:line="480" w:lineRule="exact"/>
        <w:ind w:firstLine="480"/>
        <w:rPr>
          <w:rFonts w:hint="eastAsia" w:ascii="宋体" w:hAnsi="宋体" w:eastAsia="宋体" w:cs="宋体"/>
          <w:sz w:val="24"/>
          <w:szCs w:val="22"/>
          <w:u w:val="none"/>
        </w:rPr>
      </w:pPr>
      <w:r>
        <w:rPr>
          <w:rFonts w:hint="eastAsia" w:ascii="宋体" w:hAnsi="宋体" w:eastAsia="宋体" w:cs="宋体"/>
          <w:sz w:val="24"/>
          <w:u w:val="none"/>
        </w:rPr>
        <w:t>地 址：</w:t>
      </w:r>
      <w:r>
        <w:rPr>
          <w:rFonts w:hint="eastAsia" w:ascii="宋体" w:hAnsi="宋体" w:eastAsia="宋体" w:cs="宋体"/>
          <w:sz w:val="24"/>
          <w:szCs w:val="22"/>
          <w:u w:val="none"/>
          <w:lang w:val="en-US" w:eastAsia="zh-CN" w:bidi="ar-SA"/>
        </w:rPr>
        <w:t>宿迁市洪泽湖路865号</w:t>
      </w:r>
    </w:p>
    <w:p w14:paraId="0420FA8B">
      <w:pPr>
        <w:pStyle w:val="339"/>
        <w:spacing w:line="560" w:lineRule="exact"/>
        <w:ind w:firstLine="480"/>
        <w:rPr>
          <w:rFonts w:hint="eastAsia" w:ascii="宋体" w:hAnsi="宋体" w:eastAsia="宋体" w:cs="宋体"/>
          <w:szCs w:val="22"/>
          <w:u w:val="none"/>
        </w:rPr>
      </w:pPr>
      <w:r>
        <w:rPr>
          <w:rFonts w:hint="eastAsia" w:ascii="宋体" w:hAnsi="宋体" w:eastAsia="宋体" w:cs="宋体"/>
          <w:szCs w:val="22"/>
          <w:u w:val="none"/>
        </w:rPr>
        <w:t>联系人：</w:t>
      </w:r>
      <w:r>
        <w:rPr>
          <w:rFonts w:hint="eastAsia" w:ascii="宋体" w:hAnsi="宋体" w:eastAsia="宋体" w:cs="宋体"/>
          <w:szCs w:val="22"/>
          <w:u w:val="none"/>
          <w:lang w:val="en-US" w:eastAsia="zh-CN"/>
        </w:rPr>
        <w:t>韩先生</w:t>
      </w:r>
      <w:r>
        <w:rPr>
          <w:rFonts w:hint="eastAsia" w:ascii="宋体" w:hAnsi="宋体" w:eastAsia="宋体" w:cs="宋体"/>
          <w:szCs w:val="22"/>
          <w:u w:val="none"/>
        </w:rPr>
        <w:t xml:space="preserve">          </w:t>
      </w:r>
    </w:p>
    <w:p w14:paraId="54A69582">
      <w:pPr>
        <w:spacing w:line="480" w:lineRule="exact"/>
        <w:ind w:firstLine="480"/>
        <w:jc w:val="left"/>
        <w:rPr>
          <w:rFonts w:hint="default" w:ascii="宋体" w:hAnsi="宋体" w:eastAsia="宋体" w:cs="宋体"/>
          <w:sz w:val="24"/>
          <w:szCs w:val="22"/>
          <w:u w:val="none"/>
          <w:lang w:val="en-US"/>
        </w:rPr>
      </w:pPr>
      <w:r>
        <w:rPr>
          <w:rFonts w:hint="eastAsia" w:ascii="宋体" w:hAnsi="宋体" w:eastAsia="宋体" w:cs="宋体"/>
          <w:sz w:val="24"/>
          <w:u w:val="none"/>
        </w:rPr>
        <w:t>联系方式</w:t>
      </w:r>
      <w:bookmarkStart w:id="32" w:name="_Toc28359009"/>
      <w:bookmarkStart w:id="33" w:name="_Toc28359086"/>
      <w:r>
        <w:rPr>
          <w:rFonts w:hint="eastAsia" w:ascii="宋体" w:hAnsi="宋体" w:eastAsia="宋体" w:cs="宋体"/>
          <w:sz w:val="24"/>
          <w:u w:val="none"/>
          <w:lang w:eastAsia="zh-CN"/>
        </w:rPr>
        <w:t>：</w:t>
      </w:r>
      <w:r>
        <w:rPr>
          <w:rFonts w:hint="eastAsia" w:ascii="宋体" w:hAnsi="宋体" w:eastAsia="宋体" w:cs="宋体"/>
          <w:sz w:val="24"/>
          <w:szCs w:val="22"/>
          <w:u w:val="none"/>
          <w:lang w:val="en-US" w:eastAsia="zh-CN" w:bidi="ar-SA"/>
        </w:rPr>
        <w:t>052784363552</w:t>
      </w:r>
    </w:p>
    <w:p w14:paraId="22BCA399">
      <w:pPr>
        <w:pStyle w:val="339"/>
        <w:numPr>
          <w:ilvl w:val="0"/>
          <w:numId w:val="6"/>
        </w:numPr>
        <w:spacing w:line="560" w:lineRule="exact"/>
        <w:ind w:firstLine="480"/>
        <w:rPr>
          <w:rFonts w:hint="eastAsia" w:ascii="宋体" w:hAnsi="宋体" w:eastAsia="宋体" w:cs="宋体"/>
          <w:szCs w:val="22"/>
          <w:u w:val="none"/>
        </w:rPr>
      </w:pPr>
      <w:r>
        <w:rPr>
          <w:rFonts w:hint="eastAsia" w:ascii="宋体" w:hAnsi="宋体" w:eastAsia="宋体" w:cs="宋体"/>
          <w:szCs w:val="22"/>
          <w:u w:val="none"/>
        </w:rPr>
        <w:t>采购代理机构信息</w:t>
      </w:r>
      <w:bookmarkEnd w:id="32"/>
      <w:bookmarkEnd w:id="33"/>
    </w:p>
    <w:p w14:paraId="68EE57E3">
      <w:pPr>
        <w:spacing w:line="480" w:lineRule="exact"/>
        <w:ind w:firstLine="480"/>
        <w:jc w:val="left"/>
        <w:rPr>
          <w:rFonts w:hint="eastAsia" w:ascii="宋体" w:hAnsi="宋体" w:eastAsia="宋体" w:cs="宋体"/>
          <w:sz w:val="24"/>
          <w:szCs w:val="22"/>
          <w:u w:val="none"/>
          <w:lang w:val="en-US" w:eastAsia="zh-CN" w:bidi="ar-SA"/>
        </w:rPr>
      </w:pPr>
      <w:bookmarkStart w:id="34" w:name="_Toc28359087"/>
      <w:bookmarkStart w:id="35" w:name="_Toc28359010"/>
      <w:r>
        <w:rPr>
          <w:rFonts w:hint="eastAsia" w:ascii="宋体" w:hAnsi="宋体" w:eastAsia="宋体" w:cs="宋体"/>
          <w:sz w:val="24"/>
          <w:szCs w:val="22"/>
          <w:u w:val="none"/>
          <w:lang w:val="en-US" w:eastAsia="zh-CN" w:bidi="ar-SA"/>
        </w:rPr>
        <w:t>名称：江苏中瑞建设项目管理有限公司</w:t>
      </w:r>
    </w:p>
    <w:p w14:paraId="393F93A2">
      <w:pPr>
        <w:spacing w:line="480" w:lineRule="exact"/>
        <w:ind w:firstLine="480"/>
        <w:jc w:val="left"/>
        <w:rPr>
          <w:rFonts w:hint="eastAsia" w:ascii="宋体" w:hAnsi="宋体" w:eastAsia="宋体" w:cs="宋体"/>
          <w:sz w:val="24"/>
          <w:szCs w:val="22"/>
          <w:u w:val="none"/>
          <w:lang w:val="en-US" w:eastAsia="zh-CN" w:bidi="ar-SA"/>
        </w:rPr>
      </w:pPr>
      <w:r>
        <w:rPr>
          <w:rFonts w:hint="eastAsia" w:ascii="宋体" w:hAnsi="宋体" w:eastAsia="宋体" w:cs="宋体"/>
          <w:sz w:val="24"/>
          <w:szCs w:val="22"/>
          <w:u w:val="none"/>
          <w:lang w:val="en-US" w:eastAsia="zh-CN" w:bidi="ar-SA"/>
        </w:rPr>
        <w:t>地址：宿迁市宿城区文体中心12楼</w:t>
      </w:r>
    </w:p>
    <w:p w14:paraId="5D4CE584">
      <w:pPr>
        <w:spacing w:line="480" w:lineRule="exact"/>
        <w:ind w:firstLine="480"/>
        <w:jc w:val="left"/>
        <w:rPr>
          <w:rFonts w:hint="eastAsia" w:ascii="宋体" w:hAnsi="宋体" w:eastAsia="宋体" w:cs="宋体"/>
          <w:sz w:val="24"/>
          <w:szCs w:val="22"/>
          <w:u w:val="none"/>
          <w:lang w:val="en-US" w:eastAsia="zh-CN" w:bidi="ar-SA"/>
        </w:rPr>
      </w:pPr>
      <w:r>
        <w:rPr>
          <w:rFonts w:hint="eastAsia" w:ascii="宋体" w:hAnsi="宋体" w:eastAsia="宋体" w:cs="宋体"/>
          <w:sz w:val="24"/>
          <w:szCs w:val="22"/>
          <w:u w:val="none"/>
          <w:lang w:val="en-US" w:eastAsia="zh-CN" w:bidi="ar-SA"/>
        </w:rPr>
        <w:t>联系人：张昭然</w:t>
      </w:r>
    </w:p>
    <w:p w14:paraId="04DB4DD8">
      <w:pPr>
        <w:spacing w:line="480" w:lineRule="exact"/>
        <w:ind w:firstLine="480"/>
        <w:jc w:val="left"/>
        <w:rPr>
          <w:rFonts w:hint="eastAsia" w:ascii="宋体" w:hAnsi="宋体" w:eastAsia="宋体" w:cs="宋体"/>
          <w:sz w:val="24"/>
          <w:szCs w:val="22"/>
          <w:u w:val="none"/>
          <w:lang w:val="en-US" w:eastAsia="zh-CN" w:bidi="ar-SA"/>
        </w:rPr>
      </w:pPr>
      <w:r>
        <w:rPr>
          <w:rFonts w:hint="eastAsia" w:ascii="宋体" w:hAnsi="宋体" w:eastAsia="宋体" w:cs="宋体"/>
          <w:sz w:val="24"/>
          <w:szCs w:val="22"/>
          <w:u w:val="none"/>
          <w:lang w:val="en-US" w:eastAsia="zh-CN" w:bidi="ar-SA"/>
        </w:rPr>
        <w:t>联系方式：15050946910</w:t>
      </w:r>
    </w:p>
    <w:bookmarkEnd w:id="34"/>
    <w:bookmarkEnd w:id="35"/>
    <w:p w14:paraId="272DD611">
      <w:pPr>
        <w:keepNext/>
        <w:keepLines/>
        <w:spacing w:line="480" w:lineRule="exact"/>
        <w:ind w:firstLine="498"/>
        <w:outlineLvl w:val="2"/>
        <w:rPr>
          <w:rFonts w:hint="eastAsia" w:ascii="宋体" w:hAnsi="宋体" w:eastAsia="宋体" w:cs="宋体"/>
          <w:b/>
          <w:bCs/>
          <w:sz w:val="32"/>
          <w:szCs w:val="32"/>
        </w:rPr>
      </w:pPr>
      <w:r>
        <w:rPr>
          <w:rFonts w:hint="eastAsia" w:ascii="宋体" w:hAnsi="宋体" w:eastAsia="宋体" w:cs="宋体"/>
          <w:b/>
          <w:bCs/>
          <w:sz w:val="32"/>
          <w:szCs w:val="32"/>
        </w:rPr>
        <w:t>五、其他</w:t>
      </w:r>
    </w:p>
    <w:p w14:paraId="01D57A98">
      <w:pPr>
        <w:spacing w:line="480" w:lineRule="exact"/>
        <w:ind w:firstLine="480"/>
        <w:rPr>
          <w:rFonts w:hint="eastAsia" w:ascii="宋体" w:hAnsi="宋体" w:eastAsia="宋体" w:cs="宋体"/>
          <w:color w:val="000000"/>
          <w:sz w:val="24"/>
          <w:szCs w:val="24"/>
        </w:rPr>
      </w:pPr>
      <w:bookmarkStart w:id="36" w:name="EB64e1f522fd8c43fcb4d3ba471386b3e7"/>
      <w:r>
        <w:rPr>
          <w:rFonts w:hint="eastAsia" w:ascii="宋体" w:hAnsi="宋体" w:eastAsia="宋体" w:cs="宋体"/>
          <w:color w:val="000000"/>
          <w:sz w:val="24"/>
          <w:szCs w:val="24"/>
        </w:rPr>
        <w:t>1.招标公告发布媒体：</w:t>
      </w:r>
      <w:bookmarkStart w:id="37" w:name="OLE_LINK3"/>
      <w:r>
        <w:rPr>
          <w:rFonts w:hint="eastAsia" w:ascii="宋体" w:hAnsi="宋体" w:eastAsia="宋体" w:cs="宋体"/>
          <w:color w:val="000000"/>
          <w:sz w:val="24"/>
          <w:szCs w:val="24"/>
        </w:rPr>
        <w:t>江苏政府采购网</w:t>
      </w:r>
      <w:bookmarkEnd w:id="37"/>
      <w:r>
        <w:rPr>
          <w:rFonts w:hint="eastAsia" w:ascii="宋体" w:hAnsi="宋体" w:eastAsia="宋体" w:cs="宋体"/>
          <w:color w:val="000000"/>
          <w:sz w:val="24"/>
          <w:szCs w:val="24"/>
        </w:rPr>
        <w:t>、宿迁市政府采购网等。</w:t>
      </w:r>
    </w:p>
    <w:p w14:paraId="5439A97A">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2.“CA”数字证书办理：“苏采云”系统目前仅支持“苏采云”系统下的意源CA。省内各地区办理的“苏采云”系统下的意源CA全省通用。宿迁地区CA数字证书办理联系方式：18351098172。</w:t>
      </w:r>
    </w:p>
    <w:p w14:paraId="6C48FC6B">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3.宿迁地区“苏采云”系统技术支持客服电话：0527-84225125、0519-86722806。</w:t>
      </w:r>
      <w:bookmarkEnd w:id="36"/>
    </w:p>
    <w:p w14:paraId="3AC0D653">
      <w:pPr>
        <w:spacing w:line="480" w:lineRule="exact"/>
        <w:ind w:firstLine="480"/>
        <w:rPr>
          <w:rFonts w:hint="eastAsia" w:ascii="宋体" w:hAnsi="宋体" w:eastAsia="宋体" w:cs="宋体"/>
          <w:color w:val="000000"/>
          <w:sz w:val="24"/>
          <w:szCs w:val="21"/>
          <w:highlight w:val="white"/>
        </w:rPr>
      </w:pPr>
      <w:r>
        <w:rPr>
          <w:rFonts w:hint="eastAsia" w:ascii="宋体" w:hAnsi="宋体" w:eastAsia="宋体" w:cs="宋体"/>
          <w:color w:val="000000"/>
          <w:sz w:val="24"/>
          <w:szCs w:val="24"/>
        </w:rPr>
        <w:t>4.</w:t>
      </w:r>
      <w:r>
        <w:rPr>
          <w:rFonts w:hint="eastAsia" w:ascii="宋体" w:hAnsi="宋体" w:eastAsia="宋体" w:cs="宋体"/>
          <w:color w:val="000000"/>
          <w:sz w:val="24"/>
        </w:rPr>
        <w:t>质疑渠道：供应商登录“苏采云”系统“项目质疑申请”模块向采购人或采购代理机构提出，质疑处理联系方式详见“采购人信息、采购代理机构信息”；财政部门投诉受理电话：0527-84363063。</w:t>
      </w:r>
    </w:p>
    <w:p w14:paraId="7F62CD67">
      <w:pPr>
        <w:tabs>
          <w:tab w:val="left" w:pos="900"/>
        </w:tabs>
        <w:spacing w:line="480" w:lineRule="exact"/>
        <w:ind w:firstLine="480"/>
        <w:rPr>
          <w:rFonts w:hint="eastAsia" w:ascii="宋体" w:hAnsi="宋体" w:eastAsia="宋体" w:cs="宋体"/>
          <w:color w:val="FF0000"/>
          <w:sz w:val="24"/>
          <w:szCs w:val="24"/>
        </w:rPr>
      </w:pPr>
      <w:r>
        <w:rPr>
          <w:rFonts w:hint="eastAsia" w:ascii="宋体" w:hAnsi="宋体" w:eastAsia="宋体" w:cs="宋体"/>
          <w:sz w:val="24"/>
          <w:highlight w:val="white"/>
        </w:rPr>
        <w:t>5.现场勘察及答疑：本项目不组织集中勘察及答疑，供应商如对采购需求有疑问，请咨询采购单位联系人。</w:t>
      </w:r>
    </w:p>
    <w:p w14:paraId="1E88FC92">
      <w:pPr>
        <w:tabs>
          <w:tab w:val="left" w:pos="900"/>
        </w:tabs>
        <w:spacing w:line="480" w:lineRule="exact"/>
        <w:ind w:firstLine="480"/>
        <w:rPr>
          <w:rFonts w:hint="eastAsia" w:ascii="宋体" w:hAnsi="宋体" w:eastAsia="宋体" w:cs="宋体"/>
          <w:bCs/>
          <w:sz w:val="24"/>
          <w:szCs w:val="24"/>
        </w:rPr>
      </w:pPr>
      <w:r>
        <w:rPr>
          <w:rFonts w:hint="eastAsia" w:ascii="宋体" w:hAnsi="宋体" w:eastAsia="宋体" w:cs="宋体"/>
          <w:sz w:val="24"/>
          <w:highlight w:val="white"/>
        </w:rPr>
        <w:t>6.本次单一来</w:t>
      </w:r>
      <w:r>
        <w:rPr>
          <w:rFonts w:hint="eastAsia" w:ascii="宋体" w:hAnsi="宋体" w:eastAsia="宋体" w:cs="宋体"/>
          <w:bCs/>
          <w:sz w:val="24"/>
          <w:szCs w:val="24"/>
        </w:rPr>
        <w:t>源采购不收取保证金。</w:t>
      </w:r>
    </w:p>
    <w:p w14:paraId="0026EA6E">
      <w:pPr>
        <w:ind w:right="840"/>
        <w:rPr>
          <w:rFonts w:hint="eastAsia" w:ascii="宋体" w:hAnsi="宋体" w:eastAsia="宋体" w:cs="宋体"/>
          <w:sz w:val="24"/>
          <w:szCs w:val="24"/>
        </w:rPr>
      </w:pPr>
    </w:p>
    <w:p w14:paraId="30985CD0">
      <w:pPr>
        <w:pStyle w:val="80"/>
        <w:rPr>
          <w:rFonts w:hint="eastAsia" w:ascii="宋体" w:hAnsi="宋体" w:eastAsia="宋体" w:cs="宋体"/>
          <w:sz w:val="24"/>
          <w:szCs w:val="24"/>
        </w:rPr>
      </w:pPr>
    </w:p>
    <w:p w14:paraId="028C9F27">
      <w:pPr>
        <w:keepNext/>
        <w:keepLines/>
        <w:spacing w:before="260" w:after="260" w:line="416" w:lineRule="auto"/>
        <w:jc w:val="center"/>
        <w:outlineLvl w:val="1"/>
        <w:rPr>
          <w:rFonts w:hint="eastAsia" w:ascii="宋体" w:hAnsi="宋体" w:eastAsia="宋体" w:cs="宋体"/>
          <w:sz w:val="44"/>
          <w:szCs w:val="44"/>
        </w:rPr>
      </w:pPr>
      <w:bookmarkStart w:id="38" w:name="_Toc120614211"/>
      <w:r>
        <w:rPr>
          <w:rFonts w:hint="eastAsia" w:ascii="宋体" w:hAnsi="宋体" w:eastAsia="宋体" w:cs="宋体"/>
          <w:b/>
          <w:bCs/>
          <w:sz w:val="44"/>
          <w:szCs w:val="44"/>
        </w:rPr>
        <w:t xml:space="preserve">第二章  </w:t>
      </w:r>
      <w:bookmarkEnd w:id="1"/>
      <w:bookmarkEnd w:id="2"/>
      <w:bookmarkEnd w:id="3"/>
      <w:bookmarkEnd w:id="4"/>
      <w:bookmarkEnd w:id="5"/>
      <w:bookmarkEnd w:id="38"/>
      <w:r>
        <w:rPr>
          <w:rFonts w:hint="eastAsia" w:ascii="宋体" w:hAnsi="宋体" w:eastAsia="宋体" w:cs="宋体"/>
          <w:b/>
          <w:bCs/>
          <w:sz w:val="44"/>
          <w:szCs w:val="44"/>
        </w:rPr>
        <w:t>供应商须知</w:t>
      </w:r>
    </w:p>
    <w:p w14:paraId="422AEF91">
      <w:pPr>
        <w:keepNext/>
        <w:keepLines/>
        <w:spacing w:line="480" w:lineRule="exact"/>
        <w:ind w:firstLine="643"/>
        <w:outlineLvl w:val="2"/>
        <w:rPr>
          <w:rFonts w:hint="eastAsia" w:ascii="宋体" w:hAnsi="宋体" w:eastAsia="宋体" w:cs="宋体"/>
          <w:b/>
          <w:bCs/>
          <w:sz w:val="32"/>
          <w:szCs w:val="32"/>
        </w:rPr>
      </w:pPr>
      <w:bookmarkStart w:id="39" w:name="_Toc513029203"/>
      <w:bookmarkStart w:id="40" w:name="_Toc120614214"/>
      <w:bookmarkStart w:id="41" w:name="_Toc16938519"/>
      <w:bookmarkStart w:id="42" w:name="_Toc20823275"/>
      <w:r>
        <w:rPr>
          <w:rFonts w:hint="eastAsia" w:ascii="宋体" w:hAnsi="宋体" w:eastAsia="宋体" w:cs="宋体"/>
          <w:b/>
          <w:bCs/>
          <w:sz w:val="32"/>
          <w:szCs w:val="32"/>
        </w:rPr>
        <w:t>一、总则</w:t>
      </w:r>
      <w:bookmarkEnd w:id="39"/>
      <w:bookmarkEnd w:id="40"/>
      <w:bookmarkEnd w:id="41"/>
      <w:bookmarkEnd w:id="42"/>
    </w:p>
    <w:p w14:paraId="1C4E26BF">
      <w:pPr>
        <w:keepNext/>
        <w:keepLines/>
        <w:spacing w:line="480" w:lineRule="exact"/>
        <w:ind w:firstLine="560"/>
        <w:outlineLvl w:val="3"/>
        <w:rPr>
          <w:rFonts w:hint="eastAsia" w:ascii="宋体" w:hAnsi="宋体" w:eastAsia="宋体" w:cs="宋体"/>
          <w:sz w:val="28"/>
          <w:szCs w:val="28"/>
        </w:rPr>
      </w:pPr>
      <w:bookmarkStart w:id="43" w:name="_Hlt16619475"/>
      <w:bookmarkEnd w:id="43"/>
      <w:bookmarkStart w:id="44" w:name="_Toc458694821"/>
      <w:bookmarkStart w:id="45" w:name="_Toc513029204"/>
      <w:bookmarkStart w:id="46" w:name="_Toc20823276"/>
      <w:bookmarkStart w:id="47" w:name="_Toc16938520"/>
      <w:r>
        <w:rPr>
          <w:rFonts w:hint="eastAsia" w:ascii="宋体" w:hAnsi="宋体" w:eastAsia="宋体" w:cs="宋体"/>
          <w:sz w:val="28"/>
          <w:szCs w:val="28"/>
        </w:rPr>
        <w:t>1</w:t>
      </w:r>
      <w:bookmarkEnd w:id="44"/>
      <w:r>
        <w:rPr>
          <w:rFonts w:hint="eastAsia" w:ascii="宋体" w:hAnsi="宋体" w:eastAsia="宋体" w:cs="宋体"/>
          <w:sz w:val="28"/>
          <w:szCs w:val="28"/>
        </w:rPr>
        <w:t>、采购方式</w:t>
      </w:r>
      <w:bookmarkEnd w:id="45"/>
      <w:bookmarkEnd w:id="46"/>
      <w:bookmarkEnd w:id="47"/>
    </w:p>
    <w:p w14:paraId="7B9F9F7B">
      <w:pPr>
        <w:spacing w:line="480" w:lineRule="exact"/>
        <w:ind w:firstLine="480"/>
        <w:rPr>
          <w:rFonts w:hint="eastAsia" w:ascii="宋体" w:hAnsi="宋体" w:eastAsia="宋体" w:cs="宋体"/>
          <w:sz w:val="24"/>
          <w:szCs w:val="21"/>
        </w:rPr>
      </w:pPr>
      <w:r>
        <w:rPr>
          <w:rFonts w:hint="eastAsia" w:ascii="宋体" w:hAnsi="宋体" w:eastAsia="宋体" w:cs="宋体"/>
          <w:sz w:val="24"/>
          <w:szCs w:val="21"/>
        </w:rPr>
        <w:t>本次政府采购活动采取单一来源采购方式。</w:t>
      </w:r>
    </w:p>
    <w:p w14:paraId="6087CE8F">
      <w:pPr>
        <w:keepNext/>
        <w:keepLines/>
        <w:spacing w:line="480" w:lineRule="exact"/>
        <w:ind w:firstLine="560"/>
        <w:outlineLvl w:val="3"/>
        <w:rPr>
          <w:rFonts w:hint="eastAsia" w:ascii="宋体" w:hAnsi="宋体" w:eastAsia="宋体" w:cs="宋体"/>
          <w:sz w:val="28"/>
          <w:szCs w:val="28"/>
        </w:rPr>
      </w:pPr>
      <w:bookmarkStart w:id="48" w:name="_Toc20823277"/>
      <w:bookmarkStart w:id="49" w:name="_Toc16938521"/>
      <w:bookmarkStart w:id="50" w:name="_Toc513029205"/>
      <w:r>
        <w:rPr>
          <w:rFonts w:hint="eastAsia" w:ascii="宋体" w:hAnsi="宋体" w:eastAsia="宋体" w:cs="宋体"/>
          <w:sz w:val="28"/>
          <w:szCs w:val="28"/>
        </w:rPr>
        <w:t>2、合格的</w:t>
      </w:r>
      <w:bookmarkEnd w:id="48"/>
      <w:bookmarkEnd w:id="49"/>
      <w:bookmarkEnd w:id="50"/>
      <w:r>
        <w:rPr>
          <w:rFonts w:hint="eastAsia" w:ascii="宋体" w:hAnsi="宋体" w:eastAsia="宋体" w:cs="宋体"/>
          <w:sz w:val="28"/>
          <w:szCs w:val="28"/>
        </w:rPr>
        <w:t>供应商</w:t>
      </w:r>
    </w:p>
    <w:p w14:paraId="2BEBD8E2">
      <w:pPr>
        <w:spacing w:line="480" w:lineRule="exact"/>
        <w:ind w:firstLine="480"/>
        <w:rPr>
          <w:rFonts w:hint="eastAsia" w:ascii="宋体" w:hAnsi="宋体" w:eastAsia="宋体" w:cs="宋体"/>
          <w:sz w:val="24"/>
          <w:szCs w:val="24"/>
        </w:rPr>
      </w:pPr>
      <w:bookmarkStart w:id="51" w:name="_Toc16938522"/>
      <w:bookmarkStart w:id="52" w:name="_Toc513029206"/>
      <w:bookmarkStart w:id="53" w:name="_Toc20823278"/>
      <w:r>
        <w:rPr>
          <w:rFonts w:hint="eastAsia" w:ascii="宋体" w:hAnsi="宋体" w:eastAsia="宋体" w:cs="宋体"/>
          <w:sz w:val="24"/>
          <w:szCs w:val="24"/>
        </w:rPr>
        <w:t>2. 1 满足采购文件中合格单一来源供应商资格要求的规定。</w:t>
      </w:r>
    </w:p>
    <w:p w14:paraId="59E9AF97">
      <w:pPr>
        <w:spacing w:line="480" w:lineRule="exact"/>
        <w:ind w:firstLine="480"/>
        <w:rPr>
          <w:rFonts w:hint="eastAsia" w:ascii="宋体" w:hAnsi="宋体" w:eastAsia="宋体" w:cs="宋体"/>
          <w:sz w:val="28"/>
          <w:szCs w:val="28"/>
        </w:rPr>
      </w:pPr>
      <w:r>
        <w:rPr>
          <w:rFonts w:hint="eastAsia" w:ascii="宋体" w:hAnsi="宋体" w:eastAsia="宋体" w:cs="宋体"/>
          <w:sz w:val="24"/>
          <w:szCs w:val="24"/>
        </w:rPr>
        <w:t>2. 2 满足本采购文件实质性条款的规定。</w:t>
      </w:r>
    </w:p>
    <w:p w14:paraId="581F304B">
      <w:pPr>
        <w:keepNext/>
        <w:keepLines/>
        <w:spacing w:line="480" w:lineRule="exact"/>
        <w:ind w:firstLine="560"/>
        <w:outlineLvl w:val="3"/>
        <w:rPr>
          <w:rFonts w:hint="eastAsia" w:ascii="宋体" w:hAnsi="宋体" w:eastAsia="宋体" w:cs="宋体"/>
          <w:sz w:val="28"/>
          <w:szCs w:val="28"/>
        </w:rPr>
      </w:pPr>
      <w:r>
        <w:rPr>
          <w:rFonts w:hint="eastAsia" w:ascii="宋体" w:hAnsi="宋体" w:eastAsia="宋体" w:cs="宋体"/>
          <w:sz w:val="28"/>
          <w:szCs w:val="28"/>
        </w:rPr>
        <w:t>3、适用法律</w:t>
      </w:r>
      <w:bookmarkEnd w:id="51"/>
      <w:bookmarkEnd w:id="52"/>
      <w:bookmarkEnd w:id="53"/>
    </w:p>
    <w:p w14:paraId="03D85722">
      <w:pPr>
        <w:spacing w:line="480" w:lineRule="exact"/>
        <w:ind w:firstLine="480"/>
        <w:rPr>
          <w:rFonts w:hint="eastAsia" w:ascii="宋体" w:hAnsi="宋体" w:eastAsia="宋体" w:cs="宋体"/>
          <w:sz w:val="24"/>
          <w:szCs w:val="21"/>
        </w:rPr>
      </w:pPr>
      <w:r>
        <w:rPr>
          <w:rFonts w:hint="eastAsia" w:ascii="宋体" w:hAnsi="宋体" w:eastAsia="宋体" w:cs="宋体"/>
          <w:sz w:val="24"/>
          <w:szCs w:val="21"/>
        </w:rPr>
        <w:t>本次采购及由此产生的合同受中华人民共和国有关的法律法规制约和保护。</w:t>
      </w:r>
    </w:p>
    <w:p w14:paraId="217E010E">
      <w:pPr>
        <w:keepNext/>
        <w:keepLines/>
        <w:spacing w:line="480" w:lineRule="exact"/>
        <w:ind w:firstLine="560"/>
        <w:outlineLvl w:val="3"/>
        <w:rPr>
          <w:rFonts w:hint="eastAsia" w:ascii="宋体" w:hAnsi="宋体" w:eastAsia="宋体" w:cs="宋体"/>
          <w:sz w:val="28"/>
          <w:szCs w:val="28"/>
        </w:rPr>
      </w:pPr>
      <w:bookmarkStart w:id="54" w:name="_Toc462564067"/>
      <w:bookmarkStart w:id="55" w:name="_Toc20823279"/>
      <w:bookmarkStart w:id="56" w:name="_Toc16938523"/>
      <w:bookmarkStart w:id="57" w:name="_Toc513029207"/>
      <w:r>
        <w:rPr>
          <w:rFonts w:hint="eastAsia" w:ascii="宋体" w:hAnsi="宋体" w:eastAsia="宋体" w:cs="宋体"/>
          <w:sz w:val="28"/>
          <w:szCs w:val="28"/>
        </w:rPr>
        <w:t>4、相关费用</w:t>
      </w:r>
      <w:bookmarkEnd w:id="54"/>
      <w:bookmarkEnd w:id="55"/>
      <w:bookmarkEnd w:id="56"/>
      <w:bookmarkEnd w:id="57"/>
    </w:p>
    <w:p w14:paraId="3442198A">
      <w:pPr>
        <w:spacing w:line="480" w:lineRule="exact"/>
        <w:ind w:firstLine="480"/>
        <w:rPr>
          <w:rFonts w:hint="eastAsia" w:ascii="宋体" w:hAnsi="宋体" w:eastAsia="宋体" w:cs="宋体"/>
          <w:sz w:val="24"/>
          <w:szCs w:val="21"/>
        </w:rPr>
      </w:pPr>
      <w:r>
        <w:rPr>
          <w:rFonts w:hint="eastAsia" w:ascii="宋体" w:hAnsi="宋体" w:eastAsia="宋体" w:cs="宋体"/>
          <w:bCs/>
          <w:sz w:val="24"/>
          <w:szCs w:val="21"/>
        </w:rPr>
        <w:t>4.1</w:t>
      </w:r>
      <w:r>
        <w:rPr>
          <w:rFonts w:hint="eastAsia" w:ascii="宋体" w:hAnsi="宋体" w:eastAsia="宋体" w:cs="宋体"/>
          <w:sz w:val="24"/>
          <w:szCs w:val="21"/>
        </w:rPr>
        <w:t>供应商应自行承担所有与参加本次采购有关的费用，无论采购过程中的做法和结果如何，采购代理机构在任何情况下均无义务和责任承担这些费用。</w:t>
      </w:r>
    </w:p>
    <w:p w14:paraId="53FF235A">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4.2代理费用收取方式及标准：按以下第4.2.2 种方式执行</w:t>
      </w:r>
    </w:p>
    <w:p w14:paraId="5CB7B375">
      <w:pPr>
        <w:spacing w:line="480" w:lineRule="exact"/>
        <w:ind w:firstLine="480"/>
        <w:rPr>
          <w:rFonts w:hint="eastAsia" w:ascii="宋体" w:hAnsi="宋体" w:eastAsia="宋体" w:cs="宋体"/>
          <w:bCs/>
          <w:sz w:val="24"/>
          <w:szCs w:val="21"/>
          <w:lang w:val="zh-CN"/>
        </w:rPr>
      </w:pPr>
      <w:r>
        <w:rPr>
          <w:rFonts w:hint="eastAsia" w:ascii="宋体" w:hAnsi="宋体" w:eastAsia="宋体" w:cs="宋体"/>
          <w:bCs/>
          <w:sz w:val="24"/>
          <w:szCs w:val="21"/>
          <w:lang w:val="zh-CN"/>
        </w:rPr>
        <w:t>4.2.1无需支付；</w:t>
      </w:r>
    </w:p>
    <w:p w14:paraId="59540277">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lang w:val="zh-CN"/>
        </w:rPr>
        <w:t>4.2.2</w:t>
      </w:r>
      <w:r>
        <w:rPr>
          <w:rFonts w:hint="eastAsia" w:ascii="宋体" w:hAnsi="宋体" w:eastAsia="宋体" w:cs="宋体"/>
          <w:bCs/>
          <w:sz w:val="24"/>
          <w:szCs w:val="21"/>
          <w:lang w:val="en-US" w:eastAsia="zh-CN"/>
        </w:rPr>
        <w:t>本项目代理服务费已包含在项目预算中，</w:t>
      </w:r>
      <w:r>
        <w:rPr>
          <w:rFonts w:hint="eastAsia" w:asciiTheme="minorEastAsia" w:hAnsiTheme="minorEastAsia" w:eastAsiaTheme="minorEastAsia" w:cstheme="minorEastAsia"/>
          <w:sz w:val="24"/>
          <w:szCs w:val="24"/>
        </w:rPr>
        <w:t>代理服务费由</w:t>
      </w:r>
      <w:r>
        <w:rPr>
          <w:rFonts w:hint="eastAsia" w:asciiTheme="minorEastAsia" w:hAnsiTheme="minorEastAsia" w:cstheme="minorEastAsia"/>
          <w:sz w:val="24"/>
          <w:szCs w:val="24"/>
          <w:lang w:val="en-US" w:eastAsia="zh-CN"/>
        </w:rPr>
        <w:t>采购人</w:t>
      </w:r>
      <w:r>
        <w:rPr>
          <w:rFonts w:hint="eastAsia" w:asciiTheme="minorEastAsia" w:hAnsiTheme="minorEastAsia" w:eastAsiaTheme="minorEastAsia" w:cstheme="minorEastAsia"/>
          <w:sz w:val="24"/>
          <w:szCs w:val="24"/>
        </w:rPr>
        <w:t>支付，收费标准：</w:t>
      </w:r>
      <w:r>
        <w:rPr>
          <w:rFonts w:hint="eastAsia" w:asciiTheme="minorEastAsia" w:hAnsiTheme="minorEastAsia" w:cstheme="minorEastAsia"/>
          <w:sz w:val="24"/>
          <w:szCs w:val="24"/>
          <w:lang w:val="en-US" w:eastAsia="zh-CN"/>
        </w:rPr>
        <w:t>人民币肆仟玖佰元整</w:t>
      </w:r>
      <w:r>
        <w:rPr>
          <w:rFonts w:hint="eastAsia" w:asciiTheme="minorEastAsia" w:hAnsiTheme="minorEastAsia" w:eastAsiaTheme="minorEastAsia" w:cstheme="minorEastAsia"/>
          <w:sz w:val="24"/>
          <w:szCs w:val="24"/>
        </w:rPr>
        <w:t>。</w:t>
      </w:r>
    </w:p>
    <w:p w14:paraId="4FDF3F69">
      <w:pPr>
        <w:keepNext/>
        <w:keepLines/>
        <w:spacing w:line="480" w:lineRule="exact"/>
        <w:ind w:firstLine="602"/>
        <w:outlineLvl w:val="3"/>
        <w:rPr>
          <w:rFonts w:hint="eastAsia" w:ascii="宋体" w:hAnsi="宋体" w:eastAsia="宋体" w:cs="宋体"/>
          <w:sz w:val="28"/>
          <w:szCs w:val="28"/>
        </w:rPr>
      </w:pPr>
      <w:r>
        <w:rPr>
          <w:rFonts w:hint="eastAsia" w:ascii="宋体" w:hAnsi="宋体" w:eastAsia="宋体" w:cs="宋体"/>
          <w:b/>
          <w:bCs/>
          <w:sz w:val="30"/>
          <w:szCs w:val="28"/>
        </w:rPr>
        <w:t>5、</w:t>
      </w:r>
      <w:r>
        <w:rPr>
          <w:rFonts w:hint="eastAsia" w:ascii="宋体" w:hAnsi="宋体" w:eastAsia="宋体" w:cs="宋体"/>
          <w:sz w:val="28"/>
          <w:szCs w:val="28"/>
        </w:rPr>
        <w:t>采购文件的约束力</w:t>
      </w:r>
    </w:p>
    <w:p w14:paraId="106A1B2E">
      <w:pPr>
        <w:spacing w:line="480" w:lineRule="exact"/>
        <w:ind w:firstLine="480"/>
        <w:rPr>
          <w:rFonts w:hint="eastAsia" w:ascii="宋体" w:hAnsi="宋体" w:eastAsia="宋体" w:cs="宋体"/>
          <w:sz w:val="24"/>
          <w:szCs w:val="24"/>
        </w:rPr>
      </w:pPr>
      <w:r>
        <w:rPr>
          <w:rFonts w:hint="eastAsia" w:ascii="宋体" w:hAnsi="宋体" w:eastAsia="宋体" w:cs="宋体"/>
          <w:bCs/>
          <w:sz w:val="24"/>
          <w:szCs w:val="24"/>
        </w:rPr>
        <w:t>5.1</w:t>
      </w:r>
      <w:r>
        <w:rPr>
          <w:rFonts w:hint="eastAsia" w:ascii="宋体" w:hAnsi="宋体" w:eastAsia="宋体" w:cs="宋体"/>
          <w:sz w:val="24"/>
          <w:szCs w:val="24"/>
        </w:rPr>
        <w:t xml:space="preserve"> 供应商一旦接收了本项目单一来源采购文件</w:t>
      </w:r>
      <w:r>
        <w:rPr>
          <w:rFonts w:hint="eastAsia" w:ascii="宋体" w:hAnsi="宋体" w:eastAsia="宋体" w:cs="宋体"/>
          <w:sz w:val="24"/>
          <w:szCs w:val="21"/>
        </w:rPr>
        <w:t>（以下简称“采购文件”）</w:t>
      </w:r>
      <w:r>
        <w:rPr>
          <w:rFonts w:hint="eastAsia" w:ascii="宋体" w:hAnsi="宋体" w:eastAsia="宋体" w:cs="宋体"/>
          <w:sz w:val="24"/>
          <w:szCs w:val="24"/>
        </w:rPr>
        <w:t>并决定参加单一来源采购活动，即被认为接受了本采购文件的规定和约束，并且视为自接收本采购文件之日起已经知道或应当知道自身权益是否受到了损害。</w:t>
      </w:r>
    </w:p>
    <w:p w14:paraId="3C5BA13C">
      <w:pPr>
        <w:keepNext/>
        <w:keepLines/>
        <w:spacing w:line="480" w:lineRule="exact"/>
        <w:ind w:firstLine="643"/>
        <w:outlineLvl w:val="2"/>
        <w:rPr>
          <w:rFonts w:hint="eastAsia" w:ascii="宋体" w:hAnsi="宋体" w:eastAsia="宋体" w:cs="宋体"/>
          <w:b/>
          <w:bCs/>
          <w:sz w:val="32"/>
          <w:szCs w:val="32"/>
        </w:rPr>
      </w:pPr>
      <w:bookmarkStart w:id="58" w:name="_Toc20823281"/>
      <w:bookmarkStart w:id="59" w:name="_Toc16938525"/>
      <w:bookmarkStart w:id="60" w:name="_Toc120614215"/>
      <w:bookmarkStart w:id="61" w:name="_Toc513029209"/>
      <w:r>
        <w:rPr>
          <w:rFonts w:hint="eastAsia" w:ascii="宋体" w:hAnsi="宋体" w:eastAsia="宋体" w:cs="宋体"/>
          <w:b/>
          <w:bCs/>
          <w:sz w:val="32"/>
          <w:szCs w:val="32"/>
        </w:rPr>
        <w:t>二、</w:t>
      </w:r>
      <w:bookmarkEnd w:id="58"/>
      <w:bookmarkEnd w:id="59"/>
      <w:bookmarkEnd w:id="60"/>
      <w:bookmarkEnd w:id="61"/>
      <w:r>
        <w:rPr>
          <w:rFonts w:hint="eastAsia" w:ascii="宋体" w:hAnsi="宋体" w:eastAsia="宋体" w:cs="宋体"/>
          <w:b/>
          <w:bCs/>
          <w:sz w:val="32"/>
          <w:szCs w:val="32"/>
        </w:rPr>
        <w:t>采购文件</w:t>
      </w:r>
    </w:p>
    <w:p w14:paraId="59F23DBE">
      <w:pPr>
        <w:keepNext/>
        <w:keepLines/>
        <w:spacing w:line="480" w:lineRule="exact"/>
        <w:ind w:firstLine="560"/>
        <w:outlineLvl w:val="3"/>
        <w:rPr>
          <w:rFonts w:hint="eastAsia" w:ascii="宋体" w:hAnsi="宋体" w:eastAsia="宋体" w:cs="宋体"/>
          <w:sz w:val="28"/>
          <w:szCs w:val="28"/>
        </w:rPr>
      </w:pPr>
      <w:bookmarkStart w:id="62" w:name="_Toc20823282"/>
      <w:bookmarkStart w:id="63" w:name="_Toc513029210"/>
      <w:bookmarkStart w:id="64" w:name="_Toc16938526"/>
      <w:r>
        <w:rPr>
          <w:rFonts w:hint="eastAsia" w:ascii="宋体" w:hAnsi="宋体" w:eastAsia="宋体" w:cs="宋体"/>
          <w:sz w:val="28"/>
          <w:szCs w:val="28"/>
        </w:rPr>
        <w:t>6、采购文件构成</w:t>
      </w:r>
      <w:bookmarkEnd w:id="62"/>
      <w:bookmarkEnd w:id="63"/>
      <w:bookmarkEnd w:id="64"/>
    </w:p>
    <w:p w14:paraId="0900E4EF">
      <w:pPr>
        <w:spacing w:line="480" w:lineRule="exact"/>
        <w:ind w:firstLine="480"/>
        <w:rPr>
          <w:rFonts w:hint="eastAsia" w:ascii="宋体" w:hAnsi="宋体" w:eastAsia="宋体" w:cs="宋体"/>
          <w:sz w:val="24"/>
          <w:szCs w:val="21"/>
        </w:rPr>
      </w:pPr>
      <w:r>
        <w:rPr>
          <w:rFonts w:hint="eastAsia" w:ascii="宋体" w:hAnsi="宋体" w:eastAsia="宋体" w:cs="宋体"/>
          <w:bCs/>
          <w:sz w:val="24"/>
          <w:szCs w:val="21"/>
        </w:rPr>
        <w:t>6.1</w:t>
      </w:r>
      <w:r>
        <w:rPr>
          <w:rFonts w:hint="eastAsia" w:ascii="宋体" w:hAnsi="宋体" w:eastAsia="宋体" w:cs="宋体"/>
          <w:sz w:val="24"/>
          <w:szCs w:val="21"/>
        </w:rPr>
        <w:t>采购文件由以下部分组成：</w:t>
      </w:r>
    </w:p>
    <w:p w14:paraId="6E84051C">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（1）单一来源采购邀请</w:t>
      </w:r>
    </w:p>
    <w:p w14:paraId="69F41CF4">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（2）供应商须知</w:t>
      </w:r>
    </w:p>
    <w:p w14:paraId="254358AA">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（3）合同文本</w:t>
      </w:r>
    </w:p>
    <w:p w14:paraId="49927B68">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（4）采购需求</w:t>
      </w:r>
    </w:p>
    <w:p w14:paraId="7547D860">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（6）响应文件格式</w:t>
      </w:r>
    </w:p>
    <w:p w14:paraId="23B27676">
      <w:pPr>
        <w:spacing w:line="480" w:lineRule="exact"/>
        <w:ind w:firstLine="480"/>
        <w:rPr>
          <w:rFonts w:hint="eastAsia" w:ascii="宋体" w:hAnsi="宋体" w:eastAsia="宋体" w:cs="宋体"/>
          <w:sz w:val="24"/>
          <w:szCs w:val="21"/>
        </w:rPr>
      </w:pPr>
      <w:r>
        <w:rPr>
          <w:rFonts w:hint="eastAsia" w:ascii="宋体" w:hAnsi="宋体" w:eastAsia="宋体" w:cs="宋体"/>
          <w:sz w:val="24"/>
          <w:szCs w:val="21"/>
        </w:rPr>
        <w:t>请仔细检查采购文件是否齐全，如有缺漏请立即与采购代理机构联系解决。</w:t>
      </w:r>
    </w:p>
    <w:p w14:paraId="3327B735">
      <w:pPr>
        <w:spacing w:line="480" w:lineRule="exact"/>
        <w:ind w:firstLine="480"/>
        <w:rPr>
          <w:rFonts w:hint="eastAsia" w:ascii="宋体" w:hAnsi="宋体" w:eastAsia="宋体" w:cs="宋体"/>
          <w:sz w:val="24"/>
          <w:szCs w:val="21"/>
        </w:rPr>
      </w:pPr>
      <w:r>
        <w:rPr>
          <w:rFonts w:hint="eastAsia" w:ascii="宋体" w:hAnsi="宋体" w:eastAsia="宋体" w:cs="宋体"/>
          <w:bCs/>
          <w:sz w:val="24"/>
          <w:szCs w:val="21"/>
        </w:rPr>
        <w:t>6.2</w:t>
      </w:r>
      <w:r>
        <w:rPr>
          <w:rFonts w:hint="eastAsia" w:ascii="宋体" w:hAnsi="宋体" w:eastAsia="宋体" w:cs="宋体"/>
          <w:sz w:val="24"/>
          <w:szCs w:val="21"/>
        </w:rPr>
        <w:t xml:space="preserve"> </w:t>
      </w:r>
      <w:r>
        <w:rPr>
          <w:rFonts w:hint="eastAsia" w:ascii="宋体" w:hAnsi="宋体" w:eastAsia="宋体" w:cs="宋体"/>
          <w:sz w:val="24"/>
        </w:rPr>
        <w:t>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p>
    <w:p w14:paraId="107773DF">
      <w:pPr>
        <w:keepNext/>
        <w:keepLines/>
        <w:spacing w:line="480" w:lineRule="exact"/>
        <w:ind w:firstLine="560"/>
        <w:outlineLvl w:val="3"/>
        <w:rPr>
          <w:rFonts w:hint="eastAsia" w:ascii="宋体" w:hAnsi="宋体" w:eastAsia="宋体" w:cs="宋体"/>
          <w:sz w:val="28"/>
          <w:szCs w:val="28"/>
        </w:rPr>
      </w:pPr>
      <w:bookmarkStart w:id="65" w:name="_Toc462564070"/>
      <w:bookmarkStart w:id="66" w:name="_Toc513029211"/>
      <w:bookmarkStart w:id="67" w:name="_Toc20823283"/>
      <w:bookmarkStart w:id="68" w:name="_Toc16938527"/>
      <w:r>
        <w:rPr>
          <w:rFonts w:hint="eastAsia" w:ascii="宋体" w:hAnsi="宋体" w:eastAsia="宋体" w:cs="宋体"/>
          <w:sz w:val="28"/>
          <w:szCs w:val="28"/>
        </w:rPr>
        <w:t>7、采购文件的澄清</w:t>
      </w:r>
      <w:bookmarkEnd w:id="65"/>
      <w:bookmarkEnd w:id="66"/>
      <w:bookmarkEnd w:id="67"/>
      <w:bookmarkEnd w:id="68"/>
    </w:p>
    <w:p w14:paraId="114C8ABF">
      <w:pPr>
        <w:spacing w:line="480" w:lineRule="exact"/>
        <w:ind w:firstLine="480"/>
        <w:rPr>
          <w:rFonts w:hint="eastAsia" w:ascii="宋体" w:hAnsi="宋体" w:eastAsia="宋体" w:cs="宋体"/>
          <w:sz w:val="24"/>
          <w:szCs w:val="21"/>
        </w:rPr>
      </w:pPr>
      <w:bookmarkStart w:id="69" w:name="_Toc462564071"/>
      <w:bookmarkStart w:id="70" w:name="_Toc513029212"/>
      <w:bookmarkStart w:id="71" w:name="_Toc20823284"/>
      <w:bookmarkStart w:id="72" w:name="_Toc16938528"/>
      <w:r>
        <w:rPr>
          <w:rFonts w:hint="eastAsia" w:ascii="宋体" w:hAnsi="宋体" w:eastAsia="宋体" w:cs="宋体"/>
          <w:sz w:val="24"/>
          <w:szCs w:val="21"/>
        </w:rPr>
        <w:t>供应商如果要求对采购文件进行澄清的，应在响应文件接收截止时间（以下简称“截止时间”）三天前，在“苏采云”系统通知采购代理机构。采购代理机构将在“苏采云”系统中对澄清要求予以答复。</w:t>
      </w:r>
      <w:bookmarkEnd w:id="69"/>
      <w:bookmarkEnd w:id="70"/>
      <w:bookmarkEnd w:id="71"/>
      <w:bookmarkEnd w:id="72"/>
    </w:p>
    <w:p w14:paraId="456EF4D9">
      <w:pPr>
        <w:keepNext/>
        <w:keepLines/>
        <w:spacing w:line="480" w:lineRule="exact"/>
        <w:ind w:firstLine="560"/>
        <w:outlineLvl w:val="3"/>
        <w:rPr>
          <w:rFonts w:hint="eastAsia" w:ascii="宋体" w:hAnsi="宋体" w:eastAsia="宋体" w:cs="宋体"/>
          <w:sz w:val="28"/>
          <w:szCs w:val="28"/>
        </w:rPr>
      </w:pPr>
      <w:bookmarkStart w:id="73" w:name="_Toc462564072"/>
      <w:bookmarkStart w:id="74" w:name="_Toc20823285"/>
      <w:bookmarkStart w:id="75" w:name="_Toc120614216"/>
      <w:bookmarkStart w:id="76" w:name="_Toc513029213"/>
      <w:bookmarkStart w:id="77" w:name="_Toc16938529"/>
      <w:r>
        <w:rPr>
          <w:rFonts w:hint="eastAsia" w:ascii="宋体" w:hAnsi="宋体" w:eastAsia="宋体" w:cs="宋体"/>
          <w:sz w:val="28"/>
          <w:szCs w:val="28"/>
        </w:rPr>
        <w:t>8、采购文件的修改</w:t>
      </w:r>
    </w:p>
    <w:p w14:paraId="049E683A">
      <w:pPr>
        <w:spacing w:line="480" w:lineRule="exact"/>
        <w:ind w:firstLine="480"/>
        <w:rPr>
          <w:rFonts w:hint="eastAsia" w:ascii="宋体" w:hAnsi="宋体" w:eastAsia="宋体" w:cs="宋体"/>
          <w:sz w:val="24"/>
          <w:szCs w:val="21"/>
        </w:rPr>
      </w:pPr>
      <w:r>
        <w:rPr>
          <w:rFonts w:hint="eastAsia" w:ascii="宋体" w:hAnsi="宋体" w:eastAsia="宋体" w:cs="宋体"/>
          <w:bCs/>
          <w:sz w:val="24"/>
          <w:szCs w:val="21"/>
        </w:rPr>
        <w:t>8.1</w:t>
      </w:r>
      <w:r>
        <w:rPr>
          <w:rFonts w:hint="eastAsia" w:ascii="宋体" w:hAnsi="宋体" w:eastAsia="宋体" w:cs="宋体"/>
          <w:sz w:val="24"/>
          <w:szCs w:val="21"/>
        </w:rPr>
        <w:t xml:space="preserve"> 在</w:t>
      </w:r>
      <w:r>
        <w:rPr>
          <w:rFonts w:hint="eastAsia" w:ascii="宋体" w:hAnsi="宋体" w:eastAsia="宋体" w:cs="宋体"/>
          <w:bCs/>
          <w:sz w:val="24"/>
          <w:szCs w:val="24"/>
        </w:rPr>
        <w:t>截止时间</w:t>
      </w:r>
      <w:r>
        <w:rPr>
          <w:rFonts w:hint="eastAsia" w:ascii="宋体" w:hAnsi="宋体" w:eastAsia="宋体" w:cs="宋体"/>
          <w:sz w:val="24"/>
          <w:szCs w:val="21"/>
        </w:rPr>
        <w:t>前，采购代理机构可以以补充文件的方式对采购文件进行修改。</w:t>
      </w:r>
    </w:p>
    <w:p w14:paraId="4ED88FA2">
      <w:pPr>
        <w:spacing w:line="480" w:lineRule="exact"/>
        <w:ind w:firstLine="480"/>
        <w:rPr>
          <w:rFonts w:hint="eastAsia" w:ascii="宋体" w:hAnsi="宋体" w:eastAsia="宋体" w:cs="宋体"/>
          <w:sz w:val="28"/>
          <w:szCs w:val="21"/>
        </w:rPr>
      </w:pPr>
      <w:r>
        <w:rPr>
          <w:rFonts w:hint="eastAsia" w:ascii="宋体" w:hAnsi="宋体" w:eastAsia="宋体" w:cs="宋体"/>
          <w:bCs/>
          <w:sz w:val="24"/>
          <w:szCs w:val="21"/>
        </w:rPr>
        <w:t>8.2</w:t>
      </w:r>
      <w:r>
        <w:rPr>
          <w:rFonts w:hint="eastAsia" w:ascii="宋体" w:hAnsi="宋体" w:eastAsia="宋体" w:cs="宋体"/>
          <w:sz w:val="24"/>
          <w:szCs w:val="21"/>
        </w:rPr>
        <w:t>采购代理机构</w:t>
      </w:r>
      <w:r>
        <w:rPr>
          <w:rFonts w:hint="eastAsia" w:ascii="宋体" w:hAnsi="宋体" w:eastAsia="宋体" w:cs="宋体"/>
          <w:sz w:val="24"/>
          <w:szCs w:val="24"/>
        </w:rPr>
        <w:t>有权按照政府采购的有关要求</w:t>
      </w:r>
      <w:r>
        <w:rPr>
          <w:rFonts w:hint="eastAsia" w:ascii="宋体" w:hAnsi="宋体" w:eastAsia="宋体" w:cs="宋体"/>
          <w:sz w:val="24"/>
          <w:szCs w:val="21"/>
        </w:rPr>
        <w:t>推迟</w:t>
      </w:r>
      <w:r>
        <w:rPr>
          <w:rFonts w:hint="eastAsia" w:ascii="宋体" w:hAnsi="宋体" w:eastAsia="宋体" w:cs="宋体"/>
          <w:bCs/>
          <w:sz w:val="24"/>
          <w:szCs w:val="24"/>
        </w:rPr>
        <w:t>截止时间</w:t>
      </w:r>
      <w:r>
        <w:rPr>
          <w:rFonts w:hint="eastAsia" w:ascii="宋体" w:hAnsi="宋体" w:eastAsia="宋体" w:cs="宋体"/>
          <w:sz w:val="24"/>
          <w:szCs w:val="21"/>
        </w:rPr>
        <w:t>。</w:t>
      </w:r>
    </w:p>
    <w:p w14:paraId="3D10CD9F">
      <w:pPr>
        <w:spacing w:line="480" w:lineRule="exact"/>
        <w:ind w:firstLine="480"/>
        <w:rPr>
          <w:rFonts w:hint="eastAsia" w:ascii="宋体" w:hAnsi="宋体" w:eastAsia="宋体" w:cs="宋体"/>
          <w:sz w:val="24"/>
          <w:szCs w:val="21"/>
        </w:rPr>
      </w:pPr>
      <w:r>
        <w:rPr>
          <w:rFonts w:hint="eastAsia" w:ascii="宋体" w:hAnsi="宋体" w:eastAsia="宋体" w:cs="宋体"/>
          <w:bCs/>
          <w:sz w:val="24"/>
          <w:szCs w:val="21"/>
        </w:rPr>
        <w:t>8.3</w:t>
      </w:r>
      <w:r>
        <w:rPr>
          <w:rFonts w:hint="eastAsia" w:ascii="宋体" w:hAnsi="宋体" w:eastAsia="宋体" w:cs="宋体"/>
          <w:sz w:val="24"/>
          <w:szCs w:val="21"/>
        </w:rPr>
        <w:t>采购文件的</w:t>
      </w:r>
      <w:r>
        <w:rPr>
          <w:rFonts w:hint="eastAsia" w:ascii="宋体" w:hAnsi="宋体" w:eastAsia="宋体" w:cs="宋体"/>
          <w:sz w:val="24"/>
          <w:szCs w:val="24"/>
        </w:rPr>
        <w:t>补充文件将作为采购文件的组成部分，</w:t>
      </w:r>
      <w:r>
        <w:rPr>
          <w:rFonts w:hint="eastAsia" w:ascii="宋体" w:hAnsi="宋体" w:eastAsia="宋体" w:cs="宋体"/>
          <w:sz w:val="24"/>
          <w:szCs w:val="21"/>
        </w:rPr>
        <w:t>并对供应商具有约束力。</w:t>
      </w:r>
    </w:p>
    <w:p w14:paraId="196A9C72">
      <w:pPr>
        <w:keepNext/>
        <w:keepLines/>
        <w:spacing w:line="480" w:lineRule="exact"/>
        <w:ind w:firstLine="643"/>
        <w:outlineLvl w:val="2"/>
        <w:rPr>
          <w:rFonts w:hint="eastAsia" w:ascii="宋体" w:hAnsi="宋体" w:eastAsia="宋体" w:cs="宋体"/>
          <w:b/>
          <w:bCs/>
          <w:sz w:val="32"/>
          <w:szCs w:val="32"/>
        </w:rPr>
      </w:pPr>
      <w:r>
        <w:rPr>
          <w:rFonts w:hint="eastAsia" w:ascii="宋体" w:hAnsi="宋体" w:eastAsia="宋体" w:cs="宋体"/>
          <w:b/>
          <w:bCs/>
          <w:sz w:val="32"/>
          <w:szCs w:val="32"/>
        </w:rPr>
        <w:t>三、响应文件的编制</w:t>
      </w:r>
      <w:bookmarkEnd w:id="73"/>
      <w:bookmarkEnd w:id="74"/>
      <w:bookmarkEnd w:id="75"/>
      <w:bookmarkEnd w:id="76"/>
      <w:bookmarkEnd w:id="77"/>
    </w:p>
    <w:p w14:paraId="0999DAE1">
      <w:pPr>
        <w:keepNext/>
        <w:keepLines/>
        <w:spacing w:line="480" w:lineRule="exact"/>
        <w:ind w:firstLine="560"/>
        <w:outlineLvl w:val="3"/>
        <w:rPr>
          <w:rFonts w:hint="eastAsia" w:ascii="宋体" w:hAnsi="宋体" w:eastAsia="宋体" w:cs="宋体"/>
          <w:b/>
          <w:sz w:val="28"/>
          <w:szCs w:val="28"/>
        </w:rPr>
      </w:pPr>
      <w:bookmarkStart w:id="78" w:name="_Toc16938530"/>
      <w:bookmarkStart w:id="79" w:name="_Toc513029214"/>
      <w:bookmarkStart w:id="80" w:name="_Toc20823286"/>
      <w:bookmarkStart w:id="81" w:name="_Toc462564073"/>
      <w:r>
        <w:rPr>
          <w:rFonts w:hint="eastAsia" w:ascii="宋体" w:hAnsi="宋体" w:eastAsia="宋体" w:cs="宋体"/>
          <w:sz w:val="28"/>
          <w:szCs w:val="28"/>
        </w:rPr>
        <w:t>9、响应文件的语言及度量衡单位</w:t>
      </w:r>
      <w:bookmarkEnd w:id="78"/>
      <w:bookmarkEnd w:id="79"/>
      <w:bookmarkEnd w:id="80"/>
      <w:bookmarkEnd w:id="81"/>
    </w:p>
    <w:p w14:paraId="098B2522">
      <w:pPr>
        <w:spacing w:line="480" w:lineRule="exact"/>
        <w:ind w:firstLine="480"/>
        <w:rPr>
          <w:rFonts w:hint="eastAsia" w:ascii="宋体" w:hAnsi="宋体" w:eastAsia="宋体" w:cs="宋体"/>
          <w:sz w:val="24"/>
          <w:szCs w:val="21"/>
        </w:rPr>
      </w:pPr>
      <w:r>
        <w:rPr>
          <w:rFonts w:hint="eastAsia" w:ascii="宋体" w:hAnsi="宋体" w:eastAsia="宋体" w:cs="宋体"/>
          <w:bCs/>
          <w:sz w:val="24"/>
          <w:szCs w:val="21"/>
        </w:rPr>
        <w:t>9.1</w:t>
      </w:r>
      <w:r>
        <w:rPr>
          <w:rFonts w:hint="eastAsia" w:ascii="宋体" w:hAnsi="宋体" w:eastAsia="宋体" w:cs="宋体"/>
          <w:sz w:val="24"/>
          <w:szCs w:val="21"/>
        </w:rPr>
        <w:t>供应商提交的响应文件以及供应商与采购代理机构就有关采购活动的所有来往通知、函件和文件均应使用</w:t>
      </w:r>
      <w:r>
        <w:rPr>
          <w:rFonts w:hint="eastAsia" w:ascii="宋体" w:hAnsi="宋体" w:eastAsia="宋体" w:cs="宋体"/>
          <w:b/>
          <w:bCs/>
          <w:sz w:val="24"/>
          <w:szCs w:val="21"/>
        </w:rPr>
        <w:t>简体中文</w:t>
      </w:r>
      <w:r>
        <w:rPr>
          <w:rFonts w:hint="eastAsia" w:ascii="宋体" w:hAnsi="宋体" w:eastAsia="宋体" w:cs="宋体"/>
          <w:sz w:val="24"/>
          <w:szCs w:val="21"/>
        </w:rPr>
        <w:t>。</w:t>
      </w:r>
    </w:p>
    <w:p w14:paraId="6E0C3CE1">
      <w:pPr>
        <w:spacing w:line="480" w:lineRule="exact"/>
        <w:ind w:firstLine="480"/>
        <w:rPr>
          <w:rFonts w:hint="eastAsia" w:ascii="宋体" w:hAnsi="宋体" w:eastAsia="宋体" w:cs="宋体"/>
          <w:sz w:val="24"/>
          <w:szCs w:val="21"/>
        </w:rPr>
      </w:pPr>
      <w:r>
        <w:rPr>
          <w:rFonts w:hint="eastAsia" w:ascii="宋体" w:hAnsi="宋体" w:eastAsia="宋体" w:cs="宋体"/>
          <w:bCs/>
          <w:sz w:val="24"/>
          <w:szCs w:val="21"/>
        </w:rPr>
        <w:t>9.2</w:t>
      </w:r>
      <w:r>
        <w:rPr>
          <w:rFonts w:hint="eastAsia" w:ascii="宋体" w:hAnsi="宋体" w:eastAsia="宋体" w:cs="宋体"/>
          <w:sz w:val="24"/>
          <w:szCs w:val="21"/>
        </w:rPr>
        <w:t xml:space="preserve"> 除技术性能另有规定外，响应文件所使用的度量衡单位，均须采用国家法定计量单位。</w:t>
      </w:r>
    </w:p>
    <w:p w14:paraId="717F7AB0">
      <w:pPr>
        <w:keepNext/>
        <w:keepLines/>
        <w:spacing w:line="480" w:lineRule="exact"/>
        <w:ind w:firstLine="560"/>
        <w:outlineLvl w:val="3"/>
        <w:rPr>
          <w:rFonts w:hint="eastAsia" w:ascii="宋体" w:hAnsi="宋体" w:eastAsia="宋体" w:cs="宋体"/>
          <w:sz w:val="28"/>
          <w:szCs w:val="28"/>
        </w:rPr>
      </w:pPr>
      <w:bookmarkStart w:id="82" w:name="_Toc513029215"/>
      <w:bookmarkStart w:id="83" w:name="_Toc16938531"/>
      <w:bookmarkStart w:id="84" w:name="_Toc462564074"/>
      <w:bookmarkStart w:id="85" w:name="_Toc20823287"/>
      <w:r>
        <w:rPr>
          <w:rFonts w:hint="eastAsia" w:ascii="宋体" w:hAnsi="宋体" w:eastAsia="宋体" w:cs="宋体"/>
          <w:sz w:val="28"/>
          <w:szCs w:val="28"/>
        </w:rPr>
        <w:t>10、响应文件构成</w:t>
      </w:r>
      <w:bookmarkEnd w:id="82"/>
      <w:bookmarkEnd w:id="83"/>
      <w:bookmarkEnd w:id="84"/>
      <w:bookmarkEnd w:id="85"/>
    </w:p>
    <w:p w14:paraId="36D73317">
      <w:pPr>
        <w:spacing w:line="480" w:lineRule="exact"/>
        <w:ind w:firstLine="480"/>
        <w:rPr>
          <w:rFonts w:hint="eastAsia" w:ascii="宋体" w:hAnsi="宋体" w:eastAsia="宋体" w:cs="宋体"/>
          <w:sz w:val="24"/>
          <w:szCs w:val="21"/>
        </w:rPr>
      </w:pPr>
      <w:bookmarkStart w:id="86" w:name="_Hlt26954838"/>
      <w:bookmarkEnd w:id="86"/>
      <w:bookmarkStart w:id="87" w:name="_Hlt26668975"/>
      <w:bookmarkEnd w:id="87"/>
      <w:bookmarkStart w:id="88" w:name="_Hlt26670360"/>
      <w:bookmarkEnd w:id="88"/>
      <w:bookmarkStart w:id="89" w:name="_Toc513029216"/>
      <w:bookmarkStart w:id="90" w:name="_Toc14577357"/>
      <w:bookmarkStart w:id="91" w:name="_Toc49090509"/>
      <w:bookmarkStart w:id="92" w:name="_Toc49090507"/>
      <w:bookmarkStart w:id="93" w:name="_Toc513029219"/>
      <w:bookmarkStart w:id="94" w:name="_Toc14577355"/>
      <w:bookmarkStart w:id="95" w:name="_Toc49090508"/>
      <w:bookmarkStart w:id="96" w:name="_Toc14577354"/>
      <w:r>
        <w:rPr>
          <w:rFonts w:hint="eastAsia" w:ascii="宋体" w:hAnsi="宋体" w:eastAsia="宋体" w:cs="宋体"/>
          <w:sz w:val="24"/>
          <w:szCs w:val="21"/>
        </w:rPr>
        <w:t>供应商编写的响应文件应包括资格证明文件、符合性证明文件、分项报价表、响应及偏离表、其他证明文件、协商及声明函等部分。</w:t>
      </w:r>
      <w:bookmarkEnd w:id="89"/>
      <w:bookmarkEnd w:id="90"/>
      <w:bookmarkEnd w:id="91"/>
      <w:bookmarkEnd w:id="92"/>
      <w:bookmarkEnd w:id="93"/>
      <w:bookmarkEnd w:id="94"/>
      <w:bookmarkEnd w:id="95"/>
      <w:bookmarkEnd w:id="96"/>
    </w:p>
    <w:p w14:paraId="53D7BA78">
      <w:pPr>
        <w:pStyle w:val="6"/>
        <w:spacing w:before="0" w:after="0" w:line="480" w:lineRule="exact"/>
        <w:ind w:firstLine="560"/>
        <w:rPr>
          <w:rFonts w:hint="eastAsia" w:ascii="宋体" w:hAnsi="宋体" w:eastAsia="宋体" w:cs="宋体"/>
          <w:b w:val="0"/>
          <w:bCs w:val="0"/>
        </w:rPr>
      </w:pPr>
      <w:r>
        <w:rPr>
          <w:rFonts w:hint="eastAsia" w:ascii="宋体" w:hAnsi="宋体" w:eastAsia="宋体" w:cs="宋体"/>
          <w:b w:val="0"/>
          <w:bCs w:val="0"/>
        </w:rPr>
        <w:t>11、证明供应商及响应标的符合采购文件规定的文件</w:t>
      </w:r>
    </w:p>
    <w:p w14:paraId="7CD6C7D6">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11.1 供应商应按照法律、法规、规章和规范性文件以及采购文件要求提交证明文件，证明其及响应标的符合采购文件规定。</w:t>
      </w:r>
    </w:p>
    <w:p w14:paraId="6DA24787">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11.2采购文件对证明文件无明确形式要求的，证明文件可以以文字资料、图纸和数据等形式提交。</w:t>
      </w:r>
    </w:p>
    <w:p w14:paraId="03EDCF9A">
      <w:pPr>
        <w:keepNext/>
        <w:keepLines/>
        <w:spacing w:line="480" w:lineRule="exact"/>
        <w:ind w:firstLine="560"/>
        <w:outlineLvl w:val="3"/>
        <w:rPr>
          <w:rFonts w:hint="eastAsia" w:ascii="宋体" w:hAnsi="宋体" w:eastAsia="宋体" w:cs="宋体"/>
          <w:sz w:val="28"/>
          <w:szCs w:val="28"/>
        </w:rPr>
      </w:pPr>
      <w:r>
        <w:rPr>
          <w:rFonts w:hint="eastAsia" w:ascii="宋体" w:hAnsi="宋体" w:eastAsia="宋体" w:cs="宋体"/>
          <w:sz w:val="28"/>
          <w:szCs w:val="28"/>
        </w:rPr>
        <w:t>12、分项报价表</w:t>
      </w:r>
    </w:p>
    <w:p w14:paraId="32CD673C">
      <w:pPr>
        <w:spacing w:line="480" w:lineRule="exact"/>
        <w:ind w:firstLine="480"/>
        <w:rPr>
          <w:rFonts w:hint="eastAsia" w:ascii="宋体" w:hAnsi="宋体" w:eastAsia="宋体" w:cs="宋体"/>
          <w:bCs/>
          <w:sz w:val="24"/>
        </w:rPr>
      </w:pPr>
      <w:bookmarkStart w:id="97" w:name="_Hlt26670482"/>
      <w:bookmarkEnd w:id="97"/>
      <w:bookmarkStart w:id="98" w:name="_Hlt26954846"/>
      <w:bookmarkEnd w:id="98"/>
      <w:bookmarkStart w:id="99" w:name="_Hlt26954848"/>
      <w:bookmarkEnd w:id="99"/>
      <w:bookmarkStart w:id="100" w:name="_Hlt26954731"/>
      <w:bookmarkEnd w:id="100"/>
      <w:bookmarkStart w:id="101" w:name="_Hlt26670486"/>
      <w:bookmarkEnd w:id="101"/>
      <w:r>
        <w:rPr>
          <w:rFonts w:hint="eastAsia" w:ascii="宋体" w:hAnsi="宋体" w:eastAsia="宋体" w:cs="宋体"/>
          <w:bCs/>
          <w:sz w:val="24"/>
        </w:rPr>
        <w:t>12.1</w:t>
      </w:r>
      <w:r>
        <w:rPr>
          <w:rFonts w:hint="eastAsia" w:ascii="宋体" w:hAnsi="宋体" w:eastAsia="宋体" w:cs="宋体"/>
          <w:sz w:val="24"/>
        </w:rPr>
        <w:t xml:space="preserve"> 供应商应按照采购文件规定格式填报分项报价表。</w:t>
      </w:r>
    </w:p>
    <w:p w14:paraId="3152FE06">
      <w:pPr>
        <w:spacing w:line="480" w:lineRule="exact"/>
        <w:ind w:firstLine="480"/>
        <w:rPr>
          <w:rFonts w:hint="eastAsia" w:ascii="宋体" w:hAnsi="宋体" w:eastAsia="宋体" w:cs="宋体"/>
          <w:bCs/>
          <w:sz w:val="24"/>
        </w:rPr>
      </w:pPr>
      <w:r>
        <w:rPr>
          <w:rFonts w:hint="eastAsia" w:ascii="宋体" w:hAnsi="宋体" w:eastAsia="宋体" w:cs="宋体"/>
          <w:sz w:val="24"/>
        </w:rPr>
        <w:t>12.2</w:t>
      </w:r>
      <w:r>
        <w:rPr>
          <w:rFonts w:hint="eastAsia" w:ascii="宋体" w:hAnsi="宋体" w:eastAsia="宋体" w:cs="宋体"/>
          <w:bCs/>
          <w:sz w:val="24"/>
        </w:rPr>
        <w:t>报价货币。响应文件中的单价和总价无特殊规定的采用人民币报价，以元为单位标注。</w:t>
      </w:r>
      <w:r>
        <w:rPr>
          <w:rFonts w:hint="eastAsia" w:ascii="宋体" w:hAnsi="宋体" w:eastAsia="宋体" w:cs="宋体"/>
          <w:sz w:val="24"/>
        </w:rPr>
        <w:t>采购文件中另有规定的按规定执行。</w:t>
      </w:r>
    </w:p>
    <w:p w14:paraId="11EF40E2">
      <w:pPr>
        <w:keepNext/>
        <w:keepLines/>
        <w:spacing w:line="480" w:lineRule="exact"/>
        <w:ind w:firstLine="560"/>
        <w:outlineLvl w:val="3"/>
        <w:rPr>
          <w:rFonts w:hint="eastAsia" w:ascii="宋体" w:hAnsi="宋体" w:eastAsia="宋体" w:cs="宋体"/>
          <w:sz w:val="28"/>
          <w:szCs w:val="28"/>
        </w:rPr>
      </w:pPr>
      <w:r>
        <w:rPr>
          <w:rFonts w:hint="eastAsia" w:ascii="宋体" w:hAnsi="宋体" w:eastAsia="宋体" w:cs="宋体"/>
          <w:sz w:val="28"/>
          <w:szCs w:val="28"/>
        </w:rPr>
        <w:t>13、技术要求响应及偏离表、商务要求响应及偏离表</w:t>
      </w:r>
    </w:p>
    <w:p w14:paraId="7BA81DF2">
      <w:pPr>
        <w:spacing w:line="480" w:lineRule="exact"/>
        <w:ind w:firstLine="480"/>
        <w:rPr>
          <w:rFonts w:hint="eastAsia" w:ascii="宋体" w:hAnsi="宋体" w:eastAsia="宋体" w:cs="宋体"/>
          <w:sz w:val="24"/>
          <w:szCs w:val="21"/>
          <w:lang w:val="zh-CN"/>
        </w:rPr>
      </w:pPr>
      <w:r>
        <w:rPr>
          <w:rFonts w:hint="eastAsia" w:ascii="宋体" w:hAnsi="宋体" w:eastAsia="宋体" w:cs="宋体"/>
          <w:bCs/>
          <w:sz w:val="24"/>
          <w:szCs w:val="21"/>
          <w:lang w:val="zh-CN"/>
        </w:rPr>
        <w:t>13.1</w:t>
      </w:r>
      <w:r>
        <w:rPr>
          <w:rFonts w:hint="eastAsia" w:ascii="宋体" w:hAnsi="宋体" w:eastAsia="宋体" w:cs="宋体"/>
          <w:sz w:val="24"/>
          <w:szCs w:val="21"/>
          <w:lang w:val="zh-CN"/>
        </w:rPr>
        <w:t>供应商需对采购文件中的技术要求与商务要求逐项作出响应或偏离，并说明原因。</w:t>
      </w:r>
    </w:p>
    <w:p w14:paraId="70C5591C">
      <w:pPr>
        <w:spacing w:line="480" w:lineRule="exact"/>
        <w:ind w:firstLine="480"/>
        <w:rPr>
          <w:rFonts w:hint="eastAsia" w:ascii="宋体" w:hAnsi="宋体" w:eastAsia="宋体" w:cs="宋体"/>
          <w:sz w:val="24"/>
          <w:szCs w:val="21"/>
          <w:lang w:val="zh-CN"/>
        </w:rPr>
      </w:pPr>
      <w:r>
        <w:rPr>
          <w:rFonts w:hint="eastAsia" w:ascii="宋体" w:hAnsi="宋体" w:eastAsia="宋体" w:cs="宋体"/>
          <w:sz w:val="24"/>
          <w:szCs w:val="21"/>
          <w:lang w:val="zh-CN"/>
        </w:rPr>
        <w:t>13.2供应商可在响应文件中提供认为需要的其他技术文件或说明。</w:t>
      </w:r>
    </w:p>
    <w:p w14:paraId="7AE5E174">
      <w:pPr>
        <w:pStyle w:val="6"/>
        <w:spacing w:before="0" w:after="0" w:line="480" w:lineRule="exact"/>
        <w:ind w:firstLine="560"/>
        <w:rPr>
          <w:rFonts w:hint="eastAsia" w:ascii="宋体" w:hAnsi="宋体" w:eastAsia="宋体" w:cs="宋体"/>
          <w:b w:val="0"/>
          <w:bCs w:val="0"/>
        </w:rPr>
      </w:pPr>
      <w:bookmarkStart w:id="102" w:name="_Toc14577359"/>
      <w:bookmarkStart w:id="103" w:name="_Toc49090510"/>
      <w:r>
        <w:rPr>
          <w:rFonts w:hint="eastAsia" w:ascii="宋体" w:hAnsi="宋体" w:eastAsia="宋体" w:cs="宋体"/>
          <w:b w:val="0"/>
          <w:bCs w:val="0"/>
        </w:rPr>
        <w:t>14、服务承诺、培训计划、人员安排及其他</w:t>
      </w:r>
    </w:p>
    <w:p w14:paraId="1EFBE7A7">
      <w:pPr>
        <w:spacing w:line="480" w:lineRule="exact"/>
        <w:ind w:firstLine="480"/>
        <w:rPr>
          <w:rFonts w:hint="eastAsia" w:ascii="宋体" w:hAnsi="宋体" w:eastAsia="宋体" w:cs="宋体"/>
          <w:sz w:val="24"/>
          <w:szCs w:val="24"/>
        </w:rPr>
      </w:pPr>
      <w:r>
        <w:rPr>
          <w:rFonts w:hint="eastAsia" w:ascii="宋体" w:hAnsi="宋体" w:eastAsia="宋体" w:cs="宋体"/>
          <w:bCs/>
          <w:sz w:val="24"/>
          <w:szCs w:val="24"/>
        </w:rPr>
        <w:t xml:space="preserve">14.1 </w:t>
      </w:r>
      <w:r>
        <w:rPr>
          <w:rFonts w:hint="eastAsia" w:ascii="宋体" w:hAnsi="宋体" w:eastAsia="宋体" w:cs="宋体"/>
          <w:sz w:val="24"/>
          <w:lang w:val="zh-CN"/>
        </w:rPr>
        <w:t>供应商</w:t>
      </w:r>
      <w:r>
        <w:rPr>
          <w:rFonts w:hint="eastAsia" w:ascii="宋体" w:hAnsi="宋体" w:eastAsia="宋体" w:cs="宋体"/>
          <w:sz w:val="24"/>
          <w:szCs w:val="24"/>
        </w:rPr>
        <w:t>需根据采购文件要求提供有关售后服务的管理制度，售后服务机构的分布情况，售后服务人员的数量、素质、技术水平及售后服务的反应能力等。</w:t>
      </w:r>
    </w:p>
    <w:p w14:paraId="3AC0D9E6">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 xml:space="preserve">14.2 </w:t>
      </w:r>
      <w:r>
        <w:rPr>
          <w:rFonts w:hint="eastAsia" w:ascii="宋体" w:hAnsi="宋体" w:eastAsia="宋体" w:cs="宋体"/>
          <w:sz w:val="24"/>
          <w:lang w:val="zh-CN"/>
        </w:rPr>
        <w:t>供应商</w:t>
      </w:r>
      <w:r>
        <w:rPr>
          <w:rFonts w:hint="eastAsia" w:ascii="宋体" w:hAnsi="宋体" w:eastAsia="宋体" w:cs="宋体"/>
          <w:sz w:val="24"/>
          <w:szCs w:val="24"/>
        </w:rPr>
        <w:t>需根据采购文件要求提供培训计划。</w:t>
      </w:r>
    </w:p>
    <w:p w14:paraId="700EFA8D">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 xml:space="preserve">14.3 </w:t>
      </w:r>
      <w:r>
        <w:rPr>
          <w:rFonts w:hint="eastAsia" w:ascii="宋体" w:hAnsi="宋体" w:eastAsia="宋体" w:cs="宋体"/>
          <w:sz w:val="24"/>
          <w:lang w:val="zh-CN"/>
        </w:rPr>
        <w:t>供应商</w:t>
      </w:r>
      <w:r>
        <w:rPr>
          <w:rFonts w:hint="eastAsia" w:ascii="宋体" w:hAnsi="宋体" w:eastAsia="宋体" w:cs="宋体"/>
          <w:sz w:val="24"/>
          <w:szCs w:val="24"/>
        </w:rPr>
        <w:t>需根据采购文件要求提供</w:t>
      </w:r>
      <w:r>
        <w:rPr>
          <w:rFonts w:hint="eastAsia" w:ascii="宋体" w:hAnsi="宋体" w:eastAsia="宋体" w:cs="宋体"/>
          <w:sz w:val="24"/>
          <w:lang w:val="zh-CN"/>
        </w:rPr>
        <w:t>所投标的的主要组成部分、功能设计、实现思路及关键技术等。</w:t>
      </w:r>
      <w:bookmarkEnd w:id="102"/>
      <w:bookmarkEnd w:id="103"/>
    </w:p>
    <w:p w14:paraId="41697530">
      <w:pPr>
        <w:pStyle w:val="6"/>
        <w:spacing w:before="0" w:after="0" w:line="480" w:lineRule="exact"/>
        <w:ind w:firstLine="560"/>
        <w:rPr>
          <w:rFonts w:hint="eastAsia" w:ascii="宋体" w:hAnsi="宋体" w:eastAsia="宋体" w:cs="宋体"/>
          <w:b w:val="0"/>
          <w:bCs w:val="0"/>
        </w:rPr>
      </w:pPr>
      <w:bookmarkStart w:id="104" w:name="_Toc49090511"/>
      <w:bookmarkStart w:id="105" w:name="_Toc14577360"/>
      <w:r>
        <w:rPr>
          <w:rFonts w:hint="eastAsia" w:ascii="宋体" w:hAnsi="宋体" w:eastAsia="宋体" w:cs="宋体"/>
          <w:b w:val="0"/>
          <w:bCs w:val="0"/>
        </w:rPr>
        <w:t>15、协商及声明函</w:t>
      </w:r>
    </w:p>
    <w:p w14:paraId="5B110507">
      <w:pPr>
        <w:spacing w:line="480" w:lineRule="exact"/>
        <w:ind w:firstLine="480"/>
        <w:rPr>
          <w:rFonts w:hint="eastAsia" w:ascii="宋体" w:hAnsi="宋体" w:eastAsia="宋体" w:cs="宋体"/>
          <w:sz w:val="24"/>
        </w:rPr>
      </w:pPr>
      <w:r>
        <w:rPr>
          <w:rFonts w:hint="eastAsia" w:ascii="宋体" w:hAnsi="宋体" w:eastAsia="宋体" w:cs="宋体"/>
          <w:sz w:val="24"/>
        </w:rPr>
        <w:t>供应商应按照采购文件中提供的格式完整、正确填写协商及声明函。</w:t>
      </w:r>
    </w:p>
    <w:p w14:paraId="197539F7">
      <w:pPr>
        <w:keepNext/>
        <w:keepLines/>
        <w:spacing w:line="480" w:lineRule="exact"/>
        <w:ind w:firstLine="560"/>
        <w:outlineLvl w:val="3"/>
        <w:rPr>
          <w:rFonts w:hint="eastAsia" w:ascii="宋体" w:hAnsi="宋体" w:eastAsia="宋体" w:cs="宋体"/>
          <w:sz w:val="28"/>
          <w:szCs w:val="28"/>
        </w:rPr>
      </w:pPr>
      <w:r>
        <w:rPr>
          <w:rFonts w:hint="eastAsia" w:ascii="宋体" w:hAnsi="宋体" w:eastAsia="宋体" w:cs="宋体"/>
          <w:sz w:val="28"/>
          <w:szCs w:val="28"/>
        </w:rPr>
        <w:t>16、单一来源采购有效期</w:t>
      </w:r>
      <w:bookmarkEnd w:id="104"/>
      <w:bookmarkEnd w:id="105"/>
    </w:p>
    <w:p w14:paraId="03C7A2F0">
      <w:pPr>
        <w:spacing w:line="480" w:lineRule="exact"/>
        <w:ind w:firstLine="480"/>
        <w:rPr>
          <w:rFonts w:hint="eastAsia" w:ascii="宋体" w:hAnsi="宋体" w:eastAsia="宋体" w:cs="宋体"/>
          <w:bCs/>
          <w:sz w:val="24"/>
        </w:rPr>
      </w:pPr>
      <w:r>
        <w:rPr>
          <w:rFonts w:hint="eastAsia" w:ascii="宋体" w:hAnsi="宋体" w:eastAsia="宋体" w:cs="宋体"/>
          <w:bCs/>
          <w:sz w:val="24"/>
        </w:rPr>
        <w:t>单一来源采购有效期（以下简称“有效期”）为</w:t>
      </w:r>
      <w:r>
        <w:rPr>
          <w:rFonts w:hint="eastAsia" w:ascii="宋体" w:hAnsi="宋体" w:eastAsia="宋体" w:cs="宋体"/>
          <w:sz w:val="24"/>
          <w:szCs w:val="21"/>
        </w:rPr>
        <w:t>采购代理机构</w:t>
      </w:r>
      <w:r>
        <w:rPr>
          <w:rFonts w:hint="eastAsia" w:ascii="宋体" w:hAnsi="宋体" w:eastAsia="宋体" w:cs="宋体"/>
          <w:bCs/>
          <w:sz w:val="24"/>
        </w:rPr>
        <w:t>规定的响应文件接收截止之日后</w:t>
      </w:r>
      <w:r>
        <w:rPr>
          <w:rFonts w:hint="eastAsia" w:ascii="宋体" w:hAnsi="宋体" w:eastAsia="宋体" w:cs="宋体"/>
          <w:b/>
          <w:sz w:val="24"/>
          <w:u w:val="single"/>
        </w:rPr>
        <w:t>三十（30）天</w:t>
      </w:r>
      <w:r>
        <w:rPr>
          <w:rFonts w:hint="eastAsia" w:ascii="宋体" w:hAnsi="宋体" w:eastAsia="宋体" w:cs="宋体"/>
          <w:bCs/>
          <w:sz w:val="24"/>
        </w:rPr>
        <w:t>。有效期比规定期限短的将被视为未响应采购文件要求而予以拒绝。</w:t>
      </w:r>
    </w:p>
    <w:p w14:paraId="1FDF3D24">
      <w:pPr>
        <w:keepNext/>
        <w:keepLines/>
        <w:spacing w:line="480" w:lineRule="exact"/>
        <w:ind w:firstLine="560"/>
        <w:outlineLvl w:val="3"/>
        <w:rPr>
          <w:rFonts w:hint="eastAsia" w:ascii="宋体" w:hAnsi="宋体" w:eastAsia="宋体" w:cs="宋体"/>
          <w:sz w:val="28"/>
          <w:szCs w:val="28"/>
        </w:rPr>
      </w:pPr>
      <w:r>
        <w:rPr>
          <w:rFonts w:hint="eastAsia" w:ascii="宋体" w:hAnsi="宋体" w:eastAsia="宋体" w:cs="宋体"/>
          <w:sz w:val="28"/>
          <w:szCs w:val="28"/>
        </w:rPr>
        <w:t>17、有效期的延长</w:t>
      </w:r>
    </w:p>
    <w:p w14:paraId="7E5BD42F">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在特殊情况下，</w:t>
      </w:r>
      <w:r>
        <w:rPr>
          <w:rFonts w:hint="eastAsia" w:ascii="宋体" w:hAnsi="宋体" w:eastAsia="宋体" w:cs="宋体"/>
          <w:sz w:val="24"/>
          <w:szCs w:val="21"/>
        </w:rPr>
        <w:t>采购代理机构</w:t>
      </w:r>
      <w:r>
        <w:rPr>
          <w:rFonts w:hint="eastAsia" w:ascii="宋体" w:hAnsi="宋体" w:eastAsia="宋体" w:cs="宋体"/>
          <w:bCs/>
          <w:sz w:val="24"/>
          <w:szCs w:val="21"/>
        </w:rPr>
        <w:t>于原有效期满之前，可向供应商提出延长有效期的要求。这种要求与答复均应采用书面形式。供应商可以拒绝</w:t>
      </w:r>
      <w:r>
        <w:rPr>
          <w:rFonts w:hint="eastAsia" w:ascii="宋体" w:hAnsi="宋体" w:eastAsia="宋体" w:cs="宋体"/>
          <w:sz w:val="24"/>
          <w:szCs w:val="21"/>
        </w:rPr>
        <w:t>采购代理机构</w:t>
      </w:r>
      <w:r>
        <w:rPr>
          <w:rFonts w:hint="eastAsia" w:ascii="宋体" w:hAnsi="宋体" w:eastAsia="宋体" w:cs="宋体"/>
          <w:bCs/>
          <w:sz w:val="24"/>
          <w:szCs w:val="21"/>
        </w:rPr>
        <w:t>的这一要求而放弃单一来源采购活动，同意延长有效期的供应商既不能要求也不允许修改其响应文件。</w:t>
      </w:r>
      <w:r>
        <w:rPr>
          <w:rFonts w:hint="eastAsia" w:ascii="宋体" w:hAnsi="宋体" w:eastAsia="宋体" w:cs="宋体"/>
          <w:sz w:val="24"/>
          <w:szCs w:val="24"/>
        </w:rPr>
        <w:t>受有效期约束的所有权利与义务均延长至新的有效期</w:t>
      </w:r>
      <w:r>
        <w:rPr>
          <w:rFonts w:hint="eastAsia" w:ascii="宋体" w:hAnsi="宋体" w:eastAsia="宋体" w:cs="宋体"/>
          <w:bCs/>
          <w:sz w:val="24"/>
          <w:szCs w:val="21"/>
        </w:rPr>
        <w:t>。</w:t>
      </w:r>
    </w:p>
    <w:p w14:paraId="26B251FB">
      <w:pPr>
        <w:keepNext/>
        <w:keepLines/>
        <w:spacing w:line="480" w:lineRule="exact"/>
        <w:ind w:firstLine="643"/>
        <w:outlineLvl w:val="2"/>
        <w:rPr>
          <w:rFonts w:hint="eastAsia" w:ascii="宋体" w:hAnsi="宋体" w:eastAsia="宋体" w:cs="宋体"/>
          <w:b/>
          <w:bCs/>
          <w:sz w:val="32"/>
          <w:szCs w:val="32"/>
        </w:rPr>
      </w:pPr>
      <w:bookmarkStart w:id="106" w:name="_Hlt26954739"/>
      <w:bookmarkEnd w:id="106"/>
      <w:bookmarkStart w:id="107" w:name="_Hlt26954852"/>
      <w:bookmarkEnd w:id="107"/>
      <w:bookmarkStart w:id="108" w:name="_Toc120614217"/>
      <w:bookmarkStart w:id="109" w:name="_Toc513029224"/>
      <w:bookmarkStart w:id="110" w:name="_Toc16938540"/>
      <w:bookmarkStart w:id="111" w:name="_Toc20823296"/>
      <w:r>
        <w:rPr>
          <w:rFonts w:hint="eastAsia" w:ascii="宋体" w:hAnsi="宋体" w:eastAsia="宋体" w:cs="宋体"/>
          <w:b/>
          <w:bCs/>
          <w:sz w:val="32"/>
          <w:szCs w:val="32"/>
        </w:rPr>
        <w:t>四、响应文件的递交</w:t>
      </w:r>
      <w:bookmarkEnd w:id="108"/>
      <w:bookmarkEnd w:id="109"/>
      <w:bookmarkEnd w:id="110"/>
      <w:bookmarkEnd w:id="111"/>
    </w:p>
    <w:p w14:paraId="0C57D25E">
      <w:pPr>
        <w:keepNext/>
        <w:keepLines/>
        <w:spacing w:line="480" w:lineRule="exact"/>
        <w:ind w:firstLine="560"/>
        <w:outlineLvl w:val="3"/>
        <w:rPr>
          <w:rFonts w:hint="eastAsia" w:ascii="宋体" w:hAnsi="宋体" w:eastAsia="宋体" w:cs="宋体"/>
          <w:sz w:val="28"/>
          <w:szCs w:val="28"/>
        </w:rPr>
      </w:pPr>
      <w:bookmarkStart w:id="112" w:name="_Toc462564084"/>
      <w:bookmarkStart w:id="113" w:name="_Toc16938541"/>
      <w:bookmarkStart w:id="114" w:name="_Toc513029225"/>
      <w:bookmarkStart w:id="115" w:name="_Toc20823297"/>
      <w:r>
        <w:rPr>
          <w:rFonts w:hint="eastAsia" w:ascii="宋体" w:hAnsi="宋体" w:eastAsia="宋体" w:cs="宋体"/>
          <w:sz w:val="28"/>
          <w:szCs w:val="28"/>
        </w:rPr>
        <w:t>18、电子</w:t>
      </w:r>
      <w:bookmarkEnd w:id="112"/>
      <w:bookmarkEnd w:id="113"/>
      <w:bookmarkEnd w:id="114"/>
      <w:bookmarkEnd w:id="115"/>
      <w:r>
        <w:rPr>
          <w:rFonts w:hint="eastAsia" w:ascii="宋体" w:hAnsi="宋体" w:eastAsia="宋体" w:cs="宋体"/>
          <w:sz w:val="28"/>
          <w:szCs w:val="28"/>
        </w:rPr>
        <w:t>响应文件的递交</w:t>
      </w:r>
    </w:p>
    <w:p w14:paraId="5680ABC4">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供应商应当按照《操作手册》规定，在截止时间前，制作并上传电子响应文件。</w:t>
      </w:r>
      <w:bookmarkStart w:id="116" w:name="_Toc513029226"/>
      <w:bookmarkStart w:id="117" w:name="_Toc16938542"/>
      <w:bookmarkStart w:id="118" w:name="_Toc20823298"/>
    </w:p>
    <w:p w14:paraId="3DA3A689">
      <w:pPr>
        <w:keepNext/>
        <w:keepLines/>
        <w:spacing w:line="480" w:lineRule="exact"/>
        <w:ind w:firstLine="560"/>
        <w:outlineLvl w:val="3"/>
        <w:rPr>
          <w:rFonts w:hint="eastAsia" w:ascii="宋体" w:hAnsi="宋体" w:eastAsia="宋体" w:cs="宋体"/>
          <w:bCs/>
          <w:sz w:val="24"/>
          <w:szCs w:val="28"/>
        </w:rPr>
      </w:pPr>
      <w:r>
        <w:rPr>
          <w:rFonts w:hint="eastAsia" w:ascii="宋体" w:hAnsi="宋体" w:eastAsia="宋体" w:cs="宋体"/>
          <w:bCs/>
          <w:sz w:val="28"/>
          <w:szCs w:val="28"/>
        </w:rPr>
        <w:t>19、提交响应文件截止时间</w:t>
      </w:r>
      <w:bookmarkEnd w:id="116"/>
      <w:bookmarkEnd w:id="117"/>
      <w:bookmarkEnd w:id="118"/>
    </w:p>
    <w:p w14:paraId="5F952E00">
      <w:pPr>
        <w:spacing w:line="480" w:lineRule="exact"/>
        <w:ind w:firstLine="480"/>
        <w:rPr>
          <w:rFonts w:hint="eastAsia" w:ascii="宋体" w:hAnsi="宋体" w:eastAsia="宋体" w:cs="宋体"/>
          <w:bCs/>
          <w:i/>
          <w:sz w:val="24"/>
          <w:szCs w:val="21"/>
          <w:u w:val="single"/>
        </w:rPr>
      </w:pPr>
      <w:r>
        <w:rPr>
          <w:rFonts w:hint="eastAsia" w:ascii="宋体" w:hAnsi="宋体" w:eastAsia="宋体" w:cs="宋体"/>
          <w:i/>
          <w:sz w:val="24"/>
          <w:szCs w:val="21"/>
          <w:u w:val="single"/>
        </w:rPr>
        <w:t>19.1</w:t>
      </w:r>
      <w:r>
        <w:rPr>
          <w:rFonts w:hint="eastAsia" w:ascii="宋体" w:hAnsi="宋体" w:eastAsia="宋体" w:cs="宋体"/>
          <w:bCs/>
          <w:i/>
          <w:sz w:val="24"/>
          <w:u w:val="single"/>
        </w:rPr>
        <w:t>供应商上传电子响应文件的时间不得迟于单一来源采购邀请中规定的截止时间。</w:t>
      </w:r>
    </w:p>
    <w:p w14:paraId="496DFAE2">
      <w:pPr>
        <w:spacing w:line="480" w:lineRule="exact"/>
        <w:ind w:firstLine="480"/>
        <w:rPr>
          <w:rFonts w:hint="eastAsia" w:ascii="宋体" w:hAnsi="宋体" w:eastAsia="宋体" w:cs="宋体"/>
          <w:bCs/>
          <w:sz w:val="24"/>
          <w:szCs w:val="21"/>
        </w:rPr>
      </w:pPr>
      <w:bookmarkStart w:id="119" w:name="_Toc513029227"/>
      <w:bookmarkStart w:id="120" w:name="_Toc16938543"/>
      <w:bookmarkStart w:id="121" w:name="_Toc20823299"/>
      <w:r>
        <w:rPr>
          <w:rFonts w:hint="eastAsia" w:ascii="宋体" w:hAnsi="宋体" w:eastAsia="宋体" w:cs="宋体"/>
          <w:bCs/>
          <w:sz w:val="24"/>
          <w:szCs w:val="21"/>
        </w:rPr>
        <w:t>供应商应充分考虑到网络环境、网络带宽等风险因素，如因供应商自身原因造成的电子响应文件上传不成功由供应商自行承担全部责任。</w:t>
      </w:r>
    </w:p>
    <w:p w14:paraId="4B82A7D9">
      <w:pPr>
        <w:spacing w:line="480" w:lineRule="exact"/>
        <w:ind w:firstLine="480"/>
        <w:rPr>
          <w:rFonts w:hint="eastAsia" w:ascii="宋体" w:hAnsi="宋体" w:eastAsia="宋体" w:cs="宋体"/>
          <w:bCs/>
          <w:sz w:val="24"/>
          <w:szCs w:val="21"/>
        </w:rPr>
      </w:pPr>
      <w:r>
        <w:rPr>
          <w:rFonts w:hint="eastAsia" w:ascii="宋体" w:hAnsi="宋体" w:eastAsia="宋体" w:cs="宋体"/>
          <w:sz w:val="24"/>
          <w:szCs w:val="21"/>
        </w:rPr>
        <w:t>19.2</w:t>
      </w:r>
      <w:r>
        <w:rPr>
          <w:rFonts w:hint="eastAsia" w:ascii="宋体" w:hAnsi="宋体" w:eastAsia="宋体" w:cs="宋体"/>
          <w:bCs/>
          <w:sz w:val="24"/>
          <w:szCs w:val="21"/>
        </w:rPr>
        <w:t>采购代理机构可以按照规定，通过修改采购文件酌情延长截止时间，在此情况下，供应商的所有权利和义务以及供应商受制的截止时间以延长后新的截止时间为准。</w:t>
      </w:r>
    </w:p>
    <w:p w14:paraId="31279432">
      <w:pPr>
        <w:keepNext/>
        <w:keepLines/>
        <w:spacing w:line="480" w:lineRule="exact"/>
        <w:ind w:firstLine="560"/>
        <w:outlineLvl w:val="3"/>
        <w:rPr>
          <w:rFonts w:hint="eastAsia" w:ascii="宋体" w:hAnsi="宋体" w:eastAsia="宋体" w:cs="宋体"/>
          <w:sz w:val="28"/>
          <w:szCs w:val="28"/>
        </w:rPr>
      </w:pPr>
      <w:r>
        <w:rPr>
          <w:rFonts w:hint="eastAsia" w:ascii="宋体" w:hAnsi="宋体" w:eastAsia="宋体" w:cs="宋体"/>
          <w:sz w:val="28"/>
          <w:szCs w:val="28"/>
        </w:rPr>
        <w:t>20、响应文件</w:t>
      </w:r>
      <w:bookmarkEnd w:id="119"/>
      <w:bookmarkEnd w:id="120"/>
      <w:bookmarkEnd w:id="121"/>
      <w:r>
        <w:rPr>
          <w:rFonts w:hint="eastAsia" w:ascii="宋体" w:hAnsi="宋体" w:eastAsia="宋体" w:cs="宋体"/>
          <w:sz w:val="28"/>
          <w:szCs w:val="28"/>
        </w:rPr>
        <w:t>的拒收</w:t>
      </w:r>
    </w:p>
    <w:p w14:paraId="0C53C418">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采购代理机构拒绝接收在其规定的截止时间后上传的任何电子响应文件。</w:t>
      </w:r>
    </w:p>
    <w:p w14:paraId="2A4611CE">
      <w:pPr>
        <w:keepNext/>
        <w:keepLines/>
        <w:spacing w:line="480" w:lineRule="exact"/>
        <w:ind w:firstLine="560"/>
        <w:outlineLvl w:val="3"/>
        <w:rPr>
          <w:rFonts w:hint="eastAsia" w:ascii="宋体" w:hAnsi="宋体" w:eastAsia="宋体" w:cs="宋体"/>
          <w:sz w:val="28"/>
          <w:szCs w:val="28"/>
        </w:rPr>
      </w:pPr>
      <w:bookmarkStart w:id="122" w:name="_Toc16938544"/>
      <w:bookmarkStart w:id="123" w:name="_Toc513029228"/>
      <w:bookmarkStart w:id="124" w:name="_Toc20823300"/>
      <w:r>
        <w:rPr>
          <w:rFonts w:hint="eastAsia" w:ascii="宋体" w:hAnsi="宋体" w:eastAsia="宋体" w:cs="宋体"/>
          <w:sz w:val="28"/>
          <w:szCs w:val="28"/>
        </w:rPr>
        <w:t>21、响应文件的撤回和修改</w:t>
      </w:r>
      <w:bookmarkEnd w:id="122"/>
      <w:bookmarkEnd w:id="123"/>
      <w:bookmarkEnd w:id="124"/>
    </w:p>
    <w:p w14:paraId="0B2A791F">
      <w:pPr>
        <w:spacing w:line="480" w:lineRule="exact"/>
        <w:ind w:firstLine="480"/>
        <w:rPr>
          <w:rFonts w:hint="eastAsia" w:ascii="宋体" w:hAnsi="宋体" w:eastAsia="宋体" w:cs="宋体"/>
          <w:sz w:val="24"/>
          <w:szCs w:val="21"/>
        </w:rPr>
      </w:pPr>
      <w:r>
        <w:rPr>
          <w:rFonts w:hint="eastAsia" w:ascii="宋体" w:hAnsi="宋体" w:eastAsia="宋体" w:cs="宋体"/>
          <w:sz w:val="24"/>
          <w:szCs w:val="21"/>
        </w:rPr>
        <w:t>21.1响应文件的撤回</w:t>
      </w:r>
    </w:p>
    <w:p w14:paraId="41BB3BD5">
      <w:pPr>
        <w:spacing w:line="480" w:lineRule="exact"/>
        <w:ind w:firstLine="480"/>
        <w:rPr>
          <w:rFonts w:hint="eastAsia" w:ascii="宋体" w:hAnsi="宋体" w:eastAsia="宋体" w:cs="宋体"/>
          <w:sz w:val="24"/>
          <w:szCs w:val="21"/>
        </w:rPr>
      </w:pPr>
      <w:r>
        <w:rPr>
          <w:rFonts w:hint="eastAsia" w:ascii="宋体" w:hAnsi="宋体" w:eastAsia="宋体" w:cs="宋体"/>
          <w:sz w:val="24"/>
          <w:szCs w:val="21"/>
        </w:rPr>
        <w:t>供应商可在截止时间前，撤回其电子响应文件，具体操作方法见《操作手册》。</w:t>
      </w:r>
      <w:r>
        <w:rPr>
          <w:rFonts w:hint="eastAsia" w:ascii="宋体" w:hAnsi="宋体" w:eastAsia="宋体" w:cs="宋体"/>
          <w:sz w:val="24"/>
          <w:szCs w:val="24"/>
        </w:rPr>
        <w:t>供应商撤回电子响应文件，则认为其不再参与本项目采购活动。</w:t>
      </w:r>
    </w:p>
    <w:p w14:paraId="4D20C3B0">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21.2响应文件的修改</w:t>
      </w:r>
    </w:p>
    <w:p w14:paraId="3DD7BFF9">
      <w:pPr>
        <w:spacing w:line="480" w:lineRule="exact"/>
        <w:ind w:firstLine="480"/>
        <w:rPr>
          <w:rFonts w:hint="eastAsia" w:ascii="宋体" w:hAnsi="宋体" w:eastAsia="宋体" w:cs="宋体"/>
          <w:sz w:val="24"/>
          <w:szCs w:val="21"/>
        </w:rPr>
      </w:pPr>
      <w:r>
        <w:rPr>
          <w:rFonts w:hint="eastAsia" w:ascii="宋体" w:hAnsi="宋体" w:eastAsia="宋体" w:cs="宋体"/>
          <w:sz w:val="24"/>
          <w:szCs w:val="21"/>
        </w:rPr>
        <w:t>供应商可在截止时间前，对其电子响应文件进行修改，具体操作方法见《操作手册》。</w:t>
      </w:r>
    </w:p>
    <w:p w14:paraId="65319FB5">
      <w:pPr>
        <w:spacing w:line="480" w:lineRule="exact"/>
        <w:ind w:firstLine="480"/>
        <w:rPr>
          <w:rFonts w:hint="eastAsia" w:ascii="宋体" w:hAnsi="宋体" w:eastAsia="宋体" w:cs="宋体"/>
          <w:bCs/>
          <w:sz w:val="24"/>
          <w:szCs w:val="21"/>
        </w:rPr>
      </w:pPr>
      <w:r>
        <w:rPr>
          <w:rFonts w:hint="eastAsia" w:ascii="宋体" w:hAnsi="宋体" w:eastAsia="宋体" w:cs="宋体"/>
          <w:sz w:val="24"/>
          <w:szCs w:val="21"/>
        </w:rPr>
        <w:t>21.3</w:t>
      </w:r>
      <w:r>
        <w:rPr>
          <w:rFonts w:hint="eastAsia" w:ascii="宋体" w:hAnsi="宋体" w:eastAsia="宋体" w:cs="宋体"/>
          <w:bCs/>
          <w:sz w:val="24"/>
          <w:szCs w:val="21"/>
        </w:rPr>
        <w:t xml:space="preserve"> 在截止时间之后，供应商不得对其电子响应文件作任何修改。</w:t>
      </w:r>
    </w:p>
    <w:p w14:paraId="362CE596">
      <w:pPr>
        <w:spacing w:line="480" w:lineRule="exact"/>
        <w:ind w:firstLine="480"/>
        <w:rPr>
          <w:rFonts w:hint="eastAsia" w:ascii="宋体" w:hAnsi="宋体" w:eastAsia="宋体" w:cs="宋体"/>
          <w:bCs/>
          <w:sz w:val="24"/>
          <w:szCs w:val="21"/>
        </w:rPr>
      </w:pPr>
      <w:r>
        <w:rPr>
          <w:rFonts w:hint="eastAsia" w:ascii="宋体" w:hAnsi="宋体" w:eastAsia="宋体" w:cs="宋体"/>
          <w:sz w:val="24"/>
          <w:szCs w:val="21"/>
        </w:rPr>
        <w:t>21.4</w:t>
      </w:r>
      <w:r>
        <w:rPr>
          <w:rFonts w:hint="eastAsia" w:ascii="宋体" w:hAnsi="宋体" w:eastAsia="宋体" w:cs="宋体"/>
          <w:bCs/>
          <w:sz w:val="24"/>
          <w:szCs w:val="21"/>
        </w:rPr>
        <w:t xml:space="preserve"> 在截止时间至有效期满之间的这段时间内，供应商不得撤回其响应文件。</w:t>
      </w:r>
    </w:p>
    <w:p w14:paraId="4E1B0BAA">
      <w:pPr>
        <w:keepNext/>
        <w:keepLines/>
        <w:spacing w:line="480" w:lineRule="exact"/>
        <w:ind w:firstLine="643"/>
        <w:outlineLvl w:val="2"/>
        <w:rPr>
          <w:rFonts w:hint="eastAsia" w:ascii="宋体" w:hAnsi="宋体" w:eastAsia="宋体" w:cs="宋体"/>
          <w:b/>
          <w:bCs/>
          <w:sz w:val="32"/>
          <w:szCs w:val="32"/>
        </w:rPr>
      </w:pPr>
      <w:bookmarkStart w:id="125" w:name="_Toc513029229"/>
      <w:bookmarkStart w:id="126" w:name="_Toc120614218"/>
      <w:bookmarkStart w:id="127" w:name="_Toc20823301"/>
      <w:bookmarkStart w:id="128" w:name="_Toc16938545"/>
      <w:r>
        <w:rPr>
          <w:rFonts w:hint="eastAsia" w:ascii="宋体" w:hAnsi="宋体" w:eastAsia="宋体" w:cs="宋体"/>
          <w:b/>
          <w:bCs/>
          <w:sz w:val="32"/>
          <w:szCs w:val="32"/>
        </w:rPr>
        <w:t>五、响应文件的解密与评审</w:t>
      </w:r>
      <w:bookmarkEnd w:id="125"/>
      <w:bookmarkEnd w:id="126"/>
      <w:bookmarkEnd w:id="127"/>
      <w:bookmarkEnd w:id="128"/>
    </w:p>
    <w:p w14:paraId="257C0012">
      <w:pPr>
        <w:keepNext/>
        <w:keepLines/>
        <w:spacing w:line="480" w:lineRule="exact"/>
        <w:ind w:firstLine="560"/>
        <w:outlineLvl w:val="3"/>
        <w:rPr>
          <w:rFonts w:hint="eastAsia" w:ascii="宋体" w:hAnsi="宋体" w:eastAsia="宋体" w:cs="宋体"/>
          <w:sz w:val="28"/>
          <w:szCs w:val="28"/>
        </w:rPr>
      </w:pPr>
      <w:bookmarkStart w:id="129" w:name="_Toc20823302"/>
      <w:bookmarkStart w:id="130" w:name="_Toc16938546"/>
      <w:bookmarkStart w:id="131" w:name="_Toc513029230"/>
      <w:r>
        <w:rPr>
          <w:rFonts w:hint="eastAsia" w:ascii="宋体" w:hAnsi="宋体" w:eastAsia="宋体" w:cs="宋体"/>
          <w:sz w:val="28"/>
          <w:szCs w:val="28"/>
        </w:rPr>
        <w:t>22、</w:t>
      </w:r>
      <w:bookmarkEnd w:id="129"/>
      <w:bookmarkEnd w:id="130"/>
      <w:bookmarkEnd w:id="131"/>
      <w:r>
        <w:rPr>
          <w:rFonts w:hint="eastAsia" w:ascii="宋体" w:hAnsi="宋体" w:eastAsia="宋体" w:cs="宋体"/>
          <w:sz w:val="28"/>
          <w:szCs w:val="28"/>
        </w:rPr>
        <w:t>响应文件解密</w:t>
      </w:r>
    </w:p>
    <w:p w14:paraId="39183FCA">
      <w:pPr>
        <w:spacing w:line="480" w:lineRule="exact"/>
        <w:ind w:firstLine="480"/>
        <w:rPr>
          <w:rFonts w:hint="eastAsia" w:ascii="宋体" w:hAnsi="宋体" w:eastAsia="宋体" w:cs="宋体"/>
          <w:color w:val="auto"/>
          <w:szCs w:val="21"/>
        </w:rPr>
      </w:pPr>
      <w:r>
        <w:rPr>
          <w:rFonts w:hint="eastAsia" w:ascii="宋体" w:hAnsi="宋体" w:eastAsia="宋体" w:cs="宋体"/>
          <w:sz w:val="24"/>
          <w:szCs w:val="24"/>
        </w:rPr>
        <w:t>供应商应当按照《操作手册》规定，在</w:t>
      </w:r>
      <w:r>
        <w:rPr>
          <w:rFonts w:hint="eastAsia" w:ascii="宋体" w:hAnsi="宋体" w:eastAsia="宋体" w:cs="宋体"/>
          <w:color w:val="auto"/>
          <w:sz w:val="24"/>
          <w:szCs w:val="24"/>
        </w:rPr>
        <w:t>“苏采云”系统规定的时间内对响应文件进行解密。</w:t>
      </w:r>
    </w:p>
    <w:p w14:paraId="12959EE4">
      <w:pPr>
        <w:keepNext/>
        <w:keepLines/>
        <w:spacing w:line="480" w:lineRule="exact"/>
        <w:ind w:firstLine="560"/>
        <w:outlineLvl w:val="3"/>
        <w:rPr>
          <w:rFonts w:hint="eastAsia" w:ascii="宋体" w:hAnsi="宋体" w:eastAsia="宋体" w:cs="宋体"/>
          <w:color w:val="auto"/>
          <w:sz w:val="28"/>
          <w:szCs w:val="28"/>
        </w:rPr>
      </w:pPr>
      <w:bookmarkStart w:id="132" w:name="_Toc20823303"/>
      <w:bookmarkStart w:id="133" w:name="_Toc16938547"/>
      <w:bookmarkStart w:id="134" w:name="_Toc513029231"/>
      <w:r>
        <w:rPr>
          <w:rFonts w:hint="eastAsia" w:ascii="宋体" w:hAnsi="宋体" w:eastAsia="宋体" w:cs="宋体"/>
          <w:color w:val="auto"/>
          <w:sz w:val="28"/>
          <w:szCs w:val="28"/>
        </w:rPr>
        <w:t>23、单一来源协商小组</w:t>
      </w:r>
    </w:p>
    <w:p w14:paraId="6C119F97">
      <w:pPr>
        <w:spacing w:line="480" w:lineRule="exact"/>
        <w:ind w:firstLine="482"/>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23.1单一来源协商小组（以下简称“协商小组”）由政府采购评审专家、采购人代表组成，且人员构成符合政府采购有关规定。</w:t>
      </w:r>
    </w:p>
    <w:p w14:paraId="4D06A8CD">
      <w:pPr>
        <w:spacing w:line="480" w:lineRule="exact"/>
        <w:ind w:firstLine="482"/>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23.2协商小组应当按照客观、公正、审慎的原则评审供应商的响应文件，并与</w:t>
      </w:r>
      <w:r>
        <w:rPr>
          <w:rFonts w:hint="eastAsia" w:ascii="宋体" w:hAnsi="宋体" w:eastAsia="宋体" w:cs="宋体"/>
          <w:bCs/>
          <w:sz w:val="24"/>
          <w:szCs w:val="21"/>
        </w:rPr>
        <w:t>供应商协商采购标的的价格</w:t>
      </w:r>
      <w:r>
        <w:rPr>
          <w:rFonts w:hint="eastAsia" w:ascii="宋体" w:hAnsi="宋体" w:eastAsia="宋体" w:cs="宋体"/>
          <w:sz w:val="24"/>
          <w:szCs w:val="24"/>
        </w:rPr>
        <w:t>。</w:t>
      </w:r>
    </w:p>
    <w:p w14:paraId="6CBCCA96">
      <w:pPr>
        <w:spacing w:line="480" w:lineRule="exact"/>
        <w:ind w:firstLine="560"/>
        <w:rPr>
          <w:rFonts w:hint="eastAsia" w:ascii="宋体" w:hAnsi="宋体" w:eastAsia="宋体" w:cs="宋体"/>
          <w:sz w:val="28"/>
          <w:szCs w:val="28"/>
        </w:rPr>
      </w:pPr>
      <w:r>
        <w:rPr>
          <w:rFonts w:hint="eastAsia" w:ascii="宋体" w:hAnsi="宋体" w:eastAsia="宋体" w:cs="宋体"/>
          <w:sz w:val="28"/>
          <w:szCs w:val="28"/>
        </w:rPr>
        <w:t>24、单一来源协商过程的保密与公正</w:t>
      </w:r>
      <w:bookmarkEnd w:id="132"/>
      <w:bookmarkEnd w:id="133"/>
      <w:bookmarkEnd w:id="134"/>
    </w:p>
    <w:p w14:paraId="20935CC0">
      <w:pPr>
        <w:spacing w:line="480" w:lineRule="exact"/>
        <w:ind w:firstLine="480"/>
        <w:rPr>
          <w:rFonts w:hint="eastAsia" w:ascii="宋体" w:hAnsi="宋体" w:eastAsia="宋体" w:cs="宋体"/>
          <w:bCs/>
          <w:sz w:val="24"/>
          <w:szCs w:val="21"/>
        </w:rPr>
      </w:pPr>
      <w:bookmarkStart w:id="135" w:name="_Toc513029232"/>
      <w:bookmarkStart w:id="136" w:name="_Toc20823304"/>
      <w:bookmarkStart w:id="137" w:name="_Toc16938548"/>
      <w:r>
        <w:rPr>
          <w:rFonts w:hint="eastAsia" w:ascii="宋体" w:hAnsi="宋体" w:eastAsia="宋体" w:cs="宋体"/>
          <w:bCs/>
          <w:sz w:val="24"/>
          <w:szCs w:val="21"/>
        </w:rPr>
        <w:t>24.1协商小组、采购人和采购代理机构工作人员、相关监督人员等与评审工作有关的人员，对评审、单一来源协商情况以及在过程中获悉的国家秘密、商业秘密负有保密责任。</w:t>
      </w:r>
    </w:p>
    <w:p w14:paraId="365FB058">
      <w:pPr>
        <w:spacing w:line="480" w:lineRule="exact"/>
        <w:ind w:firstLine="480"/>
        <w:rPr>
          <w:rFonts w:hint="eastAsia" w:ascii="宋体" w:hAnsi="宋体" w:eastAsia="宋体" w:cs="宋体"/>
          <w:sz w:val="24"/>
          <w:szCs w:val="24"/>
        </w:rPr>
      </w:pPr>
      <w:r>
        <w:rPr>
          <w:rFonts w:hint="eastAsia" w:ascii="宋体" w:hAnsi="宋体" w:eastAsia="宋体" w:cs="宋体"/>
          <w:sz w:val="24"/>
          <w:szCs w:val="21"/>
        </w:rPr>
        <w:t>24.2在</w:t>
      </w:r>
      <w:r>
        <w:rPr>
          <w:rFonts w:hint="eastAsia" w:ascii="宋体" w:hAnsi="宋体" w:eastAsia="宋体" w:cs="宋体"/>
          <w:sz w:val="24"/>
          <w:szCs w:val="24"/>
        </w:rPr>
        <w:t>协商过程中，供应商不得以任何行为影响协商过程，否则将会导致其响应文件被拒绝。</w:t>
      </w:r>
    </w:p>
    <w:p w14:paraId="7EFFE690">
      <w:pPr>
        <w:keepNext/>
        <w:keepLines/>
        <w:spacing w:line="480" w:lineRule="exact"/>
        <w:ind w:firstLine="560"/>
        <w:outlineLvl w:val="3"/>
        <w:rPr>
          <w:rFonts w:hint="eastAsia" w:ascii="宋体" w:hAnsi="宋体" w:eastAsia="宋体" w:cs="宋体"/>
          <w:sz w:val="28"/>
          <w:szCs w:val="28"/>
        </w:rPr>
      </w:pPr>
      <w:r>
        <w:rPr>
          <w:rFonts w:hint="eastAsia" w:ascii="宋体" w:hAnsi="宋体" w:eastAsia="宋体" w:cs="宋体"/>
          <w:sz w:val="28"/>
          <w:szCs w:val="28"/>
        </w:rPr>
        <w:t>25、评审及协商过程中的澄清</w:t>
      </w:r>
      <w:bookmarkEnd w:id="135"/>
      <w:bookmarkEnd w:id="136"/>
      <w:bookmarkEnd w:id="137"/>
    </w:p>
    <w:p w14:paraId="47CF3F91">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25.1项目评审及协商过程中，协商小组有权要求供应商对响应文件中含义不明确、同类问题表述不一致或者有明显文字和计算错误的内容等作出必要的澄清、说明或者更正。</w:t>
      </w:r>
    </w:p>
    <w:p w14:paraId="7A674D16">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 xml:space="preserve"> 25.2需要供应商进行澄清、说明和更正的，协商小组将</w:t>
      </w:r>
      <w:r>
        <w:rPr>
          <w:rFonts w:hint="eastAsia" w:ascii="宋体" w:hAnsi="宋体" w:eastAsia="宋体" w:cs="宋体"/>
          <w:color w:val="auto"/>
          <w:sz w:val="24"/>
          <w:szCs w:val="24"/>
        </w:rPr>
        <w:t>通过“苏采云”系统向供应商发布“澄清要求函”，接到“澄清要求函”的供应商应当按照要求在“苏采云”平台中提交“澄清响应函”并盖CA电子公章。澄清、说明和更正的内容作为响应文件的补充部分，具体操作方式见《操作手册》。</w:t>
      </w:r>
    </w:p>
    <w:p w14:paraId="66B7F219">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 xml:space="preserve"> 25.3 接到协商小组澄清、说明和更正要求的供应商如未按规定做出澄清、说明和更正，其风险由供应商自行承担。</w:t>
      </w:r>
    </w:p>
    <w:p w14:paraId="50EAB3F4">
      <w:pPr>
        <w:keepNext/>
        <w:keepLines/>
        <w:spacing w:line="480" w:lineRule="exact"/>
        <w:ind w:firstLine="560"/>
        <w:outlineLvl w:val="3"/>
        <w:rPr>
          <w:rFonts w:hint="eastAsia" w:ascii="宋体" w:hAnsi="宋体" w:eastAsia="宋体" w:cs="宋体"/>
          <w:sz w:val="28"/>
          <w:szCs w:val="28"/>
        </w:rPr>
      </w:pPr>
      <w:bookmarkStart w:id="138" w:name="_Toc20823305"/>
      <w:bookmarkStart w:id="139" w:name="_Toc513029233"/>
      <w:bookmarkStart w:id="140" w:name="_Toc16938549"/>
      <w:r>
        <w:rPr>
          <w:rFonts w:hint="eastAsia" w:ascii="宋体" w:hAnsi="宋体" w:eastAsia="宋体" w:cs="宋体"/>
          <w:sz w:val="28"/>
          <w:szCs w:val="28"/>
        </w:rPr>
        <w:t>26、对响应文件的审</w:t>
      </w:r>
      <w:bookmarkEnd w:id="138"/>
      <w:bookmarkEnd w:id="139"/>
      <w:bookmarkEnd w:id="140"/>
      <w:r>
        <w:rPr>
          <w:rFonts w:hint="eastAsia" w:ascii="宋体" w:hAnsi="宋体" w:eastAsia="宋体" w:cs="宋体"/>
          <w:sz w:val="28"/>
          <w:szCs w:val="28"/>
        </w:rPr>
        <w:t>查</w:t>
      </w:r>
    </w:p>
    <w:p w14:paraId="1CDFDBA2">
      <w:pPr>
        <w:spacing w:line="480" w:lineRule="exact"/>
        <w:ind w:firstLine="480"/>
        <w:rPr>
          <w:rFonts w:hint="eastAsia" w:ascii="宋体" w:hAnsi="宋体" w:eastAsia="宋体" w:cs="宋体"/>
          <w:bCs/>
          <w:sz w:val="24"/>
          <w:szCs w:val="21"/>
        </w:rPr>
      </w:pPr>
      <w:r>
        <w:rPr>
          <w:rFonts w:hint="eastAsia" w:ascii="宋体" w:hAnsi="宋体" w:eastAsia="宋体" w:cs="宋体"/>
          <w:sz w:val="24"/>
          <w:szCs w:val="21"/>
        </w:rPr>
        <w:t>26.1</w:t>
      </w:r>
      <w:r>
        <w:rPr>
          <w:rFonts w:hint="eastAsia" w:ascii="宋体" w:hAnsi="宋体" w:eastAsia="宋体" w:cs="宋体"/>
          <w:bCs/>
          <w:sz w:val="24"/>
          <w:szCs w:val="21"/>
        </w:rPr>
        <w:t>响应文件审查分为资格审查和符合性审查。</w:t>
      </w:r>
    </w:p>
    <w:p w14:paraId="323279D9">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26.1.1 资格审查：由协商小组依据法律法规和协商文件的规定，对响应文件中的资格证明文件进行审查，以确定供应商是否具备参加单一来源协商的资格。</w:t>
      </w:r>
    </w:p>
    <w:p w14:paraId="5E5CA55D">
      <w:pPr>
        <w:spacing w:line="480" w:lineRule="exact"/>
        <w:ind w:firstLine="480"/>
        <w:rPr>
          <w:rFonts w:hint="eastAsia" w:ascii="宋体" w:hAnsi="宋体" w:eastAsia="宋体" w:cs="宋体"/>
          <w:bCs/>
          <w:color w:val="auto"/>
          <w:sz w:val="24"/>
          <w:szCs w:val="21"/>
        </w:rPr>
      </w:pPr>
      <w:r>
        <w:rPr>
          <w:rFonts w:hint="eastAsia" w:ascii="宋体" w:hAnsi="宋体" w:eastAsia="宋体" w:cs="宋体"/>
          <w:bCs/>
          <w:color w:val="auto"/>
          <w:sz w:val="24"/>
          <w:szCs w:val="21"/>
        </w:rPr>
        <w:t>协商小组在进行资格审查的同时，将在“信用中国”网站（www.creditchina.gov.cn）查询供应商的信用记录，以确定供应商是否具备协商资格,查询结果留存并归档。</w:t>
      </w:r>
    </w:p>
    <w:p w14:paraId="18ED5106">
      <w:pPr>
        <w:spacing w:line="480" w:lineRule="exact"/>
        <w:ind w:firstLine="480"/>
        <w:rPr>
          <w:rFonts w:hint="eastAsia" w:ascii="宋体" w:hAnsi="宋体" w:eastAsia="宋体" w:cs="宋体"/>
          <w:bCs/>
          <w:color w:val="auto"/>
          <w:sz w:val="24"/>
          <w:szCs w:val="21"/>
        </w:rPr>
      </w:pPr>
      <w:r>
        <w:rPr>
          <w:rFonts w:hint="eastAsia" w:ascii="宋体" w:hAnsi="宋体" w:eastAsia="宋体" w:cs="宋体"/>
          <w:bCs/>
          <w:color w:val="auto"/>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63089C5D">
      <w:pPr>
        <w:spacing w:line="480" w:lineRule="exact"/>
        <w:ind w:firstLine="480"/>
        <w:rPr>
          <w:rFonts w:hint="eastAsia" w:ascii="宋体" w:hAnsi="宋体" w:eastAsia="宋体" w:cs="宋体"/>
          <w:bCs/>
          <w:color w:val="auto"/>
          <w:sz w:val="24"/>
          <w:szCs w:val="21"/>
        </w:rPr>
      </w:pPr>
      <w:r>
        <w:rPr>
          <w:rFonts w:hint="eastAsia" w:ascii="宋体" w:hAnsi="宋体" w:eastAsia="宋体" w:cs="宋体"/>
          <w:bCs/>
          <w:color w:val="auto"/>
          <w:sz w:val="24"/>
          <w:szCs w:val="21"/>
        </w:rPr>
        <w:t>26.1.2符合性审查：依据采购文件的规定，由协商小组从响应文件的有效性、完整性和对采购文件的响应程度进行审查，以确定是否对协商文件的实质性要求作出响应。</w:t>
      </w:r>
    </w:p>
    <w:p w14:paraId="48B346A2">
      <w:pPr>
        <w:spacing w:line="480" w:lineRule="exact"/>
        <w:ind w:firstLine="480"/>
        <w:rPr>
          <w:rFonts w:hint="eastAsia" w:ascii="宋体" w:hAnsi="宋体" w:eastAsia="宋体" w:cs="宋体"/>
          <w:bCs/>
          <w:color w:val="auto"/>
          <w:sz w:val="24"/>
          <w:szCs w:val="21"/>
        </w:rPr>
      </w:pPr>
      <w:r>
        <w:rPr>
          <w:rFonts w:hint="eastAsia" w:ascii="宋体" w:hAnsi="宋体" w:eastAsia="宋体" w:cs="宋体"/>
          <w:bCs/>
          <w:color w:val="auto"/>
          <w:sz w:val="24"/>
          <w:szCs w:val="21"/>
        </w:rPr>
        <w:t>26.1.3未通过资格审查或符合性审查的供应商，协商小组将在“</w:t>
      </w:r>
      <w:r>
        <w:rPr>
          <w:rFonts w:hint="eastAsia" w:ascii="宋体" w:hAnsi="宋体" w:eastAsia="宋体" w:cs="宋体"/>
          <w:color w:val="auto"/>
          <w:sz w:val="24"/>
          <w:szCs w:val="24"/>
        </w:rPr>
        <w:t>苏采云</w:t>
      </w:r>
      <w:r>
        <w:rPr>
          <w:rFonts w:hint="eastAsia" w:ascii="宋体" w:hAnsi="宋体" w:eastAsia="宋体" w:cs="宋体"/>
          <w:bCs/>
          <w:color w:val="auto"/>
          <w:sz w:val="24"/>
          <w:szCs w:val="21"/>
        </w:rPr>
        <w:t>”</w:t>
      </w:r>
      <w:r>
        <w:rPr>
          <w:rFonts w:hint="eastAsia" w:ascii="宋体" w:hAnsi="宋体" w:eastAsia="宋体" w:cs="宋体"/>
          <w:color w:val="auto"/>
          <w:sz w:val="24"/>
          <w:szCs w:val="24"/>
        </w:rPr>
        <w:t>系统</w:t>
      </w:r>
      <w:r>
        <w:rPr>
          <w:rFonts w:hint="eastAsia" w:ascii="宋体" w:hAnsi="宋体" w:eastAsia="宋体" w:cs="宋体"/>
          <w:bCs/>
          <w:color w:val="auto"/>
          <w:sz w:val="24"/>
          <w:szCs w:val="21"/>
        </w:rPr>
        <w:t>中告知未通过资格审查或符合性审查的原因，评审结束后，协商小组将不再告知未通过资格审查或符合性审查的原因。</w:t>
      </w:r>
    </w:p>
    <w:p w14:paraId="490F86D4">
      <w:pPr>
        <w:spacing w:line="480" w:lineRule="exact"/>
        <w:ind w:firstLine="480"/>
        <w:rPr>
          <w:rFonts w:hint="eastAsia" w:ascii="宋体" w:hAnsi="宋体" w:eastAsia="宋体" w:cs="宋体"/>
          <w:sz w:val="24"/>
          <w:szCs w:val="24"/>
        </w:rPr>
      </w:pPr>
      <w:r>
        <w:rPr>
          <w:rFonts w:hint="eastAsia" w:ascii="宋体" w:hAnsi="宋体" w:eastAsia="宋体" w:cs="宋体"/>
          <w:sz w:val="24"/>
          <w:szCs w:val="21"/>
        </w:rPr>
        <w:t>26.2</w:t>
      </w:r>
      <w:r>
        <w:rPr>
          <w:rFonts w:hint="eastAsia" w:ascii="宋体" w:hAnsi="宋体" w:eastAsia="宋体" w:cs="宋体"/>
          <w:sz w:val="24"/>
          <w:szCs w:val="24"/>
        </w:rPr>
        <w:t>在正式进行协商之前，协商小组将首先审查响应文件是否实质性响应了采购文件的要求。实质性响应的响应文件应该是与采购文件要求的条款、条件和规格相符，没有重大偏离或保留。</w:t>
      </w:r>
    </w:p>
    <w:p w14:paraId="16BE8798">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所谓重大偏离或保留是指与采购文件规定的实质性要求存在负偏离，或者在实质上与采购文件不一致，而且限制了合同中买方和采购代理机构的权利或供应商的义务。重大偏离由协商小组按照少数服从多数的原则认定。协商小组决定响应文件的响应性只根据响应文件本身的内容，而不寻求外部的证据。</w:t>
      </w:r>
    </w:p>
    <w:p w14:paraId="3573CD5E">
      <w:pPr>
        <w:spacing w:line="480" w:lineRule="exact"/>
        <w:ind w:firstLine="480"/>
        <w:rPr>
          <w:rFonts w:hint="eastAsia" w:ascii="宋体" w:hAnsi="宋体" w:eastAsia="宋体" w:cs="宋体"/>
          <w:bCs/>
          <w:color w:val="auto"/>
          <w:sz w:val="24"/>
          <w:szCs w:val="21"/>
        </w:rPr>
      </w:pPr>
      <w:r>
        <w:rPr>
          <w:rFonts w:hint="eastAsia" w:ascii="宋体" w:hAnsi="宋体" w:eastAsia="宋体" w:cs="宋体"/>
          <w:bCs/>
          <w:sz w:val="24"/>
          <w:szCs w:val="21"/>
        </w:rPr>
        <w:t>26.3未实质性</w:t>
      </w:r>
      <w:r>
        <w:rPr>
          <w:rFonts w:hint="eastAsia" w:ascii="宋体" w:hAnsi="宋体" w:eastAsia="宋体" w:cs="宋体"/>
          <w:bCs/>
          <w:color w:val="auto"/>
          <w:sz w:val="24"/>
          <w:szCs w:val="21"/>
        </w:rPr>
        <w:t>响应采购文件的情形</w:t>
      </w:r>
    </w:p>
    <w:p w14:paraId="00542CEE">
      <w:pPr>
        <w:spacing w:line="480" w:lineRule="exact"/>
        <w:ind w:firstLine="480"/>
        <w:rPr>
          <w:rFonts w:hint="eastAsia" w:ascii="宋体" w:hAnsi="宋体" w:eastAsia="宋体" w:cs="宋体"/>
          <w:bCs/>
          <w:color w:val="auto"/>
          <w:sz w:val="24"/>
          <w:szCs w:val="21"/>
        </w:rPr>
      </w:pPr>
      <w:r>
        <w:rPr>
          <w:rFonts w:hint="eastAsia" w:ascii="宋体" w:hAnsi="宋体" w:eastAsia="宋体" w:cs="宋体"/>
          <w:bCs/>
          <w:color w:val="auto"/>
          <w:sz w:val="24"/>
          <w:szCs w:val="21"/>
        </w:rPr>
        <w:t>26.3.1供应商在</w:t>
      </w:r>
      <w:r>
        <w:rPr>
          <w:rFonts w:hint="eastAsia" w:ascii="宋体" w:hAnsi="宋体" w:eastAsia="宋体" w:cs="宋体"/>
          <w:color w:val="auto"/>
          <w:sz w:val="24"/>
          <w:szCs w:val="24"/>
        </w:rPr>
        <w:t>“苏采云”系统</w:t>
      </w:r>
      <w:r>
        <w:rPr>
          <w:rFonts w:hint="eastAsia" w:ascii="宋体" w:hAnsi="宋体" w:eastAsia="宋体" w:cs="宋体"/>
          <w:bCs/>
          <w:color w:val="auto"/>
          <w:sz w:val="24"/>
          <w:szCs w:val="21"/>
        </w:rPr>
        <w:t>规定的时间内未成功解密电子响应文件的。</w:t>
      </w:r>
    </w:p>
    <w:p w14:paraId="3EE4D6E2">
      <w:pPr>
        <w:spacing w:line="480" w:lineRule="exact"/>
        <w:ind w:firstLine="480"/>
        <w:rPr>
          <w:rFonts w:hint="eastAsia" w:ascii="宋体" w:hAnsi="宋体" w:eastAsia="宋体" w:cs="宋体"/>
          <w:bCs/>
          <w:color w:val="auto"/>
          <w:sz w:val="24"/>
          <w:szCs w:val="21"/>
        </w:rPr>
      </w:pPr>
      <w:r>
        <w:rPr>
          <w:rFonts w:hint="eastAsia" w:ascii="宋体" w:hAnsi="宋体" w:eastAsia="宋体" w:cs="宋体"/>
          <w:bCs/>
          <w:color w:val="auto"/>
          <w:sz w:val="24"/>
          <w:szCs w:val="21"/>
        </w:rPr>
        <w:t>26.3.2供应商未按照采购文件要求上传电子响应文件的。</w:t>
      </w:r>
    </w:p>
    <w:p w14:paraId="7A0DF04E">
      <w:pPr>
        <w:spacing w:line="480" w:lineRule="exact"/>
        <w:ind w:firstLine="480"/>
        <w:rPr>
          <w:rFonts w:hint="eastAsia" w:ascii="宋体" w:hAnsi="宋体" w:eastAsia="宋体" w:cs="宋体"/>
          <w:bCs/>
          <w:sz w:val="24"/>
          <w:szCs w:val="21"/>
        </w:rPr>
      </w:pPr>
      <w:r>
        <w:rPr>
          <w:rFonts w:hint="eastAsia" w:ascii="宋体" w:hAnsi="宋体" w:eastAsia="宋体" w:cs="宋体"/>
          <w:bCs/>
          <w:color w:val="auto"/>
          <w:sz w:val="24"/>
          <w:szCs w:val="21"/>
        </w:rPr>
        <w:t>26.3.3供应商提交两个（含两个）以上</w:t>
      </w:r>
      <w:r>
        <w:rPr>
          <w:rFonts w:hint="eastAsia" w:ascii="宋体" w:hAnsi="宋体" w:eastAsia="宋体" w:cs="宋体"/>
          <w:bCs/>
          <w:sz w:val="24"/>
          <w:szCs w:val="21"/>
        </w:rPr>
        <w:t>不同的响应文件或者最后报价的。</w:t>
      </w:r>
    </w:p>
    <w:p w14:paraId="3B5A168E">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26.3.4供应商不具备采购文件中规定资格要求的。</w:t>
      </w:r>
    </w:p>
    <w:p w14:paraId="47D79055">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26.3.5供应商的最后报价超过了采购预算。</w:t>
      </w:r>
    </w:p>
    <w:p w14:paraId="60CE45AE">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26.3.6不符合采购文件中规定的实质性要求和条件的</w:t>
      </w:r>
      <w:r>
        <w:rPr>
          <w:rFonts w:hint="eastAsia" w:ascii="宋体" w:hAnsi="宋体" w:eastAsia="宋体" w:cs="宋体"/>
          <w:bCs/>
          <w:i/>
          <w:sz w:val="24"/>
          <w:szCs w:val="21"/>
          <w:u w:val="single"/>
        </w:rPr>
        <w:t>（本采购文件中斜体且有下划线部分为实质性要求和条件）。</w:t>
      </w:r>
    </w:p>
    <w:p w14:paraId="51B8B8AC">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CE9D962">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26.3.8响应文件含有采购人不能接受的附加条件的。</w:t>
      </w:r>
    </w:p>
    <w:p w14:paraId="7C6B9DAF">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26.3.9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p>
    <w:p w14:paraId="62FF0D45">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26.3.10响应文件未按照协商文件要求盖CA电子公章的。</w:t>
      </w:r>
    </w:p>
    <w:p w14:paraId="17CCD4CB">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26.4未实质性响应采购文件的响应文件按无效响应处理。</w:t>
      </w:r>
    </w:p>
    <w:p w14:paraId="314FC113">
      <w:pPr>
        <w:spacing w:line="480" w:lineRule="exact"/>
        <w:ind w:firstLine="480"/>
        <w:rPr>
          <w:rFonts w:hint="eastAsia" w:ascii="宋体" w:hAnsi="宋体" w:eastAsia="宋体" w:cs="宋体"/>
          <w:bCs/>
          <w:sz w:val="24"/>
          <w:szCs w:val="21"/>
        </w:rPr>
      </w:pPr>
      <w:r>
        <w:rPr>
          <w:rFonts w:hint="eastAsia" w:ascii="宋体" w:hAnsi="宋体" w:eastAsia="宋体" w:cs="宋体"/>
          <w:sz w:val="24"/>
          <w:szCs w:val="21"/>
        </w:rPr>
        <w:t>26.5</w:t>
      </w:r>
      <w:r>
        <w:rPr>
          <w:rFonts w:hint="eastAsia" w:ascii="宋体" w:hAnsi="宋体" w:eastAsia="宋体" w:cs="宋体"/>
          <w:bCs/>
          <w:sz w:val="24"/>
          <w:szCs w:val="21"/>
        </w:rPr>
        <w:t>如果响应文件实质上没有响应采购文件的要求，协商小组将予以拒绝。</w:t>
      </w:r>
    </w:p>
    <w:p w14:paraId="63CE904F">
      <w:pPr>
        <w:spacing w:line="480" w:lineRule="exact"/>
        <w:ind w:firstLine="480"/>
        <w:rPr>
          <w:rFonts w:hint="eastAsia" w:ascii="宋体" w:hAnsi="宋体" w:eastAsia="宋体" w:cs="宋体"/>
          <w:sz w:val="24"/>
          <w:szCs w:val="21"/>
        </w:rPr>
      </w:pPr>
      <w:bookmarkStart w:id="141" w:name="_Toc16938550"/>
      <w:bookmarkStart w:id="142" w:name="_Toc513029234"/>
      <w:bookmarkStart w:id="143" w:name="_Toc20823306"/>
      <w:r>
        <w:rPr>
          <w:rFonts w:hint="eastAsia" w:ascii="宋体" w:hAnsi="宋体" w:eastAsia="宋体" w:cs="宋体"/>
          <w:sz w:val="24"/>
          <w:szCs w:val="21"/>
        </w:rPr>
        <w:t>26.6供应商在项目评</w:t>
      </w:r>
      <w:r>
        <w:rPr>
          <w:rFonts w:hint="eastAsia" w:ascii="宋体" w:hAnsi="宋体" w:eastAsia="宋体" w:cs="宋体"/>
          <w:color w:val="auto"/>
          <w:sz w:val="24"/>
          <w:szCs w:val="21"/>
        </w:rPr>
        <w:t>审及协商全</w:t>
      </w:r>
      <w:r>
        <w:rPr>
          <w:rFonts w:hint="eastAsia" w:ascii="宋体" w:hAnsi="宋体" w:eastAsia="宋体" w:cs="宋体"/>
          <w:sz w:val="24"/>
          <w:szCs w:val="21"/>
        </w:rPr>
        <w:t>过程中应保持通讯畅通，并安排专人与采购代理机构及协商小组联系。</w:t>
      </w:r>
    </w:p>
    <w:p w14:paraId="30F0E3B5">
      <w:pPr>
        <w:keepNext/>
        <w:keepLines/>
        <w:spacing w:line="480" w:lineRule="exact"/>
        <w:ind w:firstLine="560"/>
        <w:outlineLvl w:val="3"/>
        <w:rPr>
          <w:rFonts w:hint="eastAsia" w:ascii="宋体" w:hAnsi="宋体" w:eastAsia="宋体" w:cs="宋体"/>
          <w:sz w:val="28"/>
          <w:szCs w:val="28"/>
        </w:rPr>
      </w:pPr>
      <w:r>
        <w:rPr>
          <w:rFonts w:hint="eastAsia" w:ascii="宋体" w:hAnsi="宋体" w:eastAsia="宋体" w:cs="宋体"/>
          <w:sz w:val="28"/>
          <w:szCs w:val="28"/>
        </w:rPr>
        <w:t>27、</w:t>
      </w:r>
      <w:bookmarkEnd w:id="141"/>
      <w:bookmarkEnd w:id="142"/>
      <w:bookmarkEnd w:id="143"/>
      <w:r>
        <w:rPr>
          <w:rFonts w:hint="eastAsia" w:ascii="宋体" w:hAnsi="宋体" w:eastAsia="宋体" w:cs="宋体"/>
          <w:sz w:val="28"/>
          <w:szCs w:val="28"/>
        </w:rPr>
        <w:t>单一来源协商及成交原则</w:t>
      </w:r>
    </w:p>
    <w:p w14:paraId="3568E0F1">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27.1单一来源协商</w:t>
      </w:r>
    </w:p>
    <w:p w14:paraId="2E8BB37B">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27.1.1对于通过资格审查和符合性审查的供应商，协商小组将通过</w:t>
      </w:r>
      <w:r>
        <w:rPr>
          <w:rFonts w:hint="eastAsia" w:ascii="宋体" w:hAnsi="宋体" w:eastAsia="宋体" w:cs="宋体"/>
          <w:sz w:val="24"/>
          <w:szCs w:val="24"/>
        </w:rPr>
        <w:t>”苏采云”平台</w:t>
      </w:r>
      <w:r>
        <w:rPr>
          <w:rFonts w:hint="eastAsia" w:ascii="宋体" w:hAnsi="宋体" w:eastAsia="宋体" w:cs="宋体"/>
          <w:bCs/>
          <w:sz w:val="24"/>
          <w:szCs w:val="21"/>
        </w:rPr>
        <w:t>与其就采购标的的价格、服务等内容进行单一来源协商。</w:t>
      </w:r>
    </w:p>
    <w:p w14:paraId="7626424E">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27.1.2</w:t>
      </w:r>
      <w:r>
        <w:rPr>
          <w:rFonts w:hint="eastAsia" w:ascii="宋体" w:hAnsi="宋体" w:eastAsia="宋体" w:cs="宋体"/>
          <w:sz w:val="24"/>
          <w:szCs w:val="21"/>
        </w:rPr>
        <w:t>供应商应当在</w:t>
      </w:r>
      <w:r>
        <w:rPr>
          <w:rFonts w:hint="eastAsia" w:ascii="宋体" w:hAnsi="宋体" w:eastAsia="宋体" w:cs="宋体"/>
          <w:sz w:val="24"/>
          <w:szCs w:val="21"/>
          <w:lang w:eastAsia="zh-CN"/>
        </w:rPr>
        <w:t>“</w:t>
      </w:r>
      <w:r>
        <w:rPr>
          <w:rFonts w:hint="eastAsia" w:ascii="宋体" w:hAnsi="宋体" w:eastAsia="宋体" w:cs="宋体"/>
          <w:sz w:val="24"/>
          <w:szCs w:val="24"/>
        </w:rPr>
        <w:t>苏采云”平台中</w:t>
      </w:r>
      <w:r>
        <w:rPr>
          <w:rFonts w:hint="eastAsia" w:ascii="宋体" w:hAnsi="宋体" w:eastAsia="宋体" w:cs="宋体"/>
          <w:sz w:val="24"/>
          <w:szCs w:val="21"/>
        </w:rPr>
        <w:t>以书面形式对协商过程中做出的承诺与澄清进行确认，并在协商小组规定的时间内完成最后报价。</w:t>
      </w:r>
    </w:p>
    <w:p w14:paraId="12A08950">
      <w:pPr>
        <w:spacing w:line="480" w:lineRule="exact"/>
        <w:ind w:firstLine="480"/>
        <w:rPr>
          <w:rFonts w:hint="eastAsia" w:ascii="宋体" w:hAnsi="宋体" w:eastAsia="宋体" w:cs="宋体"/>
          <w:bCs/>
          <w:color w:val="EE0000"/>
          <w:sz w:val="24"/>
          <w:szCs w:val="21"/>
        </w:rPr>
      </w:pPr>
      <w:r>
        <w:rPr>
          <w:rFonts w:hint="eastAsia" w:ascii="宋体" w:hAnsi="宋体" w:eastAsia="宋体" w:cs="宋体"/>
          <w:bCs/>
          <w:sz w:val="24"/>
          <w:szCs w:val="21"/>
        </w:rPr>
        <w:t>27.1.3</w:t>
      </w:r>
      <w:r>
        <w:rPr>
          <w:rFonts w:hint="eastAsia" w:ascii="宋体" w:hAnsi="宋体" w:eastAsia="宋体" w:cs="宋体"/>
          <w:sz w:val="24"/>
          <w:szCs w:val="21"/>
          <w:u w:val="single"/>
        </w:rPr>
        <w:t>供应商的最后报价在响应</w:t>
      </w:r>
      <w:r>
        <w:rPr>
          <w:rFonts w:hint="eastAsia" w:ascii="宋体" w:hAnsi="宋体" w:eastAsia="宋体" w:cs="宋体"/>
          <w:sz w:val="24"/>
          <w:szCs w:val="21"/>
          <w:u w:val="single"/>
          <w:lang w:val="en-US" w:eastAsia="zh-CN"/>
        </w:rPr>
        <w:t>服务要求</w:t>
      </w:r>
      <w:r>
        <w:rPr>
          <w:rFonts w:hint="eastAsia" w:ascii="宋体" w:hAnsi="宋体" w:eastAsia="宋体" w:cs="宋体"/>
          <w:sz w:val="24"/>
          <w:szCs w:val="21"/>
          <w:u w:val="single"/>
        </w:rPr>
        <w:t>没有增加，</w:t>
      </w:r>
      <w:r>
        <w:rPr>
          <w:rFonts w:hint="eastAsia" w:ascii="宋体" w:hAnsi="宋体" w:eastAsia="宋体" w:cs="宋体"/>
          <w:sz w:val="24"/>
          <w:szCs w:val="21"/>
          <w:u w:val="single"/>
          <w:lang w:val="en-US" w:eastAsia="zh-CN"/>
        </w:rPr>
        <w:t>人员</w:t>
      </w:r>
      <w:r>
        <w:rPr>
          <w:rFonts w:hint="eastAsia" w:ascii="宋体" w:hAnsi="宋体" w:eastAsia="宋体" w:cs="宋体"/>
          <w:sz w:val="24"/>
          <w:szCs w:val="21"/>
          <w:u w:val="single"/>
        </w:rPr>
        <w:t>配置、服务没有重大提高的情况下，一般不允许高于第一次报价（即单一来源协商分项报价表</w:t>
      </w:r>
      <w:r>
        <w:rPr>
          <w:rFonts w:hint="eastAsia" w:ascii="宋体" w:hAnsi="宋体" w:eastAsia="宋体" w:cs="宋体"/>
          <w:bCs/>
          <w:sz w:val="24"/>
          <w:szCs w:val="21"/>
          <w:u w:val="single"/>
        </w:rPr>
        <w:t>中的</w:t>
      </w:r>
      <w:r>
        <w:rPr>
          <w:rFonts w:hint="eastAsia" w:ascii="宋体" w:hAnsi="宋体" w:eastAsia="宋体" w:cs="宋体"/>
          <w:sz w:val="24"/>
          <w:szCs w:val="21"/>
          <w:u w:val="single"/>
        </w:rPr>
        <w:t>报价）。否则，协商小组有权拒绝该最后报价并不再给予报</w:t>
      </w:r>
      <w:r>
        <w:rPr>
          <w:rFonts w:hint="eastAsia" w:ascii="宋体" w:hAnsi="宋体" w:eastAsia="宋体" w:cs="宋体"/>
          <w:color w:val="auto"/>
          <w:sz w:val="24"/>
          <w:szCs w:val="21"/>
          <w:u w:val="single"/>
        </w:rPr>
        <w:t>价机会。</w:t>
      </w:r>
    </w:p>
    <w:p w14:paraId="44C8B608">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27.2成交原则</w:t>
      </w:r>
    </w:p>
    <w:p w14:paraId="1D857AA3">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协商小组根据政府采购相关法律、规章的规定，在供应商的响应情况能保证采购项目质量且最后报价合理的基础上确定其为成交供应商。</w:t>
      </w:r>
    </w:p>
    <w:p w14:paraId="7AD8A983">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27.3单一来源协商终止情形处理</w:t>
      </w:r>
    </w:p>
    <w:p w14:paraId="39E98CAA">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出现下列情形之一的，采购代理机构将终止采购活动，发布项目终止公告并说明原因，重新开展采购活动：</w:t>
      </w:r>
    </w:p>
    <w:p w14:paraId="0A840DAB">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27.3.1 因情况变化，不再符合规定的单一来源采购方式适用情形的；</w:t>
      </w:r>
    </w:p>
    <w:p w14:paraId="205AF435">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27.3.2 出现影响采购公正的违法、违规行为的；</w:t>
      </w:r>
    </w:p>
    <w:p w14:paraId="7761894E">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27.3.3供应商最后报价超过采购预算的；</w:t>
      </w:r>
    </w:p>
    <w:p w14:paraId="38DDA304">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27.3.4供应商的技术方案、服务承诺、商务条款等不能满足采购人或协商小组的要求；</w:t>
      </w:r>
    </w:p>
    <w:p w14:paraId="70558BCC">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 xml:space="preserve">27.3.5 </w:t>
      </w:r>
      <w:r>
        <w:rPr>
          <w:rFonts w:hint="eastAsia" w:ascii="宋体" w:hAnsi="宋体" w:eastAsia="宋体" w:cs="宋体"/>
          <w:sz w:val="24"/>
          <w:szCs w:val="24"/>
        </w:rPr>
        <w:t>法律、法规、规章规定的其他应当终止的情形。</w:t>
      </w:r>
    </w:p>
    <w:p w14:paraId="603B466F">
      <w:pPr>
        <w:keepNext/>
        <w:keepLines/>
        <w:spacing w:line="480" w:lineRule="exact"/>
        <w:ind w:firstLine="643"/>
        <w:outlineLvl w:val="2"/>
        <w:rPr>
          <w:rFonts w:hint="eastAsia" w:ascii="宋体" w:hAnsi="宋体" w:eastAsia="宋体" w:cs="宋体"/>
          <w:b/>
          <w:bCs/>
          <w:sz w:val="32"/>
          <w:szCs w:val="32"/>
        </w:rPr>
      </w:pPr>
      <w:r>
        <w:rPr>
          <w:rFonts w:hint="eastAsia" w:ascii="宋体" w:hAnsi="宋体" w:eastAsia="宋体" w:cs="宋体"/>
          <w:b/>
          <w:bCs/>
          <w:sz w:val="32"/>
          <w:szCs w:val="32"/>
        </w:rPr>
        <w:t>六、成交</w:t>
      </w:r>
    </w:p>
    <w:p w14:paraId="3986B4EA">
      <w:pPr>
        <w:keepNext/>
        <w:keepLines/>
        <w:spacing w:line="480" w:lineRule="exact"/>
        <w:ind w:firstLine="560"/>
        <w:outlineLvl w:val="3"/>
        <w:rPr>
          <w:rFonts w:hint="eastAsia" w:ascii="宋体" w:hAnsi="宋体" w:eastAsia="宋体" w:cs="宋体"/>
          <w:sz w:val="28"/>
          <w:szCs w:val="28"/>
        </w:rPr>
      </w:pPr>
      <w:r>
        <w:rPr>
          <w:rFonts w:hint="eastAsia" w:ascii="宋体" w:hAnsi="宋体" w:eastAsia="宋体" w:cs="宋体"/>
          <w:sz w:val="28"/>
          <w:szCs w:val="28"/>
        </w:rPr>
        <w:t>28、确定成交供应商</w:t>
      </w:r>
    </w:p>
    <w:p w14:paraId="71ADAF51">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28.1协商小组根据协商情况编写单一来源评审报告，推荐成交候选供应商。</w:t>
      </w:r>
    </w:p>
    <w:p w14:paraId="3ADABCA2">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28.2 采购人根据协商小组推荐的成交候选供应商确定成交供应商。</w:t>
      </w:r>
    </w:p>
    <w:p w14:paraId="63E03403">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28.3 若有充分证据证明，成交供应商出现下列情况之一的，一经查实，将被取消成交资格：</w:t>
      </w:r>
    </w:p>
    <w:p w14:paraId="1238C486">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28.3.1提供虚假材料谋取成交的。</w:t>
      </w:r>
    </w:p>
    <w:p w14:paraId="506EA01A">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28.3.2与评审专家、采购人、其他供应商或者采购代理机构工作人员恶意串通的。</w:t>
      </w:r>
    </w:p>
    <w:p w14:paraId="3F924EB9">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28.3.3向评审专家、采购人或采购代理机构工作人员行贿或者提供其他不正当利益的。</w:t>
      </w:r>
    </w:p>
    <w:p w14:paraId="77697832">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28.3.4恶意竞争，最后报价明显低于其自身合理成本且又无法提供证明的。</w:t>
      </w:r>
    </w:p>
    <w:p w14:paraId="7B41509E">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28.3.5不满足本采购文件规定的实质性要求，但在评审过程中又未被协商小组发现的。</w:t>
      </w:r>
    </w:p>
    <w:p w14:paraId="4EC49A5C">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28.3.6成交后无正当理由拒不与采购人签订政府采购合同或者未按照采购文件确定的事项签订政府采购合同的。</w:t>
      </w:r>
    </w:p>
    <w:p w14:paraId="774FEC74">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28.3.7将政府采购合同转包的。</w:t>
      </w:r>
    </w:p>
    <w:p w14:paraId="779304DA">
      <w:pPr>
        <w:spacing w:line="480" w:lineRule="exact"/>
        <w:ind w:firstLine="480"/>
        <w:rPr>
          <w:rFonts w:hint="eastAsia" w:ascii="宋体" w:hAnsi="宋体" w:eastAsia="宋体" w:cs="宋体"/>
          <w:bCs/>
          <w:sz w:val="24"/>
          <w:szCs w:val="21"/>
        </w:rPr>
      </w:pPr>
      <w:r>
        <w:rPr>
          <w:rFonts w:hint="eastAsia" w:ascii="宋体" w:hAnsi="宋体" w:eastAsia="宋体" w:cs="宋体"/>
          <w:bCs/>
          <w:sz w:val="24"/>
          <w:szCs w:val="21"/>
        </w:rPr>
        <w:t>成交供应商被取消成交资格后，采购代理机构有权重新组织采购。</w:t>
      </w:r>
    </w:p>
    <w:p w14:paraId="6A7AFAFB">
      <w:pPr>
        <w:keepNext/>
        <w:keepLines/>
        <w:spacing w:line="480" w:lineRule="exact"/>
        <w:ind w:firstLine="600"/>
        <w:outlineLvl w:val="3"/>
        <w:rPr>
          <w:rFonts w:hint="eastAsia" w:ascii="宋体" w:hAnsi="宋体" w:eastAsia="宋体" w:cs="宋体"/>
          <w:bCs/>
          <w:sz w:val="30"/>
          <w:szCs w:val="30"/>
        </w:rPr>
      </w:pPr>
      <w:bookmarkStart w:id="144" w:name="_Toc200451960"/>
      <w:r>
        <w:rPr>
          <w:rFonts w:hint="eastAsia" w:ascii="宋体" w:hAnsi="宋体" w:eastAsia="宋体" w:cs="宋体"/>
          <w:bCs/>
          <w:sz w:val="30"/>
          <w:szCs w:val="30"/>
        </w:rPr>
        <w:t>29、质疑处理</w:t>
      </w:r>
      <w:bookmarkEnd w:id="144"/>
    </w:p>
    <w:p w14:paraId="71B36AB1">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29.1供应商认为采购过程和采购结果使自己的权益受到损害的，可以从采购结果公布之日起七个工作日内，</w:t>
      </w:r>
      <w:bookmarkStart w:id="145" w:name="OLE_LINK2"/>
      <w:r>
        <w:rPr>
          <w:rFonts w:hint="eastAsia" w:ascii="宋体" w:hAnsi="宋体" w:eastAsia="宋体" w:cs="宋体"/>
          <w:b/>
          <w:bCs/>
          <w:sz w:val="24"/>
        </w:rPr>
        <w:t>登录“苏采云”系统，从“项目质疑申请”模块向采购人</w:t>
      </w:r>
      <w:r>
        <w:rPr>
          <w:rFonts w:hint="eastAsia" w:ascii="宋体" w:hAnsi="宋体" w:eastAsia="宋体" w:cs="宋体"/>
          <w:b/>
          <w:bCs/>
          <w:sz w:val="24"/>
          <w:lang w:val="en-US" w:eastAsia="zh-CN"/>
        </w:rPr>
        <w:t>或采购代理机构</w:t>
      </w:r>
      <w:r>
        <w:rPr>
          <w:rFonts w:hint="eastAsia" w:ascii="宋体" w:hAnsi="宋体" w:eastAsia="宋体" w:cs="宋体"/>
          <w:b/>
          <w:bCs/>
          <w:sz w:val="24"/>
        </w:rPr>
        <w:t>提出质疑</w:t>
      </w:r>
      <w:bookmarkEnd w:id="145"/>
      <w:r>
        <w:rPr>
          <w:rFonts w:hint="eastAsia" w:ascii="宋体" w:hAnsi="宋体" w:eastAsia="宋体" w:cs="宋体"/>
          <w:b/>
          <w:bCs/>
          <w:sz w:val="24"/>
        </w:rPr>
        <w:t>。</w:t>
      </w:r>
      <w:bookmarkStart w:id="146" w:name="OLE_LINK1"/>
      <w:r>
        <w:rPr>
          <w:rFonts w:hint="eastAsia" w:ascii="宋体" w:hAnsi="宋体" w:eastAsia="宋体" w:cs="宋体"/>
          <w:sz w:val="24"/>
        </w:rPr>
        <w:t>质疑联系部门、联系电话、通讯地址详见采购公告。</w:t>
      </w:r>
      <w:bookmarkEnd w:id="146"/>
    </w:p>
    <w:p w14:paraId="3D403707">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29.2 供应商应当在法定质疑期内一次性提出针对同一采购程序环节的质疑。供应商如在法定期限内对同一采购程序环节提出多次质疑的，采购代理机构、采购人将只对供应商第一次质疑作出答复。</w:t>
      </w:r>
    </w:p>
    <w:p w14:paraId="0C53E1E0">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29.3质疑函必须按照本采购文件中《质疑函范本》要求的格式和内容进行填写。供应商如组成联合体参加协商，则《质疑函范本》中要求签字、盖章、盖公章之处，联合体各方均须按要求签字、盖章、盖公章。</w:t>
      </w:r>
    </w:p>
    <w:p w14:paraId="1438651B">
      <w:pPr>
        <w:spacing w:line="480" w:lineRule="exact"/>
        <w:ind w:firstLine="480"/>
        <w:rPr>
          <w:rFonts w:hint="eastAsia" w:ascii="宋体" w:hAnsi="宋体" w:eastAsia="宋体" w:cs="宋体"/>
          <w:sz w:val="24"/>
          <w:szCs w:val="22"/>
          <w:u w:val="single"/>
        </w:rPr>
      </w:pPr>
      <w:r>
        <w:rPr>
          <w:rFonts w:hint="eastAsia" w:ascii="宋体" w:hAnsi="宋体" w:eastAsia="宋体" w:cs="宋体"/>
          <w:sz w:val="24"/>
          <w:szCs w:val="24"/>
        </w:rPr>
        <w:t>29.4</w:t>
      </w:r>
      <w:r>
        <w:rPr>
          <w:rFonts w:hint="eastAsia" w:ascii="宋体" w:hAnsi="宋体" w:eastAsia="宋体" w:cs="宋体"/>
          <w:sz w:val="24"/>
        </w:rPr>
        <w:t>采购人在收到质疑函后7个工作日内作出答复，并以书面形式通知质疑供应商和其他有关供应商，但质疑答复的内容不涉及商业秘密。</w:t>
      </w:r>
    </w:p>
    <w:p w14:paraId="5268638A">
      <w:pPr>
        <w:keepNext/>
        <w:keepLines/>
        <w:spacing w:line="480" w:lineRule="exact"/>
        <w:ind w:firstLine="600"/>
        <w:outlineLvl w:val="3"/>
        <w:rPr>
          <w:rFonts w:hint="eastAsia" w:ascii="宋体" w:hAnsi="宋体" w:eastAsia="宋体" w:cs="宋体"/>
          <w:bCs/>
          <w:sz w:val="30"/>
          <w:szCs w:val="30"/>
        </w:rPr>
      </w:pPr>
      <w:r>
        <w:rPr>
          <w:rFonts w:hint="eastAsia" w:ascii="宋体" w:hAnsi="宋体" w:eastAsia="宋体" w:cs="宋体"/>
          <w:bCs/>
          <w:sz w:val="30"/>
          <w:szCs w:val="30"/>
        </w:rPr>
        <w:t>30、成交通知书</w:t>
      </w:r>
    </w:p>
    <w:p w14:paraId="06732E84">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30.1成交结果确定后，采购代理机构将向成交</w:t>
      </w:r>
      <w:r>
        <w:rPr>
          <w:rFonts w:hint="eastAsia" w:ascii="宋体" w:hAnsi="宋体" w:eastAsia="宋体" w:cs="宋体"/>
          <w:sz w:val="24"/>
          <w:szCs w:val="24"/>
          <w:lang w:val="en-US" w:eastAsia="zh-CN"/>
        </w:rPr>
        <w:t>供应商</w:t>
      </w:r>
      <w:r>
        <w:rPr>
          <w:rFonts w:hint="eastAsia" w:ascii="宋体" w:hAnsi="宋体" w:eastAsia="宋体" w:cs="宋体"/>
          <w:sz w:val="24"/>
          <w:szCs w:val="24"/>
        </w:rPr>
        <w:t>发出成交通知书。成交供应商使用CA数字证书登录“苏采云”系统及时下载成交通知书。成交供应商可自行下载打印《成交通知书》，《成交通知书》将作为授予合同资格的唯一合法依据。</w:t>
      </w:r>
    </w:p>
    <w:p w14:paraId="044D3706">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35B3DDB7">
      <w:pPr>
        <w:keepNext/>
        <w:keepLines/>
        <w:spacing w:line="480" w:lineRule="exact"/>
        <w:ind w:firstLine="643"/>
        <w:outlineLvl w:val="2"/>
        <w:rPr>
          <w:rFonts w:hint="eastAsia" w:ascii="宋体" w:hAnsi="宋体" w:eastAsia="宋体" w:cs="宋体"/>
          <w:b/>
          <w:bCs/>
          <w:sz w:val="32"/>
          <w:szCs w:val="32"/>
        </w:rPr>
      </w:pPr>
      <w:bookmarkStart w:id="147" w:name="_Toc120614220"/>
      <w:bookmarkStart w:id="148" w:name="_Toc513029236"/>
      <w:bookmarkStart w:id="149" w:name="_Toc20823308"/>
      <w:bookmarkStart w:id="150" w:name="_Toc16938552"/>
      <w:r>
        <w:rPr>
          <w:rFonts w:hint="eastAsia" w:ascii="宋体" w:hAnsi="宋体" w:eastAsia="宋体" w:cs="宋体"/>
          <w:b/>
          <w:bCs/>
          <w:sz w:val="32"/>
          <w:szCs w:val="32"/>
        </w:rPr>
        <w:t>七、授予合同</w:t>
      </w:r>
      <w:bookmarkEnd w:id="147"/>
      <w:bookmarkEnd w:id="148"/>
      <w:bookmarkEnd w:id="149"/>
      <w:bookmarkEnd w:id="150"/>
    </w:p>
    <w:p w14:paraId="61AF1B64">
      <w:pPr>
        <w:keepNext/>
        <w:keepLines/>
        <w:spacing w:line="480" w:lineRule="exact"/>
        <w:ind w:firstLine="600"/>
        <w:outlineLvl w:val="3"/>
        <w:rPr>
          <w:rFonts w:hint="eastAsia" w:ascii="宋体" w:hAnsi="宋体" w:eastAsia="宋体" w:cs="宋体"/>
          <w:bCs/>
          <w:sz w:val="30"/>
          <w:szCs w:val="30"/>
        </w:rPr>
      </w:pPr>
      <w:bookmarkStart w:id="151" w:name="_Toc513029237"/>
      <w:bookmarkStart w:id="152" w:name="_Toc20823309"/>
      <w:bookmarkStart w:id="153" w:name="_Toc16938553"/>
      <w:r>
        <w:rPr>
          <w:rFonts w:hint="eastAsia" w:ascii="宋体" w:hAnsi="宋体" w:eastAsia="宋体" w:cs="宋体"/>
          <w:bCs/>
          <w:sz w:val="30"/>
          <w:szCs w:val="30"/>
        </w:rPr>
        <w:t>31.签订合同</w:t>
      </w:r>
    </w:p>
    <w:p w14:paraId="48E78E95">
      <w:pPr>
        <w:spacing w:line="480" w:lineRule="exact"/>
        <w:ind w:firstLine="480"/>
        <w:rPr>
          <w:rFonts w:hint="eastAsia" w:ascii="宋体" w:hAnsi="宋体" w:eastAsia="宋体" w:cs="宋体"/>
          <w:sz w:val="24"/>
          <w:szCs w:val="24"/>
        </w:rPr>
      </w:pPr>
      <w:r>
        <w:rPr>
          <w:rFonts w:hint="eastAsia" w:ascii="宋体" w:hAnsi="宋体" w:eastAsia="宋体" w:cs="宋体"/>
          <w:bCs/>
          <w:sz w:val="24"/>
          <w:szCs w:val="24"/>
        </w:rPr>
        <w:t>31</w:t>
      </w:r>
      <w:r>
        <w:rPr>
          <w:rFonts w:hint="eastAsia" w:ascii="宋体" w:hAnsi="宋体" w:eastAsia="宋体" w:cs="宋体"/>
          <w:sz w:val="24"/>
          <w:szCs w:val="24"/>
        </w:rPr>
        <w:t>.l成交供应商应当在成交通知书发出之日起十五日内，按照采购文件确定的事项与采购人签订政府采购合同。</w:t>
      </w:r>
    </w:p>
    <w:p w14:paraId="76E27AD9">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31.2采购文件、成交供应商的响应文件及协商过程中有关澄清、承诺文件均应作为合同附件。</w:t>
      </w:r>
    </w:p>
    <w:p w14:paraId="289D76A6">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31.3签订合同后，</w:t>
      </w:r>
      <w:r>
        <w:rPr>
          <w:rFonts w:hint="eastAsia" w:ascii="宋体" w:hAnsi="宋体" w:eastAsia="宋体" w:cs="宋体"/>
          <w:i/>
          <w:sz w:val="24"/>
          <w:szCs w:val="24"/>
          <w:u w:val="single"/>
        </w:rPr>
        <w:t>成交供应商不得将合同标的进行转包</w:t>
      </w:r>
      <w:r>
        <w:rPr>
          <w:rFonts w:hint="eastAsia" w:ascii="宋体" w:hAnsi="宋体" w:eastAsia="宋体" w:cs="宋体"/>
          <w:sz w:val="24"/>
          <w:szCs w:val="24"/>
        </w:rPr>
        <w:t>。</w:t>
      </w:r>
      <w:r>
        <w:rPr>
          <w:rFonts w:hint="eastAsia" w:ascii="宋体" w:hAnsi="宋体" w:eastAsia="宋体" w:cs="宋体"/>
          <w:color w:val="auto"/>
          <w:sz w:val="24"/>
          <w:szCs w:val="24"/>
        </w:rPr>
        <w:t>未经采购人同意，成交</w:t>
      </w:r>
      <w:r>
        <w:rPr>
          <w:rFonts w:hint="eastAsia" w:ascii="宋体" w:hAnsi="宋体" w:eastAsia="宋体" w:cs="宋体"/>
          <w:sz w:val="24"/>
          <w:szCs w:val="24"/>
        </w:rPr>
        <w:t>供应商也不得采用分包形式履行合同,否则采购人有权终止合同。转包或分包造成采购人损失的，成交供应商应承担相应赔偿责任。</w:t>
      </w:r>
    </w:p>
    <w:p w14:paraId="6625163B">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31.4</w:t>
      </w:r>
      <w:r>
        <w:rPr>
          <w:rFonts w:hint="eastAsia" w:ascii="宋体" w:hAnsi="宋体" w:eastAsia="宋体" w:cs="宋体"/>
          <w:sz w:val="24"/>
        </w:rPr>
        <w:t>采购人在自合同签订之日起2个工作日内，将合同在指定的媒体上公告。</w:t>
      </w:r>
      <w:bookmarkEnd w:id="151"/>
      <w:bookmarkEnd w:id="152"/>
      <w:bookmarkEnd w:id="153"/>
    </w:p>
    <w:p w14:paraId="4B872F2B">
      <w:pPr>
        <w:keepNext/>
        <w:keepLines/>
        <w:spacing w:line="480" w:lineRule="exact"/>
        <w:ind w:firstLine="600"/>
        <w:outlineLvl w:val="3"/>
        <w:rPr>
          <w:rFonts w:hint="eastAsia" w:ascii="宋体" w:hAnsi="宋体" w:eastAsia="宋体" w:cs="宋体"/>
          <w:bCs/>
          <w:sz w:val="30"/>
          <w:szCs w:val="30"/>
        </w:rPr>
      </w:pPr>
      <w:bookmarkStart w:id="154" w:name="_Toc479757207"/>
      <w:bookmarkStart w:id="155" w:name="_Toc20823314"/>
      <w:bookmarkStart w:id="156" w:name="_Toc513029242"/>
      <w:bookmarkStart w:id="157" w:name="_Toc16938558"/>
      <w:bookmarkStart w:id="158" w:name="_Toc120614221"/>
      <w:r>
        <w:rPr>
          <w:rFonts w:hint="eastAsia" w:ascii="宋体" w:hAnsi="宋体" w:eastAsia="宋体" w:cs="宋体"/>
          <w:bCs/>
          <w:sz w:val="30"/>
          <w:szCs w:val="30"/>
        </w:rPr>
        <w:t>32、标的物的追加</w:t>
      </w:r>
    </w:p>
    <w:p w14:paraId="44DFEBF7">
      <w:pPr>
        <w:spacing w:line="480" w:lineRule="exact"/>
        <w:ind w:firstLine="480"/>
        <w:rPr>
          <w:rFonts w:hint="eastAsia" w:ascii="宋体" w:hAnsi="宋体" w:eastAsia="宋体" w:cs="宋体"/>
          <w:bCs/>
          <w:sz w:val="30"/>
          <w:szCs w:val="30"/>
        </w:rPr>
      </w:pPr>
      <w:r>
        <w:rPr>
          <w:rFonts w:hint="eastAsia" w:ascii="宋体" w:hAnsi="宋体" w:eastAsia="宋体" w:cs="宋体"/>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2593C56F">
      <w:pPr>
        <w:spacing w:line="480" w:lineRule="exact"/>
        <w:ind w:firstLine="600"/>
        <w:rPr>
          <w:rFonts w:hint="eastAsia" w:ascii="宋体" w:hAnsi="宋体" w:eastAsia="宋体" w:cs="宋体"/>
          <w:bCs/>
          <w:sz w:val="30"/>
          <w:szCs w:val="30"/>
        </w:rPr>
      </w:pPr>
      <w:r>
        <w:rPr>
          <w:rFonts w:hint="eastAsia" w:ascii="宋体" w:hAnsi="宋体" w:eastAsia="宋体" w:cs="宋体"/>
          <w:bCs/>
          <w:sz w:val="30"/>
          <w:szCs w:val="30"/>
        </w:rPr>
        <w:t>3</w:t>
      </w:r>
      <w:r>
        <w:rPr>
          <w:rFonts w:hint="eastAsia" w:ascii="宋体" w:hAnsi="宋体" w:eastAsia="宋体" w:cs="宋体"/>
          <w:bCs/>
          <w:sz w:val="30"/>
          <w:szCs w:val="30"/>
          <w:lang w:val="en-US" w:eastAsia="zh-CN"/>
        </w:rPr>
        <w:t>3</w:t>
      </w:r>
      <w:r>
        <w:rPr>
          <w:rFonts w:hint="eastAsia" w:ascii="宋体" w:hAnsi="宋体" w:eastAsia="宋体" w:cs="宋体"/>
          <w:bCs/>
          <w:sz w:val="30"/>
          <w:szCs w:val="30"/>
        </w:rPr>
        <w:t>、履约保证金</w:t>
      </w:r>
    </w:p>
    <w:p w14:paraId="391956E7">
      <w:pPr>
        <w:spacing w:line="480" w:lineRule="exact"/>
        <w:ind w:firstLine="480"/>
        <w:rPr>
          <w:rFonts w:hint="eastAsia" w:ascii="宋体" w:hAnsi="宋体" w:eastAsia="宋体" w:cs="宋体"/>
          <w:sz w:val="24"/>
          <w:lang w:val="zh-CN"/>
        </w:rPr>
      </w:pPr>
      <w:r>
        <w:rPr>
          <w:rFonts w:hint="eastAsia" w:ascii="宋体" w:hAnsi="宋体" w:eastAsia="宋体" w:cs="宋体"/>
          <w:sz w:val="24"/>
          <w:lang w:val="zh-CN"/>
        </w:rPr>
        <w:t>按照以下第（</w:t>
      </w:r>
      <w:r>
        <w:rPr>
          <w:rFonts w:hint="eastAsia" w:ascii="宋体" w:hAnsi="宋体" w:eastAsia="宋体" w:cs="宋体"/>
          <w:sz w:val="24"/>
          <w:lang w:val="en-US" w:eastAsia="zh-CN"/>
        </w:rPr>
        <w:t>2</w:t>
      </w:r>
      <w:r>
        <w:rPr>
          <w:rFonts w:hint="eastAsia" w:ascii="宋体" w:hAnsi="宋体" w:eastAsia="宋体" w:cs="宋体"/>
          <w:sz w:val="24"/>
          <w:lang w:val="zh-CN"/>
        </w:rPr>
        <w:t>）方式确定履约保证</w:t>
      </w:r>
      <w:r>
        <w:rPr>
          <w:rFonts w:hint="eastAsia" w:ascii="宋体" w:hAnsi="宋体" w:eastAsia="宋体" w:cs="宋体"/>
          <w:sz w:val="24"/>
        </w:rPr>
        <w:t>金</w:t>
      </w:r>
      <w:r>
        <w:rPr>
          <w:rFonts w:hint="eastAsia" w:ascii="宋体" w:hAnsi="宋体" w:eastAsia="宋体" w:cs="宋体"/>
          <w:sz w:val="24"/>
          <w:lang w:val="zh-CN"/>
        </w:rPr>
        <w:t>收取方式。</w:t>
      </w:r>
    </w:p>
    <w:p w14:paraId="6DB5E8A8">
      <w:pPr>
        <w:spacing w:line="480" w:lineRule="exact"/>
        <w:ind w:firstLine="480"/>
        <w:rPr>
          <w:rFonts w:hint="eastAsia" w:ascii="宋体" w:hAnsi="宋体" w:eastAsia="宋体" w:cs="宋体"/>
          <w:sz w:val="24"/>
        </w:rPr>
      </w:pPr>
      <w:r>
        <w:rPr>
          <w:rFonts w:hint="eastAsia" w:ascii="宋体" w:hAnsi="宋体" w:eastAsia="宋体" w:cs="宋体"/>
          <w:sz w:val="24"/>
        </w:rPr>
        <w:t>（1）本项目不收取履约保证金。</w:t>
      </w:r>
    </w:p>
    <w:p w14:paraId="0AB2E065">
      <w:pPr>
        <w:spacing w:line="480" w:lineRule="exact"/>
        <w:ind w:firstLine="480"/>
        <w:rPr>
          <w:rFonts w:hint="eastAsia" w:ascii="宋体" w:hAnsi="宋体" w:eastAsia="宋体" w:cs="宋体"/>
          <w:sz w:val="24"/>
        </w:rPr>
      </w:pPr>
      <w:r>
        <w:rPr>
          <w:rFonts w:hint="eastAsia" w:ascii="宋体" w:hAnsi="宋体" w:eastAsia="宋体" w:cs="宋体"/>
          <w:sz w:val="24"/>
        </w:rPr>
        <w:t>（2）本项目收取履约保证金。</w:t>
      </w:r>
    </w:p>
    <w:p w14:paraId="74F3DB4D">
      <w:pPr>
        <w:spacing w:line="480" w:lineRule="exact"/>
        <w:ind w:firstLine="480"/>
        <w:rPr>
          <w:rFonts w:hint="eastAsia" w:ascii="宋体" w:hAnsi="宋体" w:eastAsia="宋体" w:cs="宋体"/>
          <w:sz w:val="24"/>
        </w:rPr>
      </w:pPr>
      <w:r>
        <w:rPr>
          <w:rFonts w:hint="eastAsia" w:ascii="宋体" w:hAnsi="宋体" w:eastAsia="宋体" w:cs="宋体"/>
          <w:sz w:val="24"/>
          <w:lang w:val="en-US" w:eastAsia="zh-CN"/>
        </w:rPr>
        <w:t>33</w:t>
      </w:r>
      <w:r>
        <w:rPr>
          <w:rFonts w:hint="eastAsia" w:ascii="宋体" w:hAnsi="宋体" w:eastAsia="宋体" w:cs="宋体"/>
          <w:sz w:val="24"/>
        </w:rPr>
        <w:t>.1履约保证金提交形式</w:t>
      </w:r>
    </w:p>
    <w:p w14:paraId="593AAABB">
      <w:pPr>
        <w:spacing w:line="480" w:lineRule="exact"/>
        <w:ind w:firstLine="480"/>
        <w:rPr>
          <w:rFonts w:hint="eastAsia" w:ascii="宋体" w:hAnsi="宋体" w:eastAsia="宋体" w:cs="宋体"/>
          <w:sz w:val="24"/>
        </w:rPr>
      </w:pPr>
      <w:r>
        <w:rPr>
          <w:rFonts w:hint="eastAsia" w:ascii="宋体" w:hAnsi="宋体" w:eastAsia="宋体" w:cs="宋体"/>
          <w:sz w:val="24"/>
        </w:rPr>
        <w:t>履约保证金应在采购合同签订前提交，除银行电汇、网上银行、数字人民币外，供应商还可选用银行保函、担保公司的保证担保或保险公司的保证保险等多种形式向采购人缴纳。</w:t>
      </w:r>
    </w:p>
    <w:p w14:paraId="57A6A1A8">
      <w:pPr>
        <w:spacing w:line="480" w:lineRule="exact"/>
        <w:ind w:firstLine="480"/>
        <w:rPr>
          <w:rFonts w:hint="eastAsia" w:ascii="宋体" w:hAnsi="宋体" w:eastAsia="宋体" w:cs="宋体"/>
          <w:sz w:val="24"/>
        </w:rPr>
      </w:pPr>
      <w:r>
        <w:rPr>
          <w:rFonts w:hint="eastAsia" w:ascii="宋体" w:hAnsi="宋体" w:eastAsia="宋体" w:cs="宋体"/>
          <w:sz w:val="24"/>
          <w:lang w:val="en-US" w:eastAsia="zh-CN"/>
        </w:rPr>
        <w:t>33</w:t>
      </w:r>
      <w:r>
        <w:rPr>
          <w:rFonts w:hint="eastAsia" w:ascii="宋体" w:hAnsi="宋体" w:eastAsia="宋体" w:cs="宋体"/>
          <w:sz w:val="24"/>
        </w:rPr>
        <w:t>.2履约保证金提交金额</w:t>
      </w:r>
    </w:p>
    <w:p w14:paraId="47952FC2">
      <w:pPr>
        <w:spacing w:line="480" w:lineRule="exact"/>
        <w:ind w:firstLine="480"/>
        <w:rPr>
          <w:rFonts w:hint="eastAsia" w:ascii="宋体" w:hAnsi="宋体" w:eastAsia="宋体" w:cs="宋体"/>
          <w:sz w:val="24"/>
        </w:rPr>
      </w:pPr>
      <w:r>
        <w:rPr>
          <w:rFonts w:hint="eastAsia" w:ascii="宋体" w:hAnsi="宋体" w:eastAsia="宋体" w:cs="宋体"/>
          <w:sz w:val="24"/>
          <w:lang w:val="en-US" w:eastAsia="zh-CN"/>
        </w:rPr>
        <w:t>不收取履约保证金</w:t>
      </w:r>
      <w:r>
        <w:rPr>
          <w:rFonts w:hint="eastAsia" w:ascii="宋体" w:hAnsi="宋体" w:eastAsia="宋体" w:cs="宋体"/>
          <w:sz w:val="24"/>
        </w:rPr>
        <w:t>。</w:t>
      </w:r>
    </w:p>
    <w:p w14:paraId="32D6E69D">
      <w:pPr>
        <w:spacing w:line="480" w:lineRule="exact"/>
        <w:ind w:firstLine="480"/>
        <w:rPr>
          <w:rFonts w:hint="eastAsia" w:ascii="宋体" w:hAnsi="宋体" w:eastAsia="宋体" w:cs="宋体"/>
          <w:sz w:val="24"/>
        </w:rPr>
      </w:pPr>
      <w:r>
        <w:rPr>
          <w:rFonts w:hint="eastAsia" w:ascii="宋体" w:hAnsi="宋体" w:eastAsia="宋体" w:cs="宋体"/>
          <w:sz w:val="24"/>
        </w:rPr>
        <w:t xml:space="preserve">支持和鼓励成交供应商使用江苏政府采购电子履约保函（保险）代替缴纳履约保证金，成交供应商如使用江苏政府采购电子履约保函（保险）的，可按采购合同总价的 </w:t>
      </w:r>
      <w:r>
        <w:rPr>
          <w:rFonts w:hint="eastAsia" w:ascii="宋体" w:hAnsi="宋体" w:eastAsia="宋体" w:cs="宋体"/>
          <w:sz w:val="24"/>
          <w:lang w:val="en-US" w:eastAsia="zh-CN"/>
        </w:rPr>
        <w:t>3</w:t>
      </w:r>
      <w:r>
        <w:rPr>
          <w:rFonts w:hint="eastAsia" w:ascii="宋体" w:hAnsi="宋体" w:eastAsia="宋体" w:cs="宋体"/>
          <w:sz w:val="24"/>
        </w:rPr>
        <w:t>% （</w:t>
      </w:r>
      <w:bookmarkStart w:id="159" w:name="_Hlk187763955"/>
      <w:r>
        <w:rPr>
          <w:rFonts w:hint="eastAsia" w:ascii="宋体" w:hAnsi="宋体" w:eastAsia="宋体" w:cs="宋体"/>
          <w:sz w:val="24"/>
        </w:rPr>
        <w:t>履约保证金原提交金额的6折</w:t>
      </w:r>
      <w:bookmarkEnd w:id="159"/>
      <w:r>
        <w:rPr>
          <w:rFonts w:hint="eastAsia" w:ascii="宋体" w:hAnsi="宋体" w:eastAsia="宋体" w:cs="宋体"/>
          <w:sz w:val="24"/>
        </w:rPr>
        <w:t>）提交。</w:t>
      </w:r>
      <w:bookmarkStart w:id="160" w:name="_Hlk187842952"/>
      <w:r>
        <w:rPr>
          <w:rFonts w:hint="eastAsia" w:ascii="宋体" w:hAnsi="宋体" w:eastAsia="宋体" w:cs="宋体"/>
          <w:sz w:val="24"/>
        </w:rPr>
        <w:t>办理流程、偿付等内容见江苏政府采购网“保险保函”模块。</w:t>
      </w:r>
      <w:bookmarkEnd w:id="160"/>
    </w:p>
    <w:p w14:paraId="6E6DAF9F">
      <w:pPr>
        <w:spacing w:line="480" w:lineRule="exact"/>
        <w:ind w:firstLine="480"/>
        <w:rPr>
          <w:rFonts w:hint="eastAsia" w:ascii="宋体" w:hAnsi="宋体" w:eastAsia="宋体" w:cs="宋体"/>
          <w:sz w:val="24"/>
        </w:rPr>
      </w:pPr>
      <w:r>
        <w:rPr>
          <w:rFonts w:hint="eastAsia" w:ascii="宋体" w:hAnsi="宋体" w:eastAsia="宋体" w:cs="宋体"/>
          <w:sz w:val="24"/>
          <w:lang w:val="en-US" w:eastAsia="zh-CN"/>
        </w:rPr>
        <w:t>33</w:t>
      </w:r>
      <w:r>
        <w:rPr>
          <w:rFonts w:hint="eastAsia" w:ascii="宋体" w:hAnsi="宋体" w:eastAsia="宋体" w:cs="宋体"/>
          <w:sz w:val="24"/>
        </w:rPr>
        <w:t>.3履约保证金退还方式</w:t>
      </w:r>
    </w:p>
    <w:p w14:paraId="7AFEC83A">
      <w:pPr>
        <w:spacing w:line="480" w:lineRule="exact"/>
        <w:ind w:firstLine="480"/>
        <w:rPr>
          <w:rFonts w:hint="eastAsia" w:ascii="宋体" w:hAnsi="宋体" w:eastAsia="宋体" w:cs="宋体"/>
          <w:sz w:val="24"/>
        </w:rPr>
      </w:pPr>
      <w:r>
        <w:rPr>
          <w:rFonts w:hint="eastAsia" w:ascii="宋体" w:hAnsi="宋体" w:eastAsia="宋体" w:cs="宋体"/>
          <w:sz w:val="24"/>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4ECF8191">
      <w:pPr>
        <w:spacing w:line="480" w:lineRule="exact"/>
        <w:ind w:firstLine="480"/>
        <w:rPr>
          <w:rFonts w:hint="eastAsia" w:ascii="宋体" w:hAnsi="宋体" w:eastAsia="宋体" w:cs="宋体"/>
          <w:sz w:val="24"/>
        </w:rPr>
      </w:pPr>
      <w:r>
        <w:rPr>
          <w:rFonts w:hint="eastAsia" w:ascii="宋体" w:hAnsi="宋体" w:eastAsia="宋体" w:cs="宋体"/>
          <w:sz w:val="24"/>
          <w:lang w:val="en-US" w:eastAsia="zh-CN"/>
        </w:rPr>
        <w:t>33</w:t>
      </w:r>
      <w:r>
        <w:rPr>
          <w:rFonts w:hint="eastAsia" w:ascii="宋体" w:hAnsi="宋体" w:eastAsia="宋体" w:cs="宋体"/>
          <w:sz w:val="24"/>
        </w:rPr>
        <w:t>.4履约保证金退还条件</w:t>
      </w:r>
    </w:p>
    <w:p w14:paraId="56E8740F">
      <w:pPr>
        <w:spacing w:line="480" w:lineRule="exact"/>
        <w:ind w:firstLine="480"/>
        <w:rPr>
          <w:rFonts w:hint="eastAsia" w:ascii="宋体" w:hAnsi="宋体" w:eastAsia="宋体" w:cs="宋体"/>
          <w:sz w:val="24"/>
        </w:rPr>
      </w:pPr>
      <w:r>
        <w:rPr>
          <w:rFonts w:hint="eastAsia" w:ascii="宋体" w:hAnsi="宋体" w:eastAsia="宋体" w:cs="宋体"/>
          <w:sz w:val="24"/>
        </w:rPr>
        <w:t>具有验收合格相关证明材料。</w:t>
      </w:r>
    </w:p>
    <w:p w14:paraId="0E65E8E6">
      <w:pPr>
        <w:spacing w:line="480" w:lineRule="exact"/>
        <w:ind w:firstLine="480"/>
        <w:rPr>
          <w:rFonts w:hint="eastAsia" w:ascii="宋体" w:hAnsi="宋体" w:eastAsia="宋体" w:cs="宋体"/>
          <w:sz w:val="24"/>
        </w:rPr>
      </w:pPr>
      <w:r>
        <w:rPr>
          <w:rFonts w:hint="eastAsia" w:ascii="宋体" w:hAnsi="宋体" w:eastAsia="宋体" w:cs="宋体"/>
          <w:sz w:val="24"/>
          <w:lang w:val="en-US" w:eastAsia="zh-CN"/>
        </w:rPr>
        <w:t>33</w:t>
      </w:r>
      <w:r>
        <w:rPr>
          <w:rFonts w:hint="eastAsia" w:ascii="宋体" w:hAnsi="宋体" w:eastAsia="宋体" w:cs="宋体"/>
          <w:sz w:val="24"/>
        </w:rPr>
        <w:t>.5履约保证金退还时间</w:t>
      </w:r>
    </w:p>
    <w:p w14:paraId="6DDF6E40">
      <w:pPr>
        <w:spacing w:line="480" w:lineRule="exact"/>
        <w:ind w:firstLine="480"/>
        <w:rPr>
          <w:rFonts w:hint="eastAsia" w:ascii="宋体" w:hAnsi="宋体" w:eastAsia="宋体" w:cs="宋体"/>
          <w:sz w:val="24"/>
        </w:rPr>
      </w:pPr>
      <w:r>
        <w:rPr>
          <w:rFonts w:hint="eastAsia" w:ascii="宋体" w:hAnsi="宋体" w:eastAsia="宋体" w:cs="宋体"/>
          <w:sz w:val="24"/>
        </w:rPr>
        <w:t>采购人收到成交供应商退付申请后5个工作日内退还。</w:t>
      </w:r>
    </w:p>
    <w:p w14:paraId="16C15703">
      <w:pPr>
        <w:spacing w:line="480" w:lineRule="exact"/>
        <w:ind w:firstLine="480"/>
        <w:rPr>
          <w:rFonts w:hint="eastAsia" w:ascii="宋体" w:hAnsi="宋体" w:eastAsia="宋体" w:cs="宋体"/>
          <w:sz w:val="24"/>
        </w:rPr>
      </w:pPr>
      <w:r>
        <w:rPr>
          <w:rFonts w:hint="eastAsia" w:ascii="宋体" w:hAnsi="宋体" w:eastAsia="宋体" w:cs="宋体"/>
          <w:sz w:val="24"/>
          <w:lang w:val="en-US" w:eastAsia="zh-CN"/>
        </w:rPr>
        <w:t>33</w:t>
      </w:r>
      <w:r>
        <w:rPr>
          <w:rFonts w:hint="eastAsia" w:ascii="宋体" w:hAnsi="宋体" w:eastAsia="宋体" w:cs="宋体"/>
          <w:sz w:val="24"/>
        </w:rPr>
        <w:t>.6履约保证金不予退还情形</w:t>
      </w:r>
    </w:p>
    <w:p w14:paraId="53995FC8">
      <w:pPr>
        <w:spacing w:line="480" w:lineRule="exact"/>
        <w:ind w:firstLine="480"/>
        <w:rPr>
          <w:rFonts w:hint="eastAsia" w:ascii="宋体" w:hAnsi="宋体" w:eastAsia="宋体" w:cs="宋体"/>
          <w:sz w:val="24"/>
        </w:rPr>
      </w:pPr>
      <w:r>
        <w:rPr>
          <w:rFonts w:hint="eastAsia" w:ascii="宋体" w:hAnsi="宋体" w:eastAsia="宋体" w:cs="宋体"/>
          <w:sz w:val="24"/>
        </w:rPr>
        <w:t>除不可抗力外，成交供应商不履行与采购人订立的采购合同的，履约保证金不予退还，给采购人造成的损失超过履约保证金数额的，还应对超过部分予以赔偿。</w:t>
      </w:r>
    </w:p>
    <w:p w14:paraId="635D9EF4">
      <w:pPr>
        <w:spacing w:line="480" w:lineRule="exact"/>
        <w:ind w:firstLine="480"/>
        <w:rPr>
          <w:rFonts w:hint="eastAsia" w:ascii="宋体" w:hAnsi="宋体" w:eastAsia="宋体" w:cs="宋体"/>
          <w:sz w:val="24"/>
        </w:rPr>
      </w:pPr>
      <w:r>
        <w:rPr>
          <w:rFonts w:hint="eastAsia" w:ascii="宋体" w:hAnsi="宋体" w:eastAsia="宋体" w:cs="宋体"/>
          <w:sz w:val="24"/>
          <w:lang w:val="en-US" w:eastAsia="zh-CN"/>
        </w:rPr>
        <w:t>33</w:t>
      </w:r>
      <w:r>
        <w:rPr>
          <w:rFonts w:hint="eastAsia" w:ascii="宋体" w:hAnsi="宋体" w:eastAsia="宋体" w:cs="宋体"/>
          <w:sz w:val="24"/>
        </w:rPr>
        <w:t>.7逾期退还履约保证金违约责任</w:t>
      </w:r>
    </w:p>
    <w:p w14:paraId="37667D40">
      <w:pPr>
        <w:spacing w:line="480" w:lineRule="exact"/>
        <w:ind w:firstLine="480"/>
        <w:rPr>
          <w:rFonts w:hint="eastAsia" w:ascii="宋体" w:hAnsi="宋体" w:eastAsia="宋体" w:cs="宋体"/>
          <w:sz w:val="24"/>
        </w:rPr>
      </w:pPr>
      <w:r>
        <w:rPr>
          <w:rFonts w:hint="eastAsia" w:ascii="宋体" w:hAnsi="宋体" w:eastAsia="宋体" w:cs="宋体"/>
          <w:sz w:val="24"/>
        </w:rPr>
        <w:t>采购人逾期退还履约保证金的，除应退还履约保证金外，还应按中国人民银行同期贷款基准利率上浮20％后的利率支付超期资金占用费，但因成交供应商自身原因导致无法及时退还的除外。</w:t>
      </w:r>
    </w:p>
    <w:p w14:paraId="558B0A8A">
      <w:pPr>
        <w:keepNext/>
        <w:keepLines/>
        <w:spacing w:line="480" w:lineRule="exact"/>
        <w:ind w:firstLine="600"/>
        <w:outlineLvl w:val="3"/>
        <w:rPr>
          <w:rFonts w:hint="eastAsia" w:ascii="宋体" w:hAnsi="宋体" w:eastAsia="宋体" w:cs="宋体"/>
          <w:sz w:val="30"/>
          <w:szCs w:val="30"/>
        </w:rPr>
      </w:pPr>
      <w:r>
        <w:rPr>
          <w:rFonts w:hint="eastAsia" w:ascii="宋体" w:hAnsi="宋体" w:eastAsia="宋体" w:cs="宋体"/>
          <w:sz w:val="30"/>
          <w:szCs w:val="30"/>
        </w:rPr>
        <w:t>3</w:t>
      </w:r>
      <w:r>
        <w:rPr>
          <w:rFonts w:hint="eastAsia" w:ascii="宋体" w:hAnsi="宋体" w:eastAsia="宋体" w:cs="宋体"/>
          <w:sz w:val="30"/>
          <w:szCs w:val="30"/>
          <w:lang w:val="en-US" w:eastAsia="zh-CN"/>
        </w:rPr>
        <w:t>4</w:t>
      </w:r>
      <w:r>
        <w:rPr>
          <w:rFonts w:hint="eastAsia" w:ascii="宋体" w:hAnsi="宋体" w:eastAsia="宋体" w:cs="宋体"/>
          <w:sz w:val="30"/>
          <w:szCs w:val="30"/>
        </w:rPr>
        <w:t>、政府采购履约资金扶持政策</w:t>
      </w:r>
    </w:p>
    <w:p w14:paraId="3FB51256">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成交供应商可凭政府采购合同办理融资贷款，详情请见江苏政府采购网“政采贷”专栏。</w:t>
      </w:r>
      <w:bookmarkEnd w:id="154"/>
      <w:bookmarkEnd w:id="155"/>
      <w:bookmarkEnd w:id="156"/>
      <w:bookmarkEnd w:id="157"/>
      <w:bookmarkEnd w:id="158"/>
    </w:p>
    <w:p w14:paraId="0867C026">
      <w:pPr>
        <w:pStyle w:val="80"/>
        <w:rPr>
          <w:rFonts w:hint="eastAsia" w:ascii="宋体" w:hAnsi="宋体" w:eastAsia="宋体" w:cs="宋体"/>
          <w:sz w:val="24"/>
          <w:szCs w:val="24"/>
        </w:rPr>
      </w:pPr>
    </w:p>
    <w:p w14:paraId="4353D766">
      <w:pPr>
        <w:spacing w:line="500" w:lineRule="exact"/>
        <w:ind w:firstLine="480"/>
        <w:jc w:val="center"/>
        <w:rPr>
          <w:rFonts w:hint="eastAsia" w:ascii="宋体" w:hAnsi="宋体" w:eastAsia="宋体" w:cs="宋体"/>
          <w:b/>
          <w:color w:val="auto"/>
          <w:sz w:val="24"/>
          <w:szCs w:val="24"/>
          <w:lang w:val="en-US" w:eastAsia="zh-CN"/>
        </w:rPr>
      </w:pPr>
      <w:bookmarkStart w:id="161" w:name="_Hlt16619350"/>
      <w:bookmarkStart w:id="162" w:name="_Toc16938590"/>
      <w:bookmarkStart w:id="163" w:name="_Toc20823346"/>
      <w:bookmarkStart w:id="164" w:name="_Toc120614244"/>
      <w:bookmarkStart w:id="165" w:name="_Toc49090575"/>
      <w:bookmarkStart w:id="166" w:name="_Toc120614281"/>
      <w:bookmarkStart w:id="167" w:name="_Toc26554093"/>
      <w:bookmarkStart w:id="168" w:name="_Toc462564139"/>
      <w:bookmarkStart w:id="169" w:name="_Toc479757211"/>
      <w:r>
        <w:rPr>
          <w:rFonts w:hint="eastAsia" w:ascii="宋体" w:hAnsi="宋体" w:eastAsia="宋体" w:cs="宋体"/>
          <w:bCs/>
          <w:sz w:val="44"/>
          <w:szCs w:val="21"/>
        </w:rPr>
        <w:t>第</w:t>
      </w:r>
      <w:bookmarkEnd w:id="161"/>
      <w:r>
        <w:rPr>
          <w:rFonts w:hint="eastAsia" w:ascii="宋体" w:hAnsi="宋体" w:eastAsia="宋体" w:cs="宋体"/>
          <w:bCs/>
          <w:sz w:val="44"/>
          <w:szCs w:val="21"/>
        </w:rPr>
        <w:t>三章 采购需求</w:t>
      </w:r>
      <w:bookmarkEnd w:id="162"/>
      <w:bookmarkEnd w:id="163"/>
      <w:bookmarkEnd w:id="164"/>
    </w:p>
    <w:p w14:paraId="0EBE4864">
      <w:pPr>
        <w:spacing w:line="580" w:lineRule="exact"/>
        <w:ind w:firstLine="480" w:firstLineChars="200"/>
        <w:rPr>
          <w:rFonts w:hint="eastAsia" w:ascii="宋体" w:hAnsi="宋体" w:eastAsia="宋体" w:cs="宋体"/>
          <w:kern w:val="2"/>
          <w:sz w:val="24"/>
          <w:szCs w:val="24"/>
          <w:lang w:eastAsia="zh-CN"/>
        </w:rPr>
      </w:pPr>
      <w:bookmarkStart w:id="170" w:name="_Toc20823315"/>
      <w:bookmarkStart w:id="171" w:name="_Toc16938559"/>
      <w:bookmarkStart w:id="172" w:name="_Toc513029243"/>
      <w:r>
        <w:rPr>
          <w:rFonts w:hint="eastAsia" w:ascii="宋体" w:hAnsi="宋体" w:eastAsia="宋体" w:cs="宋体"/>
          <w:kern w:val="2"/>
          <w:sz w:val="24"/>
          <w:szCs w:val="24"/>
          <w:lang w:eastAsia="zh-CN"/>
        </w:rPr>
        <w:t>一、项目概况</w:t>
      </w:r>
    </w:p>
    <w:p w14:paraId="2DCA4C52">
      <w:pPr>
        <w:spacing w:line="580" w:lineRule="exact"/>
        <w:ind w:firstLine="480" w:firstLineChars="200"/>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为应对重大自然灾害、公共卫生事件、动物疫情或者其他突发事件引起的市场异常波动，加强市场调控，保证我市肉食品安全及民生保障，宿迁市发展和改革委员会现拟采用单一来源方式采购</w:t>
      </w:r>
      <w:r>
        <w:rPr>
          <w:rFonts w:hint="eastAsia" w:ascii="宋体" w:hAnsi="宋体" w:eastAsia="宋体" w:cs="宋体"/>
          <w:kern w:val="2"/>
          <w:sz w:val="24"/>
          <w:szCs w:val="24"/>
          <w:lang w:val="en-US" w:eastAsia="zh-CN"/>
        </w:rPr>
        <w:t>2026-2029年市级冻猪肉储备160吨，预算金额135万。储备补贴资金主要用于冻猪肉储备流动资金占用费（贷款利息），运输及出入库力资，加工、精选、包装费，仓储、冷藏保管、自然损耗费、检验检疫费、信息化互通费等。</w:t>
      </w:r>
    </w:p>
    <w:p w14:paraId="44D004F9">
      <w:pPr>
        <w:spacing w:line="580" w:lineRule="exact"/>
        <w:ind w:firstLine="480" w:firstLineChars="200"/>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二、服务期限</w:t>
      </w:r>
    </w:p>
    <w:p w14:paraId="1500F1BD">
      <w:pPr>
        <w:spacing w:line="580" w:lineRule="exact"/>
        <w:ind w:firstLine="480" w:firstLineChars="200"/>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eastAsia="zh-CN"/>
        </w:rPr>
        <w:t>服务期限：</w:t>
      </w:r>
      <w:r>
        <w:rPr>
          <w:rFonts w:hint="eastAsia" w:ascii="宋体" w:hAnsi="宋体" w:eastAsia="宋体" w:cs="宋体"/>
          <w:kern w:val="2"/>
          <w:sz w:val="24"/>
          <w:szCs w:val="24"/>
          <w:lang w:val="en-US" w:eastAsia="zh-CN"/>
        </w:rPr>
        <w:t>自合同签订之日起三年。</w:t>
      </w:r>
    </w:p>
    <w:p w14:paraId="024CFB31">
      <w:pPr>
        <w:spacing w:line="580" w:lineRule="exact"/>
        <w:ind w:firstLine="480" w:firstLineChars="200"/>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三、付款方式</w:t>
      </w:r>
    </w:p>
    <w:p w14:paraId="044CAF6B">
      <w:pPr>
        <w:spacing w:line="580" w:lineRule="exact"/>
        <w:ind w:firstLine="480" w:firstLineChars="200"/>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承储单位完成猪肉收储入库后，宿迁市发展和改革委员会根据市财政局相关要求及对承储单位检查或审计情况，采取年度滚动“先预拨，后清算”的方式，及时拨付有关财政补贴（无息）。补贴资金到位后，市财政不在承担承储单位的任何费用和亏损补贴。</w:t>
      </w:r>
    </w:p>
    <w:p w14:paraId="6623D183">
      <w:pPr>
        <w:spacing w:line="580" w:lineRule="exact"/>
        <w:ind w:firstLine="480" w:firstLineChars="200"/>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四、投标单位要求</w:t>
      </w:r>
    </w:p>
    <w:p w14:paraId="2B9C771D">
      <w:pPr>
        <w:widowControl w:val="0"/>
        <w:spacing w:before="0" w:beforeAutospacing="0" w:after="0" w:afterAutospacing="0" w:line="560" w:lineRule="exact"/>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1.具备肉类经营资质和独立承担民事责任能力；</w:t>
      </w:r>
    </w:p>
    <w:p w14:paraId="513D04A3">
      <w:pPr>
        <w:widowControl w:val="0"/>
        <w:spacing w:before="0" w:beforeAutospacing="0" w:after="0" w:afterAutospacing="0" w:line="560" w:lineRule="exact"/>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2.具有《企业法人营业执照》《食品经营许可证》；</w:t>
      </w:r>
    </w:p>
    <w:p w14:paraId="713FE8C5">
      <w:pPr>
        <w:widowControl w:val="0"/>
        <w:spacing w:before="0" w:beforeAutospacing="0" w:after="0" w:afterAutospacing="0" w:line="560" w:lineRule="exact"/>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3.具有符合《国家储备冻肉储存冷库资质条件》（SB/T 10408-2007）要求的全资存储冷库或持有存储冷库企业股份20%以上的储备企业，储存能力在1000吨以上或近三年年均销售量和库容量均不少于</w:t>
      </w:r>
      <w:r>
        <w:rPr>
          <w:rFonts w:hint="eastAsia" w:ascii="宋体" w:hAnsi="宋体" w:eastAsia="宋体" w:cs="宋体"/>
          <w:kern w:val="0"/>
          <w:sz w:val="24"/>
          <w:szCs w:val="24"/>
          <w:highlight w:val="none"/>
          <w:lang w:val="en-US" w:eastAsia="zh-CN" w:bidi="ar-SA"/>
        </w:rPr>
        <w:t>320吨</w:t>
      </w:r>
      <w:r>
        <w:rPr>
          <w:rFonts w:hint="eastAsia" w:ascii="宋体" w:hAnsi="宋体" w:eastAsia="宋体" w:cs="宋体"/>
          <w:kern w:val="0"/>
          <w:sz w:val="24"/>
          <w:szCs w:val="24"/>
          <w:lang w:val="en-US" w:eastAsia="zh-CN" w:bidi="ar-SA"/>
        </w:rPr>
        <w:t>；</w:t>
      </w:r>
    </w:p>
    <w:p w14:paraId="6C11B1B1">
      <w:pPr>
        <w:widowControl w:val="0"/>
        <w:spacing w:before="0" w:beforeAutospacing="0" w:after="0" w:afterAutospacing="0" w:line="560" w:lineRule="exact"/>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4.产品质量应符合《鲜、冻猪肉及猪副产品 第1部分：片猪肉》（GB/T9959.1-2019）、《分割鲜、冻猪瘦肉》（GB/T 9959.2-2008）、《鲜、冻猪肉及猪副产品 第3部分：分部位分割猪肉》（GB/T 9959.3-2019）的相关要求。进口产品需通过合法渠道采购，符合海关检验检疫和进口冷链食品相关管理要求。三年内未发生过肉类食品卫生重大事故，卫生防疫条件符合国家规定和要求；</w:t>
      </w:r>
    </w:p>
    <w:p w14:paraId="2D60E42F">
      <w:pPr>
        <w:widowControl w:val="0"/>
        <w:spacing w:before="0" w:beforeAutospacing="0" w:after="0" w:afterAutospacing="0" w:line="560" w:lineRule="exact"/>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5.投标单位必须在江苏省境内、我市周边，交通便利，远离污染源，管理符合《冷库管理规范》（GB/T30134-2013），在宿迁有稳定的销售网络及有效的市场投放能力，确保突发事件发生时能及时起到保供作用；</w:t>
      </w:r>
    </w:p>
    <w:p w14:paraId="6F1F3B09">
      <w:pPr>
        <w:widowControl w:val="0"/>
        <w:spacing w:before="0" w:beforeAutospacing="0" w:after="0" w:afterAutospacing="0" w:line="560" w:lineRule="exact"/>
        <w:ind w:firstLine="480" w:firstLineChars="200"/>
        <w:jc w:val="left"/>
        <w:rPr>
          <w:rFonts w:hint="eastAsia" w:ascii="宋体" w:hAnsi="宋体" w:eastAsia="宋体" w:cs="宋体"/>
          <w:b/>
          <w:kern w:val="0"/>
          <w:sz w:val="24"/>
          <w:szCs w:val="24"/>
          <w:lang w:val="en-US" w:eastAsia="zh-CN" w:bidi="ar-SA"/>
        </w:rPr>
      </w:pPr>
      <w:r>
        <w:rPr>
          <w:rFonts w:hint="eastAsia" w:ascii="宋体" w:hAnsi="宋体" w:eastAsia="宋体" w:cs="宋体"/>
          <w:kern w:val="0"/>
          <w:sz w:val="24"/>
          <w:szCs w:val="24"/>
          <w:lang w:val="en-US" w:eastAsia="zh-CN" w:bidi="ar-SA"/>
        </w:rPr>
        <w:t>6.投标单位应财务状况良好，诚信度高，有较强的抗风险能力和健全的财务及安全生产管理制度，资产负债率低于70%。</w:t>
      </w:r>
    </w:p>
    <w:p w14:paraId="6D5C69DC">
      <w:pPr>
        <w:spacing w:line="580" w:lineRule="exact"/>
        <w:ind w:firstLine="640"/>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五、服务内容</w:t>
      </w:r>
    </w:p>
    <w:p w14:paraId="1639708B">
      <w:pPr>
        <w:spacing w:line="580" w:lineRule="exact"/>
        <w:ind w:firstLine="640"/>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1、中标单位应该遵守《宿迁市市级猪肉储备管理办法》相关规定，承储的冻猪肉产品质量应符合</w:t>
      </w:r>
      <w:r>
        <w:rPr>
          <w:rFonts w:hint="eastAsia" w:ascii="宋体" w:hAnsi="宋体" w:eastAsia="宋体" w:cs="宋体"/>
          <w:kern w:val="2"/>
          <w:sz w:val="24"/>
          <w:szCs w:val="24"/>
        </w:rPr>
        <w:t>《分割鲜、冻猪瘦肉》（GB/T 9959.2-2008）</w:t>
      </w:r>
      <w:r>
        <w:rPr>
          <w:rFonts w:hint="eastAsia" w:ascii="宋体" w:hAnsi="宋体" w:eastAsia="宋体" w:cs="宋体"/>
          <w:kern w:val="2"/>
          <w:sz w:val="24"/>
          <w:szCs w:val="24"/>
          <w:lang w:eastAsia="zh-CN"/>
        </w:rPr>
        <w:t>要求，数量符合储备任务要求。</w:t>
      </w:r>
    </w:p>
    <w:p w14:paraId="6E8E612D">
      <w:pPr>
        <w:spacing w:line="580" w:lineRule="exact"/>
        <w:ind w:firstLine="640"/>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2、中标单位须保证长期储备足额的冻猪肉，如宿迁市政府相关部门需动用冻猪肉储备，中标单位须无条件配合，及时落实动用计划。</w:t>
      </w:r>
    </w:p>
    <w:p w14:paraId="1A776880">
      <w:pPr>
        <w:spacing w:line="580" w:lineRule="exact"/>
        <w:ind w:firstLine="640"/>
        <w:rPr>
          <w:rFonts w:hint="default" w:ascii="Times New Roman" w:hAnsi="Times New Roman" w:eastAsia="方正仿宋_GBK" w:cs="Times New Roman"/>
          <w:kern w:val="2"/>
          <w:sz w:val="32"/>
          <w:szCs w:val="32"/>
          <w:lang w:val="en-US" w:eastAsia="zh-CN"/>
        </w:rPr>
      </w:pPr>
      <w:r>
        <w:rPr>
          <w:rFonts w:hint="eastAsia" w:ascii="宋体" w:hAnsi="宋体" w:eastAsia="宋体" w:cs="宋体"/>
          <w:kern w:val="2"/>
          <w:sz w:val="24"/>
          <w:szCs w:val="24"/>
          <w:lang w:val="en-US" w:eastAsia="zh-CN"/>
        </w:rPr>
        <w:t>3、中标单位须按照相关要求，全面、真实、准确、及时地向宿迁市发展和改革委员会报送相关台账资料和储备情况。</w:t>
      </w:r>
    </w:p>
    <w:p w14:paraId="56533733">
      <w:pPr>
        <w:spacing w:line="500" w:lineRule="exact"/>
        <w:jc w:val="both"/>
        <w:rPr>
          <w:rFonts w:hint="eastAsia" w:ascii="宋体" w:hAnsi="宋体" w:eastAsia="宋体" w:cs="宋体"/>
          <w:sz w:val="44"/>
          <w:szCs w:val="44"/>
          <w:highlight w:val="none"/>
          <w:lang w:val="en-US" w:eastAsia="zh-CN"/>
        </w:rPr>
      </w:pPr>
    </w:p>
    <w:p w14:paraId="3416354E">
      <w:pPr>
        <w:spacing w:line="500" w:lineRule="exact"/>
        <w:ind w:firstLine="480"/>
        <w:jc w:val="center"/>
        <w:rPr>
          <w:rFonts w:hint="eastAsia" w:ascii="宋体" w:hAnsi="宋体" w:eastAsia="宋体" w:cs="宋体"/>
          <w:sz w:val="44"/>
          <w:szCs w:val="44"/>
          <w:highlight w:val="none"/>
          <w:lang w:val="en-US" w:eastAsia="zh-CN"/>
        </w:rPr>
      </w:pPr>
    </w:p>
    <w:p w14:paraId="7FE0552A">
      <w:pPr>
        <w:spacing w:line="500" w:lineRule="exact"/>
        <w:ind w:firstLine="480"/>
        <w:jc w:val="center"/>
        <w:rPr>
          <w:rFonts w:hint="eastAsia" w:ascii="宋体" w:hAnsi="宋体" w:eastAsia="宋体" w:cs="宋体"/>
          <w:sz w:val="44"/>
          <w:szCs w:val="44"/>
          <w:highlight w:val="none"/>
          <w:lang w:val="en-US" w:eastAsia="zh-CN"/>
        </w:rPr>
      </w:pPr>
    </w:p>
    <w:p w14:paraId="6916100A">
      <w:pPr>
        <w:spacing w:line="500" w:lineRule="exact"/>
        <w:ind w:firstLine="480"/>
        <w:jc w:val="center"/>
        <w:rPr>
          <w:rFonts w:hint="eastAsia" w:ascii="宋体" w:hAnsi="宋体" w:eastAsia="宋体" w:cs="宋体"/>
          <w:sz w:val="44"/>
          <w:szCs w:val="44"/>
          <w:highlight w:val="none"/>
          <w:lang w:val="en-US" w:eastAsia="zh-CN"/>
        </w:rPr>
      </w:pPr>
      <w:r>
        <w:rPr>
          <w:rFonts w:hint="eastAsia" w:ascii="宋体" w:hAnsi="宋体" w:eastAsia="宋体" w:cs="宋体"/>
          <w:sz w:val="44"/>
          <w:szCs w:val="44"/>
          <w:lang w:val="en-US" w:eastAsia="zh-CN"/>
        </w:rPr>
        <w:t>第四章  合同文本（草案）</w:t>
      </w:r>
    </w:p>
    <w:p w14:paraId="4E042922">
      <w:pPr>
        <w:spacing w:line="500" w:lineRule="exact"/>
        <w:rPr>
          <w:rFonts w:hint="eastAsia" w:ascii="宋体" w:hAnsi="宋体" w:eastAsia="宋体" w:cs="宋体"/>
          <w:sz w:val="24"/>
          <w:lang w:val="zh-CN"/>
        </w:rPr>
      </w:pPr>
    </w:p>
    <w:bookmarkEnd w:id="170"/>
    <w:bookmarkEnd w:id="171"/>
    <w:bookmarkEnd w:id="172"/>
    <w:p w14:paraId="62CC5F68">
      <w:pPr>
        <w:spacing w:line="580" w:lineRule="exact"/>
        <w:jc w:val="center"/>
        <w:rPr>
          <w:rFonts w:hint="default" w:ascii="Times New Roman" w:hAnsi="Times New Roman" w:eastAsia="方正小标宋简体" w:cs="Times New Roman"/>
          <w:kern w:val="2"/>
          <w:sz w:val="44"/>
          <w:szCs w:val="20"/>
        </w:rPr>
      </w:pPr>
      <w:r>
        <w:rPr>
          <w:rFonts w:hint="default" w:ascii="Times New Roman" w:hAnsi="Times New Roman" w:eastAsia="方正小标宋简体" w:cs="Times New Roman"/>
          <w:kern w:val="2"/>
          <w:sz w:val="44"/>
          <w:szCs w:val="20"/>
        </w:rPr>
        <w:t>202</w:t>
      </w:r>
      <w:r>
        <w:rPr>
          <w:rFonts w:hint="eastAsia" w:ascii="Times New Roman" w:hAnsi="Times New Roman" w:eastAsia="方正小标宋简体" w:cs="Times New Roman"/>
          <w:kern w:val="2"/>
          <w:sz w:val="44"/>
          <w:szCs w:val="20"/>
          <w:lang w:val="en-US" w:eastAsia="zh-CN"/>
        </w:rPr>
        <w:t>6</w:t>
      </w:r>
      <w:r>
        <w:rPr>
          <w:rFonts w:hint="default" w:ascii="Times New Roman" w:hAnsi="Times New Roman" w:eastAsia="方正小标宋简体" w:cs="Times New Roman"/>
          <w:kern w:val="2"/>
          <w:sz w:val="44"/>
          <w:szCs w:val="20"/>
        </w:rPr>
        <w:t>—202</w:t>
      </w:r>
      <w:r>
        <w:rPr>
          <w:rFonts w:hint="eastAsia" w:ascii="Times New Roman" w:hAnsi="Times New Roman" w:eastAsia="方正小标宋简体" w:cs="Times New Roman"/>
          <w:kern w:val="2"/>
          <w:sz w:val="44"/>
          <w:szCs w:val="20"/>
          <w:lang w:val="en-US" w:eastAsia="zh-CN"/>
        </w:rPr>
        <w:t>9</w:t>
      </w:r>
      <w:r>
        <w:rPr>
          <w:rFonts w:hint="default" w:ascii="Times New Roman" w:hAnsi="Times New Roman" w:eastAsia="方正小标宋简体" w:cs="Times New Roman"/>
          <w:kern w:val="2"/>
          <w:sz w:val="44"/>
          <w:szCs w:val="20"/>
        </w:rPr>
        <w:t>年</w:t>
      </w:r>
    </w:p>
    <w:p w14:paraId="74A380F4">
      <w:pPr>
        <w:spacing w:line="580" w:lineRule="exact"/>
        <w:jc w:val="center"/>
        <w:rPr>
          <w:rFonts w:hint="default" w:ascii="Times New Roman" w:hAnsi="Times New Roman" w:eastAsia="方正小标宋简体" w:cs="Times New Roman"/>
          <w:kern w:val="2"/>
          <w:sz w:val="44"/>
          <w:szCs w:val="20"/>
        </w:rPr>
      </w:pPr>
      <w:r>
        <w:rPr>
          <w:rFonts w:hint="default" w:ascii="Times New Roman" w:hAnsi="Times New Roman" w:eastAsia="方正小标宋简体" w:cs="Times New Roman"/>
          <w:kern w:val="2"/>
          <w:sz w:val="44"/>
          <w:szCs w:val="20"/>
        </w:rPr>
        <w:t>宿迁市市级政府冻猪肉储备合同</w:t>
      </w:r>
    </w:p>
    <w:p w14:paraId="7863F1E4">
      <w:pPr>
        <w:spacing w:line="500" w:lineRule="exact"/>
        <w:rPr>
          <w:rFonts w:hint="default" w:ascii="Times New Roman" w:hAnsi="Times New Roman" w:eastAsia="方正大标宋简体" w:cs="Times New Roman"/>
          <w:kern w:val="2"/>
          <w:sz w:val="44"/>
          <w:szCs w:val="24"/>
        </w:rPr>
      </w:pPr>
    </w:p>
    <w:p w14:paraId="725C446E">
      <w:pPr>
        <w:widowControl w:val="0"/>
        <w:snapToGrid w:val="0"/>
        <w:spacing w:line="600" w:lineRule="exact"/>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甲  方：宿迁市发展和改革委员会</w:t>
      </w:r>
      <w:r>
        <w:rPr>
          <w:rFonts w:hint="eastAsia" w:ascii="Times New Roman" w:hAnsi="Times New Roman" w:eastAsia="方正仿宋_GBK" w:cs="Times New Roman"/>
          <w:kern w:val="2"/>
          <w:sz w:val="32"/>
          <w:szCs w:val="32"/>
          <w:lang w:val="en-US" w:eastAsia="zh-CN" w:bidi="ar-SA"/>
        </w:rPr>
        <w:t xml:space="preserve"> </w:t>
      </w:r>
    </w:p>
    <w:p w14:paraId="14DD44AB">
      <w:pPr>
        <w:widowControl w:val="0"/>
        <w:snapToGrid w:val="0"/>
        <w:spacing w:line="600" w:lineRule="exact"/>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乙  方：江苏淮安苏食肉品有限公司</w:t>
      </w:r>
    </w:p>
    <w:p w14:paraId="28FC6968">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根据</w:t>
      </w:r>
      <w:r>
        <w:rPr>
          <w:rFonts w:hint="eastAsia" w:ascii="Times New Roman" w:hAnsi="Times New Roman" w:eastAsia="方正仿宋_GBK" w:cs="Times New Roman"/>
          <w:kern w:val="2"/>
          <w:sz w:val="32"/>
          <w:szCs w:val="32"/>
          <w:lang w:val="en-US" w:eastAsia="zh-CN" w:bidi="ar-SA"/>
        </w:rPr>
        <w:t>省有关文件</w:t>
      </w:r>
      <w:r>
        <w:rPr>
          <w:rFonts w:hint="default" w:ascii="Times New Roman" w:hAnsi="Times New Roman" w:eastAsia="方正仿宋_GBK" w:cs="Times New Roman"/>
          <w:kern w:val="2"/>
          <w:sz w:val="32"/>
          <w:szCs w:val="32"/>
          <w:lang w:val="en-US" w:eastAsia="zh-CN" w:bidi="ar-SA"/>
        </w:rPr>
        <w:t>要求，</w:t>
      </w:r>
      <w:r>
        <w:rPr>
          <w:rFonts w:hint="eastAsia" w:ascii="Times New Roman" w:hAnsi="Times New Roman" w:eastAsia="方正仿宋_GBK" w:cs="Times New Roman"/>
          <w:kern w:val="2"/>
          <w:sz w:val="32"/>
          <w:szCs w:val="32"/>
          <w:lang w:val="en-US" w:eastAsia="zh-CN" w:bidi="ar-SA"/>
        </w:rPr>
        <w:t>为落实猪肉储备任务，</w:t>
      </w:r>
      <w:r>
        <w:rPr>
          <w:rFonts w:hint="default" w:ascii="Times New Roman" w:hAnsi="Times New Roman" w:eastAsia="方正仿宋_GBK" w:cs="Times New Roman"/>
          <w:kern w:val="2"/>
          <w:sz w:val="32"/>
          <w:szCs w:val="32"/>
          <w:lang w:val="en-US" w:eastAsia="zh-CN" w:bidi="ar-SA"/>
        </w:rPr>
        <w:t>经采购程序确定乙方作为</w:t>
      </w:r>
      <w:r>
        <w:rPr>
          <w:rFonts w:hint="eastAsia" w:ascii="Times New Roman" w:hAnsi="Times New Roman" w:eastAsia="方正仿宋_GBK" w:cs="Times New Roman"/>
          <w:kern w:val="2"/>
          <w:sz w:val="32"/>
          <w:szCs w:val="32"/>
          <w:lang w:val="en-US" w:eastAsia="zh-CN" w:bidi="ar-SA"/>
        </w:rPr>
        <w:t>宿迁市</w:t>
      </w:r>
      <w:r>
        <w:rPr>
          <w:rFonts w:hint="default" w:ascii="Times New Roman" w:hAnsi="Times New Roman" w:eastAsia="方正仿宋_GBK" w:cs="Times New Roman"/>
          <w:kern w:val="2"/>
          <w:sz w:val="32"/>
          <w:szCs w:val="32"/>
          <w:lang w:val="en-US" w:eastAsia="zh-CN" w:bidi="ar-SA"/>
        </w:rPr>
        <w:t>市级冻猪肉储备服务单位。依据《中华人民共和国民法典》《宿迁市市级猪肉储备管理办法》等有关法律法规的规定，甲、乙双方围绕宿迁市市级政府冻猪肉储备的实施进行了讨论协商，在平等自愿、协商一致、真诚合作的基础上，特签订本合同。</w:t>
      </w:r>
    </w:p>
    <w:p w14:paraId="329E4088">
      <w:pPr>
        <w:widowControl w:val="0"/>
        <w:snapToGrid w:val="0"/>
        <w:spacing w:line="600" w:lineRule="exact"/>
        <w:ind w:firstLine="643" w:firstLineChars="200"/>
        <w:jc w:val="both"/>
        <w:rPr>
          <w:rFonts w:hint="default" w:ascii="Times New Roman" w:hAnsi="Times New Roman" w:eastAsia="方正仿宋_GBK" w:cs="Times New Roman"/>
          <w:b/>
          <w:kern w:val="2"/>
          <w:sz w:val="32"/>
          <w:szCs w:val="32"/>
          <w:lang w:val="en-US" w:eastAsia="zh-CN" w:bidi="ar-SA"/>
        </w:rPr>
      </w:pPr>
      <w:r>
        <w:rPr>
          <w:rFonts w:hint="default" w:ascii="Times New Roman" w:hAnsi="Times New Roman" w:eastAsia="方正仿宋_GBK" w:cs="Times New Roman"/>
          <w:b/>
          <w:kern w:val="2"/>
          <w:sz w:val="32"/>
          <w:szCs w:val="32"/>
          <w:lang w:val="en-US" w:eastAsia="zh-CN" w:bidi="ar-SA"/>
        </w:rPr>
        <w:t>第一条  冻猪肉储备承储名称、品种、数量</w:t>
      </w:r>
    </w:p>
    <w:p w14:paraId="17B4F2A4">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1、服务名称：宿迁市202</w:t>
      </w:r>
      <w:r>
        <w:rPr>
          <w:rFonts w:hint="eastAsia" w:ascii="Times New Roman" w:hAnsi="Times New Roman" w:eastAsia="方正仿宋_GBK" w:cs="Times New Roman"/>
          <w:kern w:val="2"/>
          <w:sz w:val="32"/>
          <w:szCs w:val="32"/>
          <w:lang w:val="en-US" w:eastAsia="zh-CN" w:bidi="ar-SA"/>
        </w:rPr>
        <w:t>6</w:t>
      </w:r>
      <w:r>
        <w:rPr>
          <w:rFonts w:hint="default" w:ascii="Times New Roman" w:hAnsi="Times New Roman" w:eastAsia="方正仿宋_GBK" w:cs="Times New Roman"/>
          <w:kern w:val="2"/>
          <w:sz w:val="32"/>
          <w:szCs w:val="32"/>
          <w:lang w:val="en-US" w:eastAsia="zh-CN" w:bidi="ar-SA"/>
        </w:rPr>
        <w:t>-202</w:t>
      </w:r>
      <w:r>
        <w:rPr>
          <w:rFonts w:hint="eastAsia" w:ascii="Times New Roman" w:hAnsi="Times New Roman" w:eastAsia="方正仿宋_GBK" w:cs="Times New Roman"/>
          <w:kern w:val="2"/>
          <w:sz w:val="32"/>
          <w:szCs w:val="32"/>
          <w:lang w:val="en-US" w:eastAsia="zh-CN" w:bidi="ar-SA"/>
        </w:rPr>
        <w:t>9</w:t>
      </w:r>
      <w:r>
        <w:rPr>
          <w:rFonts w:hint="default" w:ascii="Times New Roman" w:hAnsi="Times New Roman" w:eastAsia="方正仿宋_GBK" w:cs="Times New Roman"/>
          <w:kern w:val="2"/>
          <w:sz w:val="32"/>
          <w:szCs w:val="32"/>
          <w:lang w:val="en-US" w:eastAsia="zh-CN" w:bidi="ar-SA"/>
        </w:rPr>
        <w:t>年度市级猪肉储备</w:t>
      </w:r>
    </w:p>
    <w:p w14:paraId="4C0DC564">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2、型号规格：分割冻猪肉（GBT9959.2-2008）</w:t>
      </w:r>
    </w:p>
    <w:p w14:paraId="47F71676">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3、储备数量（吨）：160吨</w:t>
      </w:r>
    </w:p>
    <w:p w14:paraId="12AC1248">
      <w:pPr>
        <w:widowControl w:val="0"/>
        <w:snapToGrid w:val="0"/>
        <w:spacing w:line="600" w:lineRule="exact"/>
        <w:ind w:firstLine="643" w:firstLineChars="200"/>
        <w:jc w:val="both"/>
        <w:rPr>
          <w:rFonts w:hint="default" w:ascii="Times New Roman" w:hAnsi="Times New Roman" w:eastAsia="方正仿宋_GBK" w:cs="Times New Roman"/>
          <w:b/>
          <w:kern w:val="2"/>
          <w:sz w:val="32"/>
          <w:szCs w:val="32"/>
          <w:lang w:val="en-US" w:eastAsia="zh-CN" w:bidi="ar-SA"/>
        </w:rPr>
      </w:pPr>
      <w:r>
        <w:rPr>
          <w:rFonts w:hint="default" w:ascii="Times New Roman" w:hAnsi="Times New Roman" w:eastAsia="方正仿宋_GBK" w:cs="Times New Roman"/>
          <w:b/>
          <w:kern w:val="2"/>
          <w:sz w:val="32"/>
          <w:szCs w:val="32"/>
          <w:lang w:val="en-US" w:eastAsia="zh-CN" w:bidi="ar-SA"/>
        </w:rPr>
        <w:t>第二条  储存方式</w:t>
      </w:r>
    </w:p>
    <w:p w14:paraId="57063969">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宿迁市市级政府冻猪肉储备是为应对重大自然灾害、事故灾难、突发公共卫生事件和社会安全事件，市内肉类市场出现异常波动，重大节假日期间及其他需要动用的情形而储备的冻猪肉。其动用权属于宿迁市人民政府。储备计划由甲方下达，乙方接受甲方委托代储，负责组织实施收储、保管、轮换和日常管理。当应急调用时，乙方应无条件执行；当不调用时，乙方</w:t>
      </w:r>
      <w:r>
        <w:rPr>
          <w:rFonts w:hint="eastAsia" w:ascii="Times New Roman" w:hAnsi="Times New Roman" w:eastAsia="方正仿宋_GBK" w:cs="Times New Roman"/>
          <w:kern w:val="2"/>
          <w:sz w:val="32"/>
          <w:szCs w:val="32"/>
          <w:lang w:val="en-US" w:eastAsia="zh-CN" w:bidi="ar-SA"/>
        </w:rPr>
        <w:t>应</w:t>
      </w:r>
      <w:r>
        <w:rPr>
          <w:rFonts w:hint="default" w:ascii="Times New Roman" w:hAnsi="Times New Roman" w:eastAsia="方正仿宋_GBK" w:cs="Times New Roman"/>
          <w:kern w:val="2"/>
          <w:sz w:val="32"/>
          <w:szCs w:val="32"/>
          <w:lang w:val="en-US" w:eastAsia="zh-CN" w:bidi="ar-SA"/>
        </w:rPr>
        <w:t>按规定正常轮换。</w:t>
      </w:r>
    </w:p>
    <w:p w14:paraId="18B01CEE">
      <w:pPr>
        <w:widowControl w:val="0"/>
        <w:snapToGrid w:val="0"/>
        <w:spacing w:line="600" w:lineRule="exact"/>
        <w:ind w:firstLine="643" w:firstLineChars="200"/>
        <w:jc w:val="both"/>
        <w:rPr>
          <w:rFonts w:hint="default" w:ascii="Times New Roman" w:hAnsi="Times New Roman" w:eastAsia="方正仿宋_GBK" w:cs="Times New Roman"/>
          <w:b/>
          <w:kern w:val="2"/>
          <w:sz w:val="32"/>
          <w:szCs w:val="32"/>
          <w:lang w:val="en-US" w:eastAsia="zh-CN" w:bidi="ar-SA"/>
        </w:rPr>
      </w:pPr>
      <w:r>
        <w:rPr>
          <w:rFonts w:hint="default" w:ascii="Times New Roman" w:hAnsi="Times New Roman" w:eastAsia="方正仿宋_GBK" w:cs="Times New Roman"/>
          <w:b/>
          <w:kern w:val="2"/>
          <w:sz w:val="32"/>
          <w:szCs w:val="32"/>
          <w:lang w:val="en-US" w:eastAsia="zh-CN" w:bidi="ar-SA"/>
        </w:rPr>
        <w:t>第三条  储存时间、地点</w:t>
      </w:r>
    </w:p>
    <w:p w14:paraId="3100C7E4">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本批次储备期限：202</w:t>
      </w:r>
      <w:r>
        <w:rPr>
          <w:rFonts w:hint="eastAsia" w:ascii="Times New Roman" w:hAnsi="Times New Roman" w:eastAsia="方正仿宋_GBK" w:cs="Times New Roman"/>
          <w:kern w:val="2"/>
          <w:sz w:val="32"/>
          <w:szCs w:val="32"/>
          <w:lang w:val="en-US" w:eastAsia="zh-CN" w:bidi="ar-SA"/>
        </w:rPr>
        <w:t>6</w:t>
      </w:r>
      <w:r>
        <w:rPr>
          <w:rFonts w:hint="default" w:ascii="Times New Roman" w:hAnsi="Times New Roman" w:eastAsia="方正仿宋_GBK" w:cs="Times New Roman"/>
          <w:kern w:val="2"/>
          <w:sz w:val="32"/>
          <w:szCs w:val="32"/>
          <w:lang w:val="en-US" w:eastAsia="zh-CN" w:bidi="ar-SA"/>
        </w:rPr>
        <w:t>年</w:t>
      </w:r>
      <w:r>
        <w:rPr>
          <w:rFonts w:hint="eastAsia" w:ascii="Times New Roman" w:hAnsi="Times New Roman" w:eastAsia="方正仿宋_GBK" w:cs="Times New Roman"/>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月</w:t>
      </w:r>
      <w:r>
        <w:rPr>
          <w:rFonts w:hint="eastAsia" w:ascii="Times New Roman" w:hAnsi="Times New Roman" w:eastAsia="方正仿宋_GBK" w:cs="Times New Roman"/>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日到202</w:t>
      </w:r>
      <w:r>
        <w:rPr>
          <w:rFonts w:hint="eastAsia" w:ascii="Times New Roman" w:hAnsi="Times New Roman" w:eastAsia="方正仿宋_GBK" w:cs="Times New Roman"/>
          <w:kern w:val="2"/>
          <w:sz w:val="32"/>
          <w:szCs w:val="32"/>
          <w:lang w:val="en-US" w:eastAsia="zh-CN" w:bidi="ar-SA"/>
        </w:rPr>
        <w:t>9</w:t>
      </w:r>
      <w:r>
        <w:rPr>
          <w:rFonts w:hint="default" w:ascii="Times New Roman" w:hAnsi="Times New Roman" w:eastAsia="方正仿宋_GBK" w:cs="Times New Roman"/>
          <w:kern w:val="2"/>
          <w:sz w:val="32"/>
          <w:szCs w:val="32"/>
          <w:lang w:val="en-US" w:eastAsia="zh-CN" w:bidi="ar-SA"/>
        </w:rPr>
        <w:t>年</w:t>
      </w:r>
      <w:r>
        <w:rPr>
          <w:rFonts w:hint="eastAsia" w:ascii="Times New Roman" w:hAnsi="Times New Roman" w:eastAsia="方正仿宋_GBK" w:cs="Times New Roman"/>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月</w:t>
      </w:r>
      <w:r>
        <w:rPr>
          <w:rFonts w:hint="eastAsia" w:ascii="Times New Roman" w:hAnsi="Times New Roman" w:eastAsia="方正仿宋_GBK" w:cs="Times New Roman"/>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日止。</w:t>
      </w:r>
    </w:p>
    <w:p w14:paraId="75B9D472">
      <w:pPr>
        <w:spacing w:line="600" w:lineRule="exact"/>
        <w:ind w:firstLine="640" w:firstLineChars="200"/>
        <w:rPr>
          <w:rFonts w:hint="default" w:ascii="Times New Roman" w:hAnsi="Times New Roman" w:eastAsia="方正仿宋_GBK" w:cs="Times New Roman"/>
          <w:kern w:val="2"/>
          <w:sz w:val="32"/>
          <w:szCs w:val="32"/>
        </w:rPr>
      </w:pPr>
      <w:r>
        <w:rPr>
          <w:rFonts w:hint="default" w:ascii="Times New Roman" w:hAnsi="Times New Roman" w:eastAsia="方正仿宋_GBK" w:cs="Times New Roman"/>
          <w:kern w:val="2"/>
          <w:sz w:val="32"/>
          <w:szCs w:val="32"/>
        </w:rPr>
        <w:t>储备地点：乙方自有冷库</w:t>
      </w:r>
      <w:r>
        <w:rPr>
          <w:rFonts w:hint="eastAsia" w:ascii="Times New Roman" w:hAnsi="Times New Roman" w:eastAsia="方正仿宋_GBK" w:cs="Times New Roman"/>
          <w:kern w:val="2"/>
          <w:sz w:val="32"/>
          <w:szCs w:val="32"/>
          <w:lang w:val="en-US" w:eastAsia="zh-CN"/>
        </w:rPr>
        <w:t xml:space="preserve"> </w:t>
      </w:r>
      <w:r>
        <w:rPr>
          <w:rFonts w:hint="default" w:ascii="Times New Roman" w:hAnsi="Times New Roman" w:eastAsia="方正仿宋_GBK" w:cs="Times New Roman"/>
          <w:kern w:val="2"/>
          <w:sz w:val="32"/>
          <w:szCs w:val="32"/>
        </w:rPr>
        <w:t>。</w:t>
      </w:r>
    </w:p>
    <w:p w14:paraId="001B358F">
      <w:pPr>
        <w:widowControl w:val="0"/>
        <w:snapToGrid w:val="0"/>
        <w:spacing w:line="600" w:lineRule="exact"/>
        <w:ind w:firstLine="643" w:firstLineChars="200"/>
        <w:jc w:val="both"/>
        <w:rPr>
          <w:rFonts w:hint="default" w:ascii="Times New Roman" w:hAnsi="Times New Roman" w:eastAsia="方正仿宋_GBK" w:cs="Times New Roman"/>
          <w:b/>
          <w:kern w:val="2"/>
          <w:sz w:val="32"/>
          <w:szCs w:val="32"/>
          <w:lang w:val="en-US" w:eastAsia="zh-CN" w:bidi="ar-SA"/>
        </w:rPr>
      </w:pPr>
      <w:r>
        <w:rPr>
          <w:rFonts w:hint="default" w:ascii="Times New Roman" w:hAnsi="Times New Roman" w:eastAsia="方正仿宋_GBK" w:cs="Times New Roman"/>
          <w:b/>
          <w:kern w:val="2"/>
          <w:sz w:val="32"/>
          <w:szCs w:val="32"/>
          <w:lang w:val="en-US" w:eastAsia="zh-CN" w:bidi="ar-SA"/>
        </w:rPr>
        <w:t>第四条  储备肉入库</w:t>
      </w:r>
    </w:p>
    <w:p w14:paraId="138549F9">
      <w:pPr>
        <w:spacing w:line="600" w:lineRule="exact"/>
        <w:ind w:firstLine="640" w:firstLineChars="200"/>
        <w:rPr>
          <w:rFonts w:hint="default" w:ascii="Times New Roman" w:hAnsi="Times New Roman" w:eastAsia="方正仿宋_GBK" w:cs="Times New Roman"/>
          <w:kern w:val="2"/>
          <w:sz w:val="32"/>
          <w:szCs w:val="32"/>
        </w:rPr>
      </w:pPr>
      <w:r>
        <w:rPr>
          <w:rFonts w:hint="default" w:ascii="Times New Roman" w:hAnsi="Times New Roman" w:eastAsia="方正仿宋_GBK" w:cs="Times New Roman"/>
          <w:kern w:val="2"/>
          <w:sz w:val="32"/>
          <w:szCs w:val="32"/>
        </w:rPr>
        <w:t>乙方应按照本合同第一条约定在本合同签订之日起即启动冻猪肉储备工作，202</w:t>
      </w:r>
      <w:r>
        <w:rPr>
          <w:rFonts w:hint="eastAsia" w:ascii="Times New Roman" w:hAnsi="Times New Roman" w:eastAsia="方正仿宋_GBK" w:cs="Times New Roman"/>
          <w:kern w:val="2"/>
          <w:sz w:val="32"/>
          <w:szCs w:val="32"/>
          <w:lang w:val="en-US" w:eastAsia="zh-CN"/>
        </w:rPr>
        <w:t>6</w:t>
      </w:r>
      <w:r>
        <w:rPr>
          <w:rFonts w:hint="default" w:ascii="Times New Roman" w:hAnsi="Times New Roman" w:eastAsia="方正仿宋_GBK" w:cs="Times New Roman"/>
          <w:kern w:val="2"/>
          <w:sz w:val="32"/>
          <w:szCs w:val="32"/>
        </w:rPr>
        <w:t>年</w:t>
      </w:r>
      <w:r>
        <w:rPr>
          <w:rFonts w:hint="eastAsia" w:ascii="Times New Roman" w:hAnsi="Times New Roman" w:eastAsia="方正仿宋_GBK" w:cs="Times New Roman"/>
          <w:kern w:val="2"/>
          <w:sz w:val="32"/>
          <w:szCs w:val="32"/>
          <w:lang w:val="en-US" w:eastAsia="zh-CN"/>
        </w:rPr>
        <w:t xml:space="preserve">  </w:t>
      </w:r>
      <w:r>
        <w:rPr>
          <w:rFonts w:hint="default" w:ascii="Times New Roman" w:hAnsi="Times New Roman" w:eastAsia="方正仿宋_GBK" w:cs="Times New Roman"/>
          <w:kern w:val="2"/>
          <w:sz w:val="32"/>
          <w:szCs w:val="32"/>
        </w:rPr>
        <w:t>月</w:t>
      </w:r>
      <w:r>
        <w:rPr>
          <w:rFonts w:hint="eastAsia" w:ascii="Times New Roman" w:hAnsi="Times New Roman" w:eastAsia="方正仿宋_GBK" w:cs="Times New Roman"/>
          <w:kern w:val="2"/>
          <w:sz w:val="32"/>
          <w:szCs w:val="32"/>
          <w:lang w:val="en-US" w:eastAsia="zh-CN"/>
        </w:rPr>
        <w:t xml:space="preserve">  </w:t>
      </w:r>
      <w:r>
        <w:rPr>
          <w:rFonts w:hint="default" w:ascii="Times New Roman" w:hAnsi="Times New Roman" w:eastAsia="方正仿宋_GBK" w:cs="Times New Roman"/>
          <w:kern w:val="2"/>
          <w:sz w:val="32"/>
          <w:szCs w:val="32"/>
        </w:rPr>
        <w:t>日前完成储备肉的入库工作，并向甲方提供书面报告及相关入库证明材料由甲方组织验收。</w:t>
      </w:r>
    </w:p>
    <w:p w14:paraId="3F28D219">
      <w:pPr>
        <w:widowControl w:val="0"/>
        <w:spacing w:before="0" w:beforeAutospacing="0" w:after="0" w:afterAutospacing="0" w:line="600" w:lineRule="exact"/>
        <w:ind w:firstLine="640" w:firstLineChars="200"/>
        <w:jc w:val="left"/>
        <w:rPr>
          <w:rFonts w:ascii="Times New Roman" w:hAnsi="Times New Roman" w:eastAsia="方正仿宋_GBK" w:cs="Times New Roman"/>
          <w:kern w:val="0"/>
          <w:sz w:val="32"/>
          <w:szCs w:val="32"/>
          <w:lang w:val="en-US" w:eastAsia="zh-CN" w:bidi="ar-SA"/>
        </w:rPr>
      </w:pPr>
      <w:r>
        <w:rPr>
          <w:rFonts w:ascii="Times New Roman" w:hAnsi="Times New Roman" w:eastAsia="方正仿宋_GBK" w:cs="Times New Roman"/>
          <w:kern w:val="0"/>
          <w:sz w:val="32"/>
          <w:szCs w:val="32"/>
          <w:lang w:val="en-US" w:eastAsia="zh-CN" w:bidi="ar-SA"/>
        </w:rPr>
        <w:t>乙方如因特殊情况不能按合同规定完成储备任务或需调整合同任务，应提前七天书面</w:t>
      </w:r>
      <w:r>
        <w:rPr>
          <w:rFonts w:hint="eastAsia" w:ascii="Times New Roman" w:hAnsi="Times New Roman" w:eastAsia="方正仿宋_GBK" w:cs="Times New Roman"/>
          <w:kern w:val="0"/>
          <w:sz w:val="32"/>
          <w:szCs w:val="32"/>
          <w:lang w:val="en-US" w:eastAsia="zh-CN" w:bidi="ar-SA"/>
        </w:rPr>
        <w:t>向</w:t>
      </w:r>
      <w:r>
        <w:rPr>
          <w:rFonts w:ascii="Times New Roman" w:hAnsi="Times New Roman" w:eastAsia="方正仿宋_GBK" w:cs="Times New Roman"/>
          <w:kern w:val="0"/>
          <w:sz w:val="32"/>
          <w:szCs w:val="32"/>
          <w:lang w:val="en-US" w:eastAsia="zh-CN" w:bidi="ar-SA"/>
        </w:rPr>
        <w:t>甲方</w:t>
      </w:r>
      <w:r>
        <w:rPr>
          <w:rFonts w:hint="eastAsia" w:ascii="Times New Roman" w:hAnsi="Times New Roman" w:eastAsia="方正仿宋_GBK" w:cs="Times New Roman"/>
          <w:kern w:val="0"/>
          <w:sz w:val="32"/>
          <w:szCs w:val="32"/>
          <w:lang w:val="en-US" w:eastAsia="zh-CN" w:bidi="ar-SA"/>
        </w:rPr>
        <w:t>申请</w:t>
      </w:r>
      <w:r>
        <w:rPr>
          <w:rFonts w:ascii="Times New Roman" w:hAnsi="Times New Roman" w:eastAsia="方正仿宋_GBK" w:cs="Times New Roman"/>
          <w:kern w:val="0"/>
          <w:sz w:val="32"/>
          <w:szCs w:val="32"/>
          <w:lang w:val="en-US" w:eastAsia="zh-CN" w:bidi="ar-SA"/>
        </w:rPr>
        <w:t>，由甲方决定调整或取消其储备任务；因不可抗力不能按时完成收储任务时，应及时报告，经甲方同意，可以推迟收储时间或调整储备任务。未经甲方书面同意，乙方不能按时足量完成储备要求的，甲方有权根据实际情况调整乙方承储数量或决定是否解除储备合同</w:t>
      </w:r>
      <w:r>
        <w:rPr>
          <w:rFonts w:hint="eastAsia" w:ascii="Times New Roman" w:hAnsi="Times New Roman" w:eastAsia="方正仿宋_GBK" w:cs="Times New Roman"/>
          <w:kern w:val="0"/>
          <w:sz w:val="32"/>
          <w:szCs w:val="32"/>
          <w:lang w:val="en-US" w:eastAsia="zh-CN" w:bidi="ar-SA"/>
        </w:rPr>
        <w:t>并追究乙方违约责任</w:t>
      </w:r>
      <w:r>
        <w:rPr>
          <w:rFonts w:ascii="Times New Roman" w:hAnsi="Times New Roman" w:eastAsia="方正仿宋_GBK" w:cs="Times New Roman"/>
          <w:kern w:val="0"/>
          <w:sz w:val="32"/>
          <w:szCs w:val="32"/>
          <w:lang w:val="en-US" w:eastAsia="zh-CN" w:bidi="ar-SA"/>
        </w:rPr>
        <w:t>。</w:t>
      </w:r>
    </w:p>
    <w:p w14:paraId="3F427889">
      <w:pPr>
        <w:widowControl w:val="0"/>
        <w:snapToGrid w:val="0"/>
        <w:spacing w:line="600" w:lineRule="exact"/>
        <w:ind w:firstLine="643" w:firstLineChars="200"/>
        <w:jc w:val="both"/>
        <w:rPr>
          <w:rFonts w:hint="default" w:ascii="Times New Roman" w:hAnsi="Times New Roman" w:eastAsia="方正仿宋_GBK" w:cs="Times New Roman"/>
          <w:b/>
          <w:kern w:val="2"/>
          <w:sz w:val="32"/>
          <w:szCs w:val="32"/>
          <w:lang w:val="en-US" w:eastAsia="zh-CN" w:bidi="ar-SA"/>
        </w:rPr>
      </w:pPr>
      <w:r>
        <w:rPr>
          <w:rFonts w:hint="default" w:ascii="Times New Roman" w:hAnsi="Times New Roman" w:eastAsia="方正仿宋_GBK" w:cs="Times New Roman"/>
          <w:b/>
          <w:kern w:val="2"/>
          <w:sz w:val="32"/>
          <w:szCs w:val="32"/>
          <w:lang w:val="en-US" w:eastAsia="zh-CN" w:bidi="ar-SA"/>
        </w:rPr>
        <w:t>第五条  储备肉在库管理</w:t>
      </w:r>
    </w:p>
    <w:p w14:paraId="14F4B0A8">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乙方承储的储备肉要做到专仓（专垛）存放、专人管理、专账记载、专牌明示，确保账账相符、账物相符、质量良好和储存安全。冻猪肉承储仓库要在入口处明显位置挂牌，标明储备肉的品种、数量、入库时间等内容；信息化建设应逐步具备与省、市相关管理平台互联互通的基本要求。</w:t>
      </w:r>
    </w:p>
    <w:p w14:paraId="00ECAE4D">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2、乙方必须保证储备肉符合国家质量要求</w:t>
      </w:r>
      <w:r>
        <w:rPr>
          <w:rFonts w:hint="eastAsia" w:ascii="Times New Roman" w:hAnsi="Times New Roman" w:eastAsia="方正仿宋_GBK" w:cs="Times New Roman"/>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五证（检疫证、检验证、消毒证、非疫区证和产地检疫证）齐全。收储品种为进口冻猪肉的，剩余保质期必须1年以上；收储品种为国产冻猪肉的，剩余保质期必须半年以上。在满足储备任务要求的前提下，乙方可以根据储备肉保质期等情况自行轮换出库。储备肉在保质期内，每年至少轮换更新1次。轮换期间储备肉库存数量不得低于储备计划的80%，轮换出库后，必须在一个月内将轮换缺额补充到位。</w:t>
      </w:r>
    </w:p>
    <w:p w14:paraId="2162FAE8">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乙方必须按照国家冻猪肉储备质量标准严格执行质量和品质检验检测。甲方委托具有资质的质检机构定期进行质量公检。质检单位实施公检结束后，应及时向乙方出具检验报告，如公检不合格，甲方可提前终止</w:t>
      </w:r>
      <w:r>
        <w:rPr>
          <w:rFonts w:hint="eastAsia" w:ascii="Times New Roman" w:hAnsi="Times New Roman" w:eastAsia="方正仿宋_GBK" w:cs="Times New Roman"/>
          <w:kern w:val="2"/>
          <w:sz w:val="32"/>
          <w:szCs w:val="32"/>
          <w:lang w:val="en-US" w:eastAsia="zh-CN" w:bidi="ar-SA"/>
        </w:rPr>
        <w:t>（解除）</w:t>
      </w:r>
      <w:r>
        <w:rPr>
          <w:rFonts w:hint="default" w:ascii="Times New Roman" w:hAnsi="Times New Roman" w:eastAsia="方正仿宋_GBK" w:cs="Times New Roman"/>
          <w:kern w:val="2"/>
          <w:sz w:val="32"/>
          <w:szCs w:val="32"/>
          <w:lang w:val="en-US" w:eastAsia="zh-CN" w:bidi="ar-SA"/>
        </w:rPr>
        <w:t>本合同，取消乙方的储备资格。</w:t>
      </w:r>
    </w:p>
    <w:p w14:paraId="429DE7D9">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4、乙方应当按照甲方管理要求，建立储备管理制度</w:t>
      </w:r>
      <w:r>
        <w:rPr>
          <w:rFonts w:hint="eastAsia" w:ascii="Times New Roman" w:hAnsi="Times New Roman" w:eastAsia="方正仿宋_GBK" w:cs="Times New Roman"/>
          <w:kern w:val="2"/>
          <w:sz w:val="32"/>
          <w:szCs w:val="32"/>
          <w:lang w:val="en-US" w:eastAsia="zh-CN" w:bidi="ar-SA"/>
        </w:rPr>
        <w:t>和临时收储、应急动用保供预案，健全</w:t>
      </w:r>
      <w:r>
        <w:rPr>
          <w:rFonts w:hint="eastAsia" w:ascii="方正仿宋_GBK" w:hAnsi="Times New Roman" w:eastAsia="方正仿宋_GBK" w:cs="Times New Roman"/>
          <w:kern w:val="2"/>
          <w:sz w:val="32"/>
          <w:szCs w:val="32"/>
          <w:lang w:val="en-US" w:eastAsia="zh-CN" w:bidi="ar-SA"/>
        </w:rPr>
        <w:t>财务、储备肉进出库统计（包括入库时间、入库品种、批次、产地、生产日期、轮换时间等）及品质检验记录等工作台账，落实</w:t>
      </w:r>
      <w:r>
        <w:rPr>
          <w:rFonts w:hint="default" w:ascii="Times New Roman" w:hAnsi="Times New Roman" w:eastAsia="方正仿宋_GBK" w:cs="Times New Roman"/>
          <w:kern w:val="2"/>
          <w:sz w:val="32"/>
          <w:szCs w:val="32"/>
          <w:lang w:val="en-US" w:eastAsia="zh-CN" w:bidi="ar-SA"/>
        </w:rPr>
        <w:t>信息报送月报制度，于每月10日前向甲方报送上月储备肉</w:t>
      </w:r>
      <w:r>
        <w:rPr>
          <w:rFonts w:hint="eastAsia" w:ascii="Times New Roman" w:hAnsi="Times New Roman" w:eastAsia="方正仿宋_GBK" w:cs="Times New Roman"/>
          <w:kern w:val="2"/>
          <w:sz w:val="32"/>
          <w:szCs w:val="32"/>
          <w:lang w:val="en-US" w:eastAsia="zh-CN" w:bidi="ar-SA"/>
        </w:rPr>
        <w:t>在库</w:t>
      </w:r>
      <w:r>
        <w:rPr>
          <w:rFonts w:hint="default" w:ascii="Times New Roman" w:hAnsi="Times New Roman" w:eastAsia="方正仿宋_GBK" w:cs="Times New Roman"/>
          <w:kern w:val="2"/>
          <w:sz w:val="32"/>
          <w:szCs w:val="32"/>
          <w:lang w:val="en-US" w:eastAsia="zh-CN" w:bidi="ar-SA"/>
        </w:rPr>
        <w:t>情况，主要包括存储仓（垛）位、在库数量、质量及轮换等内容。</w:t>
      </w:r>
    </w:p>
    <w:p w14:paraId="5434B733">
      <w:pPr>
        <w:widowControl w:val="0"/>
        <w:snapToGrid w:val="0"/>
        <w:spacing w:line="600" w:lineRule="exact"/>
        <w:ind w:firstLine="643" w:firstLineChars="200"/>
        <w:jc w:val="both"/>
        <w:rPr>
          <w:rFonts w:hint="default" w:ascii="Times New Roman" w:hAnsi="Times New Roman" w:eastAsia="方正仿宋_GBK" w:cs="Times New Roman"/>
          <w:b/>
          <w:kern w:val="2"/>
          <w:sz w:val="32"/>
          <w:szCs w:val="32"/>
          <w:lang w:val="en-US" w:eastAsia="zh-CN" w:bidi="ar-SA"/>
        </w:rPr>
      </w:pPr>
      <w:r>
        <w:rPr>
          <w:rFonts w:hint="default" w:ascii="Times New Roman" w:hAnsi="Times New Roman" w:eastAsia="方正仿宋_GBK" w:cs="Times New Roman"/>
          <w:b/>
          <w:kern w:val="2"/>
          <w:sz w:val="32"/>
          <w:szCs w:val="32"/>
          <w:lang w:val="en-US" w:eastAsia="zh-CN" w:bidi="ar-SA"/>
        </w:rPr>
        <w:t>第六条  储备资金和储备费用</w:t>
      </w:r>
    </w:p>
    <w:p w14:paraId="23CED7F3">
      <w:pPr>
        <w:spacing w:line="600" w:lineRule="exact"/>
        <w:ind w:firstLine="640" w:firstLineChars="200"/>
        <w:rPr>
          <w:rFonts w:hint="default" w:ascii="Times New Roman" w:hAnsi="Times New Roman" w:eastAsia="方正仿宋_GBK" w:cs="Times New Roman"/>
          <w:kern w:val="2"/>
          <w:sz w:val="32"/>
          <w:szCs w:val="32"/>
        </w:rPr>
      </w:pPr>
      <w:r>
        <w:rPr>
          <w:rFonts w:hint="default" w:ascii="Times New Roman" w:hAnsi="Times New Roman" w:eastAsia="方正仿宋_GBK" w:cs="Times New Roman"/>
          <w:kern w:val="2"/>
          <w:sz w:val="32"/>
          <w:szCs w:val="32"/>
        </w:rPr>
        <w:t>1、储备猪肉所需</w:t>
      </w:r>
      <w:r>
        <w:rPr>
          <w:rFonts w:hint="eastAsia" w:ascii="Times New Roman" w:hAnsi="Times New Roman" w:eastAsia="方正仿宋_GBK" w:cs="Times New Roman"/>
          <w:kern w:val="2"/>
          <w:sz w:val="32"/>
          <w:szCs w:val="32"/>
        </w:rPr>
        <w:t>收储</w:t>
      </w:r>
      <w:r>
        <w:rPr>
          <w:rFonts w:hint="default" w:ascii="Times New Roman" w:hAnsi="Times New Roman" w:eastAsia="方正仿宋_GBK" w:cs="Times New Roman"/>
          <w:kern w:val="2"/>
          <w:sz w:val="32"/>
          <w:szCs w:val="32"/>
        </w:rPr>
        <w:t>资金</w:t>
      </w:r>
      <w:r>
        <w:rPr>
          <w:rFonts w:hint="eastAsia" w:ascii="Times New Roman" w:hAnsi="Times New Roman" w:eastAsia="方正仿宋_GBK" w:cs="Times New Roman"/>
          <w:kern w:val="2"/>
          <w:sz w:val="32"/>
          <w:szCs w:val="32"/>
        </w:rPr>
        <w:t>、</w:t>
      </w:r>
      <w:r>
        <w:rPr>
          <w:rFonts w:hint="default" w:ascii="Times New Roman" w:hAnsi="Times New Roman" w:eastAsia="方正仿宋_GBK" w:cs="Times New Roman"/>
          <w:kern w:val="2"/>
          <w:sz w:val="32"/>
          <w:szCs w:val="32"/>
        </w:rPr>
        <w:t>正常轮换更新费用和市场价差由乙方自行承担。宿迁市政府在动用储备肉时，如因宿迁市政府指令价格而导致的价差，由宿迁市财政部门按实核算后补贴给</w:t>
      </w:r>
      <w:r>
        <w:rPr>
          <w:rFonts w:hint="eastAsia" w:ascii="Times New Roman" w:hAnsi="Times New Roman" w:eastAsia="方正仿宋_GBK" w:cs="Times New Roman"/>
          <w:kern w:val="2"/>
          <w:sz w:val="32"/>
          <w:szCs w:val="32"/>
        </w:rPr>
        <w:t>乙方</w:t>
      </w:r>
      <w:r>
        <w:rPr>
          <w:rFonts w:hint="default" w:ascii="Times New Roman" w:hAnsi="Times New Roman" w:eastAsia="方正仿宋_GBK" w:cs="Times New Roman"/>
          <w:kern w:val="2"/>
          <w:sz w:val="32"/>
          <w:szCs w:val="32"/>
        </w:rPr>
        <w:t>。</w:t>
      </w:r>
    </w:p>
    <w:p w14:paraId="0945947A">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2、甲方按每年2</w:t>
      </w:r>
      <w:r>
        <w:rPr>
          <w:rFonts w:hint="eastAsia" w:ascii="Times New Roman" w:hAnsi="Times New Roman" w:eastAsia="方正仿宋_GBK" w:cs="Times New Roman"/>
          <w:kern w:val="2"/>
          <w:sz w:val="32"/>
          <w:szCs w:val="32"/>
          <w:lang w:val="en-US" w:eastAsia="zh-CN" w:bidi="ar-SA"/>
        </w:rPr>
        <w:t>800</w:t>
      </w:r>
      <w:r>
        <w:rPr>
          <w:rFonts w:hint="default" w:ascii="Times New Roman" w:hAnsi="Times New Roman" w:eastAsia="方正仿宋_GBK" w:cs="Times New Roman"/>
          <w:kern w:val="2"/>
          <w:sz w:val="32"/>
          <w:szCs w:val="32"/>
          <w:lang w:val="en-US" w:eastAsia="zh-CN" w:bidi="ar-SA"/>
        </w:rPr>
        <w:t>元/吨的标准对乙方实行定额补贴作为储备</w:t>
      </w:r>
      <w:r>
        <w:rPr>
          <w:rFonts w:hint="eastAsia" w:ascii="Times New Roman" w:hAnsi="Times New Roman" w:eastAsia="方正仿宋_GBK" w:cs="Times New Roman"/>
          <w:kern w:val="2"/>
          <w:sz w:val="32"/>
          <w:szCs w:val="32"/>
          <w:lang w:val="en-US" w:eastAsia="zh-CN" w:bidi="ar-SA"/>
        </w:rPr>
        <w:t>补贴</w:t>
      </w:r>
      <w:r>
        <w:rPr>
          <w:rFonts w:hint="default" w:ascii="Times New Roman" w:hAnsi="Times New Roman" w:eastAsia="方正仿宋_GBK" w:cs="Times New Roman"/>
          <w:kern w:val="2"/>
          <w:sz w:val="32"/>
          <w:szCs w:val="32"/>
          <w:lang w:val="en-US" w:eastAsia="zh-CN" w:bidi="ar-SA"/>
        </w:rPr>
        <w:t>费用，本合同期内累计补贴总额</w:t>
      </w:r>
      <w:r>
        <w:rPr>
          <w:rFonts w:hint="eastAsia" w:ascii="Times New Roman" w:hAnsi="Times New Roman" w:eastAsia="方正仿宋_GBK" w:cs="Times New Roman"/>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万元，大写：</w:t>
      </w:r>
      <w:r>
        <w:rPr>
          <w:rFonts w:hint="eastAsia" w:ascii="Times New Roman" w:hAnsi="Times New Roman" w:eastAsia="方正仿宋_GBK" w:cs="Times New Roman"/>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整（</w:t>
      </w:r>
      <w:r>
        <w:rPr>
          <w:rFonts w:hint="eastAsia" w:ascii="Times New Roman" w:hAnsi="Times New Roman" w:eastAsia="方正仿宋_GBK" w:cs="Times New Roman"/>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元/吨</w:t>
      </w:r>
      <w:r>
        <w:rPr>
          <w:rFonts w:hint="eastAsia" w:ascii="Times New Roman" w:hAnsi="Times New Roman" w:eastAsia="方正仿宋_GBK" w:cs="Times New Roman"/>
          <w:kern w:val="2"/>
          <w:sz w:val="32"/>
          <w:szCs w:val="32"/>
          <w:lang w:val="en-US" w:eastAsia="zh-CN" w:bidi="ar-SA"/>
        </w:rPr>
        <w:t>·年</w:t>
      </w:r>
      <w:r>
        <w:rPr>
          <w:rFonts w:hint="default" w:ascii="Times New Roman" w:hAnsi="Times New Roman" w:eastAsia="方正仿宋_GBK" w:cs="Times New Roman"/>
          <w:kern w:val="2"/>
          <w:sz w:val="32"/>
          <w:szCs w:val="32"/>
          <w:lang w:val="en-US" w:eastAsia="zh-CN" w:bidi="ar-SA"/>
        </w:rPr>
        <w:t>*160吨</w:t>
      </w:r>
      <w:r>
        <w:rPr>
          <w:rFonts w:hint="eastAsia" w:ascii="Times New Roman" w:hAnsi="Times New Roman" w:eastAsia="方正仿宋_GBK" w:cs="Times New Roman"/>
          <w:kern w:val="2"/>
          <w:sz w:val="32"/>
          <w:szCs w:val="32"/>
          <w:lang w:val="en-US" w:eastAsia="zh-CN" w:bidi="ar-SA"/>
        </w:rPr>
        <w:t>*3年</w:t>
      </w:r>
      <w:r>
        <w:rPr>
          <w:rFonts w:hint="default" w:ascii="Times New Roman" w:hAnsi="Times New Roman" w:eastAsia="方正仿宋_GBK" w:cs="Times New Roman"/>
          <w:kern w:val="2"/>
          <w:sz w:val="32"/>
          <w:szCs w:val="32"/>
          <w:lang w:val="en-US" w:eastAsia="zh-CN" w:bidi="ar-SA"/>
        </w:rPr>
        <w:t>）。</w:t>
      </w:r>
      <w:r>
        <w:rPr>
          <w:rFonts w:hint="eastAsia" w:ascii="Times New Roman" w:hAnsi="Times New Roman" w:eastAsia="方正仿宋_GBK" w:cs="Times New Roman"/>
          <w:kern w:val="2"/>
          <w:sz w:val="32"/>
          <w:szCs w:val="32"/>
          <w:lang w:val="en-US" w:eastAsia="zh-CN" w:bidi="ar-SA"/>
        </w:rPr>
        <w:t>上述价款包含乙方为履行本合同约定义务所需的全部费用。</w:t>
      </w:r>
    </w:p>
    <w:p w14:paraId="332EF4B3">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Times New Roman" w:hAnsi="Times New Roman" w:eastAsia="方正仿宋_GBK" w:cs="Times New Roman"/>
          <w:kern w:val="2"/>
          <w:sz w:val="32"/>
          <w:szCs w:val="32"/>
          <w:lang w:val="en-US" w:eastAsia="zh-CN" w:bidi="ar-SA"/>
        </w:rPr>
        <w:t>储备补贴费用</w:t>
      </w:r>
      <w:r>
        <w:rPr>
          <w:rFonts w:hint="eastAsia" w:ascii="方正仿宋_GBK" w:hAnsi="Times New Roman" w:eastAsia="方正仿宋_GBK" w:cs="Times New Roman"/>
          <w:kern w:val="2"/>
          <w:sz w:val="32"/>
          <w:szCs w:val="32"/>
          <w:lang w:val="en-US" w:eastAsia="zh-CN" w:bidi="ar-SA"/>
        </w:rPr>
        <w:t>采取年度滚动“先预拨，后清算”的方式拨付。即</w:t>
      </w:r>
      <w:r>
        <w:rPr>
          <w:rFonts w:hint="default" w:ascii="Times New Roman" w:hAnsi="Times New Roman" w:eastAsia="方正仿宋_GBK" w:cs="Times New Roman"/>
          <w:kern w:val="2"/>
          <w:sz w:val="32"/>
          <w:szCs w:val="32"/>
          <w:lang w:val="en-US" w:eastAsia="zh-CN" w:bidi="ar-SA"/>
        </w:rPr>
        <w:t>自承储合同签订之日起，</w:t>
      </w:r>
      <w:r>
        <w:rPr>
          <w:rFonts w:hint="eastAsia" w:ascii="Times New Roman" w:hAnsi="Times New Roman" w:eastAsia="方正仿宋_GBK" w:cs="Times New Roman"/>
          <w:kern w:val="2"/>
          <w:sz w:val="32"/>
          <w:szCs w:val="32"/>
          <w:lang w:val="en-US" w:eastAsia="zh-CN" w:bidi="ar-SA"/>
        </w:rPr>
        <w:t>按时按量</w:t>
      </w:r>
      <w:r>
        <w:rPr>
          <w:rFonts w:hint="default" w:ascii="Times New Roman" w:hAnsi="Times New Roman" w:eastAsia="方正仿宋_GBK" w:cs="Times New Roman"/>
          <w:kern w:val="2"/>
          <w:sz w:val="32"/>
          <w:szCs w:val="32"/>
          <w:lang w:val="en-US" w:eastAsia="zh-CN" w:bidi="ar-SA"/>
        </w:rPr>
        <w:t>完成储备肉入库后，由乙方向甲方提出储备</w:t>
      </w:r>
      <w:r>
        <w:rPr>
          <w:rFonts w:hint="eastAsia" w:ascii="Times New Roman" w:hAnsi="Times New Roman" w:eastAsia="方正仿宋_GBK" w:cs="Times New Roman"/>
          <w:kern w:val="2"/>
          <w:sz w:val="32"/>
          <w:szCs w:val="32"/>
          <w:lang w:val="en-US" w:eastAsia="zh-CN" w:bidi="ar-SA"/>
        </w:rPr>
        <w:t>补贴</w:t>
      </w:r>
      <w:r>
        <w:rPr>
          <w:rFonts w:hint="default" w:ascii="Times New Roman" w:hAnsi="Times New Roman" w:eastAsia="方正仿宋_GBK" w:cs="Times New Roman"/>
          <w:kern w:val="2"/>
          <w:sz w:val="32"/>
          <w:szCs w:val="32"/>
          <w:lang w:val="en-US" w:eastAsia="zh-CN" w:bidi="ar-SA"/>
        </w:rPr>
        <w:t>费用资金拨付申请，一并提供相关</w:t>
      </w:r>
      <w:r>
        <w:rPr>
          <w:rFonts w:hint="eastAsia" w:ascii="Times New Roman" w:hAnsi="Times New Roman" w:eastAsia="方正仿宋_GBK" w:cs="Times New Roman"/>
          <w:kern w:val="2"/>
          <w:sz w:val="32"/>
          <w:szCs w:val="32"/>
          <w:lang w:val="en-US" w:eastAsia="zh-CN" w:bidi="ar-SA"/>
        </w:rPr>
        <w:t>台账、票据等</w:t>
      </w:r>
      <w:r>
        <w:rPr>
          <w:rFonts w:hint="default" w:ascii="Times New Roman" w:hAnsi="Times New Roman" w:eastAsia="方正仿宋_GBK" w:cs="Times New Roman"/>
          <w:kern w:val="2"/>
          <w:sz w:val="32"/>
          <w:szCs w:val="32"/>
          <w:lang w:val="en-US" w:eastAsia="zh-CN" w:bidi="ar-SA"/>
        </w:rPr>
        <w:t>资料，经甲方组织核查通过后，预拨</w:t>
      </w:r>
      <w:r>
        <w:rPr>
          <w:rFonts w:hint="eastAsia" w:ascii="Times New Roman" w:hAnsi="Times New Roman" w:eastAsia="方正仿宋_GBK" w:cs="Times New Roman"/>
          <w:kern w:val="2"/>
          <w:sz w:val="32"/>
          <w:szCs w:val="32"/>
          <w:lang w:val="en-US" w:eastAsia="zh-CN" w:bidi="ar-SA"/>
        </w:rPr>
        <w:t>一年度</w:t>
      </w:r>
      <w:r>
        <w:rPr>
          <w:rFonts w:hint="default" w:ascii="Times New Roman" w:hAnsi="Times New Roman" w:eastAsia="方正仿宋_GBK" w:cs="Times New Roman"/>
          <w:kern w:val="2"/>
          <w:sz w:val="32"/>
          <w:szCs w:val="32"/>
          <w:lang w:val="en-US" w:eastAsia="zh-CN" w:bidi="ar-SA"/>
        </w:rPr>
        <w:t>60%储备</w:t>
      </w:r>
      <w:r>
        <w:rPr>
          <w:rFonts w:hint="eastAsia" w:ascii="Times New Roman" w:hAnsi="Times New Roman" w:eastAsia="方正仿宋_GBK" w:cs="Times New Roman"/>
          <w:kern w:val="2"/>
          <w:sz w:val="32"/>
          <w:szCs w:val="32"/>
          <w:lang w:val="en-US" w:eastAsia="zh-CN" w:bidi="ar-SA"/>
        </w:rPr>
        <w:t>补贴</w:t>
      </w:r>
      <w:r>
        <w:rPr>
          <w:rFonts w:hint="default" w:ascii="Times New Roman" w:hAnsi="Times New Roman" w:eastAsia="方正仿宋_GBK" w:cs="Times New Roman"/>
          <w:kern w:val="2"/>
          <w:sz w:val="32"/>
          <w:szCs w:val="32"/>
          <w:lang w:val="en-US" w:eastAsia="zh-CN" w:bidi="ar-SA"/>
        </w:rPr>
        <w:t>费用即人民币</w:t>
      </w:r>
      <w:r>
        <w:rPr>
          <w:rFonts w:hint="eastAsia" w:ascii="Times New Roman" w:hAnsi="Times New Roman" w:eastAsia="方正仿宋_GBK" w:cs="Times New Roman"/>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万元（大写：</w:t>
      </w:r>
      <w:r>
        <w:rPr>
          <w:rFonts w:hint="eastAsia" w:ascii="Times New Roman" w:hAnsi="Times New Roman" w:eastAsia="方正仿宋_GBK" w:cs="Times New Roman"/>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元整）；</w:t>
      </w:r>
      <w:r>
        <w:rPr>
          <w:rFonts w:hint="eastAsia" w:ascii="Times New Roman" w:hAnsi="Times New Roman" w:eastAsia="方正仿宋_GBK" w:cs="Times New Roman"/>
          <w:kern w:val="2"/>
          <w:sz w:val="32"/>
          <w:szCs w:val="32"/>
          <w:lang w:val="en-US" w:eastAsia="zh-CN" w:bidi="ar-SA"/>
        </w:rPr>
        <w:t>自次年起，每年经验收或审计后，符合储备要求的结算上一年度40%</w:t>
      </w:r>
      <w:r>
        <w:rPr>
          <w:rFonts w:hint="default" w:ascii="Times New Roman" w:hAnsi="Times New Roman" w:eastAsia="方正仿宋_GBK" w:cs="Times New Roman"/>
          <w:kern w:val="2"/>
          <w:sz w:val="32"/>
          <w:szCs w:val="32"/>
          <w:lang w:val="en-US" w:eastAsia="zh-CN" w:bidi="ar-SA"/>
        </w:rPr>
        <w:t>储备</w:t>
      </w:r>
      <w:r>
        <w:rPr>
          <w:rFonts w:hint="eastAsia" w:ascii="Times New Roman" w:hAnsi="Times New Roman" w:eastAsia="方正仿宋_GBK" w:cs="Times New Roman"/>
          <w:kern w:val="2"/>
          <w:sz w:val="32"/>
          <w:szCs w:val="32"/>
          <w:lang w:val="en-US" w:eastAsia="zh-CN" w:bidi="ar-SA"/>
        </w:rPr>
        <w:t>补贴</w:t>
      </w:r>
      <w:r>
        <w:rPr>
          <w:rFonts w:hint="default" w:ascii="Times New Roman" w:hAnsi="Times New Roman" w:eastAsia="方正仿宋_GBK" w:cs="Times New Roman"/>
          <w:kern w:val="2"/>
          <w:sz w:val="32"/>
          <w:szCs w:val="32"/>
          <w:lang w:val="en-US" w:eastAsia="zh-CN" w:bidi="ar-SA"/>
        </w:rPr>
        <w:t>费用</w:t>
      </w:r>
      <w:r>
        <w:rPr>
          <w:rFonts w:hint="eastAsia" w:ascii="Times New Roman" w:hAnsi="Times New Roman" w:eastAsia="方正仿宋_GBK" w:cs="Times New Roman"/>
          <w:kern w:val="2"/>
          <w:sz w:val="32"/>
          <w:szCs w:val="32"/>
          <w:lang w:val="en-US" w:eastAsia="zh-CN" w:bidi="ar-SA"/>
        </w:rPr>
        <w:t>尾款</w:t>
      </w:r>
      <w:r>
        <w:rPr>
          <w:rFonts w:hint="default" w:ascii="Times New Roman" w:hAnsi="Times New Roman" w:eastAsia="方正仿宋_GBK" w:cs="Times New Roman"/>
          <w:kern w:val="2"/>
          <w:sz w:val="32"/>
          <w:szCs w:val="32"/>
          <w:lang w:val="en-US" w:eastAsia="zh-CN" w:bidi="ar-SA"/>
        </w:rPr>
        <w:t>即人民币</w:t>
      </w:r>
      <w:r>
        <w:rPr>
          <w:rFonts w:hint="eastAsia" w:ascii="Times New Roman" w:hAnsi="Times New Roman" w:eastAsia="方正仿宋_GBK" w:cs="Times New Roman"/>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万元（大写：</w:t>
      </w:r>
      <w:r>
        <w:rPr>
          <w:rFonts w:hint="eastAsia" w:ascii="Times New Roman" w:hAnsi="Times New Roman" w:eastAsia="方正仿宋_GBK" w:cs="Times New Roman"/>
          <w:kern w:val="2"/>
          <w:sz w:val="32"/>
          <w:szCs w:val="32"/>
          <w:lang w:val="en-US" w:eastAsia="zh-CN" w:bidi="ar-SA"/>
        </w:rPr>
        <w:t xml:space="preserve"> 整</w:t>
      </w:r>
      <w:r>
        <w:rPr>
          <w:rFonts w:hint="default" w:ascii="Times New Roman" w:hAnsi="Times New Roman" w:eastAsia="方正仿宋_GBK" w:cs="Times New Roman"/>
          <w:kern w:val="2"/>
          <w:sz w:val="32"/>
          <w:szCs w:val="32"/>
          <w:lang w:val="en-US" w:eastAsia="zh-CN" w:bidi="ar-SA"/>
        </w:rPr>
        <w:t>）</w:t>
      </w:r>
      <w:r>
        <w:rPr>
          <w:rFonts w:hint="eastAsia" w:ascii="Times New Roman" w:hAnsi="Times New Roman" w:eastAsia="方正仿宋_GBK" w:cs="Times New Roman"/>
          <w:kern w:val="2"/>
          <w:sz w:val="32"/>
          <w:szCs w:val="32"/>
          <w:lang w:val="en-US" w:eastAsia="zh-CN" w:bidi="ar-SA"/>
        </w:rPr>
        <w:t>、预拨下一年度</w:t>
      </w:r>
      <w:r>
        <w:rPr>
          <w:rFonts w:hint="default" w:ascii="Times New Roman" w:hAnsi="Times New Roman" w:eastAsia="方正仿宋_GBK" w:cs="Times New Roman"/>
          <w:kern w:val="2"/>
          <w:sz w:val="32"/>
          <w:szCs w:val="32"/>
          <w:lang w:val="en-US" w:eastAsia="zh-CN" w:bidi="ar-SA"/>
        </w:rPr>
        <w:t>60%储备</w:t>
      </w:r>
      <w:r>
        <w:rPr>
          <w:rFonts w:hint="eastAsia" w:ascii="Times New Roman" w:hAnsi="Times New Roman" w:eastAsia="方正仿宋_GBK" w:cs="Times New Roman"/>
          <w:kern w:val="2"/>
          <w:sz w:val="32"/>
          <w:szCs w:val="32"/>
          <w:lang w:val="en-US" w:eastAsia="zh-CN" w:bidi="ar-SA"/>
        </w:rPr>
        <w:t>补贴</w:t>
      </w:r>
      <w:r>
        <w:rPr>
          <w:rFonts w:hint="default" w:ascii="Times New Roman" w:hAnsi="Times New Roman" w:eastAsia="方正仿宋_GBK" w:cs="Times New Roman"/>
          <w:kern w:val="2"/>
          <w:sz w:val="32"/>
          <w:szCs w:val="32"/>
          <w:lang w:val="en-US" w:eastAsia="zh-CN" w:bidi="ar-SA"/>
        </w:rPr>
        <w:t>费用即人民币</w:t>
      </w:r>
      <w:r>
        <w:rPr>
          <w:rFonts w:hint="eastAsia" w:ascii="Times New Roman" w:hAnsi="Times New Roman" w:eastAsia="方正仿宋_GBK" w:cs="Times New Roman"/>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万元（大写：</w:t>
      </w:r>
      <w:r>
        <w:rPr>
          <w:rFonts w:hint="eastAsia" w:ascii="Times New Roman" w:hAnsi="Times New Roman" w:eastAsia="方正仿宋_GBK" w:cs="Times New Roman"/>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整）</w:t>
      </w:r>
      <w:r>
        <w:rPr>
          <w:rFonts w:hint="eastAsia" w:ascii="Times New Roman" w:hAnsi="Times New Roman" w:eastAsia="方正仿宋_GBK" w:cs="Times New Roman"/>
          <w:kern w:val="2"/>
          <w:sz w:val="32"/>
          <w:szCs w:val="32"/>
          <w:lang w:val="en-US" w:eastAsia="zh-CN" w:bidi="ar-SA"/>
        </w:rPr>
        <w:t>；最后</w:t>
      </w:r>
      <w:r>
        <w:rPr>
          <w:rFonts w:hint="default" w:ascii="Times New Roman" w:hAnsi="Times New Roman" w:eastAsia="方正仿宋_GBK" w:cs="Times New Roman"/>
          <w:kern w:val="2"/>
          <w:sz w:val="32"/>
          <w:szCs w:val="32"/>
          <w:lang w:val="en-US" w:eastAsia="zh-CN" w:bidi="ar-SA"/>
        </w:rPr>
        <w:t>剩余</w:t>
      </w:r>
      <w:r>
        <w:rPr>
          <w:rFonts w:hint="eastAsia" w:ascii="Times New Roman" w:hAnsi="Times New Roman" w:eastAsia="方正仿宋_GBK" w:cs="Times New Roman"/>
          <w:kern w:val="2"/>
          <w:sz w:val="32"/>
          <w:szCs w:val="32"/>
          <w:lang w:val="en-US" w:eastAsia="zh-CN" w:bidi="ar-SA"/>
        </w:rPr>
        <w:t>一年度</w:t>
      </w:r>
      <w:r>
        <w:rPr>
          <w:rFonts w:hint="default" w:ascii="Times New Roman" w:hAnsi="Times New Roman" w:eastAsia="方正仿宋_GBK" w:cs="Times New Roman"/>
          <w:kern w:val="2"/>
          <w:sz w:val="32"/>
          <w:szCs w:val="32"/>
          <w:lang w:val="en-US" w:eastAsia="zh-CN" w:bidi="ar-SA"/>
        </w:rPr>
        <w:t>40%储备</w:t>
      </w:r>
      <w:r>
        <w:rPr>
          <w:rFonts w:hint="eastAsia" w:ascii="Times New Roman" w:hAnsi="Times New Roman" w:eastAsia="方正仿宋_GBK" w:cs="Times New Roman"/>
          <w:kern w:val="2"/>
          <w:sz w:val="32"/>
          <w:szCs w:val="32"/>
          <w:lang w:val="en-US" w:eastAsia="zh-CN" w:bidi="ar-SA"/>
        </w:rPr>
        <w:t>补贴</w:t>
      </w:r>
      <w:r>
        <w:rPr>
          <w:rFonts w:hint="default" w:ascii="Times New Roman" w:hAnsi="Times New Roman" w:eastAsia="方正仿宋_GBK" w:cs="Times New Roman"/>
          <w:kern w:val="2"/>
          <w:sz w:val="32"/>
          <w:szCs w:val="32"/>
          <w:lang w:val="en-US" w:eastAsia="zh-CN" w:bidi="ar-SA"/>
        </w:rPr>
        <w:t>费用即人民币</w:t>
      </w:r>
      <w:r>
        <w:rPr>
          <w:rFonts w:hint="eastAsia" w:ascii="Times New Roman" w:hAnsi="Times New Roman" w:eastAsia="方正仿宋_GBK" w:cs="Times New Roman"/>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万元（大写：</w:t>
      </w:r>
      <w:r>
        <w:rPr>
          <w:rFonts w:hint="eastAsia" w:ascii="Times New Roman" w:hAnsi="Times New Roman" w:eastAsia="方正仿宋_GBK" w:cs="Times New Roman"/>
          <w:kern w:val="2"/>
          <w:sz w:val="32"/>
          <w:szCs w:val="32"/>
          <w:lang w:val="en-US" w:eastAsia="zh-CN" w:bidi="ar-SA"/>
        </w:rPr>
        <w:t xml:space="preserve"> 元整</w:t>
      </w:r>
      <w:r>
        <w:rPr>
          <w:rFonts w:hint="default" w:ascii="Times New Roman" w:hAnsi="Times New Roman" w:eastAsia="方正仿宋_GBK" w:cs="Times New Roman"/>
          <w:kern w:val="2"/>
          <w:sz w:val="32"/>
          <w:szCs w:val="32"/>
          <w:lang w:val="en-US" w:eastAsia="zh-CN" w:bidi="ar-SA"/>
        </w:rPr>
        <w:t>）在合同约定储备期满经验收</w:t>
      </w:r>
      <w:r>
        <w:rPr>
          <w:rFonts w:hint="eastAsia" w:ascii="Times New Roman" w:hAnsi="Times New Roman" w:eastAsia="方正仿宋_GBK" w:cs="Times New Roman"/>
          <w:kern w:val="2"/>
          <w:sz w:val="32"/>
          <w:szCs w:val="32"/>
          <w:lang w:val="en-US" w:eastAsia="zh-CN" w:bidi="ar-SA"/>
        </w:rPr>
        <w:t>或审计</w:t>
      </w:r>
      <w:r>
        <w:rPr>
          <w:rFonts w:hint="default" w:ascii="Times New Roman" w:hAnsi="Times New Roman" w:eastAsia="方正仿宋_GBK" w:cs="Times New Roman"/>
          <w:kern w:val="2"/>
          <w:sz w:val="32"/>
          <w:szCs w:val="32"/>
          <w:lang w:val="en-US" w:eastAsia="zh-CN" w:bidi="ar-SA"/>
        </w:rPr>
        <w:t>后拨付（无息）。</w:t>
      </w:r>
      <w:r>
        <w:rPr>
          <w:rFonts w:hint="eastAsia" w:ascii="Times New Roman" w:hAnsi="Times New Roman" w:eastAsia="方正仿宋_GBK" w:cs="Times New Roman"/>
          <w:kern w:val="2"/>
          <w:sz w:val="32"/>
          <w:szCs w:val="32"/>
          <w:lang w:val="en-US" w:eastAsia="zh-CN" w:bidi="ar-SA"/>
        </w:rPr>
        <w:t>甲方付款前，乙方应按要求开具相应发票，否则甲方有权拒绝付款且不视为违约。甲方有权从应付款项中直接扣除乙方应承担的违约金及其他费用。</w:t>
      </w:r>
    </w:p>
    <w:p w14:paraId="04AB07FD">
      <w:pPr>
        <w:spacing w:line="600" w:lineRule="exact"/>
        <w:ind w:firstLine="643" w:firstLineChars="200"/>
        <w:rPr>
          <w:rFonts w:hint="default" w:ascii="Times New Roman" w:hAnsi="Times New Roman" w:eastAsia="方正仿宋_GBK" w:cs="Times New Roman"/>
          <w:b/>
          <w:kern w:val="2"/>
          <w:sz w:val="32"/>
          <w:szCs w:val="32"/>
        </w:rPr>
      </w:pPr>
      <w:r>
        <w:rPr>
          <w:rFonts w:hint="default" w:ascii="Times New Roman" w:hAnsi="Times New Roman" w:eastAsia="方正仿宋_GBK" w:cs="Times New Roman"/>
          <w:b/>
          <w:kern w:val="2"/>
          <w:sz w:val="32"/>
          <w:szCs w:val="32"/>
        </w:rPr>
        <w:t>第七条  储备肉动用</w:t>
      </w:r>
    </w:p>
    <w:p w14:paraId="20B322E4">
      <w:pPr>
        <w:spacing w:line="600" w:lineRule="exact"/>
        <w:ind w:firstLine="640" w:firstLineChars="200"/>
        <w:rPr>
          <w:rFonts w:hint="default" w:ascii="Times New Roman" w:hAnsi="Times New Roman" w:eastAsia="方正仿宋_GBK" w:cs="Times New Roman"/>
          <w:kern w:val="2"/>
          <w:sz w:val="32"/>
          <w:szCs w:val="32"/>
        </w:rPr>
      </w:pPr>
      <w:r>
        <w:rPr>
          <w:rFonts w:hint="default" w:ascii="Times New Roman" w:hAnsi="Times New Roman" w:eastAsia="方正仿宋_GBK" w:cs="Times New Roman"/>
          <w:kern w:val="2"/>
          <w:sz w:val="32"/>
          <w:szCs w:val="32"/>
        </w:rPr>
        <w:t>1、合同期内，当甲方需动用储备肉时，乙方应按照甲方下达的储备肉动用计划，及时、足额、保质地将储备肉移交给甲方处理，或根据甲方计划安排组织市场投放，运输费用</w:t>
      </w:r>
      <w:r>
        <w:rPr>
          <w:rFonts w:hint="eastAsia" w:ascii="Times New Roman" w:hAnsi="Times New Roman" w:eastAsia="方正仿宋_GBK" w:cs="Times New Roman"/>
          <w:kern w:val="2"/>
          <w:sz w:val="32"/>
          <w:szCs w:val="32"/>
        </w:rPr>
        <w:t>等相关费用</w:t>
      </w:r>
      <w:r>
        <w:rPr>
          <w:rFonts w:hint="default" w:ascii="Times New Roman" w:hAnsi="Times New Roman" w:eastAsia="方正仿宋_GBK" w:cs="Times New Roman"/>
          <w:kern w:val="2"/>
          <w:sz w:val="32"/>
          <w:szCs w:val="32"/>
        </w:rPr>
        <w:t>由乙方承担。</w:t>
      </w:r>
    </w:p>
    <w:p w14:paraId="40F3D348">
      <w:pPr>
        <w:spacing w:line="600" w:lineRule="exact"/>
        <w:rPr>
          <w:rFonts w:hint="default" w:ascii="Times New Roman" w:hAnsi="Times New Roman" w:eastAsia="方正仿宋_GBK" w:cs="Times New Roman"/>
          <w:kern w:val="2"/>
          <w:sz w:val="32"/>
          <w:szCs w:val="32"/>
        </w:rPr>
      </w:pPr>
      <w:r>
        <w:rPr>
          <w:rFonts w:hint="default" w:ascii="Times New Roman" w:hAnsi="Times New Roman" w:eastAsia="方正仿宋_GBK" w:cs="Times New Roman"/>
          <w:kern w:val="2"/>
          <w:sz w:val="32"/>
          <w:szCs w:val="32"/>
        </w:rPr>
        <w:t xml:space="preserve">    2、储备肉动用后，乙方应及时补库，确保储备数量充足符合本合同约定。如遇特殊情况，不能按时补库，需报甲方批准同意。</w:t>
      </w:r>
    </w:p>
    <w:p w14:paraId="16C157E5">
      <w:pPr>
        <w:widowControl w:val="0"/>
        <w:snapToGrid w:val="0"/>
        <w:spacing w:line="600" w:lineRule="exact"/>
        <w:ind w:firstLine="643" w:firstLineChars="200"/>
        <w:jc w:val="both"/>
        <w:rPr>
          <w:rFonts w:hint="default" w:ascii="Times New Roman" w:hAnsi="Times New Roman" w:eastAsia="方正仿宋_GBK" w:cs="Times New Roman"/>
          <w:b/>
          <w:kern w:val="2"/>
          <w:sz w:val="32"/>
          <w:szCs w:val="32"/>
          <w:lang w:val="en-US" w:eastAsia="zh-CN" w:bidi="ar-SA"/>
        </w:rPr>
      </w:pPr>
      <w:r>
        <w:rPr>
          <w:rFonts w:hint="default" w:ascii="Times New Roman" w:hAnsi="Times New Roman" w:eastAsia="方正仿宋_GBK" w:cs="Times New Roman"/>
          <w:b/>
          <w:kern w:val="2"/>
          <w:sz w:val="32"/>
          <w:szCs w:val="32"/>
          <w:lang w:val="en-US" w:eastAsia="zh-CN" w:bidi="ar-SA"/>
        </w:rPr>
        <w:t>第八条  违约责任</w:t>
      </w:r>
    </w:p>
    <w:p w14:paraId="2B6ED486">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1、甲、乙双方都应严格履行本合同各项条款。</w:t>
      </w:r>
    </w:p>
    <w:p w14:paraId="63548827">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2、甲方将根据实际情况，对乙方落实储备计划情况进行监督检查</w:t>
      </w:r>
      <w:r>
        <w:rPr>
          <w:rFonts w:hint="eastAsia" w:ascii="Times New Roman" w:hAnsi="Times New Roman" w:eastAsia="方正仿宋_GBK" w:cs="Times New Roman"/>
          <w:kern w:val="2"/>
          <w:sz w:val="32"/>
          <w:szCs w:val="32"/>
          <w:lang w:val="en-US" w:eastAsia="zh-CN" w:bidi="ar-SA"/>
        </w:rPr>
        <w:t>或委托第三方审计</w:t>
      </w:r>
      <w:r>
        <w:rPr>
          <w:rFonts w:hint="default" w:ascii="Times New Roman" w:hAnsi="Times New Roman" w:eastAsia="方正仿宋_GBK" w:cs="Times New Roman"/>
          <w:kern w:val="2"/>
          <w:sz w:val="32"/>
          <w:szCs w:val="32"/>
          <w:lang w:val="en-US" w:eastAsia="zh-CN" w:bidi="ar-SA"/>
        </w:rPr>
        <w:t>。</w:t>
      </w:r>
      <w:r>
        <w:rPr>
          <w:rFonts w:hint="eastAsia" w:ascii="Times New Roman" w:hAnsi="Times New Roman" w:eastAsia="方正仿宋_GBK" w:cs="Times New Roman"/>
          <w:kern w:val="2"/>
          <w:sz w:val="32"/>
          <w:szCs w:val="32"/>
          <w:lang w:val="en-US" w:eastAsia="zh-CN" w:bidi="ar-SA"/>
        </w:rPr>
        <w:t>对发现的问题，如</w:t>
      </w:r>
      <w:r>
        <w:rPr>
          <w:rFonts w:hint="default" w:ascii="Times New Roman" w:hAnsi="Times New Roman" w:eastAsia="方正仿宋_GBK" w:cs="Times New Roman"/>
          <w:kern w:val="2"/>
          <w:sz w:val="32"/>
          <w:szCs w:val="32"/>
          <w:lang w:val="en-US" w:eastAsia="zh-CN" w:bidi="ar-SA"/>
        </w:rPr>
        <w:t>弄虚作假、账实不符、以陈顶新、</w:t>
      </w:r>
      <w:r>
        <w:rPr>
          <w:rFonts w:hint="eastAsia" w:ascii="方正仿宋_GBK" w:hAnsi="Times New Roman" w:eastAsia="方正仿宋_GBK" w:cs="Times New Roman"/>
          <w:kern w:val="2"/>
          <w:sz w:val="32"/>
          <w:szCs w:val="32"/>
          <w:lang w:val="en-US" w:eastAsia="zh-CN" w:bidi="ar-SA"/>
        </w:rPr>
        <w:t>以次充好、</w:t>
      </w:r>
      <w:r>
        <w:rPr>
          <w:rFonts w:hint="default" w:ascii="Times New Roman" w:hAnsi="Times New Roman" w:eastAsia="方正仿宋_GBK" w:cs="Times New Roman"/>
          <w:kern w:val="2"/>
          <w:sz w:val="32"/>
          <w:szCs w:val="32"/>
          <w:lang w:val="en-US" w:eastAsia="zh-CN" w:bidi="ar-SA"/>
        </w:rPr>
        <w:t>存储期限内品种数量短缺、</w:t>
      </w:r>
      <w:r>
        <w:rPr>
          <w:rFonts w:hint="eastAsia" w:ascii="Times New Roman" w:hAnsi="Times New Roman" w:eastAsia="方正仿宋_GBK" w:cs="Times New Roman"/>
          <w:kern w:val="2"/>
          <w:sz w:val="32"/>
          <w:szCs w:val="32"/>
          <w:lang w:val="en-US" w:eastAsia="zh-CN" w:bidi="ar-SA"/>
        </w:rPr>
        <w:t>质量</w:t>
      </w:r>
      <w:r>
        <w:rPr>
          <w:rFonts w:hint="default" w:ascii="Times New Roman" w:hAnsi="Times New Roman" w:eastAsia="方正仿宋_GBK" w:cs="Times New Roman"/>
          <w:kern w:val="2"/>
          <w:sz w:val="32"/>
          <w:szCs w:val="32"/>
          <w:lang w:val="en-US" w:eastAsia="zh-CN" w:bidi="ar-SA"/>
        </w:rPr>
        <w:t>不合格、不配合检查</w:t>
      </w:r>
      <w:r>
        <w:rPr>
          <w:rFonts w:hint="eastAsia" w:ascii="Times New Roman" w:hAnsi="Times New Roman" w:eastAsia="方正仿宋_GBK" w:cs="Times New Roman"/>
          <w:kern w:val="2"/>
          <w:sz w:val="32"/>
          <w:szCs w:val="32"/>
          <w:lang w:val="en-US" w:eastAsia="zh-CN" w:bidi="ar-SA"/>
        </w:rPr>
        <w:t>或审计</w:t>
      </w:r>
      <w:r>
        <w:rPr>
          <w:rFonts w:hint="default" w:ascii="Times New Roman" w:hAnsi="Times New Roman" w:eastAsia="方正仿宋_GBK" w:cs="Times New Roman"/>
          <w:kern w:val="2"/>
          <w:sz w:val="32"/>
          <w:szCs w:val="32"/>
          <w:lang w:val="en-US" w:eastAsia="zh-CN" w:bidi="ar-SA"/>
        </w:rPr>
        <w:t>工作、不执行储备肉动用指令或执行不力</w:t>
      </w:r>
      <w:r>
        <w:rPr>
          <w:rFonts w:hint="eastAsia" w:ascii="Times New Roman" w:hAnsi="Times New Roman" w:eastAsia="方正仿宋_GBK" w:cs="Times New Roman"/>
          <w:kern w:val="2"/>
          <w:sz w:val="32"/>
          <w:szCs w:val="32"/>
          <w:lang w:val="en-US" w:eastAsia="zh-CN" w:bidi="ar-SA"/>
        </w:rPr>
        <w:t>等</w:t>
      </w:r>
      <w:r>
        <w:rPr>
          <w:rFonts w:hint="default" w:ascii="Times New Roman" w:hAnsi="Times New Roman" w:eastAsia="方正仿宋_GBK" w:cs="Times New Roman"/>
          <w:kern w:val="2"/>
          <w:sz w:val="32"/>
          <w:szCs w:val="32"/>
          <w:lang w:val="en-US" w:eastAsia="zh-CN" w:bidi="ar-SA"/>
        </w:rPr>
        <w:t>，甲方有权要求乙方进行整改，同时扣减储备</w:t>
      </w:r>
      <w:r>
        <w:rPr>
          <w:rFonts w:hint="eastAsia" w:ascii="Times New Roman" w:hAnsi="Times New Roman" w:eastAsia="方正仿宋_GBK" w:cs="Times New Roman"/>
          <w:kern w:val="2"/>
          <w:sz w:val="32"/>
          <w:szCs w:val="32"/>
          <w:lang w:val="en-US" w:eastAsia="zh-CN" w:bidi="ar-SA"/>
        </w:rPr>
        <w:t>补贴</w:t>
      </w:r>
      <w:r>
        <w:rPr>
          <w:rFonts w:hint="default" w:ascii="Times New Roman" w:hAnsi="Times New Roman" w:eastAsia="方正仿宋_GBK" w:cs="Times New Roman"/>
          <w:kern w:val="2"/>
          <w:sz w:val="32"/>
          <w:szCs w:val="32"/>
          <w:lang w:val="en-US" w:eastAsia="zh-CN" w:bidi="ar-SA"/>
        </w:rPr>
        <w:t>费用；未按甲方要求进行整改的，甲方有权取消乙方储备资格，解除本合同，要求乙方全额退回甲方已付款项。</w:t>
      </w:r>
    </w:p>
    <w:p w14:paraId="05832172">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3、乙方代储的储备肉，未经甲方书面同意，乙方无权动用，如擅自动用，甲方有权解除本合同，要求乙方全额退回甲方已付款项，不足弥补给甲方造成损失，乙方须补足。</w:t>
      </w:r>
    </w:p>
    <w:p w14:paraId="297AC77E">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如乙方入储不足、未及时轮换、因管理不善造成储备肉损失或不及时按规定报送相关信息，甲方有权要求乙方进行整改，同时扣减储备费用；未按甲方要求进行整改的，甲方有权取消乙方储备资格，解除本合同，要求乙方全额退回甲方已付款项。</w:t>
      </w:r>
    </w:p>
    <w:p w14:paraId="767A79A6">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eastAsia" w:ascii="Times New Roman" w:hAnsi="Times New Roman" w:eastAsia="方正仿宋_GBK" w:cs="Times New Roman"/>
          <w:kern w:val="2"/>
          <w:sz w:val="32"/>
          <w:szCs w:val="32"/>
          <w:lang w:val="en-US" w:eastAsia="zh-CN" w:bidi="ar-SA"/>
        </w:rPr>
        <w:t>5</w:t>
      </w:r>
      <w:r>
        <w:rPr>
          <w:rFonts w:hint="default" w:ascii="Times New Roman" w:hAnsi="Times New Roman" w:eastAsia="方正仿宋_GBK" w:cs="Times New Roman"/>
          <w:kern w:val="2"/>
          <w:sz w:val="32"/>
          <w:szCs w:val="32"/>
          <w:lang w:val="en-US" w:eastAsia="zh-CN" w:bidi="ar-SA"/>
        </w:rPr>
        <w:t>、非因甲方原因，乙方未全面履行本合同的其他约定之一的，甲方有权要求其继续履行或整改，同时扣减储备费用；未按甲方要求进行整改的，甲方有权解除本合同，要求乙方全额退回甲方已付款项，不足弥补甲方损失的，乙方仍需赔偿。</w:t>
      </w:r>
    </w:p>
    <w:p w14:paraId="1FD448A4">
      <w:pPr>
        <w:widowControl w:val="0"/>
        <w:snapToGrid w:val="0"/>
        <w:spacing w:line="600" w:lineRule="exact"/>
        <w:ind w:firstLine="640"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 xml:space="preserve"> </w:t>
      </w:r>
      <w:r>
        <w:rPr>
          <w:rFonts w:hint="eastAsia" w:ascii="Times New Roman" w:hAnsi="Times New Roman" w:eastAsia="方正仿宋_GBK" w:cs="Times New Roman"/>
          <w:kern w:val="2"/>
          <w:sz w:val="32"/>
          <w:szCs w:val="32"/>
          <w:lang w:val="en-US" w:eastAsia="zh-CN" w:bidi="ar-SA"/>
        </w:rPr>
        <w:t>6</w:t>
      </w:r>
      <w:r>
        <w:rPr>
          <w:rFonts w:hint="default" w:ascii="Times New Roman" w:hAnsi="Times New Roman" w:eastAsia="方正仿宋_GBK" w:cs="Times New Roman"/>
          <w:kern w:val="2"/>
          <w:sz w:val="32"/>
          <w:szCs w:val="32"/>
          <w:lang w:val="en-US" w:eastAsia="zh-CN" w:bidi="ar-SA"/>
        </w:rPr>
        <w:t>、违约方还应承担守约方为主张权益支付的律师费、诉讼费、保全费、保全保险费等维权费用。</w:t>
      </w:r>
    </w:p>
    <w:p w14:paraId="3E50EB8B">
      <w:pPr>
        <w:widowControl w:val="0"/>
        <w:snapToGrid w:val="0"/>
        <w:spacing w:line="600" w:lineRule="exact"/>
        <w:ind w:firstLine="643" w:firstLineChars="200"/>
        <w:jc w:val="both"/>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b/>
          <w:kern w:val="2"/>
          <w:sz w:val="32"/>
          <w:szCs w:val="32"/>
          <w:lang w:val="en-US" w:eastAsia="zh-CN" w:bidi="ar-SA"/>
        </w:rPr>
        <w:t xml:space="preserve">第九条  </w:t>
      </w:r>
      <w:r>
        <w:rPr>
          <w:rFonts w:hint="default" w:ascii="Times New Roman" w:hAnsi="Times New Roman" w:eastAsia="方正仿宋_GBK" w:cs="Times New Roman"/>
          <w:kern w:val="2"/>
          <w:sz w:val="32"/>
          <w:szCs w:val="32"/>
          <w:lang w:val="en-US" w:eastAsia="zh-CN" w:bidi="ar-SA"/>
        </w:rPr>
        <w:t>甲方除按规定拨付储备费用外，不承担因</w:t>
      </w:r>
      <w:r>
        <w:rPr>
          <w:rFonts w:hint="eastAsia" w:ascii="Times New Roman" w:hAnsi="Times New Roman" w:eastAsia="方正仿宋_GBK" w:cs="Times New Roman"/>
          <w:kern w:val="2"/>
          <w:sz w:val="32"/>
          <w:szCs w:val="32"/>
          <w:lang w:val="en-US" w:eastAsia="zh-CN" w:bidi="ar-SA"/>
        </w:rPr>
        <w:t>储备</w:t>
      </w:r>
      <w:r>
        <w:rPr>
          <w:rFonts w:hint="default" w:ascii="Times New Roman" w:hAnsi="Times New Roman" w:eastAsia="方正仿宋_GBK" w:cs="Times New Roman"/>
          <w:kern w:val="2"/>
          <w:sz w:val="32"/>
          <w:szCs w:val="32"/>
          <w:lang w:val="en-US" w:eastAsia="zh-CN" w:bidi="ar-SA"/>
        </w:rPr>
        <w:t>而产生的任何风险和责任。</w:t>
      </w:r>
    </w:p>
    <w:p w14:paraId="039C98B5">
      <w:pPr>
        <w:spacing w:line="600" w:lineRule="exact"/>
        <w:ind w:firstLine="643" w:firstLineChars="200"/>
        <w:rPr>
          <w:rFonts w:hint="default" w:ascii="Times New Roman" w:hAnsi="Times New Roman" w:eastAsia="方正仿宋_GBK" w:cs="Times New Roman"/>
          <w:kern w:val="2"/>
          <w:sz w:val="32"/>
          <w:szCs w:val="32"/>
        </w:rPr>
      </w:pPr>
      <w:r>
        <w:rPr>
          <w:rFonts w:hint="default" w:ascii="Times New Roman" w:hAnsi="Times New Roman" w:eastAsia="方正仿宋_GBK" w:cs="Times New Roman"/>
          <w:b/>
          <w:kern w:val="2"/>
          <w:sz w:val="32"/>
          <w:szCs w:val="32"/>
        </w:rPr>
        <w:t xml:space="preserve">第十条 </w:t>
      </w:r>
      <w:r>
        <w:rPr>
          <w:rFonts w:hint="default" w:ascii="Times New Roman" w:hAnsi="Times New Roman" w:eastAsia="方正仿宋_GBK" w:cs="Times New Roman"/>
          <w:kern w:val="2"/>
          <w:sz w:val="32"/>
          <w:szCs w:val="32"/>
        </w:rPr>
        <w:t xml:space="preserve"> </w:t>
      </w:r>
      <w:r>
        <w:rPr>
          <w:rFonts w:hint="eastAsia" w:ascii="Times New Roman" w:hAnsi="Times New Roman" w:eastAsia="方正仿宋_GBK" w:cs="Times New Roman"/>
          <w:kern w:val="2"/>
          <w:sz w:val="32"/>
          <w:szCs w:val="32"/>
        </w:rPr>
        <w:t>关于市级猪肉储备收储、轮换、动用、监督管理等其他未尽事宜按照</w:t>
      </w:r>
      <w:r>
        <w:rPr>
          <w:rFonts w:hint="default" w:ascii="Times New Roman" w:hAnsi="Times New Roman" w:eastAsia="方正仿宋_GBK" w:cs="Times New Roman"/>
          <w:kern w:val="2"/>
          <w:sz w:val="32"/>
          <w:szCs w:val="32"/>
        </w:rPr>
        <w:t>《宿迁市市级猪肉储备管理办法》</w:t>
      </w:r>
      <w:r>
        <w:rPr>
          <w:rFonts w:hint="eastAsia" w:ascii="Times New Roman" w:hAnsi="Times New Roman" w:eastAsia="方正仿宋_GBK" w:cs="Times New Roman"/>
          <w:kern w:val="2"/>
          <w:sz w:val="32"/>
          <w:szCs w:val="32"/>
        </w:rPr>
        <w:t>相关条款执行。</w:t>
      </w:r>
    </w:p>
    <w:p w14:paraId="32DD1961">
      <w:pPr>
        <w:spacing w:line="600" w:lineRule="exact"/>
        <w:ind w:firstLine="643" w:firstLineChars="200"/>
        <w:rPr>
          <w:rFonts w:hint="default" w:ascii="Times New Roman" w:hAnsi="Times New Roman" w:eastAsia="方正仿宋_GBK" w:cs="Times New Roman"/>
          <w:kern w:val="2"/>
          <w:sz w:val="32"/>
          <w:szCs w:val="32"/>
        </w:rPr>
      </w:pPr>
      <w:r>
        <w:rPr>
          <w:rFonts w:hint="default" w:ascii="Times New Roman" w:hAnsi="Times New Roman" w:eastAsia="方正仿宋_GBK" w:cs="Times New Roman"/>
          <w:b/>
          <w:kern w:val="2"/>
          <w:sz w:val="32"/>
          <w:szCs w:val="32"/>
        </w:rPr>
        <w:t>第十</w:t>
      </w:r>
      <w:r>
        <w:rPr>
          <w:rFonts w:hint="eastAsia" w:ascii="Times New Roman" w:hAnsi="Times New Roman" w:eastAsia="方正仿宋_GBK" w:cs="Times New Roman"/>
          <w:b/>
          <w:kern w:val="2"/>
          <w:sz w:val="32"/>
          <w:szCs w:val="32"/>
        </w:rPr>
        <w:t>一</w:t>
      </w:r>
      <w:r>
        <w:rPr>
          <w:rFonts w:hint="default" w:ascii="Times New Roman" w:hAnsi="Times New Roman" w:eastAsia="方正仿宋_GBK" w:cs="Times New Roman"/>
          <w:b/>
          <w:kern w:val="2"/>
          <w:sz w:val="32"/>
          <w:szCs w:val="32"/>
        </w:rPr>
        <w:t xml:space="preserve">条  </w:t>
      </w:r>
      <w:r>
        <w:rPr>
          <w:rFonts w:hint="default" w:ascii="Times New Roman" w:hAnsi="Times New Roman" w:eastAsia="方正仿宋_GBK" w:cs="Times New Roman"/>
          <w:kern w:val="2"/>
          <w:sz w:val="32"/>
          <w:szCs w:val="32"/>
        </w:rPr>
        <w:t>本合同未尽事宜由甲、乙双方协商解决。国家法律法规另有规定的，按国家法律法规规定执行。因履行本合同产生争议，协商不成的，提交甲方所在地法院诉讼解决。</w:t>
      </w:r>
    </w:p>
    <w:p w14:paraId="2E465415">
      <w:pPr>
        <w:spacing w:line="600" w:lineRule="exact"/>
        <w:ind w:firstLine="643" w:firstLineChars="200"/>
        <w:rPr>
          <w:rFonts w:hint="default" w:ascii="Times New Roman" w:hAnsi="Times New Roman" w:eastAsia="方正仿宋_GBK" w:cs="Times New Roman"/>
          <w:kern w:val="2"/>
          <w:sz w:val="32"/>
          <w:szCs w:val="32"/>
        </w:rPr>
      </w:pPr>
      <w:r>
        <w:rPr>
          <w:rFonts w:hint="default" w:ascii="Times New Roman" w:hAnsi="Times New Roman" w:eastAsia="方正仿宋_GBK" w:cs="Times New Roman"/>
          <w:b/>
          <w:kern w:val="2"/>
          <w:sz w:val="32"/>
          <w:szCs w:val="32"/>
        </w:rPr>
        <w:t>第十</w:t>
      </w:r>
      <w:r>
        <w:rPr>
          <w:rFonts w:hint="eastAsia" w:ascii="Times New Roman" w:hAnsi="Times New Roman" w:eastAsia="方正仿宋_GBK" w:cs="Times New Roman"/>
          <w:b/>
          <w:kern w:val="2"/>
          <w:sz w:val="32"/>
          <w:szCs w:val="32"/>
        </w:rPr>
        <w:t>二</w:t>
      </w:r>
      <w:r>
        <w:rPr>
          <w:rFonts w:hint="default" w:ascii="Times New Roman" w:hAnsi="Times New Roman" w:eastAsia="方正仿宋_GBK" w:cs="Times New Roman"/>
          <w:b/>
          <w:kern w:val="2"/>
          <w:sz w:val="32"/>
          <w:szCs w:val="32"/>
        </w:rPr>
        <w:t xml:space="preserve">条  </w:t>
      </w:r>
      <w:r>
        <w:rPr>
          <w:rFonts w:hint="default" w:ascii="Times New Roman" w:hAnsi="Times New Roman" w:eastAsia="方正仿宋_GBK" w:cs="Times New Roman"/>
          <w:kern w:val="2"/>
          <w:sz w:val="32"/>
          <w:szCs w:val="32"/>
        </w:rPr>
        <w:t>在合同履行期间，若遇储备肉相关政策调整，按照新的政策精神执行。若乙方提出异议，经甲方同意的，双方签订补充协议，相应变更有关条款或解除合同。</w:t>
      </w:r>
    </w:p>
    <w:p w14:paraId="20A34CF3">
      <w:pPr>
        <w:spacing w:line="600" w:lineRule="exact"/>
        <w:ind w:firstLine="643" w:firstLineChars="200"/>
        <w:rPr>
          <w:rFonts w:hint="default" w:ascii="Times New Roman" w:hAnsi="Times New Roman" w:eastAsia="方正仿宋_GBK" w:cs="Times New Roman"/>
          <w:kern w:val="2"/>
          <w:sz w:val="32"/>
          <w:szCs w:val="32"/>
        </w:rPr>
      </w:pPr>
      <w:r>
        <w:rPr>
          <w:rFonts w:hint="default" w:ascii="Times New Roman" w:hAnsi="Times New Roman" w:eastAsia="方正仿宋_GBK" w:cs="Times New Roman"/>
          <w:b/>
          <w:kern w:val="2"/>
          <w:sz w:val="32"/>
          <w:szCs w:val="32"/>
        </w:rPr>
        <w:t>第十</w:t>
      </w:r>
      <w:r>
        <w:rPr>
          <w:rFonts w:hint="eastAsia" w:ascii="Times New Roman" w:hAnsi="Times New Roman" w:eastAsia="方正仿宋_GBK" w:cs="Times New Roman"/>
          <w:b/>
          <w:kern w:val="2"/>
          <w:sz w:val="32"/>
          <w:szCs w:val="32"/>
        </w:rPr>
        <w:t>三</w:t>
      </w:r>
      <w:r>
        <w:rPr>
          <w:rFonts w:hint="default" w:ascii="Times New Roman" w:hAnsi="Times New Roman" w:eastAsia="方正仿宋_GBK" w:cs="Times New Roman"/>
          <w:b/>
          <w:kern w:val="2"/>
          <w:sz w:val="32"/>
          <w:szCs w:val="32"/>
        </w:rPr>
        <w:t xml:space="preserve">条  </w:t>
      </w:r>
      <w:r>
        <w:rPr>
          <w:rFonts w:hint="default" w:ascii="Times New Roman" w:hAnsi="Times New Roman" w:eastAsia="方正仿宋_GBK" w:cs="Times New Roman"/>
          <w:kern w:val="2"/>
          <w:sz w:val="32"/>
          <w:szCs w:val="32"/>
        </w:rPr>
        <w:t>本合同甲、乙双方共同签字，并加盖公章后生效。</w:t>
      </w:r>
    </w:p>
    <w:p w14:paraId="623D6856">
      <w:pPr>
        <w:spacing w:line="600" w:lineRule="exact"/>
        <w:ind w:firstLine="643" w:firstLineChars="200"/>
        <w:rPr>
          <w:rFonts w:hint="default" w:ascii="Times New Roman" w:hAnsi="Times New Roman" w:eastAsia="方正仿宋_GBK" w:cs="Times New Roman"/>
          <w:kern w:val="2"/>
          <w:sz w:val="32"/>
          <w:szCs w:val="32"/>
        </w:rPr>
      </w:pPr>
      <w:r>
        <w:rPr>
          <w:rFonts w:hint="default" w:ascii="Times New Roman" w:hAnsi="Times New Roman" w:eastAsia="方正仿宋_GBK" w:cs="Times New Roman"/>
          <w:b/>
          <w:kern w:val="2"/>
          <w:sz w:val="32"/>
          <w:szCs w:val="32"/>
        </w:rPr>
        <w:t>第十</w:t>
      </w:r>
      <w:r>
        <w:rPr>
          <w:rFonts w:hint="eastAsia" w:ascii="Times New Roman" w:hAnsi="Times New Roman" w:eastAsia="方正仿宋_GBK" w:cs="Times New Roman"/>
          <w:b/>
          <w:kern w:val="2"/>
          <w:sz w:val="32"/>
          <w:szCs w:val="32"/>
        </w:rPr>
        <w:t>四</w:t>
      </w:r>
      <w:r>
        <w:rPr>
          <w:rFonts w:hint="default" w:ascii="Times New Roman" w:hAnsi="Times New Roman" w:eastAsia="方正仿宋_GBK" w:cs="Times New Roman"/>
          <w:b/>
          <w:kern w:val="2"/>
          <w:sz w:val="32"/>
          <w:szCs w:val="32"/>
        </w:rPr>
        <w:t xml:space="preserve">条  </w:t>
      </w:r>
      <w:r>
        <w:rPr>
          <w:rFonts w:hint="default" w:ascii="Times New Roman" w:hAnsi="Times New Roman" w:eastAsia="方正仿宋_GBK" w:cs="Times New Roman"/>
          <w:kern w:val="2"/>
          <w:sz w:val="32"/>
          <w:szCs w:val="32"/>
        </w:rPr>
        <w:t>本合同一式五份，甲、乙双方和宿迁市财政局各执一份，一份以备报账、一份归档。</w:t>
      </w:r>
    </w:p>
    <w:p w14:paraId="00F50FAD">
      <w:pPr>
        <w:spacing w:line="600" w:lineRule="exact"/>
        <w:ind w:firstLine="643" w:firstLineChars="200"/>
        <w:rPr>
          <w:rFonts w:hint="default" w:ascii="Times New Roman" w:hAnsi="Times New Roman" w:eastAsia="方正仿宋_GBK" w:cs="Times New Roman"/>
          <w:b/>
          <w:kern w:val="2"/>
          <w:sz w:val="32"/>
          <w:szCs w:val="32"/>
        </w:rPr>
      </w:pPr>
      <w:r>
        <w:rPr>
          <w:rFonts w:hint="eastAsia" w:ascii="Times New Roman" w:hAnsi="Times New Roman" w:eastAsia="方正仿宋_GBK" w:cs="Times New Roman"/>
          <w:b/>
          <w:kern w:val="2"/>
          <w:sz w:val="32"/>
          <w:szCs w:val="32"/>
        </w:rPr>
        <w:t xml:space="preserve">第十五条 </w:t>
      </w:r>
      <w:r>
        <w:rPr>
          <w:rFonts w:hint="default" w:ascii="Times New Roman" w:hAnsi="Times New Roman" w:eastAsia="方正仿宋_GBK" w:cs="Times New Roman"/>
          <w:b/>
          <w:kern w:val="2"/>
          <w:sz w:val="32"/>
          <w:szCs w:val="32"/>
        </w:rPr>
        <w:t xml:space="preserve"> </w:t>
      </w:r>
      <w:r>
        <w:rPr>
          <w:rFonts w:hint="eastAsia" w:ascii="Times New Roman" w:hAnsi="Times New Roman" w:eastAsia="方正仿宋_GBK" w:cs="Times New Roman"/>
          <w:kern w:val="2"/>
          <w:sz w:val="32"/>
          <w:szCs w:val="32"/>
        </w:rPr>
        <w:t>本合同所载明的地址、联系人及联系方式作为双方法律文书（含通知、诉讼材料、传票等）送达地址及联系方式，如有变更需提前以书面形式通知对方，否则向该地址送达文书出现拒收、地址不详或被退回均视为送达成功，所产生法律后果由该方承担。</w:t>
      </w:r>
    </w:p>
    <w:p w14:paraId="0218E44F">
      <w:pPr>
        <w:spacing w:line="600" w:lineRule="exact"/>
        <w:ind w:firstLine="640" w:firstLineChars="200"/>
        <w:rPr>
          <w:rFonts w:hint="default" w:ascii="Times New Roman" w:hAnsi="Times New Roman" w:eastAsia="方正仿宋_GBK" w:cs="Times New Roman"/>
          <w:kern w:val="2"/>
          <w:sz w:val="32"/>
          <w:szCs w:val="32"/>
        </w:rPr>
      </w:pPr>
    </w:p>
    <w:p w14:paraId="44B628BF">
      <w:pPr>
        <w:spacing w:line="600" w:lineRule="exact"/>
        <w:ind w:firstLine="640" w:firstLineChars="200"/>
        <w:rPr>
          <w:rFonts w:hint="default" w:ascii="Times New Roman" w:hAnsi="Times New Roman" w:eastAsia="方正仿宋_GBK" w:cs="Times New Roman"/>
          <w:kern w:val="2"/>
          <w:sz w:val="32"/>
          <w:szCs w:val="32"/>
        </w:rPr>
      </w:pPr>
    </w:p>
    <w:p w14:paraId="2F7D5CE7">
      <w:pPr>
        <w:spacing w:line="600" w:lineRule="exact"/>
        <w:ind w:firstLine="640" w:firstLineChars="200"/>
        <w:rPr>
          <w:rFonts w:hint="default" w:ascii="Times New Roman" w:hAnsi="Times New Roman" w:eastAsia="方正仿宋_GBK" w:cs="Times New Roman"/>
          <w:kern w:val="2"/>
          <w:sz w:val="32"/>
          <w:szCs w:val="32"/>
        </w:rPr>
      </w:pPr>
      <w:r>
        <w:rPr>
          <w:rFonts w:hint="default" w:ascii="Times New Roman" w:hAnsi="Times New Roman" w:eastAsia="方正仿宋_GBK" w:cs="Times New Roman"/>
          <w:kern w:val="2"/>
          <w:sz w:val="32"/>
          <w:szCs w:val="32"/>
        </w:rPr>
        <w:t>甲方（公章）：              乙方（公章）：</w:t>
      </w:r>
    </w:p>
    <w:p w14:paraId="700B97CF">
      <w:pPr>
        <w:spacing w:line="600" w:lineRule="exact"/>
        <w:ind w:firstLine="640" w:firstLineChars="200"/>
        <w:rPr>
          <w:rFonts w:hint="default" w:ascii="Times New Roman" w:hAnsi="Times New Roman" w:eastAsia="方正仿宋_GBK" w:cs="Times New Roman"/>
          <w:kern w:val="2"/>
          <w:sz w:val="32"/>
          <w:szCs w:val="32"/>
        </w:rPr>
      </w:pPr>
    </w:p>
    <w:p w14:paraId="017296CD">
      <w:pPr>
        <w:spacing w:line="600" w:lineRule="exact"/>
        <w:ind w:firstLine="640" w:firstLineChars="200"/>
        <w:rPr>
          <w:rFonts w:hint="default" w:ascii="Times New Roman" w:hAnsi="Times New Roman" w:eastAsia="方正仿宋_GBK" w:cs="Times New Roman"/>
          <w:kern w:val="2"/>
          <w:sz w:val="32"/>
          <w:szCs w:val="32"/>
        </w:rPr>
      </w:pPr>
    </w:p>
    <w:p w14:paraId="3CD52C4B">
      <w:pPr>
        <w:spacing w:line="600" w:lineRule="exact"/>
        <w:ind w:firstLine="640" w:firstLineChars="200"/>
        <w:rPr>
          <w:rFonts w:hint="default" w:ascii="Times New Roman" w:hAnsi="Times New Roman" w:eastAsia="方正仿宋_GBK" w:cs="Times New Roman"/>
          <w:kern w:val="2"/>
          <w:sz w:val="32"/>
          <w:szCs w:val="32"/>
        </w:rPr>
      </w:pPr>
      <w:r>
        <w:rPr>
          <w:rFonts w:hint="default" w:ascii="Times New Roman" w:hAnsi="Times New Roman" w:eastAsia="方正仿宋_GBK" w:cs="Times New Roman"/>
          <w:kern w:val="2"/>
          <w:sz w:val="32"/>
          <w:szCs w:val="32"/>
        </w:rPr>
        <w:t>负责人（签字）：            法定代表人（签字）：</w:t>
      </w:r>
    </w:p>
    <w:p w14:paraId="587C283E">
      <w:pPr>
        <w:spacing w:line="600" w:lineRule="exact"/>
        <w:ind w:firstLine="640" w:firstLineChars="200"/>
        <w:rPr>
          <w:rFonts w:hint="default" w:ascii="Times New Roman" w:hAnsi="Times New Roman" w:eastAsia="方正仿宋_GBK" w:cs="Times New Roman"/>
          <w:kern w:val="2"/>
          <w:sz w:val="32"/>
          <w:szCs w:val="32"/>
        </w:rPr>
      </w:pPr>
    </w:p>
    <w:p w14:paraId="792145D7">
      <w:pPr>
        <w:spacing w:line="600" w:lineRule="exact"/>
        <w:ind w:firstLine="640" w:firstLineChars="200"/>
        <w:rPr>
          <w:rFonts w:hint="default" w:ascii="Times New Roman" w:hAnsi="Times New Roman" w:eastAsia="方正仿宋_GBK" w:cs="Times New Roman"/>
          <w:kern w:val="2"/>
          <w:sz w:val="32"/>
          <w:szCs w:val="32"/>
        </w:rPr>
      </w:pPr>
    </w:p>
    <w:p w14:paraId="094C3E29">
      <w:pPr>
        <w:spacing w:line="600" w:lineRule="exact"/>
        <w:ind w:firstLine="640" w:firstLineChars="200"/>
        <w:rPr>
          <w:rFonts w:hint="default" w:ascii="Times New Roman" w:hAnsi="Times New Roman" w:eastAsia="方正仿宋_GBK" w:cs="Times New Roman"/>
          <w:kern w:val="2"/>
          <w:sz w:val="32"/>
          <w:szCs w:val="32"/>
        </w:rPr>
      </w:pPr>
      <w:r>
        <w:rPr>
          <w:rFonts w:hint="eastAsia" w:ascii="Times New Roman" w:hAnsi="Times New Roman" w:eastAsia="方正仿宋_GBK" w:cs="Times New Roman"/>
          <w:kern w:val="2"/>
          <w:sz w:val="32"/>
          <w:szCs w:val="32"/>
        </w:rPr>
        <w:t>地址：宿迁市太湖路181号   地址：</w:t>
      </w:r>
      <w:r>
        <w:rPr>
          <w:rFonts w:hint="eastAsia" w:ascii="Times New Roman" w:hAnsi="Times New Roman" w:eastAsia="方正仿宋_GBK" w:cs="Times New Roman"/>
          <w:spacing w:val="-30"/>
          <w:kern w:val="2"/>
          <w:sz w:val="32"/>
          <w:szCs w:val="32"/>
        </w:rPr>
        <w:t>淮安市淮安区</w:t>
      </w:r>
      <w:r>
        <w:rPr>
          <w:rFonts w:hint="default" w:ascii="Times New Roman" w:hAnsi="Times New Roman" w:eastAsia="方正仿宋_GBK" w:cs="Times New Roman"/>
          <w:spacing w:val="-30"/>
          <w:kern w:val="2"/>
          <w:sz w:val="32"/>
          <w:szCs w:val="32"/>
        </w:rPr>
        <w:t>铁云路58号</w:t>
      </w:r>
    </w:p>
    <w:p w14:paraId="558D3975">
      <w:pPr>
        <w:spacing w:line="600" w:lineRule="exact"/>
        <w:ind w:firstLine="640" w:firstLineChars="200"/>
        <w:rPr>
          <w:rFonts w:hint="default" w:ascii="Times New Roman" w:hAnsi="Times New Roman" w:eastAsia="方正仿宋_GBK" w:cs="Times New Roman"/>
          <w:kern w:val="2"/>
          <w:sz w:val="32"/>
          <w:szCs w:val="32"/>
          <w:lang w:val="en-US" w:eastAsia="zh-CN"/>
        </w:rPr>
      </w:pPr>
      <w:r>
        <w:rPr>
          <w:rFonts w:hint="eastAsia" w:ascii="Times New Roman" w:hAnsi="Times New Roman" w:eastAsia="方正仿宋_GBK" w:cs="Times New Roman"/>
          <w:kern w:val="2"/>
          <w:sz w:val="32"/>
          <w:szCs w:val="32"/>
        </w:rPr>
        <w:t>联系人：</w:t>
      </w:r>
      <w:r>
        <w:rPr>
          <w:rFonts w:hint="eastAsia" w:ascii="Times New Roman" w:hAnsi="Times New Roman" w:eastAsia="方正仿宋_GBK" w:cs="Times New Roman"/>
          <w:kern w:val="2"/>
          <w:sz w:val="32"/>
          <w:szCs w:val="32"/>
          <w:lang w:val="en-US" w:eastAsia="zh-CN"/>
        </w:rPr>
        <w:t xml:space="preserve">  </w:t>
      </w:r>
      <w:r>
        <w:rPr>
          <w:rFonts w:hint="default" w:ascii="Times New Roman" w:hAnsi="Times New Roman" w:eastAsia="方正仿宋_GBK" w:cs="Times New Roman"/>
          <w:kern w:val="2"/>
          <w:sz w:val="32"/>
          <w:szCs w:val="32"/>
        </w:rPr>
        <w:t xml:space="preserve">            </w:t>
      </w:r>
      <w:r>
        <w:rPr>
          <w:rFonts w:hint="eastAsia" w:ascii="Times New Roman" w:hAnsi="Times New Roman" w:eastAsia="方正仿宋_GBK" w:cs="Times New Roman"/>
          <w:kern w:val="2"/>
          <w:sz w:val="32"/>
          <w:szCs w:val="32"/>
        </w:rPr>
        <w:t>联系人：</w:t>
      </w:r>
      <w:r>
        <w:rPr>
          <w:rFonts w:hint="eastAsia" w:ascii="Times New Roman" w:hAnsi="Times New Roman" w:eastAsia="方正仿宋_GBK" w:cs="Times New Roman"/>
          <w:kern w:val="2"/>
          <w:sz w:val="32"/>
          <w:szCs w:val="32"/>
          <w:lang w:val="en-US" w:eastAsia="zh-CN"/>
        </w:rPr>
        <w:t xml:space="preserve">  </w:t>
      </w:r>
    </w:p>
    <w:p w14:paraId="21866684">
      <w:pPr>
        <w:spacing w:line="600" w:lineRule="exact"/>
        <w:ind w:firstLine="640" w:firstLineChars="200"/>
        <w:rPr>
          <w:rFonts w:hint="default" w:ascii="Times New Roman" w:hAnsi="Times New Roman" w:eastAsia="方正仿宋_GBK" w:cs="Times New Roman"/>
          <w:kern w:val="2"/>
          <w:sz w:val="32"/>
          <w:szCs w:val="32"/>
          <w:lang w:val="en-US" w:eastAsia="zh-CN"/>
        </w:rPr>
      </w:pPr>
      <w:r>
        <w:rPr>
          <w:rFonts w:hint="eastAsia" w:ascii="Times New Roman" w:hAnsi="Times New Roman" w:eastAsia="方正仿宋_GBK" w:cs="Times New Roman"/>
          <w:kern w:val="2"/>
          <w:sz w:val="32"/>
          <w:szCs w:val="32"/>
        </w:rPr>
        <w:t>联系方式：</w:t>
      </w:r>
      <w:r>
        <w:rPr>
          <w:rFonts w:hint="eastAsia" w:ascii="Times New Roman" w:hAnsi="Times New Roman" w:eastAsia="方正仿宋_GBK" w:cs="Times New Roman"/>
          <w:kern w:val="2"/>
          <w:sz w:val="32"/>
          <w:szCs w:val="32"/>
          <w:lang w:val="en-US" w:eastAsia="zh-CN"/>
        </w:rPr>
        <w:t xml:space="preserve">    </w:t>
      </w:r>
      <w:r>
        <w:rPr>
          <w:rFonts w:hint="default" w:ascii="Times New Roman" w:hAnsi="Times New Roman" w:eastAsia="方正仿宋_GBK" w:cs="Times New Roman"/>
          <w:kern w:val="2"/>
          <w:sz w:val="32"/>
          <w:szCs w:val="32"/>
        </w:rPr>
        <w:t xml:space="preserve">   </w:t>
      </w:r>
      <w:r>
        <w:rPr>
          <w:rFonts w:hint="eastAsia" w:ascii="Times New Roman" w:hAnsi="Times New Roman" w:eastAsia="方正仿宋_GBK" w:cs="Times New Roman"/>
          <w:kern w:val="2"/>
          <w:sz w:val="32"/>
          <w:szCs w:val="32"/>
        </w:rPr>
        <w:t>联系方式：</w:t>
      </w:r>
      <w:r>
        <w:rPr>
          <w:rFonts w:hint="eastAsia" w:ascii="Times New Roman" w:hAnsi="Times New Roman" w:eastAsia="方正仿宋_GBK" w:cs="Times New Roman"/>
          <w:kern w:val="2"/>
          <w:sz w:val="32"/>
          <w:szCs w:val="32"/>
          <w:lang w:val="en-US" w:eastAsia="zh-CN"/>
        </w:rPr>
        <w:t xml:space="preserve">  </w:t>
      </w:r>
    </w:p>
    <w:p w14:paraId="6559C545">
      <w:pPr>
        <w:spacing w:line="600" w:lineRule="exact"/>
        <w:ind w:firstLine="640" w:firstLineChars="200"/>
        <w:rPr>
          <w:rFonts w:hint="default" w:ascii="Times New Roman" w:hAnsi="Times New Roman" w:eastAsia="方正仿宋_GBK" w:cs="Times New Roman"/>
          <w:kern w:val="2"/>
          <w:sz w:val="32"/>
          <w:szCs w:val="32"/>
        </w:rPr>
      </w:pPr>
    </w:p>
    <w:p w14:paraId="3106FEDB">
      <w:pPr>
        <w:spacing w:line="600" w:lineRule="exact"/>
        <w:ind w:firstLine="640" w:firstLineChars="200"/>
        <w:rPr>
          <w:rFonts w:hint="default" w:ascii="Times New Roman" w:hAnsi="Times New Roman" w:eastAsia="方正仿宋_GBK" w:cs="Times New Roman"/>
          <w:kern w:val="2"/>
          <w:sz w:val="32"/>
          <w:szCs w:val="32"/>
        </w:rPr>
      </w:pPr>
      <w:r>
        <w:rPr>
          <w:rFonts w:hint="default" w:ascii="Times New Roman" w:hAnsi="Times New Roman" w:eastAsia="方正仿宋_GBK" w:cs="Times New Roman"/>
          <w:kern w:val="2"/>
          <w:sz w:val="32"/>
          <w:szCs w:val="32"/>
        </w:rPr>
        <w:t xml:space="preserve">  </w:t>
      </w:r>
      <w:r>
        <w:rPr>
          <w:rFonts w:hint="eastAsia" w:ascii="Times New Roman" w:hAnsi="Times New Roman" w:eastAsia="方正仿宋_GBK" w:cs="Times New Roman"/>
          <w:kern w:val="2"/>
          <w:sz w:val="32"/>
          <w:szCs w:val="32"/>
        </w:rPr>
        <w:t xml:space="preserve">  </w:t>
      </w:r>
      <w:r>
        <w:rPr>
          <w:rFonts w:hint="default" w:ascii="Times New Roman" w:hAnsi="Times New Roman" w:eastAsia="方正仿宋_GBK" w:cs="Times New Roman"/>
          <w:kern w:val="2"/>
          <w:sz w:val="32"/>
          <w:szCs w:val="32"/>
        </w:rPr>
        <w:t xml:space="preserve">    年  月  日                   年  月  日</w:t>
      </w:r>
    </w:p>
    <w:p w14:paraId="7B5AE678">
      <w:pPr>
        <w:rPr>
          <w:rFonts w:hint="eastAsia" w:ascii="黑体" w:hAnsi="Times New Roman" w:eastAsia="黑体"/>
          <w:bCs/>
          <w:sz w:val="44"/>
          <w:szCs w:val="28"/>
        </w:rPr>
      </w:pPr>
      <w:r>
        <w:rPr>
          <w:rFonts w:hint="eastAsia" w:ascii="黑体" w:hAnsi="Times New Roman" w:eastAsia="黑体"/>
          <w:bCs/>
          <w:sz w:val="44"/>
          <w:szCs w:val="28"/>
        </w:rPr>
        <w:br w:type="page"/>
      </w:r>
    </w:p>
    <w:p w14:paraId="02451352">
      <w:pPr>
        <w:pStyle w:val="357"/>
        <w:keepNext w:val="0"/>
        <w:keepLines w:val="0"/>
        <w:pageBreakBefore w:val="0"/>
        <w:spacing w:after="80" w:line="500" w:lineRule="exact"/>
        <w:ind w:firstLine="480"/>
        <w:jc w:val="right"/>
        <w:outlineLvl w:val="9"/>
        <w:rPr>
          <w:rFonts w:hint="eastAsia" w:ascii="黑体" w:hAnsi="Times New Roman" w:eastAsia="黑体"/>
          <w:bCs/>
          <w:sz w:val="44"/>
          <w:szCs w:val="28"/>
        </w:rPr>
      </w:pPr>
    </w:p>
    <w:p w14:paraId="2B9AAF23">
      <w:pPr>
        <w:keepNext/>
        <w:jc w:val="center"/>
        <w:outlineLvl w:val="0"/>
        <w:rPr>
          <w:rFonts w:hint="eastAsia" w:ascii="黑体" w:hAnsi="Times New Roman" w:eastAsia="黑体"/>
          <w:bCs/>
          <w:sz w:val="44"/>
          <w:szCs w:val="28"/>
        </w:rPr>
      </w:pPr>
    </w:p>
    <w:p w14:paraId="04B3DCB7">
      <w:pPr>
        <w:keepNext/>
        <w:jc w:val="center"/>
        <w:outlineLvl w:val="0"/>
        <w:rPr>
          <w:rFonts w:ascii="黑体" w:hAnsi="Times New Roman" w:eastAsia="黑体"/>
          <w:bCs/>
          <w:sz w:val="44"/>
          <w:szCs w:val="28"/>
        </w:rPr>
      </w:pPr>
      <w:r>
        <w:rPr>
          <w:rFonts w:hint="eastAsia" w:ascii="黑体" w:hAnsi="Times New Roman" w:eastAsia="黑体"/>
          <w:bCs/>
          <w:sz w:val="44"/>
          <w:szCs w:val="28"/>
        </w:rPr>
        <w:t xml:space="preserve">第五章  </w:t>
      </w:r>
      <w:bookmarkEnd w:id="165"/>
      <w:bookmarkEnd w:id="166"/>
      <w:bookmarkEnd w:id="167"/>
      <w:r>
        <w:rPr>
          <w:rFonts w:hint="eastAsia" w:ascii="黑体" w:hAnsi="Times New Roman" w:eastAsia="黑体"/>
          <w:bCs/>
          <w:sz w:val="44"/>
          <w:szCs w:val="28"/>
        </w:rPr>
        <w:t xml:space="preserve">响应文件格式 </w:t>
      </w:r>
    </w:p>
    <w:p w14:paraId="055ABF22">
      <w:pPr>
        <w:jc w:val="center"/>
        <w:rPr>
          <w:rFonts w:hint="eastAsia" w:ascii="宋体" w:hAnsi="宋体"/>
          <w:b/>
          <w:sz w:val="72"/>
          <w:szCs w:val="21"/>
        </w:rPr>
      </w:pPr>
      <w:bookmarkStart w:id="173" w:name="_Hlt26955039"/>
      <w:bookmarkEnd w:id="173"/>
      <w:bookmarkStart w:id="174" w:name="_Hlt26671244"/>
      <w:bookmarkEnd w:id="174"/>
      <w:bookmarkStart w:id="175" w:name="_Toc120614282"/>
      <w:bookmarkStart w:id="176" w:name="_Toc49090576"/>
      <w:bookmarkStart w:id="177" w:name="_Toc26554094"/>
    </w:p>
    <w:p w14:paraId="78805A31">
      <w:pPr>
        <w:jc w:val="center"/>
        <w:rPr>
          <w:rFonts w:hint="eastAsia" w:ascii="宋体" w:hAnsi="宋体"/>
          <w:b/>
          <w:sz w:val="72"/>
          <w:szCs w:val="21"/>
        </w:rPr>
      </w:pPr>
      <w:r>
        <w:rPr>
          <w:rFonts w:hint="eastAsia" w:ascii="宋体" w:hAnsi="宋体"/>
          <w:b/>
          <w:sz w:val="72"/>
          <w:szCs w:val="21"/>
        </w:rPr>
        <w:t>响  应  文  件</w:t>
      </w:r>
    </w:p>
    <w:p w14:paraId="4B9241EC">
      <w:pPr>
        <w:jc w:val="center"/>
        <w:rPr>
          <w:rFonts w:hint="eastAsia" w:ascii="宋体" w:hAnsi="宋体"/>
          <w:b/>
          <w:sz w:val="72"/>
          <w:szCs w:val="21"/>
        </w:rPr>
      </w:pPr>
    </w:p>
    <w:p w14:paraId="1AA442BD">
      <w:pPr>
        <w:jc w:val="center"/>
        <w:rPr>
          <w:rFonts w:hint="eastAsia" w:ascii="宋体" w:hAnsi="宋体"/>
          <w:b/>
          <w:bCs/>
          <w:sz w:val="72"/>
          <w:szCs w:val="72"/>
        </w:rPr>
      </w:pPr>
    </w:p>
    <w:p w14:paraId="61F69787">
      <w:pPr>
        <w:jc w:val="center"/>
        <w:rPr>
          <w:rFonts w:hint="eastAsia" w:ascii="宋体" w:hAnsi="宋体"/>
          <w:b/>
          <w:bCs/>
          <w:sz w:val="72"/>
          <w:szCs w:val="72"/>
        </w:rPr>
      </w:pPr>
    </w:p>
    <w:p w14:paraId="099FA076">
      <w:pPr>
        <w:jc w:val="center"/>
        <w:rPr>
          <w:rFonts w:hint="eastAsia" w:ascii="宋体" w:hAnsi="宋体"/>
          <w:b/>
          <w:bCs/>
          <w:sz w:val="72"/>
          <w:szCs w:val="72"/>
        </w:rPr>
      </w:pPr>
    </w:p>
    <w:p w14:paraId="12B313B3">
      <w:pPr>
        <w:jc w:val="center"/>
        <w:rPr>
          <w:rFonts w:hint="eastAsia" w:ascii="宋体" w:hAnsi="宋体"/>
          <w:b/>
          <w:bCs/>
          <w:sz w:val="72"/>
          <w:szCs w:val="72"/>
        </w:rPr>
      </w:pPr>
    </w:p>
    <w:p w14:paraId="76F72424">
      <w:pPr>
        <w:jc w:val="center"/>
        <w:rPr>
          <w:rFonts w:hint="eastAsia" w:ascii="宋体" w:hAnsi="宋体"/>
          <w:b/>
          <w:sz w:val="36"/>
          <w:szCs w:val="21"/>
        </w:rPr>
      </w:pPr>
    </w:p>
    <w:p w14:paraId="6E2A7A95">
      <w:pPr>
        <w:jc w:val="center"/>
        <w:rPr>
          <w:rFonts w:hint="eastAsia" w:ascii="宋体" w:hAnsi="宋体"/>
          <w:b/>
          <w:sz w:val="36"/>
          <w:szCs w:val="21"/>
        </w:rPr>
      </w:pPr>
    </w:p>
    <w:p w14:paraId="427DE4E4">
      <w:pPr>
        <w:jc w:val="center"/>
        <w:rPr>
          <w:rFonts w:hint="eastAsia" w:ascii="宋体" w:hAnsi="宋体"/>
          <w:b/>
          <w:sz w:val="36"/>
          <w:szCs w:val="21"/>
        </w:rPr>
      </w:pPr>
    </w:p>
    <w:p w14:paraId="350A460A">
      <w:pPr>
        <w:ind w:firstLine="1084"/>
        <w:rPr>
          <w:rFonts w:hint="eastAsia" w:ascii="宋体" w:hAnsi="宋体"/>
          <w:b/>
          <w:sz w:val="36"/>
          <w:szCs w:val="21"/>
        </w:rPr>
      </w:pPr>
      <w:r>
        <w:rPr>
          <w:rFonts w:hint="eastAsia" w:ascii="宋体" w:hAnsi="宋体"/>
          <w:b/>
          <w:sz w:val="36"/>
          <w:szCs w:val="21"/>
        </w:rPr>
        <w:t>项 目 名 称：</w:t>
      </w:r>
      <w:r>
        <w:rPr>
          <w:rFonts w:hint="eastAsia" w:ascii="宋体" w:hAnsi="宋体"/>
          <w:b/>
          <w:sz w:val="36"/>
          <w:szCs w:val="21"/>
          <w:u w:val="single"/>
        </w:rPr>
        <w:t xml:space="preserve">               </w:t>
      </w:r>
    </w:p>
    <w:p w14:paraId="0ACECA41">
      <w:pPr>
        <w:ind w:firstLine="1084"/>
        <w:rPr>
          <w:rFonts w:hint="eastAsia" w:ascii="宋体" w:hAnsi="宋体"/>
          <w:b/>
          <w:sz w:val="36"/>
          <w:szCs w:val="21"/>
          <w:u w:val="single"/>
        </w:rPr>
      </w:pPr>
      <w:r>
        <w:rPr>
          <w:rFonts w:hint="eastAsia" w:ascii="宋体" w:hAnsi="宋体"/>
          <w:b/>
          <w:sz w:val="36"/>
          <w:szCs w:val="21"/>
        </w:rPr>
        <w:t>采 购 编 号：</w:t>
      </w:r>
      <w:r>
        <w:rPr>
          <w:rFonts w:hint="eastAsia" w:ascii="宋体" w:hAnsi="宋体"/>
          <w:b/>
          <w:sz w:val="36"/>
          <w:szCs w:val="21"/>
          <w:u w:val="single"/>
        </w:rPr>
        <w:t xml:space="preserve">               </w:t>
      </w:r>
    </w:p>
    <w:p w14:paraId="505C0D0B">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（盖CA电子公章）</w:t>
      </w:r>
    </w:p>
    <w:p w14:paraId="3308F66A">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p>
    <w:p w14:paraId="402ADC9C">
      <w:pPr>
        <w:spacing w:line="440" w:lineRule="exact"/>
        <w:jc w:val="center"/>
        <w:rPr>
          <w:rFonts w:hint="eastAsia" w:ascii="宋体" w:hAnsi="宋体"/>
          <w:b/>
          <w:bCs/>
          <w:sz w:val="32"/>
          <w:szCs w:val="32"/>
        </w:rPr>
      </w:pPr>
    </w:p>
    <w:p w14:paraId="70614B7A">
      <w:pPr>
        <w:spacing w:line="440" w:lineRule="exact"/>
        <w:jc w:val="both"/>
        <w:rPr>
          <w:rFonts w:hint="eastAsia" w:ascii="宋体" w:hAnsi="宋体"/>
          <w:b/>
          <w:bCs/>
          <w:sz w:val="32"/>
          <w:szCs w:val="32"/>
        </w:rPr>
      </w:pPr>
    </w:p>
    <w:p w14:paraId="41D029FC">
      <w:pPr>
        <w:spacing w:line="440" w:lineRule="exact"/>
        <w:jc w:val="center"/>
        <w:rPr>
          <w:rFonts w:hint="eastAsia" w:ascii="宋体" w:hAnsi="宋体"/>
          <w:b/>
          <w:bCs/>
          <w:sz w:val="32"/>
          <w:szCs w:val="32"/>
        </w:rPr>
      </w:pPr>
    </w:p>
    <w:p w14:paraId="5BD77A47">
      <w:pPr>
        <w:spacing w:line="440" w:lineRule="exact"/>
        <w:jc w:val="center"/>
        <w:rPr>
          <w:rFonts w:hint="eastAsia" w:ascii="宋体" w:hAnsi="宋体"/>
          <w:b/>
          <w:bCs/>
          <w:sz w:val="32"/>
          <w:szCs w:val="32"/>
        </w:rPr>
      </w:pPr>
    </w:p>
    <w:p w14:paraId="387E1106">
      <w:pPr>
        <w:spacing w:line="440" w:lineRule="exact"/>
        <w:jc w:val="center"/>
        <w:rPr>
          <w:rFonts w:hint="eastAsia" w:ascii="宋体" w:hAnsi="宋体"/>
          <w:b/>
          <w:bCs/>
          <w:sz w:val="32"/>
          <w:szCs w:val="32"/>
        </w:rPr>
      </w:pPr>
    </w:p>
    <w:p w14:paraId="048BA96B">
      <w:pPr>
        <w:spacing w:line="440" w:lineRule="exact"/>
        <w:jc w:val="center"/>
        <w:rPr>
          <w:rFonts w:hint="eastAsia" w:ascii="宋体" w:hAnsi="宋体"/>
          <w:b/>
          <w:bCs/>
          <w:sz w:val="32"/>
          <w:szCs w:val="32"/>
        </w:rPr>
      </w:pPr>
      <w:r>
        <w:rPr>
          <w:rFonts w:hint="eastAsia" w:ascii="宋体" w:hAnsi="宋体"/>
          <w:b/>
          <w:bCs/>
          <w:sz w:val="32"/>
          <w:szCs w:val="32"/>
        </w:rPr>
        <w:t>响应文件目录</w:t>
      </w:r>
    </w:p>
    <w:p w14:paraId="0DB7853C">
      <w:pPr>
        <w:spacing w:line="440" w:lineRule="exact"/>
        <w:jc w:val="center"/>
        <w:rPr>
          <w:rFonts w:hint="eastAsia" w:ascii="宋体" w:hAnsi="宋体"/>
          <w:b/>
          <w:bCs/>
          <w:sz w:val="32"/>
          <w:szCs w:val="32"/>
        </w:rPr>
      </w:pPr>
    </w:p>
    <w:p w14:paraId="49988204">
      <w:pPr>
        <w:numPr>
          <w:ilvl w:val="0"/>
          <w:numId w:val="7"/>
        </w:numPr>
        <w:spacing w:line="560" w:lineRule="exact"/>
        <w:ind w:firstLine="357"/>
        <w:rPr>
          <w:rFonts w:hint="eastAsia" w:ascii="宋体" w:hAnsi="宋体"/>
          <w:iCs/>
          <w:sz w:val="24"/>
          <w:szCs w:val="21"/>
        </w:rPr>
      </w:pPr>
      <w:r>
        <w:rPr>
          <w:rFonts w:hint="eastAsia" w:ascii="宋体" w:hAnsi="宋体"/>
          <w:iCs/>
          <w:sz w:val="24"/>
          <w:szCs w:val="21"/>
        </w:rPr>
        <w:t>协商及声明函</w:t>
      </w:r>
    </w:p>
    <w:p w14:paraId="7ACCC3FF">
      <w:pPr>
        <w:numPr>
          <w:ilvl w:val="0"/>
          <w:numId w:val="7"/>
        </w:numPr>
        <w:spacing w:line="560" w:lineRule="exact"/>
        <w:ind w:firstLine="357"/>
        <w:rPr>
          <w:rFonts w:hint="eastAsia" w:ascii="宋体" w:hAnsi="宋体"/>
          <w:iCs/>
          <w:sz w:val="24"/>
          <w:szCs w:val="21"/>
        </w:rPr>
      </w:pPr>
      <w:r>
        <w:rPr>
          <w:rFonts w:hint="eastAsia" w:ascii="宋体" w:hAnsi="宋体"/>
          <w:iCs/>
          <w:sz w:val="24"/>
          <w:szCs w:val="21"/>
          <w:lang w:val="en-US" w:eastAsia="zh-CN"/>
        </w:rPr>
        <w:t>供应商资质</w:t>
      </w:r>
    </w:p>
    <w:p w14:paraId="6D49BCAE">
      <w:pPr>
        <w:spacing w:line="560" w:lineRule="exact"/>
        <w:ind w:firstLine="357"/>
        <w:rPr>
          <w:rFonts w:hint="eastAsia" w:ascii="宋体" w:hAnsi="宋体"/>
          <w:iCs/>
          <w:sz w:val="24"/>
          <w:szCs w:val="21"/>
        </w:rPr>
      </w:pPr>
      <w:r>
        <w:rPr>
          <w:rFonts w:hint="eastAsia" w:ascii="宋体" w:hAnsi="宋体"/>
          <w:iCs/>
          <w:sz w:val="24"/>
          <w:szCs w:val="21"/>
          <w:lang w:val="en-US" w:eastAsia="zh-CN"/>
        </w:rPr>
        <w:t>三</w:t>
      </w:r>
      <w:r>
        <w:rPr>
          <w:rFonts w:hint="eastAsia" w:ascii="宋体" w:hAnsi="宋体"/>
          <w:iCs/>
          <w:sz w:val="24"/>
          <w:szCs w:val="21"/>
        </w:rPr>
        <w:t>、法人授权书</w:t>
      </w:r>
    </w:p>
    <w:p w14:paraId="23C99D97">
      <w:pPr>
        <w:spacing w:line="560" w:lineRule="exact"/>
        <w:ind w:firstLine="357"/>
        <w:rPr>
          <w:rFonts w:hint="eastAsia" w:ascii="宋体" w:hAnsi="宋体"/>
          <w:iCs/>
          <w:sz w:val="24"/>
          <w:szCs w:val="21"/>
        </w:rPr>
      </w:pPr>
      <w:r>
        <w:rPr>
          <w:rFonts w:hint="eastAsia" w:ascii="宋体" w:hAnsi="宋体"/>
          <w:iCs/>
          <w:sz w:val="24"/>
          <w:szCs w:val="21"/>
          <w:lang w:val="en-US" w:eastAsia="zh-CN"/>
        </w:rPr>
        <w:t>四</w:t>
      </w:r>
      <w:r>
        <w:rPr>
          <w:rFonts w:hint="eastAsia" w:ascii="宋体" w:hAnsi="宋体"/>
          <w:iCs/>
          <w:sz w:val="24"/>
          <w:szCs w:val="21"/>
        </w:rPr>
        <w:t>、报价一览表</w:t>
      </w:r>
    </w:p>
    <w:p w14:paraId="69B68733">
      <w:pPr>
        <w:spacing w:line="560" w:lineRule="exact"/>
        <w:ind w:firstLine="357"/>
        <w:rPr>
          <w:rFonts w:hint="eastAsia" w:ascii="宋体" w:hAnsi="宋体"/>
          <w:iCs/>
          <w:sz w:val="24"/>
          <w:szCs w:val="21"/>
        </w:rPr>
      </w:pPr>
      <w:r>
        <w:rPr>
          <w:rFonts w:hint="eastAsia" w:ascii="宋体" w:hAnsi="宋体"/>
          <w:iCs/>
          <w:sz w:val="24"/>
          <w:szCs w:val="21"/>
          <w:lang w:val="en-US" w:eastAsia="zh-CN"/>
        </w:rPr>
        <w:t>五</w:t>
      </w:r>
      <w:r>
        <w:rPr>
          <w:rFonts w:hint="eastAsia" w:ascii="宋体" w:hAnsi="宋体"/>
          <w:iCs/>
          <w:sz w:val="24"/>
          <w:szCs w:val="21"/>
        </w:rPr>
        <w:t>、分项报价表</w:t>
      </w:r>
    </w:p>
    <w:p w14:paraId="2C2A49E1">
      <w:pPr>
        <w:spacing w:line="560" w:lineRule="exact"/>
        <w:ind w:firstLine="357"/>
        <w:rPr>
          <w:rFonts w:hint="eastAsia" w:ascii="宋体" w:hAnsi="宋体"/>
          <w:iCs/>
          <w:sz w:val="24"/>
          <w:szCs w:val="21"/>
        </w:rPr>
      </w:pPr>
      <w:r>
        <w:rPr>
          <w:rFonts w:hint="eastAsia" w:ascii="宋体" w:hAnsi="宋体"/>
          <w:iCs/>
          <w:sz w:val="24"/>
          <w:szCs w:val="21"/>
          <w:lang w:val="en-US" w:eastAsia="zh-CN"/>
        </w:rPr>
        <w:t>六</w:t>
      </w:r>
      <w:r>
        <w:rPr>
          <w:rFonts w:hint="eastAsia" w:ascii="宋体" w:hAnsi="宋体"/>
          <w:iCs/>
          <w:sz w:val="24"/>
          <w:szCs w:val="21"/>
        </w:rPr>
        <w:t>、中小企业或残疾人福利性单位声明函</w:t>
      </w:r>
    </w:p>
    <w:p w14:paraId="708C96FD">
      <w:pPr>
        <w:spacing w:line="560" w:lineRule="exact"/>
        <w:ind w:firstLine="357"/>
        <w:rPr>
          <w:rFonts w:hint="eastAsia" w:ascii="宋体" w:hAnsi="宋体"/>
          <w:sz w:val="24"/>
          <w:szCs w:val="21"/>
        </w:rPr>
      </w:pPr>
      <w:r>
        <w:rPr>
          <w:rFonts w:hint="eastAsia" w:ascii="宋体" w:hAnsi="宋体"/>
          <w:iCs/>
          <w:sz w:val="24"/>
          <w:szCs w:val="21"/>
          <w:lang w:val="en-US" w:eastAsia="zh-CN"/>
        </w:rPr>
        <w:t>七、</w:t>
      </w:r>
      <w:r>
        <w:rPr>
          <w:rFonts w:hint="eastAsia" w:ascii="宋体" w:hAnsi="宋体"/>
          <w:sz w:val="24"/>
          <w:szCs w:val="21"/>
        </w:rPr>
        <w:t>承诺函</w:t>
      </w:r>
    </w:p>
    <w:p w14:paraId="59874A18">
      <w:pPr>
        <w:spacing w:line="440" w:lineRule="exact"/>
        <w:ind w:firstLine="480"/>
        <w:rPr>
          <w:rFonts w:hint="eastAsia" w:ascii="宋体" w:hAnsi="宋体"/>
          <w:iCs/>
          <w:sz w:val="24"/>
          <w:szCs w:val="21"/>
          <w:u w:val="single"/>
        </w:rPr>
      </w:pPr>
    </w:p>
    <w:p w14:paraId="15D2727F">
      <w:pPr>
        <w:spacing w:line="440" w:lineRule="exact"/>
        <w:ind w:firstLine="480"/>
        <w:rPr>
          <w:rFonts w:hint="eastAsia" w:ascii="宋体" w:hAnsi="宋体"/>
          <w:sz w:val="24"/>
          <w:szCs w:val="21"/>
        </w:rPr>
      </w:pPr>
    </w:p>
    <w:p w14:paraId="01BF5216">
      <w:pPr>
        <w:spacing w:line="440" w:lineRule="exact"/>
        <w:ind w:firstLine="480"/>
        <w:rPr>
          <w:rFonts w:hint="eastAsia" w:ascii="宋体" w:hAnsi="宋体"/>
          <w:sz w:val="24"/>
          <w:szCs w:val="21"/>
        </w:rPr>
      </w:pPr>
    </w:p>
    <w:p w14:paraId="0AE56B91">
      <w:pPr>
        <w:spacing w:line="440" w:lineRule="exact"/>
        <w:ind w:firstLine="480"/>
        <w:rPr>
          <w:rFonts w:hint="eastAsia" w:ascii="宋体" w:hAnsi="宋体"/>
          <w:sz w:val="24"/>
          <w:szCs w:val="21"/>
        </w:rPr>
      </w:pPr>
    </w:p>
    <w:p w14:paraId="44C52967">
      <w:pPr>
        <w:spacing w:line="440" w:lineRule="exact"/>
        <w:ind w:firstLine="480"/>
        <w:rPr>
          <w:rFonts w:hint="eastAsia" w:ascii="宋体" w:hAnsi="宋体"/>
          <w:sz w:val="24"/>
          <w:szCs w:val="21"/>
        </w:rPr>
      </w:pPr>
    </w:p>
    <w:p w14:paraId="71CD2308">
      <w:pPr>
        <w:spacing w:line="440" w:lineRule="exact"/>
        <w:ind w:firstLine="480"/>
        <w:rPr>
          <w:rFonts w:hint="eastAsia" w:ascii="宋体" w:hAnsi="宋体"/>
          <w:sz w:val="24"/>
          <w:szCs w:val="21"/>
        </w:rPr>
      </w:pPr>
    </w:p>
    <w:p w14:paraId="01A1D9F6">
      <w:pPr>
        <w:spacing w:line="440" w:lineRule="exact"/>
        <w:ind w:firstLine="480"/>
        <w:rPr>
          <w:rFonts w:hint="eastAsia" w:ascii="宋体" w:hAnsi="宋体"/>
          <w:sz w:val="24"/>
          <w:szCs w:val="21"/>
        </w:rPr>
      </w:pPr>
    </w:p>
    <w:p w14:paraId="3B13AA8A">
      <w:pPr>
        <w:spacing w:line="440" w:lineRule="exact"/>
        <w:ind w:firstLine="480"/>
        <w:rPr>
          <w:rFonts w:hint="eastAsia" w:ascii="宋体" w:hAnsi="宋体"/>
          <w:sz w:val="24"/>
          <w:szCs w:val="21"/>
        </w:rPr>
      </w:pPr>
    </w:p>
    <w:p w14:paraId="1FE52941">
      <w:pPr>
        <w:spacing w:line="440" w:lineRule="exact"/>
        <w:ind w:firstLine="480"/>
        <w:rPr>
          <w:rFonts w:hint="eastAsia" w:ascii="宋体" w:hAnsi="宋体"/>
          <w:sz w:val="24"/>
          <w:szCs w:val="21"/>
        </w:rPr>
      </w:pPr>
    </w:p>
    <w:p w14:paraId="423B1513">
      <w:pPr>
        <w:spacing w:line="440" w:lineRule="exact"/>
        <w:ind w:firstLine="480"/>
        <w:rPr>
          <w:rFonts w:hint="eastAsia" w:ascii="宋体" w:hAnsi="宋体"/>
          <w:sz w:val="24"/>
          <w:szCs w:val="21"/>
        </w:rPr>
      </w:pPr>
    </w:p>
    <w:p w14:paraId="3A5B80D3">
      <w:pPr>
        <w:spacing w:line="440" w:lineRule="exact"/>
        <w:ind w:firstLine="480"/>
        <w:rPr>
          <w:rFonts w:hint="eastAsia" w:ascii="宋体" w:hAnsi="宋体"/>
          <w:sz w:val="24"/>
          <w:szCs w:val="21"/>
        </w:rPr>
      </w:pPr>
    </w:p>
    <w:p w14:paraId="53659115">
      <w:pPr>
        <w:spacing w:line="440" w:lineRule="exact"/>
        <w:ind w:firstLine="480"/>
        <w:rPr>
          <w:rFonts w:hint="eastAsia" w:ascii="宋体" w:hAnsi="宋体"/>
          <w:sz w:val="24"/>
          <w:szCs w:val="21"/>
        </w:rPr>
      </w:pPr>
    </w:p>
    <w:p w14:paraId="6CD076A0">
      <w:pPr>
        <w:spacing w:line="440" w:lineRule="exact"/>
        <w:ind w:firstLine="480"/>
        <w:rPr>
          <w:rFonts w:hint="eastAsia" w:ascii="宋体" w:hAnsi="宋体"/>
          <w:sz w:val="24"/>
          <w:szCs w:val="21"/>
        </w:rPr>
      </w:pPr>
    </w:p>
    <w:p w14:paraId="4225609C">
      <w:pPr>
        <w:spacing w:line="440" w:lineRule="exact"/>
        <w:ind w:firstLine="480"/>
        <w:rPr>
          <w:rFonts w:hint="eastAsia" w:ascii="宋体" w:hAnsi="宋体"/>
          <w:sz w:val="24"/>
          <w:szCs w:val="21"/>
        </w:rPr>
      </w:pPr>
    </w:p>
    <w:p w14:paraId="6A57FD70">
      <w:pPr>
        <w:spacing w:line="440" w:lineRule="exact"/>
        <w:ind w:firstLine="480"/>
        <w:rPr>
          <w:rFonts w:hint="eastAsia" w:ascii="宋体" w:hAnsi="宋体"/>
          <w:sz w:val="24"/>
          <w:szCs w:val="24"/>
        </w:rPr>
      </w:pPr>
    </w:p>
    <w:p w14:paraId="5E3F2658">
      <w:pPr>
        <w:spacing w:line="440" w:lineRule="exact"/>
        <w:ind w:firstLine="480"/>
        <w:rPr>
          <w:rFonts w:hint="eastAsia" w:ascii="宋体" w:hAnsi="宋体"/>
          <w:sz w:val="24"/>
          <w:szCs w:val="24"/>
        </w:rPr>
      </w:pPr>
    </w:p>
    <w:p w14:paraId="4CF9CAA3">
      <w:pPr>
        <w:rPr>
          <w:rFonts w:hint="eastAsia" w:ascii="黑体" w:hAnsi="黑体" w:eastAsia="黑体"/>
          <w:i/>
          <w:sz w:val="32"/>
          <w:szCs w:val="32"/>
          <w:u w:val="single"/>
        </w:rPr>
      </w:pPr>
    </w:p>
    <w:p w14:paraId="22193405">
      <w:pPr>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rPr>
        <w:br w:type="page"/>
      </w:r>
    </w:p>
    <w:p w14:paraId="5C7B6C27">
      <w:pPr>
        <w:pStyle w:val="3"/>
        <w:widowControl/>
        <w:jc w:val="both"/>
        <w:rPr>
          <w:rFonts w:hint="eastAsia" w:ascii="黑体" w:hAnsi="黑体" w:eastAsia="黑体" w:cs="Times New Roman"/>
          <w:b w:val="0"/>
          <w:bCs w:val="0"/>
          <w:i/>
          <w:sz w:val="32"/>
          <w:szCs w:val="32"/>
          <w:u w:val="single"/>
        </w:rPr>
      </w:pPr>
      <w:r>
        <w:rPr>
          <w:rFonts w:hint="eastAsia" w:ascii="黑体" w:hAnsi="黑体" w:eastAsia="黑体" w:cs="Times New Roman"/>
          <w:b w:val="0"/>
          <w:bCs w:val="0"/>
          <w:iCs/>
          <w:sz w:val="32"/>
          <w:szCs w:val="32"/>
        </w:rPr>
        <w:t>一、协商及声明函</w:t>
      </w:r>
    </w:p>
    <w:p w14:paraId="3F07BC08">
      <w:pPr>
        <w:pStyle w:val="278"/>
        <w:widowControl/>
        <w:spacing w:line="440" w:lineRule="exact"/>
        <w:jc w:val="left"/>
        <w:rPr>
          <w:rFonts w:hint="eastAsia" w:asciiTheme="minorEastAsia" w:hAnsiTheme="minorEastAsia" w:eastAsiaTheme="minorEastAsia" w:cstheme="minorEastAsia"/>
          <w:sz w:val="24"/>
          <w:szCs w:val="24"/>
        </w:rPr>
      </w:pPr>
      <w:r>
        <w:rPr>
          <w:rFonts w:hint="eastAsia" w:eastAsiaTheme="minorEastAsia" w:cstheme="minorBidi"/>
          <w:sz w:val="24"/>
          <w:szCs w:val="24"/>
          <w:u w:val="single"/>
          <w:lang w:eastAsia="zh-CN"/>
        </w:rPr>
        <w:t xml:space="preserve">宿迁市发展和改革委员会 </w:t>
      </w:r>
      <w:r>
        <w:rPr>
          <w:rFonts w:hint="eastAsia" w:asciiTheme="minorEastAsia" w:hAnsiTheme="minorEastAsia" w:eastAsiaTheme="minorEastAsia" w:cstheme="minorEastAsia"/>
          <w:sz w:val="24"/>
          <w:szCs w:val="24"/>
        </w:rPr>
        <w:t>：</w:t>
      </w:r>
    </w:p>
    <w:p w14:paraId="1C9A70A5">
      <w:pPr>
        <w:spacing w:line="480" w:lineRule="exact"/>
        <w:ind w:firstLine="480"/>
        <w:rPr>
          <w:rFonts w:hint="eastAsia" w:asciiTheme="minorEastAsia" w:hAnsiTheme="minorEastAsia" w:cstheme="minorEastAsia"/>
          <w:sz w:val="24"/>
          <w:szCs w:val="24"/>
        </w:rPr>
      </w:pPr>
      <w:r>
        <w:rPr>
          <w:rFonts w:hint="eastAsia" w:asciiTheme="minorEastAsia" w:hAnsiTheme="minorEastAsia" w:cstheme="minorEastAsia"/>
          <w:sz w:val="24"/>
          <w:szCs w:val="24"/>
        </w:rPr>
        <w:t>根据已收到的项目编号为</w:t>
      </w:r>
      <w:r>
        <w:rPr>
          <w:rFonts w:hint="eastAsia" w:ascii="Times New Roman" w:hAnsi="Times New Roman" w:eastAsia="宋体" w:cs="Times New Roman"/>
          <w:sz w:val="24"/>
          <w:szCs w:val="24"/>
          <w:highlight w:val="none"/>
          <w:u w:val="single"/>
          <w:lang w:eastAsia="zh-CN"/>
        </w:rPr>
        <w:t>JSZC-321300-JSZR-D2026-0066</w:t>
      </w:r>
      <w:r>
        <w:rPr>
          <w:rFonts w:hint="eastAsia" w:ascii="Times New Roman" w:hAnsi="Times New Roman"/>
          <w:sz w:val="24"/>
          <w:szCs w:val="24"/>
          <w:highlight w:val="none"/>
          <w:u w:val="single"/>
        </w:rPr>
        <w:t xml:space="preserve"> </w:t>
      </w:r>
      <w:r>
        <w:rPr>
          <w:rFonts w:hint="eastAsia" w:ascii="Times New Roman" w:hAnsi="Times New Roman"/>
          <w:sz w:val="24"/>
          <w:szCs w:val="24"/>
        </w:rPr>
        <w:t>号</w:t>
      </w:r>
      <w:r>
        <w:rPr>
          <w:rFonts w:hint="eastAsia" w:ascii="Times New Roman" w:hAnsi="Times New Roman"/>
          <w:sz w:val="24"/>
          <w:szCs w:val="24"/>
          <w:u w:val="single"/>
          <w:lang w:val="en-US" w:eastAsia="zh-CN"/>
        </w:rPr>
        <w:t>2026年-2029年宿迁市级冻猪肉储备采购</w:t>
      </w:r>
      <w:r>
        <w:rPr>
          <w:rFonts w:hint="eastAsia" w:asciiTheme="minorEastAsia" w:hAnsiTheme="minorEastAsia" w:cstheme="minorEastAsia"/>
          <w:sz w:val="24"/>
          <w:szCs w:val="24"/>
        </w:rPr>
        <w:t>的单一来源协商采购文件，我方在参加本项目协商活动中，特做出如下承诺：</w:t>
      </w:r>
    </w:p>
    <w:p w14:paraId="40121CA5">
      <w:pPr>
        <w:pStyle w:val="278"/>
        <w:widowControl/>
        <w:spacing w:line="480" w:lineRule="exact"/>
        <w:ind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一、我方</w:t>
      </w:r>
      <w:r>
        <w:rPr>
          <w:rFonts w:hint="eastAsia" w:asciiTheme="minorEastAsia" w:hAnsiTheme="minorEastAsia" w:eastAsiaTheme="minorEastAsia" w:cstheme="minorEastAsia"/>
          <w:sz w:val="24"/>
          <w:highlight w:val="white"/>
        </w:rPr>
        <w:t>具备《中华人民共和国政府采购法》第二十二条第一款规定的6项条件；</w:t>
      </w:r>
    </w:p>
    <w:p w14:paraId="747194C3">
      <w:pPr>
        <w:pStyle w:val="278"/>
        <w:widowControl/>
        <w:spacing w:line="480" w:lineRule="exact"/>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二、我方在参加政府采购活动前三年内（自本项目协商时间之日起计算），在经营活动中没有重大违法记录（指因违法经营受到刑事处罚或者责令停产停业、吊销许可证或者执照、较大数额罚款等行政处罚）。</w:t>
      </w:r>
    </w:p>
    <w:p w14:paraId="3A7415E2">
      <w:pPr>
        <w:pStyle w:val="278"/>
        <w:widowControl/>
        <w:spacing w:line="480" w:lineRule="exact"/>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三、我方按采购文件要求提交协商文件，响应采购文件规定的投标有效期；</w:t>
      </w:r>
    </w:p>
    <w:p w14:paraId="2E65AAE3">
      <w:pPr>
        <w:pStyle w:val="278"/>
        <w:widowControl/>
        <w:spacing w:line="480" w:lineRule="exact"/>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四、如果我方的协商文件被接受，我方将按《中华人民共和国民法典》及其他有关法律、法规的规定，按期、按质、按量交付采购单位，全面做到履约守信；</w:t>
      </w:r>
    </w:p>
    <w:p w14:paraId="38CBFBAF">
      <w:pPr>
        <w:pStyle w:val="278"/>
        <w:widowControl/>
        <w:spacing w:line="480" w:lineRule="exact"/>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五、我方若违背本声明及承诺约定，经查实，自愿接受采购人及相关主管部门相应的规定处理，并依法承担相应的法律责任。</w:t>
      </w:r>
    </w:p>
    <w:p w14:paraId="05B2CB72">
      <w:pPr>
        <w:pStyle w:val="278"/>
        <w:widowControl/>
        <w:spacing w:line="480" w:lineRule="exact"/>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六、我方同意采购人、采购代理机构将本声明及承诺函上网公开。</w:t>
      </w:r>
    </w:p>
    <w:p w14:paraId="73884717">
      <w:pPr>
        <w:pStyle w:val="278"/>
        <w:widowControl/>
        <w:spacing w:line="480" w:lineRule="exact"/>
        <w:ind w:firstLine="480"/>
        <w:jc w:val="left"/>
        <w:rPr>
          <w:rFonts w:hint="eastAsia" w:asciiTheme="minorEastAsia" w:hAnsiTheme="minorEastAsia" w:eastAsiaTheme="minorEastAsia" w:cstheme="minorEastAsia"/>
          <w:color w:val="FF0000"/>
          <w:sz w:val="24"/>
          <w:szCs w:val="24"/>
        </w:rPr>
      </w:pPr>
    </w:p>
    <w:p w14:paraId="7E54E885">
      <w:pPr>
        <w:pStyle w:val="278"/>
        <w:widowControl/>
        <w:spacing w:line="480" w:lineRule="exact"/>
        <w:ind w:firstLine="480"/>
        <w:jc w:val="left"/>
        <w:rPr>
          <w:rFonts w:hint="eastAsia" w:asciiTheme="minorEastAsia" w:hAnsiTheme="minorEastAsia" w:eastAsiaTheme="minorEastAsia" w:cstheme="minorEastAsia"/>
          <w:sz w:val="24"/>
          <w:szCs w:val="24"/>
        </w:rPr>
      </w:pPr>
    </w:p>
    <w:p w14:paraId="099DEBEF">
      <w:pPr>
        <w:pStyle w:val="278"/>
        <w:widowControl/>
        <w:spacing w:line="480" w:lineRule="exact"/>
        <w:ind w:right="960" w:firstLine="480"/>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供应商名称：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（盖CA电子公章）</w:t>
      </w:r>
    </w:p>
    <w:p w14:paraId="5DF5A768">
      <w:pPr>
        <w:pStyle w:val="278"/>
        <w:widowControl/>
        <w:spacing w:line="480" w:lineRule="exact"/>
        <w:ind w:right="960" w:firstLine="4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年    月   日</w:t>
      </w:r>
      <w:bookmarkEnd w:id="175"/>
      <w:bookmarkEnd w:id="176"/>
      <w:bookmarkEnd w:id="177"/>
    </w:p>
    <w:p w14:paraId="03773B88">
      <w:pPr>
        <w:spacing w:line="440" w:lineRule="exact"/>
        <w:ind w:firstLine="480"/>
        <w:rPr>
          <w:rFonts w:hint="eastAsia" w:ascii="宋体" w:hAnsi="宋体"/>
          <w:sz w:val="24"/>
          <w:szCs w:val="21"/>
        </w:rPr>
      </w:pPr>
    </w:p>
    <w:p w14:paraId="18AC528A">
      <w:pPr>
        <w:jc w:val="left"/>
        <w:rPr>
          <w:rFonts w:hint="eastAsia" w:ascii="黑体" w:hAnsi="黑体" w:eastAsia="黑体"/>
          <w:i/>
          <w:sz w:val="32"/>
          <w:szCs w:val="32"/>
          <w:u w:val="single"/>
        </w:rPr>
      </w:pPr>
      <w:bookmarkStart w:id="178" w:name="_Toc120614284"/>
    </w:p>
    <w:p w14:paraId="201414A6">
      <w:pPr>
        <w:jc w:val="left"/>
        <w:rPr>
          <w:rFonts w:hint="eastAsia" w:ascii="黑体" w:hAnsi="黑体" w:eastAsia="黑体"/>
          <w:i/>
          <w:sz w:val="32"/>
          <w:szCs w:val="32"/>
          <w:u w:val="single"/>
        </w:rPr>
      </w:pPr>
    </w:p>
    <w:p w14:paraId="00732E6F">
      <w:pPr>
        <w:jc w:val="left"/>
        <w:rPr>
          <w:rFonts w:hint="eastAsia" w:ascii="黑体" w:hAnsi="黑体" w:eastAsia="黑体"/>
          <w:i/>
          <w:sz w:val="32"/>
          <w:szCs w:val="32"/>
          <w:u w:val="single"/>
        </w:rPr>
      </w:pPr>
    </w:p>
    <w:p w14:paraId="492D381A">
      <w:pPr>
        <w:jc w:val="left"/>
        <w:rPr>
          <w:rFonts w:hint="eastAsia" w:ascii="黑体" w:hAnsi="黑体" w:eastAsia="黑体"/>
          <w:i/>
          <w:sz w:val="32"/>
          <w:szCs w:val="32"/>
          <w:u w:val="single"/>
        </w:rPr>
      </w:pPr>
    </w:p>
    <w:p w14:paraId="03FF1762">
      <w:pPr>
        <w:jc w:val="left"/>
        <w:rPr>
          <w:rFonts w:hint="eastAsia" w:ascii="宋体" w:hAnsi="宋体"/>
          <w:bCs/>
          <w:sz w:val="24"/>
          <w:szCs w:val="21"/>
        </w:rPr>
      </w:pPr>
    </w:p>
    <w:p w14:paraId="4971264F">
      <w:pPr>
        <w:jc w:val="left"/>
        <w:rPr>
          <w:rFonts w:hint="eastAsia" w:ascii="宋体" w:hAnsi="宋体"/>
          <w:bCs/>
          <w:sz w:val="24"/>
          <w:szCs w:val="21"/>
        </w:rPr>
      </w:pPr>
    </w:p>
    <w:p w14:paraId="6785BD1C">
      <w:pPr>
        <w:jc w:val="left"/>
        <w:rPr>
          <w:rFonts w:hint="eastAsia" w:ascii="宋体" w:hAnsi="宋体"/>
          <w:bCs/>
          <w:sz w:val="24"/>
          <w:szCs w:val="21"/>
        </w:rPr>
      </w:pPr>
    </w:p>
    <w:p w14:paraId="14CC7066">
      <w:pPr>
        <w:pStyle w:val="3"/>
        <w:spacing w:before="0" w:after="0" w:line="520" w:lineRule="exact"/>
        <w:ind w:firstLine="320"/>
        <w:rPr>
          <w:rFonts w:hint="eastAsia" w:ascii="黑体" w:hAnsi="黑体" w:eastAsia="黑体" w:cs="Times New Roman"/>
          <w:b w:val="0"/>
          <w:bCs w:val="0"/>
          <w:iCs/>
          <w:sz w:val="32"/>
          <w:szCs w:val="32"/>
        </w:rPr>
      </w:pPr>
    </w:p>
    <w:p w14:paraId="498AF8DE">
      <w:pPr>
        <w:pStyle w:val="3"/>
        <w:spacing w:before="0" w:after="0" w:line="520" w:lineRule="exact"/>
        <w:jc w:val="left"/>
        <w:rPr>
          <w:rFonts w:hint="eastAsia" w:asciiTheme="minorEastAsia" w:hAnsiTheme="minorEastAsia" w:eastAsiaTheme="minorEastAsia" w:cstheme="minorEastAsia"/>
          <w:sz w:val="32"/>
        </w:rPr>
      </w:pPr>
      <w:r>
        <w:rPr>
          <w:rFonts w:hint="eastAsia" w:ascii="黑体" w:hAnsi="黑体" w:eastAsia="黑体" w:cs="Times New Roman"/>
          <w:b w:val="0"/>
          <w:bCs w:val="0"/>
          <w:iCs/>
          <w:sz w:val="32"/>
          <w:szCs w:val="32"/>
        </w:rPr>
        <w:t>二、</w:t>
      </w:r>
      <w:r>
        <w:rPr>
          <w:rFonts w:hint="eastAsia" w:ascii="宋体" w:hAnsi="宋体" w:eastAsia="宋体" w:cs="宋体"/>
          <w:b/>
          <w:bCs/>
          <w:sz w:val="24"/>
          <w:szCs w:val="24"/>
        </w:rPr>
        <w:t>特定资格要求</w:t>
      </w:r>
    </w:p>
    <w:p w14:paraId="507907A0">
      <w:pPr>
        <w:pStyle w:val="278"/>
        <w:widowControl/>
        <w:spacing w:line="480" w:lineRule="exact"/>
        <w:ind w:firstLine="480"/>
        <w:jc w:val="left"/>
        <w:rPr>
          <w:rFonts w:hint="eastAsia" w:ascii="黑体" w:hAnsi="黑体" w:eastAsia="黑体" w:cs="Times New Roman"/>
          <w:b w:val="0"/>
          <w:bCs w:val="0"/>
          <w:iCs/>
          <w:sz w:val="32"/>
          <w:szCs w:val="32"/>
          <w:lang w:val="en-US" w:eastAsia="zh-CN"/>
        </w:rPr>
      </w:pPr>
      <w:r>
        <w:rPr>
          <w:rFonts w:hint="eastAsia" w:asciiTheme="minorEastAsia" w:hAnsiTheme="minorEastAsia" w:eastAsiaTheme="minorEastAsia" w:cstheme="minorEastAsia"/>
          <w:sz w:val="24"/>
          <w:szCs w:val="24"/>
        </w:rPr>
        <w:t>按谈判文件要求提供相应资质证书</w:t>
      </w:r>
    </w:p>
    <w:p w14:paraId="077F1A94">
      <w:pPr>
        <w:pStyle w:val="3"/>
        <w:widowControl/>
        <w:jc w:val="both"/>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lang w:val="en-US" w:eastAsia="zh-CN"/>
        </w:rPr>
        <w:t>三、</w:t>
      </w:r>
      <w:r>
        <w:rPr>
          <w:rFonts w:hint="eastAsia" w:ascii="黑体" w:hAnsi="黑体" w:eastAsia="黑体" w:cs="Times New Roman"/>
          <w:b w:val="0"/>
          <w:bCs w:val="0"/>
          <w:iCs/>
          <w:sz w:val="32"/>
          <w:szCs w:val="32"/>
        </w:rPr>
        <w:t>法人授权书</w:t>
      </w:r>
    </w:p>
    <w:p w14:paraId="5E2707E6">
      <w:pPr>
        <w:ind w:firstLine="480"/>
        <w:rPr>
          <w:rFonts w:ascii="Times New Roman" w:hAnsi="Times New Roman"/>
          <w:sz w:val="24"/>
          <w:szCs w:val="24"/>
        </w:rPr>
      </w:pPr>
    </w:p>
    <w:p w14:paraId="13D9B908">
      <w:pPr>
        <w:spacing w:line="500" w:lineRule="exact"/>
        <w:ind w:firstLine="480"/>
        <w:rPr>
          <w:rFonts w:ascii="Times New Roman" w:hAnsi="Times New Roman"/>
          <w:sz w:val="24"/>
          <w:szCs w:val="24"/>
        </w:rPr>
      </w:pPr>
      <w:r>
        <w:rPr>
          <w:rFonts w:hint="eastAsia" w:ascii="Times New Roman" w:hAnsi="Times New Roman"/>
          <w:sz w:val="24"/>
          <w:szCs w:val="24"/>
        </w:rPr>
        <w:t>本授权书声明：____________（供应商名称）授权________________（被授权人的姓名）为我方就</w:t>
      </w:r>
      <w:r>
        <w:rPr>
          <w:rFonts w:hint="eastAsia" w:ascii="Times New Roman" w:hAnsi="Times New Roman" w:eastAsia="宋体" w:cs="Times New Roman"/>
          <w:sz w:val="24"/>
          <w:szCs w:val="24"/>
          <w:highlight w:val="none"/>
          <w:u w:val="single"/>
          <w:lang w:eastAsia="zh-CN"/>
        </w:rPr>
        <w:t>JSZC-321300-JSZR-D2026-0066</w:t>
      </w:r>
      <w:r>
        <w:rPr>
          <w:rFonts w:hint="eastAsia" w:ascii="Times New Roman" w:hAnsi="Times New Roman"/>
          <w:sz w:val="24"/>
          <w:szCs w:val="24"/>
          <w:highlight w:val="none"/>
          <w:u w:val="single"/>
        </w:rPr>
        <w:t xml:space="preserve"> </w:t>
      </w:r>
      <w:r>
        <w:rPr>
          <w:rFonts w:hint="eastAsia" w:ascii="Times New Roman" w:hAnsi="Times New Roman"/>
          <w:sz w:val="24"/>
          <w:szCs w:val="24"/>
        </w:rPr>
        <w:t>号</w:t>
      </w:r>
      <w:r>
        <w:rPr>
          <w:rFonts w:hint="eastAsia" w:ascii="Times New Roman" w:hAnsi="Times New Roman"/>
          <w:sz w:val="24"/>
          <w:szCs w:val="24"/>
          <w:u w:val="single"/>
          <w:lang w:val="en-US" w:eastAsia="zh-CN"/>
        </w:rPr>
        <w:t>2026年-2029年宿迁市级冻猪肉储备采购</w:t>
      </w:r>
      <w:r>
        <w:rPr>
          <w:rFonts w:hint="eastAsia" w:ascii="Times New Roman" w:hAnsi="Times New Roman"/>
          <w:sz w:val="24"/>
          <w:szCs w:val="24"/>
        </w:rPr>
        <w:t>采购活动的合法代理人，以本单位名义全权处理一切与该项目采购有关的事务。</w:t>
      </w:r>
    </w:p>
    <w:p w14:paraId="7B8F0374">
      <w:pPr>
        <w:tabs>
          <w:tab w:val="left" w:pos="360"/>
        </w:tabs>
        <w:spacing w:line="500" w:lineRule="exact"/>
        <w:ind w:firstLine="480"/>
        <w:rPr>
          <w:rFonts w:ascii="Times New Roman" w:hAnsi="Times New Roman"/>
          <w:sz w:val="24"/>
          <w:szCs w:val="24"/>
        </w:rPr>
      </w:pPr>
      <w:r>
        <w:rPr>
          <w:rFonts w:hint="eastAsia" w:ascii="Times New Roman" w:hAnsi="Times New Roman"/>
          <w:sz w:val="24"/>
          <w:szCs w:val="24"/>
        </w:rPr>
        <w:t>本授权书于______年____月____日起生效，特此声明。</w:t>
      </w:r>
    </w:p>
    <w:p w14:paraId="39F14A07">
      <w:pPr>
        <w:tabs>
          <w:tab w:val="left" w:pos="360"/>
        </w:tabs>
        <w:spacing w:line="500" w:lineRule="exact"/>
        <w:ind w:firstLine="480"/>
        <w:rPr>
          <w:rFonts w:ascii="Times New Roman" w:hAnsi="Times New Roman"/>
          <w:sz w:val="24"/>
          <w:szCs w:val="24"/>
          <w:u w:val="single"/>
        </w:rPr>
      </w:pPr>
      <w:r>
        <w:rPr>
          <w:rFonts w:hint="eastAsia" w:ascii="Times New Roman" w:hAnsi="Times New Roman"/>
          <w:sz w:val="24"/>
          <w:szCs w:val="24"/>
        </w:rPr>
        <w:t>被授权人身份证号码：</w:t>
      </w:r>
      <w:r>
        <w:rPr>
          <w:rFonts w:hint="eastAsia" w:ascii="Times New Roman" w:hAnsi="Times New Roman"/>
          <w:sz w:val="24"/>
          <w:szCs w:val="24"/>
          <w:u w:val="single"/>
        </w:rPr>
        <w:t xml:space="preserve">                              </w:t>
      </w:r>
    </w:p>
    <w:p w14:paraId="1CC6A79E">
      <w:pPr>
        <w:tabs>
          <w:tab w:val="left" w:pos="360"/>
        </w:tabs>
        <w:spacing w:line="500" w:lineRule="exact"/>
        <w:ind w:firstLine="200"/>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p>
    <w:p w14:paraId="7EFB1B7B">
      <w:pPr>
        <w:tabs>
          <w:tab w:val="left" w:pos="360"/>
        </w:tabs>
        <w:spacing w:line="500" w:lineRule="exact"/>
        <w:ind w:firstLine="480"/>
        <w:rPr>
          <w:rFonts w:ascii="Times New Roman" w:hAnsi="Times New Roman"/>
          <w:sz w:val="24"/>
          <w:szCs w:val="24"/>
        </w:rPr>
      </w:pPr>
      <w:r>
        <w:rPr>
          <w:rFonts w:hint="eastAsia" w:ascii="Times New Roman" w:hAnsi="Times New Roman"/>
          <w:sz w:val="24"/>
          <w:szCs w:val="24"/>
        </w:rPr>
        <w:t>授权单位名称：</w:t>
      </w:r>
      <w:r>
        <w:rPr>
          <w:rFonts w:hint="eastAsia" w:ascii="Times New Roman" w:hAnsi="Times New Roman"/>
          <w:sz w:val="24"/>
          <w:szCs w:val="24"/>
          <w:u w:val="single"/>
        </w:rPr>
        <w:t>（盖CA电子公章）</w:t>
      </w:r>
      <w:r>
        <w:rPr>
          <w:rFonts w:hint="eastAsia" w:ascii="Times New Roman" w:hAnsi="Times New Roman"/>
          <w:sz w:val="24"/>
          <w:szCs w:val="24"/>
        </w:rPr>
        <w:t xml:space="preserve"> </w:t>
      </w:r>
    </w:p>
    <w:p w14:paraId="61D5E168">
      <w:pPr>
        <w:tabs>
          <w:tab w:val="left" w:pos="360"/>
        </w:tabs>
        <w:spacing w:line="500" w:lineRule="exact"/>
        <w:ind w:firstLine="480"/>
        <w:rPr>
          <w:rFonts w:ascii="Times New Roman" w:hAnsi="Times New Roman"/>
          <w:sz w:val="24"/>
          <w:szCs w:val="24"/>
          <w:u w:val="single"/>
        </w:rPr>
      </w:pPr>
      <w:r>
        <w:rPr>
          <w:rFonts w:hint="eastAsia" w:ascii="Times New Roman" w:hAnsi="Times New Roman"/>
          <w:sz w:val="24"/>
          <w:szCs w:val="24"/>
        </w:rPr>
        <w:t>单位地址：</w:t>
      </w:r>
      <w:r>
        <w:rPr>
          <w:rFonts w:hint="eastAsia" w:ascii="Times New Roman" w:hAnsi="Times New Roman"/>
          <w:sz w:val="24"/>
          <w:szCs w:val="24"/>
          <w:u w:val="single"/>
        </w:rPr>
        <w:t xml:space="preserve">                                     </w:t>
      </w:r>
    </w:p>
    <w:p w14:paraId="3486353D">
      <w:pPr>
        <w:tabs>
          <w:tab w:val="left" w:pos="360"/>
        </w:tabs>
        <w:spacing w:line="500" w:lineRule="exact"/>
        <w:ind w:firstLine="480"/>
        <w:rPr>
          <w:rFonts w:ascii="Times New Roman" w:hAnsi="Times New Roman"/>
          <w:sz w:val="24"/>
          <w:szCs w:val="24"/>
          <w:u w:val="single"/>
        </w:rPr>
      </w:pPr>
      <w:r>
        <w:rPr>
          <w:rFonts w:hint="eastAsia" w:ascii="Times New Roman" w:hAnsi="Times New Roman"/>
          <w:sz w:val="24"/>
          <w:szCs w:val="24"/>
        </w:rPr>
        <w:t>日期：</w:t>
      </w:r>
      <w:bookmarkStart w:id="179" w:name="_格式3__银行出具的资信证明"/>
      <w:bookmarkEnd w:id="179"/>
      <w:bookmarkStart w:id="180" w:name="_Hlt26671380"/>
      <w:bookmarkEnd w:id="180"/>
      <w:bookmarkStart w:id="181" w:name="_Hlt26955070"/>
      <w:bookmarkEnd w:id="181"/>
      <w:r>
        <w:rPr>
          <w:rFonts w:hint="eastAsia" w:ascii="Times New Roman" w:hAnsi="Times New Roman"/>
          <w:sz w:val="24"/>
          <w:szCs w:val="24"/>
          <w:u w:val="single"/>
        </w:rPr>
        <w:t xml:space="preserve">                                         </w:t>
      </w:r>
    </w:p>
    <w:p w14:paraId="6EB86727">
      <w:pPr>
        <w:tabs>
          <w:tab w:val="left" w:pos="360"/>
        </w:tabs>
        <w:spacing w:line="500" w:lineRule="exact"/>
        <w:ind w:firstLine="480"/>
        <w:rPr>
          <w:rFonts w:ascii="Times New Roman" w:hAnsi="Times New Roman"/>
          <w:sz w:val="24"/>
          <w:szCs w:val="24"/>
          <w:u w:val="single"/>
        </w:rPr>
      </w:pPr>
    </w:p>
    <w:p w14:paraId="5535BCC3">
      <w:pPr>
        <w:tabs>
          <w:tab w:val="left" w:pos="360"/>
        </w:tabs>
        <w:ind w:firstLine="480"/>
        <w:rPr>
          <w:rFonts w:ascii="Times New Roman" w:hAnsi="Times New Roman"/>
          <w:sz w:val="24"/>
          <w:szCs w:val="24"/>
        </w:rPr>
      </w:pPr>
    </w:p>
    <w:p w14:paraId="5765DC5A">
      <w:pPr>
        <w:ind w:firstLine="420"/>
        <w:rPr>
          <w:rFonts w:ascii="Times New Roman" w:hAnsi="Times New Roman"/>
          <w:i/>
          <w:sz w:val="24"/>
          <w:szCs w:val="24"/>
          <w:u w:val="single"/>
        </w:rPr>
      </w:pPr>
    </w:p>
    <w:p w14:paraId="7C52461C">
      <w:pPr>
        <w:rPr>
          <w:rFonts w:ascii="Times New Roman" w:hAnsi="Times New Roman"/>
          <w:szCs w:val="21"/>
        </w:rPr>
      </w:pPr>
    </w:p>
    <w:p w14:paraId="58113090">
      <w:pPr>
        <w:spacing w:line="560" w:lineRule="exact"/>
        <w:ind w:firstLine="241"/>
        <w:jc w:val="left"/>
        <w:rPr>
          <w:rFonts w:hint="eastAsia" w:ascii="宋体" w:hAnsi="宋体"/>
          <w:sz w:val="24"/>
          <w:szCs w:val="24"/>
        </w:rPr>
      </w:pPr>
      <w:r>
        <w:rPr>
          <w:rFonts w:ascii="宋体" w:hAnsi="宋体" w:eastAsia="幼圆" w:cs="Arial"/>
          <w:b/>
          <w:sz w:val="24"/>
          <w:szCs w:val="44"/>
        </w:rPr>
        <w:br w:type="page" w:clear="all"/>
      </w:r>
    </w:p>
    <w:p w14:paraId="0B7000D8">
      <w:pPr>
        <w:pStyle w:val="3"/>
        <w:widowControl/>
        <w:jc w:val="both"/>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lang w:eastAsia="zh-CN"/>
        </w:rPr>
        <w:t>四</w:t>
      </w:r>
      <w:r>
        <w:rPr>
          <w:rFonts w:hint="eastAsia" w:ascii="黑体" w:hAnsi="黑体" w:eastAsia="黑体" w:cs="Times New Roman"/>
          <w:b w:val="0"/>
          <w:bCs w:val="0"/>
          <w:iCs/>
          <w:sz w:val="32"/>
          <w:szCs w:val="32"/>
        </w:rPr>
        <w:t>、报价一览表</w:t>
      </w:r>
    </w:p>
    <w:p w14:paraId="1E262ECD">
      <w:pPr>
        <w:pStyle w:val="359"/>
        <w:rPr>
          <w:rFonts w:eastAsiaTheme="minorEastAsia" w:cstheme="minorBidi"/>
        </w:rPr>
      </w:pPr>
      <w:r>
        <w:rPr>
          <w:rFonts w:hint="eastAsia" w:eastAsiaTheme="minorEastAsia" w:cstheme="minorBidi"/>
          <w:lang w:eastAsia="zh-CN"/>
        </w:rPr>
        <w:t>供应商</w:t>
      </w:r>
      <w:r>
        <w:rPr>
          <w:rFonts w:hint="eastAsia" w:eastAsiaTheme="minorEastAsia" w:cstheme="minorBidi"/>
        </w:rPr>
        <w:t>全称(CA公章) : 供应商名称</w:t>
      </w:r>
    </w:p>
    <w:p w14:paraId="296EDB04">
      <w:pPr>
        <w:spacing w:line="560" w:lineRule="exact"/>
        <w:rPr>
          <w:rFonts w:hint="eastAsia" w:ascii="Times New Roman" w:hAnsi="Times New Roman" w:eastAsiaTheme="minorEastAsia" w:cstheme="minorBidi"/>
          <w:sz w:val="24"/>
          <w:szCs w:val="24"/>
          <w:highlight w:val="none"/>
          <w:lang w:val="en-US" w:eastAsia="zh-CN" w:bidi="ar-SA"/>
        </w:rPr>
      </w:pPr>
      <w:r>
        <w:rPr>
          <w:rFonts w:hint="eastAsia" w:ascii="Times New Roman" w:hAnsi="Times New Roman"/>
          <w:sz w:val="24"/>
          <w:szCs w:val="24"/>
        </w:rPr>
        <w:t>采购项目名称</w:t>
      </w:r>
      <w:r>
        <w:rPr>
          <w:rFonts w:hint="eastAsia" w:ascii="Times New Roman" w:hAnsi="Times New Roman"/>
          <w:sz w:val="24"/>
          <w:szCs w:val="24"/>
          <w:highlight w:val="none"/>
        </w:rPr>
        <w:t>：</w:t>
      </w:r>
      <w:r>
        <w:rPr>
          <w:rFonts w:hint="eastAsia" w:ascii="Times New Roman" w:hAnsi="Times New Roman" w:cstheme="minorBidi"/>
          <w:sz w:val="24"/>
          <w:szCs w:val="24"/>
          <w:highlight w:val="none"/>
          <w:lang w:val="en-US" w:eastAsia="zh-CN" w:bidi="ar-SA"/>
        </w:rPr>
        <w:t>2026年-2029年宿迁市级冻猪肉储备采购</w:t>
      </w:r>
    </w:p>
    <w:p w14:paraId="19690FA0">
      <w:pPr>
        <w:spacing w:line="500" w:lineRule="exact"/>
        <w:rPr>
          <w:rFonts w:hint="default" w:ascii="Times New Roman" w:hAnsi="Times New Roman" w:eastAsiaTheme="minorEastAsia"/>
          <w:sz w:val="24"/>
          <w:szCs w:val="24"/>
          <w:highlight w:val="none"/>
          <w:lang w:val="en-US" w:eastAsia="zh-CN"/>
        </w:rPr>
      </w:pPr>
      <w:r>
        <w:rPr>
          <w:rFonts w:hint="eastAsia" w:ascii="Times New Roman" w:hAnsi="Times New Roman"/>
          <w:sz w:val="24"/>
          <w:szCs w:val="24"/>
          <w:highlight w:val="none"/>
        </w:rPr>
        <w:t>采购项目编号：</w:t>
      </w:r>
      <w:r>
        <w:rPr>
          <w:rFonts w:hint="eastAsia" w:ascii="Times New Roman" w:hAnsi="Times New Roman" w:eastAsia="宋体" w:cs="Times New Roman"/>
          <w:sz w:val="24"/>
          <w:szCs w:val="24"/>
          <w:highlight w:val="none"/>
          <w:u w:val="single"/>
          <w:lang w:eastAsia="zh-CN"/>
        </w:rPr>
        <w:t>JSZC-321300-JSZR-D2026-0066</w:t>
      </w:r>
      <w:r>
        <w:rPr>
          <w:rFonts w:hint="eastAsia" w:ascii="Times New Roman" w:hAnsi="Times New Roman"/>
          <w:sz w:val="24"/>
          <w:szCs w:val="24"/>
          <w:highlight w:val="none"/>
          <w:u w:val="single"/>
        </w:rPr>
        <w:t xml:space="preserve"> </w:t>
      </w:r>
    </w:p>
    <w:p w14:paraId="13036A4C">
      <w:pPr>
        <w:spacing w:line="560" w:lineRule="exact"/>
        <w:rPr>
          <w:rFonts w:ascii="Times New Roman" w:hAnsi="Times New Roman"/>
          <w:sz w:val="24"/>
          <w:szCs w:val="24"/>
        </w:rPr>
      </w:pPr>
      <w:r>
        <w:rPr>
          <w:rFonts w:ascii="Times New Roman" w:hAnsi="Times New Roman"/>
          <w:sz w:val="24"/>
          <w:szCs w:val="24"/>
        </w:rPr>
        <w:t>采购包号：分包号 </w:t>
      </w:r>
    </w:p>
    <w:tbl>
      <w:tblPr>
        <w:tblStyle w:val="49"/>
        <w:tblW w:w="4778" w:type="pct"/>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15" w:type="dxa"/>
          <w:left w:w="15" w:type="dxa"/>
          <w:bottom w:w="15" w:type="dxa"/>
          <w:right w:w="15" w:type="dxa"/>
        </w:tblCellMar>
      </w:tblPr>
      <w:tblGrid>
        <w:gridCol w:w="8542"/>
      </w:tblGrid>
      <w:tr w14:paraId="1670C51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463" w:hRule="atLeast"/>
        </w:trPr>
        <w:tc>
          <w:tcPr>
            <w:tcW w:w="5000" w:type="pct"/>
            <w:tcBorders>
              <w:top w:val="single" w:color="auto" w:sz="6" w:space="0"/>
              <w:left w:val="single" w:color="auto" w:sz="6" w:space="0"/>
              <w:bottom w:val="single" w:color="auto" w:sz="6" w:space="0"/>
              <w:right w:val="single" w:color="auto" w:sz="6" w:space="0"/>
            </w:tcBorders>
            <w:noWrap w:val="0"/>
            <w:vAlign w:val="center"/>
          </w:tcPr>
          <w:p w14:paraId="33025FC5">
            <w:pPr>
              <w:pStyle w:val="360"/>
              <w:jc w:val="center"/>
              <w:outlineLvl w:val="1"/>
              <w:rPr>
                <w:rFonts w:ascii="Times New Roman" w:hAnsi="Times New Roman" w:eastAsiaTheme="minorEastAsia" w:cstheme="minorBidi"/>
                <w:b w:val="0"/>
                <w:sz w:val="24"/>
              </w:rPr>
            </w:pPr>
            <w:r>
              <w:rPr>
                <w:rFonts w:ascii="Times New Roman" w:hAnsi="Times New Roman" w:eastAsiaTheme="minorEastAsia" w:cstheme="minorBidi"/>
                <w:b w:val="0"/>
                <w:sz w:val="24"/>
              </w:rPr>
              <w:t>投标总报价</w:t>
            </w:r>
          </w:p>
        </w:tc>
      </w:tr>
      <w:tr w14:paraId="0C1FAC3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513" w:hRule="atLeast"/>
        </w:trPr>
        <w:tc>
          <w:tcPr>
            <w:tcW w:w="5000" w:type="pct"/>
            <w:tcBorders>
              <w:top w:val="single" w:color="auto" w:sz="6" w:space="0"/>
              <w:left w:val="single" w:color="auto" w:sz="6" w:space="0"/>
              <w:bottom w:val="single" w:color="auto" w:sz="6" w:space="0"/>
              <w:right w:val="single" w:color="auto" w:sz="6" w:space="0"/>
            </w:tcBorders>
            <w:noWrap w:val="0"/>
            <w:vAlign w:val="center"/>
          </w:tcPr>
          <w:p w14:paraId="44132F9C">
            <w:pPr>
              <w:pStyle w:val="360"/>
              <w:outlineLvl w:val="1"/>
              <w:rPr>
                <w:rFonts w:ascii="Times New Roman" w:hAnsi="Times New Roman" w:eastAsiaTheme="minorEastAsia" w:cstheme="minorBidi"/>
                <w:b w:val="0"/>
                <w:sz w:val="24"/>
              </w:rPr>
            </w:pPr>
            <w:r>
              <w:rPr>
                <w:rFonts w:ascii="Times New Roman" w:hAnsi="Times New Roman" w:eastAsiaTheme="minorEastAsia" w:cstheme="minorBidi"/>
                <w:b w:val="0"/>
                <w:sz w:val="24"/>
              </w:rPr>
              <w:t>小写： </w:t>
            </w:r>
            <w:r>
              <w:rPr>
                <w:rFonts w:hint="eastAsia" w:ascii="Times New Roman" w:hAnsi="Times New Roman" w:eastAsiaTheme="minorEastAsia" w:cstheme="minorBidi"/>
                <w:b w:val="0"/>
                <w:sz w:val="24"/>
              </w:rPr>
              <w:t xml:space="preserve">              </w:t>
            </w:r>
            <w:r>
              <w:rPr>
                <w:rFonts w:ascii="Times New Roman" w:hAnsi="Times New Roman" w:eastAsiaTheme="minorEastAsia" w:cstheme="minorBidi"/>
                <w:b w:val="0"/>
                <w:sz w:val="24"/>
              </w:rPr>
              <w:t>（人民币：元）</w:t>
            </w:r>
          </w:p>
        </w:tc>
      </w:tr>
      <w:tr w14:paraId="0671599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520" w:hRule="atLeast"/>
        </w:trPr>
        <w:tc>
          <w:tcPr>
            <w:tcW w:w="5000" w:type="pct"/>
            <w:tcBorders>
              <w:top w:val="single" w:color="auto" w:sz="6" w:space="0"/>
              <w:left w:val="single" w:color="auto" w:sz="6" w:space="0"/>
              <w:bottom w:val="single" w:color="auto" w:sz="6" w:space="0"/>
              <w:right w:val="single" w:color="auto" w:sz="6" w:space="0"/>
            </w:tcBorders>
            <w:noWrap w:val="0"/>
            <w:vAlign w:val="center"/>
          </w:tcPr>
          <w:p w14:paraId="4866457F">
            <w:pPr>
              <w:pStyle w:val="360"/>
              <w:outlineLvl w:val="1"/>
              <w:rPr>
                <w:rFonts w:ascii="Times New Roman" w:hAnsi="Times New Roman" w:eastAsiaTheme="minorEastAsia" w:cstheme="minorBidi"/>
                <w:b w:val="0"/>
                <w:sz w:val="24"/>
              </w:rPr>
            </w:pPr>
            <w:r>
              <w:rPr>
                <w:rFonts w:ascii="Times New Roman" w:hAnsi="Times New Roman" w:eastAsiaTheme="minorEastAsia" w:cstheme="minorBidi"/>
                <w:b w:val="0"/>
                <w:sz w:val="24"/>
              </w:rPr>
              <w:t xml:space="preserve">大写：金额大写 </w:t>
            </w:r>
            <w:r>
              <w:rPr>
                <w:rFonts w:hint="eastAsia" w:ascii="Times New Roman" w:hAnsi="Times New Roman" w:eastAsiaTheme="minorEastAsia" w:cstheme="minorBidi"/>
                <w:b w:val="0"/>
                <w:sz w:val="24"/>
              </w:rPr>
              <w:t xml:space="preserve">     </w:t>
            </w:r>
            <w:r>
              <w:rPr>
                <w:rFonts w:ascii="Times New Roman" w:hAnsi="Times New Roman" w:eastAsiaTheme="minorEastAsia" w:cstheme="minorBidi"/>
                <w:b w:val="0"/>
                <w:sz w:val="24"/>
              </w:rPr>
              <w:t>（人民币：元）</w:t>
            </w:r>
          </w:p>
        </w:tc>
      </w:tr>
    </w:tbl>
    <w:p w14:paraId="2576C286">
      <w:r>
        <w:t> </w:t>
      </w:r>
    </w:p>
    <w:p w14:paraId="4BAFEAD2">
      <w:pPr>
        <w:pStyle w:val="24"/>
        <w:jc w:val="right"/>
        <w:rPr>
          <w:rFonts w:ascii="Times New Roman" w:hAnsi="Times New Roman" w:eastAsiaTheme="minorEastAsia" w:cstheme="minorBidi"/>
          <w:sz w:val="24"/>
          <w:szCs w:val="24"/>
        </w:rPr>
      </w:pPr>
      <w:r>
        <w:rPr>
          <w:rFonts w:ascii="Times New Roman" w:hAnsi="Times New Roman" w:eastAsiaTheme="minorEastAsia" w:cstheme="minorBidi"/>
          <w:sz w:val="24"/>
          <w:szCs w:val="24"/>
        </w:rPr>
        <w:t>日期： 年 月 日</w:t>
      </w:r>
    </w:p>
    <w:p w14:paraId="54A651E7">
      <w:pPr>
        <w:jc w:val="left"/>
        <w:rPr>
          <w:rFonts w:hint="eastAsia" w:ascii="宋体" w:hAnsi="宋体"/>
          <w:b/>
          <w:sz w:val="32"/>
          <w:szCs w:val="32"/>
        </w:rPr>
      </w:pPr>
    </w:p>
    <w:p w14:paraId="2CFF597A">
      <w:pPr>
        <w:jc w:val="left"/>
        <w:rPr>
          <w:rFonts w:hint="eastAsia" w:ascii="宋体" w:hAnsi="宋体"/>
          <w:b/>
          <w:sz w:val="32"/>
          <w:szCs w:val="32"/>
        </w:rPr>
      </w:pPr>
    </w:p>
    <w:p w14:paraId="1D8144A7">
      <w:pPr>
        <w:jc w:val="left"/>
        <w:rPr>
          <w:rFonts w:hint="eastAsia" w:ascii="宋体" w:hAnsi="宋体"/>
          <w:b/>
          <w:sz w:val="32"/>
          <w:szCs w:val="32"/>
        </w:rPr>
      </w:pPr>
    </w:p>
    <w:p w14:paraId="3D42B1AA">
      <w:pPr>
        <w:jc w:val="left"/>
        <w:rPr>
          <w:rFonts w:hint="eastAsia" w:ascii="宋体" w:hAnsi="宋体"/>
          <w:b/>
          <w:sz w:val="32"/>
          <w:szCs w:val="32"/>
        </w:rPr>
      </w:pPr>
    </w:p>
    <w:p w14:paraId="5E44183A">
      <w:pPr>
        <w:jc w:val="left"/>
        <w:rPr>
          <w:rFonts w:hint="eastAsia" w:ascii="宋体" w:hAnsi="宋体"/>
          <w:b/>
          <w:sz w:val="32"/>
          <w:szCs w:val="32"/>
        </w:rPr>
      </w:pPr>
    </w:p>
    <w:p w14:paraId="0B089AAB">
      <w:pPr>
        <w:jc w:val="left"/>
        <w:rPr>
          <w:rFonts w:hint="eastAsia" w:ascii="宋体" w:hAnsi="宋体"/>
          <w:b/>
          <w:sz w:val="32"/>
          <w:szCs w:val="32"/>
        </w:rPr>
      </w:pPr>
    </w:p>
    <w:p w14:paraId="413CA9B2">
      <w:pPr>
        <w:jc w:val="left"/>
        <w:rPr>
          <w:rFonts w:hint="eastAsia" w:ascii="宋体" w:hAnsi="宋体"/>
          <w:b/>
          <w:sz w:val="32"/>
          <w:szCs w:val="32"/>
        </w:rPr>
      </w:pPr>
    </w:p>
    <w:p w14:paraId="187E4E95">
      <w:pPr>
        <w:jc w:val="left"/>
        <w:rPr>
          <w:rFonts w:hint="eastAsia" w:ascii="宋体" w:hAnsi="宋体"/>
          <w:b/>
          <w:bCs/>
          <w:sz w:val="32"/>
          <w:szCs w:val="32"/>
        </w:rPr>
      </w:pPr>
    </w:p>
    <w:p w14:paraId="6444508D">
      <w:pPr>
        <w:jc w:val="left"/>
        <w:rPr>
          <w:rFonts w:hint="eastAsia" w:ascii="宋体" w:hAnsi="宋体"/>
          <w:b/>
          <w:bCs/>
          <w:sz w:val="32"/>
          <w:szCs w:val="32"/>
        </w:rPr>
      </w:pPr>
    </w:p>
    <w:p w14:paraId="3CE458DB">
      <w:pPr>
        <w:jc w:val="left"/>
        <w:rPr>
          <w:rFonts w:hint="eastAsia" w:ascii="宋体" w:hAnsi="宋体"/>
          <w:b/>
          <w:bCs/>
          <w:sz w:val="32"/>
          <w:szCs w:val="32"/>
        </w:rPr>
      </w:pPr>
    </w:p>
    <w:p w14:paraId="3B7A6C98">
      <w:pPr>
        <w:jc w:val="left"/>
        <w:rPr>
          <w:rFonts w:hint="eastAsia" w:ascii="宋体" w:hAnsi="宋体"/>
          <w:b/>
          <w:bCs/>
          <w:sz w:val="32"/>
          <w:szCs w:val="32"/>
        </w:rPr>
      </w:pPr>
    </w:p>
    <w:p w14:paraId="7EC3FBA9">
      <w:pPr>
        <w:jc w:val="left"/>
        <w:rPr>
          <w:rFonts w:hint="eastAsia" w:ascii="宋体" w:hAnsi="宋体"/>
          <w:b/>
          <w:bCs/>
          <w:sz w:val="32"/>
          <w:szCs w:val="32"/>
        </w:rPr>
      </w:pPr>
    </w:p>
    <w:p w14:paraId="50BD4F98">
      <w:pPr>
        <w:jc w:val="left"/>
        <w:rPr>
          <w:rFonts w:hint="eastAsia" w:ascii="宋体" w:hAnsi="宋体"/>
          <w:b/>
          <w:bCs/>
          <w:sz w:val="32"/>
          <w:szCs w:val="32"/>
        </w:rPr>
      </w:pPr>
    </w:p>
    <w:p w14:paraId="03D99B01">
      <w:pPr>
        <w:jc w:val="left"/>
        <w:rPr>
          <w:rFonts w:hint="eastAsia" w:ascii="宋体" w:hAnsi="宋体"/>
          <w:b/>
          <w:bCs/>
          <w:sz w:val="32"/>
          <w:szCs w:val="32"/>
        </w:rPr>
      </w:pPr>
    </w:p>
    <w:p w14:paraId="6A9DE7B7">
      <w:pPr>
        <w:jc w:val="left"/>
        <w:rPr>
          <w:rFonts w:hint="eastAsia" w:ascii="宋体" w:hAnsi="宋体"/>
          <w:b/>
          <w:sz w:val="32"/>
          <w:szCs w:val="32"/>
        </w:rPr>
      </w:pPr>
    </w:p>
    <w:p w14:paraId="79005244">
      <w:pPr>
        <w:jc w:val="left"/>
        <w:rPr>
          <w:rFonts w:hint="eastAsia" w:ascii="宋体" w:hAnsi="宋体"/>
          <w:b/>
          <w:sz w:val="32"/>
          <w:szCs w:val="32"/>
        </w:rPr>
      </w:pPr>
    </w:p>
    <w:p w14:paraId="2C74C5C6">
      <w:pPr>
        <w:jc w:val="left"/>
        <w:rPr>
          <w:rFonts w:hint="eastAsia" w:ascii="宋体" w:hAnsi="宋体"/>
          <w:b/>
          <w:sz w:val="32"/>
          <w:szCs w:val="32"/>
        </w:rPr>
      </w:pPr>
    </w:p>
    <w:p w14:paraId="74C61BE1">
      <w:pPr>
        <w:jc w:val="left"/>
        <w:rPr>
          <w:rFonts w:hint="eastAsia" w:ascii="宋体" w:hAnsi="宋体"/>
          <w:b/>
          <w:sz w:val="32"/>
          <w:szCs w:val="32"/>
        </w:rPr>
      </w:pPr>
    </w:p>
    <w:p w14:paraId="7D4A1FB4">
      <w:pPr>
        <w:jc w:val="left"/>
        <w:rPr>
          <w:rFonts w:hint="eastAsia" w:ascii="宋体" w:hAnsi="宋体"/>
          <w:b/>
          <w:sz w:val="32"/>
          <w:szCs w:val="32"/>
        </w:rPr>
      </w:pPr>
    </w:p>
    <w:p w14:paraId="4D5F651A">
      <w:pPr>
        <w:pStyle w:val="3"/>
        <w:widowControl/>
        <w:numPr>
          <w:ilvl w:val="0"/>
          <w:numId w:val="0"/>
        </w:numPr>
        <w:jc w:val="both"/>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lang w:val="en-US" w:eastAsia="zh-CN" w:bidi="ar-SA"/>
        </w:rPr>
        <w:t>五、</w:t>
      </w:r>
      <w:r>
        <w:rPr>
          <w:rFonts w:hint="eastAsia" w:ascii="黑体" w:hAnsi="黑体" w:eastAsia="黑体" w:cs="Times New Roman"/>
          <w:b w:val="0"/>
          <w:bCs w:val="0"/>
          <w:iCs/>
          <w:sz w:val="32"/>
          <w:szCs w:val="32"/>
        </w:rPr>
        <w:t>分项报价表</w:t>
      </w:r>
    </w:p>
    <w:p w14:paraId="0FA99AE7">
      <w:pPr>
        <w:pStyle w:val="368"/>
        <w:widowControl w:val="0"/>
        <w:jc w:val="center"/>
        <w:rPr>
          <w:rFonts w:hint="eastAsia" w:asciiTheme="minorEastAsia" w:hAnsiTheme="minorEastAsia" w:eastAsiaTheme="minorEastAsia" w:cstheme="minorEastAsia"/>
          <w:b w:val="0"/>
          <w:bCs/>
          <w:szCs w:val="32"/>
        </w:rPr>
      </w:pPr>
      <w:r>
        <w:rPr>
          <w:rFonts w:hint="eastAsia" w:asciiTheme="minorEastAsia" w:hAnsiTheme="minorEastAsia" w:eastAsiaTheme="minorEastAsia" w:cstheme="minorEastAsia"/>
          <w:b w:val="0"/>
          <w:bCs/>
          <w:szCs w:val="32"/>
        </w:rPr>
        <w:t>分项报价表</w:t>
      </w:r>
    </w:p>
    <w:tbl>
      <w:tblPr>
        <w:tblStyle w:val="49"/>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407"/>
        <w:gridCol w:w="2266"/>
        <w:gridCol w:w="1134"/>
        <w:gridCol w:w="992"/>
        <w:gridCol w:w="1541"/>
        <w:gridCol w:w="991"/>
      </w:tblGrid>
      <w:tr w14:paraId="674B6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14:paraId="6986BA37">
            <w:pPr>
              <w:pStyle w:val="376"/>
              <w:widowControl/>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3673" w:type="dxa"/>
            <w:gridSpan w:val="2"/>
            <w:tcBorders>
              <w:top w:val="single" w:color="auto" w:sz="4" w:space="0"/>
              <w:left w:val="single" w:color="auto" w:sz="4" w:space="0"/>
              <w:bottom w:val="single" w:color="auto" w:sz="4" w:space="0"/>
              <w:right w:val="single" w:color="auto" w:sz="4" w:space="0"/>
            </w:tcBorders>
            <w:noWrap w:val="0"/>
            <w:vAlign w:val="center"/>
          </w:tcPr>
          <w:p w14:paraId="1F3849AC">
            <w:pPr>
              <w:pStyle w:val="376"/>
              <w:widowControl/>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服务费用简述</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7B762DC">
            <w:pPr>
              <w:pStyle w:val="376"/>
              <w:widowControl/>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单价</w:t>
            </w:r>
          </w:p>
          <w:p w14:paraId="752A0652">
            <w:pPr>
              <w:pStyle w:val="376"/>
              <w:widowControl/>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（元）</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F2BE205">
            <w:pPr>
              <w:pStyle w:val="376"/>
              <w:widowControl/>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1541" w:type="dxa"/>
            <w:tcBorders>
              <w:top w:val="single" w:color="auto" w:sz="4" w:space="0"/>
              <w:left w:val="single" w:color="auto" w:sz="4" w:space="0"/>
              <w:bottom w:val="single" w:color="auto" w:sz="4" w:space="0"/>
              <w:right w:val="single" w:color="auto" w:sz="4" w:space="0"/>
            </w:tcBorders>
            <w:noWrap w:val="0"/>
            <w:vAlign w:val="center"/>
          </w:tcPr>
          <w:p w14:paraId="032A3188">
            <w:pPr>
              <w:pStyle w:val="376"/>
              <w:widowControl/>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合价</w:t>
            </w:r>
          </w:p>
          <w:p w14:paraId="046C9C45">
            <w:pPr>
              <w:pStyle w:val="376"/>
              <w:widowControl/>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（元）</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08773462">
            <w:pPr>
              <w:pStyle w:val="376"/>
              <w:widowControl/>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14:paraId="4A2EC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54" w:type="dxa"/>
            <w:tcBorders>
              <w:top w:val="single" w:color="auto" w:sz="4" w:space="0"/>
              <w:left w:val="single" w:color="auto" w:sz="4" w:space="0"/>
              <w:bottom w:val="single" w:color="auto" w:sz="4" w:space="0"/>
              <w:right w:val="single" w:color="auto" w:sz="4" w:space="0"/>
            </w:tcBorders>
            <w:noWrap w:val="0"/>
          </w:tcPr>
          <w:p w14:paraId="3896E581">
            <w:pPr>
              <w:pStyle w:val="376"/>
              <w:widowControl/>
              <w:spacing w:line="5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673" w:type="dxa"/>
            <w:gridSpan w:val="2"/>
            <w:tcBorders>
              <w:top w:val="single" w:color="auto" w:sz="4" w:space="0"/>
              <w:left w:val="single" w:color="auto" w:sz="4" w:space="0"/>
              <w:bottom w:val="single" w:color="auto" w:sz="4" w:space="0"/>
              <w:right w:val="single" w:color="auto" w:sz="4" w:space="0"/>
            </w:tcBorders>
            <w:noWrap w:val="0"/>
          </w:tcPr>
          <w:p w14:paraId="417E000A">
            <w:pPr>
              <w:pStyle w:val="376"/>
              <w:widowControl/>
              <w:spacing w:line="560" w:lineRule="exact"/>
              <w:jc w:val="center"/>
              <w:rPr>
                <w:rFonts w:hint="eastAsia" w:asciiTheme="minorEastAsia" w:hAnsiTheme="minorEastAsia" w:eastAsiaTheme="minorEastAsia" w:cstheme="minorEastAsia"/>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23C9CFC">
            <w:pPr>
              <w:pStyle w:val="376"/>
              <w:spacing w:line="560" w:lineRule="exact"/>
              <w:jc w:val="center"/>
              <w:rPr>
                <w:rFonts w:hint="eastAsia" w:asciiTheme="minorEastAsia" w:hAnsiTheme="minorEastAsia" w:eastAsiaTheme="minorEastAsia" w:cstheme="minorEastAsia"/>
                <w:sz w:val="24"/>
                <w:szCs w:val="24"/>
              </w:rPr>
            </w:pPr>
          </w:p>
        </w:tc>
        <w:tc>
          <w:tcPr>
            <w:tcW w:w="992" w:type="dxa"/>
            <w:tcBorders>
              <w:top w:val="single" w:color="auto" w:sz="4" w:space="0"/>
              <w:left w:val="single" w:color="auto" w:sz="4" w:space="0"/>
              <w:bottom w:val="single" w:color="auto" w:sz="4" w:space="0"/>
              <w:right w:val="single" w:color="auto" w:sz="4" w:space="0"/>
            </w:tcBorders>
            <w:noWrap w:val="0"/>
          </w:tcPr>
          <w:p w14:paraId="7ABBA584">
            <w:pPr>
              <w:pStyle w:val="376"/>
              <w:widowControl/>
              <w:spacing w:line="560" w:lineRule="exact"/>
              <w:jc w:val="center"/>
              <w:rPr>
                <w:rFonts w:hint="eastAsia" w:asciiTheme="minorEastAsia" w:hAnsiTheme="minorEastAsia" w:eastAsiaTheme="minorEastAsia" w:cstheme="minorEastAsia"/>
                <w:sz w:val="24"/>
                <w:szCs w:val="24"/>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070C9B23">
            <w:pPr>
              <w:pStyle w:val="376"/>
              <w:spacing w:line="560" w:lineRule="exact"/>
              <w:jc w:val="center"/>
              <w:rPr>
                <w:rFonts w:hint="eastAsia" w:asciiTheme="minorEastAsia" w:hAnsiTheme="minorEastAsia" w:eastAsiaTheme="minorEastAsia" w:cstheme="minorEastAsia"/>
                <w:sz w:val="24"/>
                <w:szCs w:val="24"/>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0EE351AE">
            <w:pPr>
              <w:pStyle w:val="376"/>
              <w:spacing w:line="560" w:lineRule="exact"/>
              <w:jc w:val="center"/>
              <w:rPr>
                <w:rFonts w:hint="eastAsia" w:asciiTheme="minorEastAsia" w:hAnsiTheme="minorEastAsia" w:eastAsiaTheme="minorEastAsia" w:cstheme="minorEastAsia"/>
                <w:sz w:val="24"/>
                <w:szCs w:val="24"/>
              </w:rPr>
            </w:pPr>
          </w:p>
        </w:tc>
      </w:tr>
      <w:tr w14:paraId="52B7F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654" w:type="dxa"/>
            <w:tcBorders>
              <w:top w:val="single" w:color="auto" w:sz="4" w:space="0"/>
              <w:left w:val="single" w:color="auto" w:sz="4" w:space="0"/>
              <w:bottom w:val="single" w:color="auto" w:sz="4" w:space="0"/>
              <w:right w:val="single" w:color="auto" w:sz="4" w:space="0"/>
            </w:tcBorders>
            <w:noWrap w:val="0"/>
          </w:tcPr>
          <w:p w14:paraId="59758DA8">
            <w:pPr>
              <w:pStyle w:val="376"/>
              <w:widowControl/>
              <w:spacing w:line="5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673" w:type="dxa"/>
            <w:gridSpan w:val="2"/>
            <w:tcBorders>
              <w:top w:val="single" w:color="auto" w:sz="4" w:space="0"/>
              <w:left w:val="single" w:color="auto" w:sz="4" w:space="0"/>
              <w:bottom w:val="single" w:color="auto" w:sz="4" w:space="0"/>
              <w:right w:val="single" w:color="auto" w:sz="4" w:space="0"/>
            </w:tcBorders>
            <w:noWrap w:val="0"/>
          </w:tcPr>
          <w:p w14:paraId="11029504">
            <w:pPr>
              <w:pStyle w:val="376"/>
              <w:widowControl/>
              <w:spacing w:line="560" w:lineRule="exact"/>
              <w:jc w:val="center"/>
              <w:rPr>
                <w:rFonts w:hint="eastAsia" w:asciiTheme="minorEastAsia" w:hAnsiTheme="minorEastAsia" w:eastAsiaTheme="minorEastAsia" w:cstheme="minorEastAsia"/>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321DA1A">
            <w:pPr>
              <w:pStyle w:val="376"/>
              <w:spacing w:line="560" w:lineRule="exact"/>
              <w:jc w:val="center"/>
              <w:rPr>
                <w:rFonts w:hint="eastAsia" w:asciiTheme="minorEastAsia" w:hAnsiTheme="minorEastAsia" w:eastAsiaTheme="minorEastAsia" w:cstheme="minorEastAsia"/>
                <w:sz w:val="24"/>
                <w:szCs w:val="24"/>
              </w:rPr>
            </w:pPr>
          </w:p>
        </w:tc>
        <w:tc>
          <w:tcPr>
            <w:tcW w:w="992" w:type="dxa"/>
            <w:tcBorders>
              <w:top w:val="single" w:color="auto" w:sz="4" w:space="0"/>
              <w:left w:val="single" w:color="auto" w:sz="4" w:space="0"/>
              <w:bottom w:val="single" w:color="auto" w:sz="4" w:space="0"/>
              <w:right w:val="single" w:color="auto" w:sz="4" w:space="0"/>
            </w:tcBorders>
            <w:noWrap w:val="0"/>
          </w:tcPr>
          <w:p w14:paraId="36E7E811">
            <w:pPr>
              <w:pStyle w:val="376"/>
              <w:widowControl/>
              <w:spacing w:line="560" w:lineRule="exact"/>
              <w:jc w:val="center"/>
              <w:rPr>
                <w:rFonts w:hint="eastAsia" w:asciiTheme="minorEastAsia" w:hAnsiTheme="minorEastAsia" w:eastAsiaTheme="minorEastAsia" w:cstheme="minorEastAsia"/>
                <w:sz w:val="24"/>
                <w:szCs w:val="24"/>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63CE477D">
            <w:pPr>
              <w:pStyle w:val="376"/>
              <w:spacing w:line="560" w:lineRule="exact"/>
              <w:jc w:val="center"/>
              <w:rPr>
                <w:rFonts w:hint="eastAsia" w:asciiTheme="minorEastAsia" w:hAnsiTheme="minorEastAsia" w:eastAsiaTheme="minorEastAsia" w:cstheme="minorEastAsia"/>
                <w:sz w:val="24"/>
                <w:szCs w:val="24"/>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78619B47">
            <w:pPr>
              <w:pStyle w:val="376"/>
              <w:spacing w:line="560" w:lineRule="exact"/>
              <w:jc w:val="center"/>
              <w:rPr>
                <w:rFonts w:hint="eastAsia" w:asciiTheme="minorEastAsia" w:hAnsiTheme="minorEastAsia" w:eastAsiaTheme="minorEastAsia" w:cstheme="minorEastAsia"/>
                <w:sz w:val="24"/>
                <w:szCs w:val="24"/>
              </w:rPr>
            </w:pPr>
          </w:p>
        </w:tc>
      </w:tr>
      <w:tr w14:paraId="5F55E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654" w:type="dxa"/>
            <w:tcBorders>
              <w:top w:val="single" w:color="auto" w:sz="4" w:space="0"/>
              <w:left w:val="single" w:color="auto" w:sz="4" w:space="0"/>
              <w:bottom w:val="single" w:color="auto" w:sz="4" w:space="0"/>
              <w:right w:val="single" w:color="auto" w:sz="4" w:space="0"/>
            </w:tcBorders>
            <w:noWrap w:val="0"/>
          </w:tcPr>
          <w:p w14:paraId="2A5CC7E0">
            <w:pPr>
              <w:pStyle w:val="376"/>
              <w:widowControl/>
              <w:spacing w:line="5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673" w:type="dxa"/>
            <w:gridSpan w:val="2"/>
            <w:tcBorders>
              <w:top w:val="single" w:color="auto" w:sz="4" w:space="0"/>
              <w:left w:val="single" w:color="auto" w:sz="4" w:space="0"/>
              <w:bottom w:val="single" w:color="auto" w:sz="4" w:space="0"/>
              <w:right w:val="single" w:color="auto" w:sz="4" w:space="0"/>
            </w:tcBorders>
            <w:noWrap w:val="0"/>
          </w:tcPr>
          <w:p w14:paraId="373A1055">
            <w:pPr>
              <w:pStyle w:val="376"/>
              <w:widowControl/>
              <w:spacing w:line="560" w:lineRule="exact"/>
              <w:jc w:val="center"/>
              <w:rPr>
                <w:rFonts w:hint="eastAsia" w:asciiTheme="minorEastAsia" w:hAnsiTheme="minorEastAsia" w:eastAsiaTheme="minorEastAsia" w:cstheme="minorEastAsia"/>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DDA9FF7">
            <w:pPr>
              <w:pStyle w:val="376"/>
              <w:spacing w:line="560" w:lineRule="exact"/>
              <w:jc w:val="center"/>
              <w:rPr>
                <w:rFonts w:hint="eastAsia" w:asciiTheme="minorEastAsia" w:hAnsiTheme="minorEastAsia" w:eastAsiaTheme="minorEastAsia" w:cstheme="minorEastAsia"/>
                <w:sz w:val="24"/>
                <w:szCs w:val="24"/>
              </w:rPr>
            </w:pPr>
          </w:p>
        </w:tc>
        <w:tc>
          <w:tcPr>
            <w:tcW w:w="992" w:type="dxa"/>
            <w:tcBorders>
              <w:top w:val="single" w:color="auto" w:sz="4" w:space="0"/>
              <w:left w:val="single" w:color="auto" w:sz="4" w:space="0"/>
              <w:bottom w:val="single" w:color="auto" w:sz="4" w:space="0"/>
              <w:right w:val="single" w:color="auto" w:sz="4" w:space="0"/>
            </w:tcBorders>
            <w:noWrap w:val="0"/>
          </w:tcPr>
          <w:p w14:paraId="761F8CED">
            <w:pPr>
              <w:pStyle w:val="376"/>
              <w:widowControl/>
              <w:spacing w:line="560" w:lineRule="exact"/>
              <w:jc w:val="center"/>
              <w:rPr>
                <w:rFonts w:hint="eastAsia" w:asciiTheme="minorEastAsia" w:hAnsiTheme="minorEastAsia" w:eastAsiaTheme="minorEastAsia" w:cstheme="minorEastAsia"/>
                <w:sz w:val="24"/>
                <w:szCs w:val="24"/>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6D00ED70">
            <w:pPr>
              <w:pStyle w:val="376"/>
              <w:spacing w:line="560" w:lineRule="exact"/>
              <w:jc w:val="center"/>
              <w:rPr>
                <w:rFonts w:hint="eastAsia" w:asciiTheme="minorEastAsia" w:hAnsiTheme="minorEastAsia" w:eastAsiaTheme="minorEastAsia" w:cstheme="minorEastAsia"/>
                <w:sz w:val="24"/>
                <w:szCs w:val="24"/>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24738C1E">
            <w:pPr>
              <w:pStyle w:val="376"/>
              <w:spacing w:line="560" w:lineRule="exact"/>
              <w:jc w:val="center"/>
              <w:rPr>
                <w:rFonts w:hint="eastAsia" w:asciiTheme="minorEastAsia" w:hAnsiTheme="minorEastAsia" w:eastAsiaTheme="minorEastAsia" w:cstheme="minorEastAsia"/>
                <w:sz w:val="24"/>
                <w:szCs w:val="24"/>
              </w:rPr>
            </w:pPr>
          </w:p>
        </w:tc>
      </w:tr>
      <w:tr w14:paraId="47A64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654" w:type="dxa"/>
            <w:tcBorders>
              <w:top w:val="single" w:color="auto" w:sz="4" w:space="0"/>
              <w:left w:val="single" w:color="auto" w:sz="4" w:space="0"/>
              <w:bottom w:val="single" w:color="auto" w:sz="4" w:space="0"/>
              <w:right w:val="single" w:color="auto" w:sz="4" w:space="0"/>
            </w:tcBorders>
            <w:noWrap w:val="0"/>
          </w:tcPr>
          <w:p w14:paraId="43F6C9CC">
            <w:pPr>
              <w:pStyle w:val="376"/>
              <w:widowControl/>
              <w:spacing w:line="5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673" w:type="dxa"/>
            <w:gridSpan w:val="2"/>
            <w:tcBorders>
              <w:top w:val="single" w:color="auto" w:sz="4" w:space="0"/>
              <w:left w:val="single" w:color="auto" w:sz="4" w:space="0"/>
              <w:bottom w:val="single" w:color="auto" w:sz="4" w:space="0"/>
              <w:right w:val="single" w:color="auto" w:sz="4" w:space="0"/>
            </w:tcBorders>
            <w:noWrap w:val="0"/>
          </w:tcPr>
          <w:p w14:paraId="504BEEA2">
            <w:pPr>
              <w:pStyle w:val="376"/>
              <w:widowControl/>
              <w:spacing w:line="560" w:lineRule="exact"/>
              <w:jc w:val="center"/>
              <w:rPr>
                <w:rFonts w:hint="eastAsia" w:asciiTheme="minorEastAsia" w:hAnsiTheme="minorEastAsia" w:eastAsiaTheme="minorEastAsia" w:cstheme="minorEastAsia"/>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B1C4D1A">
            <w:pPr>
              <w:pStyle w:val="376"/>
              <w:spacing w:line="560" w:lineRule="exact"/>
              <w:jc w:val="center"/>
              <w:rPr>
                <w:rFonts w:hint="eastAsia" w:asciiTheme="minorEastAsia" w:hAnsiTheme="minorEastAsia" w:eastAsiaTheme="minorEastAsia" w:cstheme="minorEastAsia"/>
                <w:sz w:val="24"/>
                <w:szCs w:val="24"/>
              </w:rPr>
            </w:pPr>
          </w:p>
        </w:tc>
        <w:tc>
          <w:tcPr>
            <w:tcW w:w="992" w:type="dxa"/>
            <w:tcBorders>
              <w:top w:val="single" w:color="auto" w:sz="4" w:space="0"/>
              <w:left w:val="single" w:color="auto" w:sz="4" w:space="0"/>
              <w:bottom w:val="single" w:color="auto" w:sz="4" w:space="0"/>
              <w:right w:val="single" w:color="auto" w:sz="4" w:space="0"/>
            </w:tcBorders>
            <w:noWrap w:val="0"/>
          </w:tcPr>
          <w:p w14:paraId="7FC1B864">
            <w:pPr>
              <w:pStyle w:val="376"/>
              <w:widowControl/>
              <w:spacing w:line="560" w:lineRule="exact"/>
              <w:jc w:val="center"/>
              <w:rPr>
                <w:rFonts w:hint="eastAsia" w:asciiTheme="minorEastAsia" w:hAnsiTheme="minorEastAsia" w:eastAsiaTheme="minorEastAsia" w:cstheme="minorEastAsia"/>
                <w:sz w:val="24"/>
                <w:szCs w:val="24"/>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1BA74896">
            <w:pPr>
              <w:pStyle w:val="376"/>
              <w:spacing w:line="560" w:lineRule="exact"/>
              <w:jc w:val="center"/>
              <w:rPr>
                <w:rFonts w:hint="eastAsia" w:asciiTheme="minorEastAsia" w:hAnsiTheme="minorEastAsia" w:eastAsiaTheme="minorEastAsia" w:cstheme="minorEastAsia"/>
                <w:sz w:val="24"/>
                <w:szCs w:val="24"/>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5C70E0A2">
            <w:pPr>
              <w:pStyle w:val="376"/>
              <w:spacing w:line="560" w:lineRule="exact"/>
              <w:jc w:val="center"/>
              <w:rPr>
                <w:rFonts w:hint="eastAsia" w:asciiTheme="minorEastAsia" w:hAnsiTheme="minorEastAsia" w:eastAsiaTheme="minorEastAsia" w:cstheme="minorEastAsia"/>
                <w:sz w:val="24"/>
                <w:szCs w:val="24"/>
              </w:rPr>
            </w:pPr>
          </w:p>
        </w:tc>
      </w:tr>
      <w:tr w14:paraId="7E03A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654" w:type="dxa"/>
            <w:tcBorders>
              <w:top w:val="single" w:color="auto" w:sz="4" w:space="0"/>
              <w:left w:val="single" w:color="auto" w:sz="4" w:space="0"/>
              <w:bottom w:val="single" w:color="auto" w:sz="4" w:space="0"/>
              <w:right w:val="single" w:color="auto" w:sz="4" w:space="0"/>
            </w:tcBorders>
            <w:noWrap w:val="0"/>
          </w:tcPr>
          <w:p w14:paraId="2B4E91E9">
            <w:pPr>
              <w:pStyle w:val="376"/>
              <w:widowControl/>
              <w:spacing w:line="5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3673" w:type="dxa"/>
            <w:gridSpan w:val="2"/>
            <w:tcBorders>
              <w:top w:val="single" w:color="auto" w:sz="4" w:space="0"/>
              <w:left w:val="single" w:color="auto" w:sz="4" w:space="0"/>
              <w:bottom w:val="single" w:color="auto" w:sz="4" w:space="0"/>
              <w:right w:val="single" w:color="auto" w:sz="4" w:space="0"/>
            </w:tcBorders>
            <w:noWrap w:val="0"/>
          </w:tcPr>
          <w:p w14:paraId="663C0B2D">
            <w:pPr>
              <w:pStyle w:val="376"/>
              <w:widowControl/>
              <w:spacing w:line="560" w:lineRule="exact"/>
              <w:jc w:val="center"/>
              <w:rPr>
                <w:rFonts w:hint="eastAsia" w:asciiTheme="minorEastAsia" w:hAnsiTheme="minorEastAsia" w:eastAsiaTheme="minorEastAsia" w:cstheme="minorEastAsia"/>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53B4B1B">
            <w:pPr>
              <w:pStyle w:val="376"/>
              <w:spacing w:line="560" w:lineRule="exact"/>
              <w:jc w:val="center"/>
              <w:rPr>
                <w:rFonts w:hint="eastAsia" w:asciiTheme="minorEastAsia" w:hAnsiTheme="minorEastAsia" w:eastAsiaTheme="minorEastAsia" w:cstheme="minorEastAsia"/>
                <w:sz w:val="24"/>
                <w:szCs w:val="24"/>
              </w:rPr>
            </w:pPr>
          </w:p>
        </w:tc>
        <w:tc>
          <w:tcPr>
            <w:tcW w:w="992" w:type="dxa"/>
            <w:tcBorders>
              <w:top w:val="single" w:color="auto" w:sz="4" w:space="0"/>
              <w:left w:val="single" w:color="auto" w:sz="4" w:space="0"/>
              <w:bottom w:val="single" w:color="auto" w:sz="4" w:space="0"/>
              <w:right w:val="single" w:color="auto" w:sz="4" w:space="0"/>
            </w:tcBorders>
            <w:noWrap w:val="0"/>
          </w:tcPr>
          <w:p w14:paraId="6F4409F5">
            <w:pPr>
              <w:pStyle w:val="376"/>
              <w:widowControl/>
              <w:spacing w:line="560" w:lineRule="exact"/>
              <w:jc w:val="center"/>
              <w:rPr>
                <w:rFonts w:hint="eastAsia" w:asciiTheme="minorEastAsia" w:hAnsiTheme="minorEastAsia" w:eastAsiaTheme="minorEastAsia" w:cstheme="minorEastAsia"/>
                <w:sz w:val="24"/>
                <w:szCs w:val="24"/>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0921A872">
            <w:pPr>
              <w:pStyle w:val="376"/>
              <w:spacing w:line="560" w:lineRule="exact"/>
              <w:jc w:val="center"/>
              <w:rPr>
                <w:rFonts w:hint="eastAsia" w:asciiTheme="minorEastAsia" w:hAnsiTheme="minorEastAsia" w:eastAsiaTheme="minorEastAsia" w:cstheme="minorEastAsia"/>
                <w:sz w:val="24"/>
                <w:szCs w:val="24"/>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05063C1E">
            <w:pPr>
              <w:pStyle w:val="376"/>
              <w:spacing w:line="560" w:lineRule="exact"/>
              <w:jc w:val="center"/>
              <w:rPr>
                <w:rFonts w:hint="eastAsia" w:asciiTheme="minorEastAsia" w:hAnsiTheme="minorEastAsia" w:eastAsiaTheme="minorEastAsia" w:cstheme="minorEastAsia"/>
                <w:sz w:val="24"/>
                <w:szCs w:val="24"/>
              </w:rPr>
            </w:pPr>
          </w:p>
        </w:tc>
      </w:tr>
      <w:tr w14:paraId="7A384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654" w:type="dxa"/>
            <w:tcBorders>
              <w:top w:val="single" w:color="auto" w:sz="4" w:space="0"/>
              <w:left w:val="single" w:color="auto" w:sz="4" w:space="0"/>
              <w:bottom w:val="single" w:color="auto" w:sz="4" w:space="0"/>
              <w:right w:val="single" w:color="auto" w:sz="4" w:space="0"/>
            </w:tcBorders>
            <w:noWrap w:val="0"/>
          </w:tcPr>
          <w:p w14:paraId="6E09847C">
            <w:pPr>
              <w:pStyle w:val="376"/>
              <w:widowControl/>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3673" w:type="dxa"/>
            <w:gridSpan w:val="2"/>
            <w:tcBorders>
              <w:top w:val="single" w:color="auto" w:sz="4" w:space="0"/>
              <w:left w:val="single" w:color="auto" w:sz="4" w:space="0"/>
              <w:bottom w:val="single" w:color="auto" w:sz="4" w:space="0"/>
              <w:right w:val="single" w:color="auto" w:sz="4" w:space="0"/>
            </w:tcBorders>
            <w:noWrap w:val="0"/>
          </w:tcPr>
          <w:p w14:paraId="7DA01AE0">
            <w:pPr>
              <w:pStyle w:val="376"/>
              <w:widowControl/>
              <w:spacing w:line="560" w:lineRule="exact"/>
              <w:jc w:val="center"/>
              <w:rPr>
                <w:rFonts w:hint="eastAsia" w:asciiTheme="minorEastAsia" w:hAnsiTheme="minorEastAsia" w:eastAsiaTheme="minorEastAsia" w:cstheme="minorEastAsia"/>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3C8DEFE">
            <w:pPr>
              <w:pStyle w:val="376"/>
              <w:spacing w:line="560" w:lineRule="exact"/>
              <w:jc w:val="center"/>
              <w:rPr>
                <w:rFonts w:hint="eastAsia" w:asciiTheme="minorEastAsia" w:hAnsiTheme="minorEastAsia" w:eastAsiaTheme="minorEastAsia" w:cstheme="minorEastAsia"/>
                <w:sz w:val="24"/>
                <w:szCs w:val="24"/>
              </w:rPr>
            </w:pPr>
          </w:p>
        </w:tc>
        <w:tc>
          <w:tcPr>
            <w:tcW w:w="992" w:type="dxa"/>
            <w:tcBorders>
              <w:top w:val="single" w:color="auto" w:sz="4" w:space="0"/>
              <w:left w:val="single" w:color="auto" w:sz="4" w:space="0"/>
              <w:bottom w:val="single" w:color="auto" w:sz="4" w:space="0"/>
              <w:right w:val="single" w:color="auto" w:sz="4" w:space="0"/>
            </w:tcBorders>
            <w:noWrap w:val="0"/>
          </w:tcPr>
          <w:p w14:paraId="1DBDC3AB">
            <w:pPr>
              <w:pStyle w:val="376"/>
              <w:widowControl/>
              <w:spacing w:line="560" w:lineRule="exact"/>
              <w:jc w:val="center"/>
              <w:rPr>
                <w:rFonts w:hint="eastAsia" w:asciiTheme="minorEastAsia" w:hAnsiTheme="minorEastAsia" w:eastAsiaTheme="minorEastAsia" w:cstheme="minorEastAsia"/>
                <w:sz w:val="24"/>
                <w:szCs w:val="24"/>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5492B7E3">
            <w:pPr>
              <w:pStyle w:val="376"/>
              <w:spacing w:line="560" w:lineRule="exact"/>
              <w:jc w:val="center"/>
              <w:rPr>
                <w:rFonts w:hint="eastAsia" w:asciiTheme="minorEastAsia" w:hAnsiTheme="minorEastAsia" w:eastAsiaTheme="minorEastAsia" w:cstheme="minorEastAsia"/>
                <w:sz w:val="24"/>
                <w:szCs w:val="24"/>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6755FEF5">
            <w:pPr>
              <w:pStyle w:val="376"/>
              <w:spacing w:line="560" w:lineRule="exact"/>
              <w:jc w:val="center"/>
              <w:rPr>
                <w:rFonts w:hint="eastAsia" w:asciiTheme="minorEastAsia" w:hAnsiTheme="minorEastAsia" w:eastAsiaTheme="minorEastAsia" w:cstheme="minorEastAsia"/>
                <w:sz w:val="24"/>
                <w:szCs w:val="24"/>
              </w:rPr>
            </w:pPr>
          </w:p>
        </w:tc>
      </w:tr>
      <w:tr w14:paraId="1F747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6" w:hRule="atLeast"/>
        </w:trPr>
        <w:tc>
          <w:tcPr>
            <w:tcW w:w="2061" w:type="dxa"/>
            <w:gridSpan w:val="2"/>
            <w:tcBorders>
              <w:top w:val="single" w:color="auto" w:sz="4" w:space="0"/>
              <w:left w:val="single" w:color="auto" w:sz="4" w:space="0"/>
              <w:bottom w:val="single" w:color="auto" w:sz="4" w:space="0"/>
              <w:right w:val="single" w:color="auto" w:sz="4" w:space="0"/>
            </w:tcBorders>
            <w:noWrap w:val="0"/>
            <w:vAlign w:val="center"/>
          </w:tcPr>
          <w:p w14:paraId="48AF9ED2">
            <w:pPr>
              <w:pStyle w:val="376"/>
              <w:spacing w:line="5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投标</w:t>
            </w:r>
            <w:r>
              <w:rPr>
                <w:rFonts w:hint="eastAsia" w:asciiTheme="minorEastAsia" w:hAnsiTheme="minorEastAsia" w:eastAsiaTheme="minorEastAsia" w:cstheme="minorEastAsia"/>
                <w:b/>
                <w:bCs/>
                <w:sz w:val="24"/>
                <w:szCs w:val="24"/>
              </w:rPr>
              <w:t>总价</w:t>
            </w:r>
          </w:p>
        </w:tc>
        <w:tc>
          <w:tcPr>
            <w:tcW w:w="6924" w:type="dxa"/>
            <w:gridSpan w:val="5"/>
            <w:tcBorders>
              <w:top w:val="single" w:color="auto" w:sz="4" w:space="0"/>
              <w:left w:val="single" w:color="auto" w:sz="4" w:space="0"/>
              <w:bottom w:val="single" w:color="auto" w:sz="4" w:space="0"/>
              <w:right w:val="single" w:color="auto" w:sz="4" w:space="0"/>
            </w:tcBorders>
            <w:noWrap w:val="0"/>
            <w:vAlign w:val="center"/>
          </w:tcPr>
          <w:p w14:paraId="3E5AFF7F">
            <w:pPr>
              <w:pStyle w:val="376"/>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2D3E0F34">
            <w:pPr>
              <w:pStyle w:val="376"/>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人民币（大写）：</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 万</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角</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分</w:t>
            </w:r>
          </w:p>
        </w:tc>
      </w:tr>
    </w:tbl>
    <w:p w14:paraId="717260B3">
      <w:pPr>
        <w:spacing w:line="480" w:lineRule="exact"/>
        <w:ind w:firstLine="480"/>
        <w:rPr>
          <w:rFonts w:hint="eastAsia" w:ascii="Times New Roman" w:hAnsi="Times New Roman" w:eastAsia="宋体"/>
          <w:sz w:val="24"/>
          <w:szCs w:val="21"/>
        </w:rPr>
      </w:pPr>
      <w:r>
        <w:rPr>
          <w:rFonts w:hint="eastAsia" w:asciiTheme="minorEastAsia" w:hAnsiTheme="minorEastAsia" w:eastAsiaTheme="minorEastAsia" w:cstheme="minorEastAsia"/>
          <w:sz w:val="24"/>
          <w:szCs w:val="24"/>
        </w:rPr>
        <w:t>备注：</w:t>
      </w:r>
      <w:r>
        <w:rPr>
          <w:rFonts w:hint="eastAsia" w:ascii="Times New Roman" w:hAnsi="Times New Roman" w:eastAsia="宋体"/>
          <w:sz w:val="24"/>
          <w:szCs w:val="24"/>
        </w:rPr>
        <w:t>1</w:t>
      </w:r>
      <w:r>
        <w:rPr>
          <w:rFonts w:hint="eastAsia" w:ascii="Times New Roman" w:hAnsi="Times New Roman"/>
          <w:sz w:val="24"/>
          <w:szCs w:val="21"/>
          <w:lang w:val="en-US" w:eastAsia="zh-CN"/>
        </w:rPr>
        <w:t>.</w:t>
      </w:r>
      <w:r>
        <w:rPr>
          <w:rFonts w:hint="eastAsia" w:ascii="Times New Roman" w:hAnsi="Times New Roman" w:eastAsia="宋体"/>
          <w:sz w:val="24"/>
          <w:szCs w:val="21"/>
        </w:rPr>
        <w:t>“分项报价表”中“</w:t>
      </w:r>
      <w:r>
        <w:rPr>
          <w:rFonts w:hint="eastAsia" w:ascii="Times New Roman" w:hAnsi="Times New Roman"/>
          <w:sz w:val="24"/>
          <w:szCs w:val="21"/>
          <w:lang w:val="en-US" w:eastAsia="zh-CN"/>
        </w:rPr>
        <w:t>投标总价</w:t>
      </w:r>
      <w:r>
        <w:rPr>
          <w:rFonts w:hint="eastAsia" w:ascii="Times New Roman" w:hAnsi="Times New Roman" w:eastAsia="宋体"/>
          <w:sz w:val="24"/>
          <w:szCs w:val="21"/>
        </w:rPr>
        <w:t>”数额应当与“</w:t>
      </w:r>
      <w:r>
        <w:rPr>
          <w:rFonts w:hint="eastAsia" w:ascii="Times New Roman" w:hAnsi="Times New Roman" w:eastAsia="宋体"/>
          <w:sz w:val="24"/>
          <w:szCs w:val="21"/>
          <w:lang w:val="en-US" w:eastAsia="zh-CN"/>
        </w:rPr>
        <w:t>报价</w:t>
      </w:r>
      <w:r>
        <w:rPr>
          <w:rFonts w:hint="eastAsia" w:ascii="Times New Roman" w:hAnsi="Times New Roman" w:eastAsia="宋体"/>
          <w:sz w:val="24"/>
          <w:szCs w:val="21"/>
        </w:rPr>
        <w:t>一览表”中</w:t>
      </w:r>
      <w:r>
        <w:rPr>
          <w:rFonts w:hint="eastAsia" w:ascii="Times New Roman" w:hAnsi="Times New Roman" w:eastAsia="宋体"/>
          <w:sz w:val="24"/>
          <w:szCs w:val="21"/>
          <w:lang w:val="en-US" w:eastAsia="zh-CN"/>
        </w:rPr>
        <w:t>的</w:t>
      </w:r>
      <w:r>
        <w:rPr>
          <w:rFonts w:hint="eastAsia" w:ascii="Times New Roman" w:hAnsi="Times New Roman" w:eastAsia="宋体"/>
          <w:sz w:val="24"/>
          <w:szCs w:val="21"/>
        </w:rPr>
        <w:t>投标总报价数额一致。</w:t>
      </w:r>
    </w:p>
    <w:p w14:paraId="209055A9">
      <w:pPr>
        <w:pStyle w:val="4"/>
        <w:numPr>
          <w:ilvl w:val="0"/>
          <w:numId w:val="0"/>
        </w:numPr>
        <w:rPr>
          <w:rFonts w:hint="eastAsia"/>
        </w:rPr>
      </w:pPr>
    </w:p>
    <w:p w14:paraId="703C2CEA">
      <w:pPr>
        <w:rPr>
          <w:rFonts w:hint="eastAsia" w:ascii="宋体" w:hAnsi="宋体"/>
          <w:sz w:val="24"/>
          <w:szCs w:val="24"/>
        </w:rPr>
      </w:pPr>
    </w:p>
    <w:p w14:paraId="0C673D12">
      <w:pPr>
        <w:rPr>
          <w:rFonts w:hint="eastAsia" w:ascii="宋体" w:hAnsi="宋体"/>
          <w:sz w:val="24"/>
          <w:szCs w:val="24"/>
        </w:rPr>
      </w:pPr>
    </w:p>
    <w:p w14:paraId="513879C1">
      <w:pPr>
        <w:rPr>
          <w:rFonts w:hint="eastAsia" w:ascii="宋体" w:hAnsi="宋体"/>
          <w:sz w:val="24"/>
          <w:szCs w:val="24"/>
        </w:rPr>
      </w:pPr>
    </w:p>
    <w:p w14:paraId="6508A9F6">
      <w:pPr>
        <w:rPr>
          <w:rFonts w:hint="eastAsia" w:ascii="宋体" w:hAnsi="宋体"/>
          <w:sz w:val="24"/>
          <w:szCs w:val="24"/>
        </w:rPr>
      </w:pPr>
    </w:p>
    <w:p w14:paraId="653E1893">
      <w:pPr>
        <w:rPr>
          <w:rFonts w:hint="eastAsia" w:ascii="宋体" w:hAnsi="宋体"/>
          <w:sz w:val="24"/>
          <w:szCs w:val="24"/>
        </w:rPr>
      </w:pPr>
    </w:p>
    <w:p w14:paraId="1A315C84">
      <w:pPr>
        <w:rPr>
          <w:rFonts w:hint="eastAsia" w:ascii="宋体" w:hAnsi="宋体"/>
          <w:sz w:val="24"/>
          <w:szCs w:val="24"/>
        </w:rPr>
      </w:pPr>
    </w:p>
    <w:p w14:paraId="19A3C3CE">
      <w:pPr>
        <w:rPr>
          <w:rFonts w:hint="eastAsia" w:ascii="宋体" w:hAnsi="宋体"/>
          <w:sz w:val="24"/>
          <w:szCs w:val="24"/>
        </w:rPr>
      </w:pPr>
    </w:p>
    <w:p w14:paraId="7066CBBF">
      <w:pPr>
        <w:rPr>
          <w:rFonts w:hint="eastAsia" w:ascii="宋体" w:hAnsi="宋体"/>
          <w:sz w:val="24"/>
          <w:szCs w:val="24"/>
        </w:rPr>
      </w:pPr>
    </w:p>
    <w:p w14:paraId="10D0425F">
      <w:pPr>
        <w:rPr>
          <w:rFonts w:hint="eastAsia" w:ascii="宋体" w:hAnsi="宋体"/>
          <w:sz w:val="24"/>
          <w:szCs w:val="24"/>
        </w:rPr>
      </w:pPr>
    </w:p>
    <w:p w14:paraId="76275B60">
      <w:pPr>
        <w:rPr>
          <w:rFonts w:hint="eastAsia" w:ascii="宋体" w:hAnsi="宋体"/>
          <w:sz w:val="24"/>
          <w:szCs w:val="24"/>
        </w:rPr>
      </w:pPr>
    </w:p>
    <w:p w14:paraId="4099C5E8">
      <w:pPr>
        <w:rPr>
          <w:rFonts w:hint="eastAsia" w:ascii="宋体" w:hAnsi="宋体"/>
          <w:sz w:val="24"/>
          <w:szCs w:val="24"/>
        </w:rPr>
      </w:pPr>
    </w:p>
    <w:p w14:paraId="4E6760E4">
      <w:pPr>
        <w:rPr>
          <w:rFonts w:hint="eastAsia" w:ascii="宋体" w:hAnsi="宋体"/>
          <w:sz w:val="24"/>
          <w:szCs w:val="24"/>
        </w:rPr>
      </w:pPr>
    </w:p>
    <w:p w14:paraId="06A9057B">
      <w:pPr>
        <w:rPr>
          <w:rFonts w:hint="eastAsia" w:ascii="宋体" w:hAnsi="宋体"/>
          <w:sz w:val="24"/>
          <w:szCs w:val="24"/>
        </w:rPr>
      </w:pPr>
    </w:p>
    <w:p w14:paraId="2A522564">
      <w:pPr>
        <w:rPr>
          <w:rFonts w:hint="eastAsia" w:ascii="宋体" w:hAnsi="宋体"/>
          <w:sz w:val="24"/>
          <w:szCs w:val="24"/>
        </w:rPr>
      </w:pPr>
    </w:p>
    <w:p w14:paraId="7AC68F8A">
      <w:pPr>
        <w:rPr>
          <w:rFonts w:hint="eastAsia" w:ascii="宋体" w:hAnsi="宋体"/>
          <w:sz w:val="24"/>
          <w:szCs w:val="24"/>
        </w:rPr>
      </w:pPr>
    </w:p>
    <w:p w14:paraId="05C8D79B">
      <w:pPr>
        <w:rPr>
          <w:rFonts w:hint="eastAsia" w:ascii="宋体" w:hAnsi="宋体"/>
          <w:sz w:val="24"/>
          <w:szCs w:val="24"/>
        </w:rPr>
      </w:pPr>
    </w:p>
    <w:p w14:paraId="72DB6F1E">
      <w:pPr>
        <w:rPr>
          <w:rFonts w:hint="eastAsia" w:ascii="宋体" w:hAnsi="宋体"/>
          <w:sz w:val="24"/>
          <w:szCs w:val="24"/>
        </w:rPr>
      </w:pPr>
    </w:p>
    <w:p w14:paraId="0DDBEBC9">
      <w:pPr>
        <w:pStyle w:val="368"/>
        <w:jc w:val="left"/>
        <w:rPr>
          <w:rFonts w:hint="eastAsia" w:ascii="黑体" w:hAnsi="黑体" w:eastAsia="黑体" w:cs="黑体"/>
          <w:bCs/>
          <w:sz w:val="32"/>
          <w:szCs w:val="32"/>
          <w:lang w:val="en-US" w:eastAsia="zh-CN"/>
        </w:rPr>
      </w:pPr>
    </w:p>
    <w:p w14:paraId="4B4C92BA">
      <w:pPr>
        <w:pStyle w:val="368"/>
        <w:jc w:val="left"/>
        <w:rPr>
          <w:rFonts w:hint="eastAsia" w:ascii="黑体" w:hAnsi="黑体" w:eastAsia="黑体" w:cs="黑体"/>
          <w:bCs/>
          <w:sz w:val="32"/>
          <w:szCs w:val="32"/>
          <w:lang w:val="en-US" w:eastAsia="zh-CN"/>
        </w:rPr>
      </w:pPr>
    </w:p>
    <w:p w14:paraId="61E0CD5C">
      <w:pPr>
        <w:pStyle w:val="368"/>
        <w:jc w:val="left"/>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t>六、中小企业或残疾人福利性单位声明函</w:t>
      </w:r>
    </w:p>
    <w:p w14:paraId="33A95705">
      <w:pPr>
        <w:pStyle w:val="368"/>
        <w:jc w:val="center"/>
        <w:rPr>
          <w:rFonts w:hint="eastAsia" w:ascii="方正小标宋_GBK" w:eastAsia="方正小标宋_GBK"/>
          <w:bCs/>
          <w:sz w:val="32"/>
          <w:szCs w:val="32"/>
        </w:rPr>
      </w:pPr>
    </w:p>
    <w:p w14:paraId="1F324EC4">
      <w:pPr>
        <w:pStyle w:val="368"/>
        <w:jc w:val="center"/>
        <w:rPr>
          <w:rFonts w:ascii="方正小标宋_GBK" w:eastAsia="方正小标宋_GBK"/>
          <w:bCs/>
          <w:sz w:val="32"/>
          <w:szCs w:val="32"/>
        </w:rPr>
      </w:pPr>
      <w:r>
        <w:rPr>
          <w:rFonts w:hint="eastAsia" w:ascii="方正小标宋_GBK" w:eastAsia="方正小标宋_GBK"/>
          <w:bCs/>
          <w:sz w:val="32"/>
          <w:szCs w:val="32"/>
        </w:rPr>
        <w:t>中小微企业声明函</w:t>
      </w:r>
    </w:p>
    <w:p w14:paraId="2837F9D1">
      <w:pPr>
        <w:pStyle w:val="368"/>
        <w:jc w:val="center"/>
        <w:rPr>
          <w:rFonts w:hint="eastAsia" w:ascii="宋体" w:hAnsi="宋体"/>
          <w:sz w:val="24"/>
          <w:szCs w:val="24"/>
        </w:rPr>
      </w:pPr>
      <w:r>
        <w:rPr>
          <w:rFonts w:hint="eastAsia" w:ascii="方正小标宋_GBK" w:eastAsia="方正小标宋_GBK"/>
          <w:bCs/>
          <w:sz w:val="32"/>
          <w:szCs w:val="32"/>
        </w:rPr>
        <w:t>（服务类项目）</w:t>
      </w:r>
    </w:p>
    <w:p w14:paraId="24B1B93C">
      <w:pPr>
        <w:spacing w:line="560" w:lineRule="exact"/>
        <w:rPr>
          <w:rFonts w:hint="eastAsia" w:ascii="宋体" w:hAnsi="宋体"/>
          <w:sz w:val="24"/>
          <w:szCs w:val="24"/>
        </w:rPr>
      </w:pPr>
      <w:r>
        <w:rPr>
          <w:rFonts w:hint="eastAsia" w:ascii="宋体" w:hAnsi="宋体"/>
          <w:sz w:val="24"/>
          <w:szCs w:val="24"/>
        </w:rPr>
        <w:t>本公司（联合体）郑重声明，根据《政府采购促进中小企业发展管理办法》(财库</w:t>
      </w:r>
      <w:r>
        <w:rPr>
          <w:rFonts w:hint="eastAsia" w:ascii="Times New Roman" w:hAnsi="Times New Roman"/>
          <w:sz w:val="24"/>
          <w:szCs w:val="24"/>
        </w:rPr>
        <w:t>〔2020〕</w:t>
      </w:r>
      <w:r>
        <w:rPr>
          <w:rFonts w:hint="eastAsia" w:ascii="宋体" w:hAnsi="宋体"/>
          <w:sz w:val="24"/>
          <w:szCs w:val="24"/>
        </w:rPr>
        <w:t>46号)的规定，本公司（联合体）参加</w:t>
      </w:r>
      <w:r>
        <w:rPr>
          <w:rFonts w:hint="eastAsia" w:ascii="宋体" w:hAnsi="宋体"/>
          <w:sz w:val="24"/>
          <w:szCs w:val="24"/>
          <w:u w:val="single"/>
          <w:lang w:val="en-US" w:eastAsia="zh-CN"/>
        </w:rPr>
        <w:t xml:space="preserve">宿迁市发展和改革委员会 </w:t>
      </w:r>
      <w:r>
        <w:rPr>
          <w:rFonts w:hint="eastAsia" w:ascii="宋体" w:hAnsi="宋体"/>
          <w:sz w:val="24"/>
          <w:szCs w:val="24"/>
        </w:rPr>
        <w:t>的</w:t>
      </w:r>
      <w:r>
        <w:rPr>
          <w:rFonts w:hint="eastAsia" w:ascii="宋体" w:hAnsi="宋体"/>
          <w:sz w:val="24"/>
          <w:szCs w:val="24"/>
          <w:u w:val="single"/>
          <w:lang w:val="en-US" w:eastAsia="zh-CN"/>
        </w:rPr>
        <w:t>2026年-2029年宿迁市级冻猪肉储备采购</w:t>
      </w:r>
      <w:r>
        <w:rPr>
          <w:rFonts w:hint="eastAsia" w:ascii="宋体" w:hAnsi="宋体"/>
          <w:sz w:val="24"/>
          <w:szCs w:val="24"/>
        </w:rPr>
        <w:t>采购活动，服务全部由符合政策的中小微企业承接。相关企业（含联合体中的中小微企业、签订采购包意向协议的中小微企业）的具体情况如下：</w:t>
      </w:r>
    </w:p>
    <w:p w14:paraId="5AA4040B">
      <w:pPr>
        <w:spacing w:line="500" w:lineRule="exact"/>
        <w:ind w:firstLine="480"/>
        <w:rPr>
          <w:rFonts w:hint="eastAsia" w:ascii="宋体" w:hAnsi="宋体"/>
          <w:i/>
          <w:sz w:val="24"/>
          <w:szCs w:val="24"/>
          <w:u w:val="single"/>
        </w:rPr>
      </w:pPr>
      <w:r>
        <w:rPr>
          <w:rFonts w:hint="eastAsia" w:ascii="宋体" w:hAnsi="宋体"/>
          <w:sz w:val="24"/>
          <w:szCs w:val="24"/>
        </w:rPr>
        <w:t>1.</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w:t>
      </w:r>
      <w:r>
        <w:rPr>
          <w:rFonts w:hint="eastAsia" w:ascii="宋体" w:hAnsi="宋体"/>
          <w:sz w:val="24"/>
          <w:szCs w:val="24"/>
          <w:u w:val="single"/>
          <w:lang w:eastAsia="zh-CN"/>
        </w:rPr>
        <w:t>供应商</w:t>
      </w:r>
      <w:r>
        <w:rPr>
          <w:rFonts w:hint="eastAsia" w:ascii="宋体" w:hAnsi="宋体"/>
          <w:sz w:val="24"/>
          <w:szCs w:val="24"/>
          <w:u w:val="single"/>
        </w:rPr>
        <w:t>填写</w:t>
      </w:r>
      <w:r>
        <w:rPr>
          <w:rFonts w:hint="eastAsia" w:ascii="宋体" w:hAnsi="宋体"/>
          <w:sz w:val="24"/>
          <w:szCs w:val="24"/>
          <w:u w:val="single"/>
          <w:lang w:eastAsia="zh-CN"/>
        </w:rPr>
        <w:t>采购文件</w:t>
      </w:r>
      <w:r>
        <w:rPr>
          <w:rFonts w:hint="eastAsia" w:ascii="宋体" w:hAnsi="宋体"/>
          <w:sz w:val="24"/>
          <w:szCs w:val="24"/>
          <w:u w:val="single"/>
        </w:rPr>
        <w:t>中明确的所属行业）</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 □小型企业 □微型企业）；</w:t>
      </w:r>
    </w:p>
    <w:p w14:paraId="30492432">
      <w:pPr>
        <w:spacing w:line="500" w:lineRule="exact"/>
        <w:ind w:firstLine="480"/>
        <w:rPr>
          <w:rFonts w:hint="eastAsia" w:ascii="宋体" w:hAnsi="宋体"/>
          <w:i/>
          <w:sz w:val="24"/>
          <w:szCs w:val="24"/>
          <w:u w:val="single"/>
        </w:rPr>
      </w:pPr>
      <w:r>
        <w:rPr>
          <w:rFonts w:hint="eastAsia" w:ascii="宋体" w:hAnsi="宋体"/>
          <w:sz w:val="24"/>
          <w:szCs w:val="24"/>
        </w:rPr>
        <w:t>2.</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w:t>
      </w:r>
      <w:r>
        <w:rPr>
          <w:rFonts w:hint="eastAsia" w:ascii="宋体" w:hAnsi="宋体"/>
          <w:sz w:val="24"/>
          <w:szCs w:val="24"/>
          <w:u w:val="single"/>
          <w:lang w:eastAsia="zh-CN"/>
        </w:rPr>
        <w:t>供应商</w:t>
      </w:r>
      <w:r>
        <w:rPr>
          <w:rFonts w:hint="eastAsia" w:ascii="宋体" w:hAnsi="宋体"/>
          <w:sz w:val="24"/>
          <w:szCs w:val="24"/>
          <w:u w:val="single"/>
        </w:rPr>
        <w:t>填写</w:t>
      </w:r>
      <w:r>
        <w:rPr>
          <w:rFonts w:hint="eastAsia" w:ascii="宋体" w:hAnsi="宋体"/>
          <w:sz w:val="24"/>
          <w:szCs w:val="24"/>
          <w:u w:val="single"/>
          <w:lang w:eastAsia="zh-CN"/>
        </w:rPr>
        <w:t>采购文件</w:t>
      </w:r>
      <w:r>
        <w:rPr>
          <w:rFonts w:hint="eastAsia" w:ascii="宋体" w:hAnsi="宋体"/>
          <w:sz w:val="24"/>
          <w:szCs w:val="24"/>
          <w:u w:val="single"/>
        </w:rPr>
        <w:t>中明确的所属行业）</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 □小型企业 □微型企业）；</w:t>
      </w:r>
    </w:p>
    <w:p w14:paraId="12B45B8D">
      <w:pPr>
        <w:spacing w:line="500" w:lineRule="exact"/>
        <w:ind w:firstLine="480"/>
        <w:rPr>
          <w:rFonts w:hint="eastAsia" w:ascii="宋体" w:hAnsi="宋体"/>
          <w:sz w:val="24"/>
          <w:szCs w:val="24"/>
        </w:rPr>
      </w:pPr>
      <w:r>
        <w:rPr>
          <w:rFonts w:hint="eastAsia" w:ascii="宋体" w:hAnsi="宋体"/>
          <w:sz w:val="24"/>
          <w:szCs w:val="24"/>
        </w:rPr>
        <w:t>……</w:t>
      </w:r>
    </w:p>
    <w:p w14:paraId="36F9010C">
      <w:pPr>
        <w:spacing w:line="500" w:lineRule="exact"/>
        <w:ind w:firstLine="48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29D9F11F">
      <w:pPr>
        <w:spacing w:line="500" w:lineRule="exact"/>
        <w:ind w:firstLine="480"/>
        <w:rPr>
          <w:rFonts w:hint="eastAsia" w:ascii="宋体" w:hAnsi="宋体"/>
          <w:sz w:val="24"/>
          <w:szCs w:val="24"/>
        </w:rPr>
      </w:pPr>
      <w:r>
        <w:rPr>
          <w:rFonts w:hint="eastAsia" w:ascii="宋体" w:hAnsi="宋体"/>
          <w:sz w:val="24"/>
          <w:szCs w:val="24"/>
        </w:rPr>
        <w:t>本企业对上述声明内容的真实性负责。如有虚假，将依法承担相应责任</w:t>
      </w:r>
    </w:p>
    <w:p w14:paraId="301E8247">
      <w:pPr>
        <w:spacing w:line="500" w:lineRule="exact"/>
        <w:ind w:firstLine="480"/>
        <w:rPr>
          <w:rFonts w:hint="eastAsia" w:ascii="宋体" w:hAnsi="宋体"/>
          <w:sz w:val="24"/>
          <w:szCs w:val="24"/>
        </w:rPr>
      </w:pPr>
    </w:p>
    <w:p w14:paraId="58FC8A70">
      <w:pPr>
        <w:spacing w:line="500" w:lineRule="exact"/>
        <w:ind w:firstLine="480"/>
        <w:jc w:val="right"/>
        <w:rPr>
          <w:rFonts w:hint="eastAsia" w:ascii="宋体" w:hAnsi="宋体"/>
          <w:sz w:val="24"/>
          <w:szCs w:val="24"/>
        </w:rPr>
      </w:pPr>
      <w:r>
        <w:rPr>
          <w:rFonts w:hint="eastAsia" w:ascii="宋体" w:hAnsi="宋体"/>
          <w:sz w:val="24"/>
          <w:szCs w:val="24"/>
        </w:rPr>
        <w:t>企业名称（加盖CA电子公章）：</w:t>
      </w:r>
    </w:p>
    <w:p w14:paraId="42076915">
      <w:pPr>
        <w:spacing w:line="500" w:lineRule="exact"/>
        <w:ind w:firstLine="6960"/>
        <w:rPr>
          <w:rFonts w:hint="eastAsia" w:ascii="宋体" w:hAnsi="宋体"/>
          <w:sz w:val="24"/>
          <w:szCs w:val="24"/>
        </w:rPr>
      </w:pPr>
      <w:r>
        <w:rPr>
          <w:rFonts w:hint="eastAsia" w:ascii="宋体" w:hAnsi="宋体"/>
          <w:sz w:val="24"/>
          <w:szCs w:val="24"/>
        </w:rPr>
        <w:t>日  期：</w:t>
      </w:r>
    </w:p>
    <w:p w14:paraId="28044330">
      <w:pPr>
        <w:spacing w:line="400" w:lineRule="exact"/>
        <w:ind w:firstLine="240"/>
        <w:rPr>
          <w:rFonts w:hint="eastAsia" w:ascii="宋体" w:hAnsi="宋体"/>
          <w:sz w:val="24"/>
          <w:szCs w:val="24"/>
        </w:rPr>
      </w:pPr>
    </w:p>
    <w:p w14:paraId="23C7F52E">
      <w:pPr>
        <w:spacing w:line="400" w:lineRule="exact"/>
        <w:ind w:firstLine="480"/>
        <w:rPr>
          <w:rFonts w:ascii="Times New Roman" w:hAnsi="Times New Roman"/>
          <w:sz w:val="24"/>
          <w:szCs w:val="24"/>
        </w:rPr>
      </w:pPr>
      <w:r>
        <w:rPr>
          <w:rFonts w:ascii="Times New Roman" w:hAnsi="Times New Roman"/>
          <w:sz w:val="24"/>
          <w:szCs w:val="24"/>
        </w:rPr>
        <w:t>备注：1.从业人员、营业收入、资产总额填报上一年度数据，无上一年度数据的新成立企业可不填报。</w:t>
      </w:r>
    </w:p>
    <w:p w14:paraId="1810F8C5">
      <w:pPr>
        <w:spacing w:line="400" w:lineRule="exact"/>
        <w:ind w:firstLine="480"/>
        <w:rPr>
          <w:rFonts w:ascii="宋体"/>
          <w:b/>
          <w:bCs/>
          <w:sz w:val="32"/>
          <w:szCs w:val="32"/>
        </w:rPr>
      </w:pPr>
      <w:r>
        <w:rPr>
          <w:rFonts w:ascii="Times New Roman" w:hAnsi="Times New Roman"/>
          <w:sz w:val="24"/>
          <w:szCs w:val="24"/>
        </w:rPr>
        <w:t>2.对照《工业和信息化部、国家统计局、国家发展和改革委员会、财政部关于印发中小企业划型标准规定的通知》(工信部联企业[2011]300号)的规定，</w:t>
      </w:r>
      <w:r>
        <w:rPr>
          <w:rFonts w:hint="eastAsia" w:ascii="Times New Roman" w:hAnsi="Times New Roman"/>
          <w:sz w:val="24"/>
          <w:szCs w:val="24"/>
          <w:lang w:eastAsia="zh-CN"/>
        </w:rPr>
        <w:t>供应商</w:t>
      </w:r>
      <w:r>
        <w:rPr>
          <w:rFonts w:ascii="Times New Roman" w:hAnsi="Times New Roman"/>
          <w:sz w:val="24"/>
          <w:szCs w:val="24"/>
        </w:rPr>
        <w:t>自行勾选承接企业的企业规模类型。</w:t>
      </w:r>
    </w:p>
    <w:p w14:paraId="491AF776">
      <w:pPr>
        <w:pStyle w:val="368"/>
        <w:jc w:val="center"/>
        <w:rPr>
          <w:rFonts w:ascii="方正小标宋_GBK" w:eastAsia="方正小标宋_GBK"/>
          <w:bCs/>
          <w:sz w:val="32"/>
          <w:szCs w:val="32"/>
        </w:rPr>
      </w:pPr>
      <w:r>
        <w:rPr>
          <w:rFonts w:hint="eastAsia" w:ascii="方正小标宋_GBK" w:eastAsia="方正小标宋_GBK"/>
          <w:bCs/>
          <w:sz w:val="32"/>
          <w:szCs w:val="32"/>
        </w:rPr>
        <w:t>残疾人福利性单位声明函</w:t>
      </w:r>
    </w:p>
    <w:p w14:paraId="506EB9D6">
      <w:pPr>
        <w:pStyle w:val="370"/>
        <w:spacing w:line="588" w:lineRule="exact"/>
        <w:rPr>
          <w:rFonts w:ascii="仿宋_GB2312" w:eastAsia="仿宋_GB2312"/>
          <w:b/>
          <w:spacing w:val="6"/>
          <w:sz w:val="30"/>
          <w:szCs w:val="30"/>
        </w:rPr>
      </w:pPr>
    </w:p>
    <w:p w14:paraId="2D0A8DF5">
      <w:pPr>
        <w:pStyle w:val="371"/>
        <w:spacing w:line="500" w:lineRule="exact"/>
        <w:ind w:firstLine="480"/>
        <w:rPr>
          <w:rFonts w:ascii="Times New Roman" w:hAnsi="Times New Roman"/>
          <w:sz w:val="24"/>
        </w:rPr>
      </w:pPr>
      <w:r>
        <w:rPr>
          <w:rFonts w:hint="eastAsia" w:ascii="Times New Roman" w:hAnsi="Times New Roman"/>
          <w:sz w:val="24"/>
        </w:rPr>
        <w:t>本单位郑重声明，根据《财政部 民政部 中国残疾人联合会关于促进残疾人就业政府采购政策的通知》（财库〔</w:t>
      </w:r>
      <w:r>
        <w:rPr>
          <w:rFonts w:ascii="Times New Roman" w:hAnsi="Times New Roman"/>
          <w:sz w:val="24"/>
        </w:rPr>
        <w:t>2017</w:t>
      </w:r>
      <w:r>
        <w:rPr>
          <w:rFonts w:hint="eastAsia" w:ascii="Times New Roman" w:hAnsi="Times New Roman"/>
          <w:sz w:val="24"/>
        </w:rPr>
        <w:t>〕</w:t>
      </w:r>
      <w:r>
        <w:rPr>
          <w:rFonts w:ascii="Times New Roman" w:hAnsi="Times New Roman"/>
          <w:sz w:val="24"/>
        </w:rPr>
        <w:t>141</w:t>
      </w:r>
      <w:r>
        <w:rPr>
          <w:rFonts w:hint="eastAsia" w:ascii="Times New Roman" w:hAnsi="Times New Roman"/>
          <w:sz w:val="24"/>
        </w:rPr>
        <w:t>号）的规定，本单位为符合条件的残疾人福利性单位，且本单位参加</w:t>
      </w:r>
      <w:r>
        <w:rPr>
          <w:rFonts w:hint="eastAsia" w:ascii="宋体" w:hAnsi="宋体"/>
          <w:sz w:val="24"/>
          <w:szCs w:val="24"/>
          <w:u w:val="single"/>
          <w:lang w:val="en-US" w:eastAsia="zh-CN"/>
        </w:rPr>
        <w:t xml:space="preserve">宿迁市发展和改革委员会 </w:t>
      </w:r>
      <w:r>
        <w:rPr>
          <w:rFonts w:hint="eastAsia" w:ascii="宋体" w:hAnsi="宋体"/>
          <w:sz w:val="24"/>
          <w:szCs w:val="24"/>
        </w:rPr>
        <w:t>的</w:t>
      </w:r>
      <w:r>
        <w:rPr>
          <w:rFonts w:hint="eastAsia" w:ascii="宋体" w:hAnsi="宋体"/>
          <w:sz w:val="24"/>
          <w:szCs w:val="24"/>
          <w:u w:val="single"/>
          <w:lang w:val="en-US" w:eastAsia="zh-CN"/>
        </w:rPr>
        <w:t>2026年-2029年宿迁市级冻猪肉储备采购</w:t>
      </w:r>
      <w:r>
        <w:rPr>
          <w:rFonts w:hint="eastAsia" w:ascii="Times New Roman" w:hAnsi="Times New Roman"/>
          <w:sz w:val="24"/>
        </w:rPr>
        <w:t>采购活动提供本单位制造的货物（由本单位承担工程/提供服务），或者提供其他残疾人福利性单位制造的货物（不包括使用非残疾人福利性单位注册商标的货物）。</w:t>
      </w:r>
    </w:p>
    <w:p w14:paraId="5BA7FAED">
      <w:pPr>
        <w:pStyle w:val="371"/>
        <w:spacing w:line="500" w:lineRule="exact"/>
        <w:ind w:firstLine="480"/>
        <w:rPr>
          <w:rFonts w:ascii="Times New Roman" w:hAnsi="Times New Roman"/>
          <w:sz w:val="24"/>
        </w:rPr>
      </w:pPr>
      <w:r>
        <w:rPr>
          <w:rFonts w:hint="eastAsia" w:ascii="Times New Roman" w:hAnsi="Times New Roman"/>
          <w:sz w:val="24"/>
        </w:rPr>
        <w:t>本单位对上述声明的真实性负责。如有虚假，将依法承担相应责任。</w:t>
      </w:r>
    </w:p>
    <w:p w14:paraId="7818F39C">
      <w:pPr>
        <w:pStyle w:val="372"/>
        <w:spacing w:line="500" w:lineRule="exact"/>
        <w:ind w:firstLine="3810"/>
        <w:rPr>
          <w:spacing w:val="6"/>
          <w:sz w:val="24"/>
          <w:szCs w:val="24"/>
        </w:rPr>
      </w:pPr>
    </w:p>
    <w:p w14:paraId="5DB2495B">
      <w:pPr>
        <w:pStyle w:val="372"/>
        <w:spacing w:line="500" w:lineRule="exact"/>
        <w:ind w:firstLine="3629"/>
        <w:jc w:val="left"/>
        <w:rPr>
          <w:sz w:val="24"/>
        </w:rPr>
      </w:pPr>
    </w:p>
    <w:p w14:paraId="254BA663">
      <w:pPr>
        <w:pStyle w:val="372"/>
        <w:spacing w:line="500" w:lineRule="exact"/>
        <w:ind w:firstLine="480"/>
        <w:jc w:val="left"/>
        <w:rPr>
          <w:sz w:val="24"/>
        </w:rPr>
      </w:pPr>
      <w:r>
        <w:rPr>
          <w:rFonts w:hint="eastAsia"/>
          <w:sz w:val="24"/>
        </w:rPr>
        <w:t>单位名称：</w:t>
      </w:r>
      <w:r>
        <w:rPr>
          <w:rFonts w:hint="eastAsia"/>
          <w:sz w:val="24"/>
          <w:u w:val="single"/>
        </w:rPr>
        <w:t xml:space="preserve">              </w:t>
      </w:r>
      <w:r>
        <w:rPr>
          <w:rFonts w:hint="eastAsia"/>
          <w:sz w:val="24"/>
        </w:rPr>
        <w:t>（</w:t>
      </w:r>
      <w:r>
        <w:rPr>
          <w:rFonts w:hint="eastAsia"/>
          <w:sz w:val="24"/>
          <w:szCs w:val="24"/>
        </w:rPr>
        <w:t>盖CA电子公章</w:t>
      </w:r>
      <w:r>
        <w:rPr>
          <w:rFonts w:hint="eastAsia"/>
          <w:sz w:val="24"/>
        </w:rPr>
        <w:t>）</w:t>
      </w:r>
    </w:p>
    <w:p w14:paraId="3F9CEA8C">
      <w:pPr>
        <w:pStyle w:val="369"/>
        <w:spacing w:line="500" w:lineRule="exact"/>
        <w:ind w:firstLine="480"/>
        <w:jc w:val="left"/>
        <w:rPr>
          <w:rFonts w:ascii="Times New Roman" w:hAnsi="Times New Roman"/>
          <w:sz w:val="24"/>
          <w:szCs w:val="20"/>
        </w:rPr>
      </w:pPr>
      <w:r>
        <w:rPr>
          <w:rFonts w:hint="eastAsia" w:ascii="Times New Roman" w:hAnsi="Times New Roman"/>
          <w:sz w:val="24"/>
          <w:szCs w:val="20"/>
        </w:rPr>
        <w:t>日期：  年  月  日</w:t>
      </w:r>
    </w:p>
    <w:p w14:paraId="36BF81A3">
      <w:pPr>
        <w:pStyle w:val="370"/>
        <w:tabs>
          <w:tab w:val="left" w:pos="4860"/>
        </w:tabs>
        <w:spacing w:line="588" w:lineRule="exact"/>
        <w:ind w:right="1560" w:firstLine="480"/>
        <w:jc w:val="center"/>
        <w:rPr>
          <w:rFonts w:ascii="Times New Roman" w:hAnsi="Times New Roman" w:cs="Arial"/>
          <w:sz w:val="24"/>
          <w:szCs w:val="24"/>
        </w:rPr>
      </w:pPr>
    </w:p>
    <w:p w14:paraId="4B3A744B">
      <w:pPr>
        <w:pStyle w:val="373"/>
        <w:spacing w:line="500" w:lineRule="exact"/>
        <w:ind w:left="357" w:firstLine="0"/>
        <w:rPr>
          <w:rFonts w:ascii="Times New Roman" w:hAnsi="Times New Roman" w:cs="Arial"/>
          <w:sz w:val="24"/>
          <w:szCs w:val="24"/>
        </w:rPr>
      </w:pPr>
    </w:p>
    <w:p w14:paraId="6679DC4C">
      <w:pPr>
        <w:pStyle w:val="371"/>
        <w:spacing w:line="480" w:lineRule="exact"/>
        <w:ind w:firstLine="442"/>
        <w:rPr>
          <w:rFonts w:ascii="Times New Roman" w:hAnsi="Times New Roman"/>
          <w:sz w:val="24"/>
          <w:szCs w:val="24"/>
        </w:rPr>
      </w:pPr>
      <w:r>
        <w:rPr>
          <w:rFonts w:hint="eastAsia" w:ascii="Times New Roman" w:hAnsi="Times New Roman"/>
          <w:sz w:val="24"/>
          <w:szCs w:val="24"/>
        </w:rPr>
        <w:t>备注：1.非残疾人福利性单位不需提供此函。</w:t>
      </w:r>
    </w:p>
    <w:p w14:paraId="70EFB5B7">
      <w:pPr>
        <w:pStyle w:val="3"/>
        <w:widowControl/>
        <w:jc w:val="both"/>
        <w:rPr>
          <w:rFonts w:hint="eastAsia" w:ascii="黑体" w:hAnsi="黑体" w:eastAsia="黑体" w:cs="Times New Roman"/>
          <w:b w:val="0"/>
          <w:bCs w:val="0"/>
          <w:iCs/>
          <w:sz w:val="32"/>
          <w:szCs w:val="32"/>
          <w:lang w:val="en-US" w:eastAsia="zh-CN"/>
        </w:rPr>
      </w:pPr>
    </w:p>
    <w:p w14:paraId="7C1D0366">
      <w:pPr>
        <w:pStyle w:val="3"/>
        <w:widowControl/>
        <w:jc w:val="both"/>
        <w:rPr>
          <w:rFonts w:hint="eastAsia" w:ascii="黑体" w:hAnsi="黑体" w:eastAsia="黑体" w:cs="Times New Roman"/>
          <w:b w:val="0"/>
          <w:bCs w:val="0"/>
          <w:iCs/>
          <w:sz w:val="32"/>
          <w:szCs w:val="32"/>
          <w:lang w:val="en-US" w:eastAsia="zh-CN"/>
        </w:rPr>
      </w:pPr>
    </w:p>
    <w:p w14:paraId="0F756D63">
      <w:pPr>
        <w:pStyle w:val="4"/>
        <w:rPr>
          <w:rFonts w:hint="eastAsia" w:ascii="黑体" w:hAnsi="黑体" w:eastAsia="黑体" w:cs="Times New Roman"/>
          <w:b w:val="0"/>
          <w:bCs w:val="0"/>
          <w:iCs/>
          <w:sz w:val="32"/>
          <w:szCs w:val="32"/>
          <w:lang w:val="en-US" w:eastAsia="zh-CN"/>
        </w:rPr>
      </w:pPr>
    </w:p>
    <w:p w14:paraId="2D76B6E0">
      <w:pPr>
        <w:pStyle w:val="4"/>
        <w:rPr>
          <w:rFonts w:hint="eastAsia" w:ascii="黑体" w:hAnsi="黑体" w:eastAsia="黑体" w:cs="Times New Roman"/>
          <w:b w:val="0"/>
          <w:bCs w:val="0"/>
          <w:iCs/>
          <w:sz w:val="32"/>
          <w:szCs w:val="32"/>
          <w:lang w:val="en-US" w:eastAsia="zh-CN"/>
        </w:rPr>
      </w:pPr>
    </w:p>
    <w:p w14:paraId="304CEB6B">
      <w:pPr>
        <w:pStyle w:val="3"/>
        <w:widowControl/>
        <w:jc w:val="both"/>
        <w:rPr>
          <w:rFonts w:hint="eastAsia" w:ascii="黑体" w:hAnsi="黑体" w:eastAsia="黑体" w:cs="Times New Roman"/>
          <w:b w:val="0"/>
          <w:bCs w:val="0"/>
          <w:iCs/>
          <w:sz w:val="32"/>
          <w:szCs w:val="32"/>
          <w:lang w:val="en-US" w:eastAsia="zh-CN"/>
        </w:rPr>
      </w:pPr>
    </w:p>
    <w:p w14:paraId="32B178FC">
      <w:pPr>
        <w:pStyle w:val="4"/>
        <w:ind w:left="0" w:firstLine="0"/>
        <w:rPr>
          <w:rFonts w:hint="eastAsia" w:ascii="黑体" w:hAnsi="黑体" w:eastAsia="黑体" w:cs="Times New Roman"/>
          <w:b w:val="0"/>
          <w:bCs w:val="0"/>
          <w:iCs/>
          <w:sz w:val="32"/>
          <w:szCs w:val="32"/>
          <w:lang w:val="en-US" w:eastAsia="zh-CN"/>
        </w:rPr>
      </w:pPr>
    </w:p>
    <w:p w14:paraId="28DEAAA7">
      <w:pPr>
        <w:pStyle w:val="4"/>
        <w:rPr>
          <w:rFonts w:hint="eastAsia" w:ascii="黑体" w:hAnsi="黑体" w:eastAsia="黑体" w:cs="Times New Roman"/>
          <w:b w:val="0"/>
          <w:bCs w:val="0"/>
          <w:iCs/>
          <w:sz w:val="32"/>
          <w:szCs w:val="32"/>
          <w:lang w:val="en-US" w:eastAsia="zh-CN"/>
        </w:rPr>
      </w:pPr>
    </w:p>
    <w:p w14:paraId="48BEA9BB">
      <w:pPr>
        <w:pStyle w:val="4"/>
        <w:rPr>
          <w:rFonts w:hint="eastAsia" w:ascii="黑体" w:hAnsi="黑体" w:eastAsia="黑体" w:cs="Times New Roman"/>
          <w:b w:val="0"/>
          <w:bCs w:val="0"/>
          <w:iCs/>
          <w:sz w:val="32"/>
          <w:szCs w:val="32"/>
          <w:lang w:val="en-US" w:eastAsia="zh-CN"/>
        </w:rPr>
      </w:pPr>
    </w:p>
    <w:p w14:paraId="6E29B354">
      <w:pPr>
        <w:widowControl/>
        <w:spacing w:before="100" w:beforeAutospacing="1" w:after="100" w:afterAutospacing="1" w:line="420" w:lineRule="exact"/>
        <w:ind w:firstLine="398"/>
        <w:jc w:val="left"/>
        <w:rPr>
          <w:rFonts w:hint="default"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t>七、承诺函</w:t>
      </w:r>
    </w:p>
    <w:p w14:paraId="19A94731">
      <w:pPr>
        <w:spacing w:line="480" w:lineRule="exact"/>
        <w:rPr>
          <w:rFonts w:hint="eastAsia" w:ascii="宋体" w:hAnsi="宋体"/>
          <w:b/>
          <w:bCs/>
          <w:sz w:val="24"/>
          <w:szCs w:val="24"/>
        </w:rPr>
      </w:pPr>
      <w:r>
        <w:rPr>
          <w:rFonts w:hint="eastAsia" w:ascii="Times New Roman" w:hAnsi="Times New Roman"/>
          <w:sz w:val="24"/>
          <w:szCs w:val="24"/>
          <w:u w:val="single"/>
          <w:lang w:eastAsia="zh-CN"/>
        </w:rPr>
        <w:t xml:space="preserve">宿迁市发展和改革委员会 </w:t>
      </w:r>
      <w:r>
        <w:rPr>
          <w:rFonts w:hint="eastAsia" w:ascii="宋体" w:hAnsi="宋体"/>
          <w:sz w:val="24"/>
          <w:szCs w:val="24"/>
        </w:rPr>
        <w:t>：</w:t>
      </w:r>
    </w:p>
    <w:p w14:paraId="09C3F25E">
      <w:pPr>
        <w:spacing w:line="480" w:lineRule="exact"/>
        <w:ind w:firstLine="480"/>
        <w:rPr>
          <w:rFonts w:hint="eastAsia" w:ascii="宋体" w:hAnsi="宋体"/>
          <w:sz w:val="24"/>
          <w:szCs w:val="24"/>
        </w:rPr>
      </w:pPr>
    </w:p>
    <w:p w14:paraId="2020AAEE">
      <w:pPr>
        <w:spacing w:line="560" w:lineRule="exact"/>
        <w:rPr>
          <w:rFonts w:hint="eastAsia" w:ascii="宋体" w:hAnsi="宋体"/>
          <w:sz w:val="24"/>
          <w:szCs w:val="24"/>
        </w:rPr>
      </w:pPr>
      <w:r>
        <w:rPr>
          <w:rFonts w:ascii="宋体" w:hAnsi="宋体"/>
          <w:sz w:val="24"/>
          <w:szCs w:val="24"/>
        </w:rPr>
        <w:t>根据</w:t>
      </w:r>
      <w:r>
        <w:rPr>
          <w:rFonts w:hint="eastAsia" w:ascii="Times New Roman" w:hAnsi="Times New Roman" w:eastAsia="宋体" w:cs="Times New Roman"/>
          <w:sz w:val="24"/>
          <w:szCs w:val="24"/>
          <w:highlight w:val="none"/>
          <w:u w:val="single"/>
          <w:lang w:eastAsia="zh-CN"/>
        </w:rPr>
        <w:t>JSZC-321300-JSZR-D2026-0066</w:t>
      </w:r>
      <w:r>
        <w:rPr>
          <w:rFonts w:hint="eastAsia" w:ascii="Times New Roman" w:hAnsi="Times New Roman"/>
          <w:sz w:val="24"/>
          <w:szCs w:val="24"/>
          <w:highlight w:val="none"/>
          <w:u w:val="single"/>
        </w:rPr>
        <w:t xml:space="preserve"> </w:t>
      </w:r>
      <w:r>
        <w:rPr>
          <w:rFonts w:hint="eastAsia" w:ascii="Times New Roman" w:hAnsi="Times New Roman"/>
          <w:sz w:val="24"/>
          <w:szCs w:val="24"/>
        </w:rPr>
        <w:t>号</w:t>
      </w:r>
      <w:r>
        <w:rPr>
          <w:rFonts w:hint="eastAsia" w:ascii="Times New Roman" w:hAnsi="Times New Roman"/>
          <w:sz w:val="24"/>
          <w:szCs w:val="24"/>
          <w:u w:val="single"/>
          <w:lang w:val="en-US" w:eastAsia="zh-CN"/>
        </w:rPr>
        <w:t>2026年-2029年宿迁市级冻猪肉储备采购</w:t>
      </w:r>
      <w:r>
        <w:rPr>
          <w:rFonts w:ascii="宋体" w:hAnsi="宋体"/>
          <w:sz w:val="24"/>
          <w:szCs w:val="24"/>
        </w:rPr>
        <w:t>单一来源采购文件相关要求承诺如下：</w:t>
      </w:r>
    </w:p>
    <w:p w14:paraId="3E720959">
      <w:pPr>
        <w:spacing w:line="480" w:lineRule="exact"/>
        <w:ind w:firstLine="480"/>
        <w:rPr>
          <w:rFonts w:hint="eastAsia" w:ascii="宋体" w:hAnsi="宋体"/>
          <w:sz w:val="24"/>
          <w:szCs w:val="24"/>
        </w:rPr>
      </w:pPr>
      <w:r>
        <w:rPr>
          <w:rFonts w:ascii="宋体" w:hAnsi="宋体"/>
          <w:sz w:val="24"/>
          <w:szCs w:val="24"/>
        </w:rPr>
        <w:t>完全响应本项目</w:t>
      </w:r>
      <w:r>
        <w:rPr>
          <w:rFonts w:hint="eastAsia" w:ascii="宋体" w:hAnsi="宋体"/>
          <w:sz w:val="24"/>
          <w:szCs w:val="24"/>
        </w:rPr>
        <w:t xml:space="preserve">“第三章  </w:t>
      </w:r>
      <w:r>
        <w:rPr>
          <w:rFonts w:ascii="宋体" w:hAnsi="宋体"/>
          <w:sz w:val="24"/>
          <w:szCs w:val="24"/>
        </w:rPr>
        <w:t>采购需求</w:t>
      </w:r>
      <w:r>
        <w:rPr>
          <w:rFonts w:hint="eastAsia" w:ascii="宋体" w:hAnsi="宋体"/>
          <w:sz w:val="24"/>
          <w:szCs w:val="24"/>
        </w:rPr>
        <w:t>”中内容</w:t>
      </w:r>
      <w:r>
        <w:rPr>
          <w:rFonts w:ascii="宋体" w:hAnsi="宋体"/>
          <w:sz w:val="24"/>
          <w:szCs w:val="24"/>
        </w:rPr>
        <w:t>。如我单位成交，将无条件响应和实施。</w:t>
      </w:r>
    </w:p>
    <w:p w14:paraId="6550BC8F">
      <w:pPr>
        <w:spacing w:line="480" w:lineRule="exact"/>
        <w:ind w:firstLine="480"/>
        <w:jc w:val="left"/>
        <w:rPr>
          <w:rFonts w:hint="eastAsia" w:ascii="宋体" w:hAnsi="宋体"/>
          <w:sz w:val="24"/>
          <w:szCs w:val="24"/>
        </w:rPr>
      </w:pPr>
      <w:r>
        <w:rPr>
          <w:rFonts w:ascii="宋体" w:hAnsi="宋体"/>
          <w:sz w:val="24"/>
          <w:szCs w:val="24"/>
        </w:rPr>
        <w:t xml:space="preserve">特此承诺。 </w:t>
      </w:r>
    </w:p>
    <w:p w14:paraId="1AA6E3DB">
      <w:pPr>
        <w:spacing w:line="480" w:lineRule="exact"/>
        <w:rPr>
          <w:rFonts w:hint="eastAsia" w:ascii="宋体" w:hAnsi="宋体"/>
          <w:sz w:val="24"/>
          <w:szCs w:val="24"/>
        </w:rPr>
      </w:pPr>
    </w:p>
    <w:p w14:paraId="4B69186A">
      <w:pPr>
        <w:spacing w:line="480" w:lineRule="exact"/>
        <w:ind w:firstLine="480"/>
        <w:rPr>
          <w:rFonts w:hint="eastAsia" w:ascii="宋体" w:hAnsi="宋体"/>
          <w:sz w:val="24"/>
          <w:szCs w:val="24"/>
        </w:rPr>
      </w:pPr>
    </w:p>
    <w:p w14:paraId="7E8472DC">
      <w:pPr>
        <w:spacing w:line="480" w:lineRule="exact"/>
        <w:ind w:firstLine="480"/>
        <w:rPr>
          <w:rFonts w:hint="eastAsia" w:ascii="宋体" w:hAnsi="宋体"/>
          <w:sz w:val="24"/>
          <w:szCs w:val="24"/>
        </w:rPr>
      </w:pPr>
    </w:p>
    <w:p w14:paraId="48211F24">
      <w:pPr>
        <w:spacing w:line="480" w:lineRule="exact"/>
        <w:ind w:firstLine="480"/>
        <w:rPr>
          <w:rFonts w:hint="eastAsia" w:ascii="宋体" w:hAnsi="宋体"/>
          <w:sz w:val="24"/>
          <w:szCs w:val="24"/>
        </w:rPr>
      </w:pPr>
    </w:p>
    <w:p w14:paraId="4CEE7C30">
      <w:pPr>
        <w:spacing w:line="480" w:lineRule="exact"/>
        <w:ind w:firstLine="480"/>
        <w:rPr>
          <w:rFonts w:hint="eastAsia" w:ascii="宋体" w:hAnsi="宋体"/>
          <w:sz w:val="24"/>
          <w:szCs w:val="24"/>
        </w:rPr>
      </w:pPr>
    </w:p>
    <w:p w14:paraId="74BA7161">
      <w:pPr>
        <w:spacing w:line="480" w:lineRule="exact"/>
        <w:ind w:firstLine="480"/>
        <w:jc w:val="right"/>
        <w:rPr>
          <w:rFonts w:hint="eastAsia" w:ascii="宋体" w:hAnsi="宋体"/>
          <w:sz w:val="24"/>
          <w:szCs w:val="24"/>
        </w:rPr>
      </w:pPr>
      <w:r>
        <w:rPr>
          <w:rFonts w:ascii="宋体" w:hAnsi="宋体"/>
          <w:sz w:val="24"/>
          <w:szCs w:val="24"/>
        </w:rPr>
        <w:t>单位名称（</w:t>
      </w:r>
      <w:r>
        <w:rPr>
          <w:rFonts w:hint="eastAsia" w:ascii="宋体" w:hAnsi="宋体"/>
          <w:sz w:val="24"/>
          <w:szCs w:val="24"/>
        </w:rPr>
        <w:t>盖CA电子公章</w:t>
      </w:r>
      <w:r>
        <w:rPr>
          <w:rFonts w:ascii="宋体" w:hAnsi="宋体"/>
          <w:sz w:val="24"/>
          <w:szCs w:val="24"/>
        </w:rPr>
        <w:t>）：</w:t>
      </w:r>
      <w:r>
        <w:rPr>
          <w:rFonts w:hint="eastAsia" w:ascii="宋体" w:hAnsi="宋体"/>
          <w:sz w:val="24"/>
          <w:szCs w:val="24"/>
        </w:rPr>
        <w:t xml:space="preserve">              </w:t>
      </w:r>
      <w:r>
        <w:rPr>
          <w:rFonts w:ascii="宋体" w:hAnsi="宋体"/>
          <w:sz w:val="24"/>
          <w:szCs w:val="24"/>
        </w:rPr>
        <w:t xml:space="preserve"> </w:t>
      </w:r>
    </w:p>
    <w:p w14:paraId="0CEFABC7">
      <w:pPr>
        <w:jc w:val="center"/>
        <w:rPr>
          <w:rFonts w:ascii="黑体" w:hAnsi="Arial" w:eastAsia="黑体"/>
          <w:b/>
          <w:sz w:val="36"/>
          <w:szCs w:val="21"/>
        </w:rPr>
      </w:pPr>
    </w:p>
    <w:p w14:paraId="0A855ABE">
      <w:pPr>
        <w:rPr>
          <w:rFonts w:ascii="黑体" w:hAnsi="Arial" w:eastAsia="黑体"/>
          <w:sz w:val="32"/>
          <w:szCs w:val="21"/>
        </w:rPr>
      </w:pPr>
      <w:bookmarkStart w:id="183" w:name="_GoBack"/>
      <w:bookmarkEnd w:id="183"/>
    </w:p>
    <w:p w14:paraId="3A7CA657">
      <w:pPr>
        <w:rPr>
          <w:rFonts w:ascii="黑体" w:hAnsi="Arial" w:eastAsia="黑体"/>
          <w:sz w:val="32"/>
          <w:szCs w:val="21"/>
        </w:rPr>
      </w:pPr>
    </w:p>
    <w:p w14:paraId="2606C38E">
      <w:pPr>
        <w:rPr>
          <w:rFonts w:ascii="黑体" w:hAnsi="Arial" w:eastAsia="黑体"/>
          <w:sz w:val="32"/>
          <w:szCs w:val="21"/>
        </w:rPr>
      </w:pPr>
    </w:p>
    <w:bookmarkEnd w:id="168"/>
    <w:bookmarkEnd w:id="169"/>
    <w:bookmarkEnd w:id="178"/>
    <w:p w14:paraId="04D50A68">
      <w:pPr>
        <w:rPr>
          <w:rFonts w:ascii="黑体" w:hAnsi="Arial" w:eastAsia="黑体"/>
          <w:sz w:val="32"/>
          <w:szCs w:val="21"/>
        </w:rPr>
      </w:pPr>
    </w:p>
    <w:p w14:paraId="5D1B1F7F">
      <w:pPr>
        <w:rPr>
          <w:rFonts w:ascii="黑体" w:hAnsi="Arial" w:eastAsia="黑体"/>
          <w:sz w:val="32"/>
          <w:szCs w:val="21"/>
        </w:rPr>
      </w:pPr>
    </w:p>
    <w:p w14:paraId="768EFA69">
      <w:pPr>
        <w:rPr>
          <w:rFonts w:ascii="黑体" w:hAnsi="Arial" w:eastAsia="黑体"/>
          <w:sz w:val="32"/>
          <w:szCs w:val="21"/>
        </w:rPr>
      </w:pPr>
    </w:p>
    <w:p w14:paraId="55CDC9F0">
      <w:pPr>
        <w:rPr>
          <w:rFonts w:ascii="黑体" w:hAnsi="Arial" w:eastAsia="黑体"/>
          <w:sz w:val="32"/>
          <w:szCs w:val="21"/>
        </w:rPr>
      </w:pPr>
    </w:p>
    <w:p w14:paraId="021DCE68">
      <w:pPr>
        <w:rPr>
          <w:rFonts w:ascii="黑体" w:hAnsi="Arial" w:eastAsia="黑体"/>
          <w:sz w:val="32"/>
          <w:szCs w:val="21"/>
        </w:rPr>
      </w:pPr>
    </w:p>
    <w:p w14:paraId="3B3F1687">
      <w:bookmarkStart w:id="182" w:name="_Hlt26955054"/>
      <w:bookmarkEnd w:id="182"/>
    </w:p>
    <w:sectPr>
      <w:headerReference r:id="rId3" w:type="default"/>
      <w:footerReference r:id="rId4" w:type="default"/>
      <w:footerReference r:id="rId5" w:type="even"/>
      <w:pgSz w:w="11906" w:h="16838"/>
      <w:pgMar w:top="1418" w:right="1588" w:bottom="1418" w:left="1365" w:header="851" w:footer="907" w:gutter="0"/>
      <w:pgNumType w:start="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7FFAEFF" w:usb1="F9DFFFFF" w:usb2="0000007F" w:usb3="00000000" w:csb0="203F01FF" w:csb1="DFFF0000"/>
  </w:font>
  <w:font w:name="方正黑体_GBK">
    <w:altName w:val="Arial Unicode MS"/>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Showcard Gothic">
    <w:panose1 w:val="04020904020102020604"/>
    <w:charset w:val="00"/>
    <w:family w:val="auto"/>
    <w:pitch w:val="default"/>
    <w:sig w:usb0="00000003" w:usb1="00000000" w:usb2="00000000" w:usb3="00000000" w:csb0="2000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国标黑体-GB/T 2312">
    <w:altName w:val="黑体"/>
    <w:panose1 w:val="02000500000000000000"/>
    <w:charset w:val="86"/>
    <w:family w:val="auto"/>
    <w:pitch w:val="default"/>
    <w:sig w:usb0="00000000" w:usb1="00000000" w:usb2="00000000" w:usb3="00000000" w:csb0="00040000" w:csb1="00000000"/>
  </w:font>
  <w:font w:name="方正仿宋_GBK">
    <w:panose1 w:val="02000000000000000000"/>
    <w:charset w:val="86"/>
    <w:family w:val="script"/>
    <w:pitch w:val="default"/>
    <w:sig w:usb0="A00002BF" w:usb1="38CF7CFA" w:usb2="00082016" w:usb3="00000000" w:csb0="00040001" w:csb1="00000000"/>
  </w:font>
  <w:font w:name="方正小标宋简体">
    <w:altName w:val="Arial Unicode MS"/>
    <w:panose1 w:val="02010601030101010101"/>
    <w:charset w:val="86"/>
    <w:family w:val="auto"/>
    <w:pitch w:val="default"/>
    <w:sig w:usb0="00000000" w:usb1="00000000" w:usb2="00000010" w:usb3="00000000" w:csb0="00040000" w:csb1="00000000"/>
  </w:font>
  <w:font w:name="方正大标宋简体">
    <w:altName w:val="Arial Unicode MS"/>
    <w:panose1 w:val="02010601030101010101"/>
    <w:charset w:val="86"/>
    <w:family w:val="auto"/>
    <w:pitch w:val="default"/>
    <w:sig w:usb0="00000000" w:usb1="00000000" w:usb2="0000001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8901E">
    <w:pPr>
      <w:pStyle w:val="30"/>
      <w:framePr w:wrap="around" w:vAnchor="text" w:hAnchor="margin" w:xAlign="center" w:y="1"/>
      <w:rPr>
        <w:rStyle w:val="54"/>
        <w:rFonts w:hint="eastAsia" w:ascii="宋体" w:hAnsi="宋体"/>
      </w:rPr>
    </w:pPr>
    <w:r>
      <w:rPr>
        <w:rFonts w:ascii="宋体" w:hAnsi="宋体"/>
      </w:rPr>
      <w:fldChar w:fldCharType="begin"/>
    </w:r>
    <w:r>
      <w:rPr>
        <w:rStyle w:val="54"/>
        <w:rFonts w:ascii="宋体" w:hAnsi="宋体"/>
      </w:rPr>
      <w:instrText xml:space="preserve">PAGE  </w:instrText>
    </w:r>
    <w:r>
      <w:rPr>
        <w:rFonts w:ascii="宋体" w:hAnsi="宋体"/>
      </w:rPr>
      <w:fldChar w:fldCharType="separate"/>
    </w:r>
    <w:r>
      <w:rPr>
        <w:rStyle w:val="54"/>
        <w:rFonts w:ascii="宋体" w:hAnsi="宋体"/>
      </w:rPr>
      <w:t>44</w:t>
    </w:r>
    <w:r>
      <w:rPr>
        <w:rFonts w:ascii="宋体" w:hAnsi="宋体"/>
      </w:rPr>
      <w:fldChar w:fldCharType="end"/>
    </w:r>
  </w:p>
  <w:p w14:paraId="053F4DD0">
    <w:pPr>
      <w:pStyle w:val="30"/>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B1313">
    <w:pPr>
      <w:pStyle w:val="30"/>
      <w:framePr w:wrap="around" w:vAnchor="text" w:hAnchor="margin" w:xAlign="center" w:y="1"/>
      <w:rPr>
        <w:rStyle w:val="54"/>
      </w:rPr>
    </w:pPr>
    <w:r>
      <w:fldChar w:fldCharType="begin"/>
    </w:r>
    <w:r>
      <w:rPr>
        <w:rStyle w:val="54"/>
      </w:rPr>
      <w:instrText xml:space="preserve">PAGE  </w:instrText>
    </w:r>
    <w:r>
      <w:fldChar w:fldCharType="separate"/>
    </w:r>
    <w:r>
      <w:rPr>
        <w:rStyle w:val="54"/>
      </w:rPr>
      <w:t>1</w:t>
    </w:r>
    <w:r>
      <w:fldChar w:fldCharType="end"/>
    </w:r>
  </w:p>
  <w:p w14:paraId="2D1F401D">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224F0">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第%1章"/>
      <w:lvlJc w:val="left"/>
      <w:pPr>
        <w:ind w:left="2235" w:hanging="1755"/>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4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4">
    <w:nsid w:val="03D62ECE"/>
    <w:multiLevelType w:val="multilevel"/>
    <w:tmpl w:val="03D62ECE"/>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26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095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qFormat="1"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282"/>
    <w:qFormat/>
    <w:uiPriority w:val="0"/>
    <w:pPr>
      <w:keepNext/>
      <w:jc w:val="center"/>
      <w:outlineLvl w:val="0"/>
    </w:pPr>
    <w:rPr>
      <w:rFonts w:ascii="楷体_GB2312" w:hAnsi="Times New Roman" w:eastAsia="楷体_GB2312" w:cs="Times New Roman"/>
      <w:sz w:val="28"/>
      <w:szCs w:val="28"/>
    </w:rPr>
  </w:style>
  <w:style w:type="paragraph" w:styleId="3">
    <w:name w:val="heading 2"/>
    <w:basedOn w:val="1"/>
    <w:next w:val="4"/>
    <w:link w:val="283"/>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1"/>
    <w:link w:val="285"/>
    <w:qFormat/>
    <w:uiPriority w:val="0"/>
    <w:pPr>
      <w:keepNext/>
      <w:keepLines/>
      <w:spacing w:before="260" w:after="260" w:line="416" w:lineRule="auto"/>
      <w:outlineLvl w:val="2"/>
    </w:pPr>
    <w:rPr>
      <w:rFonts w:ascii="Times New Roman" w:hAnsi="Times New Roman"/>
      <w:b/>
      <w:bCs/>
      <w:sz w:val="32"/>
      <w:szCs w:val="32"/>
    </w:rPr>
  </w:style>
  <w:style w:type="paragraph" w:styleId="6">
    <w:name w:val="heading 4"/>
    <w:basedOn w:val="1"/>
    <w:next w:val="4"/>
    <w:link w:val="286"/>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link w:val="287"/>
    <w:qFormat/>
    <w:uiPriority w:val="0"/>
    <w:pPr>
      <w:keepNext/>
      <w:outlineLvl w:val="4"/>
    </w:pPr>
    <w:rPr>
      <w:rFonts w:ascii="宋体" w:hAnsi="Times New Roman" w:eastAsia="宋体" w:cs="Times New Roman"/>
      <w:color w:val="000000"/>
      <w:sz w:val="28"/>
      <w:szCs w:val="28"/>
    </w:rPr>
  </w:style>
  <w:style w:type="paragraph" w:styleId="8">
    <w:name w:val="heading 6"/>
    <w:basedOn w:val="1"/>
    <w:next w:val="1"/>
    <w:link w:val="288"/>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styleId="9">
    <w:name w:val="heading 7"/>
    <w:basedOn w:val="1"/>
    <w:next w:val="1"/>
    <w:link w:val="289"/>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styleId="10">
    <w:name w:val="heading 8"/>
    <w:basedOn w:val="1"/>
    <w:next w:val="1"/>
    <w:link w:val="290"/>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styleId="11">
    <w:name w:val="heading 9"/>
    <w:basedOn w:val="1"/>
    <w:next w:val="1"/>
    <w:link w:val="291"/>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84"/>
    <w:qFormat/>
    <w:uiPriority w:val="0"/>
    <w:pPr>
      <w:ind w:firstLine="420"/>
    </w:pPr>
    <w:rPr>
      <w:szCs w:val="21"/>
    </w:rPr>
  </w:style>
  <w:style w:type="paragraph" w:styleId="12">
    <w:name w:val="List 3"/>
    <w:basedOn w:val="1"/>
    <w:qFormat/>
    <w:uiPriority w:val="0"/>
    <w:pPr>
      <w:ind w:left="100" w:hanging="200"/>
    </w:pPr>
    <w:rPr>
      <w:rFonts w:ascii="Times New Roman" w:hAnsi="Times New Roman" w:eastAsia="宋体" w:cs="Times New Roman"/>
      <w:szCs w:val="21"/>
    </w:rPr>
  </w:style>
  <w:style w:type="paragraph" w:styleId="13">
    <w:name w:val="toc 7"/>
    <w:basedOn w:val="1"/>
    <w:next w:val="1"/>
    <w:semiHidden/>
    <w:qFormat/>
    <w:uiPriority w:val="0"/>
    <w:pPr>
      <w:ind w:left="1260"/>
      <w:jc w:val="left"/>
    </w:pPr>
    <w:rPr>
      <w:rFonts w:ascii="Times New Roman" w:hAnsi="Times New Roman" w:eastAsia="宋体" w:cs="Times New Roman"/>
      <w:szCs w:val="21"/>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92"/>
    <w:semiHidden/>
    <w:qFormat/>
    <w:uiPriority w:val="0"/>
    <w:pPr>
      <w:shd w:val="clear" w:color="auto" w:fill="000080"/>
    </w:pPr>
    <w:rPr>
      <w:rFonts w:ascii="Times New Roman" w:hAnsi="Times New Roman" w:eastAsia="宋体" w:cs="Times New Roman"/>
      <w:szCs w:val="21"/>
    </w:rPr>
  </w:style>
  <w:style w:type="paragraph" w:styleId="16">
    <w:name w:val="annotation text"/>
    <w:basedOn w:val="1"/>
    <w:link w:val="293"/>
    <w:unhideWhenUsed/>
    <w:qFormat/>
    <w:uiPriority w:val="0"/>
    <w:pPr>
      <w:jc w:val="left"/>
    </w:pPr>
  </w:style>
  <w:style w:type="paragraph" w:styleId="17">
    <w:name w:val="Body Text 3"/>
    <w:basedOn w:val="1"/>
    <w:link w:val="294"/>
    <w:qFormat/>
    <w:uiPriority w:val="0"/>
    <w:rPr>
      <w:rFonts w:ascii="仿宋_GB2312" w:hAnsi="Arial" w:eastAsia="仿宋_GB2312" w:cs="Times New Roman"/>
      <w:sz w:val="32"/>
      <w:szCs w:val="32"/>
    </w:rPr>
  </w:style>
  <w:style w:type="paragraph" w:styleId="18">
    <w:name w:val="Body Text"/>
    <w:basedOn w:val="1"/>
    <w:next w:val="19"/>
    <w:link w:val="295"/>
    <w:qFormat/>
    <w:uiPriority w:val="0"/>
    <w:rPr>
      <w:rFonts w:ascii="楷体_GB2312" w:hAnsi="Arial" w:eastAsia="楷体_GB2312" w:cs="Times New Roman"/>
      <w:sz w:val="28"/>
      <w:szCs w:val="28"/>
    </w:rPr>
  </w:style>
  <w:style w:type="paragraph" w:styleId="19">
    <w:name w:val="Body Text First Indent"/>
    <w:basedOn w:val="18"/>
    <w:next w:val="1"/>
    <w:link w:val="306"/>
    <w:qFormat/>
    <w:uiPriority w:val="0"/>
    <w:pPr>
      <w:spacing w:line="360" w:lineRule="auto"/>
      <w:ind w:firstLine="200"/>
    </w:pPr>
    <w:rPr>
      <w:rFonts w:ascii="仿宋_GB2312" w:hAnsi="Times New Roman" w:eastAsia="仿宋_GB2312" w:cs="Times New Roman"/>
      <w:sz w:val="30"/>
      <w:szCs w:val="30"/>
    </w:rPr>
  </w:style>
  <w:style w:type="paragraph" w:styleId="20">
    <w:name w:val="Body Text Indent"/>
    <w:basedOn w:val="1"/>
    <w:link w:val="296"/>
    <w:unhideWhenUsed/>
    <w:qFormat/>
    <w:uiPriority w:val="0"/>
    <w:pPr>
      <w:spacing w:after="120"/>
      <w:ind w:left="420"/>
    </w:pPr>
  </w:style>
  <w:style w:type="paragraph" w:styleId="21">
    <w:name w:val="List 2"/>
    <w:basedOn w:val="1"/>
    <w:qFormat/>
    <w:uiPriority w:val="0"/>
    <w:pPr>
      <w:ind w:left="100" w:hanging="200"/>
    </w:pPr>
    <w:rPr>
      <w:rFonts w:ascii="Times New Roman" w:hAnsi="Times New Roman" w:eastAsia="宋体" w:cs="Times New Roman"/>
      <w:szCs w:val="21"/>
    </w:rPr>
  </w:style>
  <w:style w:type="paragraph" w:styleId="22">
    <w:name w:val="toc 5"/>
    <w:basedOn w:val="1"/>
    <w:next w:val="1"/>
    <w:semiHidden/>
    <w:qFormat/>
    <w:uiPriority w:val="0"/>
    <w:pPr>
      <w:ind w:left="840"/>
      <w:jc w:val="left"/>
    </w:pPr>
    <w:rPr>
      <w:rFonts w:ascii="Times New Roman" w:hAnsi="Times New Roman" w:eastAsia="宋体" w:cs="Times New Roman"/>
      <w:szCs w:val="21"/>
    </w:rPr>
  </w:style>
  <w:style w:type="paragraph" w:styleId="23">
    <w:name w:val="toc 3"/>
    <w:basedOn w:val="1"/>
    <w:next w:val="1"/>
    <w:semiHidden/>
    <w:qFormat/>
    <w:uiPriority w:val="0"/>
    <w:pPr>
      <w:ind w:left="420"/>
      <w:jc w:val="left"/>
    </w:pPr>
    <w:rPr>
      <w:rFonts w:ascii="Times New Roman" w:hAnsi="Times New Roman" w:eastAsia="宋体" w:cs="Times New Roman"/>
      <w:i/>
      <w:iCs/>
      <w:szCs w:val="24"/>
    </w:rPr>
  </w:style>
  <w:style w:type="paragraph" w:styleId="24">
    <w:name w:val="Plain Text"/>
    <w:basedOn w:val="1"/>
    <w:link w:val="297"/>
    <w:qFormat/>
    <w:uiPriority w:val="0"/>
    <w:rPr>
      <w:rFonts w:ascii="宋体" w:hAnsi="Courier New" w:eastAsia="宋体" w:cs="Courier New"/>
      <w:szCs w:val="21"/>
    </w:rPr>
  </w:style>
  <w:style w:type="paragraph" w:styleId="25">
    <w:name w:val="toc 8"/>
    <w:basedOn w:val="1"/>
    <w:next w:val="1"/>
    <w:semiHidden/>
    <w:qFormat/>
    <w:uiPriority w:val="0"/>
    <w:pPr>
      <w:ind w:left="1470"/>
      <w:jc w:val="left"/>
    </w:pPr>
    <w:rPr>
      <w:rFonts w:ascii="Times New Roman" w:hAnsi="Times New Roman" w:eastAsia="宋体" w:cs="Times New Roman"/>
      <w:szCs w:val="21"/>
    </w:rPr>
  </w:style>
  <w:style w:type="paragraph" w:styleId="26">
    <w:name w:val="Date"/>
    <w:basedOn w:val="1"/>
    <w:next w:val="1"/>
    <w:link w:val="298"/>
    <w:qFormat/>
    <w:uiPriority w:val="0"/>
    <w:rPr>
      <w:rFonts w:ascii="Times New Roman" w:hAnsi="Times New Roman" w:eastAsia="宋体" w:cs="Times New Roman"/>
      <w:sz w:val="24"/>
      <w:szCs w:val="24"/>
    </w:rPr>
  </w:style>
  <w:style w:type="paragraph" w:styleId="27">
    <w:name w:val="Body Text Indent 2"/>
    <w:basedOn w:val="1"/>
    <w:link w:val="299"/>
    <w:qFormat/>
    <w:uiPriority w:val="0"/>
    <w:pPr>
      <w:ind w:left="630" w:firstLine="645"/>
    </w:pPr>
    <w:rPr>
      <w:rFonts w:ascii="Arial" w:hAnsi="Arial" w:eastAsia="仿宋_GB2312" w:cs="Arial"/>
      <w:sz w:val="32"/>
      <w:szCs w:val="32"/>
    </w:rPr>
  </w:style>
  <w:style w:type="paragraph" w:styleId="28">
    <w:name w:val="endnote text"/>
    <w:basedOn w:val="1"/>
    <w:link w:val="242"/>
    <w:semiHidden/>
    <w:unhideWhenUsed/>
    <w:qFormat/>
    <w:uiPriority w:val="99"/>
    <w:rPr>
      <w:sz w:val="20"/>
    </w:rPr>
  </w:style>
  <w:style w:type="paragraph" w:styleId="29">
    <w:name w:val="Balloon Text"/>
    <w:basedOn w:val="1"/>
    <w:link w:val="300"/>
    <w:semiHidden/>
    <w:qFormat/>
    <w:uiPriority w:val="0"/>
    <w:rPr>
      <w:rFonts w:ascii="Times New Roman" w:hAnsi="Times New Roman" w:eastAsia="宋体" w:cs="Times New Roman"/>
      <w:sz w:val="18"/>
      <w:szCs w:val="18"/>
    </w:rPr>
  </w:style>
  <w:style w:type="paragraph" w:styleId="30">
    <w:name w:val="footer"/>
    <w:basedOn w:val="1"/>
    <w:link w:val="301"/>
    <w:qFormat/>
    <w:uiPriority w:val="0"/>
    <w:pPr>
      <w:tabs>
        <w:tab w:val="center" w:pos="4153"/>
        <w:tab w:val="right" w:pos="8306"/>
      </w:tabs>
      <w:jc w:val="left"/>
    </w:pPr>
    <w:rPr>
      <w:rFonts w:ascii="Times New Roman" w:hAnsi="Times New Roman" w:eastAsia="宋体" w:cs="Times New Roman"/>
      <w:sz w:val="18"/>
      <w:szCs w:val="18"/>
    </w:rPr>
  </w:style>
  <w:style w:type="paragraph" w:styleId="31">
    <w:name w:val="header"/>
    <w:basedOn w:val="1"/>
    <w:link w:val="302"/>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2">
    <w:name w:val="toc 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styleId="33">
    <w:name w:val="toc 4"/>
    <w:basedOn w:val="1"/>
    <w:next w:val="1"/>
    <w:semiHidden/>
    <w:qFormat/>
    <w:uiPriority w:val="0"/>
    <w:pPr>
      <w:ind w:left="630"/>
      <w:jc w:val="left"/>
    </w:pPr>
    <w:rPr>
      <w:rFonts w:ascii="Times New Roman" w:hAnsi="Times New Roman" w:eastAsia="宋体" w:cs="Times New Roman"/>
      <w:szCs w:val="21"/>
    </w:rPr>
  </w:style>
  <w:style w:type="paragraph" w:styleId="34">
    <w:name w:val="Subtitle"/>
    <w:basedOn w:val="1"/>
    <w:next w:val="1"/>
    <w:link w:val="127"/>
    <w:qFormat/>
    <w:uiPriority w:val="11"/>
    <w:pPr>
      <w:spacing w:before="200" w:after="200"/>
    </w:pPr>
    <w:rPr>
      <w:sz w:val="24"/>
      <w:szCs w:val="24"/>
    </w:rPr>
  </w:style>
  <w:style w:type="paragraph" w:styleId="35">
    <w:name w:val="List"/>
    <w:basedOn w:val="1"/>
    <w:qFormat/>
    <w:uiPriority w:val="0"/>
    <w:pPr>
      <w:ind w:left="200" w:hanging="200"/>
    </w:pPr>
    <w:rPr>
      <w:rFonts w:ascii="Times New Roman" w:hAnsi="Times New Roman" w:eastAsia="宋体" w:cs="Times New Roman"/>
      <w:szCs w:val="21"/>
    </w:rPr>
  </w:style>
  <w:style w:type="paragraph" w:styleId="36">
    <w:name w:val="footnote text"/>
    <w:basedOn w:val="1"/>
    <w:link w:val="241"/>
    <w:semiHidden/>
    <w:unhideWhenUsed/>
    <w:qFormat/>
    <w:uiPriority w:val="99"/>
    <w:pPr>
      <w:spacing w:after="40"/>
    </w:pPr>
    <w:rPr>
      <w:sz w:val="18"/>
    </w:rPr>
  </w:style>
  <w:style w:type="paragraph" w:styleId="37">
    <w:name w:val="toc 6"/>
    <w:basedOn w:val="1"/>
    <w:next w:val="1"/>
    <w:semiHidden/>
    <w:qFormat/>
    <w:uiPriority w:val="0"/>
    <w:pPr>
      <w:ind w:left="1050"/>
      <w:jc w:val="left"/>
    </w:pPr>
    <w:rPr>
      <w:rFonts w:ascii="Times New Roman" w:hAnsi="Times New Roman" w:eastAsia="宋体" w:cs="Times New Roman"/>
      <w:szCs w:val="21"/>
    </w:rPr>
  </w:style>
  <w:style w:type="paragraph" w:styleId="38">
    <w:name w:val="Body Text Indent 3"/>
    <w:basedOn w:val="1"/>
    <w:link w:val="303"/>
    <w:qFormat/>
    <w:uiPriority w:val="0"/>
    <w:pPr>
      <w:ind w:left="645" w:firstLine="645"/>
    </w:pPr>
    <w:rPr>
      <w:rFonts w:ascii="Arial" w:hAnsi="Arial" w:eastAsia="仿宋_GB2312" w:cs="Arial"/>
      <w:color w:val="FFFF00"/>
      <w:sz w:val="32"/>
      <w:szCs w:val="32"/>
    </w:rPr>
  </w:style>
  <w:style w:type="paragraph" w:styleId="39">
    <w:name w:val="table of figures"/>
    <w:basedOn w:val="1"/>
    <w:next w:val="1"/>
    <w:semiHidden/>
    <w:qFormat/>
    <w:uiPriority w:val="0"/>
    <w:pPr>
      <w:ind w:left="840" w:hanging="420"/>
    </w:pPr>
    <w:rPr>
      <w:rFonts w:ascii="Times New Roman" w:hAnsi="Times New Roman" w:eastAsia="宋体" w:cs="Times New Roman"/>
      <w:szCs w:val="21"/>
    </w:rPr>
  </w:style>
  <w:style w:type="paragraph" w:styleId="40">
    <w:name w:val="toc 2"/>
    <w:basedOn w:val="1"/>
    <w:next w:val="1"/>
    <w:semiHidden/>
    <w:qFormat/>
    <w:uiPriority w:val="0"/>
    <w:pPr>
      <w:ind w:left="210"/>
      <w:jc w:val="left"/>
    </w:pPr>
    <w:rPr>
      <w:rFonts w:ascii="Times New Roman" w:hAnsi="Times New Roman" w:eastAsia="宋体" w:cs="Times New Roman"/>
      <w:smallCaps/>
      <w:szCs w:val="24"/>
    </w:rPr>
  </w:style>
  <w:style w:type="paragraph" w:styleId="41">
    <w:name w:val="toc 9"/>
    <w:basedOn w:val="1"/>
    <w:next w:val="1"/>
    <w:semiHidden/>
    <w:qFormat/>
    <w:uiPriority w:val="0"/>
    <w:pPr>
      <w:ind w:left="1680"/>
      <w:jc w:val="left"/>
    </w:pPr>
    <w:rPr>
      <w:rFonts w:ascii="Times New Roman" w:hAnsi="Times New Roman" w:eastAsia="宋体" w:cs="Times New Roman"/>
      <w:szCs w:val="21"/>
    </w:rPr>
  </w:style>
  <w:style w:type="paragraph" w:styleId="42">
    <w:name w:val="Body Text 2"/>
    <w:basedOn w:val="1"/>
    <w:link w:val="304"/>
    <w:qFormat/>
    <w:uiPriority w:val="0"/>
    <w:pPr>
      <w:widowControl/>
      <w:jc w:val="center"/>
    </w:pPr>
    <w:rPr>
      <w:rFonts w:ascii="楷体_GB2312" w:hAnsi="Times New Roman" w:eastAsia="楷体_GB2312" w:cs="Times New Roman"/>
      <w:sz w:val="28"/>
      <w:szCs w:val="28"/>
    </w:rPr>
  </w:style>
  <w:style w:type="paragraph" w:styleId="43">
    <w:name w:val="List Continue 2"/>
    <w:basedOn w:val="1"/>
    <w:next w:val="1"/>
    <w:semiHidden/>
    <w:unhideWhenUsed/>
    <w:qFormat/>
    <w:uiPriority w:val="99"/>
    <w:pPr>
      <w:spacing w:after="120"/>
      <w:ind w:left="840"/>
      <w:contextualSpacing/>
    </w:pPr>
  </w:style>
  <w:style w:type="paragraph" w:styleId="44">
    <w:name w:val="Normal (Web)"/>
    <w:basedOn w:val="1"/>
    <w:qFormat/>
    <w:uiPriority w:val="99"/>
    <w:pPr>
      <w:widowControl/>
      <w:spacing w:before="100" w:beforeAutospacing="1" w:after="100" w:afterAutospacing="1"/>
      <w:jc w:val="left"/>
    </w:pPr>
    <w:rPr>
      <w:rFonts w:ascii="宋体" w:hAnsi="宋体" w:eastAsia="宋体" w:cs="宋体"/>
      <w:sz w:val="24"/>
      <w:szCs w:val="24"/>
    </w:rPr>
  </w:style>
  <w:style w:type="paragraph" w:styleId="45">
    <w:name w:val="index 1"/>
    <w:basedOn w:val="1"/>
    <w:next w:val="1"/>
    <w:semiHidden/>
    <w:qFormat/>
    <w:uiPriority w:val="0"/>
    <w:pPr>
      <w:spacing w:line="240" w:lineRule="atLeast"/>
    </w:pPr>
    <w:rPr>
      <w:rFonts w:ascii="Times New Roman" w:hAnsi="Times New Roman" w:eastAsia="宋体" w:cs="Times New Roman"/>
      <w:b/>
      <w:bCs/>
      <w:szCs w:val="21"/>
    </w:rPr>
  </w:style>
  <w:style w:type="paragraph" w:styleId="46">
    <w:name w:val="Title"/>
    <w:basedOn w:val="1"/>
    <w:next w:val="1"/>
    <w:link w:val="126"/>
    <w:qFormat/>
    <w:uiPriority w:val="10"/>
    <w:pPr>
      <w:spacing w:before="300" w:after="200"/>
      <w:contextualSpacing/>
    </w:pPr>
    <w:rPr>
      <w:sz w:val="48"/>
      <w:szCs w:val="48"/>
    </w:rPr>
  </w:style>
  <w:style w:type="paragraph" w:styleId="47">
    <w:name w:val="annotation subject"/>
    <w:basedOn w:val="16"/>
    <w:next w:val="16"/>
    <w:link w:val="305"/>
    <w:semiHidden/>
    <w:qFormat/>
    <w:uiPriority w:val="0"/>
    <w:rPr>
      <w:rFonts w:ascii="Times New Roman" w:hAnsi="Times New Roman" w:eastAsia="宋体" w:cs="Times New Roman"/>
      <w:b/>
      <w:bCs/>
      <w:szCs w:val="21"/>
    </w:rPr>
  </w:style>
  <w:style w:type="paragraph" w:styleId="48">
    <w:name w:val="Body Text First Indent 2"/>
    <w:basedOn w:val="20"/>
    <w:link w:val="307"/>
    <w:qFormat/>
    <w:uiPriority w:val="0"/>
    <w:pPr>
      <w:spacing w:after="0" w:line="360" w:lineRule="auto"/>
      <w:ind w:left="0" w:firstLine="420"/>
    </w:pPr>
    <w:rPr>
      <w:rFonts w:ascii="宋体" w:hAnsi="宋体" w:eastAsia="宋体" w:cs="Times New Roman"/>
      <w:szCs w:val="20"/>
    </w:rPr>
  </w:style>
  <w:style w:type="table" w:styleId="50">
    <w:name w:val="Table Grid"/>
    <w:basedOn w:val="4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qFormat/>
    <w:uiPriority w:val="22"/>
    <w:rPr>
      <w:b/>
      <w:bCs/>
    </w:rPr>
  </w:style>
  <w:style w:type="character" w:styleId="53">
    <w:name w:val="endnote reference"/>
    <w:basedOn w:val="51"/>
    <w:semiHidden/>
    <w:unhideWhenUsed/>
    <w:qFormat/>
    <w:uiPriority w:val="99"/>
    <w:rPr>
      <w:vertAlign w:val="superscript"/>
    </w:rPr>
  </w:style>
  <w:style w:type="character" w:styleId="54">
    <w:name w:val="page number"/>
    <w:qFormat/>
    <w:uiPriority w:val="0"/>
  </w:style>
  <w:style w:type="character" w:styleId="55">
    <w:name w:val="FollowedHyperlink"/>
    <w:qFormat/>
    <w:uiPriority w:val="0"/>
    <w:rPr>
      <w:color w:val="800080"/>
      <w:u w:val="single"/>
    </w:rPr>
  </w:style>
  <w:style w:type="character" w:styleId="56">
    <w:name w:val="Hyperlink"/>
    <w:qFormat/>
    <w:uiPriority w:val="0"/>
    <w:rPr>
      <w:color w:val="0000FF"/>
      <w:u w:val="single"/>
    </w:rPr>
  </w:style>
  <w:style w:type="character" w:styleId="57">
    <w:name w:val="annotation reference"/>
    <w:semiHidden/>
    <w:qFormat/>
    <w:uiPriority w:val="0"/>
    <w:rPr>
      <w:sz w:val="21"/>
      <w:szCs w:val="21"/>
    </w:rPr>
  </w:style>
  <w:style w:type="character" w:styleId="58">
    <w:name w:val="footnote reference"/>
    <w:basedOn w:val="51"/>
    <w:unhideWhenUsed/>
    <w:qFormat/>
    <w:uiPriority w:val="99"/>
    <w:rPr>
      <w:vertAlign w:val="superscript"/>
    </w:rPr>
  </w:style>
  <w:style w:type="table" w:customStyle="1" w:styleId="59">
    <w:name w:val="Plain Table 1"/>
    <w:basedOn w:val="4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4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4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4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4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4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4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4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4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4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4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4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4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4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4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4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8">
    <w:name w:val="TOC Heading"/>
    <w:unhideWhenUsed/>
    <w:qFormat/>
    <w:uiPriority w:val="39"/>
    <w:rPr>
      <w:rFonts w:hint="default" w:ascii="Times New Roman" w:hAnsi="Times New Roman" w:eastAsia="宋体" w:cs="Times New Roman"/>
    </w:rPr>
  </w:style>
  <w:style w:type="paragraph" w:customStyle="1" w:styleId="79">
    <w:name w:val="正文文本缩进1"/>
    <w:basedOn w:val="1"/>
    <w:next w:val="80"/>
    <w:unhideWhenUsed/>
    <w:qFormat/>
    <w:uiPriority w:val="0"/>
    <w:pPr>
      <w:spacing w:after="120"/>
      <w:ind w:left="420"/>
    </w:pPr>
  </w:style>
  <w:style w:type="paragraph" w:customStyle="1" w:styleId="80">
    <w:name w:val="寄信人地址1"/>
    <w:qFormat/>
    <w:uiPriority w:val="99"/>
    <w:pPr>
      <w:jc w:val="both"/>
    </w:pPr>
    <w:rPr>
      <w:rFonts w:hint="default" w:ascii="Arial" w:hAnsi="Arial" w:eastAsia="宋体" w:cs="Arial"/>
      <w:sz w:val="21"/>
      <w:szCs w:val="22"/>
      <w:lang w:val="en-US" w:eastAsia="zh-CN" w:bidi="ar-SA"/>
    </w:rPr>
  </w:style>
  <w:style w:type="paragraph" w:customStyle="1" w:styleId="81">
    <w:name w:val="Normal1"/>
    <w:next w:val="8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2">
    <w:name w:val="标题 311"/>
    <w:basedOn w:val="81"/>
    <w:next w:val="83"/>
    <w:qFormat/>
    <w:uiPriority w:val="9"/>
    <w:pPr>
      <w:keepNext/>
      <w:keepLines/>
      <w:spacing w:before="320" w:after="200"/>
      <w:outlineLvl w:val="2"/>
    </w:pPr>
    <w:rPr>
      <w:rFonts w:ascii="Arial" w:hAnsi="Arial" w:eastAsia="Arial" w:cs="Arial"/>
      <w:sz w:val="30"/>
      <w:szCs w:val="30"/>
    </w:rPr>
  </w:style>
  <w:style w:type="paragraph" w:customStyle="1" w:styleId="83">
    <w:name w:val="Normal_19"/>
    <w:basedOn w:val="84"/>
    <w:next w:val="86"/>
    <w:qFormat/>
    <w:uiPriority w:val="0"/>
    <w:rPr>
      <w:rFonts w:hint="default" w:ascii="黑体" w:hAnsi="黑体" w:eastAsia="黑体" w:cs="黑体"/>
      <w:b/>
      <w:sz w:val="32"/>
      <w:szCs w:val="24"/>
      <w:lang w:val="en-US" w:eastAsia="zh-CN" w:bidi="ar-SA"/>
    </w:rPr>
  </w:style>
  <w:style w:type="paragraph" w:customStyle="1" w:styleId="84">
    <w:name w:val="Normal"/>
    <w:next w:val="85"/>
    <w:qFormat/>
    <w:uiPriority w:val="0"/>
    <w:rPr>
      <w:rFonts w:hint="default" w:ascii="Times New Roman" w:hAnsi="Times New Roman" w:eastAsia="Times New Roman" w:cs="Times New Roman"/>
      <w:sz w:val="24"/>
      <w:szCs w:val="24"/>
      <w:lang w:bidi="ar-SA"/>
    </w:rPr>
  </w:style>
  <w:style w:type="paragraph" w:customStyle="1" w:styleId="85">
    <w:name w:val="Default_0"/>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86">
    <w:name w:val="Normal11"/>
    <w:next w:val="87"/>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87">
    <w:name w:val="Body Text First Indent1"/>
    <w:basedOn w:val="88"/>
    <w:unhideWhenUsed/>
    <w:qFormat/>
    <w:uiPriority w:val="99"/>
    <w:pPr>
      <w:ind w:firstLine="420"/>
    </w:pPr>
  </w:style>
  <w:style w:type="paragraph" w:customStyle="1" w:styleId="88">
    <w:name w:val="Body Text1"/>
    <w:basedOn w:val="89"/>
    <w:unhideWhenUsed/>
    <w:qFormat/>
    <w:uiPriority w:val="99"/>
    <w:pPr>
      <w:spacing w:after="120"/>
    </w:pPr>
  </w:style>
  <w:style w:type="paragraph" w:customStyle="1" w:styleId="89">
    <w:name w:val="Normal12"/>
    <w:next w:val="87"/>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90">
    <w:name w:val="脚注文本1"/>
    <w:basedOn w:val="83"/>
    <w:qFormat/>
    <w:uiPriority w:val="0"/>
    <w:rPr>
      <w:rFonts w:ascii="Times New Roman" w:hAnsi="Times New Roman" w:eastAsia="Times New Roman" w:cs="Times New Roman"/>
      <w:sz w:val="18"/>
    </w:rPr>
  </w:style>
  <w:style w:type="character" w:customStyle="1" w:styleId="91">
    <w:name w:val="Title Char"/>
    <w:basedOn w:val="51"/>
    <w:qFormat/>
    <w:uiPriority w:val="10"/>
    <w:rPr>
      <w:sz w:val="48"/>
      <w:szCs w:val="48"/>
    </w:rPr>
  </w:style>
  <w:style w:type="character" w:customStyle="1" w:styleId="92">
    <w:name w:val="Subtitle Char"/>
    <w:basedOn w:val="51"/>
    <w:qFormat/>
    <w:uiPriority w:val="11"/>
    <w:rPr>
      <w:sz w:val="24"/>
      <w:szCs w:val="24"/>
    </w:rPr>
  </w:style>
  <w:style w:type="character" w:customStyle="1" w:styleId="93">
    <w:name w:val="Quote Char"/>
    <w:qFormat/>
    <w:uiPriority w:val="29"/>
    <w:rPr>
      <w:i/>
    </w:rPr>
  </w:style>
  <w:style w:type="character" w:customStyle="1" w:styleId="94">
    <w:name w:val="Intense Quote Char"/>
    <w:qFormat/>
    <w:uiPriority w:val="30"/>
    <w:rPr>
      <w:i/>
    </w:rPr>
  </w:style>
  <w:style w:type="table" w:customStyle="1" w:styleId="95">
    <w:name w:val="无格式表格 11"/>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6">
    <w:name w:val="无格式表格 21"/>
    <w:basedOn w:val="4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7">
    <w:name w:val="无格式表格 31"/>
    <w:basedOn w:val="4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41"/>
    <w:basedOn w:val="4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无格式表格 51"/>
    <w:basedOn w:val="4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网格表 1 浅色1"/>
    <w:basedOn w:val="4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1">
    <w:name w:val="网格表 2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网格表 3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网格表 41"/>
    <w:basedOn w:val="4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网格表 5 深色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网格表 6 彩色1"/>
    <w:basedOn w:val="4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网格表 7 彩色1"/>
    <w:basedOn w:val="4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清单表 1 浅色1"/>
    <w:basedOn w:val="4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8">
    <w:name w:val="清单表 21"/>
    <w:basedOn w:val="4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9">
    <w:name w:val="清单表 3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0">
    <w:name w:val="清单表 4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1">
    <w:name w:val="清单表 5 深色1"/>
    <w:basedOn w:val="4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2">
    <w:name w:val="清单表 6 彩色1"/>
    <w:basedOn w:val="4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13">
    <w:name w:val="清单表 7 彩色1"/>
    <w:basedOn w:val="4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14">
    <w:name w:val="Footnote Text Char"/>
    <w:qFormat/>
    <w:uiPriority w:val="99"/>
    <w:rPr>
      <w:sz w:val="18"/>
    </w:rPr>
  </w:style>
  <w:style w:type="character" w:customStyle="1" w:styleId="115">
    <w:name w:val="Endnote Text Char"/>
    <w:qFormat/>
    <w:uiPriority w:val="99"/>
    <w:rPr>
      <w:sz w:val="20"/>
    </w:rPr>
  </w:style>
  <w:style w:type="paragraph" w:customStyle="1" w:styleId="116">
    <w:name w:val="TOC 标题1"/>
    <w:unhideWhenUsed/>
    <w:qFormat/>
    <w:uiPriority w:val="39"/>
    <w:rPr>
      <w:rFonts w:hint="default" w:ascii="Times New Roman" w:hAnsi="Times New Roman" w:eastAsia="宋体" w:cs="Times New Roman"/>
      <w:lang w:val="en-US" w:eastAsia="zh-CN" w:bidi="ar-SA"/>
    </w:rPr>
  </w:style>
  <w:style w:type="character" w:customStyle="1" w:styleId="117">
    <w:name w:val="Heading 1 Char"/>
    <w:basedOn w:val="51"/>
    <w:qFormat/>
    <w:uiPriority w:val="9"/>
    <w:rPr>
      <w:rFonts w:ascii="Arial" w:hAnsi="Arial" w:eastAsia="Arial" w:cs="Arial"/>
      <w:sz w:val="40"/>
      <w:szCs w:val="40"/>
    </w:rPr>
  </w:style>
  <w:style w:type="character" w:customStyle="1" w:styleId="118">
    <w:name w:val="Heading 2 Char"/>
    <w:basedOn w:val="51"/>
    <w:qFormat/>
    <w:uiPriority w:val="9"/>
    <w:rPr>
      <w:rFonts w:ascii="Arial" w:hAnsi="Arial" w:eastAsia="Arial" w:cs="Arial"/>
      <w:sz w:val="34"/>
    </w:rPr>
  </w:style>
  <w:style w:type="character" w:customStyle="1" w:styleId="119">
    <w:name w:val="Heading 3 Char"/>
    <w:basedOn w:val="51"/>
    <w:qFormat/>
    <w:uiPriority w:val="9"/>
    <w:rPr>
      <w:rFonts w:ascii="Arial" w:hAnsi="Arial" w:eastAsia="Arial" w:cs="Arial"/>
      <w:sz w:val="30"/>
      <w:szCs w:val="30"/>
    </w:rPr>
  </w:style>
  <w:style w:type="character" w:customStyle="1" w:styleId="120">
    <w:name w:val="Heading 4 Char"/>
    <w:basedOn w:val="51"/>
    <w:qFormat/>
    <w:uiPriority w:val="9"/>
    <w:rPr>
      <w:rFonts w:ascii="Arial" w:hAnsi="Arial" w:eastAsia="Arial" w:cs="Arial"/>
      <w:b/>
      <w:bCs/>
      <w:sz w:val="26"/>
      <w:szCs w:val="26"/>
    </w:rPr>
  </w:style>
  <w:style w:type="character" w:customStyle="1" w:styleId="121">
    <w:name w:val="Heading 5 Char"/>
    <w:basedOn w:val="51"/>
    <w:qFormat/>
    <w:uiPriority w:val="9"/>
    <w:rPr>
      <w:rFonts w:ascii="Arial" w:hAnsi="Arial" w:eastAsia="Arial" w:cs="Arial"/>
      <w:b/>
      <w:bCs/>
      <w:sz w:val="24"/>
      <w:szCs w:val="24"/>
    </w:rPr>
  </w:style>
  <w:style w:type="character" w:customStyle="1" w:styleId="122">
    <w:name w:val="Heading 6 Char"/>
    <w:basedOn w:val="51"/>
    <w:qFormat/>
    <w:uiPriority w:val="9"/>
    <w:rPr>
      <w:rFonts w:ascii="Arial" w:hAnsi="Arial" w:eastAsia="Arial" w:cs="Arial"/>
      <w:b/>
      <w:bCs/>
      <w:sz w:val="22"/>
      <w:szCs w:val="22"/>
    </w:rPr>
  </w:style>
  <w:style w:type="character" w:customStyle="1" w:styleId="123">
    <w:name w:val="Heading 7 Char"/>
    <w:basedOn w:val="51"/>
    <w:qFormat/>
    <w:uiPriority w:val="9"/>
    <w:rPr>
      <w:rFonts w:ascii="Arial" w:hAnsi="Arial" w:eastAsia="Arial" w:cs="Arial"/>
      <w:b/>
      <w:bCs/>
      <w:i/>
      <w:iCs/>
      <w:sz w:val="22"/>
      <w:szCs w:val="22"/>
    </w:rPr>
  </w:style>
  <w:style w:type="character" w:customStyle="1" w:styleId="124">
    <w:name w:val="Heading 8 Char"/>
    <w:basedOn w:val="51"/>
    <w:qFormat/>
    <w:uiPriority w:val="9"/>
    <w:rPr>
      <w:rFonts w:ascii="Arial" w:hAnsi="Arial" w:eastAsia="Arial" w:cs="Arial"/>
      <w:i/>
      <w:iCs/>
      <w:sz w:val="22"/>
      <w:szCs w:val="22"/>
    </w:rPr>
  </w:style>
  <w:style w:type="character" w:customStyle="1" w:styleId="125">
    <w:name w:val="Heading 9 Char"/>
    <w:basedOn w:val="51"/>
    <w:qFormat/>
    <w:uiPriority w:val="9"/>
    <w:rPr>
      <w:rFonts w:ascii="Arial" w:hAnsi="Arial" w:eastAsia="Arial" w:cs="Arial"/>
      <w:i/>
      <w:iCs/>
      <w:sz w:val="21"/>
      <w:szCs w:val="21"/>
    </w:rPr>
  </w:style>
  <w:style w:type="character" w:customStyle="1" w:styleId="126">
    <w:name w:val="标题 字符"/>
    <w:basedOn w:val="51"/>
    <w:link w:val="46"/>
    <w:qFormat/>
    <w:uiPriority w:val="10"/>
    <w:rPr>
      <w:sz w:val="48"/>
      <w:szCs w:val="48"/>
    </w:rPr>
  </w:style>
  <w:style w:type="character" w:customStyle="1" w:styleId="127">
    <w:name w:val="副标题 字符"/>
    <w:basedOn w:val="51"/>
    <w:link w:val="34"/>
    <w:qFormat/>
    <w:uiPriority w:val="11"/>
    <w:rPr>
      <w:sz w:val="24"/>
      <w:szCs w:val="24"/>
    </w:rPr>
  </w:style>
  <w:style w:type="paragraph" w:styleId="128">
    <w:name w:val="Quote"/>
    <w:basedOn w:val="1"/>
    <w:next w:val="1"/>
    <w:link w:val="129"/>
    <w:qFormat/>
    <w:uiPriority w:val="29"/>
    <w:pPr>
      <w:ind w:left="720" w:right="720"/>
    </w:pPr>
    <w:rPr>
      <w:i/>
    </w:rPr>
  </w:style>
  <w:style w:type="character" w:customStyle="1" w:styleId="129">
    <w:name w:val="引用 字符"/>
    <w:link w:val="128"/>
    <w:qFormat/>
    <w:uiPriority w:val="29"/>
    <w:rPr>
      <w:i/>
    </w:rPr>
  </w:style>
  <w:style w:type="paragraph" w:styleId="130">
    <w:name w:val="Intense Quote"/>
    <w:basedOn w:val="1"/>
    <w:next w:val="1"/>
    <w:link w:val="13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31">
    <w:name w:val="明显引用 字符"/>
    <w:link w:val="130"/>
    <w:qFormat/>
    <w:uiPriority w:val="30"/>
    <w:rPr>
      <w:i/>
    </w:rPr>
  </w:style>
  <w:style w:type="character" w:customStyle="1" w:styleId="132">
    <w:name w:val="Header Char"/>
    <w:basedOn w:val="51"/>
    <w:qFormat/>
    <w:uiPriority w:val="99"/>
  </w:style>
  <w:style w:type="character" w:customStyle="1" w:styleId="133">
    <w:name w:val="Footer Char"/>
    <w:basedOn w:val="51"/>
    <w:qFormat/>
    <w:uiPriority w:val="99"/>
  </w:style>
  <w:style w:type="character" w:customStyle="1" w:styleId="134">
    <w:name w:val="Caption Char"/>
    <w:qFormat/>
    <w:uiPriority w:val="99"/>
  </w:style>
  <w:style w:type="table" w:customStyle="1" w:styleId="135">
    <w:name w:val="Table Grid Light"/>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36">
    <w:name w:val="Grid Table 1 Light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37">
    <w:name w:val="Grid Table 1 Light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38">
    <w:name w:val="Grid Table 1 Light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9">
    <w:name w:val="Grid Table 1 Light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0">
    <w:name w:val="Grid Table 1 Light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1">
    <w:name w:val="Grid Table 1 Light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2">
    <w:name w:val="Grid Table 2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3">
    <w:name w:val="Grid Table 2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4">
    <w:name w:val="Grid Table 2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5">
    <w:name w:val="Grid Table 2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6">
    <w:name w:val="Grid Table 2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7">
    <w:name w:val="Grid Table 2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8">
    <w:name w:val="Grid Table 3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9">
    <w:name w:val="Grid Table 3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0">
    <w:name w:val="Grid Table 3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1">
    <w:name w:val="Grid Table 3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2">
    <w:name w:val="Grid Table 3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3">
    <w:name w:val="Grid Table 3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4">
    <w:name w:val="Grid Table 4 - Accent 1"/>
    <w:basedOn w:val="4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55">
    <w:name w:val="Grid Table 4 - Accent 2"/>
    <w:basedOn w:val="4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6">
    <w:name w:val="Grid Table 4 - Accent 3"/>
    <w:basedOn w:val="4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7">
    <w:name w:val="Grid Table 4 - Accent 4"/>
    <w:basedOn w:val="4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8">
    <w:name w:val="Grid Table 4 - Accent 5"/>
    <w:basedOn w:val="4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9">
    <w:name w:val="Grid Table 4 - Accent 6"/>
    <w:basedOn w:val="4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0">
    <w:name w:val="Grid Table 5 Dark- Accent 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61">
    <w:name w:val="Grid Table 5 Dark - Accent 2"/>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62">
    <w:name w:val="Grid Table 5 Dark - Accent 3"/>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63">
    <w:name w:val="Grid Table 5 Dark- Accent 4"/>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4">
    <w:name w:val="Grid Table 5 Dark - Accent 5"/>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5">
    <w:name w:val="Grid Table 5 Dark - Accent 6"/>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6">
    <w:name w:val="Grid Table 6 Colorful - Accent 1"/>
    <w:basedOn w:val="4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7">
    <w:name w:val="Grid Table 6 Colorful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Grid Table 6 Colorful - Accent 3"/>
    <w:basedOn w:val="4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9">
    <w:name w:val="Grid Table 6 Colorful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Grid Table 6 Colorful - Accent 5"/>
    <w:basedOn w:val="4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1">
    <w:name w:val="Grid Table 6 Colorful - Accent 6"/>
    <w:basedOn w:val="4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72">
    <w:name w:val="Grid Table 7 Colorful - Accent 1"/>
    <w:basedOn w:val="4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3">
    <w:name w:val="Grid Table 7 Colorful - Accent 2"/>
    <w:basedOn w:val="4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Grid Table 7 Colorful - Accent 3"/>
    <w:basedOn w:val="4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5">
    <w:name w:val="Grid Table 7 Colorful - Accent 4"/>
    <w:basedOn w:val="4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Grid Table 7 Colorful - Accent 5"/>
    <w:basedOn w:val="4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7">
    <w:name w:val="Grid Table 7 Colorful - Accent 6"/>
    <w:basedOn w:val="4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8">
    <w:name w:val="List Table 1 Light - Accent 1"/>
    <w:basedOn w:val="49"/>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9">
    <w:name w:val="List Table 1 Light - Accent 2"/>
    <w:basedOn w:val="49"/>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0">
    <w:name w:val="List Table 1 Light - Accent 3"/>
    <w:basedOn w:val="49"/>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1">
    <w:name w:val="List Table 1 Light - Accent 4"/>
    <w:basedOn w:val="49"/>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2">
    <w:name w:val="List Table 1 Light - Accent 5"/>
    <w:basedOn w:val="49"/>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3">
    <w:name w:val="List Table 1 Light - Accent 6"/>
    <w:basedOn w:val="49"/>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4">
    <w:name w:val="List Table 2 - Accent 1"/>
    <w:basedOn w:val="4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5">
    <w:name w:val="List Table 2 - Accent 2"/>
    <w:basedOn w:val="4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6">
    <w:name w:val="List Table 2 - Accent 3"/>
    <w:basedOn w:val="4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7">
    <w:name w:val="List Table 2 - Accent 4"/>
    <w:basedOn w:val="4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8">
    <w:name w:val="List Table 2 - Accent 5"/>
    <w:basedOn w:val="4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9">
    <w:name w:val="List Table 2 - Accent 6"/>
    <w:basedOn w:val="4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0">
    <w:name w:val="List Table 3 - Accent 1"/>
    <w:basedOn w:val="4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1">
    <w:name w:val="List Table 3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2">
    <w:name w:val="List Table 3 - Accent 3"/>
    <w:basedOn w:val="4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3">
    <w:name w:val="List Table 3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4">
    <w:name w:val="List Table 3 - Accent 5"/>
    <w:basedOn w:val="4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5">
    <w:name w:val="List Table 3 - Accent 6"/>
    <w:basedOn w:val="4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6">
    <w:name w:val="List Table 4 - Accent 1"/>
    <w:basedOn w:val="4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7">
    <w:name w:val="List Table 4 - Accent 2"/>
    <w:basedOn w:val="4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8">
    <w:name w:val="List Table 4 - Accent 3"/>
    <w:basedOn w:val="4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9">
    <w:name w:val="List Table 4 - Accent 4"/>
    <w:basedOn w:val="4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0">
    <w:name w:val="List Table 4 - Accent 5"/>
    <w:basedOn w:val="4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1">
    <w:name w:val="List Table 4 - Accent 6"/>
    <w:basedOn w:val="4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2">
    <w:name w:val="List Table 5 Dark - Accent 1"/>
    <w:basedOn w:val="4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3">
    <w:name w:val="List Table 5 Dark - Accent 2"/>
    <w:basedOn w:val="4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4">
    <w:name w:val="List Table 5 Dark - Accent 3"/>
    <w:basedOn w:val="4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5">
    <w:name w:val="List Table 5 Dark - Accent 4"/>
    <w:basedOn w:val="4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6">
    <w:name w:val="List Table 5 Dark - Accent 5"/>
    <w:basedOn w:val="4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7">
    <w:name w:val="List Table 5 Dark - Accent 6"/>
    <w:basedOn w:val="4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8">
    <w:name w:val="List Table 6 Colorful - Accent 1"/>
    <w:basedOn w:val="49"/>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9">
    <w:name w:val="List Table 6 Colorful - Accent 2"/>
    <w:basedOn w:val="49"/>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0">
    <w:name w:val="List Table 6 Colorful - Accent 3"/>
    <w:basedOn w:val="49"/>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1">
    <w:name w:val="List Table 6 Colorful - Accent 4"/>
    <w:basedOn w:val="49"/>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2">
    <w:name w:val="List Table 6 Colorful - Accent 5"/>
    <w:basedOn w:val="49"/>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3">
    <w:name w:val="List Table 6 Colorful - Accent 6"/>
    <w:basedOn w:val="49"/>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4">
    <w:name w:val="List Table 7 Colorful - Accent 1"/>
    <w:basedOn w:val="49"/>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5">
    <w:name w:val="List Table 7 Colorful - Accent 2"/>
    <w:basedOn w:val="49"/>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6">
    <w:name w:val="List Table 7 Colorful - Accent 3"/>
    <w:basedOn w:val="49"/>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7">
    <w:name w:val="List Table 7 Colorful - Accent 4"/>
    <w:basedOn w:val="49"/>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8">
    <w:name w:val="List Table 7 Colorful - Accent 5"/>
    <w:basedOn w:val="49"/>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9">
    <w:name w:val="List Table 7 Colorful - Accent 6"/>
    <w:basedOn w:val="49"/>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0">
    <w:name w:val="Lined - Accent"/>
    <w:basedOn w:val="4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1">
    <w:name w:val="Lined - Accent 1"/>
    <w:basedOn w:val="49"/>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2">
    <w:name w:val="Lined - Accent 2"/>
    <w:basedOn w:val="49"/>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3">
    <w:name w:val="Lined - Accent 3"/>
    <w:basedOn w:val="49"/>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4">
    <w:name w:val="Lined - Accent 4"/>
    <w:basedOn w:val="49"/>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5">
    <w:name w:val="Lined - Accent 5"/>
    <w:basedOn w:val="49"/>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6">
    <w:name w:val="Lined - Accent 6"/>
    <w:basedOn w:val="49"/>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7">
    <w:name w:val="Bordered &amp; Lined - Accent"/>
    <w:basedOn w:val="4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8">
    <w:name w:val="Bordered &amp; Lined - Accent 1"/>
    <w:basedOn w:val="4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9">
    <w:name w:val="Bordered &amp; Lined - Accent 2"/>
    <w:basedOn w:val="4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0">
    <w:name w:val="Bordered &amp; Lined - Accent 3"/>
    <w:basedOn w:val="4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1">
    <w:name w:val="Bordered &amp; Lined - Accent 4"/>
    <w:basedOn w:val="4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2">
    <w:name w:val="Bordered &amp; Lined - Accent 5"/>
    <w:basedOn w:val="4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3">
    <w:name w:val="Bordered &amp; Lined - Accent 6"/>
    <w:basedOn w:val="4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4">
    <w:name w:val="Bordered"/>
    <w:basedOn w:val="4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5">
    <w:name w:val="Bordered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6">
    <w:name w:val="Bordered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7">
    <w:name w:val="Bordered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8">
    <w:name w:val="Bordered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9">
    <w:name w:val="Bordered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0">
    <w:name w:val="Bordered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1">
    <w:name w:val="脚注文本 字符"/>
    <w:link w:val="36"/>
    <w:qFormat/>
    <w:uiPriority w:val="99"/>
    <w:rPr>
      <w:sz w:val="18"/>
    </w:rPr>
  </w:style>
  <w:style w:type="character" w:customStyle="1" w:styleId="242">
    <w:name w:val="尾注文本 字符"/>
    <w:link w:val="28"/>
    <w:qFormat/>
    <w:uiPriority w:val="99"/>
    <w:rPr>
      <w:sz w:val="20"/>
    </w:rPr>
  </w:style>
  <w:style w:type="paragraph" w:customStyle="1" w:styleId="243">
    <w:name w:val="TOC 标题11"/>
    <w:unhideWhenUsed/>
    <w:qFormat/>
    <w:uiPriority w:val="39"/>
    <w:rPr>
      <w:rFonts w:hint="default" w:ascii="Times New Roman" w:hAnsi="Times New Roman" w:eastAsia="宋体" w:cs="Times New Roman"/>
      <w:lang w:val="en-US" w:eastAsia="zh-CN" w:bidi="ar-SA"/>
    </w:rPr>
  </w:style>
  <w:style w:type="paragraph" w:customStyle="1" w:styleId="244">
    <w:name w:val="二级目录"/>
    <w:next w:val="1"/>
    <w:link w:val="309"/>
    <w:qFormat/>
    <w:uiPriority w:val="0"/>
    <w:pPr>
      <w:numPr>
        <w:ilvl w:val="0"/>
        <w:numId w:val="2"/>
      </w:numPr>
      <w:tabs>
        <w:tab w:val="left" w:pos="1145"/>
      </w:tabs>
      <w:outlineLvl w:val="1"/>
    </w:pPr>
    <w:rPr>
      <w:rFonts w:hint="default" w:asciiTheme="minorHAnsi" w:hAnsiTheme="minorHAnsi" w:eastAsiaTheme="minorEastAsia" w:cstheme="minorBidi"/>
      <w:b/>
      <w:sz w:val="30"/>
      <w:szCs w:val="28"/>
      <w:lang w:val="en-US" w:eastAsia="zh-CN" w:bidi="ar-SA"/>
    </w:rPr>
  </w:style>
  <w:style w:type="paragraph" w:customStyle="1" w:styleId="245">
    <w:name w:val="列出段落1"/>
    <w:basedOn w:val="1"/>
    <w:link w:val="310"/>
    <w:qFormat/>
    <w:uiPriority w:val="0"/>
    <w:pPr>
      <w:widowControl/>
      <w:ind w:left="720"/>
      <w:contextualSpacing/>
      <w:jc w:val="left"/>
    </w:pPr>
    <w:rPr>
      <w:rFonts w:ascii="Calibri" w:hAnsi="Calibri"/>
      <w:sz w:val="24"/>
      <w:szCs w:val="24"/>
      <w:lang w:eastAsia="en-US" w:bidi="en-US"/>
    </w:rPr>
  </w:style>
  <w:style w:type="paragraph" w:customStyle="1" w:styleId="246">
    <w:name w:val="Body Text(ch)"/>
    <w:basedOn w:val="1"/>
    <w:next w:val="18"/>
    <w:qFormat/>
    <w:uiPriority w:val="0"/>
    <w:pPr>
      <w:spacing w:after="120"/>
    </w:pPr>
    <w:rPr>
      <w:rFonts w:ascii="宋体" w:hAnsi="Arial" w:eastAsia="宋体" w:cs="Times New Roman"/>
      <w:bCs/>
      <w:iCs/>
      <w:szCs w:val="24"/>
    </w:rPr>
  </w:style>
  <w:style w:type="paragraph" w:customStyle="1" w:styleId="247">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24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49">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50">
    <w:name w:val="Char1"/>
    <w:basedOn w:val="15"/>
    <w:qFormat/>
    <w:uiPriority w:val="0"/>
    <w:rPr>
      <w:rFonts w:ascii="Tahoma" w:hAnsi="Tahoma"/>
      <w:sz w:val="24"/>
      <w:szCs w:val="24"/>
    </w:rPr>
  </w:style>
  <w:style w:type="paragraph" w:customStyle="1" w:styleId="251">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52">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53">
    <w:name w:val="附录1"/>
    <w:qFormat/>
    <w:uiPriority w:val="0"/>
    <w:pPr>
      <w:tabs>
        <w:tab w:val="left" w:pos="907"/>
      </w:tabs>
      <w:spacing w:before="240" w:line="600" w:lineRule="atLeast"/>
      <w:ind w:left="907" w:hanging="907"/>
    </w:pPr>
    <w:rPr>
      <w:rFonts w:hint="default" w:ascii="Times New Roman" w:hAnsi="Times New Roman" w:eastAsiaTheme="minorEastAsia" w:cstheme="minorBidi"/>
      <w:b/>
      <w:i/>
      <w:sz w:val="28"/>
      <w:lang w:val="en-US" w:eastAsia="zh-CN" w:bidi="ar-SA"/>
    </w:rPr>
  </w:style>
  <w:style w:type="paragraph" w:customStyle="1" w:styleId="254">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55">
    <w:name w:val="Char Char Char Char"/>
    <w:basedOn w:val="15"/>
    <w:qFormat/>
    <w:uiPriority w:val="0"/>
    <w:pPr>
      <w:spacing w:line="360" w:lineRule="auto"/>
    </w:pPr>
    <w:rPr>
      <w:rFonts w:ascii="Tahoma" w:hAnsi="Tahoma"/>
      <w:sz w:val="24"/>
      <w:szCs w:val="24"/>
    </w:rPr>
  </w:style>
  <w:style w:type="paragraph" w:styleId="256">
    <w:name w:val="List Paragraph"/>
    <w:basedOn w:val="1"/>
    <w:qFormat/>
    <w:uiPriority w:val="34"/>
    <w:pPr>
      <w:widowControl/>
      <w:ind w:left="720"/>
      <w:contextualSpacing/>
      <w:jc w:val="left"/>
    </w:pPr>
    <w:rPr>
      <w:rFonts w:ascii="Calibri" w:hAnsi="Calibri" w:eastAsia="宋体" w:cs="Times New Roman"/>
      <w:sz w:val="24"/>
      <w:szCs w:val="24"/>
      <w:lang w:eastAsia="en-US" w:bidi="en-US"/>
    </w:rPr>
  </w:style>
  <w:style w:type="paragraph" w:customStyle="1" w:styleId="257">
    <w:name w:val="4"/>
    <w:basedOn w:val="1"/>
    <w:next w:val="38"/>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58">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59">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60">
    <w:name w:val="样式1"/>
    <w:basedOn w:val="1"/>
    <w:qFormat/>
    <w:uiPriority w:val="0"/>
    <w:pPr>
      <w:numPr>
        <w:ilvl w:val="0"/>
        <w:numId w:val="3"/>
      </w:numPr>
    </w:pPr>
    <w:rPr>
      <w:rFonts w:ascii="宋体" w:hAnsi="宋体" w:eastAsia="宋体" w:cs="Times New Roman"/>
      <w:szCs w:val="21"/>
    </w:rPr>
  </w:style>
  <w:style w:type="paragraph" w:customStyle="1" w:styleId="261">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6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3">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64">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65">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266">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67">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68">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69">
    <w:name w:val="Char Char Char Char Char Char Char Char1"/>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70">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71">
    <w:name w:val="Char Char Char Char1"/>
    <w:basedOn w:val="15"/>
    <w:qFormat/>
    <w:uiPriority w:val="0"/>
    <w:pPr>
      <w:spacing w:line="360" w:lineRule="auto"/>
    </w:pPr>
    <w:rPr>
      <w:rFonts w:ascii="Tahoma" w:hAnsi="Tahoma"/>
      <w:sz w:val="24"/>
      <w:szCs w:val="24"/>
    </w:rPr>
  </w:style>
  <w:style w:type="paragraph" w:customStyle="1" w:styleId="272">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73">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74">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75">
    <w:name w:val="_Style 81"/>
    <w:semiHidden/>
    <w:qFormat/>
    <w:uiPriority w:val="99"/>
    <w:rPr>
      <w:rFonts w:hint="default" w:ascii="Times New Roman" w:hAnsi="Times New Roman" w:eastAsiaTheme="minorEastAsia" w:cstheme="minorBidi"/>
      <w:sz w:val="21"/>
      <w:szCs w:val="21"/>
      <w:lang w:val="en-US" w:eastAsia="zh-CN" w:bidi="ar-SA"/>
    </w:rPr>
  </w:style>
  <w:style w:type="paragraph" w:styleId="276">
    <w:name w:val="No Spacing"/>
    <w:qFormat/>
    <w:uiPriority w:val="99"/>
    <w:pPr>
      <w:widowControl w:val="0"/>
      <w:jc w:val="both"/>
    </w:pPr>
    <w:rPr>
      <w:rFonts w:hint="default" w:ascii="Times New Roman" w:hAnsi="Times New Roman" w:eastAsiaTheme="minorEastAsia" w:cstheme="minorBidi"/>
      <w:sz w:val="21"/>
      <w:szCs w:val="21"/>
      <w:lang w:val="en-US" w:eastAsia="zh-CN" w:bidi="ar-SA"/>
    </w:rPr>
  </w:style>
  <w:style w:type="paragraph" w:customStyle="1" w:styleId="277">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paragraph" w:customStyle="1" w:styleId="278">
    <w:name w:val="正文_17"/>
    <w:basedOn w:val="1"/>
    <w:qFormat/>
    <w:uiPriority w:val="0"/>
    <w:rPr>
      <w:rFonts w:ascii="Times New Roman" w:hAnsi="Times New Roman" w:eastAsia="宋体" w:cs="Times New Roman"/>
    </w:rPr>
  </w:style>
  <w:style w:type="paragraph" w:customStyle="1" w:styleId="279">
    <w:name w:val="Normal_1_1"/>
    <w:basedOn w:val="1"/>
    <w:qFormat/>
    <w:uiPriority w:val="0"/>
    <w:pPr>
      <w:widowControl/>
      <w:jc w:val="left"/>
    </w:pPr>
    <w:rPr>
      <w:rFonts w:hint="eastAsia" w:ascii="黑体" w:hAnsi="宋体" w:eastAsia="黑体" w:cs="Times New Roman"/>
      <w:b/>
      <w:sz w:val="32"/>
      <w:szCs w:val="24"/>
    </w:rPr>
  </w:style>
  <w:style w:type="paragraph" w:customStyle="1" w:styleId="280">
    <w:name w:val="正文_6_0_0"/>
    <w:basedOn w:val="1"/>
    <w:qFormat/>
    <w:uiPriority w:val="0"/>
    <w:rPr>
      <w:rFonts w:ascii="Times New Roman" w:hAnsi="Times New Roman" w:eastAsia="宋体" w:cs="Times New Roman"/>
    </w:rPr>
  </w:style>
  <w:style w:type="paragraph" w:customStyle="1" w:styleId="281">
    <w:name w:val="正文_11_0"/>
    <w:basedOn w:val="1"/>
    <w:qFormat/>
    <w:uiPriority w:val="0"/>
    <w:rPr>
      <w:rFonts w:ascii="Times New Roman" w:hAnsi="Times New Roman" w:eastAsia="宋体" w:cs="Times New Roman"/>
    </w:rPr>
  </w:style>
  <w:style w:type="character" w:customStyle="1" w:styleId="282">
    <w:name w:val="标题 1 字符"/>
    <w:link w:val="2"/>
    <w:qFormat/>
    <w:uiPriority w:val="0"/>
    <w:rPr>
      <w:rFonts w:ascii="楷体_GB2312" w:hAnsi="Times New Roman" w:eastAsia="楷体_GB2312" w:cs="Times New Roman"/>
      <w:sz w:val="28"/>
      <w:szCs w:val="28"/>
    </w:rPr>
  </w:style>
  <w:style w:type="character" w:customStyle="1" w:styleId="283">
    <w:name w:val="标题 2 字符"/>
    <w:link w:val="3"/>
    <w:qFormat/>
    <w:uiPriority w:val="0"/>
    <w:rPr>
      <w:rFonts w:ascii="Arial" w:hAnsi="Arial" w:eastAsia="幼圆" w:cs="Arial"/>
      <w:b/>
      <w:bCs/>
      <w:sz w:val="44"/>
      <w:szCs w:val="44"/>
    </w:rPr>
  </w:style>
  <w:style w:type="character" w:customStyle="1" w:styleId="284">
    <w:name w:val="正文缩进 字符"/>
    <w:link w:val="4"/>
    <w:qFormat/>
    <w:uiPriority w:val="0"/>
    <w:rPr>
      <w:szCs w:val="21"/>
    </w:rPr>
  </w:style>
  <w:style w:type="character" w:customStyle="1" w:styleId="285">
    <w:name w:val="标题 3 字符"/>
    <w:link w:val="5"/>
    <w:qFormat/>
    <w:uiPriority w:val="0"/>
    <w:rPr>
      <w:rFonts w:ascii="Times New Roman" w:hAnsi="Times New Roman" w:eastAsia="宋体" w:cs="Times New Roman"/>
      <w:b/>
      <w:bCs/>
      <w:sz w:val="32"/>
      <w:szCs w:val="32"/>
    </w:rPr>
  </w:style>
  <w:style w:type="character" w:customStyle="1" w:styleId="286">
    <w:name w:val="标题 4 字符"/>
    <w:link w:val="6"/>
    <w:qFormat/>
    <w:uiPriority w:val="0"/>
    <w:rPr>
      <w:rFonts w:ascii="Arial" w:hAnsi="Arial" w:eastAsia="黑体" w:cs="Arial"/>
      <w:b/>
      <w:bCs/>
      <w:sz w:val="28"/>
      <w:szCs w:val="28"/>
    </w:rPr>
  </w:style>
  <w:style w:type="character" w:customStyle="1" w:styleId="287">
    <w:name w:val="标题 5 字符"/>
    <w:link w:val="7"/>
    <w:qFormat/>
    <w:uiPriority w:val="0"/>
    <w:rPr>
      <w:rFonts w:ascii="宋体" w:hAnsi="Times New Roman" w:eastAsia="宋体" w:cs="Times New Roman"/>
      <w:color w:val="000000"/>
      <w:sz w:val="28"/>
      <w:szCs w:val="28"/>
    </w:rPr>
  </w:style>
  <w:style w:type="character" w:customStyle="1" w:styleId="288">
    <w:name w:val="标题 6 字符"/>
    <w:link w:val="8"/>
    <w:qFormat/>
    <w:uiPriority w:val="0"/>
    <w:rPr>
      <w:rFonts w:ascii="Arial" w:hAnsi="Arial" w:eastAsia="黑体" w:cs="Times New Roman"/>
      <w:b/>
      <w:bCs/>
      <w:sz w:val="24"/>
      <w:szCs w:val="24"/>
    </w:rPr>
  </w:style>
  <w:style w:type="character" w:customStyle="1" w:styleId="289">
    <w:name w:val="标题 7 字符"/>
    <w:link w:val="9"/>
    <w:qFormat/>
    <w:uiPriority w:val="0"/>
    <w:rPr>
      <w:rFonts w:ascii="Times New Roman" w:hAnsi="Times New Roman" w:eastAsia="宋体" w:cs="Times New Roman"/>
      <w:b/>
      <w:bCs/>
      <w:sz w:val="24"/>
      <w:szCs w:val="24"/>
    </w:rPr>
  </w:style>
  <w:style w:type="character" w:customStyle="1" w:styleId="290">
    <w:name w:val="标题 8 字符"/>
    <w:link w:val="10"/>
    <w:qFormat/>
    <w:uiPriority w:val="0"/>
    <w:rPr>
      <w:rFonts w:ascii="Arial" w:hAnsi="Arial" w:eastAsia="黑体" w:cs="Times New Roman"/>
      <w:sz w:val="24"/>
      <w:szCs w:val="24"/>
    </w:rPr>
  </w:style>
  <w:style w:type="character" w:customStyle="1" w:styleId="291">
    <w:name w:val="标题 9 字符"/>
    <w:link w:val="11"/>
    <w:qFormat/>
    <w:uiPriority w:val="0"/>
    <w:rPr>
      <w:rFonts w:ascii="Arial" w:hAnsi="Arial" w:eastAsia="黑体" w:cs="Times New Roman"/>
      <w:szCs w:val="21"/>
    </w:rPr>
  </w:style>
  <w:style w:type="character" w:customStyle="1" w:styleId="292">
    <w:name w:val="文档结构图 字符"/>
    <w:link w:val="15"/>
    <w:semiHidden/>
    <w:qFormat/>
    <w:uiPriority w:val="0"/>
    <w:rPr>
      <w:rFonts w:ascii="Times New Roman" w:hAnsi="Times New Roman" w:eastAsia="宋体" w:cs="Times New Roman"/>
      <w:szCs w:val="21"/>
      <w:shd w:val="clear" w:color="auto" w:fill="000080"/>
    </w:rPr>
  </w:style>
  <w:style w:type="character" w:customStyle="1" w:styleId="293">
    <w:name w:val="批注文字 字符"/>
    <w:basedOn w:val="51"/>
    <w:link w:val="16"/>
    <w:semiHidden/>
    <w:qFormat/>
    <w:uiPriority w:val="99"/>
  </w:style>
  <w:style w:type="character" w:customStyle="1" w:styleId="294">
    <w:name w:val="正文文本 3 字符"/>
    <w:link w:val="17"/>
    <w:qFormat/>
    <w:uiPriority w:val="0"/>
    <w:rPr>
      <w:rFonts w:ascii="仿宋_GB2312" w:hAnsi="Arial" w:eastAsia="仿宋_GB2312" w:cs="Times New Roman"/>
      <w:sz w:val="32"/>
      <w:szCs w:val="32"/>
    </w:rPr>
  </w:style>
  <w:style w:type="character" w:customStyle="1" w:styleId="295">
    <w:name w:val="正文文本 字符"/>
    <w:link w:val="18"/>
    <w:qFormat/>
    <w:uiPriority w:val="0"/>
    <w:rPr>
      <w:rFonts w:ascii="楷体_GB2312" w:hAnsi="Arial" w:eastAsia="楷体_GB2312" w:cs="Times New Roman"/>
      <w:sz w:val="28"/>
      <w:szCs w:val="28"/>
    </w:rPr>
  </w:style>
  <w:style w:type="character" w:customStyle="1" w:styleId="296">
    <w:name w:val="正文文本缩进 字符"/>
    <w:basedOn w:val="51"/>
    <w:link w:val="20"/>
    <w:semiHidden/>
    <w:qFormat/>
    <w:uiPriority w:val="99"/>
  </w:style>
  <w:style w:type="character" w:customStyle="1" w:styleId="297">
    <w:name w:val="纯文本 字符"/>
    <w:link w:val="24"/>
    <w:qFormat/>
    <w:uiPriority w:val="0"/>
    <w:rPr>
      <w:rFonts w:ascii="宋体" w:hAnsi="Courier New" w:eastAsia="宋体" w:cs="Courier New"/>
      <w:szCs w:val="21"/>
    </w:rPr>
  </w:style>
  <w:style w:type="character" w:customStyle="1" w:styleId="298">
    <w:name w:val="日期 字符"/>
    <w:link w:val="26"/>
    <w:qFormat/>
    <w:uiPriority w:val="0"/>
    <w:rPr>
      <w:rFonts w:ascii="Times New Roman" w:hAnsi="Times New Roman" w:eastAsia="宋体" w:cs="Times New Roman"/>
      <w:sz w:val="24"/>
      <w:szCs w:val="24"/>
    </w:rPr>
  </w:style>
  <w:style w:type="character" w:customStyle="1" w:styleId="299">
    <w:name w:val="正文文本缩进 2 字符"/>
    <w:link w:val="27"/>
    <w:qFormat/>
    <w:uiPriority w:val="0"/>
    <w:rPr>
      <w:rFonts w:ascii="Arial" w:hAnsi="Arial" w:eastAsia="仿宋_GB2312" w:cs="Arial"/>
      <w:sz w:val="32"/>
      <w:szCs w:val="32"/>
    </w:rPr>
  </w:style>
  <w:style w:type="character" w:customStyle="1" w:styleId="300">
    <w:name w:val="批注框文本 字符"/>
    <w:link w:val="29"/>
    <w:semiHidden/>
    <w:qFormat/>
    <w:uiPriority w:val="0"/>
    <w:rPr>
      <w:rFonts w:ascii="Times New Roman" w:hAnsi="Times New Roman" w:eastAsia="宋体" w:cs="Times New Roman"/>
      <w:sz w:val="18"/>
      <w:szCs w:val="18"/>
    </w:rPr>
  </w:style>
  <w:style w:type="character" w:customStyle="1" w:styleId="301">
    <w:name w:val="页脚 字符"/>
    <w:link w:val="30"/>
    <w:qFormat/>
    <w:uiPriority w:val="0"/>
    <w:rPr>
      <w:rFonts w:ascii="Times New Roman" w:hAnsi="Times New Roman" w:eastAsia="宋体" w:cs="Times New Roman"/>
      <w:sz w:val="18"/>
      <w:szCs w:val="18"/>
    </w:rPr>
  </w:style>
  <w:style w:type="character" w:customStyle="1" w:styleId="302">
    <w:name w:val="页眉 字符"/>
    <w:link w:val="31"/>
    <w:qFormat/>
    <w:uiPriority w:val="0"/>
    <w:rPr>
      <w:rFonts w:ascii="Times New Roman" w:hAnsi="Times New Roman" w:eastAsia="宋体" w:cs="Times New Roman"/>
      <w:sz w:val="18"/>
      <w:szCs w:val="18"/>
    </w:rPr>
  </w:style>
  <w:style w:type="character" w:customStyle="1" w:styleId="303">
    <w:name w:val="正文文本缩进 3 字符"/>
    <w:link w:val="38"/>
    <w:qFormat/>
    <w:uiPriority w:val="0"/>
    <w:rPr>
      <w:rFonts w:ascii="Arial" w:hAnsi="Arial" w:eastAsia="仿宋_GB2312" w:cs="Arial"/>
      <w:color w:val="FFFF00"/>
      <w:sz w:val="32"/>
      <w:szCs w:val="32"/>
    </w:rPr>
  </w:style>
  <w:style w:type="character" w:customStyle="1" w:styleId="304">
    <w:name w:val="正文文本 2 字符"/>
    <w:link w:val="42"/>
    <w:qFormat/>
    <w:uiPriority w:val="0"/>
    <w:rPr>
      <w:rFonts w:ascii="楷体_GB2312" w:hAnsi="Times New Roman" w:eastAsia="楷体_GB2312" w:cs="Times New Roman"/>
      <w:sz w:val="28"/>
      <w:szCs w:val="28"/>
    </w:rPr>
  </w:style>
  <w:style w:type="character" w:customStyle="1" w:styleId="305">
    <w:name w:val="批注主题 字符"/>
    <w:link w:val="47"/>
    <w:semiHidden/>
    <w:qFormat/>
    <w:uiPriority w:val="0"/>
    <w:rPr>
      <w:rFonts w:ascii="Times New Roman" w:hAnsi="Times New Roman" w:eastAsia="宋体" w:cs="Times New Roman"/>
      <w:b/>
      <w:bCs/>
      <w:szCs w:val="21"/>
    </w:rPr>
  </w:style>
  <w:style w:type="character" w:customStyle="1" w:styleId="306">
    <w:name w:val="正文文本首行缩进 字符"/>
    <w:link w:val="19"/>
    <w:qFormat/>
    <w:uiPriority w:val="0"/>
    <w:rPr>
      <w:rFonts w:ascii="仿宋_GB2312" w:hAnsi="Times New Roman" w:eastAsia="仿宋_GB2312" w:cs="Times New Roman"/>
      <w:sz w:val="30"/>
      <w:szCs w:val="30"/>
    </w:rPr>
  </w:style>
  <w:style w:type="character" w:customStyle="1" w:styleId="307">
    <w:name w:val="正文文本首行缩进 2 字符"/>
    <w:link w:val="48"/>
    <w:qFormat/>
    <w:uiPriority w:val="0"/>
    <w:rPr>
      <w:rFonts w:ascii="宋体" w:hAnsi="宋体" w:eastAsia="宋体" w:cs="Times New Roman"/>
      <w:szCs w:val="20"/>
    </w:rPr>
  </w:style>
  <w:style w:type="character" w:customStyle="1" w:styleId="308">
    <w:name w:val="font5 Char"/>
    <w:qFormat/>
    <w:uiPriority w:val="0"/>
    <w:rPr>
      <w:rFonts w:ascii="宋体" w:hAnsi="宋体" w:eastAsia="宋体"/>
      <w:sz w:val="28"/>
      <w:szCs w:val="28"/>
      <w:lang w:val="en-US" w:eastAsia="zh-CN" w:bidi="ar-SA"/>
    </w:rPr>
  </w:style>
  <w:style w:type="character" w:customStyle="1" w:styleId="309">
    <w:name w:val="二级目录 Char"/>
    <w:link w:val="244"/>
    <w:qFormat/>
    <w:uiPriority w:val="0"/>
    <w:rPr>
      <w:b/>
      <w:sz w:val="30"/>
      <w:szCs w:val="28"/>
    </w:rPr>
  </w:style>
  <w:style w:type="character" w:customStyle="1" w:styleId="310">
    <w:name w:val="列出段落 Char"/>
    <w:link w:val="245"/>
    <w:qFormat/>
    <w:uiPriority w:val="0"/>
    <w:rPr>
      <w:rFonts w:ascii="Calibri" w:hAnsi="Calibri"/>
      <w:sz w:val="24"/>
      <w:szCs w:val="24"/>
      <w:lang w:eastAsia="en-US" w:bidi="en-US"/>
    </w:rPr>
  </w:style>
  <w:style w:type="paragraph" w:customStyle="1" w:styleId="311">
    <w:name w:val="正文1"/>
    <w:qFormat/>
    <w:uiPriority w:val="0"/>
    <w:pPr>
      <w:spacing w:after="200"/>
    </w:pPr>
    <w:rPr>
      <w:rFonts w:hint="default" w:ascii="Tahoma" w:hAnsi="Tahoma" w:eastAsia="微软雅黑" w:cs="黑体"/>
      <w:sz w:val="22"/>
      <w:szCs w:val="22"/>
      <w:lang w:val="en-US" w:eastAsia="zh-CN" w:bidi="ar-SA"/>
    </w:rPr>
  </w:style>
  <w:style w:type="paragraph" w:customStyle="1" w:styleId="312">
    <w:name w:val="Normal_19_0_0_0"/>
    <w:basedOn w:val="81"/>
    <w:qFormat/>
    <w:uiPriority w:val="0"/>
    <w:rPr>
      <w:rFonts w:ascii="Times New Roman" w:hAnsi="Times New Roman"/>
      <w:szCs w:val="24"/>
    </w:rPr>
  </w:style>
  <w:style w:type="paragraph" w:customStyle="1" w:styleId="313">
    <w:name w:val="正文_2"/>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14">
    <w:name w:val="custom-tag-placeholder-class"/>
    <w:basedOn w:val="51"/>
    <w:qFormat/>
    <w:uiPriority w:val="0"/>
  </w:style>
  <w:style w:type="paragraph" w:customStyle="1" w:styleId="315">
    <w:name w:val="Normal_19_1"/>
    <w:next w:val="316"/>
    <w:qFormat/>
    <w:uiPriority w:val="0"/>
    <w:pPr>
      <w:widowControl w:val="0"/>
      <w:jc w:val="both"/>
    </w:pPr>
    <w:rPr>
      <w:rFonts w:hint="default" w:ascii="Calibri" w:hAnsi="Calibri" w:eastAsia="宋体" w:cs="Times New Roman"/>
      <w:szCs w:val="24"/>
      <w:lang w:val="en-US" w:eastAsia="zh-CN" w:bidi="ar-SA"/>
    </w:rPr>
  </w:style>
  <w:style w:type="paragraph" w:customStyle="1" w:styleId="316">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7">
    <w:name w:val="正文_1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8">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9">
    <w:name w:val="Normal_21_0"/>
    <w:qFormat/>
    <w:uiPriority w:val="0"/>
    <w:pPr>
      <w:widowControl w:val="0"/>
      <w:jc w:val="both"/>
    </w:pPr>
    <w:rPr>
      <w:rFonts w:hint="default" w:ascii="Calibri" w:hAnsi="Calibri" w:eastAsia="宋体" w:cs="Times New Roman"/>
      <w:lang w:val="en-US" w:eastAsia="zh-CN" w:bidi="ar-SA"/>
    </w:rPr>
  </w:style>
  <w:style w:type="paragraph" w:customStyle="1" w:styleId="320">
    <w:name w:val="正文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1">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2">
    <w:name w:val="List Paragraph_0_0"/>
    <w:basedOn w:val="1"/>
    <w:qFormat/>
    <w:uiPriority w:val="34"/>
    <w:pPr>
      <w:spacing w:line="360" w:lineRule="auto"/>
      <w:ind w:firstLine="420"/>
      <w:jc w:val="left"/>
    </w:pPr>
    <w:rPr>
      <w:rFonts w:ascii="Times New Roman" w:hAnsi="Times New Roman" w:eastAsia="Times New Roman" w:cs="Times New Roman"/>
      <w:sz w:val="28"/>
      <w:szCs w:val="20"/>
    </w:rPr>
  </w:style>
  <w:style w:type="paragraph" w:customStyle="1" w:styleId="323">
    <w:name w:val="Normal_19_0_0_0_0"/>
    <w:basedOn w:val="1"/>
    <w:qFormat/>
    <w:uiPriority w:val="0"/>
    <w:rPr>
      <w:rFonts w:ascii="Calibri" w:hAnsi="Calibri" w:eastAsia="Times New Roman" w:cs="Times New Roman"/>
      <w:sz w:val="20"/>
      <w:szCs w:val="20"/>
    </w:rPr>
  </w:style>
  <w:style w:type="paragraph" w:customStyle="1" w:styleId="324">
    <w:name w:val="Normal_19_0_0_1"/>
    <w:basedOn w:val="1"/>
    <w:qFormat/>
    <w:uiPriority w:val="0"/>
    <w:rPr>
      <w:rFonts w:ascii="Calibri" w:hAnsi="Calibri" w:eastAsia="Times New Roman" w:cs="Calibri"/>
      <w:sz w:val="20"/>
      <w:szCs w:val="20"/>
    </w:rPr>
  </w:style>
  <w:style w:type="paragraph" w:customStyle="1" w:styleId="325">
    <w:name w:val="正文_3_0_1"/>
    <w:basedOn w:val="1"/>
    <w:qFormat/>
    <w:uiPriority w:val="0"/>
    <w:rPr>
      <w:rFonts w:ascii="Calibri" w:hAnsi="Calibri" w:eastAsia="宋体" w:cs="Times New Roman"/>
      <w:szCs w:val="21"/>
    </w:rPr>
  </w:style>
  <w:style w:type="paragraph" w:customStyle="1" w:styleId="326">
    <w:name w:val="Normal_19_2"/>
    <w:basedOn w:val="1"/>
    <w:qFormat/>
    <w:uiPriority w:val="0"/>
    <w:rPr>
      <w:rFonts w:ascii="Calibri" w:hAnsi="Calibri" w:eastAsia="宋体" w:cs="Times New Roman"/>
      <w:szCs w:val="21"/>
    </w:rPr>
  </w:style>
  <w:style w:type="character" w:customStyle="1" w:styleId="327">
    <w:name w:val="15"/>
    <w:qFormat/>
    <w:uiPriority w:val="0"/>
    <w:rPr>
      <w:rFonts w:hint="default" w:ascii="Times New Roman" w:hAnsi="Times New Roman" w:cs="Times New Roman"/>
      <w:color w:val="0000FF"/>
      <w:u w:val="single"/>
    </w:rPr>
  </w:style>
  <w:style w:type="paragraph" w:customStyle="1" w:styleId="328">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9">
    <w:name w:val="正文_18"/>
    <w:next w:val="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0">
    <w:name w:val="正文文本缩进_1"/>
    <w:basedOn w:val="329"/>
    <w:next w:val="331"/>
    <w:qFormat/>
    <w:uiPriority w:val="0"/>
    <w:pPr>
      <w:ind w:firstLine="225"/>
    </w:pPr>
    <w:rPr>
      <w:rFonts w:ascii="仿宋_GB2312" w:eastAsia="仿宋_GB2312"/>
      <w:sz w:val="32"/>
    </w:rPr>
  </w:style>
  <w:style w:type="paragraph" w:customStyle="1" w:styleId="331">
    <w:name w:val="正文首行缩进 2_1"/>
    <w:basedOn w:val="330"/>
    <w:next w:val="332"/>
    <w:qFormat/>
    <w:uiPriority w:val="0"/>
    <w:pPr>
      <w:spacing w:after="120"/>
      <w:ind w:left="200" w:firstLine="200"/>
    </w:pPr>
    <w:rPr>
      <w:rFonts w:ascii="Times New Roman"/>
      <w:szCs w:val="24"/>
    </w:rPr>
  </w:style>
  <w:style w:type="paragraph" w:customStyle="1" w:styleId="332">
    <w:name w:val="xl53_0"/>
    <w:next w:val="333"/>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33">
    <w:name w:val="正文_3"/>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34">
    <w:name w:val="10_0"/>
    <w:qFormat/>
    <w:uiPriority w:val="0"/>
    <w:rPr>
      <w:rFonts w:hint="default" w:ascii="Times New Roman" w:hAnsi="Times New Roman" w:cs="Times New Roman"/>
    </w:rPr>
  </w:style>
  <w:style w:type="paragraph" w:customStyle="1" w:styleId="335">
    <w:name w:val="Normal_19_0"/>
    <w:basedOn w:val="81"/>
    <w:next w:val="336"/>
    <w:qFormat/>
    <w:uiPriority w:val="0"/>
    <w:rPr>
      <w:szCs w:val="24"/>
    </w:rPr>
  </w:style>
  <w:style w:type="paragraph" w:customStyle="1" w:styleId="336">
    <w:name w:val="Body Text First Indent_1_0"/>
    <w:basedOn w:val="335"/>
    <w:qFormat/>
    <w:uiPriority w:val="0"/>
    <w:pPr>
      <w:spacing w:after="120"/>
      <w:ind w:firstLine="100"/>
    </w:pPr>
  </w:style>
  <w:style w:type="paragraph" w:customStyle="1" w:styleId="337">
    <w:name w:val="正文2"/>
    <w:next w:val="33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8">
    <w:name w:val="标题 31"/>
    <w:basedOn w:val="339"/>
    <w:next w:val="337"/>
    <w:qFormat/>
    <w:uiPriority w:val="0"/>
    <w:pPr>
      <w:keepNext/>
      <w:keepLines/>
      <w:spacing w:before="260" w:after="260" w:line="413" w:lineRule="auto"/>
      <w:outlineLvl w:val="2"/>
    </w:pPr>
    <w:rPr>
      <w:b/>
      <w:sz w:val="32"/>
      <w:szCs w:val="20"/>
    </w:rPr>
  </w:style>
  <w:style w:type="paragraph" w:customStyle="1" w:styleId="339">
    <w:name w:val="正文3"/>
    <w:next w:val="338"/>
    <w:qFormat/>
    <w:uiPriority w:val="0"/>
    <w:rPr>
      <w:rFonts w:hint="default" w:ascii="Times New Roman" w:hAnsi="Times New Roman" w:eastAsia="Times New Roman" w:cs="Times New Roman"/>
      <w:sz w:val="24"/>
      <w:szCs w:val="24"/>
      <w:lang w:val="en-US" w:eastAsia="zh-CN" w:bidi="ar-SA"/>
    </w:rPr>
  </w:style>
  <w:style w:type="paragraph" w:customStyle="1" w:styleId="340">
    <w:name w:val="普通(网站)1"/>
    <w:basedOn w:val="1"/>
    <w:qFormat/>
    <w:uiPriority w:val="0"/>
    <w:rPr>
      <w:rFonts w:ascii="Times New Roman" w:hAnsi="Times New Roman" w:eastAsia="宋体" w:cs="Times New Roman"/>
      <w:sz w:val="24"/>
      <w:szCs w:val="20"/>
    </w:rPr>
  </w:style>
  <w:style w:type="character" w:customStyle="1" w:styleId="341">
    <w:name w:val="16"/>
    <w:qFormat/>
    <w:uiPriority w:val="0"/>
    <w:rPr>
      <w:rFonts w:asciiTheme="minorHAnsi" w:hAnsiTheme="minorHAnsi" w:eastAsiaTheme="minorEastAsia" w:cstheme="minorBidi"/>
      <w:sz w:val="21"/>
      <w:szCs w:val="22"/>
      <w:lang w:val="en-US" w:eastAsia="zh-CN" w:bidi="ar-SA"/>
    </w:rPr>
  </w:style>
  <w:style w:type="paragraph" w:customStyle="1" w:styleId="342">
    <w:name w:val="正文_0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3">
    <w:name w:val="脚注文本1_0"/>
    <w:basedOn w:val="344"/>
    <w:qFormat/>
    <w:uiPriority w:val="0"/>
    <w:rPr>
      <w:rFonts w:ascii="Calibri" w:hAnsi="Calibri" w:eastAsia="Times New Roman" w:cs="黑体"/>
      <w:sz w:val="18"/>
      <w:szCs w:val="18"/>
    </w:rPr>
  </w:style>
  <w:style w:type="paragraph" w:customStyle="1" w:styleId="344">
    <w:name w:val="Normal_19_0_1"/>
    <w:qFormat/>
    <w:uiPriority w:val="0"/>
    <w:rPr>
      <w:rFonts w:hint="default" w:ascii="Tahoma" w:hAnsi="Tahoma" w:eastAsia="微软雅黑" w:cs="Times New Roman"/>
      <w:lang w:val="en-US" w:eastAsia="zh-CN" w:bidi="ar-SA"/>
    </w:rPr>
  </w:style>
  <w:style w:type="paragraph" w:customStyle="1" w:styleId="345">
    <w:name w:val="Normal_19_1_0_0"/>
    <w:next w:val="346"/>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46">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47">
    <w:name w:val="Body Text_0"/>
    <w:basedOn w:val="348"/>
    <w:qFormat/>
    <w:uiPriority w:val="0"/>
    <w:pPr>
      <w:spacing w:line="60" w:lineRule="auto"/>
    </w:pPr>
    <w:rPr>
      <w:rFonts w:ascii="仿宋_GB2312" w:hAnsi="Calibri" w:eastAsia="仿宋_GB2312"/>
    </w:rPr>
  </w:style>
  <w:style w:type="paragraph" w:customStyle="1" w:styleId="348">
    <w:name w:val="Normal_20"/>
    <w:next w:val="349"/>
    <w:qFormat/>
    <w:uiPriority w:val="0"/>
    <w:rPr>
      <w:rFonts w:hint="default" w:ascii="黑体" w:hAnsi="黑体" w:eastAsia="黑体" w:cs="黑体"/>
      <w:b/>
      <w:sz w:val="32"/>
      <w:szCs w:val="24"/>
      <w:lang w:val="en-US" w:eastAsia="zh-CN" w:bidi="ar-SA"/>
    </w:rPr>
  </w:style>
  <w:style w:type="paragraph" w:customStyle="1" w:styleId="349">
    <w:name w:val="Heading 3_0"/>
    <w:basedOn w:val="348"/>
    <w:next w:val="348"/>
    <w:qFormat/>
    <w:uiPriority w:val="0"/>
    <w:pPr>
      <w:keepNext/>
      <w:keepLines/>
      <w:spacing w:before="260" w:after="260" w:line="413" w:lineRule="auto"/>
      <w:jc w:val="center"/>
      <w:outlineLvl w:val="2"/>
    </w:pPr>
    <w:rPr>
      <w:rFonts w:ascii="Times New Roman" w:hAnsi="Times New Roman" w:eastAsia="Times New Roman"/>
      <w:szCs w:val="20"/>
    </w:rPr>
  </w:style>
  <w:style w:type="character" w:customStyle="1" w:styleId="350">
    <w:name w:val="10_0_0"/>
    <w:qFormat/>
    <w:uiPriority w:val="0"/>
    <w:rPr>
      <w:rFonts w:hint="default" w:ascii="Times New Roman" w:hAnsi="Times New Roman" w:cs="Times New Roman"/>
    </w:rPr>
  </w:style>
  <w:style w:type="paragraph" w:customStyle="1" w:styleId="351">
    <w:name w:val="正文文本首行缩进_0"/>
    <w:basedOn w:val="1"/>
    <w:qFormat/>
    <w:uiPriority w:val="0"/>
    <w:pPr>
      <w:spacing w:after="120"/>
      <w:ind w:firstLine="420"/>
    </w:pPr>
    <w:rPr>
      <w:rFonts w:ascii="Arial Unicode MS" w:hAnsi="Arial Unicode MS" w:eastAsia="Arial Unicode MS" w:cs="Arial Unicode MS"/>
      <w:sz w:val="28"/>
      <w:szCs w:val="20"/>
    </w:rPr>
  </w:style>
  <w:style w:type="paragraph" w:customStyle="1" w:styleId="352">
    <w:name w:val="正文文本缩进_0"/>
    <w:basedOn w:val="313"/>
    <w:qFormat/>
    <w:uiPriority w:val="0"/>
    <w:pPr>
      <w:ind w:firstLine="225"/>
    </w:pPr>
    <w:rPr>
      <w:rFonts w:ascii="仿宋_GB2312" w:hAnsi="Calibri" w:eastAsia="仿宋_GB2312"/>
      <w:sz w:val="32"/>
    </w:rPr>
  </w:style>
  <w:style w:type="paragraph" w:customStyle="1" w:styleId="353">
    <w:name w:val="正文文本2"/>
    <w:basedOn w:val="1"/>
    <w:qFormat/>
    <w:uiPriority w:val="0"/>
    <w:pPr>
      <w:spacing w:line="60" w:lineRule="auto"/>
    </w:pPr>
    <w:rPr>
      <w:rFonts w:ascii="仿宋_GB2312" w:hAnsi="Times New Roman" w:eastAsia="仿宋_GB2312" w:cs="Times New Roman"/>
      <w:sz w:val="32"/>
    </w:rPr>
  </w:style>
  <w:style w:type="paragraph" w:customStyle="1" w:styleId="354">
    <w:name w:val="正文21"/>
    <w:basedOn w:val="1"/>
    <w:qFormat/>
    <w:uiPriority w:val="0"/>
    <w:pPr>
      <w:spacing w:before="156" w:line="360" w:lineRule="auto"/>
      <w:ind w:firstLine="510"/>
    </w:pPr>
    <w:rPr>
      <w:rFonts w:ascii="Times New Roman" w:hAnsi="Times New Roman" w:eastAsia="宋体" w:cs="Times New Roman"/>
      <w:sz w:val="24"/>
      <w:szCs w:val="20"/>
    </w:rPr>
  </w:style>
  <w:style w:type="paragraph" w:customStyle="1" w:styleId="355">
    <w:name w:val="Normal_0_2"/>
    <w:next w:val="1"/>
    <w:qFormat/>
    <w:uiPriority w:val="0"/>
    <w:rPr>
      <w:rFonts w:hint="default" w:ascii="黑体" w:hAnsi="黑体" w:eastAsia="黑体" w:cs="黑体"/>
      <w:b/>
      <w:sz w:val="32"/>
      <w:szCs w:val="24"/>
      <w:lang w:val="en-US" w:eastAsia="zh-CN" w:bidi="ar-SA"/>
    </w:rPr>
  </w:style>
  <w:style w:type="paragraph" w:customStyle="1" w:styleId="356">
    <w:name w:val="正文首行缩进3"/>
    <w:basedOn w:val="1"/>
    <w:unhideWhenUsed/>
    <w:qFormat/>
    <w:uiPriority w:val="99"/>
    <w:pPr>
      <w:widowControl/>
      <w:spacing w:after="120"/>
      <w:ind w:firstLine="420"/>
      <w:jc w:val="left"/>
    </w:pPr>
    <w:rPr>
      <w:rFonts w:ascii="Times New Roman" w:hAnsi="Times New Roman" w:eastAsia="Times New Roman" w:cs="Times New Roman"/>
      <w:sz w:val="20"/>
      <w:szCs w:val="24"/>
    </w:rPr>
  </w:style>
  <w:style w:type="paragraph" w:customStyle="1" w:styleId="357">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358">
    <w:name w:val="正文缩进1_0"/>
    <w:basedOn w:val="357"/>
    <w:qFormat/>
    <w:uiPriority w:val="0"/>
    <w:pPr>
      <w:ind w:firstLine="420"/>
    </w:pPr>
    <w:rPr>
      <w:rFonts w:ascii="宋体" w:hAnsi="Calibri" w:eastAsia="宋体"/>
      <w:szCs w:val="22"/>
    </w:rPr>
  </w:style>
  <w:style w:type="paragraph" w:customStyle="1" w:styleId="359">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60">
    <w:name w:val="Normal_10_0"/>
    <w:qFormat/>
    <w:uiPriority w:val="0"/>
    <w:rPr>
      <w:rFonts w:hint="default" w:ascii="黑体" w:hAnsi="黑体" w:eastAsia="黑体" w:cs="黑体"/>
      <w:b/>
      <w:sz w:val="32"/>
      <w:szCs w:val="24"/>
      <w:lang w:val="en-US" w:eastAsia="zh-CN" w:bidi="ar-SA"/>
    </w:rPr>
  </w:style>
  <w:style w:type="paragraph" w:customStyle="1" w:styleId="361">
    <w:name w:val="正文_7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2">
    <w:name w:val="标题 51"/>
    <w:basedOn w:val="1"/>
    <w:next w:val="1"/>
    <w:qFormat/>
    <w:uiPriority w:val="0"/>
    <w:pPr>
      <w:keepNext/>
      <w:keepLines/>
      <w:spacing w:before="320" w:after="200"/>
      <w:outlineLvl w:val="4"/>
    </w:pPr>
    <w:rPr>
      <w:rFonts w:ascii="Arial" w:hAnsi="Arial" w:eastAsia="Arial" w:cs="Arial"/>
      <w:b/>
      <w:bCs/>
      <w:sz w:val="24"/>
      <w:szCs w:val="24"/>
    </w:rPr>
  </w:style>
  <w:style w:type="paragraph" w:customStyle="1" w:styleId="363">
    <w:name w:val="Table Text"/>
    <w:basedOn w:val="1"/>
    <w:semiHidden/>
    <w:qFormat/>
    <w:uiPriority w:val="0"/>
    <w:rPr>
      <w:rFonts w:ascii="宋体" w:hAnsi="宋体" w:cs="宋体"/>
      <w:sz w:val="24"/>
      <w:szCs w:val="24"/>
      <w:lang w:eastAsia="en-US"/>
    </w:rPr>
  </w:style>
  <w:style w:type="paragraph" w:customStyle="1" w:styleId="364">
    <w:name w:val="正文文本4"/>
    <w:basedOn w:val="1"/>
    <w:qFormat/>
    <w:uiPriority w:val="0"/>
    <w:pPr>
      <w:spacing w:line="60" w:lineRule="auto"/>
    </w:pPr>
    <w:rPr>
      <w:rFonts w:ascii="仿宋_GB2312" w:hAnsi="Times New Roman" w:eastAsia="仿宋_GB2312"/>
      <w:sz w:val="32"/>
    </w:rPr>
  </w:style>
  <w:style w:type="paragraph" w:customStyle="1" w:styleId="365">
    <w:name w:val="正文文本1"/>
    <w:basedOn w:val="1"/>
    <w:qFormat/>
    <w:uiPriority w:val="0"/>
    <w:pPr>
      <w:spacing w:line="60" w:lineRule="auto"/>
    </w:pPr>
    <w:rPr>
      <w:rFonts w:ascii="仿宋_GB2312" w:eastAsia="仿宋_GB2312"/>
      <w:sz w:val="32"/>
    </w:rPr>
  </w:style>
  <w:style w:type="paragraph" w:customStyle="1" w:styleId="366">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7">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368">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9">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0">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1">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2">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73">
    <w:name w:val="列出段落_2"/>
    <w:basedOn w:val="370"/>
    <w:qFormat/>
    <w:uiPriority w:val="34"/>
    <w:pPr>
      <w:ind w:firstLine="420"/>
    </w:pPr>
  </w:style>
  <w:style w:type="paragraph" w:customStyle="1" w:styleId="374">
    <w:name w:val="Normal Indent"/>
    <w:basedOn w:val="83"/>
    <w:qFormat/>
    <w:uiPriority w:val="0"/>
    <w:pPr>
      <w:ind w:firstLine="420"/>
    </w:pPr>
    <w:rPr>
      <w:rFonts w:ascii="宋体"/>
      <w:color w:val="000000"/>
      <w:sz w:val="24"/>
      <w:szCs w:val="20"/>
    </w:rPr>
  </w:style>
  <w:style w:type="paragraph" w:customStyle="1" w:styleId="375">
    <w:name w:val="Normal_0_1"/>
    <w:next w:val="85"/>
    <w:qFormat/>
    <w:uiPriority w:val="0"/>
    <w:rPr>
      <w:rFonts w:hint="default" w:ascii="黑体" w:hAnsi="黑体" w:eastAsia="黑体" w:cs="Times New Roman"/>
      <w:b/>
      <w:sz w:val="32"/>
      <w:szCs w:val="24"/>
      <w:lang w:bidi="ar-SA"/>
    </w:rPr>
  </w:style>
  <w:style w:type="paragraph" w:customStyle="1" w:styleId="376">
    <w:name w:val="正文_3_0"/>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1A0B4-52F7-4A27-A917-9F3F115CE440}">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31</Pages>
  <Words>17159</Words>
  <Characters>18435</Characters>
  <TotalTime>2</TotalTime>
  <ScaleCrop>false</ScaleCrop>
  <LinksUpToDate>false</LinksUpToDate>
  <CharactersWithSpaces>19241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赵国文</dc:creator>
  <cp:lastModifiedBy>昭然</cp:lastModifiedBy>
  <dcterms:modified xsi:type="dcterms:W3CDTF">2026-09-17T05:52:07Z</dcterms:modified>
  <cp:revision>351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F678A1067A9E422C86F39C1FBF86D6EE_13</vt:lpwstr>
  </property>
  <property fmtid="{D5CDD505-2E9C-101B-9397-08002B2CF9AE}" pid="4" name="KSOTemplateDocerSaveRecord">
    <vt:lpwstr>eyJoZGlkIjoiNDcwZDU5YjQ5YzJlZTU3ZTZlNWRkZmQ2NzNlODNjZDYiLCJ1c2VySWQiOiIxMjQxOTYyOTg0In0=</vt:lpwstr>
  </property>
</Properties>
</file>