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苏州市政府采购</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15"/>
        </w:rPr>
        <w:t xml:space="preserve"> </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15"/>
        </w:rPr>
        <w:t xml:space="preserve"> </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58"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采购编号:JSZC-320508-ZHSZ-G2026-0004               </w:t>
      </w:r>
      <w:r/>
    </w:p>
    <w:p>
      <w:pPr>
        <w:ind w:left="958"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采购单位:苏州市姑苏区政务信息中心</w:t>
      </w:r>
      <w:r/>
    </w:p>
    <w:p>
      <w:pPr>
        <w:ind w:left="958"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采购内容:姑苏区政务信息中心国产化软件场地</w:t>
      </w:r>
      <w:r/>
    </w:p>
    <w:p>
      <w:pPr>
        <w:ind w:left="958"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授权服务项目</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 </w:t>
      </w:r>
      <w:r/>
    </w:p>
    <w:p>
      <w:pPr>
        <w:ind w:left="0" w:right="0" w:firstLine="1921"/>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中航招采科技（北京）有限公司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二○二六年八月</w:t>
      </w:r>
      <w:r/>
    </w:p>
    <w:p>
      <w:pPr>
        <w:ind w:left="0" w:right="0" w:firstLine="562"/>
        <w:jc w:val="right"/>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投标须知前附表</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下述关于要采购的姑苏区政务信息中心国产化软件场地授权服务的具体资料是对采购文件第一部分投标人须知的具体补充和修改，如果有矛盾的话，应以本附表为准。</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0"/>
        <w:gridCol w:w="1435"/>
        <w:gridCol w:w="7020"/>
      </w:tblGrid>
      <w:tr>
        <w:trPr>
          <w:trHeight w:val="5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名称：苏州市姑苏区政务信息中心</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地址：苏州市姑苏区西环路2115号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联系人：薛星辰</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联系电话：0512-67230090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JSZC-320508-ZHSZ-G2026-0004</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姑苏区政务信息中心国产化软件场地授权服务项目</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项目预算：人民币壹佰零肆万捌仟元整（1048000.00元）</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合同签订之日起一年。</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90天（日历日）</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无，投标文件内提供投标（响应）保证承诺书，格式见附件。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中航招采科技（北京）有限公司</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地址：江苏省苏州市姑苏区福运路198号常润大厦10楼1008室</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联系人:孙鹏/蒲苗苗/徐亮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联系电话：0512-69290321  传真：0512-69291321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依法获取采购文件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名供应商确认报名后需自行从报名系统里面下载本项目采购文件，报名日期视同为依法获取采购文件日期，投标单位需打印、保留“投标供应商确认函”，质疑时与质疑函一并提交。未依照采购公告要求实行网上报名的投标单位，视为未参与该项政府采购活动，不具备对该政府采购项目提出质疑的法定权利。代理机构不再收取报名费或资料成本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bottom"/>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出质疑的供应商应当是参与所质疑项目采购活动的供应商。潜在供应商已依法获取采购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中航招采科技（北京）有限公司。在采购活动中本身权益未受到损害或从采购活动受益的供应商所提出的质疑不予受理。供应商应当在法定质疑期内一次性提出针对同一采购程序环节的质疑。</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1、本项目采用电子投标文件，投标人按照采购文件要求制作上传电子投标文件。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2、本项目采用电子网上招投标（电子标书），中标单位在领取中标通知书时向采购代理机构提交盖章版投标文件纸质版，份数四份（一正三副）。纸面投标文件与上传的电子投标文件一致。用于存档备案。</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投标文件递交（上传）截止时间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递交（上传）截止时间：2026年9月17日13：30（北京时间）</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投标文件必须在截止时间前完成递交（上传），逾期递交（上传）的投标文件恕不接收。</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投标文件递交地点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w:t>
            </w:r>
            <w:r/>
          </w:p>
        </w:tc>
      </w:tr>
      <w:tr>
        <w:trPr>
          <w:trHeight w:val="9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2026年9月17日13：30（北京时间）</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w:t>
            </w:r>
            <w:r/>
          </w:p>
        </w:tc>
      </w:tr>
      <w:tr>
        <w:trPr>
          <w:trHeight w:val="9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预算金额100万以下费率为预算金额的1.5%；</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预算金额100－500万费率为预算金额的1.1%；</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预算金额500-1000万费率为预算金额的0.8%；</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预算金额1000-5000万费率为预算金额的0.5%；</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注：按苏州市政府采购网苏州市级政府采购代理服务收费公告信息表公示，本项目代理服务费：壹万贰仟圆整（¥12000.00元）。</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采购单位参照上述标准并支付代理服务费。</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出现下列情形之一的，为废标：</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（一）符合专业条件的投标人或者对采购文件作实质响应的投标人不足三家的；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（二）出现影响采购公正的违法、违规行为的；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（三）投标人的报价均超过了采购预算，采购人不能支付的；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（四）因重大变故，采购任务取消的。</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投标文件属下列情况之一的，在资格性、符合性检查时按照无效投标处理：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（一）未按照采购文件规定要求签署、盖章的；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（二）不具备采购文件中规定资格要求的；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（三）投标报价超过采购预算或最高限价的；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（四）投标人的报价仅响应部分服务内容；</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（五）投标文件含有采购人不能接受的附加条件的；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（六）投标人的投标文件中出现评委会认为不应雷同的；不同投标人制作投标文件的机器码一致的；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（七）投标有效期短于90天的；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（八）与采购文件有重大偏离，不符合法律、法规和采购文件中规定的实质性要求的；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（九）其他被评委会认定无效的情况。</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ind w:left="0" w:right="0" w:firstLine="0"/>
        <w:spacing w:before="0" w:after="0" w:line="113" w:lineRule="atLeast"/>
        <w:shd w:val="clear" w:color="ffffff" w:fill="ffffff"/>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97193183" w:history="1">
        <w:r>
          <w:rPr>
            <w:rStyle w:val="778"/>
            <w:rFonts w:ascii="SimSun" w:hAnsi="SimSun" w:eastAsia="SimSun" w:cs="SimSun"/>
            <w:color w:val="000000"/>
            <w:sz w:val="28"/>
            <w:u w:val="single"/>
          </w:rPr>
          <w:t xml:space="preserve">投标须知前附表</w:t>
        </w:r>
      </w:hyperlink>
      <w:r/>
      <w:r/>
    </w:p>
    <w:p>
      <w:pPr>
        <w:ind w:left="0" w:right="0" w:firstLine="0"/>
        <w:spacing w:before="0" w:after="0" w:line="113" w:lineRule="atLeast"/>
        <w:shd w:val="clear" w:color="ffffff" w:fill="ffffff"/>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97193184" w:history="1">
        <w:r>
          <w:rPr>
            <w:rStyle w:val="778"/>
            <w:rFonts w:ascii="SimSun" w:hAnsi="SimSun" w:eastAsia="SimSun" w:cs="SimSun"/>
            <w:color w:val="000000"/>
            <w:sz w:val="28"/>
            <w:u w:val="single"/>
          </w:rPr>
          <w:t xml:space="preserve">第一章投标邀请函</w:t>
        </w:r>
      </w:hyperlink>
      <w:r/>
      <w:r/>
    </w:p>
    <w:p>
      <w:pPr>
        <w:ind w:left="0" w:right="0" w:firstLine="0"/>
        <w:spacing w:before="0" w:after="0" w:line="113" w:lineRule="atLeast"/>
        <w:shd w:val="clear" w:color="ffffff" w:fill="ffffff"/>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97193185" w:history="1">
        <w:r>
          <w:rPr>
            <w:rStyle w:val="778"/>
            <w:rFonts w:ascii="SimSun" w:hAnsi="SimSun" w:eastAsia="SimSun" w:cs="SimSun"/>
            <w:color w:val="000000"/>
            <w:sz w:val="28"/>
            <w:u w:val="single"/>
          </w:rPr>
          <w:t xml:space="preserve">第二章投标人须知</w:t>
        </w:r>
      </w:hyperlink>
      <w:r/>
      <w:r/>
    </w:p>
    <w:p>
      <w:pPr>
        <w:ind w:left="0" w:right="0" w:firstLine="0"/>
        <w:spacing w:before="0" w:after="0" w:line="113" w:lineRule="atLeast"/>
        <w:shd w:val="clear" w:color="ffffff" w:fill="ffffff"/>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97193186" w:history="1">
        <w:r>
          <w:rPr>
            <w:rStyle w:val="778"/>
            <w:rFonts w:ascii="SimSun" w:hAnsi="SimSun" w:eastAsia="SimSun" w:cs="SimSun"/>
            <w:color w:val="000000"/>
            <w:sz w:val="28"/>
            <w:u w:val="single"/>
          </w:rPr>
          <w:t xml:space="preserve">第三章投标文件格式</w:t>
        </w:r>
      </w:hyperlink>
      <w:r/>
      <w:r/>
    </w:p>
    <w:p>
      <w:pPr>
        <w:ind w:left="0" w:right="0" w:firstLine="0"/>
        <w:spacing w:before="0" w:after="0" w:line="113" w:lineRule="atLeast"/>
        <w:shd w:val="clear" w:color="ffffff" w:fill="ffffff"/>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97193187" w:history="1">
        <w:r>
          <w:rPr>
            <w:rStyle w:val="778"/>
            <w:rFonts w:ascii="SimSun" w:hAnsi="SimSun" w:eastAsia="SimSun" w:cs="SimSun"/>
            <w:color w:val="000000"/>
            <w:sz w:val="28"/>
            <w:u w:val="single"/>
          </w:rPr>
          <w:t xml:space="preserve">第四章采购书</w:t>
        </w:r>
      </w:hyperlink>
      <w:r/>
      <w:r/>
    </w:p>
    <w:p>
      <w:pPr>
        <w:ind w:left="0" w:right="0" w:firstLine="0"/>
        <w:spacing w:before="0" w:after="0" w:line="113" w:lineRule="atLeast"/>
        <w:shd w:val="clear" w:color="ffffff" w:fill="ffffff"/>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97193188" w:history="1">
        <w:r>
          <w:rPr>
            <w:rStyle w:val="778"/>
            <w:rFonts w:ascii="SimSun" w:hAnsi="SimSun" w:eastAsia="SimSun" w:cs="SimSun"/>
            <w:color w:val="000000"/>
            <w:sz w:val="28"/>
            <w:u w:val="single"/>
          </w:rPr>
          <w:t xml:space="preserve">第五章合同主要文本</w:t>
        </w:r>
      </w:hyperlink>
      <w:r/>
      <w:r/>
    </w:p>
    <w:p>
      <w:pPr>
        <w:ind w:left="0" w:right="0" w:firstLine="0"/>
        <w:spacing w:before="0" w:after="0" w:line="113" w:lineRule="atLeast"/>
        <w:shd w:val="clear" w:color="ffffff" w:fill="ffffff"/>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97193189" w:history="1">
        <w:r>
          <w:rPr>
            <w:rStyle w:val="778"/>
            <w:rFonts w:ascii="SimSun" w:hAnsi="SimSun" w:eastAsia="SimSun" w:cs="SimSun"/>
            <w:color w:val="000000"/>
            <w:sz w:val="28"/>
            <w:u w:val="single"/>
          </w:rPr>
          <w:t xml:space="preserve">第六章评标办法及评分标准</w:t>
        </w:r>
      </w:hyperlink>
      <w:r/>
      <w:r/>
    </w:p>
    <w:p>
      <w:pPr>
        <w:ind w:left="0" w:right="0" w:firstLine="0"/>
        <w:spacing w:before="0" w:after="0" w:line="11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第一章投标邀请函</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姑苏区政务信息中心国产化软件场地授权服务项目的潜在供应商应在“苏采云”系统（网址：http://jszfcg.jsczt.cn/）获取采购文件，并于2026年9月17日13点30分（北京时间）前提交投标文件。</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项目编号：JSZC-320508-ZHSZ-G2026-0004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项目名称：姑苏区政务信息中心国产化软件场地授权服务项目</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预算金额：人民币壹佰零肆万捌仟元整（1048000.00元）</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服务期限：合同签订之日起一年。</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姑苏区政务信息中心以协同办公平台、移动办公APP等系统为基础，为提高全区政务文档传输的高效性及安全性，同时需要兼容原X86架构的业务系统，也要兼容国产化操作系统，提供相应适配的国产化软件，加强全区公文交换及终端办公软件的安全性。</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以年度场地授权服务的形式，授权许可给姑苏区各部委办局、各街道、人民团体、直属事业单位等单位用户，为全区各单位的业务系统及办公终端等提供兼容、稳定、安全、可靠的国产化软件，为AI智能公文等政务应用提供支撑能力，具体详见第四章采购书。</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rPr>
          <w:rFonts w:ascii="SimSun" w:hAnsi="SimSun" w:eastAsia="SimSun" w:cs="SimSun"/>
          <w:color w:val="000000"/>
          <w:sz w:val="24"/>
        </w:rPr>
        <w:t xml:space="preserve">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1.3履行合同所必备的设备和专业技术能力。</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1.4有依法缴纳税收和社会保障基金的良好记录。</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1.5参加本次政府采购活动前三年内，在经营活动中没有重大违法记录。</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本项目的特定资格要求：无。</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3.落实政府采购政策需满足的资格要求：根据《政府采购促进中小企业发展管理办法》的相关规定，</w:t>
      </w:r>
      <w:r>
        <w:rPr>
          <w:rFonts w:ascii="SimSun" w:hAnsi="SimSun" w:eastAsia="SimSun" w:cs="SimSun"/>
          <w:b/>
          <w:color w:val="000000"/>
          <w:sz w:val="24"/>
        </w:rPr>
        <w:t xml:space="preserve">本项目专门面向中小企业，所属行业为软件和信息技术服务业</w:t>
      </w:r>
      <w:r>
        <w:rPr>
          <w:rFonts w:ascii="SimSun" w:hAnsi="SimSun" w:eastAsia="SimSun" w:cs="SimSun"/>
          <w:color w:val="000000"/>
          <w:sz w:val="24"/>
        </w:rPr>
        <w:t xml:space="preserve">，承接服务的投标人应为中小微企业、监狱企业、残疾人福利性单位。中小微企业参加本项目政府采购活动在投标投标文件中需出具《中小企业声明函》（详见格式）。残疾人福利性单位提供残疾人福利性单位声明函或者监狱企业提供监狱企业证明文件，视同提供了中小企业声明函。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4.1单位负责人为同一人或者存在直接控股、管理关系的不同供应商，不得参加同一合同项下的采购活动。</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4.2未被“信用中国”网站或“中国政府采购网”网站列入失信被执行人、重大税收违法案件当事人名单、政府采购严重失信行为记录名单。</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三、报名及获取采购文件的期限及方式：</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1、采购文件获取截止时间：自公告发布之日起5个工作日。</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供应商在“苏采云”系统中操作参与项目后，必须在“已参与项目”界面中下载电子采购文件（后缀名为“.kedt”）并导入政府采购客户端工具后方可进行投标文件制作和提交（具体详见《苏采云系统供应商操作手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高新区邓尉路105号狮山科技馆1楼服务大厅，窗口电话：0512 6573 7699）</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系统使用指导与咨询：联系电话：0512-69820854；智能客服：登录苏采云系统后，联系系统右下方智能客服图标进行咨询。</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四、提交（上传）投标文件：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截止时间：2026年9月17日13点30分（北京时间）</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启直至项目结束始终保持系统在线状态。</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1、本次采购的有关信息将在苏州市政府采购网、江苏政府采购网、中国政府采购网上发布；有关该采购项目的澄清、修正及中标等信息亦在以上网站发布，敬请留意。</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2、政府采购监督电话：0512-68616651。</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4、本项目获取采购文件截止日期之后仍可以下载采购文件，但截止日期之后下载的采购文件，视为非有效方式且不作为供应商权益受到损害的证明材料和依据。</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rPr>
          <w:rFonts w:ascii="SimSun" w:hAnsi="SimSun" w:eastAsia="SimSun" w:cs="SimSun"/>
          <w:color w:val="000000"/>
          <w:sz w:val="24"/>
        </w:rPr>
        <w:t xml:space="preserve">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称：苏州市姑苏区政务信息中心</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址：苏州市姑苏区西环路2115号</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联系人：薛星辰</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电话：0512-67230090</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2.代理机构信息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称：中航招采科技（北京）有限公司</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址：江苏省苏州市姑苏区福运路198号常润大厦10楼1008室</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联系人：孙鹏/蒲苗苗/徐亮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电话：0512-69290321</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项目联系人：孙鹏/蒲苗苗/徐亮</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电话：0512-69290321</w:t>
      </w:r>
      <w:r/>
    </w:p>
    <w:p>
      <w:pPr>
        <w:ind w:left="0" w:right="0" w:firstLine="48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中航招采科技（北京）有限公司</w:t>
      </w:r>
      <w:r/>
    </w:p>
    <w:p>
      <w:pPr>
        <w:ind w:left="0" w:right="0" w:firstLine="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40" w:after="330" w:line="136"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40" w:after="33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A说明和释义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1.1本采购文件仅适用于中航招采科技（北京）有限公司组织的采购活动。</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1.2本次采购活动及因本次采购产生的合同受中国法律、法规及规章制度制约和保护。</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1.3本采购文件的解释权属于苏州市姑苏区政务信息中心。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2.1采购（采购）人：指依法进行政府采购的国家机关、事业单位、团体组织。</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2.2采购代理机构：指依法接受采购人委托，从事货物、工程和服务等政府采购代理业务的社会中介机构。</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2.3投标人：指响应采购、参加投标竞争的法人、其他组织或者自然人。</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2.4响应：投标人根据采购人或采购代理机构发布的采购文件，编制投标文件并按规定投标的行为。</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2.5合同：采供双方根据采购文件和中标的投标文件及中标通知书规定的内容签署的以书面形式所达成的协议，包括所有的附件、附录和构成协议的所有文件。</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2.6甲方（采购人）：合同中明确规定的实际购买货物和服务的法人或其他组织和自然人。</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2.7乙方（供应商）：合同中规定的向采购人提供货物和服务的法人或其他组织和自然人。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2.8货物：系指乙方按采购采购文件规定，应向甲方提供的一切设备、备品、备件、工具、手册及其它有关技术资料和材料。</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2.9服务：系指本次采购采购文件规定乙方应承担的与提供货物和服务有关的辅助服务，比如运输、保险、安装、调试、提供技术援助、培训、配合措施、维修响应及合同中规定乙方应承担的其它义务。</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2.10知识产权：指专利权、商标权、著作权等无形财产专有权的统称。</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2.11天：日历日。</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2.12时间：除特别说明，均指北京时间。</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2.13交货地点：合同中明确约定的乙方提交的货物和服务最终到达地点。</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2.14合同价款：根据合同规定，乙方在正确地履行合同义务后甲方应支付乙方的价款。</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2.15产地：货物开采、生长、生产、最终制造、加工或提供服务的来源地。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2.17实质响应：满足有关本次采购标的、数量、质量、价款或者报酬、履行期限、履行地点和方式、违约责任和解决争议方法等要求。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2.18进口产品：通过中国海关报关验放进入中国境内且产自关境外的产品。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2.19书面形式：指书面文字、合同书、信件和传真等可以有形地表现所载内容的形式。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2.20核心产品：根据本项目技术构成、产品价格比重等合理确定的产品。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3.合格投标人的一般条件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4.合格投标人的特殊条件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见第一章投标邀请函。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5.1指全权代表投标人参加投标活动并签署投标文件的人，如果投标人代表不是法人代表，须持有《法人代表授权委托书》（详见统一格式）。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6.1无论投标过程中的做法和结果如何，投标人自行承担所有与参加投标有关的全部费用。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7.联合投标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C采购文件的说明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文件由采购文件总目录所列内容组成，投标人应仔细检查采购文件的所有内容。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8.2采购文件及其补充通知（包括更正公告）不是直接从苏州政府采购网上获得的，采购人或采购代理机构对采购文件及其补遗的真实性、完整性不承担任何责任。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9.采购文件的澄清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9.1采购人或采购代理机构无论出于自己的考虑，还是出于对投标人提问的澄清，均可对采购文件用更正公告的方式进行澄清或者修改，并通过苏州市政府采购网对外进行发布。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对于补充通知（包括更正公告），报名成功的供应商通过“苏州市政府采购网”的“采购公告”自行查看所报项目的补充通知（包括更正公告）。补充通知（包括更正公告）将作为采购文件的组成部分，对所有投标人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9.3为使投标人有足够的时间按采购文件的修改要求考虑修正投标文件，或出于其他原因，采购代理机构有权推迟投标截止日期和开标日期，并将此变更通知以更正公告的形式对外发布。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9.4采购文件的澄清、修改、补充等内容均以苏州政府采购网上发布的内容为准。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10.投标答疑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10.1勘察现场：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10.1.1根据自身投标需要，投标人可对有关现场和周围环境进行勘察，以获取编制投标文件和签署合同所需的信息。勘察现场所发生的费用由投标人自己承担。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10.1.3经采购人允许，投标人可为勘察目的进入采购人的项目现场，但投标人不得因此使采购人承担有关的责任和蒙受损失。投标人应承担勘察现场发生意外的责任及风险。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投标答疑包括采购人或采购代理机构认为可以回答且不会引起投标人误解的相关问题和答复，答疑的副本将提供给所有获得采购文件的投标人。由于投标答疑而产生的对采购文件内容的修改，由采购人或采购代理机构按照本须知有关规定，以更正公告的方式发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D投标文件说明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11.提示与要求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11.1投标人应仔细阅读采购文件的所有内容，按采购文件的要求提供投标文件，并保证所提供的全部资料的真实性，以使其投标对采购文件作出实质性响应，否则，其投标可能被拒绝。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11.2无论是否提交投标文件，投标人都应将采购文件及以后的所有通知、文件等视为保密文件。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12.1投标文件中所使用的计量单位，除采购文件中有特殊要求外，均应使用中华人民共和国法定计量单位。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13.投标文件的组成（部分格式见第三章）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13.1报价部分：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13.1.3投标报价明细表；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13.2资格及技术部分：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13.2.1关于资格文件的声明函、《投标人与其他单位存在直接控股、管理关系情况表》；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13.2.2授权委托书及投标人授权代理人身份证复印件（如有授权）；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13.2.3投标人情况表；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13.2.4投标人《营业执照》副本复印件；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13.2.5投标人法定代表人身份证复印件；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13.2.6合格供应商的资格条件所需提供的相应证明材料：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13.2.6.1具有独立承担民事责任的能力证明。包括法人或者其他组织的营业执照等证明文件，自然人的身份证明。</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13.2.6.2具有良好的商业信誉和健全的财务会计制度证明。包括但不限于最近一期（2024或2025年）经审计的财务报告，其他组织、自然人及成立未满一年的法人应提供银行出具的资信证明。</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13.2.6.3具备履行合同所必需设备和专业技术能力证明材料或声明函。</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13.2.6.4有依法缴纳税收和社会保障资金的良好记录。供应商应提供截止开标日期半年内任意一个月的依法缴纳税收的凭据和依法缴纳社会保险的凭据（专用收据或社会保险缴纳清单），依法免税或不需要缴纳社会保障资金的供应商，应提供相应证明文件。</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13.2.6.5参加政府采购活动前三年内在经营活动中没有重大违法记录的书面声明。</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13.2.6.6《中小企业声明函》或《残疾人福利性单位声明函》或由省级以上监狱管理局、戒毒管理局（含新疆生产建设兵团）出具的属于监狱企业的证明文件；</w:t>
      </w:r>
      <w:r/>
    </w:p>
    <w:p>
      <w:pPr>
        <w:ind w:left="420" w:right="0" w:firstLine="64"/>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13.2.6.7未被“信用中国”网站（www.creditchina.gov.cn）列入失信被执行人、重大税收违法案件当事人名单、政府采购严重失信行为记录名单。提供通过“信用中国”网站查询企业信用记录网页截图或信用报告（查询时间不可早于采购公告发布日期）。</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13.2.7《服务要求偏离表》、《商务条款偏离表》；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13.2.8《投标（响应）保证承诺书》；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13.2.9《项目组人员一览表》；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13.2.10《服务实施方案》；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13.2.11《企业类似业绩一览表》；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13.2.12其它有关资格证明文件：</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13.2.12.1其他可以证明投标人资信、资质和货物、服务质量的证书、文件、推荐信等资料；</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13.2.12.2</w:t>
      </w:r>
      <w:r>
        <w:rPr>
          <w:rFonts w:ascii="SimSun" w:hAnsi="SimSun" w:eastAsia="SimSun" w:cs="SimSun"/>
          <w:b/>
          <w:color w:val="000000"/>
          <w:sz w:val="24"/>
        </w:rPr>
        <w:t xml:space="preserve">价格折扣文件：中小企业此处重复上传一遍“中小企业声明函或残疾人福利性单位声明函或监狱企业证明”。</w:t>
      </w:r>
      <w:r/>
    </w:p>
    <w:p>
      <w:pPr>
        <w:ind w:left="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注：投标人必须提交上述13.1.1—13.2.9款规定的资料，否则，投标文件将因未实质响应采购文件而被拒绝；投标人所提交的资格文件的完整与否，将直接影响投标人的评分。</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13.3投标文件由13.1、13.2款规定的内容共同组成。</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13.4制作电子投标文件时必须与投标文件制作软件目录一一对应，将相关资料上传至相应模块。</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13.5开评标过程中如有问题采购代理机构工作人员会及时通过《投标供应商确认函》留存的手机号与供应商联系。</w:t>
      </w:r>
      <w:r>
        <w:rPr>
          <w:rFonts w:ascii="SimSun" w:hAnsi="SimSun" w:eastAsia="SimSun" w:cs="SimSun"/>
          <w:b/>
          <w:color w:val="000000"/>
          <w:sz w:val="24"/>
        </w:rPr>
        <w:t xml:space="preserve">请供应商确保该手机号通讯畅通，否则导致的不利后果由供应商自行承担。在系统操作过程中如有疑问，请按以下方式联系：</w:t>
      </w:r>
      <w:r/>
    </w:p>
    <w:p>
      <w:pPr>
        <w:ind w:left="0" w:right="0" w:firstLine="482"/>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注册咨询：18261002950；</w:t>
      </w:r>
      <w:r/>
    </w:p>
    <w:p>
      <w:pPr>
        <w:ind w:left="0" w:right="0" w:firstLine="482"/>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CA技术咨询电话：400-608-6099；</w:t>
      </w:r>
      <w:r/>
    </w:p>
    <w:p>
      <w:pPr>
        <w:ind w:left="0" w:right="0" w:firstLine="482"/>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签章使用问题：025-83633811、025-83633812、15380932027、15371015030；</w:t>
      </w:r>
      <w:r/>
    </w:p>
    <w:p>
      <w:pPr>
        <w:ind w:left="0" w:right="0" w:firstLine="482"/>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系统使用指导与咨询：联系电话：0512-69820854；智能客服：登录苏采云系统后，联系系统右下方智能客服图标进行咨询。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14.投标文件编制要求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14.1投标文件按统一格式、顺序编写。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14.2《开标一览表》为在开标仪式上唱标的内容，要求按格式填写，统一规范，不得自行增减内容。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除非合同中另有规定，投标人对《开标一览表》中的全部服务的报价应包括完成本项目的人员工资、社保、加班费、交通费、差旅费、资料费、调研费、配套费用、税费及为提供约定的服务而发生的其他全部费用，以及乙方的企业利润和合同的签订及履行可能包含的所有风险、责任等各项应有费用。同时，除非合同条款中另有规定，否则，投标人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应按《投标报价明细表》中的全部货物和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15.3投标人应对采购文件内所要采购的全部内容进行报价，只投其中部分内容者，其标书将被拒绝。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15.4一项投标内容只允许一个报价，采购人或采购代理机构不接受任何有选择性的投标报价。投标人应按《投标报价明细表》中的全部内容的每一单项计算并填写单价和总价，该表并由法定代表人或代理人签署。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15.5投标文件报价中的单价和总价全部采用人民币表示，除非合同的特殊条款另有规定。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15.6最低报价不能作为中标的保证。</w:t>
      </w:r>
      <w:r/>
    </w:p>
    <w:p>
      <w:pPr>
        <w:ind w:left="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16.投标保证金：见投标须知前附表。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17.1自投标截止日起</w:t>
      </w:r>
      <w:r>
        <w:rPr>
          <w:rFonts w:ascii="SimSun" w:hAnsi="SimSun" w:eastAsia="SimSun" w:cs="SimSun"/>
          <w:color w:val="000000"/>
          <w:sz w:val="24"/>
          <w:u w:val="single"/>
        </w:rPr>
        <w:t xml:space="preserve">90</w:t>
      </w:r>
      <w:r>
        <w:rPr>
          <w:rFonts w:ascii="SimSun" w:hAnsi="SimSun" w:eastAsia="SimSun" w:cs="SimSun"/>
          <w:color w:val="000000"/>
          <w:sz w:val="24"/>
        </w:rPr>
        <w:t xml:space="preserve">天内，投标书应保持有效。有效期短于这个规定期限的投标将被拒绝。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采购人或采购代理机构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仍予以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E投标文件的递交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18.电子投标（响应）文件的制作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18.3投标文件未按照采购文件要求加盖CA电子公章的，投标无效。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18.4联合体投标：如采购（采购）公告中允许联合体投标，联合体投标的投标（响应）文件制作上传操作如下：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18.5如投标（响应）文件制作机器码信息一致，视为不同投标供应商使用同一台电脑编制投标（响应）文件，投标（响应）无效。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18.6技术支持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系统使用指导与咨询：联系电话：0512-69820854；智能客服：登录苏采云系统后，联系系统右下方智能客服图标进行咨询。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F开标和评标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20.1开标由采购代理机构在线主持，邀请投标人在线参加。投标人应当按照《苏采云系统供应商操作手册》规定，</w:t>
      </w:r>
      <w:r>
        <w:rPr>
          <w:rFonts w:ascii="SimSun" w:hAnsi="SimSun" w:eastAsia="SimSun" w:cs="SimSun"/>
          <w:b/>
          <w:color w:val="000000"/>
          <w:sz w:val="24"/>
        </w:rPr>
        <w:t xml:space="preserve">参加开标活动和在“苏采云”系统规定的时间内对投标文件进行解密</w:t>
      </w:r>
      <w:r>
        <w:rPr>
          <w:rFonts w:ascii="SimSun" w:hAnsi="SimSun" w:eastAsia="SimSun" w:cs="SimSun"/>
          <w:color w:val="000000"/>
          <w:sz w:val="24"/>
        </w:rPr>
        <w:t xml:space="preserve">。评标委员会成员不得参加开标活动。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时，由采购代理机构通过“苏采云”系统在线宣布投标人名称、投标价格和采购文件规定的需要宣布的其他内容。投标人在不见面开标系统中确认投标价格，如投标人未在线参加开标或未在规定时间内确认价格的，视同认可开标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20.3资格审查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20.3.1公开采购采购项目开标结束后，采购人应当依法对投标人的资格进行审查，未通过资格审查的视为无效投标。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20.3.2.1查询时间：投标文件递交截止时间。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20.3.2.2查询渠道</w:t>
      </w:r>
      <w:r>
        <w:rPr>
          <w:rFonts w:ascii="SimSun" w:hAnsi="SimSun" w:eastAsia="SimSun" w:cs="SimSun"/>
          <w:b/>
          <w:color w:val="000000"/>
          <w:sz w:val="24"/>
        </w:rPr>
        <w:t xml:space="preserve">：</w:t>
      </w:r>
      <w:r>
        <w:rPr>
          <w:rFonts w:ascii="SimSun" w:hAnsi="SimSun" w:eastAsia="SimSun" w:cs="SimSun"/>
          <w:color w:val="000000"/>
          <w:sz w:val="24"/>
        </w:rPr>
        <w:t xml:space="preserve">采购代理机构会在接收投标文件截止时间后，登录信用中国网站（www.creditchina.gov.cn）和中国政府采购网（www.ccgp.gov.cn/）查询供应商的信用记录，并将查询结果递交评标委员会。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21.评标委员会或评标小组</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21.1评标委员会由采购人或采购代理机构依法组建。</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21.2评标委员会负责具体的评标事务，并独立履行以下职责：</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21.2.1审查、评价投标文件是否符合采购文件的商务、技术等实质性要求；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21.2.2要求投标人对投标文件有关事项作出澄清或者说明；</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21.2.3对投标文件进行比较和评价；</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21.2.4确定中标候选人名单，以及根据采购人委托直接确定中标人；</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21.2.5向采购人、采购代理机构或者有关部门报告评标中发现的违法行为。</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21.3评标委员会成员应当履行下列义务：</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21.3.1遵纪守法，客观、公正、廉洁地履行职责；</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21.3.2按照采购文件规定的评标办法和评标标准进行评标，对评审意见承担个人责任；</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21.3.3对评标过程和结果，以及投标人的商业秘密保密；</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21.3.4参与评审报告的起草；</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21.3.5配合相关部门的投诉处理工作；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21.3.6配合采购人或采购代理机构答复投标供应商提出的质疑。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22.评标内容的保密</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22.1公开开标后，直到宣布授予中标单位合同为止，凡属于审查、澄清、评价和比较投标的所有资料，有关授予合同的信息都不应向投标人或与评标无关的其他人泄露。</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22.2在投标文件的审查、澄清、评价和比较以及授予合同的过程中，投标人对采购人或采购代理机构和评标委员会成员施加影响的任何行为，都将取消其中标资格。</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22.3在评标期间，采购人或采购代理机构将通过指定联络人与投标人进行联系。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23.对投标文件初审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23.1开标后，评标委员会在初审过程中有权拒绝有下列情况之一的投标文件：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23.1.1投标人的投标文件未按照本须知规定制作的；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23.1.2与采购文件有重大偏离；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23.1.3投标人拒绝修正错误；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23.1.4投标人的报价是选择性的；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23.1.5投标人的报价只投了部分内容；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23.1.6投标人的投标文件出现了评标委员会认为不应当雷同的情况；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23.1.7其他被评标委员会认定无效的情况。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详细评标之前，评委会将首先审查每份投标书是否实质响应了采购文件的要求。实质上响应的投标应该是与采购文件的全部条款、条件和规格相符，没有重大偏离或保留。所谓重大偏离或保留是指在实质上与采购文件不一致，而且限制了合同中采购方的权利或投标人的义务。这些偏离或保留将会对其他实质上响应要求的投标人的竞争地位产生不公正的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标委员会将允许修改投标中不构成重大偏离的微小的、非正规、不一致或不规则的地方，但这些修改不能影响任何投标人的名次相应排列。投标人不得对采购文件进行实质性修改，包括但不限于付款方式、付款条件等条款，否则投标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23.4评标委员会将拒绝被确定为非实质性响应的投标，投标人不能通过修正或撤销不符之处而使其投标成为实质性响应的投标。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23.5评标委员会将对确定为实质性响应的投标进行审核，看其是否有计算上或累加上的算术错误。投标文件报价出现前后不一致的，除采购文件另有规定外，按照下列规定修正：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87号《政府采购货物和服务采购投标管理办法》第五十一条第二款的规定经投标人确认后产生约束力，投标人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（五）投标人不同意以上修正，则其投标将被拒绝。</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23.6根据江苏省财政厅《关于推动解决政府采购异常低价问题的通知》（苏财购〔2026〕36号）要求，本项目执行评审委员会启动异常低价投标（响应）的审查，相关情形和具体要求如下：</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（1）评审过程中出现下列情形之一的，评审委员会应当启动异常低价投标（响应）审查程序：</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①投标(响应)报价低于全部通过符合性审查供应商投标(响应)报价平均值50%的，即投标(响应)报价&lt;全部通过符合性审查供应商投标(响应)报价平均值X50%；</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②投标(响应)报价低于通过符合性审查的次低报价供应商投标(响应)报价50%的，即投标(响应)报价&lt;通过符合性审查的次低报价供应商投标(响应)报价X50%；</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③投标(响应)报价低于采购项目最高限价45%的，即投标(响应)报价&lt;采购项目最高限价X45%；</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④评审委员会基于专业判断，认为供应商报价过低，有可能影响产品质量或者不能诚信履约的其他情形。</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23.7除上述情形外，对电子投标文件的判定，只依据电子投标文件本身，不依靠开标后的任何外来证明。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24.投标的澄清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24.1对于投标文件中含义不明确、同类问题表述不一致或者有明显文字和计算错误的内容，评标委员会应当以书面形式要求投标人作出必要的澄清、说明或者补正。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24.2投标人的澄清、说明或者补正应当采用书面形式，并加盖其单位电子公章。投标人的澄清、说明或者补正不得超出投标文件的范围或者改变投标文件的实质性内容。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w:t>
      </w:r>
      <w:r>
        <w:rPr>
          <w:rFonts w:ascii="SimSun" w:hAnsi="SimSun" w:eastAsia="SimSun" w:cs="SimSun"/>
          <w:color w:val="000000"/>
          <w:sz w:val="24"/>
        </w:rPr>
        <w:t xml:space="preserve">供应商应随时保持系统在线，如因供应商自身原因未在规定时间内提交澄清确认资料的，导致的不利后果由供应商自行承担。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25.1在采购过程中，出现下列情况之一的，应予废标：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25.1.1符合专业条件的供应商或者对采购文件作实质响应的供应商不足三家的；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25.2废标后，采购代理机构将把废标的理由通知所有投标人。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26.投标文件的评价和比较</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26.1评标委员会将仅对按照本须知有关规定确定为实质上响应采购文件要求的投标文件进行评价和比较。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26.2评价和比较采用综合评分法，即指投标文件满足采购文件全部实质性要求，且按照评审因素的量化指标评审得分最高的投标人为排名第一的中标候选人的评标方法。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评标委员会严格按照采购文件的要求、条件、评分标准，对投标单位所提供货物或服务的先进性、可靠性、售后服务承诺、质量保证承诺等实质性响应内容进行比较报价，同时考虑以下因素：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26.2.1投标者的资信情况和履约能力；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26.2.2投标者提供的其他优惠条件；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G授予合同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27.中标单位的确认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27.1由采购人在评审报告推荐的中标候选人中按顺序确定中标供应商。逾期未确认，视同确定排名第一的中标候选人为中标供应商。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28.合同授予标准</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28.1采购人将把合同授予其投标文件在实质上响应采购文件要求和按本须知规定评选出的投标人。确定为中标的投标人必须具有实施本合同的能力和资源。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29.1确定出中标人后，采购代理机构在法定时间内向中标人发出中标通知书。</w:t>
      </w:r>
      <w:r>
        <w:rPr>
          <w:rFonts w:ascii="SimSun" w:hAnsi="SimSun" w:eastAsia="SimSun" w:cs="SimSun"/>
          <w:b/>
          <w:color w:val="000000"/>
          <w:sz w:val="24"/>
        </w:rPr>
        <w:t xml:space="preserve">请中标人在中标结果公告届满之日起30日内,使用CA证书登录“苏采云”系统及时下载中标通知书。</w:t>
      </w:r>
      <w:r>
        <w:rPr>
          <w:rFonts w:ascii="SimSun" w:hAnsi="SimSun" w:eastAsia="SimSun" w:cs="SimSun"/>
          <w:color w:val="000000"/>
          <w:sz w:val="24"/>
        </w:rPr>
        <w:t xml:space="preserve">因系统存储空间有限，自中标结果公告届满之日起30日后，“苏采云”系统不再保证提供下载中标通知书服务,因未及时下载而造成的不利后果由中标人自行承担。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29.2中标通知书将成为合同的组成部分，对采购人和中标人具有同等法律效力。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29.3中标通知书发出后，采购人不得违法改变中标结果，中标人无正当理由不得放弃中标。</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29.4采购人或采购代理机构对未中标单位不承担解释未中标原因的义务。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30.合同的签订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按照《关于印发&lt;苏州市政府采购促进中小企业发展实施意见&gt;的通知》（苏财购〔2022〕16号）文件精神，采购人与中标人原则上应当在中标通知书发出之日起十五日（最迟30日）内，按照采购文件及投标文件确定的事项签订政府采购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采购人与中标人所签订的合同不得对采购文件确定的事项和中标人投标文件作实质性修改，采购人不得向中标人提出任何不合理的要求作为签订合同的条件。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30.3采购文件、中标人的投标文件及采购过程中有关澄清、承诺文件均应作为合同附件。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30.4依据《政府采购促进中小企业发展管理办法》（财库〔2020〕46号）规定，依据本办法规定享受扶持政策获得政府采购合同的，小微企业不得将合同分包给大中型企业，中型企业不得将合同分包给大型企业。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30.6中标供应商拒绝与采购人签订合同的，采购人可以按照评审报告推荐的中标候选人名单排序，确定下一候选人为中标供应商，也可以重新开展政府采购活动。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31.履约保证金：按前附表的规定提交履约保证金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H其他事项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32.代理服务费</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32.1采购单位须按前附表的规定计算并支付代理服务费。</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32.2采购单位如果未按规定缴纳代理服务费，采购代理机构将保留诉讼的权利。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33.监督和公证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33.1有关监督部门将对招投标全过程进行监督。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40" w:after="330" w:line="136"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40" w:after="33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对本章所有的投标书格式，投标人可根据自身情况进行补充和修改，但补充和修改不得造成与本格式内容有实质性的违背。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1、（投标人）法定代表人授权委托书</w:t>
      </w:r>
      <w:r/>
    </w:p>
    <w:p>
      <w:pPr>
        <w:ind w:left="420" w:right="0" w:firstLine="0"/>
        <w:jc w:val="center"/>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授权委托书</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w:t>
      </w:r>
      <w:r>
        <w:rPr>
          <w:rFonts w:ascii="SimSun" w:hAnsi="SimSun" w:eastAsia="SimSun" w:cs="SimSun"/>
          <w:color w:val="000000"/>
          <w:sz w:val="24"/>
          <w:u w:val="single"/>
        </w:rPr>
        <w:t xml:space="preserve">（姓名）</w:t>
      </w:r>
      <w:r>
        <w:rPr>
          <w:rFonts w:ascii="SimSun" w:hAnsi="SimSun" w:eastAsia="SimSun" w:cs="SimSun"/>
          <w:color w:val="000000"/>
          <w:sz w:val="24"/>
        </w:rPr>
        <w:t xml:space="preserve">为我公司代理人，以本公司的名义参加中航招采科技（北京）有限公司组织实施的编号为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号的采购活动。代理人在开标、评标、合同采购过程中所签署的一切文件和处理与这有关的一切事务，我均予以承认。</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中航招采科技（北京）有限公司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号采购文件，经仔细阅读和研究，我们决定参加投标。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1、我们愿意按照采购文件的一切要求，提供完成该项目的全部内容。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2、如果我们的投标书被接受，我们将严格履行采购文件中规定的每一项要求，按期、按质、按量履行合同的义务。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3、我们已详细审查全部采购文件，包括补充文件(如果有)。我们完全理解并同意放弃对这方面有不明及误解的权力。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4、我们同意按采购文件中的规定，本投标书的有效期限为投标截止日起</w:t>
      </w:r>
      <w:r>
        <w:rPr>
          <w:rFonts w:ascii="SimSun" w:hAnsi="SimSun" w:eastAsia="SimSun" w:cs="SimSun"/>
          <w:color w:val="000000"/>
          <w:sz w:val="24"/>
          <w:u w:val="single"/>
        </w:rPr>
        <w:t xml:space="preserve">九十</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5、我们愿意提供采购人或采购代理机构在采购文件中要求的所有资料。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6、我们声明：我们在参加本次政府采购活动前3年内在经营活动中没有重大违法记录。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7、我们愿意遵守采购公告及采购文件中所列的收费标准。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8、我们承诺该项投标在开标后的全过程中保持有效，不作任何更改和变动。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9、我们愿意按采购文件的规定交纳投标保证金（如有），并同意投标人须知中关于不予退还投标保证金的规定。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10、如果我们中标，我们愿意按采购文件规定支付履约保证金（如有）。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11、我们承诺我公司符合采购文件投标人须知中“合格投标人的资格条件”的要求，若与真实情况不符，本公司愿意承担由此而产生的一切后果。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12、综合说明：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所有有关标书的函电，请按下列地址联系：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tab/>
        <w:tab/>
        <w:tab/>
        <w:tab/>
        <w:tab/>
        <w:tab/>
        <w:tab/>
        <w:tab/>
        <w:tab/>
        <w:t xml:space="preserve">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tab/>
        <w:tab/>
        <w:tab/>
        <w:tab/>
        <w:tab/>
        <w:tab/>
        <w:tab/>
        <w:tab/>
        <w:tab/>
        <w:t xml:space="preserve">邮政编码：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tab/>
        <w:tab/>
        <w:tab/>
        <w:tab/>
        <w:tab/>
        <w:tab/>
        <w:tab/>
        <w:tab/>
        <w:t xml:space="preserve">传真：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开标一览表（以苏采云系统为准）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9"/>
        <w:gridCol w:w="2679"/>
        <w:gridCol w:w="2208"/>
        <w:gridCol w:w="3379"/>
      </w:tblGrid>
      <w:tr>
        <w:trPr>
          <w:trHeight w:val="10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4、投标报价明细表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投标报价明细表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2"/>
        <w:gridCol w:w="2596"/>
        <w:gridCol w:w="2222"/>
        <w:gridCol w:w="957"/>
        <w:gridCol w:w="857"/>
        <w:gridCol w:w="722"/>
        <w:gridCol w:w="1265"/>
      </w:tblGrid>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时间周期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费用（元）</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注：（1）明细表包含投标单位各项成本核算和投入的成本明细。投标报价明细表中的合计金额应与开标一览表投标总价金额一致；否则，以开标一览表为准。</w:t>
      </w:r>
      <w:r/>
    </w:p>
    <w:p>
      <w:pPr>
        <w:ind w:left="0" w:right="0" w:firstLine="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（2）若事项较多，供应商可根据实际情况另纸说明。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5、商务条款偏离表</w:t>
      </w:r>
      <w:r/>
    </w:p>
    <w:p>
      <w:pPr>
        <w:ind w:left="420" w:right="0" w:firstLine="0"/>
        <w:jc w:val="center"/>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420" w:right="0" w:firstLine="0"/>
        <w:jc w:val="center"/>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2159"/>
        <w:gridCol w:w="2591"/>
        <w:gridCol w:w="2612"/>
        <w:gridCol w:w="105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的投标文件（除服务要求部分）与采购文件规定的有偏离的，应在此表中说明。未在上表中说明的，如在投标文件其他内容中已有文字说明的，则以已有文字说明为准，否则，将被认为完全响应采购文件的规定。但该表不作为投标人对所投标的物关于商务条款等详细描述和说明的替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color w:val="000000"/>
          <w:sz w:val="24"/>
        </w:rPr>
        <w:t xml:space="preserve">投标人：（盖章）</w:t>
      </w:r>
      <w:r/>
      <w:r>
        <w:rPr>
          <w:rFonts w:ascii="DengXian" w:hAnsi="DengXian" w:eastAsia="DengXian" w:cs="DengXian"/>
          <w:sz w:val="21"/>
        </w:rP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
      <w:r>
        <w:rPr>
          <w:sz w:val="24"/>
        </w:rPr>
      </w:r>
      <w:r>
        <w:rPr>
          <w:rFonts w:ascii="SimSun" w:hAnsi="SimSun" w:eastAsia="SimSun" w:cs="SimSun"/>
          <w:b/>
          <w:color w:val="000000"/>
          <w:sz w:val="24"/>
        </w:rPr>
        <w:t xml:space="preserve">6、服务要求偏离表</w:t>
      </w:r>
      <w:r/>
      <w:r>
        <w:rPr>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6"/>
        <w:gridCol w:w="1743"/>
        <w:gridCol w:w="1403"/>
        <w:gridCol w:w="1250"/>
        <w:gridCol w:w="1492"/>
        <w:gridCol w:w="151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注：1、投标人应对照采购文件服务要求等，所响应的要求与采购文件的规定有偏离的，应在此表中申明与服务要求条文的偏差和例外。</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2、未在上表中说明的，如在投标文件其他内容中已有文字说明的，则以已有文字说明为准，否则，将被认为完全响应采购文件的规定。但该表不作为投标人对所投标的物关于服务要求等详细描述和说明的替代。</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7、服务实施方案</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服务实施方案</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1、供应商应根据本次采购项目要求，对所投服务进行详细的说明与描述，包括针对本次采购项目特点及具体情况编写中标后拟采取的实施方案等。</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2、供应商可根据自身情况编写，本页不够可另加页附后。</w:t>
            </w:r>
            <w:r/>
          </w:p>
        </w:tc>
      </w:tr>
      <w:tr>
        <w:trPr>
          <w:trHeight w:val="72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bottom"/>
            <w:textDirection w:val="lrTb"/>
            <w:noWrap w:val="false"/>
          </w:tcPr>
          <w:p>
            <w:pPr>
              <w:ind w:left="0" w:right="0" w:firstLine="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8、项目组人员一览表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项目组人员一览表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7"/>
        <w:gridCol w:w="1187"/>
        <w:gridCol w:w="1065"/>
        <w:gridCol w:w="759"/>
        <w:gridCol w:w="806"/>
        <w:gridCol w:w="761"/>
        <w:gridCol w:w="1399"/>
        <w:gridCol w:w="1260"/>
        <w:gridCol w:w="1510"/>
      </w:tblGrid>
      <w:tr>
        <w:trPr>
          <w:trHeight w:val="701"/>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项目组所任职务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从事本工作时间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典型业务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与技术专长</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9、企业类似业绩一览表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企业类似业绩一览表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1821"/>
        <w:gridCol w:w="1662"/>
        <w:gridCol w:w="1662"/>
        <w:gridCol w:w="1942"/>
        <w:gridCol w:w="1322"/>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注：附合同复印件等资料。</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
        <w:rPr>
          <w:rFonts w:ascii="DengXian" w:hAnsi="DengXian" w:eastAsia="DengXian" w:cs="DengXian"/>
          <w:sz w:val="21"/>
        </w:rPr>
      </w:r>
      <w:r>
        <w:rPr>
          <w:rFonts w:ascii="SimSun" w:hAnsi="SimSun" w:eastAsia="SimSun" w:cs="SimSun"/>
          <w:b/>
          <w:color w:val="000000"/>
          <w:sz w:val="24"/>
        </w:rPr>
        <w:t xml:space="preserve">10、资格证明文件</w:t>
      </w:r>
      <w:r/>
      <w:r>
        <w:rPr>
          <w:rFonts w:ascii="DengXian" w:hAnsi="DengXian" w:eastAsia="DengXian" w:cs="DengXian"/>
          <w:sz w:val="21"/>
        </w:rP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420" w:right="0" w:firstLine="0"/>
        <w:jc w:val="center"/>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center"/>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关于资格文件的声明函</w:t>
      </w:r>
      <w:r/>
    </w:p>
    <w:p>
      <w:pPr>
        <w:ind w:left="420" w:right="0" w:firstLine="0"/>
        <w:jc w:val="center"/>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中航招采科技（北京）有限公司</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本公司拟对由贵公司组织实施的编号为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的采购活动进行投标。本公司所提交的投标文件中所有关于投标资格的文件、证明和陈述均是真实的、准确的。若与真实情况不符，本公司愿意承担由此而产生的一切后果。</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（投标人）法定代表人（签字或盖章）：</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（2）投标人情况表</w:t>
      </w:r>
      <w:r/>
    </w:p>
    <w:p>
      <w:pPr>
        <w:ind w:left="420" w:right="0" w:firstLine="0"/>
        <w:jc w:val="center"/>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投标人情况表</w:t>
      </w:r>
      <w:r/>
    </w:p>
    <w:p>
      <w:pPr>
        <w:ind w:left="420" w:right="0" w:firstLine="0"/>
        <w:jc w:val="center"/>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27"/>
        <w:gridCol w:w="2016"/>
        <w:gridCol w:w="1464"/>
        <w:gridCol w:w="2081"/>
        <w:gridCol w:w="12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4"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4"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216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6"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42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4"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42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4"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4"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4"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9" w:type="dxa"/>
            <w:vAlign w:val="center"/>
            <w:textDirection w:val="lrTb"/>
            <w:noWrap w:val="false"/>
          </w:tcPr>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苏州市姑苏区政务信息中心</w:t>
      </w:r>
      <w:r>
        <w:rPr>
          <w:rFonts w:ascii="SimSun" w:hAnsi="SimSun" w:eastAsia="SimSun" w:cs="SimSun"/>
          <w:color w:val="000000"/>
          <w:sz w:val="24"/>
        </w:rPr>
        <w:t xml:space="preserve">的</w:t>
      </w:r>
      <w:r>
        <w:rPr>
          <w:rFonts w:ascii="SimSun" w:hAnsi="SimSun" w:eastAsia="SimSun" w:cs="SimSun"/>
          <w:color w:val="000000"/>
          <w:sz w:val="24"/>
          <w:u w:val="single"/>
        </w:rPr>
        <w:t xml:space="preserve">姑苏区政务信息中心国产化软件场地授权服务</w:t>
      </w:r>
      <w:r>
        <w:rPr>
          <w:rFonts w:ascii="SimSun" w:hAnsi="SimSun" w:eastAsia="SimSun" w:cs="SimSun"/>
          <w:color w:val="000000"/>
          <w:sz w:val="24"/>
        </w:rPr>
        <w:t xml:space="preserve">采购活动，服务全部由符合政策要求的中小企业承接（或者：服务全部由符合政策要求的中小企业承接）。相关企业（含联合体中的中小企业、签订分包意向协议的中小企业）的具体情况如下：</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姑苏区政务信息中心国产化软件场地授权服务，</w:t>
      </w:r>
      <w:r>
        <w:rPr>
          <w:rFonts w:ascii="SimSun" w:hAnsi="SimSun" w:eastAsia="SimSun" w:cs="SimSun"/>
          <w:color w:val="000000"/>
          <w:sz w:val="24"/>
        </w:rPr>
        <w:t xml:space="preserve">属于</w:t>
      </w:r>
      <w:r>
        <w:rPr>
          <w:rFonts w:ascii="SimSun" w:hAnsi="SimSun" w:eastAsia="SimSun" w:cs="SimSun"/>
          <w:b/>
          <w:color w:val="000000"/>
          <w:sz w:val="24"/>
          <w:u w:val="single"/>
        </w:rPr>
        <w:t xml:space="preserve">软件和信息技术服务业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rPr>
          <w:rFonts w:ascii="SimSun" w:hAnsi="SimSun" w:eastAsia="SimSun" w:cs="SimSun"/>
          <w:b/>
          <w:color w:val="000000"/>
          <w:sz w:val="24"/>
        </w:rPr>
        <w:t xml:space="preserve">注：（企业类型选填一项）</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DengXian" w:hAnsi="DengXian" w:eastAsia="DengXian" w:cs="DengXian"/>
          <w:sz w:val="21"/>
        </w:rPr>
      </w:r>
      <w:r>
        <w:rPr>
          <w:rFonts w:ascii="SimSun" w:hAnsi="SimSun" w:eastAsia="SimSun" w:cs="SimSun"/>
          <w:color w:val="000000"/>
          <w:sz w:val="24"/>
        </w:rPr>
        <w:t xml:space="preserve"> </w:t>
      </w:r>
      <w:r/>
      <w:r>
        <w:rPr>
          <w:rFonts w:ascii="DengXian" w:hAnsi="DengXian" w:eastAsia="DengXian" w:cs="DengXian"/>
          <w:sz w:val="21"/>
        </w:rPr>
      </w:r>
    </w:p>
    <w:p>
      <w:pPr>
        <w:ind w:left="420" w:right="0" w:firstLine="4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420" w:right="0" w:firstLine="4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附：中小企业划型标准规定（工信部联企业〔2011〕300号）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（一）农、林、牧、渔业。</w:t>
      </w:r>
      <w:r>
        <w:rPr>
          <w:rFonts w:ascii="SimSun" w:hAnsi="SimSun" w:eastAsia="SimSun" w:cs="SimSun"/>
          <w:color w:val="000000"/>
          <w:sz w:val="24"/>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（二）工业。</w:t>
      </w:r>
      <w:r>
        <w:rPr>
          <w:rFonts w:ascii="SimSun" w:hAnsi="SimSun" w:eastAsia="SimSun" w:cs="SimSun"/>
          <w:color w:val="000000"/>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（三）建筑业。</w:t>
      </w:r>
      <w:r>
        <w:rPr>
          <w:rFonts w:ascii="SimSun" w:hAnsi="SimSun" w:eastAsia="SimSun" w:cs="SimSun"/>
          <w:color w:val="000000"/>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（四）批发业。</w:t>
      </w:r>
      <w:r>
        <w:rPr>
          <w:rFonts w:ascii="SimSun" w:hAnsi="SimSun" w:eastAsia="SimSun" w:cs="SimSun"/>
          <w:color w:val="000000"/>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（五）零售业。</w:t>
      </w:r>
      <w:r>
        <w:rPr>
          <w:rFonts w:ascii="SimSun" w:hAnsi="SimSun" w:eastAsia="SimSun" w:cs="SimSun"/>
          <w:color w:val="000000"/>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（六）交通运输业。</w:t>
      </w:r>
      <w:r>
        <w:rPr>
          <w:rFonts w:ascii="SimSun" w:hAnsi="SimSun" w:eastAsia="SimSun" w:cs="SimSun"/>
          <w:color w:val="000000"/>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（七）仓储业。</w:t>
      </w:r>
      <w:r>
        <w:rPr>
          <w:rFonts w:ascii="SimSun" w:hAnsi="SimSun" w:eastAsia="SimSun" w:cs="SimSun"/>
          <w:color w:val="000000"/>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（八）邮政业。</w:t>
      </w:r>
      <w:r>
        <w:rPr>
          <w:rFonts w:ascii="SimSun" w:hAnsi="SimSun" w:eastAsia="SimSun" w:cs="SimSun"/>
          <w:color w:val="000000"/>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（九）住宿业。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（十）餐饮业。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（十一）信息传输业。</w:t>
      </w:r>
      <w:r>
        <w:rPr>
          <w:rFonts w:ascii="SimSun" w:hAnsi="SimSun" w:eastAsia="SimSun" w:cs="SimSun"/>
          <w:color w:val="000000"/>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（十二）软件和信息技术服务业。</w:t>
      </w:r>
      <w:r>
        <w:rPr>
          <w:rFonts w:ascii="SimSun" w:hAnsi="SimSun" w:eastAsia="SimSun" w:cs="SimSun"/>
          <w:color w:val="000000"/>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（十三）房地产开发经营。</w:t>
      </w:r>
      <w:r>
        <w:rPr>
          <w:rFonts w:ascii="SimSun" w:hAnsi="SimSun" w:eastAsia="SimSun" w:cs="SimSun"/>
          <w:color w:val="000000"/>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（十四）物业管理。</w:t>
      </w:r>
      <w:r>
        <w:rPr>
          <w:rFonts w:ascii="SimSun" w:hAnsi="SimSun" w:eastAsia="SimSun" w:cs="SimSun"/>
          <w:color w:val="000000"/>
          <w:sz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（十五）租赁和商务服务业。</w:t>
      </w:r>
      <w:r>
        <w:rPr>
          <w:rFonts w:ascii="SimSun" w:hAnsi="SimSun" w:eastAsia="SimSun" w:cs="SimSun"/>
          <w:color w:val="000000"/>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156"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（十六）其他未列明行业。</w:t>
      </w:r>
      <w:r>
        <w:rPr>
          <w:rFonts w:ascii="SimSun" w:hAnsi="SimSun" w:eastAsia="SimSun" w:cs="SimSun"/>
          <w:color w:val="000000"/>
          <w:sz w:val="24"/>
        </w:rPr>
        <w:t xml:space="preserve">从业人员300人以下的为中小微型企业。其中，从业人员100人及以上的为中型企业；从业人员10人及以上的为小型企业；从业人员10人以下的为微型企业。</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（5）《投标（响应）保证承诺书》</w:t>
      </w:r>
      <w:r/>
    </w:p>
    <w:p>
      <w:pPr>
        <w:ind w:left="42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投标（响应）保证承诺书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（采购代理机构名称）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（项目名称和采购编号） </w:t>
      </w:r>
      <w:r>
        <w:rPr>
          <w:rFonts w:ascii="SimSun" w:hAnsi="SimSun" w:eastAsia="SimSun" w:cs="SimSun"/>
          <w:color w:val="000000"/>
          <w:sz w:val="24"/>
        </w:rPr>
        <w:t xml:space="preserve">的投标（响应）,并做出如下承诺：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支付本采购文件公布的预算金额（或最高限价）的2%作为违约赔偿金（数量不确定的单价采购须约定具体金额）。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1.自投标（响应）截止时间至本项目发布中标公告为止，撤销投标（响应）；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2.中标后不依法与采购人签订合同；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3.中标后不按本采购文件规定向采购人提交履约保证金（如有）；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电子邮件：邮编：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（6）投标人与其他单位存在直接控股、管理关系情况表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投标人与其他单位存在直接控股、管理关系情况表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1438"/>
        <w:gridCol w:w="1299"/>
        <w:gridCol w:w="1884"/>
        <w:gridCol w:w="424"/>
        <w:gridCol w:w="1443"/>
        <w:gridCol w:w="2039"/>
      </w:tblGrid>
      <w:tr>
        <w:trPr>
          <w:trHeight w:val="76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与投标人存在直接股权关系</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与投标人存在直接管理关系</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是否为大型企业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（填写“是”或 “否”）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是否直接控股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（填写“是”或 “否”）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直接控股关系情况说明（持股比例等）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是否为大型企业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（填写“是”或 “否”）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直接管理关系情况说明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bl>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注：1、本表仅须填写与投标人存在直接股权、管理关系的企业情况。投标人应按上表要求据实填写，如填写“无”或不填写，均视为投标人声明不存在有关情形。</w:t>
      </w:r>
      <w:r/>
    </w:p>
    <w:p>
      <w:pPr>
        <w:ind w:left="420" w:right="0" w:firstLine="564"/>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2、其中“直接控股”是指投标人与大型企业之间存在直接投资并控股（非普通持股）的关系。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color w:val="000000"/>
          <w:sz w:val="24"/>
        </w:rPr>
        <w:t xml:space="preserve"> </w:t>
      </w:r>
      <w:r/>
      <w:r>
        <w:rPr>
          <w:rFonts w:ascii="DengXian" w:hAnsi="DengXian" w:eastAsia="DengXian" w:cs="DengXian"/>
          <w:sz w:val="21"/>
        </w:rP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240" w:after="24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
        <w:rPr>
          <w:rFonts w:ascii="SimSun" w:hAnsi="SimSun" w:eastAsia="SimSun" w:cs="SimSun"/>
          <w:color w:val="000000"/>
          <w:sz w:val="24"/>
        </w:rPr>
      </w:r>
      <w:r>
        <w:rPr>
          <w:sz w:val="24"/>
        </w:rPr>
      </w:r>
    </w:p>
    <w:p>
      <w:pPr>
        <w:ind w:left="0" w:right="0" w:firstLine="48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rPr>
          <w:sz w:val="24"/>
        </w:rPr>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（7）关于符合本国产品标准的声明函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420" w:right="0" w:firstLine="527"/>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73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731"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731"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731"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731"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6.用斜线划除的地方无需填写。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第四章采购书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中航招采科技（北京）有限公司受苏州市姑苏区政务信息中心的委托，就其所需要采购的姑苏区政务信息中心国产化软件场地授权服务在国内组织公开采购。欢迎符合采购文件资格条件的供应商前来投标。</w:t>
      </w:r>
      <w:r/>
    </w:p>
    <w:p>
      <w:pPr>
        <w:ind w:left="0" w:right="0" w:firstLine="482"/>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项目编号：JSZC-320508-ZHSZ-G2026-0004 </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项目名称：姑苏区政务信息中心国产化软件场地授权服务</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预算金额：人民币壹佰零肆万捌仟元整（1048000.00元）</w:t>
      </w:r>
      <w:r/>
    </w:p>
    <w:p>
      <w:pPr>
        <w:ind w:left="0" w:right="0" w:firstLine="480"/>
        <w:jc w:val="both"/>
        <w:spacing w:before="0" w:after="0" w:line="85" w:lineRule="atLeast"/>
        <w:tabs>
          <w:tab w:val="left" w:pos="84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服务期限：合同签订之日起一年。</w:t>
      </w:r>
      <w:r/>
    </w:p>
    <w:p>
      <w:pPr>
        <w:ind w:left="0" w:right="0" w:firstLine="482"/>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二、服务内容及要求：</w:t>
      </w:r>
      <w:r/>
    </w:p>
    <w:p>
      <w:pPr>
        <w:ind w:left="0" w:right="0" w:firstLine="480"/>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1、采购需求</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政务信息中心以协同办公平台、移动办公APP等系统为基础，为提高全区政务文档传输的高效性及安全性，同时需要兼容原X86架构的业务系统，也要兼容国产化操作系统，提供相应适配的国产化软件，加强全区公文交换及终端办公软件的安全性。</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以年度场地授权服务的形式，授权许可给姑苏区各部委办局、各街道、人民团体、直属事业单位等单位用户，为全区各单位的业务系统及办公终端等提供兼容、稳定、安全、可靠的国产化软件，为AI智能公文等政务应用提供支撑能力。</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2、服务范围</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提供满足全区各单位</w:t>
      </w:r>
      <w:r>
        <w:rPr>
          <w:rFonts w:ascii="SimSun" w:hAnsi="SimSun" w:eastAsia="SimSun" w:cs="SimSun"/>
          <w:color w:val="000000"/>
          <w:sz w:val="24"/>
        </w:rPr>
        <w:t xml:space="preserve">用户多版本国产化软件的使用，主要包括PC终端版本、移动端版本、在线云文档版本、服务器端版本等多个服务场景应用。对全区政务文档集中存储、管控，保障政务办公的文档资料安全，支持云文档的安全定向共享及团队多人协同高效办公，支持业务系统提供文件的在线预览、在线编辑及格式转换的功能，支持向用户实时推送版式文档、流式文档、图片等多格式文档；兼容国产化替代终端；提供API接口服务，打通国产化云文档与协同办公平台、移动办公APP、文档共享等业务系统。</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3、服务期限</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合同签订后，服务期一年。</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4、人员配置要求</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项目团队服务人员要求不少于3人，团队成员根据实际情况进行人员合理分配。</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5、具体服务内容</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（1）全区各单位（各部委办局、各街道、人民团体、直属事业单位等）用户终端（PC端+移动端+服务器端）国产化软件的使用授权许可；</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（2）实现全区政务文档集中存储、管控，实现文件格式统一、传输方式加密、数据更安全，保障政务办公的文档资料安全管理；</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（3）通过文档上云（私有化云），实现文档的安全定向共享（部门共享、团队共享、单位共享）及团队多人协同高效办公；</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（4）通过明文水印、安全文档、文档加密、账号认证，共享外链设置，利用技术手段把控文档的共享范围、控制文档时效性及及时回收，防止文档外泄。如若发生文档外泄的情况，可以通过明文水印溯源；</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（5）支持多业务系统原版原式在线预览、在线编辑及格式转换的功能，实现业务系统文件的高效、高清的全栈在线处理，保持业务系统文档预览和在线编辑的稳定性及安全性。</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将版式文档、流式文档、图片等多格式文档向用户实时推送。实现大文件跨平台、跨浏览器的无插件、原版原式阅读，系统提供在线文档注释修订、动态水印、手写签批等功能，满足业务系统文档的在线预览、编辑、格式转换等需求。</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（7）全面兼容国产化替代终端，实现国产PC终端流式软件及版式软件的适配。</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（8）根据采购单位实际需要，做好用户授权许可服务，实现账户同步单点登录，并提供二次开发接口等配合服务，以及提供现场培训服务等内容。</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（9）投标单位做好服务保障期内日常售后服务等工作。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1、投标单位必须说明其是否响应采购文件中提出的全部服务内容与要求，如果对其中某些条款不响应时，应在文件中逐条列出，未列出的视同响应。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包括完成该项目的成本、利润、税金、管理费、风险费、文件规定政策性费用等所有费用。各供应商应充分预见可能发生的所有各项费用，充分考虑到可能发生的经济及经营风险，严格核算各项经营成本及费用，审慎报价。除中标价外，采购方不会接受中标方提出的任何增加费用的请求，采购人不会以任何理由任何方式支付任何额外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3、服务期限：合同签订之日起一年。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4、服务地点：采购人指定地点。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5、服务进度：按公开采购文件规定。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6、投标单位最终服务内容须达到采购文件要求，若不能达到要求，采购人有权在剩余未付合同金额中扣除相关损失费用（不足部分采购人有权追偿）。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7、投标单位要保证本项目提供的服务内容的合法性，不得侵犯第三方知识产权或其他合法权利，一切侵权行为带来的损失，均由投标单位承担。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8、投标单位提供的服务内容不可用于其它商业用途，所有权归属于采购人。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单位须具备独立完成本项目的能力。因此投标单位可在投标前自行进行调研，了解项目情况及详细需求，但投标单位不得因此使采购人承担有关的责任和蒙受损失。投标人应承担前期调研的责任和风险。投标单位中标后，不得以不了解项目情况及详细需求为理由而向采购人提出任何索赔的要求，对此采购人不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10、投标单位所需的全部工作装备和消耗材料均由投标单位负责提供。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单位工作人员在活动过程中涉及的所有费用均包含在项目费用之内，采购人不再另行支付。投标单位在项目进行过程中产生的任何安全、损坏等责任事故一律由投标单位自行承担。如遇突发情况，投标单位需协助采购人完成需要投标单位配合的服务。投标单位如需采购人配合的工作，投标单位需及时通知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12、采购人有权全程监督投标单位项目的实施过程，随时了解项目进度，并组织对各个项目具体环节的验收工作。</w:t>
      </w:r>
      <w:r/>
    </w:p>
    <w:p>
      <w:pPr>
        <w:ind w:left="0" w:right="0" w:firstLine="480"/>
        <w:spacing w:before="2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单位提供的投标文件必须如实对本项目的采购文件进行实质性响应，如有量化指标必须列明具体数值，同时投标单位必须根据提供的服务，明确其必须说明的相关情况。投标单位提供的投标文件内容必须真实、准确、有效，如提供虚假材料或对采购文件所要求说明的情况故意隐瞒或虚报，视为不实质性响应采购要求，其投标文件将被拒绝。已中标的将取消中标资格，并按《中华人民共和国政府采购法》第七十七条的相关办法处理。</w:t>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第五章合同主要文本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甲方（采购单位）：苏州市姑苏区政务信息中心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地址：苏州市姑苏区西环路2115号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一、定义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以下术语有特定的含义：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服务是指根据合同规定乙方应承担</w:t>
      </w:r>
      <w:r>
        <w:rPr>
          <w:rFonts w:ascii="SimSun" w:hAnsi="SimSun" w:eastAsia="SimSun" w:cs="SimSun"/>
          <w:color w:val="000000"/>
          <w:sz w:val="24"/>
          <w:u w:val="single"/>
        </w:rPr>
        <w:t xml:space="preserve"> 姑苏区政务信息中心国产化软件场地授权服务项目</w:t>
      </w:r>
      <w:r>
        <w:rPr>
          <w:rFonts w:ascii="SimSun" w:hAnsi="SimSun" w:eastAsia="SimSun" w:cs="SimSun"/>
          <w:color w:val="000000"/>
          <w:sz w:val="24"/>
        </w:rPr>
        <w:t xml:space="preserve">等工作和合同中规定乙方应承担的其它义务。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合同价款是指根据成交单位的投标文件和合同规定，乙方在正确地履行合同义务后甲方应支付给乙方的价款。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甲方是指合同中明确规定的实际购买和接受服务的单位。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乙方是指合同中规定的提供服务的单位。</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损失是指合同一方因不履行合同义务而导致另一方及第三方的各种损失的费用，还包括守约方为减轻损失或维护权利而需支付的各种调查费用、车旅费用、律师费用等。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二、合同项目及期限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2.1乙方负责</w:t>
      </w:r>
      <w:r>
        <w:rPr>
          <w:rFonts w:ascii="SimSun" w:hAnsi="SimSun" w:eastAsia="SimSun" w:cs="SimSun"/>
          <w:color w:val="000000"/>
          <w:sz w:val="24"/>
          <w:u w:val="single"/>
        </w:rPr>
        <w:t xml:space="preserve"> 姑苏区政务信息中心国产化软件场地授权服务项目 </w:t>
      </w:r>
      <w:r>
        <w:rPr>
          <w:rFonts w:ascii="SimSun" w:hAnsi="SimSun" w:eastAsia="SimSun" w:cs="SimSun"/>
          <w:color w:val="000000"/>
          <w:sz w:val="24"/>
        </w:rPr>
        <w:t xml:space="preserve">的服务工作。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2.2服务期限：合同签订生效后，服务期一年。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2.3服务地点：根据甲方指定地点。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三、合同总价款：大写人民币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元整，小写￥ </w:t>
      </w:r>
      <w:r>
        <w:rPr>
          <w:rFonts w:ascii="SimSun" w:hAnsi="SimSun" w:eastAsia="SimSun" w:cs="SimSun"/>
          <w:color w:val="000000"/>
          <w:sz w:val="24"/>
          <w:u w:val="single"/>
        </w:rPr>
        <w:t xml:space="preserve">           </w:t>
      </w:r>
      <w:r>
        <w:rPr>
          <w:rFonts w:ascii="SimSun" w:hAnsi="SimSun" w:eastAsia="SimSun" w:cs="SimSun"/>
          <w:color w:val="000000"/>
          <w:sz w:val="24"/>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四、付款方式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1.付款步骤说明：</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（1）本项目使用数字人民币方式支付；</w:t>
      </w:r>
      <w:r/>
    </w:p>
    <w:p>
      <w:pPr>
        <w:ind w:left="420" w:right="0" w:firstLine="420"/>
        <w:jc w:val="both"/>
        <w:spacing w:before="21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乙方开户名称：</w:t>
      </w:r>
      <w:r/>
    </w:p>
    <w:p>
      <w:pPr>
        <w:ind w:left="420" w:right="0" w:firstLine="420"/>
        <w:jc w:val="both"/>
        <w:spacing w:before="21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开户银行：</w:t>
      </w:r>
      <w:r/>
    </w:p>
    <w:p>
      <w:pPr>
        <w:ind w:left="420" w:right="0" w:firstLine="420"/>
        <w:jc w:val="both"/>
        <w:spacing w:before="21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数字人民币账号：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（2）合同签订后30日内，甲方支付乙方合同款的30%作为预付款；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（3）后续付款方式如下：待项目服务期满，期间无重大质量问题，项目通过验收后30日内，甲方支付乙方合同的70%款，即付清款项。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（4）在签订合同时，乙方明确表示无需预付款或者主动要求降低预付款比例的，甲方可不适用上述关于预付款的规定。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五、验收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1.履约验收标准：根据国家相关法律法规、行业相关标准、政府采购合同要求、采购文件要求、投标文件规定。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2.履约验收主体：由甲方组织项目验收。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4.验收程序：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4.1履约验收时间：本项目终验的方式。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4.3甲方成立验收小组，负责采购项目履约验收具体工作。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4.4验收小组应当按照验收工作实施方案开展验收，对乙方提供的服务按照采购文件、投标文件、政府采购合同等进行逐一核对、验收，并做好验收记录。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六、甲、乙双方的责任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1.1依本合同约定按期支付合同款项；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1.2依本合同约定及时组织验收；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1.3协助乙方进行项目的相关协调工作及约定期限内提供相关资料以利于开展项目。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乙方负责完成本次采购要求的全部服务工作，乙方应按采购文件以及合同约定的技术规范、标准进行实施，并保证按期、保质保量完成项目的实施工作，对提交的项目质量负责。</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七、违约责任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1.1在合同生效后，甲方无故要求解除合同的，应向乙方偿付合同总价款5%的违约金，违约金不足以补偿损失的，乙方有权要求甲方补足。</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1.2甲方逾期付款的应按照逾期付款金额的每天万分之四支付逾期付款违约金，总额不超总价款的5%。</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2.乙方的违约责任：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在合同生效后，乙方无故要求解除合同的，应向甲方偿付合同总价款5%的违约金，违约金不足以补偿损失的，甲方有权要求乙方补足。</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2.2乙方未按合同规定的质量要求提供服务，不能完成合同时，甲方有权解除合同，乙方向甲方偿付合同总价款5%的违约金，违约金不足以补偿损失的甲方有权要求乙方补足。</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2.3乙方必须自己完成合同内容，不得自行分包，否则，甲方有权按乙方不能完成合同处理。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2.4乙方应执行国家有关规定（如苏州最低工资标准和其他规定），负责乙方员工的生病、事故、伤残、死亡和劳务纠纷，甲方不承担任何相关责任。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2.5乙方负有对自己员工的安全责任，甲方不承担任何相关责任。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八、不可抗力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2.本条所述的“不可抗力”系指那些双方无法控制，不可预见的事件，但不包括双方的违约或疏忽。这些事件包括但不限于：战争、严重火灾、洪水、台风、地震以及其它双方商定的事件。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九、争端的解决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1.甲方和乙方应通过友好协商，解决在执行本合同过程中所发生的或与本合同有关的一切争端。如从协商开始十天内仍不能解决，可向有关合同管理部门提请调解。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2.如果调解不成，双方中的任何一方可向人民法院提起诉讼。诉讼由合同签订地人民法院管辖。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3.诉讼费由败诉方负担。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4.因合同部分履行引发诉讼的，在诉讼期间，除正在进行诉讼的部分外，本合同的其它部分应继续执行。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十、违约终止合同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1.在甲方因乙方违约而按合同约定采取的任何补救措施不受影响的情况下，甲方可在下列情况下向乙方发出书面通知，提出终止部分或全部合同。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如果乙方未能在合同规定的限期或甲方同意延长的限期内提供部分或全部服务。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如果乙方未能履行合同规定的其它任何义务。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3.如果甲方违约，应承担相应的违约责任。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十一、破产终止合同：如果乙方破产或丧失清偿能力，甲方可在任何时候以书面形式通知乙方终止合同而不给乙方补偿。该终止合同将不损害或影响甲方已经采取或将要采取任何补救措施的权力。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十三、合同转让和分包：本项目不得转让和分包。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十四、需要补充的合同条款：（根据评审过程中或者商务谈判时商定的条款和条件在订立合同时标明）。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十五、合同生效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1.双方签约人为各自法定代表人或被授权代表。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2.本合同系指本文件及其附件中的所有部分，采购文件、中标单位的投标文件、中标通知书、中标单位在采购过程中的澄清和承诺等为本合同不可缺少的组成部分。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3.本合同自采购代理机构盖骑缝章，甲乙双方签字盖章之日起生效。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4.本合同壹式伍份，甲乙双方各执贰份，采购代理机构执壹份，各份具有同等法律效力。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5.本合同应按照中华人民共和国的现行法律进行解释。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6.其他验收要求按照《江苏省政府采购履约验收管理办法》规定执行。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（本页无正文）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tab/>
        <w:t xml:space="preserve">                                   乙方（盖章）：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法定（授权）代表人（签字或盖章）：</w:t>
        <w:tab/>
        <w:t xml:space="preserve">法定（授权）代表人（签字或盖章）：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tab/>
        <w:t xml:space="preserve">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8"/>
        </w:rPr>
        <w:t xml:space="preserve">第六章评标办法及评分标准</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1．本次采购评标采用综合评分法，即在响应采购文件实质性要求前提下，按照采购文件中规定的评分标准和各项因素进行综合评审后，以评标总得分最高的投标单位作为中标单位。</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2．评标委员会各成员独立对每个进入打分程序的有效投标单位的标书技术和资质部分以打分的形式进行评审和评价。 </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4．如出现评标总得分最高的投标单位有两个或两个以上的，以实际投标报价较低者优先作为中标单位，如果实际投标报价也相同的，则由评标委员会以抽签方式确定中标单位。 </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5．根据《苏财购〔2026〕36号》文，评审委员会启动异常低价投标（响应）审查的情形和具体要求，包括：</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A、评审中出现下列情形之一的，评审委员会应当启动异常低价投标（响应）审查程序：</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6、针对小微型企业的评审：</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6.1、根据财政部、工业和信息化部关于印发《政府采购促进中小企业发展管理办法》的通知规定：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本项目属于专门面向中小企业采购。</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（2）依据《政府采购促进中小企业发展管理办法》规定享受扶持政策获得政府采购合同的，小微企业不得将合同分包给大中型企业，中型企业不得将合同分包给大型企业。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（3）本项目采购标的对应的中小企业划分标准所属行业为：</w:t>
      </w:r>
      <w:r>
        <w:rPr>
          <w:rFonts w:ascii="SimSun" w:hAnsi="SimSun" w:eastAsia="SimSun" w:cs="SimSun"/>
          <w:b/>
          <w:color w:val="000000"/>
          <w:sz w:val="24"/>
        </w:rPr>
        <w:t xml:space="preserve">软件和信息技术服务业。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（4）中小企业参加政府采购活动，应当出具《政府采购促进中小企业发展管理办法》附件规定《中小企业声明函》，否则不得享受相关中小企业扶持政策。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（5）本项目中，供应商提供的服务由中小企业承接，即提供服务的人员为中小企业依照《中华人民共和国劳动合同法》订立劳动合同的从业人员，才可享受规定的中小企业扶持政策。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（6）若供应商提供的《中小企业声明函》为虚假声明则视同提供虚假材料，按政府采购相关规定处理并报请政府监管部门给予行政处罚。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6.2、残疾人福利性单位</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6.3、监狱企业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7.1、查询时间：投标文件递交截止时间。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7.2、查询渠道：采购代理机构会在接收投标文件截止时间后，登录信用中国网站（www.creditchina.gov.cn）和中国政府采购网（www.ccgp.gov.cn/）查询供应商的信用记录，并将查询结果递交评标委员会。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7.3、查询证据留存方式：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7.4、信用记录使用规则：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评审小组在对供应商进行资格性审查时，根据查询结果对供应商的不良信用记录逐项甄别确认。凡经评审小组确认不符合政府采购相关法律法规规定的，将拒绝其参与政府采购活动。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(一）价格分：15分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第一步：投标报价低于或等于财政预算价格（或最高限价）的，为有效投标报价。超财政预算（或最高限价）的投标报价为无效投标报价。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第二步：在所有有效投标报价中满足招标文件要求，且投标价格最低的投标报价为评标基准价，其他投标人的价格分按照下列公式计算（计算结果四舍五入保留两位小数）。</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投标报价得分＝（评标基准价/投标报价）×15％×100</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因落实政府采购政策进行价格调整的，以调整后的价格计算评标基准价和投标报价。</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（二）投标单位的技术、服务水平比较（63分）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1.项目理解及整体方案比较（9分）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投标单位提供的项目理解及整体方案，具体包括①服务方案完整性；②服务方案可操作性（特别是结合本单位业务特殊性和客户的实际环境）；③风险管理与验收计划；</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上述每项应逐条叙述，单项内容完整，条理清晰的得3分；内容基本完整，条理较为清晰的得2分；内容简单，条理一般的得1分；最高得9分；每项叙述内容与需求偏差较大或未作完整叙述的，不得分。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2.项目质量保障措施及方案比较（9分）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投标单位提供的项目质量保障措施及方案，具体包括①项目组织架构；②项目实施管理方案；③项目质量控制方案。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上述每项应逐条叙述，单项内容完整，条理清晰的得3分；内容基本完整，条理较为清晰的得2分；内容简单，条理一般的得1分；最高得9分；每项叙述内容与需求偏差较大或未作完整叙述的，不得分。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3.日常巡检服务方案比较（9分）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投标单位提供的针对本项目日常巡检服务，具体包括①建立日常巡检服务流程；②协调处理配合服务措施；③提供合理化建议。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上述每项应逐条叙述，单项内容完整，条理清晰的得3分；内容基本完整，条理较为清晰的得2分；内容简单，条理一般的得1分；最高得9分；每项叙述内容与需求偏差较大或未作完整叙述的，不得分。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4.团队人员管理方案比较（9分）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投标单位提供的团队人员管理方案，具体包括①团队人员架构；②保密措施方案；③进退场配合措施。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上述每项应逐条叙述，单项内容完整，条理清晰的得3分；内容基本完整，条理较为清晰的得2分；内容简单，条理一般的得1分；最高得9分；每项叙述内容与需求偏差较大或未作完整叙述的，不得分。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5.进度保障措施及售后服务方案比较（9分）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投标单位提供的项目进度保障措施及售后服务方案，具体包括①项目进度计划；②进度保障措施；③售后响应流程。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上述每项应逐条叙述，单项内容完整，条理清晰的得3分；内容基本完整，条理较为清晰的得2分；内容简单，条理一般的得1分；最高得9分；每项叙述内容与需求偏差较大或未作完整叙述的，不得分。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6.人员培训方案比较（9分）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投标单位提供的人员培训方案，具体包括①培训材料；②培训针对性（特别是结合本单位业务特殊性和客户的实际环境）；③服务期内人员培训计划方案。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上述每项应逐条叙述，单项内容完整，条理清晰的得3分；内容基本完整，条理较为清晰的得2分；内容简单，条理一般的得1分；最高得9分；每项叙述内容与需求偏差较大或未作完整叙述的，不得分。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7.应急响应服务方案：（9分）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投标单位提供的应急响应服务方案，具体包括①针对应急事件的响应处置预案；②应急响应服务措施；③排除故障响应时间。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上述每项应逐条叙述，单项内容完整，条理清晰的得3分；内容基本完整，条理较为清晰的得2分；内容简单，条理一般的得1分；最高得9分；每项叙述内容与需求偏差较大或未作完整叙述的，不得分。</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（三）投标单位的履约能力（10分）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投标单位具有有效期内的质量管理体系、环境管理体系、职业健康安全管理体系、信息安全管理体系、信息技术服务管理体系证书的，每提供1张证书得2分，本项最高得10分。</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注：投标文件中须提供以上相关证书复印件并加盖投标单位公章并提供网络查询截图并加盖投标单位公章。不提供不得分。</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（四）投标单位针对本项目的人员配备（6分）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1.项目负责人（2分）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具备信息系统项目管理师证书，提供一个得2分，不提供不得分，本项最高得2分。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2.项目组成员（不含项目负责人）（4分）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项目组其他成员具有（计算机类）工程师职称的，每提供1名得2分，最高得4分。</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注：投标文件中需提供以上1-2项人员相关证书复印件及社保部门出具的投标单位为其缴纳最新一期的社保证明复印件，不提供不得分，人员不得兼任其他岗位。</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（五）相关类似业绩（6分）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投标单位自2023年1月1日起至今（以合同签订之日起为准）有相关类似业绩的，每提供1份得2分，最高6分。</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注：投标文件中需提供合同复印件和任意一期发票，并加盖投标单位公章，未按要求提供或未提供不得分。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注：针对评分标准中评分的每一条，投标人在投标文件中均应提供相关资料并作出相应说明供评委评判，不提供相关资料的视为不具备该项得分的条件。       </w:t>
      </w:r>
      <w:r>
        <w:rPr>
          <w:rFonts w:ascii="SimSun" w:hAnsi="SimSun" w:eastAsia="SimSun" w:cs="SimSun"/>
          <w:color w:val="000000"/>
          <w:sz w:val="24"/>
        </w:rPr>
        <w:t xml:space="preserve">（全文完）</w:t>
      </w:r>
      <w:r/>
    </w:p>
    <w:p>
      <w:r/>
      <w:r/>
    </w:p>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黑体">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等线">
    <w:panose1 w:val="0201060003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firstLine="5400"/>
      <w:rPr>
        <w:b/>
        <w:bCs/>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1"/>
                            <w:rPr>
                              <w:rStyle w:val="777"/>
                            </w:rPr>
                          </w:pPr>
                          <w:r>
                            <w:rPr>
                              <w:rStyle w:val="777"/>
                            </w:rPr>
                            <w:fldChar w:fldCharType="begin"/>
                          </w:r>
                          <w:r>
                            <w:rPr>
                              <w:rStyle w:val="777"/>
                            </w:rPr>
                            <w:instrText xml:space="preserve"> PAGE </w:instrText>
                          </w:r>
                          <w:r>
                            <w:rPr>
                              <w:rStyle w:val="777"/>
                            </w:rPr>
                            <w:fldChar w:fldCharType="separate"/>
                          </w:r>
                          <w:r>
                            <w:rPr>
                              <w:rStyle w:val="777"/>
                            </w:rPr>
                            <w:t xml:space="preserve">- 66 -</w:t>
                          </w:r>
                          <w:r>
                            <w:rPr>
                              <w:rStyle w:val="777"/>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1"/>
                      <w:rPr>
                        <w:rStyle w:val="777"/>
                      </w:rPr>
                    </w:pPr>
                    <w:r>
                      <w:rPr>
                        <w:rStyle w:val="777"/>
                      </w:rPr>
                      <w:fldChar w:fldCharType="begin"/>
                    </w:r>
                    <w:r>
                      <w:rPr>
                        <w:rStyle w:val="777"/>
                      </w:rPr>
                      <w:instrText xml:space="preserve"> PAGE </w:instrText>
                    </w:r>
                    <w:r>
                      <w:rPr>
                        <w:rStyle w:val="777"/>
                      </w:rPr>
                      <w:fldChar w:fldCharType="separate"/>
                    </w:r>
                    <w:r>
                      <w:rPr>
                        <w:rStyle w:val="777"/>
                      </w:rPr>
                      <w:t xml:space="preserve">- 66 -</w:t>
                    </w:r>
                    <w:r>
                      <w:rPr>
                        <w:rStyle w:val="777"/>
                      </w:rPr>
                      <w:fldChar w:fldCharType="end"/>
                    </w:r>
                    <w:r/>
                  </w:p>
                </w:txbxContent>
              </v:textbox>
            </v:shape>
          </w:pict>
        </mc:Fallback>
      </mc:AlternateContent>
    </w:r>
    <w:r/>
  </w:p>
  <w:p>
    <w:pPr>
      <w:pStyle w:val="761"/>
      <w:ind w:firstLine="3870"/>
    </w:p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120"/>
      <w:jc w:val="left"/>
    </w:pPr>
    <w:r>
      <w:rPr>
        <w:rFonts w:ascii="黑体" w:hAnsi="宋体" w:eastAsia="黑体"/>
        <w:b/>
        <w:color w:val="ff0000"/>
        <w:spacing w:val="6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19050</wp:posOffset>
              </wp:positionH>
              <wp:positionV relativeFrom="paragraph">
                <wp:posOffset>-102235</wp:posOffset>
              </wp:positionV>
              <wp:extent cx="878205" cy="532765"/>
              <wp:effectExtent l="0" t="0" r="5715" b="635"/>
              <wp:wrapNone/>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pic:cNvPicPr>
                        <a:picLocks noChangeAspect="1"/>
                      </pic:cNvPicPr>
                      <pic:nvPr/>
                    </pic:nvPicPr>
                    <pic:blipFill>
                      <a:blip r:embed="rId1"/>
                      <a:stretch/>
                    </pic:blipFill>
                    <pic:spPr bwMode="auto">
                      <a:xfrm>
                        <a:off x="0" y="0"/>
                        <a:ext cx="878205" cy="5327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5pt;mso-position-horizontal:absolute;mso-position-vertical-relative:text;margin-top:-8.0pt;mso-position-vertical:absolute;width:69.1pt;height:41.9pt;mso-wrap-distance-left:9.0pt;mso-wrap-distance-top:0.0pt;mso-wrap-distance-right:9.0pt;mso-wrap-distance-bottom:0.0pt;" stroked="f" strokeweight="0.75pt">
              <v:path textboxrect="0,0,0,0"/>
              <v:imagedata r:id="rId1" o:title=""/>
            </v:shape>
          </w:pict>
        </mc:Fallback>
      </mc:AlternateContent>
    </w:r>
    <w:r>
      <w:rPr>
        <w:rFonts w:hint="eastAsia" w:ascii="宋体" w:hAnsi="宋体" w:cs="宋体"/>
        <w:sz w:val="24"/>
      </w:rPr>
      <w:t xml:space="preserve">                                     </w:t>
    </w:r>
    <w:r/>
  </w:p>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2 Char"/>
    <w:basedOn w:val="747"/>
    <w:link w:val="739"/>
    <w:uiPriority w:val="9"/>
    <w:rPr>
      <w:rFonts w:ascii="Arial" w:hAnsi="Arial" w:eastAsia="Arial" w:cs="Arial"/>
      <w:sz w:val="34"/>
    </w:rPr>
  </w:style>
  <w:style w:type="character" w:styleId="705">
    <w:name w:val="Heading 3 Char"/>
    <w:basedOn w:val="747"/>
    <w:link w:val="740"/>
    <w:uiPriority w:val="9"/>
    <w:rPr>
      <w:rFonts w:ascii="Arial" w:hAnsi="Arial" w:eastAsia="Arial" w:cs="Arial"/>
      <w:sz w:val="30"/>
      <w:szCs w:val="30"/>
    </w:rPr>
  </w:style>
  <w:style w:type="character" w:styleId="706">
    <w:name w:val="Heading 5 Char"/>
    <w:basedOn w:val="747"/>
    <w:link w:val="742"/>
    <w:uiPriority w:val="9"/>
    <w:rPr>
      <w:rFonts w:ascii="Arial" w:hAnsi="Arial" w:eastAsia="Arial" w:cs="Arial"/>
      <w:b/>
      <w:bCs/>
      <w:sz w:val="24"/>
      <w:szCs w:val="24"/>
    </w:rPr>
  </w:style>
  <w:style w:type="character" w:styleId="707">
    <w:name w:val="Heading 6 Char"/>
    <w:basedOn w:val="747"/>
    <w:link w:val="743"/>
    <w:uiPriority w:val="9"/>
    <w:rPr>
      <w:rFonts w:ascii="Arial" w:hAnsi="Arial" w:eastAsia="Arial" w:cs="Arial"/>
      <w:b/>
      <w:bCs/>
      <w:sz w:val="22"/>
      <w:szCs w:val="22"/>
    </w:rPr>
  </w:style>
  <w:style w:type="character" w:styleId="708">
    <w:name w:val="Heading 7 Char"/>
    <w:basedOn w:val="747"/>
    <w:link w:val="744"/>
    <w:uiPriority w:val="9"/>
    <w:rPr>
      <w:rFonts w:ascii="Arial" w:hAnsi="Arial" w:eastAsia="Arial" w:cs="Arial"/>
      <w:b/>
      <w:bCs/>
      <w:i/>
      <w:iCs/>
      <w:sz w:val="22"/>
      <w:szCs w:val="22"/>
    </w:rPr>
  </w:style>
  <w:style w:type="character" w:styleId="709">
    <w:name w:val="Heading 8 Char"/>
    <w:basedOn w:val="747"/>
    <w:link w:val="745"/>
    <w:uiPriority w:val="9"/>
    <w:rPr>
      <w:rFonts w:ascii="Arial" w:hAnsi="Arial" w:eastAsia="Arial" w:cs="Arial"/>
      <w:i/>
      <w:iCs/>
      <w:sz w:val="22"/>
      <w:szCs w:val="22"/>
    </w:rPr>
  </w:style>
  <w:style w:type="character" w:styleId="710">
    <w:name w:val="Heading 9 Char"/>
    <w:basedOn w:val="747"/>
    <w:link w:val="746"/>
    <w:uiPriority w:val="9"/>
    <w:rPr>
      <w:rFonts w:ascii="Arial" w:hAnsi="Arial" w:eastAsia="Arial" w:cs="Arial"/>
      <w:i/>
      <w:iCs/>
      <w:sz w:val="21"/>
      <w:szCs w:val="21"/>
    </w:rPr>
  </w:style>
  <w:style w:type="character" w:styleId="711">
    <w:name w:val="Title Char"/>
    <w:basedOn w:val="747"/>
    <w:link w:val="772"/>
    <w:uiPriority w:val="10"/>
    <w:rPr>
      <w:sz w:val="48"/>
      <w:szCs w:val="48"/>
    </w:rPr>
  </w:style>
  <w:style w:type="character" w:styleId="712">
    <w:name w:val="Subtitle Char"/>
    <w:basedOn w:val="747"/>
    <w:link w:val="765"/>
    <w:uiPriority w:val="11"/>
    <w:rPr>
      <w:sz w:val="24"/>
      <w:szCs w:val="24"/>
    </w:rPr>
  </w:style>
  <w:style w:type="character" w:styleId="713">
    <w:name w:val="Quote Char"/>
    <w:link w:val="792"/>
    <w:uiPriority w:val="29"/>
    <w:rPr>
      <w:i/>
    </w:rPr>
  </w:style>
  <w:style w:type="character" w:styleId="714">
    <w:name w:val="Intense Quote Char"/>
    <w:link w:val="794"/>
    <w:uiPriority w:val="30"/>
    <w:rPr>
      <w:i/>
    </w:rPr>
  </w:style>
  <w:style w:type="table" w:styleId="715">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2">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3">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4">
    <w:name w:val="Footnote Text Char"/>
    <w:link w:val="766"/>
    <w:uiPriority w:val="99"/>
    <w:rPr>
      <w:sz w:val="18"/>
    </w:rPr>
  </w:style>
  <w:style w:type="character" w:styleId="735">
    <w:name w:val="Endnote Text Char"/>
    <w:link w:val="759"/>
    <w:uiPriority w:val="99"/>
    <w:rPr>
      <w:sz w:val="20"/>
    </w:rPr>
  </w:style>
  <w:style w:type="paragraph" w:styleId="736">
    <w:name w:val="TOC Heading"/>
    <w:uiPriority w:val="39"/>
    <w:unhideWhenUsed/>
  </w:style>
  <w:style w:type="paragraph" w:styleId="737" w:default="1">
    <w:name w:val="Normal"/>
    <w:uiPriority w:val="0"/>
    <w:qFormat/>
    <w:pPr>
      <w:jc w:val="both"/>
      <w:widowControl w:val="off"/>
    </w:pPr>
    <w:rPr>
      <w:rFonts w:ascii="等线" w:hAnsi="等线" w:eastAsia="等线" w:cs="Times New Roman"/>
      <w:sz w:val="21"/>
      <w:szCs w:val="22"/>
      <w:lang w:val="en-US" w:eastAsia="zh-CN" w:bidi="ar-SA"/>
    </w:rPr>
  </w:style>
  <w:style w:type="paragraph" w:styleId="738">
    <w:name w:val="Heading 1"/>
    <w:basedOn w:val="737"/>
    <w:next w:val="737"/>
    <w:uiPriority w:val="9"/>
    <w:qFormat/>
    <w:pPr>
      <w:keepLines/>
      <w:keepNext/>
      <w:spacing w:before="340" w:after="330" w:line="576" w:lineRule="auto"/>
      <w:outlineLvl w:val="0"/>
    </w:pPr>
    <w:rPr>
      <w:b/>
      <w:sz w:val="44"/>
    </w:rPr>
  </w:style>
  <w:style w:type="paragraph" w:styleId="739">
    <w:name w:val="Heading 2"/>
    <w:basedOn w:val="737"/>
    <w:next w:val="737"/>
    <w:link w:val="781"/>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82"/>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94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42">
    <w:name w:val="Heading 5"/>
    <w:basedOn w:val="737"/>
    <w:next w:val="737"/>
    <w:link w:val="784"/>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85"/>
    <w:uiPriority w:val="9"/>
    <w:unhideWhenUsed/>
    <w:qFormat/>
    <w:pPr>
      <w:keepLines/>
      <w:keepNext/>
      <w:spacing w:before="320" w:after="200"/>
      <w:outlineLvl w:val="5"/>
    </w:pPr>
    <w:rPr>
      <w:rFonts w:ascii="Arial" w:hAnsi="Arial" w:eastAsia="Arial" w:cs="Arial"/>
      <w:b/>
      <w:bCs/>
      <w:sz w:val="22"/>
    </w:rPr>
  </w:style>
  <w:style w:type="paragraph" w:styleId="744">
    <w:name w:val="Heading 7"/>
    <w:basedOn w:val="737"/>
    <w:next w:val="737"/>
    <w:link w:val="786"/>
    <w:uiPriority w:val="9"/>
    <w:unhideWhenUsed/>
    <w:qFormat/>
    <w:pPr>
      <w:keepLines/>
      <w:keepNext/>
      <w:spacing w:before="320" w:after="200"/>
      <w:outlineLvl w:val="6"/>
    </w:pPr>
    <w:rPr>
      <w:rFonts w:ascii="Arial" w:hAnsi="Arial" w:eastAsia="Arial" w:cs="Arial"/>
      <w:b/>
      <w:bCs/>
      <w:i/>
      <w:iCs/>
      <w:sz w:val="22"/>
    </w:rPr>
  </w:style>
  <w:style w:type="paragraph" w:styleId="745">
    <w:name w:val="Heading 8"/>
    <w:basedOn w:val="737"/>
    <w:next w:val="737"/>
    <w:link w:val="787"/>
    <w:uiPriority w:val="9"/>
    <w:unhideWhenUsed/>
    <w:qFormat/>
    <w:pPr>
      <w:keepLines/>
      <w:keepNext/>
      <w:spacing w:before="320" w:after="200"/>
      <w:outlineLvl w:val="7"/>
    </w:pPr>
    <w:rPr>
      <w:rFonts w:ascii="Arial" w:hAnsi="Arial" w:eastAsia="Arial" w:cs="Arial"/>
      <w:i/>
      <w:iCs/>
      <w:sz w:val="22"/>
    </w:rPr>
  </w:style>
  <w:style w:type="paragraph" w:styleId="746">
    <w:name w:val="Heading 9"/>
    <w:basedOn w:val="737"/>
    <w:next w:val="737"/>
    <w:link w:val="788"/>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style>
  <w:style w:type="table" w:styleId="748" w:default="1">
    <w:name w:val="Normal Table"/>
    <w:uiPriority w:val="99"/>
    <w:semiHidden/>
    <w:unhideWhenUsed/>
    <w:tblPr>
      <w:tblCellMar>
        <w:left w:w="108" w:type="dxa"/>
        <w:top w:w="0" w:type="dxa"/>
        <w:right w:w="108" w:type="dxa"/>
        <w:bottom w:w="0" w:type="dxa"/>
      </w:tblCellMar>
    </w:tblPr>
  </w:style>
  <w:style w:type="paragraph" w:styleId="749">
    <w:name w:val="toc 7"/>
    <w:basedOn w:val="737"/>
    <w:next w:val="737"/>
    <w:uiPriority w:val="39"/>
    <w:unhideWhenUsed/>
    <w:qFormat/>
    <w:pPr>
      <w:ind w:left="1701"/>
      <w:spacing w:after="57"/>
    </w:pPr>
  </w:style>
  <w:style w:type="paragraph" w:styleId="750">
    <w:name w:val="Normal Indent"/>
    <w:basedOn w:val="737"/>
    <w:next w:val="737"/>
    <w:uiPriority w:val="0"/>
    <w:qFormat/>
    <w:pPr>
      <w:ind w:left="420" w:firstLine="4772"/>
    </w:pPr>
  </w:style>
  <w:style w:type="paragraph" w:styleId="751">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annotation text"/>
    <w:basedOn w:val="737"/>
    <w:link w:val="929"/>
    <w:uiPriority w:val="99"/>
    <w:unhideWhenUsed/>
    <w:qFormat/>
    <w:pPr>
      <w:jc w:val="left"/>
    </w:pPr>
  </w:style>
  <w:style w:type="paragraph" w:styleId="753">
    <w:name w:val="Body Text"/>
    <w:basedOn w:val="737"/>
    <w:next w:val="750"/>
    <w:uiPriority w:val="0"/>
    <w:qFormat/>
    <w:pPr>
      <w:jc w:val="left"/>
      <w:spacing w:after="120"/>
    </w:pPr>
    <w:rPr>
      <w:rFonts w:hint="eastAsia" w:ascii="宋体" w:hAnsi="宋体" w:eastAsia="宋体"/>
      <w:sz w:val="22"/>
    </w:rPr>
  </w:style>
  <w:style w:type="paragraph" w:styleId="754">
    <w:name w:val="Body Text Indent"/>
    <w:basedOn w:val="737"/>
    <w:next w:val="737"/>
    <w:link w:val="930"/>
    <w:uiPriority w:val="0"/>
    <w:qFormat/>
    <w:pPr>
      <w:ind w:left="420"/>
      <w:spacing w:after="120"/>
    </w:pPr>
    <w:rPr>
      <w:rFonts w:ascii="Calibri" w:hAnsi="Calibri" w:eastAsia="宋体"/>
      <w:szCs w:val="24"/>
    </w:rPr>
  </w:style>
  <w:style w:type="paragraph" w:styleId="755">
    <w:name w:val="toc 5"/>
    <w:basedOn w:val="737"/>
    <w:next w:val="737"/>
    <w:uiPriority w:val="39"/>
    <w:unhideWhenUsed/>
    <w:qFormat/>
    <w:pPr>
      <w:ind w:left="1134"/>
      <w:spacing w:after="57"/>
    </w:pPr>
  </w:style>
  <w:style w:type="paragraph" w:styleId="756">
    <w:name w:val="toc 3"/>
    <w:basedOn w:val="737"/>
    <w:next w:val="737"/>
    <w:uiPriority w:val="39"/>
    <w:unhideWhenUsed/>
    <w:qFormat/>
    <w:pPr>
      <w:ind w:left="567"/>
      <w:spacing w:after="57"/>
    </w:pPr>
  </w:style>
  <w:style w:type="paragraph" w:styleId="757">
    <w:name w:val="Plain Text"/>
    <w:basedOn w:val="737"/>
    <w:uiPriority w:val="0"/>
    <w:qFormat/>
    <w:rPr>
      <w:rFonts w:ascii="宋体" w:hAnsi="Courier New"/>
    </w:rPr>
  </w:style>
  <w:style w:type="paragraph" w:styleId="758">
    <w:name w:val="toc 8"/>
    <w:basedOn w:val="737"/>
    <w:next w:val="737"/>
    <w:uiPriority w:val="39"/>
    <w:unhideWhenUsed/>
    <w:qFormat/>
    <w:pPr>
      <w:ind w:left="1984"/>
      <w:spacing w:after="57"/>
    </w:pPr>
  </w:style>
  <w:style w:type="paragraph" w:styleId="759">
    <w:name w:val="endnote text"/>
    <w:basedOn w:val="737"/>
    <w:link w:val="925"/>
    <w:uiPriority w:val="99"/>
    <w:semiHidden/>
    <w:unhideWhenUsed/>
    <w:qFormat/>
    <w:rPr>
      <w:sz w:val="20"/>
    </w:rPr>
  </w:style>
  <w:style w:type="paragraph" w:styleId="760">
    <w:name w:val="Balloon Text"/>
    <w:basedOn w:val="737"/>
    <w:link w:val="931"/>
    <w:uiPriority w:val="99"/>
    <w:unhideWhenUsed/>
    <w:qFormat/>
    <w:rPr>
      <w:sz w:val="18"/>
      <w:szCs w:val="18"/>
    </w:rPr>
  </w:style>
  <w:style w:type="paragraph" w:styleId="761">
    <w:name w:val="Footer"/>
    <w:basedOn w:val="737"/>
    <w:link w:val="932"/>
    <w:uiPriority w:val="99"/>
    <w:qFormat/>
    <w:pPr>
      <w:jc w:val="left"/>
      <w:tabs>
        <w:tab w:val="center" w:pos="4153" w:leader="none"/>
        <w:tab w:val="right" w:pos="8306" w:leader="none"/>
      </w:tabs>
    </w:pPr>
    <w:rPr>
      <w:rFonts w:ascii="Calibri" w:hAnsi="Calibri" w:eastAsia="宋体"/>
      <w:sz w:val="18"/>
      <w:szCs w:val="18"/>
    </w:rPr>
  </w:style>
  <w:style w:type="paragraph" w:styleId="762">
    <w:name w:val="Header"/>
    <w:basedOn w:val="737"/>
    <w:link w:val="933"/>
    <w:uiPriority w:val="99"/>
    <w:unhideWhenUsed/>
    <w:qFormat/>
    <w:pPr>
      <w:jc w:val="center"/>
      <w:tabs>
        <w:tab w:val="center" w:pos="4153" w:leader="none"/>
        <w:tab w:val="right" w:pos="8306" w:leader="none"/>
      </w:tabs>
    </w:pPr>
    <w:rPr>
      <w:rFonts w:ascii="Calibri" w:hAnsi="Calibri" w:eastAsia="宋体"/>
      <w:sz w:val="18"/>
      <w:szCs w:val="18"/>
    </w:rPr>
  </w:style>
  <w:style w:type="paragraph" w:styleId="763">
    <w:name w:val="toc 1"/>
    <w:basedOn w:val="737"/>
    <w:next w:val="737"/>
    <w:uiPriority w:val="0"/>
    <w:unhideWhenUsed/>
    <w:qFormat/>
    <w:pPr>
      <w:jc w:val="left"/>
    </w:pPr>
    <w:rPr>
      <w:rFonts w:ascii="Calibri" w:hAnsi="Calibri" w:eastAsia="楷体_GB2312"/>
      <w:sz w:val="24"/>
      <w:szCs w:val="20"/>
    </w:rPr>
  </w:style>
  <w:style w:type="paragraph" w:styleId="764">
    <w:name w:val="toc 4"/>
    <w:basedOn w:val="737"/>
    <w:next w:val="737"/>
    <w:uiPriority w:val="39"/>
    <w:unhideWhenUsed/>
    <w:qFormat/>
    <w:pPr>
      <w:ind w:left="850"/>
      <w:spacing w:after="57"/>
    </w:pPr>
  </w:style>
  <w:style w:type="paragraph" w:styleId="765">
    <w:name w:val="Subtitle"/>
    <w:basedOn w:val="737"/>
    <w:next w:val="737"/>
    <w:link w:val="791"/>
    <w:uiPriority w:val="11"/>
    <w:qFormat/>
    <w:pPr>
      <w:spacing w:before="200" w:after="200"/>
    </w:pPr>
    <w:rPr>
      <w:sz w:val="24"/>
      <w:szCs w:val="24"/>
    </w:rPr>
  </w:style>
  <w:style w:type="paragraph" w:styleId="766">
    <w:name w:val="footnote text"/>
    <w:basedOn w:val="737"/>
    <w:link w:val="924"/>
    <w:uiPriority w:val="99"/>
    <w:semiHidden/>
    <w:unhideWhenUsed/>
    <w:qFormat/>
    <w:pPr>
      <w:spacing w:after="40"/>
    </w:pPr>
    <w:rPr>
      <w:sz w:val="18"/>
    </w:rPr>
  </w:style>
  <w:style w:type="paragraph" w:styleId="767">
    <w:name w:val="toc 6"/>
    <w:basedOn w:val="737"/>
    <w:next w:val="737"/>
    <w:uiPriority w:val="39"/>
    <w:unhideWhenUsed/>
    <w:qFormat/>
    <w:pPr>
      <w:ind w:left="1417"/>
      <w:spacing w:after="57"/>
    </w:pPr>
  </w:style>
  <w:style w:type="paragraph" w:styleId="768">
    <w:name w:val="table of figures"/>
    <w:basedOn w:val="737"/>
    <w:next w:val="737"/>
    <w:uiPriority w:val="99"/>
    <w:unhideWhenUsed/>
    <w:qFormat/>
  </w:style>
  <w:style w:type="paragraph" w:styleId="769">
    <w:name w:val="toc 2"/>
    <w:basedOn w:val="737"/>
    <w:next w:val="737"/>
    <w:uiPriority w:val="39"/>
    <w:unhideWhenUsed/>
    <w:qFormat/>
    <w:pPr>
      <w:ind w:left="283"/>
      <w:spacing w:after="57"/>
    </w:pPr>
  </w:style>
  <w:style w:type="paragraph" w:styleId="770">
    <w:name w:val="toc 9"/>
    <w:basedOn w:val="737"/>
    <w:next w:val="737"/>
    <w:uiPriority w:val="39"/>
    <w:unhideWhenUsed/>
    <w:qFormat/>
    <w:pPr>
      <w:ind w:left="2268"/>
      <w:spacing w:after="57"/>
    </w:pPr>
  </w:style>
  <w:style w:type="paragraph" w:styleId="771">
    <w:name w:val="Normal (Web)"/>
    <w:basedOn w:val="737"/>
    <w:uiPriority w:val="99"/>
    <w:qFormat/>
    <w:pPr>
      <w:jc w:val="left"/>
      <w:spacing w:before="100" w:beforeAutospacing="1" w:after="100" w:afterAutospacing="1"/>
    </w:pPr>
    <w:rPr>
      <w:rFonts w:ascii="Calibri" w:hAnsi="Calibri"/>
      <w:sz w:val="24"/>
    </w:rPr>
  </w:style>
  <w:style w:type="paragraph" w:styleId="772">
    <w:name w:val="Title"/>
    <w:basedOn w:val="737"/>
    <w:next w:val="737"/>
    <w:link w:val="790"/>
    <w:uiPriority w:val="10"/>
    <w:qFormat/>
    <w:pPr>
      <w:contextualSpacing/>
      <w:spacing w:before="300" w:after="200"/>
    </w:pPr>
    <w:rPr>
      <w:sz w:val="48"/>
      <w:szCs w:val="48"/>
    </w:rPr>
  </w:style>
  <w:style w:type="paragraph" w:styleId="773">
    <w:name w:val="Body Text First Indent"/>
    <w:basedOn w:val="753"/>
    <w:uiPriority w:val="0"/>
    <w:qFormat/>
    <w:pPr>
      <w:ind w:firstLine="420"/>
    </w:pPr>
    <w:rPr>
      <w:rFonts w:ascii="Times New Roman" w:hAnsi="Times New Roman"/>
    </w:rPr>
  </w:style>
  <w:style w:type="paragraph" w:styleId="774">
    <w:name w:val="Body Text First Indent 2"/>
    <w:basedOn w:val="754"/>
    <w:uiPriority w:val="99"/>
    <w:unhideWhenUsed/>
    <w:qFormat/>
    <w:pPr>
      <w:ind w:firstLine="420"/>
    </w:pPr>
  </w:style>
  <w:style w:type="table" w:styleId="775">
    <w:name w:val="Table Grid"/>
    <w:basedOn w:val="74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name w:val="endnote reference"/>
    <w:basedOn w:val="747"/>
    <w:uiPriority w:val="99"/>
    <w:semiHidden/>
    <w:unhideWhenUsed/>
    <w:qFormat/>
    <w:rPr>
      <w:vertAlign w:val="superscript"/>
    </w:rPr>
  </w:style>
  <w:style w:type="character" w:styleId="777">
    <w:name w:val="page number"/>
    <w:basedOn w:val="747"/>
    <w:uiPriority w:val="0"/>
    <w:qFormat/>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basedOn w:val="747"/>
    <w:uiPriority w:val="99"/>
    <w:unhideWhenUsed/>
    <w:qFormat/>
    <w:rPr>
      <w:vertAlign w:val="superscript"/>
    </w:rPr>
  </w:style>
  <w:style w:type="character" w:styleId="780" w:customStyle="1">
    <w:name w:val="Heading 1 Char"/>
    <w:basedOn w:val="747"/>
    <w:uiPriority w:val="9"/>
    <w:qFormat/>
    <w:rPr>
      <w:rFonts w:ascii="Arial" w:hAnsi="Arial" w:eastAsia="Arial" w:cs="Arial"/>
      <w:sz w:val="40"/>
      <w:szCs w:val="40"/>
    </w:rPr>
  </w:style>
  <w:style w:type="character" w:styleId="781" w:customStyle="1">
    <w:name w:val="标题 2 字符"/>
    <w:basedOn w:val="747"/>
    <w:link w:val="739"/>
    <w:uiPriority w:val="9"/>
    <w:qFormat/>
    <w:rPr>
      <w:rFonts w:ascii="Arial" w:hAnsi="Arial" w:eastAsia="Arial" w:cs="Arial"/>
      <w:sz w:val="34"/>
    </w:rPr>
  </w:style>
  <w:style w:type="character" w:styleId="782" w:customStyle="1">
    <w:name w:val="标题 3 字符"/>
    <w:basedOn w:val="747"/>
    <w:link w:val="740"/>
    <w:uiPriority w:val="9"/>
    <w:qFormat/>
    <w:rPr>
      <w:rFonts w:ascii="Arial" w:hAnsi="Arial" w:eastAsia="Arial" w:cs="Arial"/>
      <w:sz w:val="30"/>
      <w:szCs w:val="30"/>
    </w:rPr>
  </w:style>
  <w:style w:type="character" w:styleId="783" w:customStyle="1">
    <w:name w:val="Heading 4 Char"/>
    <w:basedOn w:val="747"/>
    <w:uiPriority w:val="9"/>
    <w:qFormat/>
    <w:rPr>
      <w:rFonts w:ascii="Arial" w:hAnsi="Arial" w:eastAsia="Arial" w:cs="Arial"/>
      <w:b/>
      <w:bCs/>
      <w:sz w:val="26"/>
      <w:szCs w:val="26"/>
    </w:rPr>
  </w:style>
  <w:style w:type="character" w:styleId="784" w:customStyle="1">
    <w:name w:val="标题 5 字符"/>
    <w:basedOn w:val="747"/>
    <w:link w:val="742"/>
    <w:uiPriority w:val="9"/>
    <w:qFormat/>
    <w:rPr>
      <w:rFonts w:ascii="Arial" w:hAnsi="Arial" w:eastAsia="Arial" w:cs="Arial"/>
      <w:b/>
      <w:bCs/>
      <w:sz w:val="24"/>
      <w:szCs w:val="24"/>
    </w:rPr>
  </w:style>
  <w:style w:type="character" w:styleId="785" w:customStyle="1">
    <w:name w:val="标题 6 字符"/>
    <w:basedOn w:val="747"/>
    <w:link w:val="743"/>
    <w:uiPriority w:val="9"/>
    <w:qFormat/>
    <w:rPr>
      <w:rFonts w:ascii="Arial" w:hAnsi="Arial" w:eastAsia="Arial" w:cs="Arial"/>
      <w:b/>
      <w:bCs/>
      <w:sz w:val="22"/>
      <w:szCs w:val="22"/>
    </w:rPr>
  </w:style>
  <w:style w:type="character" w:styleId="786" w:customStyle="1">
    <w:name w:val="标题 7 字符"/>
    <w:basedOn w:val="747"/>
    <w:link w:val="744"/>
    <w:uiPriority w:val="9"/>
    <w:qFormat/>
    <w:rPr>
      <w:rFonts w:ascii="Arial" w:hAnsi="Arial" w:eastAsia="Arial" w:cs="Arial"/>
      <w:b/>
      <w:bCs/>
      <w:i/>
      <w:iCs/>
      <w:sz w:val="22"/>
      <w:szCs w:val="22"/>
    </w:rPr>
  </w:style>
  <w:style w:type="character" w:styleId="787" w:customStyle="1">
    <w:name w:val="标题 8 字符"/>
    <w:basedOn w:val="747"/>
    <w:link w:val="745"/>
    <w:uiPriority w:val="9"/>
    <w:qFormat/>
    <w:rPr>
      <w:rFonts w:ascii="Arial" w:hAnsi="Arial" w:eastAsia="Arial" w:cs="Arial"/>
      <w:i/>
      <w:iCs/>
      <w:sz w:val="22"/>
      <w:szCs w:val="22"/>
    </w:rPr>
  </w:style>
  <w:style w:type="character" w:styleId="788" w:customStyle="1">
    <w:name w:val="标题 9 字符"/>
    <w:basedOn w:val="747"/>
    <w:link w:val="746"/>
    <w:uiPriority w:val="9"/>
    <w:qFormat/>
    <w:rPr>
      <w:rFonts w:ascii="Arial" w:hAnsi="Arial" w:eastAsia="Arial" w:cs="Arial"/>
      <w:i/>
      <w:iCs/>
      <w:sz w:val="21"/>
      <w:szCs w:val="21"/>
    </w:rPr>
  </w:style>
  <w:style w:type="paragraph" w:styleId="789">
    <w:name w:val="No Spacing"/>
    <w:uiPriority w:val="1"/>
    <w:qFormat/>
    <w:rPr>
      <w:rFonts w:ascii="Times New Roman" w:hAnsi="Times New Roman" w:eastAsia="宋体" w:cs="Times New Roman"/>
      <w:lang w:val="en-US" w:eastAsia="zh-CN" w:bidi="ar-SA"/>
    </w:rPr>
  </w:style>
  <w:style w:type="character" w:styleId="790" w:customStyle="1">
    <w:name w:val="标题 字符"/>
    <w:basedOn w:val="747"/>
    <w:link w:val="772"/>
    <w:uiPriority w:val="10"/>
    <w:qFormat/>
    <w:rPr>
      <w:sz w:val="48"/>
      <w:szCs w:val="48"/>
    </w:rPr>
  </w:style>
  <w:style w:type="character" w:styleId="791" w:customStyle="1">
    <w:name w:val="副标题 字符"/>
    <w:basedOn w:val="747"/>
    <w:link w:val="765"/>
    <w:uiPriority w:val="11"/>
    <w:qFormat/>
    <w:rPr>
      <w:sz w:val="24"/>
      <w:szCs w:val="24"/>
    </w:rPr>
  </w:style>
  <w:style w:type="paragraph" w:styleId="792">
    <w:name w:val="Quote"/>
    <w:basedOn w:val="737"/>
    <w:next w:val="737"/>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737"/>
    <w:next w:val="737"/>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Header Char"/>
    <w:basedOn w:val="747"/>
    <w:uiPriority w:val="99"/>
    <w:qFormat/>
  </w:style>
  <w:style w:type="character" w:styleId="797" w:customStyle="1">
    <w:name w:val="Footer Char"/>
    <w:basedOn w:val="747"/>
    <w:uiPriority w:val="99"/>
    <w:qFormat/>
  </w:style>
  <w:style w:type="character" w:styleId="798" w:customStyle="1">
    <w:name w:val="Caption Char"/>
    <w:uiPriority w:val="99"/>
    <w:qFormat/>
  </w:style>
  <w:style w:type="table" w:styleId="799" w:customStyle="1">
    <w:name w:val="Table Grid Light"/>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0" w:customStyle="1">
    <w:name w:val="无格式表格 1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4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4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4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4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4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4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4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4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4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4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4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4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网格表 3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4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4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4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4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4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4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4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4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4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4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4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4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网格表 5 深色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网格表 6 彩色1"/>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4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4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4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basedOn w:val="74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4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4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网格表 7 彩色1"/>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4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4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4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4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4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4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basedOn w:val="74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4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4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4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4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4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4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清单表 21"/>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4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4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4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4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4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4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清单表 3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4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4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4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4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4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4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清单表 4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4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4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4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4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4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4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清单表 5 深色1"/>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4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4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4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4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4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4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basedOn w:val="74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4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4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4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4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4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4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清单表 7 彩色1"/>
    <w:basedOn w:val="74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4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4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4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4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4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4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4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4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4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4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4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4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4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4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4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4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4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4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4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4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66"/>
    <w:uiPriority w:val="99"/>
    <w:qFormat/>
    <w:rPr>
      <w:sz w:val="18"/>
    </w:rPr>
  </w:style>
  <w:style w:type="character" w:styleId="925" w:customStyle="1">
    <w:name w:val="尾注文本 字符"/>
    <w:link w:val="759"/>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paragraph" w:styleId="927" w:customStyle="1">
    <w:name w:val="正文首行缩进1"/>
    <w:basedOn w:val="928"/>
    <w:uiPriority w:val="0"/>
    <w:qFormat/>
    <w:pPr>
      <w:ind w:firstLine="420"/>
    </w:pPr>
    <w:rPr>
      <w:rFonts w:ascii="Times New Roman" w:hAnsi="Times New Roman"/>
    </w:rPr>
  </w:style>
  <w:style w:type="paragraph" w:styleId="928" w:customStyle="1">
    <w:name w:val="正文文本1"/>
    <w:basedOn w:val="737"/>
    <w:next w:val="737"/>
    <w:uiPriority w:val="0"/>
    <w:qFormat/>
    <w:pPr>
      <w:jc w:val="left"/>
      <w:spacing w:after="120"/>
    </w:pPr>
    <w:rPr>
      <w:rFonts w:hint="eastAsia" w:ascii="宋体" w:hAnsi="宋体" w:eastAsia="宋体"/>
      <w:sz w:val="22"/>
    </w:rPr>
  </w:style>
  <w:style w:type="character" w:styleId="929" w:customStyle="1">
    <w:name w:val="批注文字 字符"/>
    <w:link w:val="752"/>
    <w:uiPriority w:val="99"/>
    <w:semiHidden/>
    <w:qFormat/>
    <w:rPr>
      <w:sz w:val="21"/>
      <w:szCs w:val="22"/>
    </w:rPr>
  </w:style>
  <w:style w:type="character" w:styleId="930" w:customStyle="1">
    <w:name w:val="正文文本缩进 字符"/>
    <w:link w:val="754"/>
    <w:uiPriority w:val="0"/>
    <w:qFormat/>
    <w:rPr>
      <w:rFonts w:ascii="Calibri" w:hAnsi="Calibri" w:eastAsia="宋体"/>
      <w:sz w:val="21"/>
      <w:szCs w:val="24"/>
    </w:rPr>
  </w:style>
  <w:style w:type="character" w:styleId="931" w:customStyle="1">
    <w:name w:val="批注框文本 字符"/>
    <w:link w:val="760"/>
    <w:uiPriority w:val="99"/>
    <w:semiHidden/>
    <w:qFormat/>
    <w:rPr>
      <w:sz w:val="18"/>
      <w:szCs w:val="18"/>
    </w:rPr>
  </w:style>
  <w:style w:type="character" w:styleId="932" w:customStyle="1">
    <w:name w:val="页脚 字符"/>
    <w:link w:val="761"/>
    <w:uiPriority w:val="99"/>
    <w:qFormat/>
    <w:rPr>
      <w:rFonts w:ascii="Calibri" w:hAnsi="Calibri" w:eastAsia="宋体"/>
      <w:sz w:val="18"/>
      <w:szCs w:val="18"/>
    </w:rPr>
  </w:style>
  <w:style w:type="character" w:styleId="933" w:customStyle="1">
    <w:name w:val="页眉 字符"/>
    <w:link w:val="762"/>
    <w:uiPriority w:val="99"/>
    <w:qFormat/>
    <w:rPr>
      <w:rFonts w:ascii="Calibri" w:hAnsi="Calibri" w:eastAsia="宋体"/>
      <w:sz w:val="18"/>
      <w:szCs w:val="18"/>
    </w:rPr>
  </w:style>
  <w:style w:type="paragraph" w:styleId="934" w:customStyle="1">
    <w:name w:val="_Style 22"/>
    <w:uiPriority w:val="99"/>
    <w:semiHidden/>
    <w:qFormat/>
    <w:rPr>
      <w:rFonts w:ascii="等线" w:hAnsi="等线" w:eastAsia="等线" w:cs="Times New Roman"/>
      <w:sz w:val="21"/>
      <w:szCs w:val="22"/>
      <w:lang w:val="en-US" w:eastAsia="zh-CN" w:bidi="ar-SA"/>
    </w:rPr>
  </w:style>
  <w:style w:type="paragraph" w:styleId="935">
    <w:name w:val="List Paragraph"/>
    <w:basedOn w:val="737"/>
    <w:uiPriority w:val="99"/>
    <w:qFormat/>
    <w:pPr>
      <w:ind w:firstLine="420"/>
    </w:pPr>
    <w:rPr>
      <w:rFonts w:ascii="Calibri" w:hAnsi="Calibri" w:eastAsia="宋体"/>
      <w:szCs w:val="24"/>
    </w:rPr>
  </w:style>
  <w:style w:type="paragraph" w:styleId="936" w:customStyle="1">
    <w:name w:val="首行缩进"/>
    <w:basedOn w:val="737"/>
    <w:uiPriority w:val="0"/>
    <w:qFormat/>
    <w:pPr>
      <w:ind w:firstLine="480"/>
    </w:pPr>
    <w:rPr>
      <w:rFonts w:ascii="Times New Roman" w:hAnsi="Times New Roman"/>
      <w:lang w:val="zh-CN"/>
    </w:rPr>
  </w:style>
  <w:style w:type="paragraph" w:styleId="937" w:customStyle="1">
    <w:name w:val="段"/>
    <w:next w:val="737"/>
    <w:uiPriority w:val="0"/>
    <w:qFormat/>
    <w:pPr>
      <w:ind w:firstLine="200"/>
      <w:jc w:val="both"/>
    </w:pPr>
    <w:rPr>
      <w:rFonts w:ascii="宋体" w:hAnsi="Times New Roman" w:eastAsia="Times New Roman" w:cs="Times New Roman"/>
      <w:sz w:val="21"/>
      <w:lang w:val="en-US" w:eastAsia="zh-CN" w:bidi="ar-SA"/>
    </w:rPr>
  </w:style>
  <w:style w:type="paragraph" w:styleId="938" w:customStyle="1">
    <w:name w:val="纯文本1"/>
    <w:basedOn w:val="737"/>
    <w:uiPriority w:val="0"/>
    <w:qFormat/>
    <w:rPr>
      <w:rFonts w:ascii="宋体" w:hAnsi="Courier New"/>
    </w:rPr>
  </w:style>
  <w:style w:type="paragraph" w:styleId="939" w:customStyle="1">
    <w:name w:val="纯文本4"/>
    <w:basedOn w:val="737"/>
    <w:uiPriority w:val="0"/>
    <w:qFormat/>
    <w:rPr>
      <w:rFonts w:ascii="宋体" w:hAnsi="Courier New"/>
    </w:rPr>
  </w:style>
  <w:style w:type="paragraph" w:styleId="940" w:customStyle="1">
    <w:name w:val="UserStyle_62"/>
    <w:basedOn w:val="737"/>
    <w:uiPriority w:val="0"/>
    <w:qFormat/>
    <w:pPr>
      <w:widowControl/>
    </w:pPr>
    <w:rPr>
      <w:rFonts w:ascii="宋体" w:hAnsi="Courier New"/>
    </w:rPr>
  </w:style>
  <w:style w:type="character" w:styleId="941" w:customStyle="1">
    <w:name w:val="NormalCharacter"/>
    <w:uiPriority w:val="0"/>
    <w:semiHidden/>
    <w:qFormat/>
  </w:style>
  <w:style w:type="paragraph" w:styleId="942" w:customStyle="1">
    <w:name w:val="纯文本5"/>
    <w:basedOn w:val="737"/>
    <w:uiPriority w:val="0"/>
    <w:qFormat/>
    <w:rPr>
      <w:rFonts w:ascii="宋体" w:hAnsi="Courier New"/>
    </w:rPr>
  </w:style>
  <w:style w:type="paragraph" w:styleId="943" w:customStyle="1">
    <w:name w:val="纯文本6"/>
    <w:basedOn w:val="737"/>
    <w:uiPriority w:val="0"/>
    <w:qFormat/>
    <w:rPr>
      <w:rFonts w:ascii="宋体" w:hAnsi="Courier New"/>
    </w:rPr>
  </w:style>
  <w:style w:type="paragraph" w:styleId="944" w:customStyle="1">
    <w:name w:val="纯文本2"/>
    <w:basedOn w:val="737"/>
    <w:uiPriority w:val="0"/>
    <w:qFormat/>
    <w:rPr>
      <w:rFonts w:ascii="宋体" w:hAnsi="Courier New"/>
    </w:rPr>
  </w:style>
  <w:style w:type="paragraph" w:styleId="945" w:customStyle="1">
    <w:name w:val="Plain Text1"/>
    <w:basedOn w:val="737"/>
    <w:uiPriority w:val="0"/>
    <w:qFormat/>
    <w:rPr>
      <w:rFonts w:hint="eastAsia" w:ascii="宋体" w:hAnsi="Courier New" w:eastAsia="楷体_GB2312"/>
      <w:sz w:val="28"/>
      <w:szCs w:val="20"/>
    </w:rPr>
  </w:style>
  <w:style w:type="paragraph" w:styleId="946" w:customStyle="1">
    <w:name w:val="BodyText1I2"/>
    <w:next w:val="737"/>
    <w:uiPriority w:val="0"/>
    <w:qFormat/>
    <w:pPr>
      <w:ind w:left="420" w:firstLine="420"/>
      <w:jc w:val="both"/>
      <w:spacing w:after="120"/>
    </w:pPr>
    <w:rPr>
      <w:rFonts w:ascii="Calibri" w:hAnsi="Calibri" w:eastAsia="宋体" w:cs="Times New Roman"/>
      <w:sz w:val="21"/>
      <w:szCs w:val="22"/>
      <w:lang w:val="en-US" w:eastAsia="zh-CN" w:bidi="ar-SA"/>
    </w:rPr>
  </w:style>
  <w:style w:type="paragraph" w:styleId="947" w:customStyle="1">
    <w:name w:val="修订1"/>
    <w:hidden/>
    <w:uiPriority w:val="99"/>
    <w:unhideWhenUsed/>
    <w:qFormat/>
    <w:rPr>
      <w:rFonts w:ascii="等线" w:hAnsi="等线" w:eastAsia="等线" w:cs="Times New Roman"/>
      <w:sz w:val="21"/>
      <w:szCs w:val="22"/>
      <w:lang w:val="en-US" w:eastAsia="zh-CN" w:bidi="ar-SA"/>
    </w:rPr>
  </w:style>
  <w:style w:type="character" w:styleId="948" w:customStyle="1">
    <w:name w:val="标题 4 字符"/>
    <w:basedOn w:val="747"/>
    <w:link w:val="741"/>
    <w:uiPriority w:val="9"/>
    <w:semiHidden/>
    <w:qFormat/>
    <w:rPr>
      <w:rFonts w:asciiTheme="majorHAnsi" w:hAnsiTheme="majorHAnsi" w:eastAsiaTheme="majorEastAsia" w:cstheme="majorBidi"/>
      <w:b/>
      <w:bCs/>
      <w:sz w:val="28"/>
      <w:szCs w:val="28"/>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719318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7193184"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7193185"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7193186"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7193187"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7193188"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71931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能之 程</dc:creator>
  <cp:lastModifiedBy>孙鹏、徐亮、蒲苗苗</cp:lastModifiedBy>
  <cp:revision>17</cp:revision>
  <dcterms:created xsi:type="dcterms:W3CDTF">2026-08-25T05:14:00Z</dcterms:created>
  <dcterms:modified xsi:type="dcterms:W3CDTF">2026-08-27T02:38:23Z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A429D97B4CE54BC2AECFBE66C961F09F_13</vt:lpwstr>
  </property>
  <property fmtid="{D5CDD505-2E9C-101B-9397-08002B2CF9AE}" pid="4" name="KSOTemplateDocerSaveRecord">
    <vt:lpwstr>eyJoZGlkIjoiNGY0Njc2YmJiMmU2NWUwMzI4NWE3NDNlZmJiZWYyNGUiLCJ1c2VySWQiOiI1Njc2NjY1NTYifQ==</vt:lpwstr>
  </property>
</Properties>
</file>