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0"/>
        <w:jc w:val="left"/>
        <w:spacing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90"/>
        <w:jc w:val="center"/>
        <w:spacing w:before="120" w:after="120" w:line="360" w:lineRule="auto"/>
        <w:shd w:val="clear" w:color="auto" w:fill="auto"/>
        <w:rPr>
          <w:rFonts w:ascii="Times New Roman" w:hAnsi="Times New Roman"/>
          <w:b/>
          <w:bCs/>
          <w:color w:val="000000"/>
          <w:sz w:val="84"/>
          <w:szCs w:val="84"/>
          <w:highlight w:val="none"/>
        </w:rPr>
      </w:pPr>
      <w:r>
        <w:rPr>
          <w:rFonts w:ascii="Times New Roman" w:hAnsi="Times New Roman"/>
          <w:b/>
          <w:bCs/>
          <w:color w:val="000000"/>
          <w:sz w:val="84"/>
          <w:szCs w:val="84"/>
          <w:highlight w:val="none"/>
        </w:rPr>
        <w:t xml:space="preserve"> </w:t>
      </w:r>
      <w:r>
        <w:rPr>
          <w:rFonts w:ascii="Times New Roman" w:hAnsi="Times New Roman"/>
          <w:b/>
          <w:bCs/>
          <w:color w:val="000000"/>
          <w:sz w:val="84"/>
          <w:szCs w:val="84"/>
          <w:highlight w:val="none"/>
        </w:rPr>
      </w:r>
      <w:r/>
    </w:p>
    <w:p>
      <w:pPr>
        <w:pStyle w:val="1105"/>
        <w:ind w:firstLine="0"/>
        <w:jc w:val="center"/>
        <w:shd w:val="clear" w:color="auto" w:fill="auto"/>
        <w:rPr>
          <w:rFonts w:ascii="Times New Roman" w:hAnsi="Times New Roman"/>
          <w:b/>
          <w:bCs/>
          <w:color w:val="000000"/>
          <w:sz w:val="72"/>
          <w:szCs w:val="72"/>
          <w:highlight w:val="none"/>
        </w:rPr>
      </w:pPr>
      <w:r>
        <w:rPr>
          <w:rFonts w:ascii="Times New Roman" w:hAnsi="Times New Roman"/>
          <w:b/>
          <w:bCs/>
          <w:color w:val="000000"/>
          <w:sz w:val="72"/>
          <w:szCs w:val="72"/>
          <w:highlight w:val="none"/>
        </w:rPr>
        <w:t xml:space="preserve">招　标　文　件</w:t>
      </w:r>
      <w:r>
        <w:rPr>
          <w:rFonts w:ascii="Times New Roman" w:hAnsi="Times New Roman"/>
          <w:b/>
          <w:bCs/>
          <w:color w:val="000000"/>
          <w:sz w:val="72"/>
          <w:szCs w:val="72"/>
          <w:highlight w:val="none"/>
        </w:rPr>
      </w:r>
      <w:r/>
    </w:p>
    <w:p>
      <w:pPr>
        <w:pStyle w:val="1105"/>
        <w:ind w:firstLine="0"/>
        <w:jc w:val="center"/>
        <w:shd w:val="clear" w:color="auto" w:fill="auto"/>
        <w:rPr>
          <w:rFonts w:hint="eastAsia" w:ascii="Times New Roman" w:hAnsi="Times New Roman" w:eastAsia="宋体"/>
          <w:b/>
          <w:bCs/>
          <w:color w:val="000000"/>
          <w:sz w:val="32"/>
          <w:szCs w:val="32"/>
          <w:highlight w:val="none"/>
          <w:lang w:eastAsia="zh-CN"/>
        </w:rPr>
      </w:pPr>
      <w:r>
        <w:rPr>
          <w:rFonts w:ascii="Times New Roman" w:hAnsi="Times New Roman"/>
          <w:b/>
          <w:bCs/>
          <w:color w:val="000000"/>
          <w:sz w:val="32"/>
          <w:szCs w:val="32"/>
          <w:highlight w:val="none"/>
        </w:rPr>
        <w:t xml:space="preserve">项目名称：</w:t>
      </w:r>
      <w:r>
        <w:rPr>
          <w:rFonts w:hint="eastAsia" w:ascii="Times New Roman" w:hAnsi="Times New Roman"/>
          <w:b/>
          <w:bCs/>
          <w:color w:val="000000"/>
          <w:sz w:val="32"/>
          <w:szCs w:val="32"/>
          <w:highlight w:val="none"/>
          <w:lang w:eastAsia="zh-CN"/>
        </w:rPr>
        <w:t xml:space="preserve">民警意外和家庭医疗保险</w:t>
      </w:r>
      <w:r>
        <w:rPr>
          <w:rFonts w:hint="eastAsia" w:ascii="Times New Roman" w:hAnsi="Times New Roman" w:eastAsia="宋体"/>
          <w:b/>
          <w:bCs/>
          <w:color w:val="000000"/>
          <w:sz w:val="32"/>
          <w:szCs w:val="32"/>
          <w:highlight w:val="none"/>
          <w:lang w:eastAsia="zh-CN"/>
        </w:rPr>
      </w:r>
      <w:r/>
    </w:p>
    <w:p>
      <w:pPr>
        <w:pStyle w:val="1105"/>
        <w:ind w:firstLine="0"/>
        <w:jc w:val="center"/>
        <w:shd w:val="clear" w:color="auto" w:fill="auto"/>
        <w:rPr>
          <w:rFonts w:hint="eastAsia" w:ascii="Times New Roman" w:hAnsi="Times New Roman" w:eastAsia="宋体"/>
          <w:color w:val="000000"/>
          <w:sz w:val="32"/>
          <w:szCs w:val="32"/>
          <w:highlight w:val="none"/>
          <w:lang w:eastAsia="zh-CN"/>
        </w:rPr>
      </w:pPr>
      <w:r>
        <w:rPr>
          <w:rFonts w:ascii="Times New Roman" w:hAnsi="Times New Roman"/>
          <w:b/>
          <w:color w:val="000000"/>
          <w:sz w:val="32"/>
          <w:szCs w:val="32"/>
          <w:highlight w:val="none"/>
        </w:rPr>
        <w:t xml:space="preserve">标</w:t>
      </w:r>
      <w:r>
        <w:rPr>
          <w:rFonts w:ascii="Times New Roman" w:hAnsi="Times New Roman"/>
          <w:b/>
          <w:bCs/>
          <w:color w:val="000000"/>
          <w:sz w:val="32"/>
          <w:szCs w:val="32"/>
          <w:highlight w:val="none"/>
        </w:rPr>
        <w:t xml:space="preserve">书编号：</w:t>
      </w:r>
      <w:r>
        <w:rPr>
          <w:rFonts w:hint="eastAsia" w:ascii="Times New Roman" w:hAnsi="Times New Roman"/>
          <w:b/>
          <w:bCs/>
          <w:color w:val="000000"/>
          <w:sz w:val="32"/>
          <w:szCs w:val="32"/>
          <w:highlight w:val="none"/>
          <w:lang w:eastAsia="zh-CN"/>
        </w:rPr>
        <w:t xml:space="preserve">JSZC-320582-HDZB-G2026-0014</w:t>
      </w:r>
      <w:r>
        <w:rPr>
          <w:rFonts w:hint="eastAsia" w:ascii="Times New Roman" w:hAnsi="Times New Roman" w:eastAsia="宋体"/>
          <w:color w:val="000000"/>
          <w:sz w:val="32"/>
          <w:szCs w:val="32"/>
          <w:highlight w:val="none"/>
          <w:lang w:eastAsia="zh-CN"/>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t xml:space="preserve">                        </w:t>
      </w:r>
      <w:r>
        <w:rPr>
          <w:rFonts w:ascii="Times New Roman" w:hAnsi="Times New Roman"/>
          <w:b/>
          <w:color w:val="000000"/>
          <w:sz w:val="32"/>
          <w:szCs w:val="32"/>
          <w:highlight w:val="none"/>
        </w:rPr>
        <w:t xml:space="preserve">项目属性：服务类</w:t>
      </w: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1105"/>
        <w:ind w:firstLine="0"/>
        <w:spacing w:before="0" w:after="0"/>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r>
      <w:r/>
    </w:p>
    <w:p>
      <w:pPr>
        <w:pStyle w:val="836"/>
        <w:jc w:val="center"/>
        <w:spacing w:line="360" w:lineRule="auto"/>
        <w:shd w:val="clear" w:color="auto" w:fill="auto"/>
        <w:rPr>
          <w:rFonts w:ascii="Times New Roman" w:hAnsi="Times New Roman"/>
          <w:b/>
          <w:bCs/>
          <w:color w:val="000000"/>
          <w:sz w:val="32"/>
          <w:szCs w:val="32"/>
          <w:highlight w:val="none"/>
        </w:rPr>
      </w:pPr>
      <w:r>
        <w:rPr>
          <w:rFonts w:ascii="Times New Roman" w:hAnsi="Times New Roman"/>
          <w:b/>
          <w:bCs/>
          <w:color w:val="000000"/>
          <w:sz w:val="32"/>
          <w:szCs w:val="32"/>
          <w:highlight w:val="none"/>
        </w:rPr>
        <w:t xml:space="preserve">张家港禾达招投标咨询服务有限公司</w:t>
      </w:r>
      <w:r>
        <w:rPr>
          <w:rFonts w:ascii="Times New Roman" w:hAnsi="Times New Roman"/>
          <w:b/>
          <w:bCs/>
          <w:color w:val="000000"/>
          <w:sz w:val="32"/>
          <w:szCs w:val="32"/>
          <w:highlight w:val="none"/>
        </w:rPr>
      </w:r>
      <w:r/>
    </w:p>
    <w:p>
      <w:pPr>
        <w:pStyle w:val="1105"/>
        <w:ind w:firstLine="0"/>
        <w:jc w:val="center"/>
        <w:shd w:val="clear" w:color="auto" w:fill="auto"/>
        <w:rPr>
          <w:rFonts w:ascii="Times New Roman" w:hAnsi="Times New Roman"/>
          <w:b/>
          <w:bCs/>
          <w:color w:val="000000"/>
          <w:sz w:val="32"/>
          <w:szCs w:val="32"/>
          <w:highlight w:val="none"/>
        </w:rPr>
      </w:pPr>
      <w:r/>
      <w:bookmarkStart w:id="0" w:name="EB52307051e0d04806912e5842f73c8551"/>
      <w:r>
        <w:rPr>
          <w:rFonts w:ascii="Times New Roman" w:hAnsi="Times New Roman"/>
          <w:b/>
          <w:bCs/>
          <w:color w:val="000000"/>
          <w:sz w:val="32"/>
          <w:szCs w:val="32"/>
          <w:highlight w:val="none"/>
        </w:rPr>
        <w:t xml:space="preserve">2026年</w:t>
      </w:r>
      <w:r>
        <w:rPr>
          <w:rFonts w:hint="eastAsia" w:ascii="Times New Roman" w:hAnsi="Times New Roman"/>
          <w:b/>
          <w:bCs/>
          <w:color w:val="000000"/>
          <w:sz w:val="32"/>
          <w:szCs w:val="32"/>
          <w:highlight w:val="none"/>
          <w:lang w:val="en-US" w:eastAsia="zh-CN"/>
        </w:rPr>
        <w:t xml:space="preserve">09</w:t>
      </w:r>
      <w:r>
        <w:rPr>
          <w:rFonts w:ascii="Times New Roman" w:hAnsi="Times New Roman"/>
          <w:b/>
          <w:bCs/>
          <w:color w:val="000000"/>
          <w:sz w:val="32"/>
          <w:szCs w:val="32"/>
          <w:highlight w:val="none"/>
        </w:rPr>
        <w:t xml:space="preserve">月</w:t>
      </w:r>
      <w:bookmarkEnd w:id="0"/>
      <w:r>
        <w:rPr>
          <w:rFonts w:hint="eastAsia" w:ascii="Times New Roman" w:hAnsi="Times New Roman"/>
          <w:b/>
          <w:bCs/>
          <w:color w:val="000000"/>
          <w:sz w:val="32"/>
          <w:szCs w:val="32"/>
          <w:highlight w:val="none"/>
          <w:lang w:val="en-US" w:eastAsia="zh-CN"/>
        </w:rPr>
        <w:t xml:space="preserve">04</w:t>
      </w:r>
      <w:r>
        <w:rPr>
          <w:rFonts w:ascii="Times New Roman" w:hAnsi="Times New Roman"/>
          <w:b/>
          <w:bCs/>
          <w:color w:val="000000"/>
          <w:sz w:val="32"/>
          <w:szCs w:val="32"/>
          <w:highlight w:val="none"/>
        </w:rPr>
        <w:t xml:space="preserve">日</w:t>
      </w:r>
      <w:r>
        <w:rPr>
          <w:rFonts w:ascii="Times New Roman" w:hAnsi="Times New Roman"/>
          <w:b/>
          <w:bCs/>
          <w:color w:val="000000"/>
          <w:sz w:val="32"/>
          <w:szCs w:val="32"/>
          <w:highlight w:val="none"/>
        </w:rPr>
      </w:r>
      <w:r/>
    </w:p>
    <w:p>
      <w:pPr>
        <w:pStyle w:val="790"/>
        <w:jc w:val="center"/>
        <w:spacing w:before="120" w:after="120"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90"/>
        <w:jc w:val="center"/>
        <w:spacing w:before="120" w:after="120"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90"/>
        <w:jc w:val="center"/>
        <w:spacing w:before="120" w:after="120" w:line="36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 </w:t>
      </w:r>
      <w:r>
        <w:rPr>
          <w:rFonts w:ascii="Times New Roman" w:hAnsi="Times New Roman"/>
          <w:color w:val="000000"/>
          <w:sz w:val="24"/>
          <w:highlight w:val="none"/>
        </w:rPr>
      </w:r>
      <w:r/>
    </w:p>
    <w:p>
      <w:pPr>
        <w:pStyle w:val="790"/>
        <w:jc w:val="center"/>
        <w:spacing w:line="360" w:lineRule="auto"/>
        <w:shd w:val="clear" w:color="auto" w:fill="auto"/>
        <w:rPr>
          <w:rFonts w:ascii="Times New Roman" w:hAnsi="Times New Roman"/>
          <w:b/>
          <w:bCs/>
          <w:color w:val="000000"/>
          <w:sz w:val="44"/>
          <w:szCs w:val="44"/>
          <w:highlight w:val="none"/>
        </w:rPr>
      </w:pPr>
      <w:r>
        <w:rPr>
          <w:rFonts w:ascii="Times New Roman" w:hAnsi="Times New Roman"/>
          <w:b/>
          <w:bCs/>
          <w:color w:val="000000"/>
          <w:sz w:val="44"/>
          <w:szCs w:val="44"/>
          <w:highlight w:val="none"/>
        </w:rPr>
        <w:br w:type="page" w:clear="all"/>
      </w:r>
      <w:r>
        <w:rPr>
          <w:rFonts w:ascii="Times New Roman" w:hAnsi="Times New Roman"/>
          <w:b/>
          <w:bCs/>
          <w:color w:val="000000"/>
          <w:sz w:val="44"/>
          <w:szCs w:val="44"/>
          <w:highlight w:val="none"/>
        </w:rPr>
        <w:t xml:space="preserve">总  目  录</w:t>
      </w:r>
      <w:r>
        <w:rPr>
          <w:rFonts w:ascii="Times New Roman" w:hAnsi="Times New Roman"/>
          <w:b/>
          <w:bCs/>
          <w:color w:val="000000"/>
          <w:sz w:val="44"/>
          <w:szCs w:val="44"/>
          <w:highlight w:val="none"/>
        </w:rPr>
      </w:r>
      <w:r/>
    </w:p>
    <w:p>
      <w:pPr>
        <w:pStyle w:val="848"/>
        <w:spacing w:after="0" w:line="440" w:lineRule="exact"/>
        <w:shd w:val="clear" w:color="auto" w:fill="auto"/>
        <w:tabs>
          <w:tab w:val="right" w:pos="10082" w:leader="dot"/>
        </w:tabs>
        <w:rPr>
          <w:rFonts w:ascii="Times New Roman" w:hAnsi="Times New Roman"/>
          <w:b/>
          <w:bCs/>
          <w:color w:val="000000"/>
          <w:sz w:val="24"/>
          <w:szCs w:val="24"/>
          <w:highlight w:val="none"/>
        </w:rPr>
      </w:pPr>
      <w:r>
        <w:rPr>
          <w:rFonts w:ascii="Times New Roman" w:hAnsi="Times New Roman"/>
          <w:bCs/>
          <w:caps/>
          <w:color w:val="000000"/>
          <w:sz w:val="24"/>
          <w:szCs w:val="24"/>
          <w:highlight w:val="none"/>
        </w:rPr>
        <w:fldChar w:fldCharType="begin"/>
      </w:r>
      <w:r>
        <w:rPr>
          <w:rFonts w:ascii="Times New Roman" w:hAnsi="Times New Roman"/>
          <w:bCs/>
          <w:color w:val="000000"/>
          <w:sz w:val="24"/>
          <w:szCs w:val="24"/>
          <w:highlight w:val="none"/>
        </w:rPr>
        <w:instrText xml:space="preserve"> TOC \o "1-2" \h \z \u </w:instrText>
      </w:r>
      <w:r>
        <w:rPr>
          <w:rFonts w:ascii="Times New Roman" w:hAnsi="Times New Roman"/>
          <w:bCs/>
          <w:caps/>
          <w:color w:val="000000"/>
          <w:sz w:val="24"/>
          <w:szCs w:val="24"/>
          <w:highlight w:val="none"/>
        </w:rPr>
        <w:fldChar w:fldCharType="separate"/>
      </w:r>
      <w:r>
        <w:rPr>
          <w:color w:val="000000"/>
          <w:highlight w:val="none"/>
        </w:rPr>
        <w:fldChar w:fldCharType="begin"/>
      </w:r>
      <w:r>
        <w:rPr>
          <w:color w:val="000000"/>
          <w:highlight w:val="none"/>
        </w:rPr>
        <w:instrText xml:space="preserve"> HYPERLINK \l "_Toc209797842" \o "#_Toc209797842" </w:instrText>
      </w:r>
      <w:r>
        <w:rPr>
          <w:color w:val="000000"/>
          <w:highlight w:val="none"/>
        </w:rPr>
        <w:fldChar w:fldCharType="separate"/>
      </w:r>
      <w:r>
        <w:rPr>
          <w:rStyle w:val="879"/>
          <w:rFonts w:ascii="Times New Roman" w:hAnsi="Times New Roman"/>
          <w:b/>
          <w:bCs/>
          <w:color w:val="000000"/>
          <w:sz w:val="24"/>
          <w:szCs w:val="24"/>
          <w:highlight w:val="none"/>
        </w:rPr>
        <w:t xml:space="preserve">第一章  投标邀请</w:t>
      </w:r>
      <w:r>
        <w:rPr>
          <w:rFonts w:ascii="Times New Roman" w:hAnsi="Times New Roman"/>
          <w:b/>
          <w:bCs/>
          <w:color w:val="000000"/>
          <w:sz w:val="24"/>
          <w:szCs w:val="24"/>
          <w:highlight w:val="none"/>
        </w:rPr>
        <w:tab/>
      </w:r>
      <w:r>
        <w:rPr>
          <w:rFonts w:ascii="Times New Roman" w:hAnsi="Times New Roman"/>
          <w:b/>
          <w:bCs/>
          <w:color w:val="000000"/>
          <w:sz w:val="24"/>
          <w:szCs w:val="24"/>
          <w:highlight w:val="none"/>
        </w:rPr>
        <w:fldChar w:fldCharType="begin"/>
      </w:r>
      <w:r>
        <w:rPr>
          <w:rFonts w:ascii="Times New Roman" w:hAnsi="Times New Roman"/>
          <w:b/>
          <w:bCs/>
          <w:color w:val="000000"/>
          <w:sz w:val="24"/>
          <w:szCs w:val="24"/>
          <w:highlight w:val="none"/>
        </w:rPr>
        <w:instrText xml:space="preserve"> PAGEREF _Toc209797842 \h </w:instrText>
      </w:r>
      <w:r>
        <w:rPr>
          <w:rFonts w:ascii="Times New Roman" w:hAnsi="Times New Roman"/>
          <w:b/>
          <w:bCs/>
          <w:color w:val="000000"/>
          <w:sz w:val="24"/>
          <w:szCs w:val="24"/>
          <w:highlight w:val="none"/>
        </w:rPr>
        <w:fldChar w:fldCharType="separate"/>
      </w:r>
      <w:r>
        <w:rPr>
          <w:rFonts w:ascii="Times New Roman" w:hAnsi="Times New Roman"/>
          <w:b/>
          <w:bCs/>
          <w:color w:val="000000"/>
          <w:sz w:val="24"/>
          <w:szCs w:val="24"/>
          <w:highlight w:val="none"/>
        </w:rPr>
        <w:t xml:space="preserve">3</w:t>
      </w:r>
      <w:r>
        <w:rPr>
          <w:rFonts w:ascii="Times New Roman" w:hAnsi="Times New Roman"/>
          <w:b/>
          <w:bCs/>
          <w:color w:val="000000"/>
          <w:sz w:val="24"/>
          <w:szCs w:val="24"/>
          <w:highlight w:val="none"/>
        </w:rPr>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r>
      <w:r/>
    </w:p>
    <w:p>
      <w:pPr>
        <w:pStyle w:val="848"/>
        <w:spacing w:after="0" w:line="440" w:lineRule="exact"/>
        <w:shd w:val="clear" w:color="auto" w:fill="auto"/>
        <w:tabs>
          <w:tab w:val="right" w:pos="10082" w:leader="dot"/>
        </w:tabs>
        <w:rPr>
          <w:rFonts w:ascii="Times New Roman" w:hAnsi="Times New Roman"/>
          <w:color w:val="000000"/>
          <w:sz w:val="24"/>
          <w:szCs w:val="24"/>
          <w:highlight w:val="none"/>
        </w:rPr>
      </w:pPr>
      <w:r>
        <w:rPr>
          <w:color w:val="000000"/>
          <w:highlight w:val="none"/>
        </w:rPr>
        <w:fldChar w:fldCharType="begin"/>
      </w:r>
      <w:r>
        <w:rPr>
          <w:color w:val="000000"/>
          <w:highlight w:val="none"/>
        </w:rPr>
        <w:instrText xml:space="preserve"> HYPERLINK \l "_Toc209797843" \o "#_Toc209797843" </w:instrText>
      </w:r>
      <w:r>
        <w:rPr>
          <w:color w:val="000000"/>
          <w:highlight w:val="none"/>
        </w:rPr>
        <w:fldChar w:fldCharType="separate"/>
      </w:r>
      <w:r>
        <w:rPr>
          <w:rStyle w:val="879"/>
          <w:rFonts w:ascii="Times New Roman" w:hAnsi="Times New Roman"/>
          <w:b/>
          <w:bCs/>
          <w:color w:val="000000"/>
          <w:sz w:val="24"/>
          <w:szCs w:val="24"/>
          <w:highlight w:val="none"/>
        </w:rPr>
        <w:t xml:space="preserve">第二章  投标人须知</w:t>
      </w:r>
      <w:r>
        <w:rPr>
          <w:rFonts w:ascii="Times New Roman" w:hAnsi="Times New Roman"/>
          <w:b/>
          <w:bCs/>
          <w:color w:val="000000"/>
          <w:sz w:val="24"/>
          <w:szCs w:val="24"/>
          <w:highlight w:val="none"/>
        </w:rPr>
        <w:tab/>
      </w:r>
      <w:r>
        <w:rPr>
          <w:rFonts w:ascii="Times New Roman" w:hAnsi="Times New Roman"/>
          <w:b/>
          <w:bCs/>
          <w:color w:val="000000"/>
          <w:sz w:val="24"/>
          <w:szCs w:val="24"/>
          <w:highlight w:val="none"/>
        </w:rPr>
        <w:fldChar w:fldCharType="begin"/>
      </w:r>
      <w:r>
        <w:rPr>
          <w:rFonts w:ascii="Times New Roman" w:hAnsi="Times New Roman"/>
          <w:b/>
          <w:bCs/>
          <w:color w:val="000000"/>
          <w:sz w:val="24"/>
          <w:szCs w:val="24"/>
          <w:highlight w:val="none"/>
        </w:rPr>
        <w:instrText xml:space="preserve"> PAGEREF _Toc209797843 \h </w:instrText>
      </w:r>
      <w:r>
        <w:rPr>
          <w:rFonts w:ascii="Times New Roman" w:hAnsi="Times New Roman"/>
          <w:b/>
          <w:bCs/>
          <w:color w:val="000000"/>
          <w:sz w:val="24"/>
          <w:szCs w:val="24"/>
          <w:highlight w:val="none"/>
        </w:rPr>
        <w:fldChar w:fldCharType="separate"/>
      </w:r>
      <w:r>
        <w:rPr>
          <w:rFonts w:ascii="Times New Roman" w:hAnsi="Times New Roman"/>
          <w:b/>
          <w:bCs/>
          <w:color w:val="000000"/>
          <w:sz w:val="24"/>
          <w:szCs w:val="24"/>
          <w:highlight w:val="none"/>
        </w:rPr>
        <w:t xml:space="preserve">6</w:t>
      </w:r>
      <w:r>
        <w:rPr>
          <w:rFonts w:ascii="Times New Roman" w:hAnsi="Times New Roman"/>
          <w:b/>
          <w:bCs/>
          <w:color w:val="000000"/>
          <w:sz w:val="24"/>
          <w:szCs w:val="24"/>
          <w:highlight w:val="none"/>
        </w:rPr>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fldChar w:fldCharType="end"/>
      </w:r>
      <w:r>
        <w:rPr>
          <w:rFonts w:ascii="Times New Roman" w:hAnsi="Times New Roman"/>
          <w:color w:val="000000"/>
          <w:sz w:val="24"/>
          <w:szCs w:val="24"/>
          <w:highlight w:val="none"/>
        </w:rPr>
      </w:r>
      <w:r/>
    </w:p>
    <w:p>
      <w:pPr>
        <w:pStyle w:val="848"/>
        <w:spacing w:after="0" w:line="440" w:lineRule="exact"/>
        <w:shd w:val="clear" w:color="auto" w:fill="auto"/>
        <w:tabs>
          <w:tab w:val="right" w:pos="10082" w:leader="dot"/>
        </w:tabs>
        <w:rPr>
          <w:rFonts w:ascii="Times New Roman" w:hAnsi="Times New Roman"/>
          <w:b/>
          <w:bCs/>
          <w:color w:val="000000"/>
          <w:sz w:val="24"/>
          <w:szCs w:val="24"/>
          <w:highlight w:val="none"/>
        </w:rPr>
      </w:pPr>
      <w:r>
        <w:rPr>
          <w:color w:val="000000"/>
          <w:highlight w:val="none"/>
        </w:rPr>
        <w:fldChar w:fldCharType="begin"/>
      </w:r>
      <w:r>
        <w:rPr>
          <w:color w:val="000000"/>
          <w:highlight w:val="none"/>
        </w:rPr>
        <w:instrText xml:space="preserve"> HYPERLINK \l "_Toc209797851" \o "#_Toc209797851" </w:instrText>
      </w:r>
      <w:r>
        <w:rPr>
          <w:color w:val="000000"/>
          <w:highlight w:val="none"/>
        </w:rPr>
        <w:fldChar w:fldCharType="separate"/>
      </w:r>
      <w:r>
        <w:rPr>
          <w:rStyle w:val="879"/>
          <w:rFonts w:ascii="Times New Roman" w:hAnsi="Times New Roman"/>
          <w:b/>
          <w:bCs/>
          <w:color w:val="000000"/>
          <w:sz w:val="24"/>
          <w:szCs w:val="24"/>
          <w:highlight w:val="none"/>
        </w:rPr>
        <w:t xml:space="preserve">第三章  合同条款及格式</w:t>
      </w:r>
      <w:r>
        <w:rPr>
          <w:rFonts w:ascii="Times New Roman" w:hAnsi="Times New Roman"/>
          <w:b/>
          <w:bCs/>
          <w:color w:val="000000"/>
          <w:sz w:val="24"/>
          <w:szCs w:val="24"/>
          <w:highlight w:val="none"/>
        </w:rPr>
        <w:tab/>
      </w:r>
      <w:r>
        <w:rPr>
          <w:rFonts w:ascii="Times New Roman" w:hAnsi="Times New Roman"/>
          <w:b/>
          <w:bCs/>
          <w:color w:val="000000"/>
          <w:sz w:val="24"/>
          <w:szCs w:val="24"/>
          <w:highlight w:val="none"/>
        </w:rPr>
        <w:fldChar w:fldCharType="begin"/>
      </w:r>
      <w:r>
        <w:rPr>
          <w:rFonts w:ascii="Times New Roman" w:hAnsi="Times New Roman"/>
          <w:b/>
          <w:bCs/>
          <w:color w:val="000000"/>
          <w:sz w:val="24"/>
          <w:szCs w:val="24"/>
          <w:highlight w:val="none"/>
        </w:rPr>
        <w:instrText xml:space="preserve"> PAGEREF _Toc209797851 \h </w:instrText>
      </w:r>
      <w:r>
        <w:rPr>
          <w:rFonts w:ascii="Times New Roman" w:hAnsi="Times New Roman"/>
          <w:b/>
          <w:bCs/>
          <w:color w:val="000000"/>
          <w:sz w:val="24"/>
          <w:szCs w:val="24"/>
          <w:highlight w:val="none"/>
        </w:rPr>
        <w:fldChar w:fldCharType="separate"/>
      </w:r>
      <w:r>
        <w:rPr>
          <w:rFonts w:ascii="Times New Roman" w:hAnsi="Times New Roman"/>
          <w:b/>
          <w:bCs/>
          <w:color w:val="000000"/>
          <w:sz w:val="24"/>
          <w:szCs w:val="24"/>
          <w:highlight w:val="none"/>
        </w:rPr>
        <w:t xml:space="preserve">18</w:t>
      </w:r>
      <w:r>
        <w:rPr>
          <w:rFonts w:ascii="Times New Roman" w:hAnsi="Times New Roman"/>
          <w:b/>
          <w:bCs/>
          <w:color w:val="000000"/>
          <w:sz w:val="24"/>
          <w:szCs w:val="24"/>
          <w:highlight w:val="none"/>
        </w:rPr>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r>
      <w:r/>
    </w:p>
    <w:p>
      <w:pPr>
        <w:pStyle w:val="848"/>
        <w:spacing w:after="0" w:line="440" w:lineRule="exact"/>
        <w:shd w:val="clear" w:color="auto" w:fill="auto"/>
        <w:tabs>
          <w:tab w:val="right" w:pos="10082" w:leader="dot"/>
        </w:tabs>
        <w:rPr>
          <w:rFonts w:ascii="Times New Roman" w:hAnsi="Times New Roman"/>
          <w:b/>
          <w:bCs/>
          <w:color w:val="000000"/>
          <w:sz w:val="24"/>
          <w:szCs w:val="24"/>
          <w:highlight w:val="none"/>
        </w:rPr>
      </w:pPr>
      <w:r>
        <w:rPr>
          <w:color w:val="000000"/>
          <w:highlight w:val="none"/>
        </w:rPr>
        <w:fldChar w:fldCharType="begin"/>
      </w:r>
      <w:r>
        <w:rPr>
          <w:color w:val="000000"/>
          <w:highlight w:val="none"/>
        </w:rPr>
        <w:instrText xml:space="preserve"> HYPERLINK \l "_Toc209797852" \o "#_Toc209797852" </w:instrText>
      </w:r>
      <w:r>
        <w:rPr>
          <w:color w:val="000000"/>
          <w:highlight w:val="none"/>
        </w:rPr>
        <w:fldChar w:fldCharType="separate"/>
      </w:r>
      <w:r>
        <w:rPr>
          <w:rStyle w:val="879"/>
          <w:rFonts w:ascii="Times New Roman" w:hAnsi="Times New Roman"/>
          <w:b/>
          <w:bCs/>
          <w:color w:val="000000"/>
          <w:sz w:val="24"/>
          <w:szCs w:val="24"/>
          <w:highlight w:val="none"/>
        </w:rPr>
        <w:t xml:space="preserve">第四章 项目需求</w:t>
      </w:r>
      <w:r>
        <w:rPr>
          <w:rFonts w:ascii="Times New Roman" w:hAnsi="Times New Roman"/>
          <w:b/>
          <w:bCs/>
          <w:color w:val="000000"/>
          <w:sz w:val="24"/>
          <w:szCs w:val="24"/>
          <w:highlight w:val="none"/>
        </w:rPr>
        <w:tab/>
      </w:r>
      <w:r>
        <w:rPr>
          <w:rFonts w:ascii="Times New Roman" w:hAnsi="Times New Roman"/>
          <w:b/>
          <w:bCs/>
          <w:color w:val="000000"/>
          <w:sz w:val="24"/>
          <w:szCs w:val="24"/>
          <w:highlight w:val="none"/>
        </w:rPr>
        <w:fldChar w:fldCharType="begin"/>
      </w:r>
      <w:r>
        <w:rPr>
          <w:rFonts w:ascii="Times New Roman" w:hAnsi="Times New Roman"/>
          <w:b/>
          <w:bCs/>
          <w:color w:val="000000"/>
          <w:sz w:val="24"/>
          <w:szCs w:val="24"/>
          <w:highlight w:val="none"/>
        </w:rPr>
        <w:instrText xml:space="preserve"> PAGEREF _Toc209797852 \h </w:instrText>
      </w:r>
      <w:r>
        <w:rPr>
          <w:rFonts w:ascii="Times New Roman" w:hAnsi="Times New Roman"/>
          <w:b/>
          <w:bCs/>
          <w:color w:val="000000"/>
          <w:sz w:val="24"/>
          <w:szCs w:val="24"/>
          <w:highlight w:val="none"/>
        </w:rPr>
        <w:fldChar w:fldCharType="separate"/>
      </w:r>
      <w:r>
        <w:rPr>
          <w:rFonts w:ascii="Times New Roman" w:hAnsi="Times New Roman"/>
          <w:b/>
          <w:bCs/>
          <w:color w:val="000000"/>
          <w:sz w:val="24"/>
          <w:szCs w:val="24"/>
          <w:highlight w:val="none"/>
        </w:rPr>
        <w:t xml:space="preserve">22</w:t>
      </w:r>
      <w:r>
        <w:rPr>
          <w:rFonts w:ascii="Times New Roman" w:hAnsi="Times New Roman"/>
          <w:b/>
          <w:bCs/>
          <w:color w:val="000000"/>
          <w:sz w:val="24"/>
          <w:szCs w:val="24"/>
          <w:highlight w:val="none"/>
        </w:rPr>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r>
      <w:r/>
    </w:p>
    <w:p>
      <w:pPr>
        <w:pStyle w:val="848"/>
        <w:spacing w:after="0" w:line="440" w:lineRule="exact"/>
        <w:shd w:val="clear" w:color="auto" w:fill="auto"/>
        <w:tabs>
          <w:tab w:val="right" w:pos="10082" w:leader="dot"/>
        </w:tabs>
        <w:rPr>
          <w:rFonts w:ascii="Times New Roman" w:hAnsi="Times New Roman"/>
          <w:b/>
          <w:bCs/>
          <w:color w:val="000000"/>
          <w:sz w:val="24"/>
          <w:szCs w:val="24"/>
          <w:highlight w:val="none"/>
        </w:rPr>
      </w:pPr>
      <w:r>
        <w:rPr>
          <w:color w:val="000000"/>
          <w:highlight w:val="none"/>
        </w:rPr>
        <w:fldChar w:fldCharType="begin"/>
      </w:r>
      <w:r>
        <w:rPr>
          <w:color w:val="000000"/>
          <w:highlight w:val="none"/>
        </w:rPr>
        <w:instrText xml:space="preserve"> HYPERLINK \l "_Toc209797853" \o "#_Toc209797853" </w:instrText>
      </w:r>
      <w:r>
        <w:rPr>
          <w:color w:val="000000"/>
          <w:highlight w:val="none"/>
        </w:rPr>
        <w:fldChar w:fldCharType="separate"/>
      </w:r>
      <w:r>
        <w:rPr>
          <w:rStyle w:val="879"/>
          <w:rFonts w:ascii="Times New Roman" w:hAnsi="Times New Roman"/>
          <w:b/>
          <w:bCs/>
          <w:color w:val="000000"/>
          <w:sz w:val="24"/>
          <w:szCs w:val="24"/>
          <w:highlight w:val="none"/>
        </w:rPr>
        <w:t xml:space="preserve">第五章  评标方法与评标标准</w:t>
      </w:r>
      <w:r>
        <w:rPr>
          <w:rFonts w:ascii="Times New Roman" w:hAnsi="Times New Roman"/>
          <w:b/>
          <w:bCs/>
          <w:color w:val="000000"/>
          <w:sz w:val="24"/>
          <w:szCs w:val="24"/>
          <w:highlight w:val="none"/>
        </w:rPr>
        <w:tab/>
      </w:r>
      <w:r>
        <w:rPr>
          <w:rFonts w:ascii="Times New Roman" w:hAnsi="Times New Roman"/>
          <w:b/>
          <w:bCs/>
          <w:color w:val="000000"/>
          <w:sz w:val="24"/>
          <w:szCs w:val="24"/>
          <w:highlight w:val="none"/>
        </w:rPr>
        <w:fldChar w:fldCharType="begin"/>
      </w:r>
      <w:r>
        <w:rPr>
          <w:rFonts w:ascii="Times New Roman" w:hAnsi="Times New Roman"/>
          <w:b/>
          <w:bCs/>
          <w:color w:val="000000"/>
          <w:sz w:val="24"/>
          <w:szCs w:val="24"/>
          <w:highlight w:val="none"/>
        </w:rPr>
        <w:instrText xml:space="preserve"> PAGEREF _Toc209797853 \h </w:instrText>
      </w:r>
      <w:r>
        <w:rPr>
          <w:rFonts w:ascii="Times New Roman" w:hAnsi="Times New Roman"/>
          <w:b/>
          <w:bCs/>
          <w:color w:val="000000"/>
          <w:sz w:val="24"/>
          <w:szCs w:val="24"/>
          <w:highlight w:val="none"/>
        </w:rPr>
        <w:fldChar w:fldCharType="separate"/>
      </w:r>
      <w:r>
        <w:rPr>
          <w:rFonts w:ascii="Times New Roman" w:hAnsi="Times New Roman"/>
          <w:b/>
          <w:bCs/>
          <w:color w:val="000000"/>
          <w:sz w:val="24"/>
          <w:szCs w:val="24"/>
          <w:highlight w:val="none"/>
        </w:rPr>
        <w:t xml:space="preserve">29</w:t>
      </w:r>
      <w:r>
        <w:rPr>
          <w:rFonts w:ascii="Times New Roman" w:hAnsi="Times New Roman"/>
          <w:b/>
          <w:bCs/>
          <w:color w:val="000000"/>
          <w:sz w:val="24"/>
          <w:szCs w:val="24"/>
          <w:highlight w:val="none"/>
        </w:rPr>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r>
      <w:r/>
    </w:p>
    <w:p>
      <w:pPr>
        <w:pStyle w:val="848"/>
        <w:spacing w:after="0" w:line="440" w:lineRule="exact"/>
        <w:shd w:val="clear" w:color="auto" w:fill="auto"/>
        <w:tabs>
          <w:tab w:val="right" w:pos="10082" w:leader="dot"/>
        </w:tabs>
        <w:rPr>
          <w:rFonts w:ascii="Times New Roman" w:hAnsi="Times New Roman"/>
          <w:b/>
          <w:bCs/>
          <w:color w:val="000000"/>
          <w:sz w:val="24"/>
          <w:szCs w:val="24"/>
          <w:highlight w:val="none"/>
        </w:rPr>
      </w:pPr>
      <w:r>
        <w:rPr>
          <w:color w:val="000000"/>
          <w:highlight w:val="none"/>
        </w:rPr>
        <w:fldChar w:fldCharType="begin"/>
      </w:r>
      <w:r>
        <w:rPr>
          <w:color w:val="000000"/>
          <w:highlight w:val="none"/>
        </w:rPr>
        <w:instrText xml:space="preserve"> HYPERLINK \l "_Toc209797856" \o "#_Toc209797856" </w:instrText>
      </w:r>
      <w:r>
        <w:rPr>
          <w:color w:val="000000"/>
          <w:highlight w:val="none"/>
        </w:rPr>
        <w:fldChar w:fldCharType="separate"/>
      </w:r>
      <w:r>
        <w:rPr>
          <w:rStyle w:val="879"/>
          <w:rFonts w:ascii="Times New Roman" w:hAnsi="Times New Roman"/>
          <w:b/>
          <w:bCs/>
          <w:color w:val="000000"/>
          <w:sz w:val="24"/>
          <w:szCs w:val="24"/>
          <w:highlight w:val="none"/>
        </w:rPr>
        <w:t xml:space="preserve">第六章 投标文件格式</w:t>
      </w:r>
      <w:r>
        <w:rPr>
          <w:rFonts w:ascii="Times New Roman" w:hAnsi="Times New Roman"/>
          <w:b/>
          <w:bCs/>
          <w:color w:val="000000"/>
          <w:sz w:val="24"/>
          <w:szCs w:val="24"/>
          <w:highlight w:val="none"/>
        </w:rPr>
        <w:tab/>
      </w:r>
      <w:r>
        <w:rPr>
          <w:rFonts w:ascii="Times New Roman" w:hAnsi="Times New Roman"/>
          <w:b/>
          <w:bCs/>
          <w:color w:val="000000"/>
          <w:sz w:val="24"/>
          <w:szCs w:val="24"/>
          <w:highlight w:val="none"/>
        </w:rPr>
        <w:fldChar w:fldCharType="begin"/>
      </w:r>
      <w:r>
        <w:rPr>
          <w:rFonts w:ascii="Times New Roman" w:hAnsi="Times New Roman"/>
          <w:b/>
          <w:bCs/>
          <w:color w:val="000000"/>
          <w:sz w:val="24"/>
          <w:szCs w:val="24"/>
          <w:highlight w:val="none"/>
        </w:rPr>
        <w:instrText xml:space="preserve"> PAGEREF _Toc209797856 \h </w:instrText>
      </w:r>
      <w:r>
        <w:rPr>
          <w:rFonts w:ascii="Times New Roman" w:hAnsi="Times New Roman"/>
          <w:b/>
          <w:bCs/>
          <w:color w:val="000000"/>
          <w:sz w:val="24"/>
          <w:szCs w:val="24"/>
          <w:highlight w:val="none"/>
        </w:rPr>
        <w:fldChar w:fldCharType="separate"/>
      </w:r>
      <w:r>
        <w:rPr>
          <w:rFonts w:ascii="Times New Roman" w:hAnsi="Times New Roman"/>
          <w:b/>
          <w:bCs/>
          <w:color w:val="000000"/>
          <w:sz w:val="24"/>
          <w:szCs w:val="24"/>
          <w:highlight w:val="none"/>
        </w:rPr>
        <w:t xml:space="preserve">33</w:t>
      </w:r>
      <w:r>
        <w:rPr>
          <w:rFonts w:ascii="Times New Roman" w:hAnsi="Times New Roman"/>
          <w:b/>
          <w:bCs/>
          <w:color w:val="000000"/>
          <w:sz w:val="24"/>
          <w:szCs w:val="24"/>
          <w:highlight w:val="none"/>
        </w:rPr>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fldChar w:fldCharType="end"/>
      </w:r>
      <w:r>
        <w:rPr>
          <w:rFonts w:ascii="Times New Roman" w:hAnsi="Times New Roman"/>
          <w:b/>
          <w:bCs/>
          <w:color w:val="000000"/>
          <w:sz w:val="24"/>
          <w:szCs w:val="24"/>
          <w:highlight w:val="none"/>
        </w:rPr>
      </w:r>
      <w:r/>
    </w:p>
    <w:p>
      <w:pPr>
        <w:pStyle w:val="790"/>
        <w:spacing w:line="440" w:lineRule="exact"/>
        <w:shd w:val="clear" w:color="auto" w:fill="auto"/>
        <w:tabs>
          <w:tab w:val="left" w:pos="1440" w:leader="none"/>
        </w:tabs>
        <w:rPr>
          <w:rFonts w:ascii="Times New Roman" w:hAnsi="Times New Roman"/>
          <w:b/>
          <w:bCs/>
          <w:color w:val="000000"/>
          <w:sz w:val="28"/>
          <w:szCs w:val="28"/>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cols w:num="1" w:sep="0" w:space="1701" w:equalWidth="1"/>
          <w:docGrid w:linePitch="360"/>
          <w:titlePg/>
        </w:sectPr>
      </w:pPr>
      <w:r>
        <w:rPr>
          <w:rFonts w:ascii="Times New Roman" w:hAnsi="Times New Roman"/>
          <w:bCs/>
          <w:color w:val="000000"/>
          <w:sz w:val="24"/>
          <w:szCs w:val="24"/>
          <w:highlight w:val="none"/>
        </w:rPr>
        <w:fldChar w:fldCharType="end"/>
      </w:r>
      <w:r>
        <w:rPr>
          <w:rFonts w:ascii="Times New Roman" w:hAnsi="Times New Roman"/>
          <w:b/>
          <w:bCs/>
          <w:color w:val="000000"/>
          <w:sz w:val="28"/>
          <w:szCs w:val="28"/>
          <w:highlight w:val="none"/>
        </w:rPr>
      </w:r>
      <w:r/>
    </w:p>
    <w:p>
      <w:pPr>
        <w:pStyle w:val="870"/>
        <w:spacing w:line="360" w:lineRule="auto"/>
        <w:shd w:val="clear" w:color="auto" w:fill="auto"/>
        <w:rPr>
          <w:rFonts w:ascii="Times New Roman" w:hAnsi="Times New Roman" w:eastAsia="宋体"/>
          <w:color w:val="000000"/>
          <w:highlight w:val="none"/>
        </w:rPr>
      </w:pPr>
      <w:r/>
      <w:bookmarkStart w:id="1" w:name="_Toc209797842"/>
      <w:r>
        <w:rPr>
          <w:rFonts w:ascii="Times New Roman" w:hAnsi="Times New Roman" w:eastAsia="宋体"/>
          <w:color w:val="000000"/>
          <w:highlight w:val="none"/>
        </w:rPr>
        <w:t xml:space="preserve">第一章  投标邀请</w:t>
      </w:r>
      <w:bookmarkEnd w:id="1"/>
      <w:r>
        <w:rPr>
          <w:rFonts w:ascii="Times New Roman" w:hAnsi="Times New Roman" w:eastAsia="宋体"/>
          <w:color w:val="000000"/>
          <w:highlight w:val="none"/>
        </w:rPr>
      </w:r>
      <w:r/>
    </w:p>
    <w:p>
      <w:pPr>
        <w:pStyle w:val="790"/>
        <w:ind w:firstLine="482"/>
        <w:spacing w:line="440" w:lineRule="exact"/>
        <w:shd w:val="clear" w:color="auto" w:fill="auto"/>
        <w:rPr>
          <w:rFonts w:ascii="Times New Roman" w:hAnsi="Times New Roman"/>
          <w:b/>
          <w:bCs/>
          <w:color w:val="000000"/>
          <w:sz w:val="24"/>
          <w:szCs w:val="24"/>
          <w:highlight w:val="none"/>
        </w:rPr>
        <w:pBdr>
          <w:top w:val="single" w:color="000000" w:sz="4" w:space="1"/>
          <w:left w:val="single" w:color="000000" w:sz="4" w:space="4"/>
          <w:bottom w:val="single" w:color="000000" w:sz="4" w:space="0"/>
          <w:right w:val="single" w:color="000000" w:sz="4" w:space="4"/>
          <w:between w:val="single" w:color="000000" w:sz="4" w:space="1"/>
        </w:pBdr>
      </w:pPr>
      <w:r>
        <w:rPr>
          <w:rFonts w:ascii="Times New Roman" w:hAnsi="Times New Roman"/>
          <w:b/>
          <w:bCs/>
          <w:color w:val="000000"/>
          <w:sz w:val="24"/>
          <w:szCs w:val="24"/>
          <w:highlight w:val="none"/>
        </w:rPr>
        <w:t xml:space="preserve">项目概况</w:t>
      </w:r>
      <w:r>
        <w:rPr>
          <w:rFonts w:ascii="Times New Roman" w:hAnsi="Times New Roman"/>
          <w:b/>
          <w:bCs/>
          <w:color w:val="000000"/>
          <w:sz w:val="24"/>
          <w:szCs w:val="24"/>
          <w:highlight w:val="none"/>
        </w:rPr>
      </w:r>
      <w:r/>
    </w:p>
    <w:p>
      <w:pPr>
        <w:pStyle w:val="790"/>
        <w:ind w:firstLine="482"/>
        <w:spacing w:line="440" w:lineRule="exact"/>
        <w:shd w:val="clear" w:color="auto" w:fill="auto"/>
        <w:rPr>
          <w:rFonts w:ascii="Times New Roman" w:hAnsi="Times New Roman"/>
          <w:b/>
          <w:bCs/>
          <w:color w:val="000000"/>
          <w:sz w:val="24"/>
          <w:szCs w:val="24"/>
          <w:highlight w:val="none"/>
        </w:rPr>
        <w:pBdr>
          <w:top w:val="single" w:color="000000" w:sz="4" w:space="1"/>
          <w:left w:val="single" w:color="000000" w:sz="4" w:space="4"/>
          <w:bottom w:val="single" w:color="000000" w:sz="4" w:space="0"/>
          <w:right w:val="single" w:color="000000" w:sz="4" w:space="4"/>
          <w:between w:val="single" w:color="000000" w:sz="4" w:space="1"/>
        </w:pBdr>
      </w:pPr>
      <w:r>
        <w:rPr>
          <w:rFonts w:hint="eastAsia" w:ascii="Times New Roman" w:hAnsi="Times New Roman"/>
          <w:color w:val="000000"/>
          <w:sz w:val="24"/>
          <w:szCs w:val="24"/>
          <w:highlight w:val="none"/>
          <w:lang w:eastAsia="zh-CN"/>
        </w:rPr>
        <w:t xml:space="preserve">民警意外和家庭医疗保险</w:t>
      </w:r>
      <w:r>
        <w:rPr>
          <w:rFonts w:hint="eastAsia" w:ascii="Times New Roman" w:hAnsi="Times New Roman"/>
          <w:color w:val="000000"/>
          <w:spacing w:val="8"/>
          <w:sz w:val="24"/>
          <w:szCs w:val="24"/>
          <w:highlight w:val="none"/>
          <w:lang w:eastAsia="zh-CN"/>
        </w:rPr>
        <w:t xml:space="preserve">JSZC-320582-HDZB-G2026-0014</w:t>
      </w:r>
      <w:r>
        <w:rPr>
          <w:rFonts w:ascii="Times New Roman" w:hAnsi="Times New Roman"/>
          <w:color w:val="000000"/>
          <w:spacing w:val="8"/>
          <w:sz w:val="24"/>
          <w:szCs w:val="24"/>
          <w:highlight w:val="none"/>
        </w:rPr>
        <w:t xml:space="preserve">招标项目的潜在投标人应在“苏采云”系统中下载（网址：http://jszfcg.jsczt.cn/）获取招标文件，并于2026年</w:t>
      </w:r>
      <w:r>
        <w:rPr>
          <w:rFonts w:hint="eastAsia" w:ascii="Times New Roman" w:hAnsi="Times New Roman"/>
          <w:color w:val="000000"/>
          <w:spacing w:val="8"/>
          <w:sz w:val="24"/>
          <w:szCs w:val="24"/>
          <w:highlight w:val="none"/>
          <w:lang w:val="en-US" w:eastAsia="zh-CN"/>
        </w:rPr>
        <w:t xml:space="preserve">09</w:t>
      </w:r>
      <w:r>
        <w:rPr>
          <w:rFonts w:ascii="Times New Roman" w:hAnsi="Times New Roman"/>
          <w:color w:val="000000"/>
          <w:spacing w:val="8"/>
          <w:sz w:val="24"/>
          <w:szCs w:val="24"/>
          <w:highlight w:val="none"/>
        </w:rPr>
        <w:t xml:space="preserve">月</w:t>
      </w:r>
      <w:r>
        <w:rPr>
          <w:rFonts w:hint="eastAsia" w:ascii="Times New Roman" w:hAnsi="Times New Roman"/>
          <w:color w:val="000000"/>
          <w:spacing w:val="8"/>
          <w:sz w:val="24"/>
          <w:szCs w:val="24"/>
          <w:highlight w:val="none"/>
          <w:lang w:val="en-US" w:eastAsia="zh-CN"/>
        </w:rPr>
        <w:t xml:space="preserve">29</w:t>
      </w:r>
      <w:r>
        <w:rPr>
          <w:rFonts w:ascii="Times New Roman" w:hAnsi="Times New Roman"/>
          <w:color w:val="000000"/>
          <w:spacing w:val="8"/>
          <w:sz w:val="24"/>
          <w:szCs w:val="24"/>
          <w:highlight w:val="none"/>
        </w:rPr>
        <w:t xml:space="preserve">日1</w:t>
      </w:r>
      <w:r>
        <w:rPr>
          <w:rFonts w:hint="eastAsia" w:ascii="Times New Roman" w:hAnsi="Times New Roman"/>
          <w:color w:val="000000"/>
          <w:spacing w:val="8"/>
          <w:sz w:val="24"/>
          <w:szCs w:val="24"/>
          <w:highlight w:val="none"/>
        </w:rPr>
        <w:t xml:space="preserve">3</w:t>
      </w:r>
      <w:r>
        <w:rPr>
          <w:rFonts w:ascii="Times New Roman" w:hAnsi="Times New Roman"/>
          <w:color w:val="000000"/>
          <w:spacing w:val="8"/>
          <w:sz w:val="24"/>
          <w:szCs w:val="24"/>
          <w:highlight w:val="none"/>
        </w:rPr>
        <w:t xml:space="preserve">时</w:t>
      </w:r>
      <w:r>
        <w:rPr>
          <w:rFonts w:hint="eastAsia" w:ascii="Times New Roman" w:hAnsi="Times New Roman"/>
          <w:color w:val="000000"/>
          <w:spacing w:val="8"/>
          <w:sz w:val="24"/>
          <w:szCs w:val="24"/>
          <w:highlight w:val="none"/>
        </w:rPr>
        <w:t xml:space="preserve">3</w:t>
      </w:r>
      <w:r>
        <w:rPr>
          <w:rFonts w:ascii="Times New Roman" w:hAnsi="Times New Roman"/>
          <w:color w:val="000000"/>
          <w:spacing w:val="8"/>
          <w:sz w:val="24"/>
          <w:szCs w:val="24"/>
          <w:highlight w:val="none"/>
        </w:rPr>
        <w:t xml:space="preserve">0分（北京时间）前递交投标文件。</w:t>
      </w:r>
      <w:r>
        <w:rPr>
          <w:rFonts w:ascii="Times New Roman" w:hAnsi="Times New Roman"/>
          <w:b/>
          <w:bCs/>
          <w:color w:val="000000"/>
          <w:sz w:val="24"/>
          <w:szCs w:val="24"/>
          <w:highlight w:val="none"/>
        </w:rPr>
      </w:r>
      <w:r/>
    </w:p>
    <w:p>
      <w:pPr>
        <w:pStyle w:val="790"/>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一、项目基本情况</w:t>
      </w:r>
      <w:r>
        <w:rPr>
          <w:rFonts w:ascii="Times New Roman" w:hAnsi="Times New Roman"/>
          <w:b/>
          <w:bCs/>
          <w:color w:val="000000"/>
          <w:spacing w:val="8"/>
          <w:sz w:val="24"/>
          <w:highlight w:val="none"/>
        </w:rPr>
      </w:r>
      <w:r/>
    </w:p>
    <w:p>
      <w:pPr>
        <w:pStyle w:val="790"/>
        <w:ind w:firstLine="555"/>
        <w:spacing w:line="440" w:lineRule="exact"/>
        <w:shd w:val="clear" w:color="auto" w:fill="auto"/>
        <w:widowControl/>
        <w:rPr>
          <w:rFonts w:hint="eastAsia" w:ascii="Times New Roman" w:hAnsi="Times New Roman" w:eastAsia="宋体"/>
          <w:color w:val="000000"/>
          <w:spacing w:val="8"/>
          <w:sz w:val="24"/>
          <w:highlight w:val="none"/>
          <w:lang w:eastAsia="zh-CN"/>
        </w:rPr>
      </w:pPr>
      <w:r>
        <w:rPr>
          <w:rFonts w:ascii="Times New Roman" w:hAnsi="Times New Roman"/>
          <w:color w:val="000000"/>
          <w:spacing w:val="8"/>
          <w:sz w:val="24"/>
          <w:highlight w:val="none"/>
        </w:rPr>
        <w:t xml:space="preserve">项目编号：</w:t>
      </w:r>
      <w:r>
        <w:rPr>
          <w:rFonts w:hint="eastAsia" w:ascii="Times New Roman" w:hAnsi="Times New Roman"/>
          <w:color w:val="000000"/>
          <w:spacing w:val="8"/>
          <w:sz w:val="24"/>
          <w:highlight w:val="none"/>
          <w:lang w:eastAsia="zh-CN"/>
        </w:rPr>
        <w:t xml:space="preserve">JSZC-320582-HDZB-G2026-0014</w:t>
      </w:r>
      <w:r>
        <w:rPr>
          <w:rFonts w:hint="eastAsia" w:ascii="Times New Roman" w:hAnsi="Times New Roman" w:eastAsia="宋体"/>
          <w:color w:val="000000"/>
          <w:spacing w:val="8"/>
          <w:sz w:val="24"/>
          <w:highlight w:val="none"/>
          <w:lang w:eastAsia="zh-CN"/>
        </w:rPr>
      </w:r>
      <w:r/>
    </w:p>
    <w:p>
      <w:pPr>
        <w:pStyle w:val="790"/>
        <w:ind w:firstLine="555"/>
        <w:spacing w:line="440" w:lineRule="exact"/>
        <w:shd w:val="clear" w:color="auto" w:fill="auto"/>
        <w:widowControl/>
        <w:rPr>
          <w:rFonts w:hint="eastAsia" w:ascii="Times New Roman" w:hAnsi="Times New Roman" w:eastAsia="宋体"/>
          <w:color w:val="000000"/>
          <w:spacing w:val="8"/>
          <w:sz w:val="24"/>
          <w:highlight w:val="none"/>
          <w:lang w:eastAsia="zh-CN"/>
        </w:rPr>
      </w:pPr>
      <w:r>
        <w:rPr>
          <w:rFonts w:ascii="Times New Roman" w:hAnsi="Times New Roman"/>
          <w:color w:val="000000"/>
          <w:spacing w:val="8"/>
          <w:sz w:val="24"/>
          <w:highlight w:val="none"/>
        </w:rPr>
        <w:t xml:space="preserve">项目名称：</w:t>
      </w:r>
      <w:r>
        <w:rPr>
          <w:rFonts w:hint="eastAsia" w:ascii="Times New Roman" w:hAnsi="Times New Roman"/>
          <w:color w:val="000000"/>
          <w:spacing w:val="8"/>
          <w:sz w:val="24"/>
          <w:highlight w:val="none"/>
          <w:lang w:eastAsia="zh-CN"/>
        </w:rPr>
        <w:t xml:space="preserve">民警意外和家庭医疗保险</w:t>
      </w:r>
      <w:r>
        <w:rPr>
          <w:rFonts w:hint="eastAsia" w:ascii="Times New Roman" w:hAnsi="Times New Roman" w:eastAsia="宋体"/>
          <w:color w:val="000000"/>
          <w:spacing w:val="8"/>
          <w:sz w:val="24"/>
          <w:highlight w:val="none"/>
          <w:lang w:eastAsia="zh-CN"/>
        </w:rPr>
      </w:r>
      <w:r/>
    </w:p>
    <w:p>
      <w:pPr>
        <w:pStyle w:val="790"/>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预算金额：</w:t>
      </w:r>
      <w:bookmarkStart w:id="2" w:name="EB1a0e1eba70434d918dcf5b8e03079bcd"/>
      <w:r>
        <w:rPr>
          <w:rFonts w:hint="eastAsia" w:ascii="Times New Roman" w:hAnsi="Times New Roman"/>
          <w:color w:val="000000"/>
          <w:spacing w:val="8"/>
          <w:sz w:val="24"/>
          <w:szCs w:val="24"/>
          <w:highlight w:val="none"/>
          <w:lang w:val="en-US" w:eastAsia="zh-CN"/>
        </w:rPr>
        <w:t xml:space="preserve">120</w:t>
      </w:r>
      <w:r>
        <w:rPr>
          <w:rFonts w:ascii="Times New Roman" w:hAnsi="Times New Roman"/>
          <w:color w:val="000000"/>
          <w:spacing w:val="8"/>
          <w:sz w:val="24"/>
          <w:szCs w:val="24"/>
          <w:highlight w:val="none"/>
        </w:rPr>
        <w:t xml:space="preserve">0000.00元</w:t>
      </w:r>
      <w:bookmarkEnd w:id="2"/>
      <w:r>
        <w:rPr>
          <w:rFonts w:ascii="Times New Roman" w:hAnsi="Times New Roman"/>
          <w:color w:val="000000"/>
          <w:spacing w:val="8"/>
          <w:sz w:val="24"/>
          <w:highlight w:val="none"/>
        </w:rPr>
      </w:r>
      <w:r/>
    </w:p>
    <w:p>
      <w:pPr>
        <w:pStyle w:val="790"/>
        <w:ind w:firstLine="555"/>
        <w:spacing w:line="440" w:lineRule="exact"/>
        <w:shd w:val="clear" w:color="auto" w:fill="auto"/>
        <w:widowControl/>
        <w:rPr>
          <w:rFonts w:ascii="Times New Roman" w:hAnsi="Times New Roman"/>
          <w:color w:val="000000"/>
          <w:spacing w:val="8"/>
          <w:sz w:val="24"/>
          <w:szCs w:val="24"/>
          <w:highlight w:val="none"/>
        </w:rPr>
      </w:pPr>
      <w:r>
        <w:rPr>
          <w:rFonts w:ascii="Times New Roman" w:hAnsi="Times New Roman"/>
          <w:color w:val="000000"/>
          <w:spacing w:val="8"/>
          <w:sz w:val="24"/>
          <w:highlight w:val="none"/>
        </w:rPr>
        <w:t xml:space="preserve">最高限价：</w:t>
      </w:r>
      <w:r>
        <w:rPr>
          <w:rFonts w:hint="eastAsia" w:ascii="Times New Roman" w:hAnsi="Times New Roman"/>
          <w:color w:val="000000"/>
          <w:spacing w:val="8"/>
          <w:sz w:val="24"/>
          <w:szCs w:val="24"/>
          <w:highlight w:val="none"/>
          <w:lang w:val="en-US" w:eastAsia="zh-CN"/>
        </w:rPr>
        <w:t xml:space="preserve">120</w:t>
      </w:r>
      <w:r>
        <w:rPr>
          <w:rFonts w:ascii="Times New Roman" w:hAnsi="Times New Roman"/>
          <w:color w:val="000000"/>
          <w:spacing w:val="8"/>
          <w:sz w:val="24"/>
          <w:szCs w:val="24"/>
          <w:highlight w:val="none"/>
        </w:rPr>
        <w:t xml:space="preserve">0000.00元</w:t>
      </w:r>
      <w:r>
        <w:rPr>
          <w:rFonts w:ascii="Times New Roman" w:hAnsi="Times New Roman"/>
          <w:color w:val="000000"/>
          <w:spacing w:val="8"/>
          <w:sz w:val="24"/>
          <w:szCs w:val="24"/>
          <w:highlight w:val="none"/>
        </w:rPr>
      </w:r>
      <w:r/>
    </w:p>
    <w:p>
      <w:pPr>
        <w:pStyle w:val="790"/>
        <w:ind w:firstLine="556"/>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szCs w:val="24"/>
          <w:highlight w:val="none"/>
        </w:rPr>
        <w:t xml:space="preserve">采购方式：公开招标</w:t>
      </w:r>
      <w:r>
        <w:rPr>
          <w:rFonts w:ascii="Times New Roman" w:hAnsi="Times New Roman"/>
          <w:color w:val="000000"/>
          <w:spacing w:val="8"/>
          <w:sz w:val="24"/>
          <w:highlight w:val="none"/>
        </w:rPr>
      </w:r>
      <w:r/>
    </w:p>
    <w:p>
      <w:pPr>
        <w:pStyle w:val="790"/>
        <w:ind w:firstLine="512"/>
        <w:spacing w:line="440" w:lineRule="exact"/>
        <w:shd w:val="clear" w:color="auto" w:fill="auto"/>
        <w:rPr>
          <w:rFonts w:ascii="Times New Roman" w:hAnsi="Times New Roman"/>
          <w:b/>
          <w:bCs/>
          <w:color w:val="000000"/>
          <w:spacing w:val="8"/>
          <w:sz w:val="24"/>
          <w:highlight w:val="none"/>
        </w:rPr>
        <w:outlineLvl w:val="1"/>
      </w:pPr>
      <w:r>
        <w:rPr>
          <w:rFonts w:ascii="Times New Roman" w:hAnsi="Times New Roman"/>
          <w:color w:val="000000"/>
          <w:spacing w:val="8"/>
          <w:sz w:val="24"/>
          <w:highlight w:val="none"/>
        </w:rPr>
        <w:t xml:space="preserve">采购需求：</w:t>
      </w:r>
      <w:r>
        <w:rPr>
          <w:rFonts w:ascii="Times New Roman" w:hAnsi="Times New Roman"/>
          <w:color w:val="000000"/>
          <w:sz w:val="24"/>
          <w:highlight w:val="none"/>
        </w:rPr>
        <w:t xml:space="preserve">为充分落实爱警暖警措施，加强公安民警的职业保障，切实减轻民警家庭看病就医负担，张家港市公安局拟为全体民警投保民警意外伤害和家庭医疗保险。</w:t>
      </w:r>
      <w:r>
        <w:rPr>
          <w:rFonts w:ascii="Times New Roman" w:hAnsi="Times New Roman"/>
          <w:b/>
          <w:bCs/>
          <w:color w:val="000000"/>
          <w:spacing w:val="8"/>
          <w:sz w:val="24"/>
          <w:highlight w:val="none"/>
        </w:rPr>
      </w:r>
      <w:r/>
    </w:p>
    <w:p>
      <w:pPr>
        <w:pStyle w:val="1350"/>
        <w:ind w:firstLine="500"/>
        <w:spacing w:line="440" w:lineRule="exact"/>
        <w:shd w:val="clear" w:color="auto" w:fill="auto"/>
        <w:rPr>
          <w:rFonts w:eastAsia="宋体"/>
          <w:i/>
          <w:color w:val="000000"/>
          <w:spacing w:val="7"/>
          <w:highlight w:val="none"/>
          <w:u w:val="single"/>
          <w:lang w:val="en-US" w:eastAsia="zh-CN"/>
        </w:rPr>
      </w:pPr>
      <w:r>
        <w:rPr>
          <w:rFonts w:eastAsia="宋体"/>
          <w:color w:val="000000"/>
          <w:spacing w:val="8"/>
          <w:highlight w:val="none"/>
        </w:rPr>
        <w:t xml:space="preserve">合同履行期限：</w:t>
      </w:r>
      <w:r>
        <w:rPr>
          <w:rFonts w:hint="eastAsia" w:eastAsia="宋体"/>
          <w:color w:val="000000"/>
          <w:spacing w:val="8"/>
          <w:szCs w:val="22"/>
          <w:highlight w:val="none"/>
          <w:lang w:val="en-US" w:eastAsia="zh-CN"/>
        </w:rPr>
        <w:t xml:space="preserve">一年。</w:t>
      </w:r>
      <w:r>
        <w:rPr>
          <w:rFonts w:eastAsia="宋体"/>
          <w:i/>
          <w:color w:val="000000"/>
          <w:spacing w:val="7"/>
          <w:highlight w:val="none"/>
          <w:u w:val="single"/>
          <w:lang w:val="en-US" w:eastAsia="zh-CN"/>
        </w:rPr>
      </w:r>
      <w:r/>
    </w:p>
    <w:p>
      <w:pPr>
        <w:pStyle w:val="790"/>
        <w:ind w:firstLine="555"/>
        <w:spacing w:line="440" w:lineRule="exact"/>
        <w:shd w:val="clear" w:color="auto" w:fill="auto"/>
        <w:widowControl/>
        <w:rPr>
          <w:rFonts w:hint="eastAsia" w:ascii="Times New Roman" w:hAnsi="Times New Roman" w:eastAsia="宋体"/>
          <w:i/>
          <w:color w:val="000000"/>
          <w:spacing w:val="8"/>
          <w:sz w:val="24"/>
          <w:highlight w:val="none"/>
          <w:u w:val="single"/>
          <w:lang w:eastAsia="zh-CN"/>
        </w:rPr>
      </w:pPr>
      <w:r>
        <w:rPr>
          <w:rFonts w:hint="eastAsia" w:ascii="Times New Roman" w:hAnsi="Times New Roman"/>
          <w:i/>
          <w:color w:val="000000"/>
          <w:spacing w:val="8"/>
          <w:sz w:val="24"/>
          <w:highlight w:val="none"/>
          <w:u w:val="single"/>
          <w:lang w:eastAsia="zh-CN"/>
        </w:rPr>
        <w:t xml:space="preserve">本项目接受联合体投标。</w:t>
      </w:r>
      <w:r>
        <w:rPr>
          <w:rFonts w:hint="eastAsia" w:ascii="Times New Roman" w:hAnsi="Times New Roman" w:eastAsia="宋体"/>
          <w:i/>
          <w:color w:val="000000"/>
          <w:spacing w:val="8"/>
          <w:sz w:val="24"/>
          <w:highlight w:val="none"/>
          <w:u w:val="single"/>
          <w:lang w:eastAsia="zh-CN"/>
        </w:rPr>
      </w:r>
      <w:r/>
    </w:p>
    <w:p>
      <w:pPr>
        <w:pStyle w:val="790"/>
        <w:ind w:firstLine="555"/>
        <w:spacing w:line="440" w:lineRule="exact"/>
        <w:shd w:val="clear" w:color="auto" w:fill="auto"/>
        <w:widowControl/>
        <w:rPr>
          <w:rFonts w:ascii="Times New Roman" w:hAnsi="Times New Roman"/>
          <w:i/>
          <w:color w:val="000000"/>
          <w:spacing w:val="8"/>
          <w:sz w:val="24"/>
          <w:highlight w:val="none"/>
          <w:u w:val="single"/>
        </w:rPr>
      </w:pPr>
      <w:r>
        <w:rPr>
          <w:rFonts w:ascii="Times New Roman" w:hAnsi="Times New Roman"/>
          <w:i/>
          <w:color w:val="000000"/>
          <w:spacing w:val="8"/>
          <w:sz w:val="24"/>
          <w:highlight w:val="none"/>
          <w:u w:val="single"/>
        </w:rPr>
        <w:t xml:space="preserve">本项目</w:t>
      </w:r>
      <w:bookmarkStart w:id="3" w:name="EBf23c5c8d1a2a4bd8a1b4170606046283"/>
      <w:r>
        <w:rPr>
          <w:rFonts w:ascii="Times New Roman" w:hAnsi="Times New Roman"/>
          <w:i/>
          <w:color w:val="000000"/>
          <w:spacing w:val="8"/>
          <w:sz w:val="24"/>
          <w:highlight w:val="none"/>
          <w:u w:val="single"/>
        </w:rPr>
        <w:t xml:space="preserve">不允许</w:t>
      </w:r>
      <w:bookmarkEnd w:id="3"/>
      <w:r>
        <w:rPr>
          <w:rFonts w:ascii="Times New Roman" w:hAnsi="Times New Roman"/>
          <w:i/>
          <w:color w:val="000000"/>
          <w:spacing w:val="8"/>
          <w:sz w:val="24"/>
          <w:highlight w:val="none"/>
          <w:u w:val="single"/>
        </w:rPr>
        <w:t xml:space="preserve">进口产品投标。</w:t>
      </w:r>
      <w:r>
        <w:rPr>
          <w:rFonts w:ascii="Times New Roman" w:hAnsi="Times New Roman"/>
          <w:i/>
          <w:color w:val="000000"/>
          <w:spacing w:val="8"/>
          <w:sz w:val="24"/>
          <w:highlight w:val="none"/>
          <w:u w:val="single"/>
        </w:rPr>
      </w:r>
      <w:r/>
    </w:p>
    <w:p>
      <w:pPr>
        <w:pStyle w:val="790"/>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二、申请人的资格要求：</w:t>
      </w:r>
      <w:r>
        <w:rPr>
          <w:rFonts w:ascii="Times New Roman" w:hAnsi="Times New Roman"/>
          <w:b/>
          <w:bCs/>
          <w:color w:val="000000"/>
          <w:spacing w:val="8"/>
          <w:sz w:val="24"/>
          <w:highlight w:val="none"/>
        </w:rPr>
      </w:r>
      <w:r/>
    </w:p>
    <w:p>
      <w:pPr>
        <w:pStyle w:val="790"/>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1.满足《中华人民共和国政府采购法》第二十二条规定；</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如是联合体参加投标的，联合体各方均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（2）财务状况报告（成立不满一年不需要提供；若供应商为分公司，可提供总公司财务状况报告;如是联合体参加投标的，联合体各方均须提供）；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（3）依法缴纳税收和社会保障资金的相关材料（如依法享受缓缴、免缴税收、社会保障资金的，应提供相关证明材料；如是联合体参加投标的，联合体各方均须提供）；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（4）具备履行合同所必需的设备和专业技术能力的书面声明（如是联合体参加投标的，联合体各方均须提供）；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（5）参加政府采购活动前3年内在经营活动中没有重大违法记录的书面声明（如是联合体参加投标的，联合体各方均须提供）；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（6）授权委托书（被授权人非法定代表人的，应提供授权委托书；被授权人是法定代表人的，应提供授权委托书或法定代表人身份证明书；如是联合体参加投标的，则联合体牵头方须提供）；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（7）关于资格证明文件的书面承诺（如是联合体参加投标的，联合体各方均须提供）；</w:t>
      </w:r>
      <w:r>
        <w:rPr>
          <w:rFonts w:ascii="Times New Roman" w:hAnsi="Times New Roman"/>
          <w:i/>
          <w:iCs/>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iCs/>
          <w:color w:val="000000"/>
          <w:spacing w:val="8"/>
          <w:sz w:val="24"/>
          <w:highlight w:val="none"/>
          <w:u w:val="single"/>
        </w:rPr>
      </w:pPr>
      <w:r>
        <w:rPr>
          <w:rFonts w:ascii="Times New Roman" w:hAnsi="Times New Roman"/>
          <w:i/>
          <w:iCs/>
          <w:color w:val="000000"/>
          <w:spacing w:val="8"/>
          <w:sz w:val="24"/>
          <w:highlight w:val="none"/>
          <w:u w:val="single"/>
        </w:rPr>
        <w:t xml:space="preserve">（8）联合体协议书（如有）。</w:t>
      </w:r>
      <w:r>
        <w:rPr>
          <w:rFonts w:ascii="Times New Roman" w:hAnsi="Times New Roman"/>
          <w:i/>
          <w:iCs/>
          <w:color w:val="000000"/>
          <w:spacing w:val="8"/>
          <w:sz w:val="24"/>
          <w:highlight w:val="none"/>
          <w:u w:val="single"/>
        </w:rPr>
      </w:r>
      <w:r/>
    </w:p>
    <w:p>
      <w:pPr>
        <w:pStyle w:val="790"/>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2.落实政府采购政策需满足的资格要求:</w:t>
      </w:r>
      <w:r>
        <w:rPr>
          <w:rFonts w:ascii="Times New Roman" w:hAnsi="Times New Roman"/>
          <w:color w:val="000000"/>
          <w:spacing w:val="8"/>
          <w:sz w:val="24"/>
          <w:highlight w:val="none"/>
        </w:rPr>
      </w:r>
      <w:r/>
    </w:p>
    <w:p>
      <w:pPr>
        <w:pStyle w:val="1337"/>
        <w:ind w:firstLine="500"/>
        <w:spacing w:line="440" w:lineRule="exact"/>
        <w:shd w:val="clear" w:color="auto" w:fill="auto"/>
        <w:rPr>
          <w:rFonts w:hint="eastAsia" w:eastAsia="宋体"/>
          <w:i/>
          <w:iCs/>
          <w:color w:val="000000"/>
          <w:spacing w:val="8"/>
          <w:szCs w:val="22"/>
          <w:highlight w:val="none"/>
          <w:u w:val="single"/>
          <w:lang w:eastAsia="zh-CN"/>
        </w:rPr>
      </w:pPr>
      <w:r>
        <w:rPr>
          <w:rFonts w:hint="eastAsia" w:eastAsia="宋体"/>
          <w:i/>
          <w:iCs/>
          <w:color w:val="000000"/>
          <w:spacing w:val="8"/>
          <w:szCs w:val="22"/>
          <w:highlight w:val="none"/>
          <w:u w:val="single"/>
          <w:lang w:val="en-US" w:eastAsia="zh-CN"/>
        </w:rPr>
        <w:t xml:space="preserve">无</w:t>
      </w:r>
      <w:r>
        <w:rPr>
          <w:rFonts w:hint="eastAsia" w:eastAsia="宋体"/>
          <w:i/>
          <w:iCs/>
          <w:color w:val="000000"/>
          <w:spacing w:val="8"/>
          <w:szCs w:val="22"/>
          <w:highlight w:val="none"/>
          <w:u w:val="single"/>
          <w:lang w:eastAsia="zh-CN"/>
        </w:rPr>
      </w:r>
      <w:r/>
    </w:p>
    <w:p>
      <w:pPr>
        <w:pStyle w:val="790"/>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3.本项目的特定资格要求：</w:t>
      </w:r>
      <w:r>
        <w:rPr>
          <w:rFonts w:ascii="Times New Roman" w:hAnsi="Times New Roman"/>
          <w:color w:val="000000"/>
          <w:spacing w:val="8"/>
          <w:sz w:val="24"/>
          <w:highlight w:val="none"/>
        </w:rPr>
      </w:r>
      <w:r/>
    </w:p>
    <w:p>
      <w:pPr>
        <w:pStyle w:val="790"/>
        <w:ind w:firstLine="555"/>
        <w:spacing w:line="440" w:lineRule="exact"/>
        <w:shd w:val="clear" w:color="auto" w:fill="auto"/>
        <w:widowControl/>
        <w:rPr>
          <w:rFonts w:ascii="Times New Roman" w:hAnsi="Times New Roman"/>
          <w:i/>
          <w:iCs/>
          <w:color w:val="000000"/>
          <w:spacing w:val="8"/>
          <w:sz w:val="24"/>
          <w:highlight w:val="none"/>
          <w:u w:val="single"/>
        </w:rPr>
      </w:pPr>
      <w:r/>
      <w:bookmarkStart w:id="4" w:name="EB2e222552591745cd9af6e9d18c1a40c7"/>
      <w:r/>
      <w:bookmarkEnd w:id="4"/>
      <w:r>
        <w:rPr>
          <w:rFonts w:ascii="Times New Roman" w:hAnsi="Times New Roman"/>
          <w:i/>
          <w:iCs/>
          <w:color w:val="000000"/>
          <w:spacing w:val="8"/>
          <w:sz w:val="24"/>
          <w:highlight w:val="none"/>
          <w:u w:val="single"/>
        </w:rPr>
        <w:t xml:space="preserve">（1）投标人</w:t>
      </w:r>
      <w:r>
        <w:rPr>
          <w:rFonts w:ascii="Times New Roman" w:hAnsi="Times New Roman"/>
          <w:i/>
          <w:color w:val="000000"/>
          <w:spacing w:val="8"/>
          <w:sz w:val="24"/>
          <w:highlight w:val="none"/>
          <w:u w:val="single"/>
        </w:rPr>
        <w:t xml:space="preserve">（或联合体各方）</w:t>
      </w:r>
      <w:r>
        <w:rPr>
          <w:rFonts w:ascii="Times New Roman" w:hAnsi="Times New Roman"/>
          <w:i/>
          <w:iCs/>
          <w:color w:val="000000"/>
          <w:spacing w:val="8"/>
          <w:sz w:val="24"/>
          <w:highlight w:val="none"/>
          <w:u w:val="single"/>
        </w:rPr>
        <w:t xml:space="preserve">具有有效的《经营保险业务许可证》；</w:t>
      </w:r>
      <w:r>
        <w:rPr>
          <w:rFonts w:ascii="Times New Roman" w:hAnsi="Times New Roman"/>
          <w:i/>
          <w:iCs/>
          <w:color w:val="000000"/>
          <w:spacing w:val="8"/>
          <w:sz w:val="24"/>
          <w:highlight w:val="none"/>
          <w:u w:val="single"/>
        </w:rPr>
      </w:r>
      <w:r/>
    </w:p>
    <w:p>
      <w:pPr>
        <w:pStyle w:val="1338"/>
        <w:ind w:firstLine="500"/>
        <w:spacing w:line="440" w:lineRule="exact"/>
        <w:shd w:val="clear" w:color="auto" w:fill="auto"/>
        <w:rPr>
          <w:rFonts w:eastAsia="宋体"/>
          <w:i/>
          <w:iCs/>
          <w:color w:val="000000"/>
          <w:spacing w:val="8"/>
          <w:szCs w:val="22"/>
          <w:highlight w:val="none"/>
          <w:u w:val="single"/>
          <w:lang w:eastAsia="zh"/>
        </w:rPr>
      </w:pPr>
      <w:r>
        <w:rPr>
          <w:rFonts w:hint="eastAsia" w:ascii="宋体" w:hAnsi="宋体" w:eastAsia="宋体" w:cs="宋体"/>
          <w:i/>
          <w:iCs/>
          <w:color w:val="000000"/>
          <w:spacing w:val="8"/>
          <w:highlight w:val="none"/>
          <w:u w:val="single"/>
        </w:rPr>
        <w:t xml:space="preserve">（</w:t>
      </w:r>
      <w:r>
        <w:rPr>
          <w:i/>
          <w:iCs/>
          <w:color w:val="000000"/>
          <w:spacing w:val="8"/>
          <w:highlight w:val="none"/>
          <w:u w:val="single"/>
        </w:rPr>
        <w:t xml:space="preserve">2</w:t>
      </w:r>
      <w:r>
        <w:rPr>
          <w:rFonts w:hint="eastAsia" w:ascii="宋体" w:hAnsi="宋体" w:eastAsia="宋体" w:cs="宋体"/>
          <w:i/>
          <w:iCs/>
          <w:color w:val="000000"/>
          <w:spacing w:val="8"/>
          <w:highlight w:val="none"/>
          <w:u w:val="single"/>
        </w:rPr>
        <w:t xml:space="preserve">）投标人</w:t>
      </w:r>
      <w:r>
        <w:rPr>
          <w:rFonts w:hint="eastAsia" w:ascii="宋体" w:hAnsi="宋体" w:eastAsia="宋体" w:cs="宋体"/>
          <w:i/>
          <w:color w:val="000000"/>
          <w:spacing w:val="8"/>
          <w:highlight w:val="none"/>
          <w:u w:val="single"/>
        </w:rPr>
        <w:t xml:space="preserve">（或联合体各方）</w:t>
      </w:r>
      <w:r>
        <w:rPr>
          <w:rFonts w:hint="eastAsia" w:ascii="宋体" w:hAnsi="宋体" w:eastAsia="宋体" w:cs="宋体"/>
          <w:i/>
          <w:iCs/>
          <w:color w:val="000000"/>
          <w:spacing w:val="8"/>
          <w:highlight w:val="none"/>
          <w:u w:val="single"/>
        </w:rPr>
        <w:t xml:space="preserve">为国家金融监督管理总局（原中国（银行）保险监督管理委员会）批准设立的保险公司或其分支机构。</w:t>
      </w:r>
      <w:r>
        <w:rPr>
          <w:rFonts w:eastAsia="宋体"/>
          <w:i/>
          <w:iCs/>
          <w:color w:val="000000"/>
          <w:spacing w:val="8"/>
          <w:szCs w:val="22"/>
          <w:highlight w:val="none"/>
          <w:u w:val="single"/>
          <w:lang w:eastAsia="zh"/>
        </w:rPr>
      </w:r>
      <w:r/>
    </w:p>
    <w:p>
      <w:pPr>
        <w:pStyle w:val="790"/>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三、获取招标文件</w:t>
      </w:r>
      <w:r>
        <w:rPr>
          <w:rFonts w:ascii="Times New Roman" w:hAnsi="Times New Roman"/>
          <w:b/>
          <w:bCs/>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时间：</w:t>
      </w:r>
      <w:bookmarkStart w:id="5" w:name="EB446df91d580b4ebaac62d73ab338d4ec"/>
      <w:r>
        <w:rPr>
          <w:rFonts w:ascii="Times New Roman" w:hAnsi="Times New Roman"/>
          <w:color w:val="000000"/>
          <w:spacing w:val="8"/>
          <w:sz w:val="24"/>
          <w:highlight w:val="none"/>
        </w:rPr>
        <w:t xml:space="preserve">自招标文件公告发布之日起5个工作日</w:t>
      </w:r>
      <w:bookmarkEnd w:id="5"/>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地点：</w:t>
      </w:r>
      <w:r>
        <w:rPr>
          <w:rFonts w:ascii="Times New Roman" w:hAnsi="Times New Roman"/>
          <w:color w:val="000000"/>
          <w:sz w:val="24"/>
          <w:highlight w:val="none"/>
        </w:rPr>
        <w:t xml:space="preserve">苏采云政府采购一体化平台（网址：http://jszfcg.jsczt.cn/）</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1.CA证书办理</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2.参与采购活动</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3.电子投标准备</w:t>
      </w:r>
      <w:r>
        <w:rPr>
          <w:rFonts w:ascii="Times New Roman" w:hAnsi="Times New Roman"/>
          <w:color w:val="000000"/>
          <w:spacing w:val="8"/>
          <w:sz w:val="24"/>
          <w:highlight w:val="none"/>
        </w:rPr>
      </w:r>
      <w:r/>
    </w:p>
    <w:p>
      <w:pPr>
        <w:pStyle w:val="790"/>
        <w:ind w:firstLine="539"/>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在系统操作过程中如有疑问，请按以下方式联系：</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注册咨询：18261002950；</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CA技术咨询电话：400-608-6099；</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签章使用问题：025-83633811、025-83633812、15380932027、15371015030；</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系统使用指导与咨询：18261002950、13914088964。</w:t>
      </w:r>
      <w:r>
        <w:rPr>
          <w:rFonts w:ascii="Times New Roman" w:hAnsi="Times New Roman"/>
          <w:color w:val="000000"/>
          <w:spacing w:val="8"/>
          <w:sz w:val="24"/>
          <w:highlight w:val="none"/>
        </w:rPr>
      </w:r>
      <w:r/>
    </w:p>
    <w:p>
      <w:pPr>
        <w:pStyle w:val="826"/>
        <w:spacing w:line="440" w:lineRule="exact"/>
        <w:shd w:val="clear" w:color="auto" w:fill="auto"/>
        <w:rPr>
          <w:rFonts w:ascii="Times New Roman" w:hAnsi="Times New Roman" w:eastAsia="宋体" w:cs="Times New Roman"/>
          <w:color w:val="000000"/>
          <w:highlight w:val="none"/>
        </w:rPr>
      </w:pPr>
      <w:r>
        <w:rPr>
          <w:rFonts w:ascii="Times New Roman" w:hAnsi="Times New Roman" w:eastAsia="宋体" w:cs="Times New Roman"/>
          <w:color w:val="000000"/>
          <w:spacing w:val="8"/>
          <w:sz w:val="24"/>
          <w:highlight w:val="none"/>
        </w:rPr>
        <w:t xml:space="preserve">4.售价：无</w:t>
      </w:r>
      <w:r>
        <w:rPr>
          <w:rFonts w:ascii="Times New Roman" w:hAnsi="Times New Roman" w:eastAsia="宋体" w:cs="Times New Roman"/>
          <w:color w:val="000000"/>
          <w:highlight w:val="none"/>
        </w:rPr>
      </w:r>
      <w:r/>
    </w:p>
    <w:p>
      <w:pPr>
        <w:pStyle w:val="790"/>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四、提交投标文件截止时间、开标时间和地点</w:t>
      </w:r>
      <w:r>
        <w:rPr>
          <w:rFonts w:ascii="Times New Roman" w:hAnsi="Times New Roman"/>
          <w:b/>
          <w:bCs/>
          <w:color w:val="000000"/>
          <w:spacing w:val="8"/>
          <w:sz w:val="24"/>
          <w:highlight w:val="none"/>
        </w:rPr>
      </w:r>
      <w:r/>
    </w:p>
    <w:p>
      <w:pPr>
        <w:pStyle w:val="790"/>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1.时间：</w:t>
      </w:r>
      <w:bookmarkStart w:id="6" w:name="EB47b1af47eddb4c2d87568ed0f320c968"/>
      <w:r>
        <w:rPr>
          <w:rFonts w:ascii="Times New Roman" w:hAnsi="Times New Roman"/>
          <w:color w:val="000000"/>
          <w:spacing w:val="8"/>
          <w:sz w:val="24"/>
          <w:highlight w:val="none"/>
        </w:rPr>
        <w:t xml:space="preserve">2026年</w:t>
      </w:r>
      <w:r>
        <w:rPr>
          <w:rFonts w:hint="eastAsia" w:ascii="Times New Roman" w:hAnsi="Times New Roman"/>
          <w:color w:val="000000"/>
          <w:spacing w:val="8"/>
          <w:sz w:val="24"/>
          <w:highlight w:val="none"/>
          <w:lang w:val="en-US" w:eastAsia="zh-CN"/>
        </w:rPr>
        <w:t xml:space="preserve">09</w:t>
      </w:r>
      <w:r>
        <w:rPr>
          <w:rFonts w:ascii="Times New Roman" w:hAnsi="Times New Roman"/>
          <w:color w:val="000000"/>
          <w:spacing w:val="8"/>
          <w:sz w:val="24"/>
          <w:highlight w:val="none"/>
        </w:rPr>
        <w:t xml:space="preserve">月</w:t>
      </w:r>
      <w:r>
        <w:rPr>
          <w:rFonts w:hint="eastAsia" w:ascii="Times New Roman" w:hAnsi="Times New Roman"/>
          <w:color w:val="000000"/>
          <w:spacing w:val="8"/>
          <w:sz w:val="24"/>
          <w:highlight w:val="none"/>
          <w:lang w:val="en-US" w:eastAsia="zh-CN"/>
        </w:rPr>
        <w:t xml:space="preserve">29</w:t>
      </w:r>
      <w:r>
        <w:rPr>
          <w:rFonts w:ascii="Times New Roman" w:hAnsi="Times New Roman"/>
          <w:color w:val="000000"/>
          <w:spacing w:val="8"/>
          <w:sz w:val="24"/>
          <w:highlight w:val="none"/>
        </w:rPr>
        <w:t xml:space="preserve">日1</w:t>
      </w:r>
      <w:r>
        <w:rPr>
          <w:rFonts w:hint="eastAsia" w:ascii="Times New Roman" w:hAnsi="Times New Roman"/>
          <w:color w:val="000000"/>
          <w:spacing w:val="8"/>
          <w:sz w:val="24"/>
          <w:highlight w:val="none"/>
        </w:rPr>
        <w:t xml:space="preserve">3</w:t>
      </w:r>
      <w:r>
        <w:rPr>
          <w:rFonts w:ascii="Times New Roman" w:hAnsi="Times New Roman"/>
          <w:color w:val="000000"/>
          <w:spacing w:val="8"/>
          <w:sz w:val="24"/>
          <w:highlight w:val="none"/>
        </w:rPr>
        <w:t xml:space="preserve">:</w:t>
      </w:r>
      <w:bookmarkEnd w:id="6"/>
      <w:r>
        <w:rPr>
          <w:rFonts w:hint="eastAsia" w:ascii="Times New Roman" w:hAnsi="Times New Roman"/>
          <w:color w:val="000000"/>
          <w:spacing w:val="8"/>
          <w:sz w:val="24"/>
          <w:highlight w:val="none"/>
        </w:rPr>
        <w:t xml:space="preserve">3</w:t>
      </w:r>
      <w:r>
        <w:rPr>
          <w:rFonts w:ascii="Times New Roman" w:hAnsi="Times New Roman"/>
          <w:color w:val="000000"/>
          <w:spacing w:val="8"/>
          <w:sz w:val="24"/>
          <w:highlight w:val="none"/>
        </w:rPr>
        <w:t xml:space="preserve">0（北京时间）</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2.开标地点：江苏省政府采购一体化不见面开标（采购）大厅</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ascii="Times New Roman" w:hAnsi="Times New Roman"/>
          <w:color w:val="000000"/>
          <w:spacing w:val="8"/>
          <w:sz w:val="24"/>
          <w:highlight w:val="none"/>
        </w:rPr>
      </w:r>
      <w:r/>
    </w:p>
    <w:p>
      <w:pPr>
        <w:pStyle w:val="790"/>
        <w:ind w:firstLine="540"/>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请供应商确保电脑、系统及其他设备（视频输入输出设备等）无误，且开标直至项目结束始终保持系统在线状态。</w:t>
      </w:r>
      <w:r>
        <w:rPr>
          <w:rFonts w:ascii="Times New Roman" w:hAnsi="Times New Roman"/>
          <w:color w:val="000000"/>
          <w:spacing w:val="8"/>
          <w:sz w:val="24"/>
          <w:highlight w:val="none"/>
        </w:rPr>
      </w:r>
      <w:r/>
    </w:p>
    <w:p>
      <w:pPr>
        <w:pStyle w:val="790"/>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五、公告期限</w:t>
      </w:r>
      <w:r>
        <w:rPr>
          <w:rFonts w:ascii="Times New Roman" w:hAnsi="Times New Roman"/>
          <w:b/>
          <w:bCs/>
          <w:color w:val="000000"/>
          <w:spacing w:val="8"/>
          <w:sz w:val="24"/>
          <w:highlight w:val="none"/>
        </w:rPr>
      </w:r>
      <w:r/>
    </w:p>
    <w:p>
      <w:pPr>
        <w:pStyle w:val="790"/>
        <w:ind w:firstLine="555"/>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自本公告发布之日起5个工作日。</w:t>
      </w:r>
      <w:r>
        <w:rPr>
          <w:rFonts w:ascii="Times New Roman" w:hAnsi="Times New Roman"/>
          <w:color w:val="000000"/>
          <w:spacing w:val="8"/>
          <w:sz w:val="24"/>
          <w:highlight w:val="none"/>
        </w:rPr>
      </w:r>
      <w:r/>
    </w:p>
    <w:p>
      <w:pPr>
        <w:pStyle w:val="790"/>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六、其他补充事宜</w:t>
      </w:r>
      <w:r>
        <w:rPr>
          <w:rFonts w:ascii="Times New Roman" w:hAnsi="Times New Roman"/>
          <w:b/>
          <w:bCs/>
          <w:color w:val="000000"/>
          <w:spacing w:val="8"/>
          <w:sz w:val="24"/>
          <w:highlight w:val="none"/>
        </w:rPr>
      </w:r>
      <w:r/>
    </w:p>
    <w:p>
      <w:pPr>
        <w:pStyle w:val="790"/>
        <w:ind w:firstLine="384"/>
        <w:spacing w:line="440" w:lineRule="exact"/>
        <w:shd w:val="clear" w:color="auto" w:fill="auto"/>
        <w:widowControl/>
        <w:rPr>
          <w:rFonts w:ascii="Times New Roman" w:hAnsi="Times New Roman"/>
          <w:bCs/>
          <w:i/>
          <w:color w:val="000000"/>
          <w:spacing w:val="8"/>
          <w:sz w:val="24"/>
          <w:szCs w:val="24"/>
          <w:highlight w:val="none"/>
        </w:rPr>
      </w:pPr>
      <w:r>
        <w:rPr>
          <w:rFonts w:ascii="Times New Roman" w:hAnsi="Times New Roman"/>
          <w:i/>
          <w:color w:val="000000"/>
          <w:spacing w:val="8"/>
          <w:sz w:val="24"/>
          <w:highlight w:val="none"/>
        </w:rPr>
        <w:t xml:space="preserve">（一）拒绝下述供应商参加本次采购活动：</w:t>
      </w:r>
      <w:r>
        <w:rPr>
          <w:rFonts w:ascii="Times New Roman" w:hAnsi="Times New Roman"/>
          <w:bCs/>
          <w:i/>
          <w:color w:val="000000"/>
          <w:spacing w:val="8"/>
          <w:sz w:val="24"/>
          <w:szCs w:val="24"/>
          <w:highlight w:val="none"/>
        </w:rPr>
      </w:r>
      <w:r/>
    </w:p>
    <w:p>
      <w:pPr>
        <w:pStyle w:val="790"/>
        <w:ind w:firstLine="512"/>
        <w:spacing w:line="440" w:lineRule="exact"/>
        <w:shd w:val="clear" w:color="auto" w:fill="auto"/>
        <w:widowControl/>
        <w:rPr>
          <w:rFonts w:ascii="Times New Roman" w:hAnsi="Times New Roman"/>
          <w:bCs/>
          <w:i/>
          <w:color w:val="000000"/>
          <w:spacing w:val="8"/>
          <w:sz w:val="24"/>
          <w:szCs w:val="24"/>
          <w:highlight w:val="none"/>
          <w:u w:val="single"/>
        </w:rPr>
      </w:pPr>
      <w:r>
        <w:rPr>
          <w:rFonts w:ascii="Times New Roman" w:hAnsi="Times New Roman"/>
          <w:i/>
          <w:color w:val="000000"/>
          <w:spacing w:val="8"/>
          <w:sz w:val="24"/>
          <w:highlight w:val="none"/>
          <w:u w:val="single"/>
        </w:rPr>
        <w:t xml:space="preserve">1、单位负责人为同一人或者存在直接控股、管理关系的不同供应商，不得参加同一合同下的政府采购活动；</w:t>
      </w:r>
      <w:r>
        <w:rPr>
          <w:rFonts w:ascii="Times New Roman" w:hAnsi="Times New Roman"/>
          <w:bCs/>
          <w:i/>
          <w:color w:val="000000"/>
          <w:spacing w:val="8"/>
          <w:sz w:val="24"/>
          <w:szCs w:val="24"/>
          <w:highlight w:val="none"/>
          <w:u w:val="single"/>
        </w:rPr>
      </w:r>
      <w:r/>
    </w:p>
    <w:p>
      <w:pPr>
        <w:pStyle w:val="790"/>
        <w:ind w:firstLine="512"/>
        <w:spacing w:line="440" w:lineRule="exact"/>
        <w:shd w:val="clear" w:color="auto" w:fill="auto"/>
        <w:widowControl/>
        <w:rPr>
          <w:rFonts w:ascii="Times New Roman" w:hAnsi="Times New Roman"/>
          <w:bCs/>
          <w:i/>
          <w:color w:val="000000"/>
          <w:spacing w:val="8"/>
          <w:sz w:val="24"/>
          <w:szCs w:val="24"/>
          <w:highlight w:val="none"/>
        </w:rPr>
      </w:pPr>
      <w:r>
        <w:rPr>
          <w:rFonts w:ascii="Times New Roman" w:hAnsi="Times New Roman"/>
          <w:i/>
          <w:color w:val="000000"/>
          <w:spacing w:val="8"/>
          <w:sz w:val="24"/>
          <w:highlight w:val="none"/>
          <w:u w:val="single"/>
        </w:rPr>
        <w:t xml:space="preserve">2、</w:t>
      </w:r>
      <w:r>
        <w:rPr>
          <w:rFonts w:ascii="Times New Roman" w:hAnsi="Times New Roman"/>
          <w:i/>
          <w:color w:val="000000"/>
          <w:spacing w:val="7"/>
          <w:sz w:val="24"/>
          <w:highlight w:val="none"/>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Times New Roman" w:hAnsi="Times New Roman"/>
          <w:bCs/>
          <w:i/>
          <w:color w:val="000000"/>
          <w:spacing w:val="8"/>
          <w:sz w:val="24"/>
          <w:szCs w:val="24"/>
          <w:highlight w:val="non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ascii="Times New Roman" w:hAnsi="Times New Roman"/>
          <w:i/>
          <w:color w:val="000000"/>
          <w:spacing w:val="8"/>
          <w:sz w:val="24"/>
          <w:highlight w:val="none"/>
          <w:u w:val="single"/>
        </w:rPr>
        <w:t xml:space="preserve">（二）如为联合体投标，则：</w:t>
      </w:r>
      <w:r>
        <w:rPr>
          <w:rFonts w:ascii="Times New Roman" w:hAnsi="Times New Roman"/>
          <w:i/>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hint="eastAsia" w:ascii="Times New Roman" w:hAnsi="Times New Roman"/>
          <w:i/>
          <w:color w:val="000000"/>
          <w:spacing w:val="8"/>
          <w:sz w:val="24"/>
          <w:highlight w:val="none"/>
          <w:u w:val="single"/>
          <w:lang w:val="en-US" w:eastAsia="zh-CN"/>
        </w:rPr>
        <w:t xml:space="preserve">1、</w:t>
      </w:r>
      <w:r>
        <w:rPr>
          <w:rFonts w:ascii="Times New Roman" w:hAnsi="Times New Roman"/>
          <w:i/>
          <w:color w:val="000000"/>
          <w:spacing w:val="8"/>
          <w:sz w:val="24"/>
          <w:highlight w:val="none"/>
          <w:u w:val="single"/>
        </w:rPr>
        <w:t xml:space="preserve">联合体单位不得超过2家，联合体各方均必须具备有效的《经营保险业务许可证》、联合体各方均是国家金融监督管理总局（原中国（银行）保险监督管理委员会）批准设立的保险公司或其分支机构。</w:t>
      </w:r>
      <w:r>
        <w:rPr>
          <w:rFonts w:ascii="Times New Roman" w:hAnsi="Times New Roman"/>
          <w:i/>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hint="eastAsia" w:ascii="Times New Roman" w:hAnsi="Times New Roman"/>
          <w:i/>
          <w:color w:val="000000"/>
          <w:spacing w:val="8"/>
          <w:sz w:val="24"/>
          <w:highlight w:val="none"/>
          <w:u w:val="single"/>
          <w:lang w:val="en-US" w:eastAsia="zh-CN"/>
        </w:rPr>
        <w:t xml:space="preserve">2、</w:t>
      </w:r>
      <w:r>
        <w:rPr>
          <w:rFonts w:ascii="Times New Roman" w:hAnsi="Times New Roman"/>
          <w:i/>
          <w:color w:val="000000"/>
          <w:spacing w:val="8"/>
          <w:sz w:val="24"/>
          <w:highlight w:val="none"/>
          <w:u w:val="single"/>
        </w:rPr>
        <w:t xml:space="preserve">如是联合体参加投标的，则联合体牵头方须提供联合体牵头单位的法定代表人或授权委托人，并提供对应证明文件。</w:t>
      </w:r>
      <w:r>
        <w:rPr>
          <w:rFonts w:ascii="Times New Roman" w:hAnsi="Times New Roman"/>
          <w:i/>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hint="eastAsia" w:ascii="Times New Roman" w:hAnsi="Times New Roman"/>
          <w:i/>
          <w:color w:val="000000"/>
          <w:spacing w:val="8"/>
          <w:sz w:val="24"/>
          <w:highlight w:val="none"/>
          <w:u w:val="single"/>
          <w:lang w:val="en-US" w:eastAsia="zh-CN"/>
        </w:rPr>
        <w:t xml:space="preserve">3、</w:t>
      </w:r>
      <w:r>
        <w:rPr>
          <w:rFonts w:ascii="Times New Roman" w:hAnsi="Times New Roman"/>
          <w:i/>
          <w:color w:val="000000"/>
          <w:spacing w:val="8"/>
          <w:sz w:val="24"/>
          <w:highlight w:val="none"/>
          <w:u w:val="single"/>
        </w:rPr>
        <w:t xml:space="preserve">投标人除满足</w:t>
      </w:r>
      <w:r>
        <w:rPr>
          <w:rFonts w:hint="eastAsia" w:ascii="Times New Roman" w:hAnsi="Times New Roman"/>
          <w:i/>
          <w:color w:val="000000"/>
          <w:spacing w:val="8"/>
          <w:sz w:val="24"/>
          <w:highlight w:val="none"/>
          <w:u w:val="single"/>
          <w:lang w:val="en-US" w:eastAsia="zh-CN"/>
        </w:rPr>
        <w:t xml:space="preserve">1</w:t>
      </w:r>
      <w:r>
        <w:rPr>
          <w:rFonts w:ascii="Times New Roman" w:hAnsi="Times New Roman"/>
          <w:i/>
          <w:color w:val="000000"/>
          <w:spacing w:val="8"/>
          <w:sz w:val="24"/>
          <w:highlight w:val="none"/>
          <w:u w:val="single"/>
        </w:rPr>
        <w:t xml:space="preserve">、</w:t>
      </w:r>
      <w:r>
        <w:rPr>
          <w:rFonts w:hint="eastAsia" w:ascii="Times New Roman" w:hAnsi="Times New Roman"/>
          <w:i/>
          <w:color w:val="000000"/>
          <w:spacing w:val="8"/>
          <w:sz w:val="24"/>
          <w:highlight w:val="none"/>
          <w:u w:val="single"/>
          <w:lang w:val="en-US" w:eastAsia="zh-CN"/>
        </w:rPr>
        <w:t xml:space="preserve">2</w:t>
      </w:r>
      <w:r>
        <w:rPr>
          <w:rFonts w:ascii="Times New Roman" w:hAnsi="Times New Roman"/>
          <w:i/>
          <w:color w:val="000000"/>
          <w:spacing w:val="8"/>
          <w:sz w:val="24"/>
          <w:highlight w:val="none"/>
          <w:u w:val="single"/>
        </w:rPr>
        <w:t xml:space="preserve">两项特别约定外，联合体各方还均应满足其他申请人资格条件，提供对应材料并由对应联合体方进行签章（签字）。</w:t>
      </w:r>
      <w:r>
        <w:rPr>
          <w:rFonts w:ascii="Times New Roman" w:hAnsi="Times New Roman"/>
          <w:i/>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hint="eastAsia" w:ascii="Times New Roman" w:hAnsi="Times New Roman"/>
          <w:i/>
          <w:color w:val="000000"/>
          <w:spacing w:val="8"/>
          <w:sz w:val="24"/>
          <w:highlight w:val="none"/>
          <w:u w:val="single"/>
          <w:lang w:val="en-US" w:eastAsia="zh-CN"/>
        </w:rPr>
        <w:t xml:space="preserve">4、</w:t>
      </w:r>
      <w:r>
        <w:rPr>
          <w:rFonts w:ascii="Times New Roman" w:hAnsi="Times New Roman"/>
          <w:i/>
          <w:color w:val="000000"/>
          <w:spacing w:val="8"/>
          <w:sz w:val="24"/>
          <w:highlight w:val="none"/>
          <w:u w:val="single"/>
        </w:rPr>
        <w:t xml:space="preserve">本项目资格审查文件及招标文件特别说明以外的资料均可以由联合体牵头人单位进行签章（签字），仅由联合体成员方（即非牵头方）单独进行的签章（签字）的投标文件不予认可。</w:t>
      </w:r>
      <w:r>
        <w:rPr>
          <w:rFonts w:ascii="Times New Roman" w:hAnsi="Times New Roman"/>
          <w:i/>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hint="eastAsia" w:ascii="Times New Roman" w:hAnsi="Times New Roman"/>
          <w:i/>
          <w:color w:val="000000"/>
          <w:spacing w:val="8"/>
          <w:sz w:val="24"/>
          <w:highlight w:val="none"/>
          <w:u w:val="single"/>
          <w:lang w:val="en-US" w:eastAsia="zh-CN"/>
        </w:rPr>
        <w:t xml:space="preserve">5、</w:t>
      </w:r>
      <w:r>
        <w:rPr>
          <w:rFonts w:ascii="Times New Roman" w:hAnsi="Times New Roman"/>
          <w:i/>
          <w:color w:val="000000"/>
          <w:spacing w:val="8"/>
          <w:sz w:val="24"/>
          <w:highlight w:val="none"/>
          <w:u w:val="single"/>
        </w:rPr>
        <w:t xml:space="preserve">联合体各成员之间应签订《联合体协议书》，联合体投标人代表应被授权作为联合体各方的代表，承担责任和接受指令，并负责整个合同的全面履行。</w:t>
      </w:r>
      <w:r>
        <w:rPr>
          <w:rFonts w:ascii="Times New Roman" w:hAnsi="Times New Roman"/>
          <w:i/>
          <w:color w:val="000000"/>
          <w:spacing w:val="8"/>
          <w:sz w:val="24"/>
          <w:highlight w:val="none"/>
          <w:u w:val="single"/>
        </w:rPr>
      </w:r>
      <w:r/>
    </w:p>
    <w:p>
      <w:pPr>
        <w:pStyle w:val="790"/>
        <w:ind w:firstLine="512"/>
        <w:spacing w:line="440" w:lineRule="exact"/>
        <w:shd w:val="clear" w:color="auto" w:fill="auto"/>
        <w:widowControl/>
        <w:rPr>
          <w:rFonts w:ascii="Times New Roman" w:hAnsi="Times New Roman"/>
          <w:i/>
          <w:color w:val="000000"/>
          <w:spacing w:val="8"/>
          <w:sz w:val="24"/>
          <w:highlight w:val="none"/>
          <w:u w:val="single"/>
        </w:rPr>
      </w:pPr>
      <w:r>
        <w:rPr>
          <w:rFonts w:hint="eastAsia" w:ascii="Times New Roman" w:hAnsi="Times New Roman"/>
          <w:i/>
          <w:color w:val="000000"/>
          <w:spacing w:val="8"/>
          <w:sz w:val="24"/>
          <w:highlight w:val="none"/>
          <w:u w:val="single"/>
          <w:lang w:val="en-US" w:eastAsia="zh-CN"/>
        </w:rPr>
        <w:t xml:space="preserve">6、</w:t>
      </w:r>
      <w:r>
        <w:rPr>
          <w:rFonts w:ascii="Times New Roman" w:hAnsi="Times New Roman"/>
          <w:i/>
          <w:color w:val="000000"/>
          <w:spacing w:val="8"/>
          <w:sz w:val="24"/>
          <w:highlight w:val="none"/>
          <w:u w:val="single"/>
        </w:rPr>
        <w:t xml:space="preserve">联合体各成员之间应在《联合体协议书》中明确联合体牵头人和各方的权利义务。</w:t>
      </w:r>
      <w:r>
        <w:rPr>
          <w:rFonts w:ascii="Times New Roman" w:hAnsi="Times New Roman"/>
          <w:i/>
          <w:color w:val="000000"/>
          <w:spacing w:val="8"/>
          <w:sz w:val="24"/>
          <w:highlight w:val="none"/>
          <w:u w:val="single"/>
        </w:rPr>
      </w:r>
      <w:r/>
    </w:p>
    <w:p>
      <w:pPr>
        <w:pStyle w:val="790"/>
        <w:ind w:firstLine="420"/>
        <w:jc w:val="left"/>
        <w:spacing w:line="440" w:lineRule="exact"/>
        <w:shd w:val="clear" w:color="auto" w:fill="auto"/>
        <w:rPr>
          <w:rFonts w:ascii="Times New Roman" w:hAnsi="Times New Roman"/>
          <w:color w:val="000000"/>
          <w:spacing w:val="8"/>
          <w:sz w:val="24"/>
          <w:highlight w:val="none"/>
        </w:rPr>
      </w:pPr>
      <w:r>
        <w:rPr>
          <w:rFonts w:hint="eastAsia" w:ascii="Times New Roman" w:hAnsi="Times New Roman"/>
          <w:i/>
          <w:color w:val="000000"/>
          <w:spacing w:val="8"/>
          <w:sz w:val="24"/>
          <w:highlight w:val="none"/>
          <w:u w:val="single"/>
          <w:lang w:val="en-US" w:eastAsia="zh-CN"/>
        </w:rPr>
        <w:t xml:space="preserve">7、</w:t>
      </w:r>
      <w:r>
        <w:rPr>
          <w:rFonts w:ascii="Times New Roman" w:hAnsi="Times New Roman"/>
          <w:i/>
          <w:color w:val="000000"/>
          <w:spacing w:val="8"/>
          <w:sz w:val="24"/>
          <w:highlight w:val="none"/>
          <w:u w:val="single"/>
        </w:rPr>
        <w:t xml:space="preserve">参加联合体的各成员不得再以自己名义单独投标，也不得同时参加其他联合体投标。</w:t>
      </w:r>
      <w:r>
        <w:rPr>
          <w:rFonts w:ascii="Times New Roman" w:hAnsi="Times New Roman"/>
          <w:color w:val="000000"/>
          <w:spacing w:val="8"/>
          <w:sz w:val="24"/>
          <w:highlight w:val="none"/>
        </w:rPr>
      </w:r>
      <w:r/>
    </w:p>
    <w:p>
      <w:pPr>
        <w:pStyle w:val="790"/>
        <w:ind w:firstLine="420"/>
        <w:jc w:val="left"/>
        <w:spacing w:line="440" w:lineRule="exact"/>
        <w:shd w:val="clear" w:color="auto" w:fill="auto"/>
        <w:rPr>
          <w:rFonts w:ascii="Times New Roman" w:hAnsi="Times New Roman"/>
          <w:color w:val="000000"/>
          <w:sz w:val="24"/>
          <w:highlight w:val="none"/>
        </w:rPr>
      </w:pPr>
      <w:r>
        <w:rPr>
          <w:rFonts w:ascii="Times New Roman" w:hAnsi="Times New Roman"/>
          <w:color w:val="000000"/>
          <w:spacing w:val="8"/>
          <w:sz w:val="24"/>
          <w:highlight w:val="none"/>
        </w:rPr>
        <w:t xml:space="preserve">（</w:t>
      </w:r>
      <w:r>
        <w:rPr>
          <w:rFonts w:hint="eastAsia" w:ascii="Times New Roman" w:hAnsi="Times New Roman"/>
          <w:color w:val="000000"/>
          <w:spacing w:val="8"/>
          <w:sz w:val="24"/>
          <w:highlight w:val="none"/>
          <w:lang w:val="en-US" w:eastAsia="zh-CN"/>
        </w:rPr>
        <w:t xml:space="preserve">三</w:t>
      </w:r>
      <w:r>
        <w:rPr>
          <w:rFonts w:ascii="Times New Roman" w:hAnsi="Times New Roman"/>
          <w:color w:val="000000"/>
          <w:spacing w:val="8"/>
          <w:sz w:val="24"/>
          <w:highlight w:val="none"/>
        </w:rPr>
        <w:t xml:space="preserve">）</w:t>
      </w:r>
      <w:r>
        <w:rPr>
          <w:rFonts w:ascii="Times New Roman" w:hAnsi="Times New Roman"/>
          <w:color w:val="000000"/>
          <w:sz w:val="24"/>
          <w:highlight w:val="none"/>
        </w:rPr>
        <w:t xml:space="preserve">招标文件澄清或者修改内容的告知方式：招标文件的实质性变动或修改将在政府采购公告媒体网通知，投标人可自行下载。</w:t>
      </w:r>
      <w:r>
        <w:rPr>
          <w:rFonts w:ascii="Times New Roman" w:hAnsi="Times New Roman"/>
          <w:color w:val="000000"/>
          <w:sz w:val="24"/>
          <w:highlight w:val="none"/>
        </w:rPr>
      </w:r>
      <w:r/>
    </w:p>
    <w:p>
      <w:pPr>
        <w:pStyle w:val="790"/>
        <w:ind w:firstLine="42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hint="eastAsia" w:ascii="Times New Roman" w:hAnsi="Times New Roman"/>
          <w:color w:val="000000"/>
          <w:sz w:val="24"/>
          <w:highlight w:val="none"/>
          <w:lang w:val="en-US" w:eastAsia="zh-CN"/>
        </w:rPr>
        <w:t xml:space="preserve">四</w:t>
      </w:r>
      <w:r>
        <w:rPr>
          <w:rFonts w:ascii="Times New Roman" w:hAnsi="Times New Roman"/>
          <w:color w:val="000000"/>
          <w:sz w:val="24"/>
          <w:highlight w:val="none"/>
        </w:rPr>
        <w:t xml:space="preserve">）本次招标不收取投标保证金。</w:t>
      </w:r>
      <w:r>
        <w:rPr>
          <w:rFonts w:ascii="Times New Roman" w:hAnsi="Times New Roman"/>
          <w:color w:val="000000"/>
          <w:sz w:val="24"/>
          <w:highlight w:val="none"/>
        </w:rPr>
      </w:r>
      <w:r/>
    </w:p>
    <w:p>
      <w:pPr>
        <w:pStyle w:val="790"/>
        <w:jc w:val="left"/>
        <w:spacing w:line="440" w:lineRule="exact"/>
        <w:shd w:val="clear" w:color="auto" w:fill="auto"/>
        <w:widowControl/>
        <w:rPr>
          <w:rFonts w:ascii="Times New Roman" w:hAnsi="Times New Roman"/>
          <w:b/>
          <w:bCs/>
          <w:color w:val="000000"/>
          <w:spacing w:val="8"/>
          <w:sz w:val="24"/>
          <w:highlight w:val="none"/>
        </w:rPr>
      </w:pPr>
      <w:r>
        <w:rPr>
          <w:rFonts w:ascii="Times New Roman" w:hAnsi="Times New Roman"/>
          <w:b/>
          <w:bCs/>
          <w:color w:val="000000"/>
          <w:spacing w:val="8"/>
          <w:sz w:val="24"/>
          <w:highlight w:val="none"/>
        </w:rPr>
        <w:t xml:space="preserve">七、对本次招标提出询问，请按以下方式联系：</w:t>
      </w:r>
      <w:r>
        <w:rPr>
          <w:rFonts w:ascii="Times New Roman" w:hAnsi="Times New Roman"/>
          <w:b/>
          <w:bCs/>
          <w:color w:val="000000"/>
          <w:spacing w:val="8"/>
          <w:sz w:val="24"/>
          <w:highlight w:val="none"/>
        </w:rPr>
      </w:r>
      <w:r/>
    </w:p>
    <w:p>
      <w:pPr>
        <w:pStyle w:val="790"/>
        <w:ind w:firstLine="512"/>
        <w:jc w:val="left"/>
        <w:spacing w:line="440" w:lineRule="exact"/>
        <w:shd w:val="clear" w:color="auto" w:fill="auto"/>
        <w:widowControl/>
        <w:rPr>
          <w:rFonts w:ascii="Times New Roman" w:hAnsi="Times New Roman"/>
          <w:color w:val="000000"/>
          <w:spacing w:val="8"/>
          <w:sz w:val="24"/>
          <w:highlight w:val="none"/>
        </w:rPr>
      </w:pPr>
      <w:r/>
      <w:bookmarkStart w:id="7" w:name="_Toc209797843"/>
      <w:r>
        <w:rPr>
          <w:rFonts w:hint="eastAsia" w:ascii="Times New Roman" w:hAnsi="Times New Roman"/>
          <w:color w:val="000000"/>
          <w:spacing w:val="8"/>
          <w:sz w:val="24"/>
          <w:highlight w:val="none"/>
          <w:lang w:val="en-US" w:eastAsia="zh-CN"/>
        </w:rPr>
        <w:t xml:space="preserve">1</w:t>
      </w:r>
      <w:r>
        <w:rPr>
          <w:rFonts w:ascii="Times New Roman" w:hAnsi="Times New Roman"/>
          <w:color w:val="000000"/>
          <w:spacing w:val="8"/>
          <w:sz w:val="24"/>
          <w:highlight w:val="none"/>
        </w:rPr>
        <w:t xml:space="preserve">.名称：张家港市公安局</w:t>
      </w:r>
      <w:r>
        <w:rPr>
          <w:rFonts w:ascii="Times New Roman" w:hAnsi="Times New Roman"/>
          <w:color w:val="000000"/>
          <w:spacing w:val="8"/>
          <w:sz w:val="24"/>
          <w:highlight w:val="none"/>
        </w:rPr>
      </w:r>
      <w:r/>
    </w:p>
    <w:p>
      <w:pPr>
        <w:pStyle w:val="790"/>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地址：江苏省苏州市张家港市港城大道180号</w:t>
      </w:r>
      <w:r>
        <w:rPr>
          <w:rFonts w:ascii="Times New Roman" w:hAnsi="Times New Roman"/>
          <w:color w:val="000000"/>
          <w:spacing w:val="8"/>
          <w:sz w:val="24"/>
          <w:highlight w:val="none"/>
        </w:rPr>
      </w:r>
      <w:r/>
    </w:p>
    <w:p>
      <w:pPr>
        <w:pStyle w:val="790"/>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联系方式：</w:t>
      </w:r>
      <w:r>
        <w:rPr>
          <w:rFonts w:ascii="Times New Roman" w:hAnsi="Times New Roman"/>
          <w:color w:val="000000"/>
          <w:sz w:val="24"/>
          <w:highlight w:val="none"/>
        </w:rPr>
        <w:t xml:space="preserve">0512-55370072</w:t>
      </w:r>
      <w:r>
        <w:rPr>
          <w:rFonts w:ascii="Times New Roman" w:hAnsi="Times New Roman"/>
          <w:color w:val="000000"/>
          <w:spacing w:val="8"/>
          <w:sz w:val="24"/>
          <w:highlight w:val="none"/>
        </w:rPr>
      </w:r>
      <w:r/>
    </w:p>
    <w:p>
      <w:pPr>
        <w:pStyle w:val="790"/>
        <w:ind w:firstLine="512"/>
        <w:jc w:val="left"/>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2.采购代理机构信息</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名 称：张家港禾达招投标咨询服务有限公司</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地　址：</w:t>
      </w:r>
      <w:bookmarkStart w:id="8" w:name="EB3628905c7ca0415cbb9a8f0a4d7b3377"/>
      <w:r>
        <w:rPr>
          <w:rFonts w:ascii="Times New Roman" w:hAnsi="Times New Roman"/>
          <w:color w:val="000000"/>
          <w:spacing w:val="8"/>
          <w:sz w:val="24"/>
          <w:highlight w:val="none"/>
        </w:rPr>
        <w:t xml:space="preserve">张家港市杨舍镇</w:t>
      </w:r>
      <w:bookmarkEnd w:id="8"/>
      <w:r>
        <w:rPr>
          <w:rFonts w:ascii="Times New Roman" w:hAnsi="Times New Roman"/>
          <w:color w:val="000000"/>
          <w:spacing w:val="8"/>
          <w:sz w:val="24"/>
          <w:highlight w:val="none"/>
        </w:rPr>
        <w:t xml:space="preserve">置地甲江南56幢301室</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联系方式：0512-56868608</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3.项目联系方式</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项目联系人：黄李红</w:t>
      </w:r>
      <w:r>
        <w:rPr>
          <w:rFonts w:ascii="Times New Roman" w:hAnsi="Times New Roman"/>
          <w:color w:val="000000"/>
          <w:spacing w:val="8"/>
          <w:sz w:val="24"/>
          <w:highlight w:val="none"/>
        </w:rPr>
      </w:r>
      <w:r/>
    </w:p>
    <w:p>
      <w:pPr>
        <w:pStyle w:val="790"/>
        <w:ind w:firstLine="512"/>
        <w:spacing w:line="440" w:lineRule="exact"/>
        <w:shd w:val="clear" w:color="auto" w:fill="auto"/>
        <w:widowControl/>
        <w:rPr>
          <w:rFonts w:ascii="Times New Roman" w:hAnsi="Times New Roman"/>
          <w:color w:val="000000"/>
          <w:spacing w:val="8"/>
          <w:sz w:val="24"/>
          <w:highlight w:val="none"/>
        </w:rPr>
      </w:pPr>
      <w:r>
        <w:rPr>
          <w:rFonts w:ascii="Times New Roman" w:hAnsi="Times New Roman"/>
          <w:color w:val="000000"/>
          <w:spacing w:val="8"/>
          <w:sz w:val="24"/>
          <w:highlight w:val="none"/>
        </w:rPr>
        <w:t xml:space="preserve">电　话：15298815281</w:t>
      </w:r>
      <w:r>
        <w:rPr>
          <w:rFonts w:ascii="Times New Roman" w:hAnsi="Times New Roman"/>
          <w:color w:val="000000"/>
          <w:spacing w:val="8"/>
          <w:sz w:val="24"/>
          <w:highlight w:val="none"/>
        </w:rPr>
      </w:r>
      <w:r/>
    </w:p>
    <w:p>
      <w:pPr>
        <w:pStyle w:val="870"/>
        <w:pageBreakBefore/>
        <w:spacing w:line="360" w:lineRule="auto"/>
        <w:shd w:val="clear" w:color="auto" w:fill="auto"/>
        <w:rPr>
          <w:rFonts w:ascii="Times New Roman" w:hAnsi="Times New Roman" w:eastAsia="宋体"/>
          <w:color w:val="000000"/>
          <w:highlight w:val="none"/>
        </w:rPr>
      </w:pPr>
      <w:r>
        <w:rPr>
          <w:rFonts w:ascii="Times New Roman" w:hAnsi="Times New Roman" w:eastAsia="宋体"/>
          <w:color w:val="000000"/>
          <w:highlight w:val="none"/>
        </w:rPr>
        <w:t xml:space="preserve">第二章  投标人须知</w:t>
      </w:r>
      <w:bookmarkEnd w:id="7"/>
      <w:r>
        <w:rPr>
          <w:rFonts w:ascii="Times New Roman" w:hAnsi="Times New Roman" w:eastAsia="宋体"/>
          <w:color w:val="000000"/>
          <w:highlight w:val="none"/>
        </w:rPr>
      </w:r>
      <w:r/>
    </w:p>
    <w:p>
      <w:pPr>
        <w:pStyle w:val="792"/>
        <w:jc w:val="left"/>
        <w:spacing w:before="0" w:after="0" w:line="440" w:lineRule="exact"/>
        <w:shd w:val="clear" w:color="auto" w:fill="auto"/>
        <w:rPr>
          <w:rStyle w:val="1099"/>
          <w:rFonts w:ascii="Times New Roman" w:hAnsi="Times New Roman"/>
          <w:b/>
          <w:bCs/>
          <w:color w:val="000000"/>
          <w:highlight w:val="none"/>
        </w:rPr>
      </w:pPr>
      <w:r/>
      <w:bookmarkStart w:id="9" w:name="_Toc209797844"/>
      <w:r>
        <w:rPr>
          <w:rStyle w:val="1099"/>
          <w:rFonts w:ascii="Times New Roman" w:hAnsi="Times New Roman"/>
          <w:b/>
          <w:bCs/>
          <w:color w:val="000000"/>
          <w:highlight w:val="none"/>
        </w:rPr>
        <w:t xml:space="preserve">一、总则</w:t>
      </w:r>
      <w:bookmarkEnd w:id="9"/>
      <w:r>
        <w:rPr>
          <w:rStyle w:val="1099"/>
          <w:rFonts w:ascii="Times New Roman" w:hAnsi="Times New Roman"/>
          <w:b/>
          <w:bCs/>
          <w:color w:val="000000"/>
          <w:highlight w:val="none"/>
        </w:rPr>
      </w:r>
      <w:r/>
    </w:p>
    <w:p>
      <w:pPr>
        <w:pStyle w:val="790"/>
        <w:ind w:firstLine="420"/>
        <w:keepLines/>
        <w:keepNext/>
        <w:spacing w:line="440" w:lineRule="exact"/>
        <w:shd w:val="clear" w:color="auto" w:fill="auto"/>
        <w:rPr>
          <w:rFonts w:ascii="Times New Roman" w:hAnsi="Times New Roman"/>
          <w:color w:val="000000"/>
          <w:sz w:val="28"/>
          <w:szCs w:val="28"/>
          <w:highlight w:val="none"/>
        </w:rPr>
        <w:outlineLvl w:val="3"/>
      </w:pPr>
      <w:r/>
      <w:bookmarkStart w:id="10" w:name="_Hlt16619475"/>
      <w:r/>
      <w:bookmarkEnd w:id="10"/>
      <w:r>
        <w:rPr>
          <w:rFonts w:ascii="Times New Roman" w:hAnsi="Times New Roman"/>
          <w:color w:val="000000"/>
          <w:sz w:val="28"/>
          <w:szCs w:val="28"/>
          <w:highlight w:val="none"/>
        </w:rPr>
        <w:t xml:space="preserve">1</w:t>
      </w:r>
      <w:r>
        <w:rPr>
          <w:rFonts w:ascii="Times New Roman" w:hAnsi="Times New Roman"/>
          <w:b/>
          <w:color w:val="000000"/>
          <w:sz w:val="28"/>
          <w:szCs w:val="28"/>
          <w:highlight w:val="none"/>
        </w:rPr>
        <w:t xml:space="preserve">、</w:t>
      </w:r>
      <w:r>
        <w:rPr>
          <w:rFonts w:ascii="Times New Roman" w:hAnsi="Times New Roman"/>
          <w:color w:val="000000"/>
          <w:sz w:val="28"/>
          <w:szCs w:val="28"/>
          <w:highlight w:val="none"/>
        </w:rPr>
        <w:t xml:space="preserve">招标方式</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1.1 本次招标采取公开招标方式，本招标文件仅适用于招标公告中所述项目。</w:t>
      </w:r>
      <w:r>
        <w:rPr>
          <w:rFonts w:ascii="Times New Roman" w:hAnsi="Times New Roman"/>
          <w:color w:val="000000"/>
          <w:sz w:val="24"/>
          <w:highlight w:val="none"/>
        </w:rPr>
      </w:r>
      <w:r/>
    </w:p>
    <w:p>
      <w:pPr>
        <w:pStyle w:val="790"/>
        <w:ind w:firstLine="42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2、合格的投标人</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2.1 满足招标公告中投标人的资格要求的规定。</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b/>
          <w:color w:val="000000"/>
          <w:sz w:val="24"/>
          <w:highlight w:val="none"/>
        </w:rPr>
      </w:pPr>
      <w:r>
        <w:rPr>
          <w:rFonts w:ascii="Times New Roman" w:hAnsi="Times New Roman"/>
          <w:color w:val="000000"/>
          <w:sz w:val="24"/>
          <w:highlight w:val="none"/>
        </w:rPr>
        <w:t xml:space="preserve">2.2 满足本文件实质性要求的规定</w:t>
      </w:r>
      <w:r>
        <w:rPr>
          <w:rFonts w:ascii="Times New Roman" w:hAnsi="Times New Roman"/>
          <w:b/>
          <w:color w:val="000000"/>
          <w:sz w:val="24"/>
          <w:highlight w:val="none"/>
        </w:rPr>
        <w:t xml:space="preserve">（本招标文件中斜体且有下划线部分为实质性要求）。</w:t>
      </w:r>
      <w:r>
        <w:rPr>
          <w:rFonts w:ascii="Times New Roman" w:hAnsi="Times New Roman"/>
          <w:b/>
          <w:color w:val="000000"/>
          <w:sz w:val="24"/>
          <w:highlight w:val="none"/>
        </w:rPr>
      </w:r>
      <w:r/>
    </w:p>
    <w:p>
      <w:pPr>
        <w:pStyle w:val="790"/>
        <w:ind w:firstLine="480"/>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2.3 联合投标</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2.3.1 联合体成员不允许超过两家。</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2.3.2 联合体各成员之间应签订《联合体协议书》（详见“第六章 投标文件格式”），投标人的投标文件及中标后签署的合同书，对联合体的每一成员均有法律约束力。联合体各成员之间签订的《联合体协议书》应与投标文件一起递交。</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2.3.3 参加联合体的各成员不得再以自己名义单独投标，也不得参加其他联合体参与本项目的招标活动。如有违反将取消该联合体及联合体各成员的投标资格。</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b/>
          <w:color w:val="000000"/>
          <w:sz w:val="24"/>
          <w:highlight w:val="none"/>
        </w:rPr>
      </w:pPr>
      <w:r>
        <w:rPr>
          <w:rFonts w:ascii="Times New Roman" w:hAnsi="Times New Roman"/>
          <w:b/>
          <w:bCs/>
          <w:color w:val="000000"/>
          <w:sz w:val="24"/>
          <w:highlight w:val="none"/>
        </w:rPr>
        <w:t xml:space="preserve">2.3.4 以联合体名义参加投标的，只须联合体牵头人进行登记领取招标文件。</w:t>
      </w:r>
      <w:r>
        <w:rPr>
          <w:rFonts w:ascii="Times New Roman" w:hAnsi="Times New Roman"/>
          <w:b/>
          <w:color w:val="000000"/>
          <w:sz w:val="24"/>
          <w:highlight w:val="none"/>
        </w:rPr>
      </w:r>
      <w:r/>
    </w:p>
    <w:p>
      <w:pPr>
        <w:pStyle w:val="790"/>
        <w:ind w:firstLine="42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3、适用法律</w:t>
      </w:r>
      <w:r>
        <w:rPr>
          <w:rFonts w:ascii="Times New Roman" w:hAnsi="Times New Roman"/>
          <w:color w:val="000000"/>
          <w:sz w:val="28"/>
          <w:szCs w:val="28"/>
          <w:highlight w:val="none"/>
        </w:rPr>
      </w:r>
      <w:r/>
    </w:p>
    <w:p>
      <w:pPr>
        <w:pStyle w:val="790"/>
        <w:ind w:firstLine="42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3.1 本次招标及由此产生的合同受中华人民共和国有关的法律法规制约和保护。</w:t>
      </w:r>
      <w:r>
        <w:rPr>
          <w:rFonts w:ascii="Times New Roman" w:hAnsi="Times New Roman"/>
          <w:color w:val="000000"/>
          <w:sz w:val="24"/>
          <w:highlight w:val="none"/>
        </w:rPr>
      </w:r>
      <w:r/>
    </w:p>
    <w:p>
      <w:pPr>
        <w:pStyle w:val="790"/>
        <w:ind w:firstLine="42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4、投标费用</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4.1</w:t>
      </w:r>
      <w:r>
        <w:rPr>
          <w:rFonts w:ascii="Times New Roman" w:hAnsi="Times New Roman"/>
          <w:color w:val="000000"/>
          <w:sz w:val="24"/>
          <w:highlight w:val="none"/>
        </w:rPr>
        <w:t xml:space="preserve"> </w:t>
      </w:r>
      <w:bookmarkStart w:id="11" w:name="EB4bef91ec166246f78c716ddc8194a87a"/>
      <w:r/>
      <w:bookmarkEnd w:id="11"/>
      <w:r>
        <w:rPr>
          <w:rFonts w:ascii="Times New Roman" w:hAnsi="Times New Roman"/>
          <w:color w:val="000000"/>
          <w:sz w:val="24"/>
          <w:highlight w:val="none"/>
        </w:rPr>
        <w:t xml:space="preserve">投标人应自行承担所有与参加投标有关的费用，无论投标过程中的做法和结果如何，</w:t>
      </w:r>
      <w:bookmarkStart w:id="12" w:name="EBb149e03d16f547ac9a9b50964f44d5b2"/>
      <w:r>
        <w:rPr>
          <w:rFonts w:ascii="Times New Roman" w:hAnsi="Times New Roman"/>
          <w:color w:val="000000"/>
          <w:sz w:val="24"/>
          <w:highlight w:val="none"/>
        </w:rPr>
        <w:t xml:space="preserve">张家港禾达招投标咨询服务有限公司</w:t>
      </w:r>
      <w:bookmarkEnd w:id="12"/>
      <w:r>
        <w:rPr>
          <w:rFonts w:ascii="Times New Roman" w:hAnsi="Times New Roman"/>
          <w:color w:val="000000"/>
          <w:sz w:val="24"/>
          <w:highlight w:val="none"/>
        </w:rPr>
        <w:t xml:space="preserve">在任何情况下均无义务和责任承担这些费用。</w:t>
      </w:r>
      <w:r>
        <w:rPr>
          <w:rFonts w:ascii="Times New Roman" w:hAnsi="Times New Roman"/>
          <w:color w:val="000000"/>
          <w:sz w:val="24"/>
          <w:highlight w:val="none"/>
        </w:rPr>
      </w:r>
      <w:r/>
    </w:p>
    <w:p>
      <w:pPr>
        <w:pStyle w:val="132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4.2 本次招标采购代理机构收取代理服务费。</w:t>
      </w:r>
      <w:r>
        <w:rPr>
          <w:rFonts w:eastAsia="宋体"/>
          <w:color w:val="000000"/>
          <w:spacing w:val="7"/>
          <w:highlight w:val="none"/>
        </w:rPr>
      </w:r>
      <w:r/>
    </w:p>
    <w:p>
      <w:pPr>
        <w:pStyle w:val="132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4.2.1 本项目采购代理服务费已包含在项目预算中，供应商报价应当包含采购代理服务费，采购代理服务费由中标（成交）供应商支付;</w:t>
      </w:r>
      <w:r>
        <w:rPr>
          <w:rFonts w:eastAsia="宋体"/>
          <w:color w:val="000000"/>
          <w:spacing w:val="7"/>
          <w:highlight w:val="none"/>
        </w:rPr>
      </w:r>
      <w:r/>
    </w:p>
    <w:p>
      <w:pPr>
        <w:pStyle w:val="132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4.2.2 代理费用收取方式：由中标人按照预算金额的如下比例计算：即100万元内1.5%、100～500万元内1.1%、500～1000万元内0.8%，1000－5000万元内0.5%，差额定率累进法计算，不足叁仟元以叁仟元计算。</w:t>
      </w:r>
      <w:r>
        <w:rPr>
          <w:rFonts w:eastAsia="宋体"/>
          <w:color w:val="000000"/>
          <w:spacing w:val="7"/>
          <w:highlight w:val="none"/>
        </w:rPr>
      </w:r>
      <w:r/>
    </w:p>
    <w:p>
      <w:pPr>
        <w:pStyle w:val="1324"/>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4.2.3 收费金额：人民币壹万</w:t>
      </w:r>
      <w:r>
        <w:rPr>
          <w:rFonts w:hint="eastAsia" w:eastAsia="宋体"/>
          <w:color w:val="000000"/>
          <w:spacing w:val="7"/>
          <w:highlight w:val="none"/>
          <w:lang w:val="en-US" w:eastAsia="zh-CN"/>
        </w:rPr>
        <w:t xml:space="preserve">柒仟贰佰</w:t>
      </w:r>
      <w:r>
        <w:rPr>
          <w:rFonts w:eastAsia="宋体"/>
          <w:color w:val="000000"/>
          <w:spacing w:val="7"/>
          <w:highlight w:val="none"/>
        </w:rPr>
        <w:t xml:space="preserve">元整（1</w:t>
      </w:r>
      <w:r>
        <w:rPr>
          <w:rFonts w:hint="eastAsia" w:eastAsia="宋体"/>
          <w:color w:val="000000"/>
          <w:spacing w:val="7"/>
          <w:highlight w:val="none"/>
          <w:lang w:val="en-US" w:eastAsia="zh-CN"/>
        </w:rPr>
        <w:t xml:space="preserve">7200</w:t>
      </w:r>
      <w:r>
        <w:rPr>
          <w:rFonts w:eastAsia="宋体"/>
          <w:color w:val="000000"/>
          <w:spacing w:val="7"/>
          <w:highlight w:val="none"/>
        </w:rPr>
        <w:t xml:space="preserve">.00元）。</w:t>
      </w:r>
      <w:r>
        <w:rPr>
          <w:rFonts w:eastAsia="宋体"/>
          <w:color w:val="000000"/>
          <w:spacing w:val="7"/>
          <w:highlight w:val="none"/>
        </w:rPr>
      </w:r>
      <w:r/>
    </w:p>
    <w:p>
      <w:pPr>
        <w:pStyle w:val="790"/>
        <w:ind w:firstLine="414"/>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5、招标文件的约束力</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5.1</w:t>
      </w:r>
      <w:r>
        <w:rPr>
          <w:rFonts w:ascii="Times New Roman" w:hAnsi="Times New Roman"/>
          <w:color w:val="000000"/>
          <w:sz w:val="24"/>
          <w:highlight w:val="none"/>
        </w:rPr>
        <w:t xml:space="preserve"> 投标人一旦在“苏采云”系统下载本招标文件决定参加投标，即被认为接受了本招标文件的规定和约束，并且视为已经知道或应当知道自身权益是否受到了损害。</w:t>
      </w:r>
      <w:r>
        <w:rPr>
          <w:rFonts w:ascii="Times New Roman" w:hAnsi="Times New Roman"/>
          <w:color w:val="000000"/>
          <w:sz w:val="24"/>
          <w:highlight w:val="none"/>
        </w:rPr>
      </w:r>
      <w:r/>
    </w:p>
    <w:p>
      <w:pPr>
        <w:pStyle w:val="792"/>
        <w:jc w:val="left"/>
        <w:spacing w:before="0" w:after="0" w:line="440" w:lineRule="exact"/>
        <w:shd w:val="clear" w:color="auto" w:fill="auto"/>
        <w:rPr>
          <w:rStyle w:val="1099"/>
          <w:rFonts w:ascii="Times New Roman" w:hAnsi="Times New Roman"/>
          <w:b/>
          <w:bCs/>
          <w:color w:val="000000"/>
          <w:highlight w:val="none"/>
        </w:rPr>
      </w:pPr>
      <w:r/>
      <w:bookmarkStart w:id="13" w:name="_Toc209797845"/>
      <w:r>
        <w:rPr>
          <w:rStyle w:val="1099"/>
          <w:rFonts w:ascii="Times New Roman" w:hAnsi="Times New Roman"/>
          <w:b/>
          <w:bCs/>
          <w:color w:val="000000"/>
          <w:highlight w:val="none"/>
        </w:rPr>
        <w:t xml:space="preserve">二、招标文件</w:t>
      </w:r>
      <w:bookmarkEnd w:id="13"/>
      <w:r>
        <w:rPr>
          <w:rStyle w:val="1099"/>
          <w:rFonts w:ascii="Times New Roman" w:hAnsi="Times New Roman"/>
          <w:b/>
          <w:bCs/>
          <w:color w:val="000000"/>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6、招标文件构成</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6.1</w:t>
      </w:r>
      <w:r>
        <w:rPr>
          <w:rFonts w:ascii="Times New Roman" w:hAnsi="Times New Roman"/>
          <w:color w:val="000000"/>
          <w:sz w:val="24"/>
          <w:highlight w:val="none"/>
        </w:rPr>
        <w:t xml:space="preserve"> 招标文件有以下部分组成：</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（1）投标邀请</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（2）投标人须知</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（3）合同条款及格式</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（4）项目需求</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（5）评标方法与评标标准</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（6）投标文件格式</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请仔细检查招标文件是否齐全，如有缺漏请立即与张家港禾达招投标咨询服务有限公司联系解决。</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6.2</w:t>
      </w:r>
      <w:r>
        <w:rPr>
          <w:rFonts w:ascii="Times New Roman" w:hAnsi="Times New Roman"/>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7、招标文件的澄清或修改</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7.1 </w:t>
      </w:r>
      <w:r>
        <w:rPr>
          <w:rFonts w:ascii="Times New Roman" w:hAnsi="Times New Roman"/>
          <w:color w:val="000000"/>
          <w:sz w:val="24"/>
          <w:highlight w:val="none"/>
        </w:rPr>
        <w:t xml:space="preserve">在投标截止时间前。张家港禾达招投标咨询服务有限公司可以对招标文件进行澄清或修改。</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8"/>
          <w:szCs w:val="28"/>
          <w:highlight w:val="none"/>
        </w:rPr>
      </w:pPr>
      <w:r>
        <w:rPr>
          <w:rFonts w:ascii="Times New Roman" w:hAnsi="Times New Roman"/>
          <w:bCs/>
          <w:color w:val="000000"/>
          <w:sz w:val="24"/>
          <w:highlight w:val="none"/>
        </w:rPr>
        <w:t xml:space="preserve">7.2 张家港禾达招投标咨询服务有限公司</w:t>
      </w:r>
      <w:r>
        <w:rPr>
          <w:rFonts w:ascii="Times New Roman" w:hAnsi="Times New Roman"/>
          <w:color w:val="000000"/>
          <w:sz w:val="24"/>
          <w:highlight w:val="none"/>
        </w:rPr>
        <w:t xml:space="preserve">有权按照法定的要求推迟投标截止日期和开标日期。</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7.3 </w:t>
      </w:r>
      <w:r>
        <w:rPr>
          <w:rFonts w:ascii="Times New Roman" w:hAnsi="Times New Roman"/>
          <w:color w:val="000000"/>
          <w:sz w:val="24"/>
          <w:highlight w:val="none"/>
        </w:rPr>
        <w:t xml:space="preserve">招标文件的实质性变动或修改将在政府采购公告媒体网通知，投标人可自行下载。补充文件将作为招标文件的组成部分，并对投标人具有约束力。</w:t>
      </w:r>
      <w:r>
        <w:rPr>
          <w:rFonts w:ascii="Times New Roman" w:hAnsi="Times New Roman"/>
          <w:color w:val="000000"/>
          <w:sz w:val="24"/>
          <w:highlight w:val="none"/>
        </w:rPr>
      </w:r>
      <w:r/>
    </w:p>
    <w:p>
      <w:pPr>
        <w:pStyle w:val="792"/>
        <w:jc w:val="left"/>
        <w:spacing w:before="0" w:after="0" w:line="440" w:lineRule="exact"/>
        <w:shd w:val="clear" w:color="auto" w:fill="auto"/>
        <w:rPr>
          <w:rStyle w:val="1099"/>
          <w:rFonts w:ascii="Times New Roman" w:hAnsi="Times New Roman"/>
          <w:b/>
          <w:bCs/>
          <w:color w:val="000000"/>
          <w:highlight w:val="none"/>
        </w:rPr>
      </w:pPr>
      <w:r/>
      <w:bookmarkStart w:id="14" w:name="_Toc209797846"/>
      <w:r>
        <w:rPr>
          <w:rStyle w:val="1099"/>
          <w:rFonts w:ascii="Times New Roman" w:hAnsi="Times New Roman"/>
          <w:b/>
          <w:bCs/>
          <w:color w:val="000000"/>
          <w:highlight w:val="none"/>
        </w:rPr>
        <w:t xml:space="preserve">三、投标文件的编制</w:t>
      </w:r>
      <w:bookmarkEnd w:id="14"/>
      <w:r>
        <w:rPr>
          <w:rStyle w:val="1099"/>
          <w:rFonts w:ascii="Times New Roman" w:hAnsi="Times New Roman"/>
          <w:b/>
          <w:bCs/>
          <w:color w:val="000000"/>
          <w:highlight w:val="none"/>
        </w:rPr>
      </w:r>
      <w:r/>
    </w:p>
    <w:p>
      <w:pPr>
        <w:pStyle w:val="790"/>
        <w:ind w:firstLine="560"/>
        <w:keepLines/>
        <w:keepNext/>
        <w:spacing w:line="440" w:lineRule="exact"/>
        <w:shd w:val="clear" w:color="auto" w:fill="auto"/>
        <w:rPr>
          <w:rFonts w:ascii="Times New Roman" w:hAnsi="Times New Roman"/>
          <w:b/>
          <w:color w:val="000000"/>
          <w:sz w:val="28"/>
          <w:szCs w:val="28"/>
          <w:highlight w:val="none"/>
        </w:rPr>
        <w:outlineLvl w:val="3"/>
      </w:pPr>
      <w:r>
        <w:rPr>
          <w:rFonts w:ascii="Times New Roman" w:hAnsi="Times New Roman"/>
          <w:color w:val="000000"/>
          <w:sz w:val="28"/>
          <w:szCs w:val="28"/>
          <w:highlight w:val="none"/>
        </w:rPr>
        <w:t xml:space="preserve">8、投标文件的语言及度量衡单位</w:t>
      </w:r>
      <w:r>
        <w:rPr>
          <w:rFonts w:ascii="Times New Roman" w:hAnsi="Times New Roman"/>
          <w:b/>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8.1</w:t>
      </w:r>
      <w:r>
        <w:rPr>
          <w:rFonts w:ascii="Times New Roman" w:hAnsi="Times New Roman"/>
          <w:color w:val="000000"/>
          <w:sz w:val="24"/>
          <w:highlight w:val="none"/>
        </w:rPr>
        <w:t xml:space="preserve"> 投标人提交的投标文件以及投标人与张家港禾达招投标咨询服务有限公司就有关投标的所有来往通知、函件和文件均应使用</w:t>
      </w:r>
      <w:r>
        <w:rPr>
          <w:rFonts w:ascii="Times New Roman" w:hAnsi="Times New Roman"/>
          <w:b/>
          <w:bCs/>
          <w:color w:val="000000"/>
          <w:sz w:val="24"/>
          <w:highlight w:val="none"/>
        </w:rPr>
        <w:t xml:space="preserve">简体中文</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8.2</w:t>
      </w:r>
      <w:r>
        <w:rPr>
          <w:rFonts w:ascii="Times New Roman" w:hAnsi="Times New Roman"/>
          <w:color w:val="000000"/>
          <w:sz w:val="24"/>
          <w:highlight w:val="none"/>
        </w:rPr>
        <w:t xml:space="preserve"> 除技术性能另有规定外，投标文件所使用的度量衡单位，均须采用国家法定计量单位。</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9、投标文件构成</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9.1 投标人编写的投标文件应包括投标函、开标一览表、投标配置与分项报价表、资格证明文件、第四章项目需求中实质性要求响应对照表、技术及服务方案、投标人情况介绍、技术参数响应及偏离表、商务条款响应及偏离表等部分。</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9.2</w:t>
      </w:r>
      <w:r>
        <w:rPr>
          <w:rFonts w:ascii="Times New Roman" w:hAnsi="Times New Roman"/>
          <w:b/>
          <w:bCs/>
          <w:color w:val="000000"/>
          <w:sz w:val="24"/>
          <w:highlight w:val="none"/>
        </w:rPr>
        <w:t xml:space="preserve"> </w:t>
      </w:r>
      <w:r>
        <w:rPr>
          <w:rFonts w:ascii="Times New Roman" w:hAnsi="Times New Roman"/>
          <w:color w:val="000000"/>
          <w:sz w:val="24"/>
          <w:highlight w:val="none"/>
        </w:rPr>
        <w:t xml:space="preserve">特别提醒：投标人必须在投标文件接收截止时间之前在系统中提交所有与开评标相关的资料。开评标现场不接收任何资料。</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bookmarkStart w:id="15" w:name="_Hlt26668975"/>
      <w:r/>
      <w:bookmarkEnd w:id="15"/>
      <w:r/>
      <w:bookmarkStart w:id="16" w:name="_Hlt26670360"/>
      <w:r/>
      <w:bookmarkEnd w:id="16"/>
      <w:r/>
      <w:bookmarkStart w:id="17" w:name="_Hlt26954838"/>
      <w:r/>
      <w:bookmarkEnd w:id="17"/>
      <w:r>
        <w:rPr>
          <w:rFonts w:ascii="Times New Roman" w:hAnsi="Times New Roman"/>
          <w:color w:val="000000"/>
          <w:sz w:val="28"/>
          <w:szCs w:val="28"/>
          <w:highlight w:val="none"/>
        </w:rPr>
        <w:t xml:space="preserve">10、投标函和开标一览表</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10.1</w:t>
      </w:r>
      <w:r>
        <w:rPr>
          <w:rFonts w:ascii="Times New Roman" w:hAnsi="Times New Roman"/>
          <w:color w:val="000000"/>
          <w:sz w:val="24"/>
          <w:highlight w:val="none"/>
        </w:rPr>
        <w:t xml:space="preserve"> 投标人应按照招标文件中提供的格式完整、正确填写投标函、开标一览表。</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10.2</w:t>
      </w:r>
      <w:r>
        <w:rPr>
          <w:rFonts w:ascii="Times New Roman" w:hAnsi="Times New Roman"/>
          <w:color w:val="000000"/>
          <w:sz w:val="24"/>
          <w:highlight w:val="none"/>
        </w:rPr>
        <w:t xml:space="preserve"> </w:t>
      </w:r>
      <w:r>
        <w:rPr>
          <w:rFonts w:ascii="Times New Roman" w:hAnsi="Times New Roman"/>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ascii="Times New Roman" w:hAnsi="Times New Roman"/>
          <w:b/>
          <w:bCs/>
          <w:color w:val="000000"/>
          <w:sz w:val="24"/>
          <w:highlight w:val="none"/>
        </w:rPr>
        <w:t xml:space="preserve">。</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11、投标人资格证明文件</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11.1</w:t>
      </w:r>
      <w:bookmarkStart w:id="18" w:name="_Hlt26668999"/>
      <w:r/>
      <w:bookmarkEnd w:id="18"/>
      <w:r>
        <w:rPr>
          <w:rFonts w:ascii="Times New Roman" w:hAnsi="Times New Roman"/>
          <w:color w:val="000000"/>
          <w:sz w:val="24"/>
          <w:highlight w:val="none"/>
        </w:rPr>
        <w:t xml:space="preserve"> 投标人应按招标文件的要求提交资格证明文件。</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12、投标配置与分项报价</w:t>
      </w:r>
      <w:bookmarkStart w:id="19" w:name="_Hlt26670373"/>
      <w:r/>
      <w:bookmarkEnd w:id="19"/>
      <w:r>
        <w:rPr>
          <w:rFonts w:ascii="Times New Roman" w:hAnsi="Times New Roman"/>
          <w:color w:val="000000"/>
          <w:sz w:val="28"/>
          <w:szCs w:val="28"/>
          <w:highlight w:val="none"/>
        </w:rPr>
        <w:t xml:space="preserve">表（经费测算表）（如有）</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12.1</w:t>
      </w:r>
      <w:r>
        <w:rPr>
          <w:rFonts w:ascii="Times New Roman" w:hAnsi="Times New Roman"/>
          <w:color w:val="000000"/>
          <w:sz w:val="24"/>
          <w:highlight w:val="none"/>
        </w:rPr>
        <w:t xml:space="preserve"> 投</w:t>
      </w:r>
      <w:bookmarkStart w:id="20" w:name="_Hlt26954840"/>
      <w:r/>
      <w:bookmarkEnd w:id="20"/>
      <w:r>
        <w:rPr>
          <w:rFonts w:ascii="Times New Roman" w:hAnsi="Times New Roman"/>
          <w:color w:val="000000"/>
          <w:sz w:val="24"/>
          <w:highlight w:val="none"/>
        </w:rPr>
        <w:t xml:space="preserve">标人应按照招标文件规定格式填报投标配置与分项报价表</w:t>
      </w:r>
      <w:bookmarkStart w:id="21" w:name="_Hlt26670399"/>
      <w:r/>
      <w:bookmarkEnd w:id="21"/>
      <w:r>
        <w:rPr>
          <w:rFonts w:ascii="Times New Roman" w:hAnsi="Times New Roman"/>
          <w:color w:val="000000"/>
          <w:sz w:val="24"/>
          <w:highlight w:val="none"/>
        </w:rPr>
        <w:t xml:space="preserve">，在表中标明所提供设备及主要部件的品牌、型号规格、产地、数量等（如有）。</w:t>
      </w:r>
      <w:r>
        <w:rPr>
          <w:rFonts w:ascii="Times New Roman" w:hAnsi="Times New Roman"/>
          <w:b/>
          <w:color w:val="000000"/>
          <w:sz w:val="24"/>
          <w:highlight w:val="none"/>
        </w:rPr>
        <w:t xml:space="preserve">每项货物和服务等只允许有一个报价</w:t>
      </w:r>
      <w:r>
        <w:rPr>
          <w:rFonts w:ascii="Times New Roman" w:hAnsi="Times New Roman"/>
          <w:color w:val="000000"/>
          <w:sz w:val="24"/>
          <w:highlight w:val="none"/>
        </w:rPr>
        <w:t xml:space="preserve"> (如有备选配件，备选配件的报价不属于选择的报价)。</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12.2 标的物</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12.2.1 采购人需求的有关服务等。</w:t>
      </w:r>
      <w:r>
        <w:rPr>
          <w:rFonts w:ascii="Times New Roman" w:hAnsi="Times New Roman"/>
          <w:color w:val="000000"/>
          <w:sz w:val="24"/>
          <w:highlight w:val="none"/>
        </w:rPr>
      </w:r>
      <w:r/>
    </w:p>
    <w:p>
      <w:pPr>
        <w:pStyle w:val="824"/>
        <w:ind w:firstLine="480"/>
        <w:spacing w:after="0" w:line="440" w:lineRule="exact"/>
        <w:shd w:val="clear" w:color="auto" w:fill="auto"/>
        <w:tabs>
          <w:tab w:val="right" w:pos="2520" w:leader="none"/>
          <w:tab w:val="left" w:pos="2880" w:leader="none"/>
        </w:tabs>
        <w:rPr>
          <w:rFonts w:ascii="Times New Roman" w:hAnsi="Times New Roman"/>
          <w:color w:val="000000"/>
          <w:highlight w:val="none"/>
        </w:rPr>
      </w:pPr>
      <w:r>
        <w:rPr>
          <w:rFonts w:ascii="Times New Roman" w:hAnsi="Times New Roman"/>
          <w:bCs/>
          <w:color w:val="000000"/>
          <w:sz w:val="24"/>
          <w:szCs w:val="24"/>
          <w:highlight w:val="none"/>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rPr>
          <w:rFonts w:ascii="Times New Roman" w:hAnsi="Times New Roman"/>
          <w:color w:val="000000"/>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12.3 投标货币</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投标文件中的单价和总价无特殊规定的采用人民币报价，以元为</w:t>
      </w:r>
      <w:r>
        <w:rPr>
          <w:rFonts w:ascii="Times New Roman" w:hAnsi="Times New Roman"/>
          <w:bCs/>
          <w:color w:val="000000"/>
          <w:sz w:val="24"/>
          <w:highlight w:val="none"/>
        </w:rPr>
        <w:t xml:space="preserve">单位标注。招标文件中另有规定的按规定执行。</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12.4 投标配置与分项报价表上的价格应按下列方式分开填写：</w:t>
      </w:r>
      <w:r>
        <w:rPr>
          <w:rFonts w:ascii="Times New Roman" w:hAnsi="Times New Roman"/>
          <w:bCs/>
          <w:color w:val="000000"/>
          <w:sz w:val="24"/>
          <w:highlight w:val="none"/>
        </w:rPr>
      </w:r>
      <w:r/>
    </w:p>
    <w:p>
      <w:pPr>
        <w:pStyle w:val="1322"/>
        <w:ind w:firstLine="480"/>
        <w:spacing w:line="440" w:lineRule="exact"/>
        <w:shd w:val="clear" w:color="auto" w:fill="auto"/>
        <w:widowControl/>
        <w:rPr>
          <w:color w:val="000000"/>
          <w:sz w:val="24"/>
          <w:highlight w:val="none"/>
        </w:rPr>
      </w:pPr>
      <w:r>
        <w:rPr>
          <w:bCs/>
          <w:color w:val="000000"/>
          <w:sz w:val="24"/>
          <w:highlight w:val="none"/>
        </w:rPr>
        <w:t xml:space="preserve">12.4.1</w:t>
      </w:r>
      <w:r>
        <w:rPr>
          <w:color w:val="000000"/>
          <w:sz w:val="24"/>
          <w:highlight w:val="none"/>
        </w:rPr>
        <w:t xml:space="preserve"> 项目总价为综合报价，应包括但不仅限于完成对应项目所需要的人工费、材料费、机械费、措施费、管理费、</w:t>
      </w:r>
      <w:r>
        <w:rPr>
          <w:rFonts w:hint="eastAsia"/>
          <w:color w:val="000000"/>
          <w:sz w:val="24"/>
          <w:highlight w:val="none"/>
        </w:rPr>
        <w:t xml:space="preserve">代理服务费、</w:t>
      </w:r>
      <w:r>
        <w:rPr>
          <w:color w:val="000000"/>
          <w:sz w:val="24"/>
          <w:highlight w:val="none"/>
        </w:rPr>
        <w:t xml:space="preserve">规费、利润、税金、政策性文件规定及合同包含的所有风险、责任等各项应有费用。</w:t>
      </w:r>
      <w:r>
        <w:rPr>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12.4.2 项目单价按投标配置及分项报价表中要求填报。</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12.5 本报价必须充分考虑所有可能影响到报价的价格因素，一旦投标结束最终成交，如发生漏、缺、少项，都将被认为是中标人的报价让利行为。</w:t>
      </w:r>
      <w:bookmarkStart w:id="22" w:name="_Hlt26670486"/>
      <w:r/>
      <w:bookmarkEnd w:id="22"/>
      <w:r/>
      <w:bookmarkStart w:id="23" w:name="_Hlt26954846"/>
      <w:r/>
      <w:bookmarkEnd w:id="23"/>
      <w:r/>
      <w:bookmarkStart w:id="24" w:name="_Hlt26670482"/>
      <w:r/>
      <w:bookmarkEnd w:id="24"/>
      <w:r/>
      <w:bookmarkStart w:id="25" w:name="_Hlt26954848"/>
      <w:r/>
      <w:bookmarkEnd w:id="25"/>
      <w:r/>
      <w:bookmarkStart w:id="26" w:name="_Hlt26954731"/>
      <w:r/>
      <w:bookmarkEnd w:id="26"/>
      <w:r>
        <w:rPr>
          <w:rFonts w:ascii="Times New Roman" w:hAnsi="Times New Roman"/>
          <w:bCs/>
          <w:color w:val="000000"/>
          <w:sz w:val="24"/>
          <w:highlight w:val="none"/>
        </w:rPr>
      </w:r>
      <w:r/>
    </w:p>
    <w:p>
      <w:pPr>
        <w:pStyle w:val="790"/>
        <w:ind w:firstLine="56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8"/>
          <w:szCs w:val="28"/>
          <w:highlight w:val="none"/>
        </w:rPr>
        <w:t xml:space="preserve">13</w:t>
      </w:r>
      <w:r>
        <w:rPr>
          <w:rFonts w:ascii="Times New Roman" w:hAnsi="Times New Roman"/>
          <w:bCs/>
          <w:color w:val="000000"/>
          <w:szCs w:val="21"/>
          <w:highlight w:val="none"/>
        </w:rPr>
        <w:t xml:space="preserve">、</w:t>
      </w:r>
      <w:r>
        <w:rPr>
          <w:rFonts w:ascii="Times New Roman" w:hAnsi="Times New Roman"/>
          <w:color w:val="000000"/>
          <w:sz w:val="28"/>
          <w:szCs w:val="28"/>
          <w:highlight w:val="none"/>
        </w:rPr>
        <w:t xml:space="preserve">技术参数响应及偏离表、商务条款响应及偏离表（如有） </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13.1 对招标文件中的技术参数与商务条款要求逐项作出响应或偏离，并说明原因。</w:t>
      </w:r>
      <w:r>
        <w:rPr>
          <w:rFonts w:ascii="Times New Roman" w:hAnsi="Times New Roman"/>
          <w:bCs/>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14、技术方案及实施方案</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8"/>
          <w:szCs w:val="28"/>
          <w:highlight w:val="none"/>
        </w:rPr>
      </w:pPr>
      <w:r>
        <w:rPr>
          <w:rFonts w:ascii="Times New Roman" w:hAnsi="Times New Roman"/>
          <w:bCs/>
          <w:color w:val="000000"/>
          <w:sz w:val="24"/>
          <w:highlight w:val="none"/>
        </w:rPr>
        <w:t xml:space="preserve">14.1投标文件中应体现技术方案、服务承诺、培训承诺和优惠承诺及各项计划。</w:t>
      </w:r>
      <w:r>
        <w:rPr>
          <w:rFonts w:ascii="Times New Roman" w:hAnsi="Times New Roman"/>
          <w:color w:val="000000"/>
          <w:sz w:val="28"/>
          <w:szCs w:val="28"/>
          <w:highlight w:val="none"/>
        </w:rPr>
      </w:r>
      <w:r/>
    </w:p>
    <w:p>
      <w:pPr>
        <w:pStyle w:val="790"/>
        <w:ind w:firstLine="560"/>
        <w:keepLines/>
        <w:keepNext/>
        <w:spacing w:line="440" w:lineRule="exact"/>
        <w:shd w:val="clear" w:color="auto" w:fill="auto"/>
        <w:rPr>
          <w:rFonts w:ascii="Times New Roman" w:hAnsi="Times New Roman"/>
          <w:color w:val="000000"/>
          <w:sz w:val="24"/>
          <w:highlight w:val="none"/>
        </w:rPr>
        <w:outlineLvl w:val="3"/>
      </w:pPr>
      <w:r>
        <w:rPr>
          <w:rFonts w:ascii="Times New Roman" w:hAnsi="Times New Roman"/>
          <w:color w:val="000000"/>
          <w:sz w:val="28"/>
          <w:szCs w:val="28"/>
          <w:highlight w:val="none"/>
        </w:rPr>
        <w:t xml:space="preserve">15、投标人情况介绍</w:t>
      </w:r>
      <w:r>
        <w:rPr>
          <w:rFonts w:ascii="Times New Roman" w:hAnsi="Times New Roman"/>
          <w:color w:val="000000"/>
          <w:sz w:val="24"/>
          <w:highlight w:val="none"/>
        </w:rPr>
      </w:r>
      <w:r/>
    </w:p>
    <w:p>
      <w:pPr>
        <w:pStyle w:val="1326"/>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15.1 投标人的总体情况应在电子投标文件中作出说明。</w:t>
      </w:r>
      <w:bookmarkStart w:id="27" w:name="EBf6e5e332cb7245ab8f3a9801503c122b"/>
      <w:r/>
      <w:bookmarkEnd w:id="27"/>
      <w:r>
        <w:rPr>
          <w:rFonts w:eastAsia="宋体"/>
          <w:color w:val="000000"/>
          <w:spacing w:val="7"/>
          <w:highlight w:val="none"/>
        </w:rPr>
      </w:r>
      <w:r/>
    </w:p>
    <w:p>
      <w:pPr>
        <w:pStyle w:val="790"/>
        <w:ind w:firstLine="420"/>
        <w:keepLines/>
        <w:keepNext/>
        <w:spacing w:line="440" w:lineRule="exact"/>
        <w:shd w:val="clear" w:color="auto" w:fill="auto"/>
        <w:rPr>
          <w:rFonts w:ascii="Times New Roman" w:hAnsi="Times New Roman"/>
          <w:color w:val="000000"/>
          <w:sz w:val="28"/>
          <w:szCs w:val="28"/>
          <w:highlight w:val="none"/>
        </w:rPr>
        <w:outlineLvl w:val="3"/>
      </w:pPr>
      <w:r/>
      <w:bookmarkStart w:id="28" w:name="_Hlt26670489"/>
      <w:r/>
      <w:bookmarkEnd w:id="28"/>
      <w:r/>
      <w:bookmarkStart w:id="29" w:name="_Hlt26954850"/>
      <w:r/>
      <w:bookmarkEnd w:id="29"/>
      <w:r/>
      <w:bookmarkStart w:id="30" w:name="_Hlt26954734"/>
      <w:r/>
      <w:bookmarkEnd w:id="30"/>
      <w:r>
        <w:rPr>
          <w:rFonts w:ascii="Times New Roman" w:hAnsi="Times New Roman"/>
          <w:color w:val="000000"/>
          <w:sz w:val="28"/>
          <w:szCs w:val="28"/>
          <w:highlight w:val="none"/>
        </w:rPr>
        <w:t xml:space="preserve">16、投标保证金</w:t>
      </w:r>
      <w:r>
        <w:rPr>
          <w:rFonts w:ascii="Times New Roman" w:hAnsi="Times New Roman"/>
          <w:color w:val="000000"/>
          <w:sz w:val="28"/>
          <w:szCs w:val="28"/>
          <w:highlight w:val="none"/>
        </w:rPr>
      </w:r>
      <w:r/>
    </w:p>
    <w:p>
      <w:pPr>
        <w:pStyle w:val="1298"/>
        <w:ind w:firstLine="480"/>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16.1本次招标不收取投标保证金。</w:t>
      </w:r>
      <w:r>
        <w:rPr>
          <w:rFonts w:ascii="Times New Roman" w:hAnsi="Times New Roman" w:cs="Times New Roman"/>
          <w:color w:val="000000"/>
          <w:sz w:val="24"/>
          <w:szCs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17、投标有效期</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17.1</w:t>
      </w:r>
      <w:r>
        <w:rPr>
          <w:rFonts w:ascii="Times New Roman" w:hAnsi="Times New Roman"/>
          <w:bCs/>
          <w:color w:val="000000"/>
          <w:sz w:val="24"/>
          <w:highlight w:val="none"/>
        </w:rPr>
        <w:t xml:space="preserve"> 投标有效期为张家港禾达招投标咨询服务有限公司规定的开标之日后</w:t>
      </w:r>
      <w:r>
        <w:rPr>
          <w:rFonts w:ascii="Times New Roman" w:hAnsi="Times New Roman"/>
          <w:b/>
          <w:bCs/>
          <w:color w:val="000000"/>
          <w:sz w:val="24"/>
          <w:highlight w:val="none"/>
        </w:rPr>
        <w:t xml:space="preserve">九十（90）天</w:t>
      </w:r>
      <w:r>
        <w:rPr>
          <w:rFonts w:ascii="Times New Roman" w:hAnsi="Times New Roman"/>
          <w:bCs/>
          <w:color w:val="000000"/>
          <w:sz w:val="24"/>
          <w:highlight w:val="none"/>
        </w:rPr>
        <w:t xml:space="preserve">。投标有效期比规定短的将被视为非响应性投标而予以拒绝。</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17.2</w:t>
      </w:r>
      <w:r>
        <w:rPr>
          <w:rFonts w:ascii="Times New Roman" w:hAnsi="Times New Roman"/>
          <w:bCs/>
          <w:color w:val="000000"/>
          <w:sz w:val="24"/>
          <w:highlight w:val="none"/>
        </w:rPr>
        <w:t xml:space="preserve"> 在特殊情况下，张家港禾达招投标咨询服务有限公司于原投标有效期满之前，可向投标人提出延长投标有效期的要求。这种要求与答复均应采用书面形式。投标人可以拒绝张家港禾达招投标咨询服务有限公司的这一要求而放弃投标</w:t>
      </w:r>
      <w:r>
        <w:rPr>
          <w:rFonts w:ascii="Times New Roman" w:hAnsi="Times New Roman"/>
          <w:color w:val="000000"/>
          <w:sz w:val="24"/>
          <w:highlight w:val="none"/>
        </w:rPr>
        <w:t xml:space="preserve">。</w:t>
      </w:r>
      <w:r>
        <w:rPr>
          <w:rFonts w:ascii="Times New Roman" w:hAnsi="Times New Roman"/>
          <w:bCs/>
          <w:color w:val="000000"/>
          <w:sz w:val="24"/>
          <w:highlight w:val="none"/>
        </w:rPr>
        <w:t xml:space="preserve">同意延长投标有效期的投标人既不能要求也不允许修改其投标文件。</w:t>
      </w:r>
      <w:r>
        <w:rPr>
          <w:rFonts w:ascii="Times New Roman" w:hAnsi="Times New Roman"/>
          <w:bCs/>
          <w:color w:val="000000"/>
          <w:sz w:val="24"/>
          <w:highlight w:val="none"/>
        </w:rPr>
      </w:r>
      <w:r/>
    </w:p>
    <w:p>
      <w:pPr>
        <w:pStyle w:val="790"/>
        <w:ind w:firstLine="588"/>
        <w:spacing w:line="440" w:lineRule="exact"/>
        <w:shd w:val="clear" w:color="auto" w:fill="auto"/>
        <w:rPr>
          <w:rFonts w:ascii="Times New Roman" w:hAnsi="Times New Roman"/>
          <w:bCs/>
          <w:color w:val="000000"/>
          <w:sz w:val="24"/>
          <w:highlight w:val="none"/>
        </w:rPr>
      </w:pPr>
      <w:r>
        <w:rPr>
          <w:rFonts w:ascii="Times New Roman" w:hAnsi="Times New Roman"/>
          <w:color w:val="000000"/>
          <w:spacing w:val="7"/>
          <w:sz w:val="28"/>
          <w:highlight w:val="none"/>
        </w:rPr>
        <w:t xml:space="preserve">18、投标文件的签署</w:t>
      </w:r>
      <w:r>
        <w:rPr>
          <w:rFonts w:ascii="Times New Roman" w:hAnsi="Times New Roman"/>
          <w:bCs/>
          <w:color w:val="000000"/>
          <w:sz w:val="24"/>
          <w:highlight w:val="none"/>
        </w:rPr>
      </w:r>
      <w:r/>
    </w:p>
    <w:p>
      <w:pPr>
        <w:pStyle w:val="1327"/>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18.1 本招标文件所表述（指定）的公章是指法定名称章，不包括合同专用章、业务专用章等印章。</w:t>
      </w:r>
      <w:bookmarkStart w:id="31" w:name="_Hlt26954739"/>
      <w:r/>
      <w:bookmarkEnd w:id="31"/>
      <w:r/>
      <w:bookmarkStart w:id="32" w:name="_Hlt26954852"/>
      <w:r/>
      <w:bookmarkEnd w:id="32"/>
      <w:r/>
      <w:bookmarkStart w:id="33" w:name="EBfdb2e00cf1ee477a9cdb47d13b603829"/>
      <w:r/>
      <w:bookmarkEnd w:id="33"/>
      <w:r>
        <w:rPr>
          <w:rFonts w:eastAsia="宋体"/>
          <w:color w:val="000000"/>
          <w:spacing w:val="7"/>
          <w:highlight w:val="none"/>
        </w:rPr>
      </w:r>
      <w:r/>
    </w:p>
    <w:p>
      <w:pPr>
        <w:pStyle w:val="792"/>
        <w:jc w:val="left"/>
        <w:spacing w:before="0" w:after="0" w:line="440" w:lineRule="exact"/>
        <w:shd w:val="clear" w:color="auto" w:fill="auto"/>
        <w:rPr>
          <w:rFonts w:ascii="Times New Roman" w:hAnsi="Times New Roman" w:eastAsia="宋体"/>
          <w:b w:val="0"/>
          <w:bCs w:val="0"/>
          <w:color w:val="000000"/>
          <w:sz w:val="32"/>
          <w:szCs w:val="32"/>
          <w:highlight w:val="none"/>
        </w:rPr>
      </w:pPr>
      <w:r/>
      <w:bookmarkStart w:id="34" w:name="_Toc209797847"/>
      <w:r>
        <w:rPr>
          <w:rStyle w:val="1099"/>
          <w:rFonts w:ascii="Times New Roman" w:hAnsi="Times New Roman"/>
          <w:b/>
          <w:bCs/>
          <w:color w:val="000000"/>
          <w:highlight w:val="none"/>
        </w:rPr>
        <w:t xml:space="preserve">四、投标文件的制作、上传、递交</w:t>
      </w:r>
      <w:bookmarkEnd w:id="34"/>
      <w:r>
        <w:rPr>
          <w:rFonts w:ascii="Times New Roman" w:hAnsi="Times New Roman" w:eastAsia="宋体"/>
          <w:b w:val="0"/>
          <w:bCs w:val="0"/>
          <w:color w:val="000000"/>
          <w:sz w:val="32"/>
          <w:szCs w:val="32"/>
          <w:highlight w:val="none"/>
        </w:rPr>
      </w:r>
      <w:r/>
    </w:p>
    <w:p>
      <w:pPr>
        <w:pStyle w:val="1328"/>
        <w:ind w:firstLine="588"/>
        <w:spacing w:line="440" w:lineRule="exact"/>
        <w:shd w:val="clear" w:color="auto" w:fill="auto"/>
        <w:rPr>
          <w:rFonts w:eastAsia="宋体"/>
          <w:color w:val="000000"/>
          <w:spacing w:val="7"/>
          <w:sz w:val="28"/>
          <w:highlight w:val="none"/>
        </w:rPr>
        <w:outlineLvl w:val="3"/>
      </w:pPr>
      <w:r>
        <w:rPr>
          <w:rFonts w:eastAsia="宋体"/>
          <w:color w:val="000000"/>
          <w:spacing w:val="7"/>
          <w:sz w:val="28"/>
          <w:highlight w:val="none"/>
        </w:rPr>
        <w:t xml:space="preserve">19、投标文件的递交</w:t>
      </w:r>
      <w:r>
        <w:rPr>
          <w:rFonts w:eastAsia="宋体"/>
          <w:color w:val="000000"/>
          <w:spacing w:val="7"/>
          <w:sz w:val="28"/>
          <w:highlight w:val="none"/>
        </w:rPr>
      </w:r>
      <w:r/>
    </w:p>
    <w:p>
      <w:pPr>
        <w:pStyle w:val="13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19.1 电子投标文件的递交</w:t>
      </w:r>
      <w:r>
        <w:rPr>
          <w:rFonts w:eastAsia="宋体"/>
          <w:color w:val="000000"/>
          <w:spacing w:val="7"/>
          <w:highlight w:val="none"/>
        </w:rPr>
      </w:r>
      <w:r/>
    </w:p>
    <w:p>
      <w:pPr>
        <w:pStyle w:val="1328"/>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投标人应当按照《苏采云系统供应商操作手册》规定，在投标截止时间前制作并上传电子投标文件。</w:t>
      </w:r>
      <w:bookmarkStart w:id="35" w:name="EB5e78b12e89984a20ab881c475623475b"/>
      <w:r/>
      <w:bookmarkEnd w:id="35"/>
      <w:r>
        <w:rPr>
          <w:rFonts w:eastAsia="宋体"/>
          <w:color w:val="000000"/>
          <w:spacing w:val="7"/>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20、投标截止日期</w:t>
      </w:r>
      <w:r>
        <w:rPr>
          <w:rFonts w:ascii="Times New Roman" w:hAnsi="Times New Roman"/>
          <w:color w:val="000000"/>
          <w:sz w:val="28"/>
          <w:szCs w:val="28"/>
          <w:highlight w:val="none"/>
        </w:rPr>
      </w:r>
      <w:r/>
    </w:p>
    <w:p>
      <w:pPr>
        <w:pStyle w:val="132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20.1 投标人上传电子投标文件的时间不得迟于招标公告中规定的投标截止时间。</w:t>
      </w:r>
      <w:r>
        <w:rPr>
          <w:rFonts w:eastAsia="宋体"/>
          <w:color w:val="000000"/>
          <w:spacing w:val="7"/>
          <w:highlight w:val="none"/>
        </w:rPr>
      </w:r>
      <w:r/>
    </w:p>
    <w:p>
      <w:pPr>
        <w:pStyle w:val="132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投标人应充分考虑网络环境、网络带宽等风险因素，如因投标人自身原因造成的电子投标文件上传不成功由投标人自行承担全部责任。</w:t>
      </w:r>
      <w:bookmarkStart w:id="36" w:name="EB4c6421107b4c4e38bf2769d0237905a7"/>
      <w:r/>
      <w:bookmarkEnd w:id="36"/>
      <w:r>
        <w:rPr>
          <w:rFonts w:eastAsia="宋体"/>
          <w:color w:val="000000"/>
          <w:spacing w:val="7"/>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21、投标文件的递交</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21.1 张家港禾达招投标咨询服务有限公司拒绝接收在其规定的投标截止时间后递交的任何投标文件。</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22、投标文件的修改和撤回</w:t>
      </w:r>
      <w:r>
        <w:rPr>
          <w:rFonts w:ascii="Times New Roman" w:hAnsi="Times New Roman"/>
          <w:color w:val="000000"/>
          <w:sz w:val="28"/>
          <w:szCs w:val="28"/>
          <w:highlight w:val="none"/>
        </w:rPr>
      </w:r>
      <w:r/>
    </w:p>
    <w:p>
      <w:pPr>
        <w:pStyle w:val="133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22.1 投标人在递交投标文件后，可以修改或撤回其投标文件，但这种修改和撤回，必须在规定的投标截止时间前，具体操作方法见《苏采云系统供应商操作手册》。</w:t>
      </w:r>
      <w:r>
        <w:rPr>
          <w:rFonts w:eastAsia="宋体"/>
          <w:color w:val="000000"/>
          <w:spacing w:val="7"/>
          <w:highlight w:val="none"/>
        </w:rPr>
      </w:r>
      <w:r/>
    </w:p>
    <w:p>
      <w:pPr>
        <w:pStyle w:val="133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22.2 投标人撤回电子投标文件，则认为其不再参与本项目投标活动。</w:t>
      </w:r>
      <w:r>
        <w:rPr>
          <w:rFonts w:eastAsia="宋体"/>
          <w:color w:val="000000"/>
          <w:spacing w:val="7"/>
          <w:highlight w:val="none"/>
        </w:rPr>
      </w:r>
      <w:r/>
    </w:p>
    <w:p>
      <w:pPr>
        <w:pStyle w:val="133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22.3 在投标截止时间之后，投标人不得对其电子投标文件作任何修改。</w:t>
      </w:r>
      <w:r>
        <w:rPr>
          <w:rFonts w:eastAsia="宋体"/>
          <w:color w:val="000000"/>
          <w:spacing w:val="7"/>
          <w:highlight w:val="none"/>
        </w:rPr>
      </w:r>
      <w:r/>
    </w:p>
    <w:p>
      <w:pPr>
        <w:pStyle w:val="133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22.4 在投标截止时间至招标文件中规定的投标有效期满之间的这段时间内，投标人不得撤销其投标。</w:t>
      </w:r>
      <w:r>
        <w:rPr>
          <w:rFonts w:eastAsia="宋体"/>
          <w:color w:val="000000"/>
          <w:spacing w:val="7"/>
          <w:highlight w:val="none"/>
        </w:rPr>
      </w:r>
      <w:r/>
    </w:p>
    <w:p>
      <w:pPr>
        <w:pStyle w:val="133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22.5 不论投标人中标与否，投标文件均不退回。</w:t>
      </w:r>
      <w:bookmarkStart w:id="37" w:name="EB7c302f080cf342679641097daf23b42b"/>
      <w:r/>
      <w:bookmarkEnd w:id="37"/>
      <w:r>
        <w:rPr>
          <w:rFonts w:eastAsia="宋体"/>
          <w:color w:val="000000"/>
          <w:spacing w:val="7"/>
          <w:highlight w:val="none"/>
        </w:rPr>
      </w:r>
      <w:r/>
    </w:p>
    <w:p>
      <w:pPr>
        <w:pStyle w:val="792"/>
        <w:jc w:val="left"/>
        <w:spacing w:before="0" w:after="0" w:line="440" w:lineRule="exact"/>
        <w:shd w:val="clear" w:color="auto" w:fill="auto"/>
        <w:rPr>
          <w:rStyle w:val="1099"/>
          <w:rFonts w:ascii="Times New Roman" w:hAnsi="Times New Roman"/>
          <w:b/>
          <w:bCs/>
          <w:color w:val="000000"/>
          <w:highlight w:val="none"/>
        </w:rPr>
      </w:pPr>
      <w:r/>
      <w:bookmarkStart w:id="38" w:name="_Toc209797848"/>
      <w:r>
        <w:rPr>
          <w:rStyle w:val="1099"/>
          <w:rFonts w:ascii="Times New Roman" w:hAnsi="Times New Roman"/>
          <w:b/>
          <w:bCs/>
          <w:color w:val="000000"/>
          <w:highlight w:val="none"/>
        </w:rPr>
        <w:t xml:space="preserve">五、开标与评标</w:t>
      </w:r>
      <w:bookmarkEnd w:id="38"/>
      <w:r>
        <w:rPr>
          <w:rStyle w:val="1099"/>
          <w:rFonts w:ascii="Times New Roman" w:hAnsi="Times New Roman"/>
          <w:b/>
          <w:bCs/>
          <w:color w:val="000000"/>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23、开标</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pacing w:val="7"/>
          <w:sz w:val="24"/>
          <w:highlight w:val="none"/>
        </w:rPr>
      </w:pPr>
      <w:r/>
      <w:bookmarkStart w:id="39" w:name="EB45a41a7a147945c0bb92535f2d40058d"/>
      <w:r/>
      <w:bookmarkEnd w:id="39"/>
      <w:r>
        <w:rPr>
          <w:rFonts w:ascii="Times New Roman" w:hAnsi="Times New Roman"/>
          <w:color w:val="000000"/>
          <w:spacing w:val="7"/>
          <w:sz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Times New Roman" w:hAnsi="Times New Roman"/>
          <w:color w:val="000000"/>
          <w:spacing w:val="7"/>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pacing w:val="7"/>
          <w:sz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24、评标委员会</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b/>
          <w:bCs/>
          <w:color w:val="000000"/>
          <w:sz w:val="24"/>
          <w:highlight w:val="none"/>
        </w:rPr>
      </w:pPr>
      <w:r>
        <w:rPr>
          <w:rFonts w:ascii="Times New Roman" w:hAnsi="Times New Roman"/>
          <w:color w:val="000000"/>
          <w:sz w:val="24"/>
          <w:highlight w:val="none"/>
        </w:rPr>
        <w:t xml:space="preserve">24.1</w:t>
      </w:r>
      <w:r>
        <w:rPr>
          <w:rFonts w:ascii="Times New Roman" w:hAnsi="Times New Roman"/>
          <w:b/>
          <w:bCs/>
          <w:color w:val="000000"/>
          <w:sz w:val="24"/>
          <w:highlight w:val="none"/>
        </w:rPr>
        <w:t xml:space="preserve"> </w:t>
      </w:r>
      <w:r>
        <w:rPr>
          <w:rFonts w:ascii="Times New Roman" w:hAnsi="Times New Roman"/>
          <w:color w:val="000000"/>
          <w:sz w:val="24"/>
          <w:highlight w:val="none"/>
        </w:rPr>
        <w:t xml:space="preserve">开标后，张家港禾达招投标咨询服务有限公司将立即组织评标委员会（以下简称评委会）进行评标。</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24.2 评委会由评审专家、采购人代表组成，且人员构成符合政府采购有关规定。</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24.4 评委会将对投标人的商业、技术秘密予以保密。</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25．评标过程的保密与公正</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color w:val="000000"/>
          <w:sz w:val="24"/>
          <w:highlight w:val="none"/>
        </w:rPr>
        <w:t xml:space="preserve">25.1 </w:t>
      </w:r>
      <w:r>
        <w:rPr>
          <w:rFonts w:ascii="Times New Roman" w:hAnsi="Times New Roman"/>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25.2 在评标过程中，如果投标人试图向张家港禾达招投标咨询服务有限公司和参与评标的人员施加任何影响，都将会导致其投标被拒绝。</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26．投标的澄清</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26.1 评标期间，为有助于对投标文件的审查、评价和比较，评委会有权要求投标人对其投标文件进行澄清，但并非对每个投标人都作澄清要求。</w:t>
      </w:r>
      <w:r>
        <w:rPr>
          <w:rFonts w:ascii="Times New Roman" w:hAnsi="Times New Roman"/>
          <w:color w:val="000000"/>
          <w:sz w:val="24"/>
          <w:highlight w:val="none"/>
        </w:rPr>
      </w:r>
      <w:r/>
    </w:p>
    <w:p>
      <w:pPr>
        <w:pStyle w:val="1332"/>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rPr>
          <w:rFonts w:eastAsia="宋体"/>
          <w:color w:val="000000"/>
          <w:spacing w:val="7"/>
          <w:highlight w:val="none"/>
        </w:rPr>
      </w:r>
      <w:r/>
    </w:p>
    <w:p>
      <w:pPr>
        <w:pStyle w:val="790"/>
        <w:ind w:firstLine="510"/>
        <w:spacing w:line="440" w:lineRule="exact"/>
        <w:shd w:val="clear" w:color="auto" w:fill="auto"/>
        <w:rPr>
          <w:rFonts w:ascii="Times New Roman" w:hAnsi="Times New Roman"/>
          <w:color w:val="000000"/>
          <w:szCs w:val="21"/>
          <w:highlight w:val="none"/>
        </w:rPr>
      </w:pPr>
      <w:r>
        <w:rPr>
          <w:rFonts w:ascii="Times New Roman" w:hAnsi="Times New Roman"/>
          <w:b/>
          <w:bCs/>
          <w:color w:val="000000"/>
          <w:spacing w:val="7"/>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ascii="Times New Roman" w:hAnsi="Times New Roman"/>
          <w:color w:val="000000"/>
          <w:spacing w:val="7"/>
          <w:sz w:val="24"/>
          <w:szCs w:val="24"/>
          <w:highlight w:val="none"/>
          <w:lang w:val="zh-CN"/>
        </w:rPr>
        <w:t xml:space="preserve">(此处规定时间的计算以系统中的倒计时间为准，供应商应随时保持系统在线，如因供应商自身原因未在规定时间内提交澄清确认资料的，导致的不利后果由供应商自行承担。）</w:t>
      </w:r>
      <w:r>
        <w:rPr>
          <w:rFonts w:ascii="Times New Roman" w:hAnsi="Times New Roman"/>
          <w:color w:val="000000"/>
          <w:szCs w:val="21"/>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26.3 接到评委会澄清要求的投标人如未按规定做出澄清，其风险由投标人自行承担。</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27、对投标文件的初审</w:t>
      </w:r>
      <w:r>
        <w:rPr>
          <w:rFonts w:ascii="Times New Roman" w:hAnsi="Times New Roman"/>
          <w:color w:val="000000"/>
          <w:sz w:val="28"/>
          <w:szCs w:val="28"/>
          <w:highlight w:val="none"/>
        </w:rPr>
      </w:r>
      <w:r/>
    </w:p>
    <w:p>
      <w:pPr>
        <w:pStyle w:val="790"/>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27.1 </w:t>
      </w:r>
      <w:r>
        <w:rPr>
          <w:rFonts w:ascii="Times New Roman" w:hAnsi="Times New Roman"/>
          <w:bCs/>
          <w:color w:val="000000"/>
          <w:sz w:val="24"/>
          <w:szCs w:val="24"/>
          <w:highlight w:val="none"/>
        </w:rPr>
        <w:t xml:space="preserve">投标文件初审分为资格审查和符合性审查。</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27.1.1 </w:t>
      </w:r>
      <w:r>
        <w:rPr>
          <w:rFonts w:ascii="Times New Roman" w:hAnsi="Times New Roman"/>
          <w:bCs/>
          <w:color w:val="000000"/>
          <w:sz w:val="24"/>
          <w:szCs w:val="24"/>
          <w:highlight w:val="none"/>
        </w:rPr>
        <w:t xml:space="preserve">资格性审查</w:t>
      </w:r>
      <w:r>
        <w:rPr>
          <w:rFonts w:ascii="Times New Roman" w:hAnsi="Times New Roman"/>
          <w:bCs/>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采购人或者采购代理机构依法对投标人的资格进行审查。</w:t>
      </w:r>
      <w:r>
        <w:rPr>
          <w:rFonts w:ascii="Times New Roman" w:hAnsi="Times New Roman"/>
          <w:color w:val="000000"/>
          <w:sz w:val="24"/>
          <w:szCs w:val="24"/>
          <w:highlight w:val="none"/>
        </w:rPr>
      </w:r>
      <w:r/>
    </w:p>
    <w:p>
      <w:pPr>
        <w:pStyle w:val="790"/>
        <w:ind w:firstLine="505"/>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w:t>
      </w:r>
      <w:r>
        <w:rPr>
          <w:rFonts w:ascii="Times New Roman" w:hAnsi="Times New Roman"/>
          <w:color w:val="000000"/>
          <w:sz w:val="24"/>
          <w:szCs w:val="24"/>
          <w:highlight w:val="none"/>
        </w:rPr>
        <w:t xml:space="preserve">1.1 </w:t>
      </w:r>
      <w:r>
        <w:rPr>
          <w:rFonts w:ascii="Times New Roman" w:hAnsi="Times New Roman"/>
          <w:color w:val="000000"/>
          <w:sz w:val="24"/>
          <w:szCs w:val="24"/>
          <w:highlight w:val="none"/>
          <w:lang w:val="zh-CN"/>
        </w:rPr>
        <w:t xml:space="preserve">关于信用查询：</w:t>
      </w:r>
      <w:r>
        <w:rPr>
          <w:rFonts w:ascii="Times New Roman" w:hAnsi="Times New Roman"/>
          <w:color w:val="000000"/>
          <w:sz w:val="24"/>
          <w:szCs w:val="24"/>
          <w:highlight w:val="none"/>
        </w:rPr>
      </w:r>
      <w:r/>
    </w:p>
    <w:p>
      <w:pPr>
        <w:pStyle w:val="790"/>
        <w:ind w:firstLine="505"/>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.1.1.1.1 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将对供应商进行信用查询。</w:t>
      </w:r>
      <w:r>
        <w:rPr>
          <w:rFonts w:ascii="Times New Roman" w:hAnsi="Times New Roman"/>
          <w:color w:val="000000"/>
          <w:sz w:val="24"/>
          <w:szCs w:val="24"/>
          <w:highlight w:val="none"/>
        </w:rPr>
      </w:r>
      <w:r/>
    </w:p>
    <w:p>
      <w:pPr>
        <w:pStyle w:val="790"/>
        <w:ind w:firstLine="505"/>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w:t>
      </w:r>
      <w:r>
        <w:rPr>
          <w:rFonts w:ascii="Times New Roman" w:hAnsi="Times New Roman"/>
          <w:color w:val="000000"/>
          <w:sz w:val="24"/>
          <w:szCs w:val="24"/>
          <w:highlight w:val="none"/>
        </w:rPr>
        <w:t xml:space="preserve">1.1.2 </w:t>
      </w:r>
      <w:r>
        <w:rPr>
          <w:rFonts w:ascii="Times New Roman" w:hAnsi="Times New Roman"/>
          <w:color w:val="000000"/>
          <w:sz w:val="24"/>
          <w:szCs w:val="24"/>
          <w:highlight w:val="none"/>
          <w:lang w:val="zh-CN"/>
        </w:rPr>
        <w:t xml:space="preserve">查询时间：投标文件递交截止时间。</w:t>
      </w:r>
      <w:r>
        <w:rPr>
          <w:rFonts w:ascii="Times New Roman" w:hAnsi="Times New Roman"/>
          <w:color w:val="000000"/>
          <w:sz w:val="24"/>
          <w:szCs w:val="24"/>
          <w:highlight w:val="none"/>
        </w:rPr>
      </w:r>
      <w:r/>
    </w:p>
    <w:p>
      <w:pPr>
        <w:pStyle w:val="790"/>
        <w:ind w:firstLine="505"/>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lang w:val="zh-CN"/>
        </w:rPr>
        <w:t xml:space="preserve">2</w:t>
      </w:r>
      <w:r>
        <w:rPr>
          <w:rFonts w:ascii="Times New Roman" w:hAnsi="Times New Roman"/>
          <w:color w:val="000000"/>
          <w:sz w:val="24"/>
          <w:szCs w:val="24"/>
          <w:highlight w:val="none"/>
        </w:rPr>
        <w:t xml:space="preserve">7</w:t>
      </w:r>
      <w:r>
        <w:rPr>
          <w:rFonts w:ascii="Times New Roman" w:hAnsi="Times New Roman"/>
          <w:color w:val="000000"/>
          <w:sz w:val="24"/>
          <w:szCs w:val="24"/>
          <w:highlight w:val="none"/>
          <w:lang w:val="zh-CN"/>
        </w:rPr>
        <w:t xml:space="preserve">.1.1.1.</w:t>
      </w:r>
      <w:r>
        <w:rPr>
          <w:rFonts w:ascii="Times New Roman" w:hAnsi="Times New Roman"/>
          <w:color w:val="000000"/>
          <w:sz w:val="24"/>
          <w:szCs w:val="24"/>
          <w:highlight w:val="none"/>
        </w:rPr>
        <w:t xml:space="preserve">3 </w:t>
      </w:r>
      <w:r>
        <w:rPr>
          <w:rFonts w:ascii="Times New Roman" w:hAnsi="Times New Roman"/>
          <w:color w:val="000000"/>
          <w:sz w:val="24"/>
          <w:szCs w:val="24"/>
          <w:highlight w:val="none"/>
          <w:lang w:val="zh-CN"/>
        </w:rPr>
        <w:t xml:space="preserve">查询渠道：通过“信用中国”网站等渠道查询相关主体信用记录。</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27.1.2 </w:t>
      </w:r>
      <w:r>
        <w:rPr>
          <w:rFonts w:ascii="Times New Roman" w:hAnsi="Times New Roman"/>
          <w:bCs/>
          <w:color w:val="000000"/>
          <w:sz w:val="24"/>
          <w:szCs w:val="24"/>
          <w:highlight w:val="none"/>
        </w:rPr>
        <w:t xml:space="preserve">符合性审查：</w:t>
      </w:r>
      <w:r>
        <w:rPr>
          <w:rFonts w:ascii="Times New Roman" w:hAnsi="Times New Roman"/>
          <w:bCs/>
          <w:color w:val="000000"/>
          <w:sz w:val="24"/>
          <w:szCs w:val="24"/>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依据招标文件的规定，由评委会对投标文件进行审查，以确定是否对招标文件的实质性要求作出响应。</w:t>
      </w:r>
      <w:r>
        <w:rPr>
          <w:rFonts w:ascii="Times New Roman" w:hAnsi="Times New Roman"/>
          <w:bCs/>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ascii="Times New Roman" w:hAnsi="Times New Roman"/>
          <w:bCs/>
          <w:color w:val="000000"/>
          <w:sz w:val="24"/>
          <w:szCs w:val="24"/>
          <w:highlight w:val="none"/>
        </w:rPr>
        <w:t xml:space="preserve">评委会决定投标文件的响应性只根据投标文件本身的内容，而不寻求外部的证据。</w:t>
      </w:r>
      <w:r>
        <w:rPr>
          <w:rFonts w:ascii="Times New Roman" w:hAnsi="Times New Roman"/>
          <w:bCs/>
          <w:color w:val="000000"/>
          <w:sz w:val="24"/>
          <w:szCs w:val="24"/>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27.3 </w:t>
      </w:r>
      <w:r>
        <w:rPr>
          <w:rFonts w:ascii="Times New Roman" w:hAnsi="Times New Roman"/>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ascii="Times New Roman" w:hAnsi="Times New Roman"/>
          <w:bCs/>
          <w:color w:val="000000"/>
          <w:sz w:val="24"/>
          <w:szCs w:val="24"/>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color w:val="000000"/>
          <w:sz w:val="24"/>
          <w:szCs w:val="24"/>
          <w:highlight w:val="none"/>
        </w:rPr>
        <w:t xml:space="preserve">27.4 投标文件报价出现前后不一致的，按下列规定修正：</w:t>
      </w:r>
      <w:r>
        <w:rPr>
          <w:rFonts w:ascii="Times New Roman" w:hAnsi="Times New Roman"/>
          <w:bCs/>
          <w:color w:val="000000"/>
          <w:sz w:val="24"/>
          <w:szCs w:val="24"/>
          <w:highlight w:val="none"/>
        </w:rPr>
        <w:t xml:space="preserve"> </w:t>
      </w:r>
      <w:r>
        <w:rPr>
          <w:rFonts w:ascii="Times New Roman" w:hAnsi="Times New Roman"/>
          <w:bCs/>
          <w:color w:val="000000"/>
          <w:sz w:val="24"/>
          <w:szCs w:val="24"/>
          <w:highlight w:val="none"/>
        </w:rPr>
      </w:r>
      <w:r/>
    </w:p>
    <w:p>
      <w:pPr>
        <w:pStyle w:val="790"/>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（1）投标文件中开标一览表（报价表）内容与投标文件中相应内容不一致的，以开标一览表（报价表）为准；</w:t>
      </w:r>
      <w:r>
        <w:rPr>
          <w:rFonts w:ascii="Times New Roman" w:hAnsi="Times New Roman"/>
          <w:color w:val="000000"/>
          <w:sz w:val="24"/>
          <w:szCs w:val="24"/>
          <w:highlight w:val="none"/>
        </w:rPr>
      </w:r>
      <w:r/>
    </w:p>
    <w:p>
      <w:pPr>
        <w:pStyle w:val="790"/>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（2）大写金额和小写金额不一致的，以大写金额为准；</w:t>
      </w:r>
      <w:r>
        <w:rPr>
          <w:rFonts w:ascii="Times New Roman" w:hAnsi="Times New Roman"/>
          <w:color w:val="000000"/>
          <w:sz w:val="24"/>
          <w:szCs w:val="24"/>
          <w:highlight w:val="none"/>
        </w:rPr>
      </w:r>
      <w:r/>
    </w:p>
    <w:p>
      <w:pPr>
        <w:pStyle w:val="790"/>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（3）单价金额小数点或者百分比有明显错位的，以开标一览表的总价为准，并修改单价；</w:t>
      </w:r>
      <w:r>
        <w:rPr>
          <w:rFonts w:ascii="Times New Roman" w:hAnsi="Times New Roman"/>
          <w:color w:val="000000"/>
          <w:sz w:val="24"/>
          <w:szCs w:val="24"/>
          <w:highlight w:val="none"/>
        </w:rPr>
      </w:r>
      <w:r/>
    </w:p>
    <w:p>
      <w:pPr>
        <w:pStyle w:val="790"/>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（4）总价金额与按单价汇总金额不一致的，以单价金额计算结果为准。</w:t>
      </w:r>
      <w:r>
        <w:rPr>
          <w:rFonts w:ascii="Times New Roman" w:hAnsi="Times New Roman"/>
          <w:color w:val="000000"/>
          <w:sz w:val="24"/>
          <w:szCs w:val="24"/>
          <w:highlight w:val="none"/>
        </w:rPr>
      </w:r>
      <w:r/>
    </w:p>
    <w:p>
      <w:pPr>
        <w:pStyle w:val="790"/>
        <w:ind w:firstLine="480"/>
        <w:jc w:val="left"/>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同时出现两种以上不一致的，按照前款规定的顺序修正。修正后的报价按照财政部87号令第五十一条第二款的规定经投标人确认后产生约束力。</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27.5 评委会将允许修正投标文件中不构成重大偏离的、微小的、非正规的、不一致的或不规则的地方，但这些修改不能影响任何投标人相应的名次排列。</w:t>
      </w:r>
      <w:bookmarkStart w:id="40" w:name="EB8e3ec86c09a94dac9cc9034e6027ee19"/>
      <w:r/>
      <w:bookmarkEnd w:id="40"/>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8"/>
          <w:szCs w:val="28"/>
          <w:highlight w:val="none"/>
        </w:rPr>
      </w:pPr>
      <w:r>
        <w:rPr>
          <w:rFonts w:ascii="Times New Roman" w:hAnsi="Times New Roman"/>
          <w:color w:val="000000"/>
          <w:sz w:val="28"/>
          <w:szCs w:val="28"/>
          <w:highlight w:val="none"/>
        </w:rPr>
        <w:t xml:space="preserve">28、启动异常低价投标（响应）审查的情形和要求</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pacing w:val="7"/>
          <w:sz w:val="24"/>
          <w:szCs w:val="24"/>
          <w:highlight w:val="none"/>
        </w:rPr>
      </w:pPr>
      <w:r>
        <w:rPr>
          <w:rFonts w:ascii="Times New Roman" w:hAnsi="Times New Roman"/>
          <w:color w:val="000000"/>
          <w:spacing w:val="7"/>
          <w:sz w:val="24"/>
          <w:szCs w:val="24"/>
          <w:highlight w:val="none"/>
        </w:rPr>
        <w:t xml:space="preserve">28.1 评审过程中出现下列情形之一的，评审委员会应当启动异常低价投标（响应）审查程序：</w:t>
      </w:r>
      <w:r>
        <w:rPr>
          <w:rFonts w:ascii="Times New Roman" w:hAnsi="Times New Roman"/>
          <w:color w:val="000000"/>
          <w:spacing w:val="7"/>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（1）投标（响应）报价低于全部通过符合性审查供应商投标（响应）报价平均值</w:t>
      </w:r>
      <w:r>
        <w:rPr>
          <w:rFonts w:hint="eastAsia" w:ascii="Times New Roman" w:hAnsi="Times New Roman"/>
          <w:color w:val="000000"/>
          <w:sz w:val="24"/>
          <w:szCs w:val="24"/>
          <w:highlight w:val="none"/>
        </w:rPr>
        <w:t xml:space="preserve">50</w:t>
      </w:r>
      <w:r>
        <w:rPr>
          <w:rFonts w:ascii="Times New Roman" w:hAnsi="Times New Roman"/>
          <w:color w:val="000000"/>
          <w:sz w:val="24"/>
          <w:szCs w:val="24"/>
          <w:highlight w:val="none"/>
        </w:rPr>
        <w:t xml:space="preserve">%的，即投标（响应）报价＜全部通过符合性审查供应商投标（响应）报价平均值×</w:t>
      </w:r>
      <w:r>
        <w:rPr>
          <w:rFonts w:hint="eastAsia" w:ascii="Times New Roman" w:hAnsi="Times New Roman"/>
          <w:color w:val="000000"/>
          <w:sz w:val="24"/>
          <w:szCs w:val="24"/>
          <w:highlight w:val="none"/>
        </w:rPr>
        <w:t xml:space="preserve">50</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（2）投标（响应）报价低于通过符合性审查的次低报价供应商投标（响应）报价</w:t>
      </w:r>
      <w:r>
        <w:rPr>
          <w:rFonts w:hint="eastAsia" w:ascii="Times New Roman" w:hAnsi="Times New Roman"/>
          <w:color w:val="000000"/>
          <w:sz w:val="24"/>
          <w:szCs w:val="24"/>
          <w:highlight w:val="none"/>
        </w:rPr>
        <w:t xml:space="preserve">50</w:t>
      </w:r>
      <w:r>
        <w:rPr>
          <w:rFonts w:ascii="Times New Roman" w:hAnsi="Times New Roman"/>
          <w:color w:val="000000"/>
          <w:sz w:val="24"/>
          <w:szCs w:val="24"/>
          <w:highlight w:val="none"/>
        </w:rPr>
        <w:t xml:space="preserve">%的，即投标（响应）报价＜通过符合性审查的次低报价供应商投标（响应）报价×</w:t>
      </w:r>
      <w:r>
        <w:rPr>
          <w:rFonts w:hint="eastAsia" w:ascii="Times New Roman" w:hAnsi="Times New Roman"/>
          <w:color w:val="000000"/>
          <w:sz w:val="24"/>
          <w:szCs w:val="24"/>
          <w:highlight w:val="none"/>
        </w:rPr>
        <w:t xml:space="preserve">50</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（3）投标（响应）报价低于采购项目最高限价</w:t>
      </w:r>
      <w:r>
        <w:rPr>
          <w:rFonts w:hint="eastAsia" w:ascii="Times New Roman" w:hAnsi="Times New Roman"/>
          <w:color w:val="000000"/>
          <w:sz w:val="24"/>
          <w:szCs w:val="24"/>
          <w:highlight w:val="none"/>
        </w:rPr>
        <w:t xml:space="preserve">4</w:t>
      </w:r>
      <w:r>
        <w:rPr>
          <w:rFonts w:ascii="Times New Roman" w:hAnsi="Times New Roman"/>
          <w:color w:val="000000"/>
          <w:sz w:val="24"/>
          <w:szCs w:val="24"/>
          <w:highlight w:val="none"/>
        </w:rPr>
        <w:t xml:space="preserve">5%的，即投标（响应）报价＜采购项目最高限价×65%。</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（4）评审委员会基于专业判断，认为供应商报价过低，有可能影响产品质量或者不能诚信履约的其他情形。</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28.3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28.4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28.5 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color w:val="000000"/>
          <w:sz w:val="24"/>
          <w:szCs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29、无效投标条款和废标条款</w:t>
      </w:r>
      <w:r>
        <w:rPr>
          <w:rFonts w:ascii="Times New Roman" w:hAnsi="Times New Roman"/>
          <w:color w:val="000000"/>
          <w:sz w:val="28"/>
          <w:szCs w:val="28"/>
          <w:highlight w:val="none"/>
        </w:rPr>
      </w:r>
      <w:r/>
    </w:p>
    <w:p>
      <w:pPr>
        <w:pStyle w:val="1339"/>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29.1 无效投标条款</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（1）投标人未按照招标文件要求上传电子投标文件的；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（2）投标人在规定时间内不解密投标文件或未成功解密投标文件的（因系统原因导致的除外)；</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（3）投标文件中没有《开标一览表》或《开标一览表》未加盖投标人公章的；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（4）投标文件中任何有选择的报价；</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（5）投标文件报价出现前后不一致的，按招标文件规定修正后投标人不确认的；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（6）不同投标人的投标文件由同一单位或者个人编制；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（7）不同投标人委托同一单位或者个人办理投标事宜；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（8）不同投标人的投标文件载明的项目管理成员或者联系人员为同一人；</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（9）不同投标人的投标文件异常一致或者投标报价呈规律性差异；</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（10）不同投标人的投标文件制作机器码（包括但不限于IP地址、MAC地址、标书制作工具客户端标识码等）一致的；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11）评委会认定投标人的报价明显低于其他通过符合性审查投标人的报价，有可能影响产品质量或者不能诚信履约，且投标人不能应评委会要求在评标现场合理的时间内提供书面说明，必要时评标委员会可要求投标人提交相关证明材料，证明其报价合理性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（12）凡“节能产品政府采购品目清单”中以</w:t>
      </w:r>
      <w:r>
        <w:rPr>
          <w:rFonts w:ascii="Segoe UI Symbol" w:hAnsi="Segoe UI Symbol" w:eastAsia="宋体" w:cs="Segoe UI Symbol"/>
          <w:color w:val="000000"/>
          <w:spacing w:val="7"/>
          <w:highlight w:val="none"/>
        </w:rPr>
        <w:t xml:space="preserve">★</w:t>
      </w:r>
      <w:r>
        <w:rPr>
          <w:rFonts w:eastAsia="宋体"/>
          <w:color w:val="000000"/>
          <w:spacing w:val="7"/>
          <w:highlight w:val="none"/>
        </w:rPr>
        <w:t xml:space="preserve">标注的政府强制采购产品，投标文件中未提供国家确定的认证机构出具的、处于有效期之内的节能产品认证证书的（若证书有附件（附录）的，附件（附录）须随证书一起提供)；</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（13）供应商被列入失信被执行人名单、重大税收违法案件当事人名单、政府采购严重违法失信行为记录名单以及其他不符合《中华人民共和国政府采购法》第二十二条规定条件的信用记录的；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（14）不同供应商的单位负责人为同一人或者存在直接控股、管理关系的；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（15）为采购项目提供整体设计、规范编制或者项目管理、监理、检测等服务的；</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（16）资格证明文件中要求加盖公章而未加盖公章的；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（17）投标文件未按招标文件要求签署、盖章的；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（18）不具备招标文件中规定的资格要求或未按招标文件规定的要求提供资格证明文件的；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（19）报价超过招标文件中规定的预算金额或者最高限价的；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（20）投标文件含有采购人不能接受的附加条件的；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（21）不响应招标文件中规定的实质性要求的（本招标文件中斜体且有下划线部分为实质性要求）； </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（22）法律、法规和采购文件规定的其他无效情形。</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29.2 废标条款：</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（1）符合专业条件的供应商或者对招标文件作实质响应的供应商不足三家的； </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（2）出现影响采购公正的违法、违规行为的；</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（3）投标人的报价均超过了采购预算，采购人不能支付的；</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（4）因重大变故，采购任务取消的；</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（5）因苏采云系统故障原因造成开标不成功的。</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29.3 投标截止时间结束后参加投标的供应商不足三家的处理：</w:t>
      </w:r>
      <w:r>
        <w:rPr>
          <w:rFonts w:eastAsia="宋体"/>
          <w:color w:val="000000"/>
          <w:spacing w:val="7"/>
          <w:highlight w:val="none"/>
        </w:rPr>
      </w:r>
      <w:r/>
    </w:p>
    <w:p>
      <w:pPr>
        <w:pStyle w:val="1341"/>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（1）如出现投标截止时间结束后参加投标的供应商或者在评标期间对招标文件做出实质响应的供应商不足三家情况，按财政部第87号令第四十三条的规定执行。</w:t>
      </w:r>
      <w:bookmarkStart w:id="41" w:name="EB369a3ca3706348fd9a6451dab4968a5b"/>
      <w:r/>
      <w:bookmarkEnd w:id="41"/>
      <w:r>
        <w:rPr>
          <w:rFonts w:eastAsia="宋体"/>
          <w:color w:val="000000"/>
          <w:spacing w:val="7"/>
          <w:highlight w:val="none"/>
        </w:rPr>
      </w:r>
      <w:r/>
    </w:p>
    <w:p>
      <w:pPr>
        <w:pStyle w:val="792"/>
        <w:jc w:val="left"/>
        <w:spacing w:before="0" w:after="0" w:line="440" w:lineRule="exact"/>
        <w:shd w:val="clear" w:color="auto" w:fill="auto"/>
        <w:rPr>
          <w:rStyle w:val="1099"/>
          <w:rFonts w:ascii="Times New Roman" w:hAnsi="Times New Roman"/>
          <w:b/>
          <w:bCs/>
          <w:color w:val="000000"/>
          <w:highlight w:val="none"/>
        </w:rPr>
      </w:pPr>
      <w:r/>
      <w:bookmarkStart w:id="42" w:name="_Toc209797849"/>
      <w:r>
        <w:rPr>
          <w:rStyle w:val="1099"/>
          <w:rFonts w:ascii="Times New Roman" w:hAnsi="Times New Roman"/>
          <w:b/>
          <w:bCs/>
          <w:color w:val="000000"/>
          <w:highlight w:val="none"/>
        </w:rPr>
        <w:t xml:space="preserve">六、定标</w:t>
      </w:r>
      <w:bookmarkEnd w:id="42"/>
      <w:r>
        <w:rPr>
          <w:rStyle w:val="1099"/>
          <w:rFonts w:ascii="Times New Roman" w:hAnsi="Times New Roman"/>
          <w:b/>
          <w:bCs/>
          <w:color w:val="000000"/>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30、确定中标单位</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30.1 评委会根据本招标文件规定</w:t>
      </w:r>
      <w:r>
        <w:rPr>
          <w:rFonts w:hint="eastAsia" w:ascii="Times New Roman" w:hAnsi="Times New Roman"/>
          <w:bCs/>
          <w:color w:val="000000"/>
          <w:sz w:val="24"/>
          <w:highlight w:val="none"/>
        </w:rPr>
        <w:t xml:space="preserve">的</w:t>
      </w:r>
      <w:r>
        <w:rPr>
          <w:rFonts w:ascii="Times New Roman" w:hAnsi="Times New Roman"/>
          <w:bCs/>
          <w:color w:val="000000"/>
          <w:sz w:val="24"/>
          <w:highlight w:val="none"/>
        </w:rPr>
        <w:t xml:space="preserve">评标办法与评标标准向采购人推荐出3名中标候选人。</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30.2 采购人应根据评委会推荐的中标候选人确定中标人。</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30.3 </w:t>
      </w:r>
      <w:r>
        <w:rPr>
          <w:rFonts w:ascii="Times New Roman" w:hAnsi="Times New Roman"/>
          <w:color w:val="000000"/>
          <w:sz w:val="24"/>
          <w:highlight w:val="none"/>
        </w:rPr>
        <w:t xml:space="preserve">自中标人确定之日起2个工作日内，中标结果将在省级以上财政部门指定的媒体上进行公告，公告期限为1个工作日。</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30.4 若有充分证据证明，中标人出现下列情况之一的，一经查实，中标无效：</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（1）提供虚假材料谋取中标的；</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（2）采取不正当手段诋毁、排挤其他供应商的；</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（3）与采购人、其他供应商或者采购代理机构恶意串通的；</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（4）向采购人、采购代理机构行贿或者提供其他不正当利益的；</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（5）在招标采购过程中与采购人进行协商谈判的；</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lang w:val="zh-CN"/>
        </w:rPr>
        <w:t xml:space="preserve">（6）向评标委员会行贿或者提供其他不正当利益。</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31、质疑</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31.1 质疑形式</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禾达招投标咨询服务有限公司提出）。非书面形式、七个工作日之外提交的质疑将不予受理。</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（2）质疑必须按《政府采购法》、《政府采购法实施条例》及财政部94号令的相关规定提交，未按上述要求提交的质疑函张家港禾达招投标咨询服务有限公司有权不予受理。</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（3）质疑函应当包括下列内容：</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1）供应商的姓名或者名称、地址、邮编、联系人及联系电话；</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2）质疑项目的名称、编号；</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3）具体、明确的质疑事项和与质疑事项相关的请求；</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4）事实依据；</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5）必要的法律依据；</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6）提出质疑的日期。</w:t>
      </w:r>
      <w:r>
        <w:rPr>
          <w:rFonts w:ascii="Times New Roman" w:hAnsi="Times New Roman"/>
          <w:color w:val="000000"/>
          <w:sz w:val="24"/>
          <w:szCs w:val="24"/>
          <w:highlight w:val="none"/>
        </w:rPr>
      </w:r>
      <w:r/>
    </w:p>
    <w:p>
      <w:pPr>
        <w:pStyle w:val="1333"/>
        <w:ind w:firstLine="480"/>
        <w:spacing w:line="440" w:lineRule="exact"/>
        <w:shd w:val="clear" w:color="auto" w:fill="auto"/>
        <w:rPr>
          <w:rFonts w:eastAsia="宋体"/>
          <w:color w:val="000000"/>
          <w:spacing w:val="7"/>
          <w:highlight w:val="none"/>
        </w:rPr>
      </w:pPr>
      <w:r>
        <w:rPr>
          <w:rFonts w:eastAsia="宋体"/>
          <w:color w:val="000000"/>
          <w:highlight w:val="none"/>
        </w:rPr>
        <w:t xml:space="preserve">（4）</w:t>
      </w:r>
      <w:r>
        <w:rPr>
          <w:rFonts w:eastAsia="宋体"/>
          <w:color w:val="000000"/>
          <w:spacing w:val="7"/>
          <w:highlight w:val="none"/>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rPr>
          <w:rFonts w:eastAsia="宋体"/>
          <w:color w:val="000000"/>
          <w:highlight w:val="none"/>
        </w:rPr>
        <w:t xml:space="preserve">匿名提交的质疑将不予受理。</w:t>
      </w:r>
      <w:r>
        <w:rPr>
          <w:rFonts w:eastAsia="宋体"/>
          <w:color w:val="000000"/>
          <w:spacing w:val="7"/>
          <w:highlight w:val="none"/>
        </w:rPr>
      </w:r>
      <w:r/>
    </w:p>
    <w:p>
      <w:pPr>
        <w:pStyle w:val="1333"/>
        <w:ind w:firstLine="499"/>
        <w:spacing w:line="440" w:lineRule="exact"/>
        <w:shd w:val="clear" w:color="auto" w:fill="auto"/>
        <w:rPr>
          <w:rFonts w:eastAsia="宋体"/>
          <w:color w:val="000000"/>
          <w:spacing w:val="7"/>
          <w:highlight w:val="none"/>
        </w:rPr>
      </w:pPr>
      <w:r>
        <w:rPr>
          <w:rFonts w:eastAsia="宋体"/>
          <w:color w:val="000000"/>
          <w:spacing w:val="7"/>
          <w:highlight w:val="none"/>
        </w:rPr>
        <w:t xml:space="preserve">（5）供应商提交的质疑函必须按照《政府采购供应商质疑函范本》要求的格式和内容进行填写，质疑函范本下载网址详见链接：https://czju.suzhou.gov.cn/zfcg/html/content/20180305093615738.shtml。</w:t>
      </w:r>
      <w:r>
        <w:rPr>
          <w:rFonts w:eastAsia="宋体"/>
          <w:color w:val="000000"/>
          <w:spacing w:val="7"/>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（6）质疑的送达方式</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1）质疑函应采用邮寄送达或直接送达的方式递交，具体联系方式详见招标公告。采用其他方式送达（含传真、电子邮件等）的，张家港禾达招投标咨询服务有限公司有权不予受理。</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31.2 特别提示</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（1）根据财政部94号令第十一条规定，提出质疑的供应商应当是参与所质疑项目采购活动的供应商。</w:t>
      </w:r>
      <w:r>
        <w:rPr>
          <w:rFonts w:ascii="Times New Roman" w:hAnsi="Times New Roman"/>
          <w:b/>
          <w:bCs/>
          <w:color w:val="000000"/>
          <w:sz w:val="24"/>
          <w:szCs w:val="24"/>
          <w:highlight w:val="none"/>
        </w:rPr>
        <w:t xml:space="preserve">因此凡是对招标文件提出质疑的供应商，必须是依法获取招标文件，请将合法获取招标文件的证明材料（即《投标供应商确认函》）与质疑函一起递交，并提供《投标供应商确认函》签章日期（右击签章位置即可）截图，否则不予受理。</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（2）供应商在法定质疑期内应一次性提出针对同一采购程序环节的质疑。</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供应商提出质疑必须有理、有据，不得恶意质疑或提交虚假质疑。否则，一经查实，采购人或张家港禾达招投标咨询服务有限公司有权依据政府采购的有关规定，报请政府采购监管部门对该投标人进行相应的行政处罚。</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31.3 其他</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8"/>
          <w:szCs w:val="28"/>
          <w:highlight w:val="none"/>
        </w:rPr>
      </w:pPr>
      <w:r>
        <w:rPr>
          <w:rFonts w:ascii="Times New Roman" w:hAnsi="Times New Roman"/>
          <w:color w:val="000000"/>
          <w:sz w:val="24"/>
          <w:szCs w:val="24"/>
          <w:highlight w:val="none"/>
        </w:rPr>
        <w:t xml:space="preserve">（1）采购人或张家港禾达招投标咨询服务有限公司将在收到供应商的质疑后七个工作日内作出答复，答复的内容不涉及商业秘密。</w:t>
      </w:r>
      <w:r>
        <w:rPr>
          <w:rFonts w:ascii="Times New Roman" w:hAnsi="Times New Roman"/>
          <w:color w:val="000000"/>
          <w:sz w:val="28"/>
          <w:szCs w:val="28"/>
          <w:highlight w:val="none"/>
        </w:rPr>
      </w:r>
      <w:r/>
    </w:p>
    <w:p>
      <w:pPr>
        <w:pStyle w:val="790"/>
        <w:ind w:firstLine="560"/>
        <w:keepLines/>
        <w:keepNext/>
        <w:spacing w:line="440" w:lineRule="exact"/>
        <w:shd w:val="clear" w:color="auto" w:fill="auto"/>
        <w:rPr>
          <w:rFonts w:ascii="Times New Roman" w:hAnsi="Times New Roman"/>
          <w:color w:val="000000"/>
          <w:sz w:val="28"/>
          <w:szCs w:val="28"/>
          <w:highlight w:val="none"/>
        </w:rPr>
        <w:outlineLvl w:val="3"/>
      </w:pPr>
      <w:r>
        <w:rPr>
          <w:rFonts w:ascii="Times New Roman" w:hAnsi="Times New Roman"/>
          <w:color w:val="000000"/>
          <w:sz w:val="28"/>
          <w:szCs w:val="28"/>
          <w:highlight w:val="none"/>
        </w:rPr>
        <w:t xml:space="preserve">32、中标通知书</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highlight w:val="none"/>
        </w:rPr>
        <w:t xml:space="preserve">（1）在中标结果确定后2个工作日内，张家港禾达招投标咨询服务有限公司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ascii="Times New Roman" w:hAnsi="Times New Roman"/>
          <w:color w:val="000000"/>
          <w:sz w:val="24"/>
          <w:highlight w:val="none"/>
        </w:rPr>
      </w:r>
      <w:r/>
    </w:p>
    <w:p>
      <w:pPr>
        <w:pStyle w:val="790"/>
        <w:spacing w:line="440" w:lineRule="exact"/>
        <w:shd w:val="clear" w:color="auto" w:fill="auto"/>
        <w:rPr>
          <w:rFonts w:ascii="Times New Roman" w:hAnsi="Times New Roman"/>
          <w:b/>
          <w:color w:val="000000"/>
          <w:sz w:val="32"/>
          <w:szCs w:val="32"/>
          <w:highlight w:val="none"/>
        </w:rPr>
        <w:outlineLvl w:val="1"/>
      </w:pPr>
      <w:r/>
      <w:bookmarkStart w:id="43" w:name="_Toc209797850"/>
      <w:r>
        <w:rPr>
          <w:rFonts w:ascii="Times New Roman" w:hAnsi="Times New Roman"/>
          <w:b/>
          <w:color w:val="000000"/>
          <w:sz w:val="32"/>
          <w:szCs w:val="32"/>
          <w:highlight w:val="none"/>
        </w:rPr>
        <w:t xml:space="preserve">七、授予合同</w:t>
      </w:r>
      <w:bookmarkEnd w:id="43"/>
      <w:r>
        <w:rPr>
          <w:rFonts w:ascii="Times New Roman" w:hAnsi="Times New Roman"/>
          <w:b/>
          <w:color w:val="000000"/>
          <w:sz w:val="32"/>
          <w:szCs w:val="32"/>
          <w:highlight w:val="none"/>
        </w:rPr>
      </w:r>
      <w:r/>
    </w:p>
    <w:p>
      <w:pPr>
        <w:pStyle w:val="790"/>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33、签订合同</w:t>
      </w:r>
      <w:r>
        <w:rPr>
          <w:rFonts w:ascii="Times New Roman" w:hAnsi="Times New Roman"/>
          <w:bCs/>
          <w:color w:val="000000"/>
          <w:sz w:val="28"/>
          <w:szCs w:val="28"/>
          <w:highlight w:val="none"/>
        </w:rPr>
      </w:r>
      <w:r/>
    </w:p>
    <w:p>
      <w:pPr>
        <w:pStyle w:val="790"/>
        <w:ind w:firstLine="480"/>
        <w:spacing w:line="440" w:lineRule="exact"/>
        <w:shd w:val="clear" w:color="auto" w:fill="auto"/>
        <w:rPr>
          <w:rFonts w:ascii="Times New Roman" w:hAnsi="Times New Roman"/>
          <w:b/>
          <w:color w:val="000000"/>
          <w:sz w:val="24"/>
          <w:highlight w:val="none"/>
        </w:rPr>
      </w:pPr>
      <w:r>
        <w:rPr>
          <w:rFonts w:ascii="Times New Roman" w:hAnsi="Times New Roman"/>
          <w:bCs/>
          <w:color w:val="000000"/>
          <w:sz w:val="24"/>
          <w:highlight w:val="none"/>
        </w:rPr>
        <w:t xml:space="preserve">33.l </w:t>
      </w:r>
      <w:r>
        <w:rPr>
          <w:rFonts w:ascii="Times New Roman" w:hAnsi="Times New Roman"/>
          <w:b/>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ascii="Times New Roman" w:hAnsi="Times New Roman"/>
          <w:b/>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33.2 招标文件、中标人的投标文件及招标过程中有关澄清、承诺文件均应作为合同附件。</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bCs/>
          <w:color w:val="000000"/>
          <w:sz w:val="24"/>
          <w:highlight w:val="none"/>
        </w:rPr>
        <w:t xml:space="preserve">33.3 签订合同后，中标人不得将货物及其他相关服务进行转包和分包</w:t>
      </w:r>
      <w:r>
        <w:rPr>
          <w:rFonts w:ascii="Times New Roman" w:hAnsi="Times New Roman"/>
          <w:color w:val="000000"/>
          <w:sz w:val="24"/>
          <w:highlight w:val="none"/>
        </w:rPr>
        <w:t xml:space="preserve">。</w:t>
      </w:r>
      <w:r>
        <w:rPr>
          <w:rFonts w:ascii="Times New Roman" w:hAnsi="Times New Roman"/>
          <w:color w:val="000000"/>
          <w:sz w:val="24"/>
          <w:highlight w:val="none"/>
        </w:rPr>
      </w:r>
      <w:r/>
    </w:p>
    <w:p>
      <w:pPr>
        <w:pStyle w:val="790"/>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34、履约保证金</w:t>
      </w:r>
      <w:r>
        <w:rPr>
          <w:rFonts w:ascii="Times New Roman" w:hAnsi="Times New Roman"/>
          <w:bCs/>
          <w:color w:val="000000"/>
          <w:sz w:val="28"/>
          <w:szCs w:val="28"/>
          <w:highlight w:val="none"/>
        </w:rPr>
      </w:r>
      <w:r/>
    </w:p>
    <w:p>
      <w:pPr>
        <w:pStyle w:val="1399"/>
        <w:ind w:firstLine="500"/>
        <w:spacing w:line="440" w:lineRule="exact"/>
        <w:shd w:val="clear" w:color="auto" w:fill="auto"/>
        <w:rPr>
          <w:rFonts w:eastAsia="宋体"/>
          <w:color w:val="000000"/>
          <w:spacing w:val="7"/>
          <w:highlight w:val="none"/>
        </w:rPr>
      </w:pPr>
      <w:r/>
      <w:bookmarkStart w:id="44" w:name="EB8c6891da72364e93a7598f4884fbe954"/>
      <w:r/>
      <w:bookmarkEnd w:id="44"/>
      <w:r>
        <w:rPr>
          <w:rFonts w:eastAsia="宋体"/>
          <w:color w:val="000000"/>
          <w:spacing w:val="7"/>
          <w:highlight w:val="none"/>
        </w:rPr>
        <w:t xml:space="preserve">34.1 合同签订前，中标人向采购单位交付的履约保证金为合同金额的</w:t>
      </w:r>
      <w:r>
        <w:rPr>
          <w:rFonts w:hint="eastAsia" w:eastAsia="宋体"/>
          <w:color w:val="000000"/>
          <w:spacing w:val="7"/>
          <w:highlight w:val="none"/>
          <w:lang w:val="en-US" w:eastAsia="zh-CN"/>
        </w:rPr>
        <w:t xml:space="preserve">0</w:t>
      </w:r>
      <w:r>
        <w:rPr>
          <w:rFonts w:eastAsia="宋体"/>
          <w:color w:val="000000"/>
          <w:spacing w:val="7"/>
          <w:highlight w:val="none"/>
        </w:rPr>
        <w:t xml:space="preserve">%。</w:t>
      </w:r>
      <w:r>
        <w:rPr>
          <w:rFonts w:eastAsia="宋体"/>
          <w:color w:val="000000"/>
          <w:spacing w:val="7"/>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34.2 履约保证金必须是人民币。</w:t>
      </w:r>
      <w:r>
        <w:rPr>
          <w:rFonts w:ascii="Times New Roman" w:hAnsi="Times New Roman"/>
          <w:color w:val="000000"/>
          <w:sz w:val="24"/>
          <w:highlight w:val="none"/>
        </w:rPr>
        <w:t xml:space="preserve">履约保证金可以以支票、汇票、本票或者金融机构、担保机构出具的保函等非现金形式提交。</w:t>
      </w:r>
      <w:r>
        <w:rPr>
          <w:rFonts w:ascii="Times New Roman" w:hAnsi="Times New Roman"/>
          <w:bCs/>
          <w:color w:val="000000"/>
          <w:sz w:val="24"/>
          <w:highlight w:val="none"/>
        </w:rPr>
      </w:r>
      <w:r/>
    </w:p>
    <w:p>
      <w:pPr>
        <w:pStyle w:val="790"/>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35、货物和服务的追加、减少和添购。</w:t>
      </w:r>
      <w:r>
        <w:rPr>
          <w:rFonts w:ascii="Times New Roman" w:hAnsi="Times New Roman"/>
          <w:bCs/>
          <w:color w:val="000000"/>
          <w:sz w:val="28"/>
          <w:szCs w:val="28"/>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35.1 政府采购合同履行中，采购人需追加与合同标的相同的货物和服务的，在不改变合同其他条款的前提下，可以与中标人协商签订补充合同，但所有补充合同的采购金额不超过原合同金额10%。</w:t>
      </w:r>
      <w:r>
        <w:rPr>
          <w:rFonts w:ascii="Times New Roman" w:hAnsi="Times New Roman"/>
          <w:bCs/>
          <w:color w:val="000000"/>
          <w:sz w:val="24"/>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35.2 采购结束后，采购人若由于各种客观原因，必须对采购项目所牵涉的货物和服务进行适当的减少时，在双方协商一致的前提下，可以按照招标采购时的价格水平做相应的调减，并据此签订补充合同。</w:t>
      </w:r>
      <w:r>
        <w:rPr>
          <w:rFonts w:ascii="Times New Roman" w:hAnsi="Times New Roman"/>
          <w:bCs/>
          <w:color w:val="000000"/>
          <w:sz w:val="24"/>
          <w:highlight w:val="none"/>
        </w:rPr>
      </w:r>
      <w:r/>
    </w:p>
    <w:p>
      <w:pPr>
        <w:pStyle w:val="790"/>
        <w:ind w:firstLine="560"/>
        <w:keepLines/>
        <w:keepNext/>
        <w:spacing w:line="440" w:lineRule="exact"/>
        <w:shd w:val="clear" w:color="auto" w:fill="auto"/>
        <w:rPr>
          <w:rFonts w:ascii="Times New Roman" w:hAnsi="Times New Roman"/>
          <w:bCs/>
          <w:color w:val="000000"/>
          <w:sz w:val="28"/>
          <w:szCs w:val="28"/>
          <w:highlight w:val="none"/>
        </w:rPr>
        <w:outlineLvl w:val="3"/>
      </w:pPr>
      <w:r>
        <w:rPr>
          <w:rFonts w:ascii="Times New Roman" w:hAnsi="Times New Roman"/>
          <w:bCs/>
          <w:color w:val="000000"/>
          <w:sz w:val="28"/>
          <w:szCs w:val="28"/>
          <w:highlight w:val="none"/>
        </w:rPr>
        <w:t xml:space="preserve">36、监督</w:t>
      </w:r>
      <w:r>
        <w:rPr>
          <w:rFonts w:ascii="Times New Roman" w:hAnsi="Times New Roman"/>
          <w:bCs/>
          <w:color w:val="000000"/>
          <w:sz w:val="28"/>
          <w:szCs w:val="28"/>
          <w:highlight w:val="none"/>
        </w:rPr>
      </w:r>
      <w:r/>
    </w:p>
    <w:p>
      <w:pPr>
        <w:pStyle w:val="790"/>
        <w:ind w:firstLine="480"/>
        <w:spacing w:line="440" w:lineRule="exact"/>
        <w:shd w:val="clear" w:color="auto" w:fill="auto"/>
        <w:rPr>
          <w:rFonts w:ascii="Times New Roman" w:hAnsi="Times New Roman"/>
          <w:bCs/>
          <w:color w:val="000000"/>
          <w:sz w:val="24"/>
          <w:highlight w:val="none"/>
        </w:rPr>
      </w:pPr>
      <w:r>
        <w:rPr>
          <w:rFonts w:ascii="Times New Roman" w:hAnsi="Times New Roman"/>
          <w:bCs/>
          <w:color w:val="000000"/>
          <w:sz w:val="24"/>
          <w:highlight w:val="none"/>
        </w:rPr>
        <w:t xml:space="preserve">36.1 政府有关监督部门将对投标全过程进行监督。</w:t>
      </w:r>
      <w:r>
        <w:rPr>
          <w:rFonts w:ascii="Times New Roman" w:hAnsi="Times New Roman"/>
          <w:bCs/>
          <w:color w:val="000000"/>
          <w:sz w:val="24"/>
          <w:highlight w:val="none"/>
        </w:rPr>
      </w:r>
      <w:r/>
    </w:p>
    <w:p>
      <w:pPr>
        <w:pStyle w:val="870"/>
        <w:pageBreakBefore/>
        <w:spacing w:line="440" w:lineRule="exact"/>
        <w:shd w:val="clear" w:color="auto" w:fill="auto"/>
        <w:rPr>
          <w:rFonts w:ascii="Times New Roman" w:hAnsi="Times New Roman" w:eastAsia="宋体"/>
          <w:color w:val="000000"/>
          <w:highlight w:val="none"/>
        </w:rPr>
      </w:pPr>
      <w:r/>
      <w:bookmarkStart w:id="45" w:name="_Toc209797851"/>
      <w:r>
        <w:rPr>
          <w:rFonts w:ascii="Times New Roman" w:hAnsi="Times New Roman" w:eastAsia="宋体"/>
          <w:color w:val="000000"/>
          <w:highlight w:val="none"/>
        </w:rPr>
        <w:t xml:space="preserve">第三章  </w:t>
      </w:r>
      <w:bookmarkStart w:id="46" w:name="_Hlk219389589"/>
      <w:r>
        <w:rPr>
          <w:rFonts w:ascii="Times New Roman" w:hAnsi="Times New Roman" w:eastAsia="宋体"/>
          <w:color w:val="000000"/>
          <w:highlight w:val="none"/>
        </w:rPr>
        <w:t xml:space="preserve">合同条款及格式</w:t>
      </w:r>
      <w:bookmarkEnd w:id="45"/>
      <w:r>
        <w:rPr>
          <w:rFonts w:ascii="Times New Roman" w:hAnsi="Times New Roman" w:eastAsia="宋体"/>
          <w:color w:val="000000"/>
          <w:highlight w:val="none"/>
        </w:rPr>
      </w:r>
      <w:r/>
    </w:p>
    <w:p>
      <w:pPr>
        <w:pStyle w:val="790"/>
        <w:shd w:val="clear" w:color="auto" w:fill="auto"/>
        <w:rPr>
          <w:rFonts w:ascii="Times New Roman" w:hAnsi="Times New Roman"/>
          <w:color w:val="000000"/>
          <w:highlight w:val="none"/>
        </w:rPr>
      </w:pPr>
      <w:r/>
      <w:bookmarkStart w:id="47" w:name="EB0c436cda110d4e31977602d633a36593"/>
      <w:r>
        <w:rPr>
          <w:rFonts w:ascii="Times New Roman" w:hAnsi="Times New Roman"/>
          <w:color w:val="000000"/>
          <w:highlight w:val="none"/>
        </w:rPr>
      </w:r>
      <w:r/>
    </w:p>
    <w:p>
      <w:pPr>
        <w:pStyle w:val="790"/>
        <w:ind w:firstLine="480"/>
        <w:spacing w:line="440" w:lineRule="exact"/>
        <w:shd w:val="clear" w:color="auto" w:fill="auto"/>
        <w:rPr>
          <w:rFonts w:ascii="Times New Roman" w:hAnsi="Times New Roman"/>
          <w:bCs/>
          <w:color w:val="000000"/>
          <w:sz w:val="24"/>
          <w:szCs w:val="24"/>
          <w:highlight w:val="none"/>
        </w:rPr>
      </w:pPr>
      <w:r>
        <w:rPr>
          <w:rFonts w:ascii="Times New Roman" w:hAnsi="Times New Roman"/>
          <w:bCs/>
          <w:color w:val="000000"/>
          <w:sz w:val="24"/>
          <w:szCs w:val="24"/>
          <w:highlight w:val="none"/>
        </w:rPr>
        <w:t xml:space="preserve">以下为中标(成交)后签定本项目合同的通用条款，中标(成交)供应商不得提出实质性的修改。</w:t>
      </w:r>
      <w:r>
        <w:rPr>
          <w:rFonts w:ascii="Times New Roman" w:hAnsi="Times New Roman"/>
          <w:bCs/>
          <w:color w:val="000000"/>
          <w:sz w:val="24"/>
          <w:szCs w:val="24"/>
          <w:highlight w:val="none"/>
        </w:rPr>
      </w:r>
      <w:r/>
    </w:p>
    <w:p>
      <w:pPr>
        <w:pStyle w:val="790"/>
        <w:ind w:firstLine="480"/>
        <w:jc w:val="center"/>
        <w:spacing w:line="440" w:lineRule="exact"/>
        <w:shd w:val="clear" w:color="auto" w:fill="auto"/>
        <w:rPr>
          <w:rFonts w:ascii="Times New Roman" w:hAnsi="Times New Roman"/>
          <w:bCs/>
          <w:color w:val="000000"/>
          <w:sz w:val="24"/>
          <w:szCs w:val="24"/>
          <w:highlight w:val="none"/>
        </w:rPr>
      </w:pPr>
      <w:r>
        <w:rPr>
          <w:rFonts w:ascii="Times New Roman" w:hAnsi="Times New Roman"/>
          <w:b/>
          <w:bCs/>
          <w:color w:val="000000"/>
          <w:sz w:val="32"/>
          <w:szCs w:val="32"/>
          <w:highlight w:val="none"/>
        </w:rPr>
        <w:t xml:space="preserve">张家港市政府采购合同</w:t>
      </w:r>
      <w:r>
        <w:rPr>
          <w:rFonts w:ascii="Times New Roman" w:hAnsi="Times New Roman"/>
          <w:bCs/>
          <w:color w:val="000000"/>
          <w:sz w:val="24"/>
          <w:szCs w:val="24"/>
          <w:highlight w:val="none"/>
        </w:rPr>
      </w:r>
      <w:r/>
    </w:p>
    <w:p>
      <w:pPr>
        <w:pStyle w:val="1322"/>
        <w:ind w:firstLine="482"/>
        <w:spacing w:line="440" w:lineRule="exact"/>
        <w:shd w:val="clear" w:color="auto" w:fill="auto"/>
        <w:rPr>
          <w:color w:val="000000"/>
          <w:sz w:val="24"/>
          <w:highlight w:val="none"/>
        </w:rPr>
      </w:pPr>
      <w:r/>
      <w:bookmarkStart w:id="48" w:name="_Hlk65328514"/>
      <w:r>
        <w:rPr>
          <w:color w:val="000000"/>
          <w:sz w:val="24"/>
          <w:highlight w:val="none"/>
        </w:rPr>
        <w:t xml:space="preserve">项目名称：</w:t>
      </w:r>
      <w:bookmarkStart w:id="49" w:name="biaoduanname_1"/>
      <w:r>
        <w:rPr>
          <w:color w:val="000000"/>
          <w:sz w:val="24"/>
          <w:highlight w:val="none"/>
        </w:rPr>
        <w:t xml:space="preserve">             </w:t>
      </w:r>
      <w:bookmarkEnd w:id="49"/>
      <w:r>
        <w:rPr>
          <w:color w:val="000000"/>
          <w:sz w:val="24"/>
          <w:highlight w:val="none"/>
        </w:rPr>
        <w:t xml:space="preserve">               </w:t>
      </w:r>
      <w:r>
        <w:rPr>
          <w:color w:val="000000"/>
          <w:sz w:val="24"/>
          <w:highlight w:val="none"/>
        </w:rPr>
      </w:r>
      <w:r/>
    </w:p>
    <w:p>
      <w:pPr>
        <w:pStyle w:val="1322"/>
        <w:ind w:firstLine="482"/>
        <w:spacing w:line="440" w:lineRule="exact"/>
        <w:shd w:val="clear" w:color="auto" w:fill="auto"/>
        <w:rPr>
          <w:color w:val="000000"/>
          <w:sz w:val="24"/>
          <w:highlight w:val="none"/>
        </w:rPr>
      </w:pPr>
      <w:r>
        <w:rPr>
          <w:color w:val="000000"/>
          <w:sz w:val="24"/>
          <w:highlight w:val="none"/>
        </w:rPr>
        <w:t xml:space="preserve">项目编号：</w:t>
      </w:r>
      <w:bookmarkStart w:id="50" w:name="projectno"/>
      <w:r>
        <w:rPr>
          <w:color w:val="000000"/>
          <w:sz w:val="24"/>
          <w:highlight w:val="none"/>
        </w:rPr>
        <w:t xml:space="preserve">           </w:t>
      </w:r>
      <w:bookmarkEnd w:id="50"/>
      <w:r>
        <w:rPr>
          <w:color w:val="000000"/>
          <w:sz w:val="24"/>
          <w:highlight w:val="none"/>
        </w:rPr>
      </w:r>
      <w:r/>
    </w:p>
    <w:p>
      <w:pPr>
        <w:pStyle w:val="1322"/>
        <w:ind w:firstLine="482"/>
        <w:spacing w:line="440" w:lineRule="exact"/>
        <w:shd w:val="clear" w:color="auto" w:fill="auto"/>
        <w:rPr>
          <w:color w:val="000000"/>
          <w:sz w:val="24"/>
          <w:highlight w:val="none"/>
        </w:rPr>
      </w:pPr>
      <w:r>
        <w:rPr>
          <w:color w:val="000000"/>
          <w:sz w:val="24"/>
          <w:highlight w:val="none"/>
        </w:rPr>
        <w:t xml:space="preserve">甲方：（买方）</w:t>
      </w:r>
      <w:r>
        <w:rPr>
          <w:color w:val="000000"/>
          <w:sz w:val="24"/>
          <w:highlight w:val="none"/>
          <w:u w:val="single"/>
        </w:rPr>
        <w:t xml:space="preserve"> </w:t>
      </w:r>
      <w:bookmarkStart w:id="51" w:name="jianshedanwei_1"/>
      <w:r>
        <w:rPr>
          <w:color w:val="000000"/>
          <w:sz w:val="24"/>
          <w:highlight w:val="none"/>
          <w:u w:val="single"/>
        </w:rPr>
        <w:t xml:space="preserve">        </w:t>
      </w:r>
      <w:bookmarkEnd w:id="51"/>
      <w:r>
        <w:rPr>
          <w:color w:val="000000"/>
          <w:sz w:val="24"/>
          <w:highlight w:val="none"/>
          <w:u w:val="single"/>
        </w:rPr>
        <w:t xml:space="preserve"> </w:t>
      </w:r>
      <w:r>
        <w:rPr>
          <w:color w:val="000000"/>
          <w:sz w:val="24"/>
          <w:highlight w:val="none"/>
        </w:rPr>
      </w:r>
      <w:r/>
    </w:p>
    <w:p>
      <w:pPr>
        <w:pStyle w:val="1322"/>
        <w:ind w:firstLine="482"/>
        <w:spacing w:line="440" w:lineRule="exact"/>
        <w:shd w:val="clear" w:color="auto" w:fill="auto"/>
        <w:rPr>
          <w:color w:val="000000"/>
          <w:sz w:val="24"/>
          <w:highlight w:val="none"/>
        </w:rPr>
      </w:pPr>
      <w:r>
        <w:rPr>
          <w:color w:val="000000"/>
          <w:sz w:val="24"/>
          <w:highlight w:val="none"/>
        </w:rPr>
        <w:t xml:space="preserve">乙方：（卖方）</w:t>
      </w:r>
      <w:r>
        <w:rPr>
          <w:color w:val="000000"/>
          <w:sz w:val="24"/>
          <w:highlight w:val="none"/>
          <w:u w:val="single"/>
        </w:rPr>
        <w:t xml:space="preserve"> </w:t>
      </w:r>
      <w:bookmarkStart w:id="52" w:name="zhongbiaodanweiname_1"/>
      <w:r>
        <w:rPr>
          <w:color w:val="000000"/>
          <w:sz w:val="24"/>
          <w:highlight w:val="none"/>
          <w:u w:val="single"/>
        </w:rPr>
        <w:t xml:space="preserve">          </w:t>
      </w:r>
      <w:bookmarkEnd w:id="52"/>
      <w:r>
        <w:rPr>
          <w:color w:val="000000"/>
          <w:sz w:val="24"/>
          <w:highlight w:val="none"/>
          <w:u w:val="single"/>
        </w:rPr>
        <w:t xml:space="preserve"> </w:t>
      </w:r>
      <w:r>
        <w:rPr>
          <w:color w:val="000000"/>
          <w:sz w:val="24"/>
          <w:highlight w:val="none"/>
        </w:rPr>
      </w:r>
      <w:r/>
    </w:p>
    <w:p>
      <w:pPr>
        <w:pStyle w:val="1322"/>
        <w:ind w:firstLine="482"/>
        <w:spacing w:line="440" w:lineRule="exact"/>
        <w:shd w:val="clear" w:color="auto" w:fill="auto"/>
        <w:rPr>
          <w:b/>
          <w:bCs/>
          <w:color w:val="000000"/>
          <w:sz w:val="24"/>
          <w:highlight w:val="none"/>
        </w:rPr>
      </w:pPr>
      <w:r>
        <w:rPr>
          <w:color w:val="000000"/>
          <w:sz w:val="24"/>
          <w:highlight w:val="none"/>
        </w:rPr>
        <w:t xml:space="preserve">甲、乙双方根据张家港禾达招投标咨询服务有限公司</w:t>
      </w:r>
      <w:r>
        <w:rPr>
          <w:color w:val="000000"/>
          <w:sz w:val="24"/>
          <w:highlight w:val="none"/>
          <w:u w:val="single"/>
        </w:rPr>
        <w:t xml:space="preserve"> </w:t>
      </w:r>
      <w:bookmarkStart w:id="53" w:name="biaoduanname_2"/>
      <w:r>
        <w:rPr>
          <w:color w:val="000000"/>
          <w:sz w:val="24"/>
          <w:highlight w:val="none"/>
          <w:u w:val="single"/>
        </w:rPr>
        <w:t xml:space="preserve">    </w:t>
      </w:r>
      <w:bookmarkEnd w:id="53"/>
      <w:r>
        <w:rPr>
          <w:color w:val="000000"/>
          <w:sz w:val="24"/>
          <w:highlight w:val="none"/>
          <w:u w:val="single"/>
        </w:rPr>
        <w:t xml:space="preserve"> </w:t>
      </w:r>
      <w:r>
        <w:rPr>
          <w:color w:val="000000"/>
          <w:sz w:val="24"/>
          <w:highlight w:val="none"/>
        </w:rPr>
        <w:t xml:space="preserve">项目公开招标的结果，签署本合同。</w:t>
      </w:r>
      <w:r>
        <w:rPr>
          <w:b/>
          <w:bCs/>
          <w:color w:val="000000"/>
          <w:sz w:val="24"/>
          <w:highlight w:val="none"/>
        </w:rPr>
      </w:r>
      <w:r/>
    </w:p>
    <w:p>
      <w:pPr>
        <w:pStyle w:val="1322"/>
        <w:ind w:firstLine="482"/>
        <w:shd w:val="clear" w:color="auto" w:fill="auto"/>
        <w:rPr>
          <w:b/>
          <w:bCs/>
          <w:color w:val="000000"/>
          <w:sz w:val="24"/>
          <w:highlight w:val="none"/>
        </w:rPr>
      </w:pPr>
      <w:r>
        <w:rPr>
          <w:b/>
          <w:bCs/>
          <w:color w:val="000000"/>
          <w:sz w:val="24"/>
          <w:highlight w:val="none"/>
        </w:rPr>
        <w:t xml:space="preserve">一、服务内容</w:t>
      </w:r>
      <w:r>
        <w:rPr>
          <w:b/>
          <w:bCs/>
          <w:color w:val="000000"/>
          <w:sz w:val="24"/>
          <w:highlight w:val="none"/>
        </w:rPr>
      </w:r>
      <w:r/>
    </w:p>
    <w:tbl>
      <w:tblPr>
        <w:tblW w:w="79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W w:w="2723" w:type="dxa"/>
            <w:vAlign w:val="center"/>
            <w:textDirection w:val="lrTb"/>
            <w:noWrap w:val="false"/>
          </w:tcPr>
          <w:p>
            <w:pPr>
              <w:pStyle w:val="1322"/>
              <w:jc w:val="center"/>
              <w:shd w:val="clear" w:color="auto" w:fill="auto"/>
              <w:rPr>
                <w:color w:val="000000"/>
                <w:sz w:val="24"/>
                <w:highlight w:val="none"/>
              </w:rPr>
            </w:pPr>
            <w:r>
              <w:rPr>
                <w:color w:val="000000"/>
                <w:sz w:val="24"/>
                <w:highlight w:val="none"/>
              </w:rPr>
              <w:t xml:space="preserve">项目名称</w:t>
            </w:r>
            <w:r>
              <w:rPr>
                <w:color w:val="000000"/>
                <w:sz w:val="24"/>
                <w:highlight w:val="none"/>
              </w:rPr>
            </w:r>
            <w:r/>
          </w:p>
        </w:tc>
        <w:tc>
          <w:tcPr>
            <w:tcW w:w="2722" w:type="dxa"/>
            <w:vAlign w:val="center"/>
            <w:textDirection w:val="lrTb"/>
            <w:noWrap w:val="false"/>
          </w:tcPr>
          <w:p>
            <w:pPr>
              <w:pStyle w:val="1322"/>
              <w:ind w:firstLine="480"/>
              <w:jc w:val="center"/>
              <w:shd w:val="clear" w:color="auto" w:fill="auto"/>
              <w:rPr>
                <w:color w:val="000000"/>
                <w:sz w:val="24"/>
                <w:highlight w:val="none"/>
              </w:rPr>
            </w:pPr>
            <w:r>
              <w:rPr>
                <w:color w:val="000000"/>
                <w:sz w:val="24"/>
                <w:highlight w:val="none"/>
              </w:rPr>
              <w:t xml:space="preserve">总价（元）</w:t>
            </w:r>
            <w:r>
              <w:rPr>
                <w:color w:val="000000"/>
                <w:sz w:val="24"/>
                <w:highlight w:val="none"/>
              </w:rPr>
            </w:r>
            <w:r/>
          </w:p>
        </w:tc>
        <w:tc>
          <w:tcPr>
            <w:tcW w:w="2475" w:type="dxa"/>
            <w:vAlign w:val="center"/>
            <w:textDirection w:val="lrTb"/>
            <w:noWrap w:val="false"/>
          </w:tcPr>
          <w:p>
            <w:pPr>
              <w:pStyle w:val="1322"/>
              <w:ind w:firstLine="240"/>
              <w:shd w:val="clear" w:color="auto" w:fill="auto"/>
              <w:rPr>
                <w:color w:val="000000"/>
                <w:sz w:val="24"/>
                <w:highlight w:val="none"/>
              </w:rPr>
            </w:pPr>
            <w:r>
              <w:rPr>
                <w:color w:val="000000"/>
                <w:sz w:val="24"/>
                <w:highlight w:val="none"/>
              </w:rPr>
              <w:t xml:space="preserve">服务内容</w:t>
            </w:r>
            <w:r>
              <w:rPr>
                <w:color w:val="000000"/>
                <w:sz w:val="24"/>
                <w:highlight w:val="none"/>
              </w:rPr>
            </w:r>
            <w:r/>
          </w:p>
        </w:tc>
      </w:tr>
      <w:tr>
        <w:trPr>
          <w:cantSplit/>
          <w:trHeight w:val="658"/>
        </w:trPr>
        <w:tc>
          <w:tcPr>
            <w:tcW w:w="2723" w:type="dxa"/>
            <w:vAlign w:val="center"/>
            <w:textDirection w:val="lrTb"/>
            <w:noWrap w:val="false"/>
          </w:tcPr>
          <w:p>
            <w:pPr>
              <w:pStyle w:val="1322"/>
              <w:shd w:val="clear" w:color="auto" w:fill="auto"/>
              <w:rPr>
                <w:color w:val="000000"/>
                <w:sz w:val="24"/>
                <w:highlight w:val="none"/>
              </w:rPr>
            </w:pPr>
            <w:r>
              <w:rPr>
                <w:color w:val="000000"/>
                <w:sz w:val="24"/>
                <w:highlight w:val="none"/>
              </w:rPr>
              <w:t xml:space="preserve">   </w:t>
            </w:r>
            <w:bookmarkStart w:id="54" w:name="biaoduanname_3"/>
            <w:r>
              <w:rPr>
                <w:color w:val="000000"/>
                <w:sz w:val="24"/>
                <w:highlight w:val="none"/>
              </w:rPr>
              <w:t xml:space="preserve">         </w:t>
            </w:r>
            <w:bookmarkEnd w:id="54"/>
            <w:r>
              <w:rPr>
                <w:color w:val="000000"/>
                <w:sz w:val="24"/>
                <w:highlight w:val="none"/>
              </w:rPr>
              <w:t xml:space="preserve">   </w:t>
            </w:r>
            <w:r>
              <w:rPr>
                <w:color w:val="000000"/>
                <w:sz w:val="24"/>
                <w:highlight w:val="none"/>
              </w:rPr>
            </w:r>
            <w:r/>
          </w:p>
        </w:tc>
        <w:tc>
          <w:tcPr>
            <w:tcW w:w="2722" w:type="dxa"/>
            <w:vAlign w:val="center"/>
            <w:textDirection w:val="lrTb"/>
            <w:noWrap w:val="false"/>
          </w:tcPr>
          <w:p>
            <w:pPr>
              <w:pStyle w:val="1322"/>
              <w:shd w:val="clear" w:color="auto" w:fill="auto"/>
              <w:rPr>
                <w:color w:val="000000"/>
                <w:sz w:val="24"/>
                <w:highlight w:val="none"/>
              </w:rPr>
            </w:pPr>
            <w:r>
              <w:rPr>
                <w:color w:val="000000"/>
                <w:sz w:val="24"/>
                <w:highlight w:val="none"/>
              </w:rPr>
              <w:t xml:space="preserve">   </w:t>
            </w:r>
            <w:bookmarkStart w:id="55" w:name="zhongbiaopricelow_1"/>
            <w:r>
              <w:rPr>
                <w:color w:val="000000"/>
                <w:sz w:val="24"/>
                <w:highlight w:val="none"/>
              </w:rPr>
              <w:t xml:space="preserve">         </w:t>
            </w:r>
            <w:bookmarkEnd w:id="55"/>
            <w:r>
              <w:rPr>
                <w:color w:val="000000"/>
                <w:sz w:val="24"/>
                <w:highlight w:val="none"/>
              </w:rPr>
              <w:t xml:space="preserve">    </w:t>
            </w:r>
            <w:r>
              <w:rPr>
                <w:color w:val="000000"/>
                <w:sz w:val="24"/>
                <w:highlight w:val="none"/>
              </w:rPr>
            </w:r>
            <w:r/>
          </w:p>
        </w:tc>
        <w:tc>
          <w:tcPr>
            <w:tcW w:w="2475" w:type="dxa"/>
            <w:vAlign w:val="center"/>
            <w:textDirection w:val="lrTb"/>
            <w:noWrap w:val="false"/>
          </w:tcPr>
          <w:p>
            <w:pPr>
              <w:pStyle w:val="1322"/>
              <w:shd w:val="clear" w:color="auto" w:fill="auto"/>
              <w:rPr>
                <w:color w:val="000000"/>
                <w:sz w:val="24"/>
                <w:highlight w:val="none"/>
              </w:rPr>
            </w:pPr>
            <w:r>
              <w:rPr>
                <w:color w:val="000000"/>
                <w:sz w:val="24"/>
                <w:highlight w:val="none"/>
              </w:rPr>
              <w:t xml:space="preserve">  </w:t>
            </w:r>
            <w:bookmarkStart w:id="56" w:name="fuwuneirong"/>
            <w:r>
              <w:rPr>
                <w:color w:val="000000"/>
                <w:sz w:val="24"/>
                <w:highlight w:val="none"/>
              </w:rPr>
              <w:t xml:space="preserve">        </w:t>
            </w:r>
            <w:bookmarkEnd w:id="56"/>
            <w:r>
              <w:rPr>
                <w:color w:val="000000"/>
                <w:sz w:val="24"/>
                <w:highlight w:val="none"/>
              </w:rPr>
              <w:t xml:space="preserve">   </w:t>
            </w:r>
            <w:r>
              <w:rPr>
                <w:color w:val="000000"/>
                <w:sz w:val="24"/>
                <w:highlight w:val="none"/>
              </w:rPr>
            </w:r>
            <w:r/>
          </w:p>
        </w:tc>
      </w:tr>
    </w:tbl>
    <w:p>
      <w:pPr>
        <w:pStyle w:val="1325"/>
        <w:ind w:firstLine="482"/>
        <w:spacing w:line="440" w:lineRule="exact"/>
        <w:shd w:val="clear" w:color="auto" w:fill="auto"/>
        <w:rPr>
          <w:rFonts w:eastAsia="宋体"/>
          <w:b/>
          <w:bCs/>
          <w:color w:val="000000"/>
          <w:highlight w:val="none"/>
        </w:rPr>
      </w:pPr>
      <w:r>
        <w:rPr>
          <w:rFonts w:eastAsia="宋体"/>
          <w:b/>
          <w:bCs/>
          <w:color w:val="000000"/>
          <w:highlight w:val="none"/>
        </w:rPr>
        <w:t xml:space="preserve">二、合同金额</w:t>
      </w:r>
      <w:r>
        <w:rPr>
          <w:rFonts w:eastAsia="宋体"/>
          <w:b/>
          <w:bCs/>
          <w:color w:val="000000"/>
          <w:highlight w:val="none"/>
        </w:rPr>
      </w:r>
      <w:r/>
    </w:p>
    <w:p>
      <w:pPr>
        <w:pStyle w:val="1325"/>
        <w:ind w:firstLine="480"/>
        <w:spacing w:line="440" w:lineRule="atLeast"/>
        <w:shd w:val="clear" w:color="auto" w:fill="auto"/>
        <w:rPr>
          <w:rFonts w:eastAsia="宋体"/>
          <w:b/>
          <w:bCs/>
          <w:color w:val="000000"/>
          <w:highlight w:val="none"/>
        </w:rPr>
      </w:pPr>
      <w:r>
        <w:rPr>
          <w:rFonts w:eastAsia="宋体"/>
          <w:color w:val="000000"/>
          <w:highlight w:val="none"/>
        </w:rPr>
        <w:t xml:space="preserve">2.1 本合同金额为（大写）：</w:t>
      </w:r>
      <w:r>
        <w:rPr>
          <w:rFonts w:eastAsia="宋体"/>
          <w:color w:val="000000"/>
          <w:highlight w:val="none"/>
          <w:u w:val="single"/>
        </w:rPr>
        <w:t xml:space="preserve"> </w:t>
      </w:r>
      <w:bookmarkStart w:id="57" w:name="zhongbiaopriceup"/>
      <w:r>
        <w:rPr>
          <w:rFonts w:eastAsia="宋体"/>
          <w:color w:val="000000"/>
          <w:highlight w:val="none"/>
          <w:u w:val="single"/>
        </w:rPr>
        <w:t xml:space="preserve">                </w:t>
      </w:r>
      <w:bookmarkEnd w:id="57"/>
      <w:r>
        <w:rPr>
          <w:rFonts w:eastAsia="宋体"/>
          <w:color w:val="000000"/>
          <w:highlight w:val="none"/>
        </w:rPr>
        <w:t xml:space="preserve">（</w:t>
      </w:r>
      <w:r>
        <w:rPr>
          <w:rFonts w:eastAsia="宋体"/>
          <w:color w:val="000000"/>
          <w:highlight w:val="none"/>
          <w:u w:val="single"/>
        </w:rPr>
        <w:t xml:space="preserve"> </w:t>
      </w:r>
      <w:bookmarkStart w:id="58" w:name="zhongbiaopricelow"/>
      <w:r>
        <w:rPr>
          <w:rFonts w:eastAsia="宋体"/>
          <w:color w:val="000000"/>
          <w:highlight w:val="none"/>
          <w:u w:val="single"/>
        </w:rPr>
        <w:t xml:space="preserve">             </w:t>
      </w:r>
      <w:bookmarkEnd w:id="58"/>
      <w:r>
        <w:rPr>
          <w:rFonts w:eastAsia="宋体"/>
          <w:color w:val="000000"/>
          <w:highlight w:val="none"/>
          <w:u w:val="single"/>
        </w:rPr>
        <w:t xml:space="preserve"> </w:t>
      </w:r>
      <w:r>
        <w:rPr>
          <w:rFonts w:eastAsia="宋体"/>
          <w:color w:val="000000"/>
          <w:highlight w:val="none"/>
        </w:rPr>
        <w:t xml:space="preserve">元）人民币。</w:t>
      </w:r>
      <w:r>
        <w:rPr>
          <w:rFonts w:eastAsia="宋体"/>
          <w:b/>
          <w:bCs/>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rPr>
          <w:rFonts w:eastAsia="宋体"/>
          <w:color w:val="000000"/>
          <w:highlight w:val="none"/>
        </w:rPr>
      </w:r>
      <w:r/>
    </w:p>
    <w:p>
      <w:pPr>
        <w:pStyle w:val="1325"/>
        <w:ind w:firstLine="472"/>
        <w:spacing w:line="440" w:lineRule="atLeast"/>
        <w:shd w:val="clear" w:color="auto" w:fill="auto"/>
        <w:rPr>
          <w:rFonts w:eastAsia="宋体"/>
          <w:b/>
          <w:color w:val="000000"/>
          <w:highlight w:val="none"/>
        </w:rPr>
      </w:pPr>
      <w:r>
        <w:rPr>
          <w:rFonts w:eastAsia="宋体"/>
          <w:b/>
          <w:color w:val="000000"/>
          <w:highlight w:val="none"/>
        </w:rPr>
        <w:t xml:space="preserve">三、转包或分包</w:t>
      </w:r>
      <w:r>
        <w:rPr>
          <w:rFonts w:eastAsia="宋体"/>
          <w:b/>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3.1 本合同范围的服务，应由乙方直接提供，不得转让他人提供；</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3.2 如有转包和分包行为，甲方有权给予终止合同。</w:t>
      </w:r>
      <w:r>
        <w:rPr>
          <w:rFonts w:eastAsia="宋体"/>
          <w:color w:val="000000"/>
          <w:highlight w:val="none"/>
        </w:rPr>
      </w:r>
      <w:r/>
    </w:p>
    <w:p>
      <w:pPr>
        <w:pStyle w:val="1325"/>
        <w:ind w:firstLine="472"/>
        <w:spacing w:line="440" w:lineRule="atLeast"/>
        <w:shd w:val="clear" w:color="auto" w:fill="auto"/>
        <w:rPr>
          <w:rFonts w:eastAsia="宋体"/>
          <w:b/>
          <w:bCs/>
          <w:color w:val="000000"/>
          <w:highlight w:val="none"/>
        </w:rPr>
      </w:pPr>
      <w:r>
        <w:rPr>
          <w:rFonts w:eastAsia="宋体"/>
          <w:b/>
          <w:bCs/>
          <w:color w:val="000000"/>
          <w:highlight w:val="none"/>
        </w:rPr>
        <w:t xml:space="preserve">四、服务期限：</w:t>
      </w:r>
      <w:r>
        <w:rPr>
          <w:rFonts w:eastAsia="宋体"/>
          <w:b/>
          <w:bCs/>
          <w:color w:val="000000"/>
          <w:highlight w:val="none"/>
        </w:rPr>
      </w:r>
      <w:r/>
    </w:p>
    <w:p>
      <w:pPr>
        <w:pStyle w:val="1325"/>
        <w:ind w:firstLine="470"/>
        <w:spacing w:line="440" w:lineRule="atLeast"/>
        <w:shd w:val="clear" w:color="auto" w:fill="auto"/>
        <w:rPr>
          <w:rFonts w:eastAsia="宋体"/>
          <w:color w:val="000000"/>
          <w:highlight w:val="none"/>
        </w:rPr>
      </w:pPr>
      <w:r>
        <w:rPr>
          <w:rFonts w:eastAsia="宋体"/>
          <w:color w:val="000000"/>
          <w:highlight w:val="none"/>
        </w:rPr>
        <w:t xml:space="preserve">服务期限为</w:t>
      </w:r>
      <w:r>
        <w:rPr>
          <w:rFonts w:eastAsia="宋体"/>
          <w:color w:val="000000"/>
          <w:highlight w:val="none"/>
          <w:u w:val="single"/>
        </w:rPr>
        <w:t xml:space="preserve">  </w:t>
      </w:r>
      <w:bookmarkStart w:id="59" w:name="fuwuqixian"/>
      <w:r>
        <w:rPr>
          <w:rFonts w:eastAsia="宋体"/>
          <w:color w:val="000000"/>
          <w:highlight w:val="none"/>
          <w:u w:val="single"/>
        </w:rPr>
        <w:t xml:space="preserve"> </w:t>
      </w:r>
      <w:bookmarkEnd w:id="59"/>
      <w:r>
        <w:rPr>
          <w:rFonts w:eastAsia="宋体"/>
          <w:color w:val="000000"/>
          <w:highlight w:val="none"/>
          <w:u w:val="single"/>
        </w:rPr>
        <w:t xml:space="preserve"> </w:t>
      </w:r>
      <w:r>
        <w:rPr>
          <w:rFonts w:eastAsia="宋体"/>
          <w:color w:val="000000"/>
          <w:highlight w:val="none"/>
        </w:rPr>
      </w:r>
      <w:r/>
    </w:p>
    <w:p>
      <w:pPr>
        <w:pStyle w:val="1325"/>
        <w:ind w:firstLine="472"/>
        <w:spacing w:line="440" w:lineRule="atLeast"/>
        <w:shd w:val="clear" w:color="auto" w:fill="auto"/>
        <w:rPr>
          <w:rFonts w:eastAsia="宋体"/>
          <w:b/>
          <w:bCs/>
          <w:color w:val="000000"/>
          <w:highlight w:val="none"/>
        </w:rPr>
      </w:pPr>
      <w:r>
        <w:rPr>
          <w:rFonts w:eastAsia="宋体"/>
          <w:b/>
          <w:bCs/>
          <w:color w:val="000000"/>
          <w:highlight w:val="none"/>
        </w:rPr>
        <w:t xml:space="preserve">五、支付方式</w:t>
      </w:r>
      <w:r>
        <w:rPr>
          <w:rFonts w:eastAsia="宋体"/>
          <w:b/>
          <w:bCs/>
          <w:color w:val="000000"/>
          <w:highlight w:val="none"/>
        </w:rPr>
      </w:r>
      <w:r/>
    </w:p>
    <w:p>
      <w:pPr>
        <w:pStyle w:val="1325"/>
        <w:ind w:firstLine="480"/>
        <w:spacing w:line="440" w:lineRule="atLeast"/>
        <w:shd w:val="clear" w:color="auto" w:fill="auto"/>
        <w:rPr>
          <w:rFonts w:eastAsia="宋体"/>
          <w:color w:val="000000"/>
          <w:highlight w:val="none"/>
        </w:rPr>
      </w:pPr>
      <w:r>
        <w:rPr>
          <w:rFonts w:eastAsia="宋体"/>
          <w:bCs/>
          <w:color w:val="000000"/>
          <w:highlight w:val="none"/>
        </w:rPr>
        <w:t xml:space="preserve">5.1 </w:t>
      </w:r>
      <w:r>
        <w:rPr>
          <w:rFonts w:eastAsia="宋体"/>
          <w:color w:val="000000"/>
          <w:highlight w:val="none"/>
        </w:rPr>
        <w:t xml:space="preserve">结付程序：</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bCs/>
          <w:color w:val="000000"/>
          <w:highlight w:val="none"/>
          <w:u w:val="single"/>
        </w:rPr>
        <w:t xml:space="preserve"> </w:t>
      </w:r>
      <w:bookmarkStart w:id="60" w:name="jiefuchengxu"/>
      <w:r>
        <w:rPr>
          <w:rFonts w:eastAsia="宋体"/>
          <w:bCs/>
          <w:color w:val="000000"/>
          <w:highlight w:val="none"/>
          <w:u w:val="single"/>
        </w:rPr>
        <w:t xml:space="preserve">                                                       </w:t>
      </w:r>
      <w:bookmarkEnd w:id="60"/>
      <w:r>
        <w:rPr>
          <w:rFonts w:eastAsia="宋体"/>
          <w:bCs/>
          <w:color w:val="000000"/>
          <w:highlight w:val="none"/>
          <w:u w:val="single"/>
        </w:rPr>
        <w:t xml:space="preserve"> </w:t>
      </w:r>
      <w:r>
        <w:rPr>
          <w:rFonts w:eastAsia="宋体"/>
          <w:color w:val="000000"/>
          <w:highlight w:val="none"/>
        </w:rPr>
        <w:t xml:space="preserve">。</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5.2结付期限：</w:t>
      </w:r>
      <w:r>
        <w:rPr>
          <w:rFonts w:eastAsia="宋体"/>
          <w:color w:val="000000"/>
          <w:highlight w:val="none"/>
        </w:rPr>
      </w:r>
      <w:r/>
    </w:p>
    <w:p>
      <w:pPr>
        <w:pStyle w:val="1325"/>
        <w:ind w:firstLine="480"/>
        <w:spacing w:line="440" w:lineRule="atLeast"/>
        <w:shd w:val="clear" w:color="auto" w:fill="auto"/>
        <w:rPr>
          <w:rFonts w:eastAsia="宋体"/>
          <w:bCs/>
          <w:color w:val="000000"/>
          <w:highlight w:val="none"/>
        </w:rPr>
      </w:pPr>
      <w:r>
        <w:rPr>
          <w:rFonts w:eastAsia="宋体"/>
          <w:bCs/>
          <w:color w:val="000000"/>
          <w:highlight w:val="none"/>
          <w:u w:val="single"/>
        </w:rPr>
        <w:t xml:space="preserve"> </w:t>
      </w:r>
      <w:bookmarkStart w:id="61" w:name="jiefuqixian"/>
      <w:r>
        <w:rPr>
          <w:rFonts w:eastAsia="宋体"/>
          <w:bCs/>
          <w:color w:val="000000"/>
          <w:highlight w:val="none"/>
          <w:u w:val="single"/>
        </w:rPr>
        <w:t xml:space="preserve">                                                       </w:t>
      </w:r>
      <w:bookmarkEnd w:id="61"/>
      <w:r>
        <w:rPr>
          <w:rFonts w:eastAsia="宋体"/>
          <w:bCs/>
          <w:color w:val="000000"/>
          <w:highlight w:val="none"/>
          <w:u w:val="single"/>
        </w:rPr>
        <w:t xml:space="preserve"> </w:t>
      </w:r>
      <w:r>
        <w:rPr>
          <w:rFonts w:eastAsia="宋体"/>
          <w:color w:val="000000"/>
          <w:highlight w:val="none"/>
        </w:rPr>
        <w:t xml:space="preserve">。</w:t>
      </w:r>
      <w:r>
        <w:rPr>
          <w:rFonts w:eastAsia="宋体"/>
          <w:bCs/>
          <w:color w:val="000000"/>
          <w:highlight w:val="none"/>
        </w:rPr>
        <w:t xml:space="preserve">          </w:t>
      </w:r>
      <w:r>
        <w:rPr>
          <w:rFonts w:eastAsia="宋体"/>
          <w:bCs/>
          <w:color w:val="000000"/>
          <w:highlight w:val="none"/>
        </w:rPr>
      </w:r>
      <w:r/>
    </w:p>
    <w:p>
      <w:pPr>
        <w:pStyle w:val="1325"/>
        <w:ind w:firstLine="470"/>
        <w:spacing w:line="440" w:lineRule="atLeast"/>
        <w:shd w:val="clear" w:color="auto" w:fill="auto"/>
        <w:rPr>
          <w:rFonts w:eastAsia="宋体"/>
          <w:color w:val="000000"/>
          <w:highlight w:val="none"/>
          <w:u w:val="single"/>
        </w:rPr>
      </w:pPr>
      <w:r>
        <w:rPr>
          <w:rFonts w:eastAsia="宋体"/>
          <w:color w:val="000000"/>
          <w:highlight w:val="none"/>
        </w:rPr>
        <w:t xml:space="preserve">5.3乙方收款账户：</w:t>
      </w:r>
      <w:r>
        <w:rPr>
          <w:rFonts w:eastAsia="宋体"/>
          <w:color w:val="000000"/>
          <w:highlight w:val="none"/>
          <w:u w:val="single"/>
        </w:rPr>
        <w:t xml:space="preserve"> </w:t>
      </w:r>
      <w:bookmarkStart w:id="62" w:name="yifangzhanghao"/>
      <w:r>
        <w:rPr>
          <w:rFonts w:eastAsia="宋体"/>
          <w:color w:val="000000"/>
          <w:highlight w:val="none"/>
          <w:u w:val="single"/>
        </w:rPr>
        <w:t xml:space="preserve">                                     </w:t>
      </w:r>
      <w:bookmarkEnd w:id="62"/>
      <w:r>
        <w:rPr>
          <w:rFonts w:eastAsia="宋体"/>
          <w:color w:val="000000"/>
          <w:highlight w:val="none"/>
          <w:u w:val="single"/>
        </w:rPr>
        <w:t xml:space="preserve"> </w:t>
      </w:r>
      <w:r>
        <w:rPr>
          <w:rFonts w:eastAsia="宋体"/>
          <w:color w:val="000000"/>
          <w:highlight w:val="none"/>
          <w:u w:val="single"/>
        </w:rPr>
      </w:r>
      <w:r/>
    </w:p>
    <w:p>
      <w:pPr>
        <w:pStyle w:val="1323"/>
        <w:spacing w:line="440" w:lineRule="atLeast"/>
        <w:shd w:val="clear" w:color="auto" w:fill="auto"/>
        <w:rPr>
          <w:rFonts w:ascii="Times New Roman" w:hAnsi="Times New Roman"/>
          <w:color w:val="000000"/>
          <w:highlight w:val="none"/>
        </w:rPr>
      </w:pPr>
      <w:r>
        <w:rPr>
          <w:rFonts w:ascii="Times New Roman" w:hAnsi="Times New Roman"/>
          <w:color w:val="000000"/>
          <w:highlight w:val="none"/>
        </w:rPr>
        <w:t xml:space="preserve">5.4甲方合同款支付方式：</w:t>
      </w:r>
      <w:r>
        <w:rPr>
          <w:rFonts w:ascii="Times New Roman" w:hAnsi="Times New Roman"/>
          <w:color w:val="000000"/>
          <w:highlight w:val="none"/>
          <w:u w:val="single"/>
        </w:rPr>
        <w:t xml:space="preserve"> </w:t>
      </w:r>
      <w:bookmarkStart w:id="63" w:name="hetongzhifutype"/>
      <w:r>
        <w:rPr>
          <w:rFonts w:ascii="Times New Roman" w:hAnsi="Times New Roman"/>
          <w:color w:val="000000"/>
          <w:highlight w:val="none"/>
          <w:u w:val="single"/>
        </w:rPr>
        <w:t xml:space="preserve">                      </w:t>
      </w:r>
      <w:bookmarkEnd w:id="63"/>
      <w:r>
        <w:rPr>
          <w:rFonts w:ascii="Times New Roman" w:hAnsi="Times New Roman"/>
          <w:color w:val="000000"/>
          <w:highlight w:val="none"/>
          <w:u w:val="single"/>
        </w:rPr>
        <w:t xml:space="preserve"> </w:t>
      </w:r>
      <w:r>
        <w:rPr>
          <w:rFonts w:ascii="Times New Roman" w:hAnsi="Times New Roman"/>
          <w:color w:val="000000"/>
          <w:highlight w:val="none"/>
        </w:rPr>
        <w:t xml:space="preserve">（若乙方为中小企业，不得强制其接受非现金支付方式）</w:t>
      </w:r>
      <w:r>
        <w:rPr>
          <w:rFonts w:ascii="Times New Roman" w:hAnsi="Times New Roman"/>
          <w:color w:val="000000"/>
          <w:highlight w:val="none"/>
        </w:rPr>
      </w:r>
      <w:r/>
    </w:p>
    <w:p>
      <w:pPr>
        <w:pStyle w:val="1325"/>
        <w:ind w:firstLine="482"/>
        <w:spacing w:line="440" w:lineRule="atLeast"/>
        <w:shd w:val="clear" w:color="auto" w:fill="auto"/>
        <w:tabs>
          <w:tab w:val="center" w:pos="5131" w:leader="none"/>
        </w:tabs>
        <w:rPr>
          <w:rFonts w:eastAsia="宋体"/>
          <w:b/>
          <w:bCs/>
          <w:color w:val="000000"/>
          <w:highlight w:val="none"/>
        </w:rPr>
      </w:pPr>
      <w:r>
        <w:rPr>
          <w:rFonts w:eastAsia="宋体"/>
          <w:b/>
          <w:bCs/>
          <w:color w:val="000000"/>
          <w:highlight w:val="none"/>
        </w:rPr>
        <w:t xml:space="preserve">六、税</w:t>
      </w:r>
      <w:r>
        <w:rPr>
          <w:rFonts w:eastAsia="宋体"/>
          <w:b/>
          <w:bCs/>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6.1 本合同执行中相关的一切税费均由乙方负担。</w:t>
      </w:r>
      <w:r>
        <w:rPr>
          <w:rFonts w:eastAsia="宋体"/>
          <w:color w:val="000000"/>
          <w:highlight w:val="none"/>
        </w:rPr>
      </w:r>
      <w:r/>
    </w:p>
    <w:p>
      <w:pPr>
        <w:pStyle w:val="1325"/>
        <w:ind w:firstLine="482"/>
        <w:spacing w:line="440" w:lineRule="atLeast"/>
        <w:shd w:val="clear" w:color="auto" w:fill="auto"/>
        <w:rPr>
          <w:rFonts w:eastAsia="宋体"/>
          <w:color w:val="000000"/>
          <w:highlight w:val="none"/>
        </w:rPr>
      </w:pPr>
      <w:r>
        <w:rPr>
          <w:rFonts w:eastAsia="宋体"/>
          <w:b/>
          <w:bCs/>
          <w:color w:val="000000"/>
          <w:highlight w:val="none"/>
        </w:rPr>
        <w:t xml:space="preserve">七、</w:t>
      </w:r>
      <w:r>
        <w:rPr>
          <w:rFonts w:eastAsia="宋体"/>
          <w:b/>
          <w:color w:val="000000"/>
          <w:highlight w:val="none"/>
        </w:rPr>
        <w:t xml:space="preserve">服务事项</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7.1 按招标内容要求以及响应单位的承诺项目阐述。</w:t>
      </w:r>
      <w:r>
        <w:rPr>
          <w:rFonts w:eastAsia="宋体"/>
          <w:color w:val="000000"/>
          <w:highlight w:val="none"/>
        </w:rPr>
      </w:r>
      <w:r/>
    </w:p>
    <w:p>
      <w:pPr>
        <w:pStyle w:val="1325"/>
        <w:ind w:firstLine="482"/>
        <w:spacing w:line="440" w:lineRule="atLeast"/>
        <w:shd w:val="clear" w:color="auto" w:fill="auto"/>
        <w:rPr>
          <w:rFonts w:eastAsia="宋体"/>
          <w:b/>
          <w:color w:val="000000"/>
          <w:highlight w:val="none"/>
        </w:rPr>
      </w:pPr>
      <w:r>
        <w:rPr>
          <w:rFonts w:eastAsia="宋体"/>
          <w:b/>
          <w:color w:val="000000"/>
          <w:highlight w:val="none"/>
        </w:rPr>
        <w:t xml:space="preserve">八、双方权利义务</w:t>
      </w:r>
      <w:r>
        <w:rPr>
          <w:rFonts w:eastAsia="宋体"/>
          <w:b/>
          <w:color w:val="000000"/>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8.1 根据甲方的服务要求及乙方投标文件中的承诺，由甲方对乙方提供的服务及履行本合同情况进行监督。</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8.2 乙方应按照合同中规定的时间完成理赔，并及时拨付理赔金。</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8.3 如果乙方在中标后无正当理由拖延办理承保手续或拖延理赔时间，甲方有权单方终止合同，并没收乙方的履约保证金，甲方要求乙方退回所有未到期的保费。</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8.4 在履行合同过程中，如果乙方遇到不能按时完成理赔的情况，应及时以书面形式将不能按时赔付的理由、可能延误的时间通知甲方。甲方在收到乙方书面通知后，应对情况进行分析，决定是否酌情延长时间，同时甲方保留追究乙方责任的权利。</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8.5 如果乙方没有按照合同规定的时间或甲方同意延长的时间内完成理赔，乙方应对由此产生的风险和损失负全部责任。</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8.6乙方应按照承保险种承担相应保险责任。</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8.7 乙方应保证在提供承保和理赔服务时做到责任、范围、内容、标准、额度等符合招标文件规定和投标承诺。</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8.8 乙方对赔案的结案时间不得超过招标文件规定和投标时所作出的承诺。</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8.9 乙方对被保险人每次出险后的实际赔付额，按规定标准及投标承诺的内容执行。</w:t>
      </w:r>
      <w:r>
        <w:rPr>
          <w:rFonts w:ascii="Times New Roman" w:hAnsi="Times New Roman"/>
          <w:color w:val="000000"/>
          <w:sz w:val="24"/>
          <w:szCs w:val="24"/>
          <w:highlight w:val="none"/>
        </w:rPr>
      </w:r>
      <w:r/>
    </w:p>
    <w:p>
      <w:pPr>
        <w:pStyle w:val="1325"/>
        <w:ind w:firstLine="482"/>
        <w:spacing w:line="440" w:lineRule="atLeast"/>
        <w:shd w:val="clear" w:color="auto" w:fill="auto"/>
        <w:rPr>
          <w:rFonts w:eastAsia="宋体"/>
          <w:b/>
          <w:color w:val="000000"/>
          <w:highlight w:val="none"/>
        </w:rPr>
      </w:pPr>
      <w:r>
        <w:rPr>
          <w:rFonts w:eastAsia="宋体"/>
          <w:b/>
          <w:color w:val="000000"/>
          <w:highlight w:val="none"/>
        </w:rPr>
        <w:t xml:space="preserve">九、服务质量</w:t>
      </w:r>
      <w:r>
        <w:rPr>
          <w:rFonts w:eastAsia="宋体"/>
          <w:b/>
          <w:color w:val="000000"/>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9.1 乙方承诺按照法律规定及合同达到投标文件所约定的目标。对达标的理解有异议的，由双方共同认可的第三方予以评定。</w:t>
      </w:r>
      <w:r>
        <w:rPr>
          <w:rFonts w:ascii="Times New Roman" w:hAnsi="Times New Roman"/>
          <w:color w:val="000000"/>
          <w:sz w:val="24"/>
          <w:szCs w:val="24"/>
          <w:highlight w:val="none"/>
        </w:rPr>
      </w:r>
      <w:r/>
    </w:p>
    <w:p>
      <w:pPr>
        <w:pStyle w:val="790"/>
        <w:ind w:firstLine="480"/>
        <w:jc w:val="left"/>
        <w:spacing w:line="440" w:lineRule="atLeast"/>
        <w:shd w:val="clear" w:color="auto" w:fill="auto"/>
        <w:widowControl/>
        <w:rPr>
          <w:rFonts w:ascii="Times New Roman" w:hAnsi="Times New Roman"/>
          <w:color w:val="000000"/>
          <w:sz w:val="24"/>
          <w:szCs w:val="24"/>
          <w:highlight w:val="none"/>
        </w:rPr>
      </w:pPr>
      <w:r>
        <w:rPr>
          <w:rFonts w:ascii="Times New Roman" w:hAnsi="Times New Roman"/>
          <w:color w:val="000000"/>
          <w:sz w:val="24"/>
          <w:szCs w:val="24"/>
          <w:highlight w:val="none"/>
        </w:rPr>
        <w:t xml:space="preserve">9.2 服务成果标准须按招标文件第四章项目需求和乙方在投标文件中承诺的执行。</w:t>
      </w:r>
      <w:r>
        <w:rPr>
          <w:rFonts w:ascii="Times New Roman" w:hAnsi="Times New Roman"/>
          <w:color w:val="000000"/>
          <w:sz w:val="24"/>
          <w:szCs w:val="24"/>
          <w:highlight w:val="none"/>
        </w:rPr>
      </w:r>
      <w:r/>
    </w:p>
    <w:p>
      <w:pPr>
        <w:pStyle w:val="1324"/>
        <w:ind w:firstLine="482"/>
        <w:spacing w:line="440" w:lineRule="atLeast"/>
        <w:shd w:val="clear" w:color="auto" w:fill="auto"/>
        <w:rPr>
          <w:rFonts w:eastAsia="宋体"/>
          <w:color w:val="000000"/>
          <w:highlight w:val="none"/>
        </w:rPr>
      </w:pPr>
      <w:r>
        <w:rPr>
          <w:rFonts w:eastAsia="宋体"/>
          <w:b/>
          <w:bCs/>
          <w:color w:val="000000"/>
          <w:highlight w:val="none"/>
        </w:rPr>
        <w:t xml:space="preserve">十、</w:t>
      </w:r>
      <w:r>
        <w:rPr>
          <w:rFonts w:eastAsia="宋体"/>
          <w:b/>
          <w:color w:val="000000"/>
          <w:highlight w:val="none"/>
        </w:rPr>
        <w:t xml:space="preserve">违约责任</w:t>
      </w:r>
      <w:r>
        <w:rPr>
          <w:rFonts w:eastAsia="宋体"/>
          <w:color w:val="000000"/>
          <w:highlight w:val="none"/>
        </w:rPr>
      </w:r>
      <w:r/>
    </w:p>
    <w:p>
      <w:pPr>
        <w:pStyle w:val="790"/>
        <w:ind w:firstLine="480"/>
        <w:spacing w:line="440" w:lineRule="atLeas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10.1 在合同生效后，甲方无理由要求终止服务的，应向乙方偿付合同总价款的5%作为违约金，违约金不足以补偿损失的，乙方有权要求甲方补足。</w:t>
      </w:r>
      <w:r>
        <w:rPr>
          <w:rFonts w:ascii="Times New Roman" w:hAnsi="Times New Roman"/>
          <w:color w:val="000000"/>
          <w:sz w:val="24"/>
          <w:highlight w:val="none"/>
        </w:rPr>
      </w:r>
      <w:r/>
    </w:p>
    <w:p>
      <w:pPr>
        <w:pStyle w:val="790"/>
        <w:ind w:firstLine="480"/>
        <w:spacing w:line="440" w:lineRule="atLeas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10.2 甲方逾期付款的应按照逾期付款金额的每天万分之四支付逾期付款违约金。</w:t>
      </w:r>
      <w:r>
        <w:rPr>
          <w:rFonts w:ascii="Times New Roman" w:hAnsi="Times New Roman"/>
          <w:color w:val="000000"/>
          <w:sz w:val="24"/>
          <w:highlight w:val="none"/>
        </w:rPr>
      </w:r>
      <w:r/>
    </w:p>
    <w:p>
      <w:pPr>
        <w:pStyle w:val="790"/>
        <w:ind w:firstLine="480"/>
        <w:spacing w:line="440" w:lineRule="atLeas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10.3 甲方违反合同规定，拒绝接受乙方提供服务，应当承担乙方由此造成的损失。</w:t>
      </w:r>
      <w:r>
        <w:rPr>
          <w:rFonts w:ascii="Times New Roman" w:hAnsi="Times New Roman"/>
          <w:color w:val="000000"/>
          <w:sz w:val="24"/>
          <w:highlight w:val="none"/>
        </w:rPr>
      </w:r>
      <w:r/>
    </w:p>
    <w:p>
      <w:pPr>
        <w:pStyle w:val="790"/>
        <w:ind w:firstLine="480"/>
        <w:spacing w:line="440" w:lineRule="atLeas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10.4 乙方不能提供服务的，或服务不合格从而影响甲方工作开展，甲方有权终止合同，乙方应向甲方偿付合同总价款5%的违约金，违约金不足以补偿损失的甲方有权要求乙方补足。</w:t>
      </w:r>
      <w:r>
        <w:rPr>
          <w:rFonts w:ascii="Times New Roman" w:hAnsi="Times New Roman"/>
          <w:color w:val="000000"/>
          <w:sz w:val="24"/>
          <w:highlight w:val="none"/>
        </w:rPr>
      </w:r>
      <w:r/>
    </w:p>
    <w:p>
      <w:pPr>
        <w:pStyle w:val="790"/>
        <w:ind w:firstLine="480"/>
        <w:spacing w:line="440" w:lineRule="atLeas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10.5 乙方逾期提供服务的，应与甲方协商，甲方仍需求的，乙方应立即提供服务并按照逾期服务的每天万分之四支付逾期违约金，同时承担甲方因此遭致的损失费用。</w:t>
      </w:r>
      <w:r>
        <w:rPr>
          <w:rFonts w:ascii="Times New Roman" w:hAnsi="Times New Roman"/>
          <w:color w:val="000000"/>
          <w:sz w:val="24"/>
          <w:highlight w:val="none"/>
        </w:rPr>
      </w:r>
      <w:r/>
    </w:p>
    <w:p>
      <w:pPr>
        <w:pStyle w:val="790"/>
        <w:ind w:firstLine="482"/>
        <w:spacing w:line="440" w:lineRule="atLeast"/>
        <w:shd w:val="clear" w:color="auto" w:fill="auto"/>
        <w:rPr>
          <w:rFonts w:ascii="Times New Roman" w:hAnsi="Times New Roman"/>
          <w:color w:val="000000"/>
          <w:sz w:val="24"/>
          <w:highlight w:val="none"/>
        </w:rPr>
      </w:pPr>
      <w:r>
        <w:rPr>
          <w:rFonts w:ascii="Times New Roman" w:hAnsi="Times New Roman"/>
          <w:b/>
          <w:bCs/>
          <w:color w:val="000000"/>
          <w:sz w:val="24"/>
          <w:highlight w:val="none"/>
        </w:rPr>
        <w:t xml:space="preserve">十一、不可抗力事件处理</w:t>
      </w:r>
      <w:r>
        <w:rPr>
          <w:rFonts w:ascii="Times New Roman" w:hAnsi="Times New Roman"/>
          <w:color w:val="000000"/>
          <w:sz w:val="24"/>
          <w:highlight w:val="none"/>
        </w:rPr>
      </w:r>
      <w:r/>
    </w:p>
    <w:p>
      <w:pPr>
        <w:pStyle w:val="1325"/>
        <w:ind w:left="63" w:firstLine="480"/>
        <w:spacing w:line="440" w:lineRule="atLeast"/>
        <w:shd w:val="clear" w:color="auto" w:fill="auto"/>
        <w:rPr>
          <w:rFonts w:eastAsia="宋体"/>
          <w:color w:val="000000"/>
          <w:highlight w:val="none"/>
        </w:rPr>
      </w:pPr>
      <w:r>
        <w:rPr>
          <w:rFonts w:eastAsia="宋体"/>
          <w:color w:val="000000"/>
          <w:highlight w:val="none"/>
        </w:rPr>
        <w:t xml:space="preserve">11.1 在合同有效期内，任何一方因不可抗力事件导致不能履行合同，则合同履行期可延长，其延长期与不可抗力影响期相同。</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11.2 不可抗力事件发生后，应立即通知对方，并寄送有关权威机构出具的证明。</w:t>
      </w:r>
      <w:r>
        <w:rPr>
          <w:rFonts w:eastAsia="宋体"/>
          <w:color w:val="000000"/>
          <w:highlight w:val="none"/>
        </w:rPr>
      </w:r>
      <w:r/>
    </w:p>
    <w:p>
      <w:pPr>
        <w:pStyle w:val="1325"/>
        <w:ind w:firstLine="470"/>
        <w:spacing w:line="440" w:lineRule="atLeast"/>
        <w:shd w:val="clear" w:color="auto" w:fill="auto"/>
        <w:rPr>
          <w:rFonts w:eastAsia="宋体"/>
          <w:color w:val="000000"/>
          <w:highlight w:val="none"/>
        </w:rPr>
      </w:pPr>
      <w:r>
        <w:rPr>
          <w:rFonts w:eastAsia="宋体"/>
          <w:color w:val="000000"/>
          <w:highlight w:val="none"/>
        </w:rPr>
        <w:t xml:space="preserve">11.3 不可抗力事件延续120天以上，双方应通过友好协商，确定是否继续履行合同。</w:t>
      </w:r>
      <w:r>
        <w:rPr>
          <w:rFonts w:eastAsia="宋体"/>
          <w:color w:val="000000"/>
          <w:highlight w:val="none"/>
        </w:rPr>
      </w:r>
      <w:r/>
    </w:p>
    <w:p>
      <w:pPr>
        <w:pStyle w:val="1325"/>
        <w:ind w:firstLine="472"/>
        <w:spacing w:line="440" w:lineRule="atLeast"/>
        <w:shd w:val="clear" w:color="auto" w:fill="auto"/>
        <w:rPr>
          <w:rFonts w:eastAsia="宋体"/>
          <w:b/>
          <w:bCs/>
          <w:color w:val="000000"/>
          <w:highlight w:val="none"/>
        </w:rPr>
      </w:pPr>
      <w:r>
        <w:rPr>
          <w:rFonts w:eastAsia="宋体"/>
          <w:b/>
          <w:bCs/>
          <w:color w:val="000000"/>
          <w:highlight w:val="none"/>
        </w:rPr>
        <w:t xml:space="preserve">十二、诉讼</w:t>
      </w:r>
      <w:r>
        <w:rPr>
          <w:rFonts w:eastAsia="宋体"/>
          <w:b/>
          <w:bCs/>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12.1 双方在执行合同中所发生的一切争议，应通过协商解决。如协商不成，可向合同签订地法院起诉，合同签订地在此约定为张家港市。</w:t>
      </w:r>
      <w:r>
        <w:rPr>
          <w:rFonts w:eastAsia="宋体"/>
          <w:color w:val="000000"/>
          <w:highlight w:val="none"/>
        </w:rPr>
      </w:r>
      <w:r/>
    </w:p>
    <w:p>
      <w:pPr>
        <w:pStyle w:val="1325"/>
        <w:ind w:firstLine="472"/>
        <w:spacing w:line="440" w:lineRule="atLeast"/>
        <w:shd w:val="clear" w:color="auto" w:fill="auto"/>
        <w:rPr>
          <w:rFonts w:eastAsia="宋体"/>
          <w:b/>
          <w:bCs/>
          <w:color w:val="000000"/>
          <w:highlight w:val="none"/>
        </w:rPr>
      </w:pPr>
      <w:r>
        <w:rPr>
          <w:rFonts w:eastAsia="宋体"/>
          <w:b/>
          <w:bCs/>
          <w:color w:val="000000"/>
          <w:highlight w:val="none"/>
        </w:rPr>
        <w:t xml:space="preserve">十三、合同其他文件</w:t>
      </w:r>
      <w:r>
        <w:rPr>
          <w:rFonts w:eastAsia="宋体"/>
          <w:b/>
          <w:bCs/>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13.1下列文件为本合同不可分割部份，与本合同具有同等效力。</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(1)中标通知书；</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(2)供方中标的投标书；</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(3)招标文件；</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(4)供方在招投标过程中所作的其他承诺、声明、书面澄清等。</w:t>
      </w:r>
      <w:r>
        <w:rPr>
          <w:rFonts w:eastAsia="宋体"/>
          <w:color w:val="000000"/>
          <w:highlight w:val="none"/>
        </w:rPr>
      </w:r>
      <w:r/>
    </w:p>
    <w:p>
      <w:pPr>
        <w:pStyle w:val="1325"/>
        <w:ind w:firstLine="470"/>
        <w:spacing w:line="440" w:lineRule="atLeast"/>
        <w:shd w:val="clear" w:color="auto" w:fill="auto"/>
        <w:rPr>
          <w:rFonts w:eastAsia="宋体"/>
          <w:b/>
          <w:bCs/>
          <w:color w:val="000000"/>
          <w:highlight w:val="none"/>
        </w:rPr>
      </w:pPr>
      <w:r>
        <w:rPr>
          <w:rFonts w:eastAsia="宋体"/>
          <w:b/>
          <w:bCs/>
          <w:color w:val="000000"/>
          <w:highlight w:val="none"/>
        </w:rPr>
        <w:t xml:space="preserve">十四、合同生效及其它</w:t>
      </w:r>
      <w:r>
        <w:rPr>
          <w:rFonts w:eastAsia="宋体"/>
          <w:b/>
          <w:bCs/>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14.1合同经双方法定代表人</w:t>
      </w:r>
      <w:r>
        <w:rPr>
          <w:rFonts w:eastAsia="宋体"/>
          <w:bCs/>
          <w:color w:val="000000"/>
          <w:highlight w:val="none"/>
        </w:rPr>
        <w:t xml:space="preserve">（或负责人）</w:t>
      </w:r>
      <w:r>
        <w:rPr>
          <w:rFonts w:eastAsia="宋体"/>
          <w:color w:val="000000"/>
          <w:highlight w:val="none"/>
        </w:rPr>
        <w:t xml:space="preserve">或授权委托代表人签字并加盖单位公章后生效,生效后至张家港市政府采购管理中心备案。</w:t>
      </w:r>
      <w:r>
        <w:rPr>
          <w:rFonts w:eastAsia="宋体"/>
          <w:color w:val="000000"/>
          <w:highlight w:val="none"/>
        </w:rPr>
      </w:r>
      <w:r/>
    </w:p>
    <w:p>
      <w:pPr>
        <w:pStyle w:val="1325"/>
        <w:ind w:firstLine="480"/>
        <w:spacing w:line="440" w:lineRule="atLeast"/>
        <w:shd w:val="clear" w:color="auto" w:fill="auto"/>
        <w:rPr>
          <w:rFonts w:eastAsia="宋体"/>
          <w:color w:val="000000"/>
          <w:highlight w:val="none"/>
        </w:rPr>
      </w:pPr>
      <w:r>
        <w:rPr>
          <w:rFonts w:eastAsia="宋体"/>
          <w:color w:val="000000"/>
          <w:highlight w:val="none"/>
        </w:rPr>
        <w:t xml:space="preserve">14.2 本合同未尽事宜，遵照《民法典》合同编经甲乙双方协商一致可签订补充协议。</w:t>
      </w:r>
      <w:r>
        <w:rPr>
          <w:rFonts w:eastAsia="宋体"/>
          <w:color w:val="000000"/>
          <w:highlight w:val="none"/>
        </w:rPr>
      </w:r>
      <w:r/>
    </w:p>
    <w:p>
      <w:pPr>
        <w:pStyle w:val="1326"/>
        <w:ind w:firstLine="480"/>
        <w:spacing w:line="440" w:lineRule="exact"/>
        <w:shd w:val="clear" w:color="auto" w:fill="auto"/>
        <w:rPr>
          <w:rFonts w:eastAsia="宋体"/>
          <w:color w:val="000000"/>
          <w:highlight w:val="none"/>
        </w:rPr>
      </w:pPr>
      <w:r>
        <w:rPr>
          <w:rFonts w:eastAsia="宋体"/>
          <w:color w:val="000000"/>
          <w:highlight w:val="none"/>
        </w:rPr>
        <w:t xml:space="preserve">14.3 本合同载明的双方地址为当事人在履行合同及合同纠纷中向对方通知（或者送达）各类文书的有效地址，任何一方地址变更后均需在3个工作日内书面通知对方，在未书面通知前按合同载明地址通知或者送达的，均视为有效通知和送达。</w:t>
      </w:r>
      <w:r>
        <w:rPr>
          <w:rFonts w:eastAsia="宋体"/>
          <w:color w:val="000000"/>
          <w:highlight w:val="none"/>
        </w:rPr>
      </w:r>
      <w:r/>
    </w:p>
    <w:p>
      <w:pPr>
        <w:pStyle w:val="1322"/>
        <w:ind w:firstLine="480"/>
        <w:spacing w:line="440" w:lineRule="exact"/>
        <w:shd w:val="clear" w:color="auto" w:fill="auto"/>
        <w:widowControl/>
        <w:rPr>
          <w:bCs/>
          <w:color w:val="000000"/>
          <w:sz w:val="24"/>
          <w:highlight w:val="none"/>
        </w:rPr>
      </w:pPr>
      <w:r>
        <w:rPr>
          <w:color w:val="000000"/>
          <w:sz w:val="24"/>
          <w:highlight w:val="none"/>
        </w:rPr>
        <w:t xml:space="preserve">14.4 本合同正本一式六份，具有同等法律效力，甲乙双方各执二份、张家港市政府采购管理中心、张家港禾达招投标咨询服务有限公司各执一份。</w:t>
      </w:r>
      <w:r>
        <w:rPr>
          <w:bCs/>
          <w:color w:val="000000"/>
          <w:sz w:val="24"/>
          <w:highlight w:val="none"/>
        </w:rPr>
      </w:r>
      <w:r/>
    </w:p>
    <w:p>
      <w:pPr>
        <w:pStyle w:val="790"/>
        <w:ind w:left="480" w:hanging="48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90"/>
        <w:ind w:left="480" w:hanging="48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90"/>
        <w:ind w:left="480" w:hanging="48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90"/>
        <w:ind w:left="480" w:hanging="48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甲方：</w:t>
      </w:r>
      <w:bookmarkStart w:id="64" w:name="jianshedanwei_2"/>
      <w:r>
        <w:rPr>
          <w:rFonts w:ascii="Times New Roman" w:hAnsi="Times New Roman"/>
          <w:color w:val="000000"/>
          <w:sz w:val="24"/>
          <w:szCs w:val="24"/>
          <w:highlight w:val="none"/>
        </w:rPr>
        <w:t xml:space="preserve">                </w:t>
      </w:r>
      <w:bookmarkEnd w:id="64"/>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9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地址：</w:t>
      </w:r>
      <w:bookmarkStart w:id="65" w:name="jianshedanweiaddress"/>
      <w:r>
        <w:rPr>
          <w:rFonts w:ascii="Times New Roman" w:hAnsi="Times New Roman"/>
          <w:color w:val="000000"/>
          <w:sz w:val="24"/>
          <w:szCs w:val="24"/>
          <w:highlight w:val="none"/>
        </w:rPr>
        <w:t xml:space="preserve">               </w:t>
      </w:r>
      <w:bookmarkEnd w:id="65"/>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9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法定代表人或授权代表：</w:t>
      </w:r>
      <w:bookmarkStart w:id="66" w:name="jianshedanweifaren"/>
      <w:r>
        <w:rPr>
          <w:rFonts w:ascii="Times New Roman" w:hAnsi="Times New Roman"/>
          <w:color w:val="000000"/>
          <w:sz w:val="24"/>
          <w:szCs w:val="24"/>
          <w:highlight w:val="none"/>
        </w:rPr>
        <w:t xml:space="preserve">        </w:t>
      </w:r>
      <w:bookmarkEnd w:id="66"/>
      <w:r>
        <w:rPr>
          <w:rFonts w:ascii="Times New Roman" w:hAnsi="Times New Roman"/>
          <w:color w:val="000000"/>
          <w:sz w:val="24"/>
          <w:szCs w:val="24"/>
          <w:highlight w:val="none"/>
        </w:rPr>
      </w:r>
      <w:r/>
    </w:p>
    <w:p>
      <w:pPr>
        <w:pStyle w:val="79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  联系电话：</w:t>
      </w:r>
      <w:bookmarkStart w:id="67" w:name="jianshedanweifarentel"/>
      <w:r>
        <w:rPr>
          <w:rFonts w:ascii="Times New Roman" w:hAnsi="Times New Roman"/>
          <w:color w:val="000000"/>
          <w:sz w:val="24"/>
          <w:szCs w:val="24"/>
          <w:highlight w:val="none"/>
        </w:rPr>
        <w:t xml:space="preserve">                   </w:t>
      </w:r>
      <w:bookmarkEnd w:id="67"/>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90"/>
        <w:ind w:left="5850" w:hanging="564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签订日期： </w:t>
      </w:r>
      <w:bookmarkStart w:id="68" w:name="jiafangqiandingdate"/>
      <w:r>
        <w:rPr>
          <w:rFonts w:ascii="Times New Roman" w:hAnsi="Times New Roman"/>
          <w:color w:val="000000"/>
          <w:sz w:val="24"/>
          <w:szCs w:val="24"/>
          <w:highlight w:val="none"/>
        </w:rPr>
        <w:t xml:space="preserve">     年    月  日</w:t>
      </w:r>
      <w:bookmarkEnd w:id="68"/>
      <w:r>
        <w:rPr>
          <w:rFonts w:ascii="Times New Roman" w:hAnsi="Times New Roman"/>
          <w:color w:val="000000"/>
          <w:sz w:val="24"/>
          <w:szCs w:val="24"/>
          <w:highlight w:val="none"/>
        </w:rPr>
        <w:t xml:space="preserve">   </w:t>
      </w:r>
      <w:bookmarkEnd w:id="48"/>
      <w:r>
        <w:rPr>
          <w:rFonts w:ascii="Times New Roman" w:hAnsi="Times New Roman"/>
          <w:color w:val="000000"/>
          <w:sz w:val="24"/>
          <w:szCs w:val="24"/>
          <w:highlight w:val="none"/>
        </w:rPr>
      </w:r>
      <w:r/>
    </w:p>
    <w:p>
      <w:pPr>
        <w:pStyle w:val="790"/>
        <w:ind w:left="5850" w:hanging="564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90"/>
        <w:ind w:left="58" w:firstLine="152"/>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w:t>
      </w:r>
      <w:bookmarkStart w:id="69" w:name="zhongbiaodanweiname_2"/>
      <w:r>
        <w:rPr>
          <w:rFonts w:ascii="Times New Roman" w:hAnsi="Times New Roman"/>
          <w:color w:val="000000"/>
          <w:sz w:val="24"/>
          <w:szCs w:val="24"/>
          <w:highlight w:val="none"/>
        </w:rPr>
        <w:t xml:space="preserve">                     </w:t>
      </w:r>
      <w:bookmarkEnd w:id="69"/>
      <w:r>
        <w:rPr>
          <w:rFonts w:ascii="Times New Roman" w:hAnsi="Times New Roman"/>
          <w:color w:val="000000"/>
          <w:sz w:val="24"/>
          <w:szCs w:val="24"/>
          <w:highlight w:val="none"/>
        </w:rPr>
      </w:r>
      <w:r/>
    </w:p>
    <w:p>
      <w:pPr>
        <w:pStyle w:val="790"/>
        <w:ind w:firstLine="21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地址：</w:t>
      </w:r>
      <w:bookmarkStart w:id="70" w:name="zhongbiaodanweiaddress"/>
      <w:r>
        <w:rPr>
          <w:rFonts w:ascii="Times New Roman" w:hAnsi="Times New Roman"/>
          <w:color w:val="000000"/>
          <w:sz w:val="24"/>
          <w:szCs w:val="24"/>
          <w:highlight w:val="none"/>
        </w:rPr>
        <w:t xml:space="preserve">              </w:t>
      </w:r>
      <w:bookmarkEnd w:id="70"/>
      <w:r>
        <w:rPr>
          <w:rFonts w:ascii="Times New Roman" w:hAnsi="Times New Roman"/>
          <w:color w:val="000000"/>
          <w:sz w:val="24"/>
          <w:szCs w:val="24"/>
          <w:highlight w:val="none"/>
        </w:rPr>
      </w:r>
      <w:r/>
    </w:p>
    <w:p>
      <w:pPr>
        <w:pStyle w:val="790"/>
        <w:ind w:firstLine="21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法定代表人</w:t>
      </w:r>
      <w:r>
        <w:rPr>
          <w:rFonts w:ascii="Times New Roman" w:hAnsi="Times New Roman"/>
          <w:bCs/>
          <w:color w:val="000000"/>
          <w:sz w:val="24"/>
          <w:szCs w:val="24"/>
          <w:highlight w:val="none"/>
        </w:rPr>
        <w:t xml:space="preserve">（或负责人）</w:t>
      </w:r>
      <w:r>
        <w:rPr>
          <w:rFonts w:ascii="Times New Roman" w:hAnsi="Times New Roman"/>
          <w:color w:val="000000"/>
          <w:sz w:val="24"/>
          <w:szCs w:val="24"/>
          <w:highlight w:val="none"/>
        </w:rPr>
        <w:t xml:space="preserve">或授权代表：</w:t>
      </w:r>
      <w:bookmarkStart w:id="71" w:name="zhongbiaodanweifaren"/>
      <w:r>
        <w:rPr>
          <w:rFonts w:ascii="Times New Roman" w:hAnsi="Times New Roman"/>
          <w:color w:val="000000"/>
          <w:sz w:val="24"/>
          <w:szCs w:val="24"/>
          <w:highlight w:val="none"/>
        </w:rPr>
        <w:t xml:space="preserve">               </w:t>
      </w:r>
      <w:bookmarkEnd w:id="71"/>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790"/>
        <w:ind w:firstLine="21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联系电话：</w:t>
      </w:r>
      <w:bookmarkStart w:id="72" w:name="zhongbiaodanweifarentel"/>
      <w:r>
        <w:rPr>
          <w:rFonts w:ascii="Times New Roman" w:hAnsi="Times New Roman"/>
          <w:color w:val="000000"/>
          <w:sz w:val="24"/>
          <w:szCs w:val="24"/>
          <w:highlight w:val="none"/>
        </w:rPr>
        <w:t xml:space="preserve">                 </w:t>
      </w:r>
      <w:bookmarkEnd w:id="72"/>
      <w:r>
        <w:rPr>
          <w:rFonts w:ascii="Times New Roman" w:hAnsi="Times New Roman"/>
          <w:color w:val="000000"/>
          <w:sz w:val="24"/>
          <w:szCs w:val="24"/>
          <w:highlight w:val="none"/>
        </w:rPr>
      </w:r>
      <w:r/>
    </w:p>
    <w:p>
      <w:pPr>
        <w:pStyle w:val="790"/>
        <w:ind w:left="5850" w:hanging="5640"/>
        <w:spacing w:line="42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签订日期： </w:t>
      </w:r>
      <w:bookmarkStart w:id="73" w:name="yifangqiandingdate"/>
      <w:r>
        <w:rPr>
          <w:rFonts w:ascii="Times New Roman" w:hAnsi="Times New Roman"/>
          <w:color w:val="000000"/>
          <w:sz w:val="24"/>
          <w:szCs w:val="24"/>
          <w:highlight w:val="none"/>
        </w:rPr>
        <w:t xml:space="preserve">     年    月  日</w:t>
      </w:r>
      <w:bookmarkEnd w:id="46"/>
      <w:r/>
      <w:bookmarkEnd w:id="47"/>
      <w:r/>
      <w:bookmarkEnd w:id="73"/>
      <w:r>
        <w:rPr>
          <w:rFonts w:ascii="Times New Roman" w:hAnsi="Times New Roman"/>
          <w:color w:val="000000"/>
          <w:sz w:val="24"/>
          <w:szCs w:val="24"/>
          <w:highlight w:val="none"/>
        </w:rPr>
      </w:r>
      <w:r/>
    </w:p>
    <w:p>
      <w:pPr>
        <w:pStyle w:val="790"/>
        <w:shd w:val="clear" w:color="auto" w:fill="auto"/>
        <w:rPr>
          <w:rFonts w:ascii="Times New Roman" w:hAnsi="Times New Roman"/>
          <w:color w:val="000000"/>
          <w:sz w:val="20"/>
          <w:highlight w:val="none"/>
        </w:rPr>
      </w:pPr>
      <w:r>
        <w:rPr>
          <w:rFonts w:ascii="Times New Roman" w:hAnsi="Times New Roman"/>
          <w:color w:val="000000"/>
          <w:sz w:val="20"/>
          <w:highlight w:val="none"/>
        </w:rPr>
      </w:r>
      <w:r/>
    </w:p>
    <w:p>
      <w:pPr>
        <w:pStyle w:val="870"/>
        <w:pageBreakBefore/>
        <w:spacing w:line="360" w:lineRule="auto"/>
        <w:shd w:val="clear" w:color="auto" w:fill="auto"/>
        <w:rPr>
          <w:rFonts w:ascii="Times New Roman" w:hAnsi="Times New Roman" w:eastAsia="宋体"/>
          <w:color w:val="000000"/>
          <w:highlight w:val="none"/>
        </w:rPr>
      </w:pPr>
      <w:r/>
      <w:bookmarkStart w:id="74" w:name="_Hlt16619350"/>
      <w:r/>
      <w:bookmarkStart w:id="75" w:name="_Toc209797852"/>
      <w:r/>
      <w:bookmarkStart w:id="76" w:name="_Hlk208058726"/>
      <w:r>
        <w:rPr>
          <w:rFonts w:ascii="Times New Roman" w:hAnsi="Times New Roman" w:eastAsia="宋体"/>
          <w:color w:val="000000"/>
          <w:highlight w:val="none"/>
        </w:rPr>
        <w:t xml:space="preserve">第</w:t>
      </w:r>
      <w:bookmarkEnd w:id="74"/>
      <w:r>
        <w:rPr>
          <w:rFonts w:ascii="Times New Roman" w:hAnsi="Times New Roman" w:eastAsia="宋体"/>
          <w:color w:val="000000"/>
          <w:highlight w:val="none"/>
        </w:rPr>
        <w:t xml:space="preserve">四章 </w:t>
      </w:r>
      <w:bookmarkStart w:id="77" w:name="_Hlk219389541"/>
      <w:r>
        <w:rPr>
          <w:rFonts w:ascii="Times New Roman" w:hAnsi="Times New Roman" w:eastAsia="宋体"/>
          <w:color w:val="000000"/>
          <w:highlight w:val="none"/>
        </w:rPr>
        <w:t xml:space="preserve">项目需求</w:t>
      </w:r>
      <w:bookmarkEnd w:id="75"/>
      <w:r>
        <w:rPr>
          <w:rFonts w:ascii="Times New Roman" w:hAnsi="Times New Roman" w:eastAsia="宋体"/>
          <w:color w:val="000000"/>
          <w:highlight w:val="none"/>
        </w:rPr>
      </w:r>
      <w:r/>
    </w:p>
    <w:p>
      <w:pPr>
        <w:pStyle w:val="790"/>
        <w:spacing w:line="360" w:lineRule="auto"/>
        <w:shd w:val="clear" w:color="auto" w:fill="auto"/>
        <w:rPr>
          <w:rFonts w:ascii="Times New Roman" w:hAnsi="Times New Roman"/>
          <w:b/>
          <w:color w:val="000000"/>
          <w:sz w:val="28"/>
          <w:szCs w:val="28"/>
          <w:highlight w:val="none"/>
        </w:rPr>
      </w:pPr>
      <w:r/>
      <w:bookmarkStart w:id="78" w:name="_Hlk219289047"/>
      <w:r>
        <w:rPr>
          <w:rFonts w:ascii="Times New Roman" w:hAnsi="Times New Roman"/>
          <w:b/>
          <w:color w:val="000000"/>
          <w:sz w:val="28"/>
          <w:szCs w:val="28"/>
          <w:highlight w:val="none"/>
        </w:rPr>
        <w:t xml:space="preserve">一、清单</w:t>
      </w:r>
      <w:r>
        <w:rPr>
          <w:rFonts w:ascii="Times New Roman" w:hAnsi="Times New Roman"/>
          <w:b/>
          <w:color w:val="000000"/>
          <w:sz w:val="28"/>
          <w:szCs w:val="28"/>
          <w:highlight w:val="none"/>
        </w:rPr>
      </w:r>
      <w:r/>
    </w:p>
    <w:p>
      <w:pPr>
        <w:pStyle w:val="1342"/>
        <w:ind w:firstLine="500"/>
        <w:spacing w:line="440" w:lineRule="exact"/>
        <w:shd w:val="clear" w:color="auto" w:fill="auto"/>
        <w:rPr>
          <w:rFonts w:eastAsia="宋体"/>
          <w:color w:val="000000"/>
          <w:spacing w:val="7"/>
          <w:highlight w:val="none"/>
        </w:rPr>
      </w:pPr>
      <w:r/>
      <w:bookmarkStart w:id="79" w:name="_Hlk192248168"/>
      <w:r/>
      <w:bookmarkStart w:id="80" w:name="_Hlk192239596"/>
      <w:r>
        <w:rPr>
          <w:rFonts w:eastAsia="宋体"/>
          <w:color w:val="000000"/>
          <w:spacing w:val="7"/>
          <w:highlight w:val="none"/>
        </w:rPr>
        <w:t xml:space="preserve">1.清单</w:t>
      </w:r>
      <w:r>
        <w:rPr>
          <w:rFonts w:eastAsia="宋体"/>
          <w:color w:val="000000"/>
          <w:spacing w:val="7"/>
          <w:highlight w:val="none"/>
        </w:rPr>
      </w:r>
      <w:r/>
    </w:p>
    <w:tbl>
      <w:tblPr>
        <w:tblW w:w="5000" w:type="pct"/>
        <w:tblInd w:w="-4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02"/>
        <w:gridCol w:w="2379"/>
        <w:gridCol w:w="781"/>
        <w:gridCol w:w="603"/>
        <w:gridCol w:w="603"/>
        <w:gridCol w:w="4189"/>
        <w:gridCol w:w="815"/>
        <w:gridCol w:w="710"/>
      </w:tblGrid>
      <w:tr>
        <w:trPr/>
        <w:tc>
          <w:tcPr>
            <w:tcMar>
              <w:top w:w="100" w:type="dxa"/>
              <w:bottom w:w="100" w:type="dxa"/>
            </w:tcMar>
            <w:tcW w:w="590"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top w:w="100" w:type="dxa"/>
              <w:bottom w:w="100" w:type="dxa"/>
            </w:tcMar>
            <w:tcW w:w="2329"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c>
          <w:tcPr>
            <w:tcMar>
              <w:top w:w="100" w:type="dxa"/>
              <w:bottom w:w="100" w:type="dxa"/>
            </w:tcMar>
            <w:tcW w:w="764"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数量</w:t>
            </w:r>
            <w:r>
              <w:rPr>
                <w:rFonts w:eastAsia="宋体"/>
                <w:color w:val="000000"/>
                <w:highlight w:val="none"/>
              </w:rPr>
            </w:r>
            <w:r/>
          </w:p>
        </w:tc>
        <w:tc>
          <w:tcPr>
            <w:tcMar>
              <w:top w:w="100" w:type="dxa"/>
              <w:bottom w:w="100" w:type="dxa"/>
            </w:tcMar>
            <w:tcW w:w="590"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单位</w:t>
            </w:r>
            <w:r>
              <w:rPr>
                <w:rFonts w:eastAsia="宋体"/>
                <w:color w:val="000000"/>
                <w:highlight w:val="none"/>
              </w:rPr>
            </w:r>
            <w:r/>
          </w:p>
        </w:tc>
        <w:tc>
          <w:tcPr>
            <w:tcMar>
              <w:top w:w="100" w:type="dxa"/>
              <w:bottom w:w="100" w:type="dxa"/>
            </w:tcMar>
            <w:tcW w:w="590"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图片</w:t>
            </w:r>
            <w:r>
              <w:rPr>
                <w:rFonts w:eastAsia="宋体"/>
                <w:color w:val="000000"/>
                <w:highlight w:val="none"/>
              </w:rPr>
            </w:r>
            <w:r/>
          </w:p>
        </w:tc>
        <w:tc>
          <w:tcPr>
            <w:tcMar>
              <w:top w:w="100" w:type="dxa"/>
              <w:bottom w:w="100" w:type="dxa"/>
            </w:tcMar>
            <w:tcW w:w="4100"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所属行业</w:t>
            </w:r>
            <w:r>
              <w:rPr>
                <w:rFonts w:eastAsia="宋体"/>
                <w:color w:val="000000"/>
                <w:highlight w:val="none"/>
              </w:rPr>
            </w:r>
            <w:r/>
          </w:p>
        </w:tc>
        <w:tc>
          <w:tcPr>
            <w:tcMar>
              <w:top w:w="100" w:type="dxa"/>
              <w:bottom w:w="100" w:type="dxa"/>
            </w:tcMar>
            <w:tcW w:w="798"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标的类型</w:t>
            </w:r>
            <w:r>
              <w:rPr>
                <w:rFonts w:eastAsia="宋体"/>
                <w:color w:val="000000"/>
                <w:highlight w:val="none"/>
              </w:rPr>
            </w:r>
            <w:r/>
          </w:p>
        </w:tc>
        <w:tc>
          <w:tcPr>
            <w:tcMar>
              <w:top w:w="100" w:type="dxa"/>
              <w:bottom w:w="100" w:type="dxa"/>
            </w:tcMar>
            <w:tcW w:w="695"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标的属性</w:t>
            </w:r>
            <w:r>
              <w:rPr>
                <w:rFonts w:eastAsia="宋体"/>
                <w:color w:val="000000"/>
                <w:highlight w:val="none"/>
              </w:rPr>
            </w:r>
            <w:r/>
          </w:p>
        </w:tc>
      </w:tr>
      <w:tr>
        <w:trPr/>
        <w:tc>
          <w:tcPr>
            <w:tcMar>
              <w:top w:w="100" w:type="dxa"/>
              <w:bottom w:w="100" w:type="dxa"/>
            </w:tcMar>
            <w:tcW w:w="590"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1</w:t>
            </w:r>
            <w:r>
              <w:rPr>
                <w:rFonts w:eastAsia="宋体"/>
                <w:color w:val="000000"/>
                <w:highlight w:val="none"/>
              </w:rPr>
            </w:r>
            <w:r/>
          </w:p>
        </w:tc>
        <w:tc>
          <w:tcPr>
            <w:tcMar>
              <w:top w:w="100" w:type="dxa"/>
              <w:bottom w:w="100" w:type="dxa"/>
            </w:tcMar>
            <w:tcW w:w="2329"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民警意外和家庭医疗保险</w:t>
            </w:r>
            <w:r>
              <w:rPr>
                <w:rFonts w:eastAsia="宋体"/>
                <w:color w:val="000000"/>
                <w:highlight w:val="none"/>
              </w:rPr>
            </w:r>
            <w:r/>
          </w:p>
        </w:tc>
        <w:tc>
          <w:tcPr>
            <w:tcMar>
              <w:top w:w="100" w:type="dxa"/>
              <w:bottom w:w="100" w:type="dxa"/>
            </w:tcMar>
            <w:tcW w:w="764"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1.00</w:t>
            </w:r>
            <w:r>
              <w:rPr>
                <w:rFonts w:eastAsia="宋体"/>
                <w:color w:val="000000"/>
                <w:highlight w:val="none"/>
              </w:rPr>
            </w:r>
            <w:r/>
          </w:p>
        </w:tc>
        <w:tc>
          <w:tcPr>
            <w:tcMar>
              <w:top w:w="100" w:type="dxa"/>
              <w:bottom w:w="100" w:type="dxa"/>
            </w:tcMar>
            <w:tcW w:w="590"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项</w:t>
            </w:r>
            <w:r>
              <w:rPr>
                <w:rFonts w:eastAsia="宋体"/>
                <w:color w:val="000000"/>
                <w:highlight w:val="none"/>
              </w:rPr>
            </w:r>
            <w:r/>
          </w:p>
        </w:tc>
        <w:tc>
          <w:tcPr>
            <w:tcMar>
              <w:top w:w="100" w:type="dxa"/>
              <w:bottom w:w="100" w:type="dxa"/>
            </w:tcMar>
            <w:tcW w:w="590" w:type="dxa"/>
            <w:vAlign w:val="center"/>
            <w:textDirection w:val="lrTb"/>
            <w:noWrap w:val="false"/>
          </w:tcPr>
          <w:p>
            <w:pPr>
              <w:pStyle w:val="1343"/>
              <w:shd w:val="clear" w:color="auto" w:fill="auto"/>
              <w:rPr>
                <w:rFonts w:eastAsia="宋体"/>
                <w:color w:val="000000"/>
                <w:highlight w:val="none"/>
              </w:rPr>
            </w:pPr>
            <w:r>
              <w:rPr>
                <w:rFonts w:eastAsia="宋体"/>
                <w:color w:val="000000"/>
                <w:highlight w:val="none"/>
              </w:rPr>
              <w:t xml:space="preserve">无</w:t>
            </w:r>
            <w:r>
              <w:rPr>
                <w:rFonts w:eastAsia="宋体"/>
                <w:color w:val="000000"/>
                <w:highlight w:val="none"/>
              </w:rPr>
            </w:r>
            <w:r/>
          </w:p>
        </w:tc>
        <w:tc>
          <w:tcPr>
            <w:tcMar>
              <w:top w:w="100" w:type="dxa"/>
              <w:bottom w:w="100" w:type="dxa"/>
            </w:tcMar>
            <w:tcW w:w="4100" w:type="dxa"/>
            <w:vAlign w:val="center"/>
            <w:textDirection w:val="lrTb"/>
            <w:noWrap w:val="false"/>
          </w:tcPr>
          <w:p>
            <w:pPr>
              <w:pStyle w:val="1343"/>
              <w:jc w:val="center"/>
              <w:shd w:val="clear" w:color="auto" w:fill="auto"/>
              <w:rPr>
                <w:rFonts w:eastAsia="宋体"/>
                <w:color w:val="000000"/>
                <w:highlight w:val="none"/>
              </w:rPr>
            </w:pPr>
            <w:r>
              <w:rPr>
                <w:rFonts w:eastAsia="宋体"/>
                <w:lang w:eastAsia="en-US"/>
              </w:rPr>
              <w:t xml:space="preserve">金融业（保险业）</w:t>
            </w:r>
            <w:r>
              <w:rPr>
                <w:rFonts w:eastAsia="宋体"/>
                <w:color w:val="000000"/>
                <w:highlight w:val="none"/>
              </w:rPr>
            </w:r>
            <w:r/>
          </w:p>
        </w:tc>
        <w:tc>
          <w:tcPr>
            <w:tcMar>
              <w:top w:w="100" w:type="dxa"/>
              <w:bottom w:w="100" w:type="dxa"/>
            </w:tcMar>
            <w:tcW w:w="798"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主要采购标的</w:t>
            </w:r>
            <w:r>
              <w:rPr>
                <w:rFonts w:eastAsia="宋体"/>
                <w:color w:val="000000"/>
                <w:highlight w:val="none"/>
              </w:rPr>
            </w:r>
            <w:r/>
          </w:p>
        </w:tc>
        <w:tc>
          <w:tcPr>
            <w:tcMar>
              <w:top w:w="100" w:type="dxa"/>
              <w:bottom w:w="100" w:type="dxa"/>
            </w:tcMar>
            <w:tcW w:w="695" w:type="dxa"/>
            <w:vAlign w:val="center"/>
            <w:textDirection w:val="lrTb"/>
            <w:noWrap w:val="false"/>
          </w:tcPr>
          <w:p>
            <w:pPr>
              <w:pStyle w:val="1343"/>
              <w:jc w:val="center"/>
              <w:shd w:val="clear" w:color="auto" w:fill="auto"/>
              <w:rPr>
                <w:rFonts w:eastAsia="宋体"/>
                <w:color w:val="000000"/>
                <w:highlight w:val="none"/>
              </w:rPr>
            </w:pPr>
            <w:r>
              <w:rPr>
                <w:rFonts w:eastAsia="宋体"/>
                <w:color w:val="000000"/>
                <w:highlight w:val="none"/>
              </w:rPr>
              <w:t xml:space="preserve">服务类</w:t>
            </w:r>
            <w:r>
              <w:rPr>
                <w:rFonts w:eastAsia="宋体"/>
                <w:color w:val="000000"/>
                <w:highlight w:val="none"/>
              </w:rPr>
            </w:r>
            <w:r/>
          </w:p>
        </w:tc>
      </w:tr>
    </w:tbl>
    <w:p>
      <w:pPr>
        <w:pStyle w:val="1343"/>
        <w:jc w:val="center"/>
        <w:shd w:val="clear" w:color="auto" w:fill="auto"/>
        <w:rPr>
          <w:color w:val="000000"/>
          <w:highlight w:val="none"/>
        </w:rPr>
      </w:pPr>
      <w:r>
        <w:rPr>
          <w:color w:val="000000"/>
          <w:highlight w:val="none"/>
        </w:rPr>
      </w:r>
      <w:r/>
    </w:p>
    <w:p>
      <w:pPr>
        <w:pStyle w:val="1344"/>
        <w:ind w:firstLine="500"/>
        <w:spacing w:line="440" w:lineRule="exact"/>
        <w:shd w:val="clear" w:color="auto" w:fill="auto"/>
        <w:rPr>
          <w:rFonts w:eastAsia="宋体"/>
          <w:color w:val="000000"/>
          <w:spacing w:val="7"/>
          <w:highlight w:val="none"/>
        </w:rPr>
      </w:pPr>
      <w:r>
        <w:rPr>
          <w:rFonts w:eastAsia="宋体"/>
          <w:spacing w:val="7"/>
        </w:rPr>
        <w:t xml:space="preserve">注：根据《关于印发金融业企业划型标准规定的通知》（银发〔2015〕309号）规定，适用的行业包括：金融服务、资本市场服务、保险业、其他金融业。</w:t>
      </w:r>
      <w:r>
        <w:rPr>
          <w:rFonts w:eastAsia="宋体"/>
          <w:color w:val="000000"/>
          <w:spacing w:val="7"/>
          <w:highlight w:val="none"/>
        </w:rPr>
      </w:r>
      <w:r/>
    </w:p>
    <w:p>
      <w:pPr>
        <w:pStyle w:val="134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2.核心产品清单</w:t>
      </w:r>
      <w:r>
        <w:rPr>
          <w:rFonts w:eastAsia="宋体"/>
          <w:color w:val="000000"/>
          <w:spacing w:val="7"/>
          <w:highlight w:val="none"/>
        </w:rPr>
      </w:r>
      <w:r/>
    </w:p>
    <w:p>
      <w:pPr>
        <w:pStyle w:val="1345"/>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无</w:t>
      </w:r>
      <w:r>
        <w:rPr>
          <w:rFonts w:eastAsia="宋体"/>
          <w:color w:val="000000"/>
          <w:spacing w:val="7"/>
          <w:highlight w:val="none"/>
        </w:rPr>
      </w:r>
      <w:r/>
    </w:p>
    <w:p>
      <w:pPr>
        <w:pStyle w:val="1346"/>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rPr>
          <w:rFonts w:eastAsia="宋体"/>
          <w:color w:val="000000"/>
          <w:spacing w:val="7"/>
          <w:highlight w:val="none"/>
        </w:rPr>
      </w:r>
      <w:r/>
    </w:p>
    <w:p>
      <w:pPr>
        <w:pStyle w:val="1346"/>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节能产品政府采购品目清单： </w:t>
      </w:r>
      <w:r>
        <w:rPr>
          <w:rFonts w:eastAsia="宋体"/>
          <w:color w:val="000000"/>
          <w:spacing w:val="7"/>
          <w:highlight w:val="none"/>
        </w:rPr>
      </w:r>
      <w:r/>
    </w:p>
    <w:p>
      <w:pPr>
        <w:pStyle w:val="1346"/>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无 </w:t>
      </w:r>
      <w:r>
        <w:rPr>
          <w:rFonts w:eastAsia="宋体"/>
          <w:color w:val="000000"/>
          <w:spacing w:val="7"/>
          <w:highlight w:val="none"/>
        </w:rPr>
      </w:r>
      <w:r/>
    </w:p>
    <w:p>
      <w:pPr>
        <w:pStyle w:val="1347"/>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环境标志产品政府采购品目清单:</w:t>
      </w:r>
      <w:r>
        <w:rPr>
          <w:rFonts w:eastAsia="宋体"/>
          <w:color w:val="000000"/>
          <w:spacing w:val="7"/>
          <w:highlight w:val="none"/>
        </w:rPr>
      </w:r>
      <w:r/>
    </w:p>
    <w:p>
      <w:pPr>
        <w:pStyle w:val="1347"/>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无</w:t>
      </w:r>
      <w:r>
        <w:rPr>
          <w:rFonts w:eastAsia="宋体"/>
          <w:color w:val="000000"/>
          <w:spacing w:val="7"/>
          <w:highlight w:val="none"/>
        </w:rPr>
      </w:r>
      <w:r/>
    </w:p>
    <w:p>
      <w:pPr>
        <w:pStyle w:val="1346"/>
        <w:ind w:firstLine="500"/>
        <w:spacing w:line="440" w:lineRule="exact"/>
        <w:shd w:val="clear" w:color="auto" w:fill="auto"/>
        <w:rPr>
          <w:rStyle w:val="1422"/>
          <w:rFonts w:ascii="Times New Roman" w:hAnsi="Times New Roman"/>
          <w:color w:val="000000"/>
          <w:spacing w:val="7"/>
          <w:sz w:val="24"/>
          <w:szCs w:val="24"/>
          <w:highlight w:val="none"/>
        </w:rPr>
      </w:pPr>
      <w:r>
        <w:rPr>
          <w:rStyle w:val="1422"/>
          <w:rFonts w:ascii="Times New Roman" w:hAnsi="Times New Roman"/>
          <w:color w:val="000000"/>
          <w:spacing w:val="7"/>
          <w:sz w:val="24"/>
          <w:szCs w:val="24"/>
          <w:highlight w:val="none"/>
        </w:rPr>
        <w:t xml:space="preserve">4、绿色采购其他政策： </w:t>
      </w:r>
      <w:r>
        <w:rPr>
          <w:rStyle w:val="1422"/>
          <w:rFonts w:ascii="Times New Roman" w:hAnsi="Times New Roman"/>
          <w:color w:val="000000"/>
          <w:spacing w:val="7"/>
          <w:sz w:val="24"/>
          <w:szCs w:val="24"/>
          <w:highlight w:val="none"/>
        </w:rPr>
      </w:r>
      <w:r/>
    </w:p>
    <w:p>
      <w:pPr>
        <w:pStyle w:val="1346"/>
        <w:ind w:firstLine="500"/>
        <w:spacing w:line="440" w:lineRule="exact"/>
        <w:shd w:val="clear" w:color="auto" w:fill="auto"/>
        <w:rPr>
          <w:rStyle w:val="1422"/>
          <w:rFonts w:ascii="Times New Roman" w:hAnsi="Times New Roman"/>
          <w:color w:val="000000"/>
          <w:spacing w:val="7"/>
          <w:sz w:val="24"/>
          <w:szCs w:val="24"/>
          <w:highlight w:val="none"/>
        </w:rPr>
      </w:pPr>
      <w:r>
        <w:rPr>
          <w:rStyle w:val="1422"/>
          <w:rFonts w:ascii="Times New Roman" w:hAnsi="Times New Roman"/>
          <w:color w:val="000000"/>
          <w:spacing w:val="7"/>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422"/>
          <w:rFonts w:ascii="Times New Roman" w:hAnsi="Times New Roman"/>
          <w:color w:val="000000"/>
          <w:spacing w:val="7"/>
          <w:sz w:val="24"/>
          <w:szCs w:val="24"/>
          <w:highlight w:val="none"/>
        </w:rPr>
      </w:r>
      <w:r/>
    </w:p>
    <w:p>
      <w:pPr>
        <w:pStyle w:val="1346"/>
        <w:ind w:firstLine="500"/>
        <w:spacing w:line="440" w:lineRule="exact"/>
        <w:shd w:val="clear" w:color="auto" w:fill="auto"/>
        <w:rPr>
          <w:rStyle w:val="1422"/>
          <w:rFonts w:ascii="Times New Roman" w:hAnsi="Times New Roman"/>
          <w:color w:val="000000"/>
          <w:spacing w:val="7"/>
          <w:sz w:val="24"/>
          <w:szCs w:val="24"/>
          <w:highlight w:val="none"/>
        </w:rPr>
      </w:pPr>
      <w:r>
        <w:rPr>
          <w:rStyle w:val="1422"/>
          <w:rFonts w:ascii="Times New Roman" w:hAnsi="Times New Roman"/>
          <w:color w:val="000000"/>
          <w:spacing w:val="7"/>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Style w:val="1422"/>
          <w:rFonts w:ascii="Times New Roman" w:hAnsi="Times New Roman"/>
          <w:color w:val="000000"/>
          <w:spacing w:val="7"/>
          <w:sz w:val="24"/>
          <w:szCs w:val="24"/>
          <w:highlight w:val="none"/>
        </w:rPr>
      </w:r>
      <w:r/>
    </w:p>
    <w:p>
      <w:pPr>
        <w:pStyle w:val="1346"/>
        <w:ind w:firstLine="500"/>
        <w:spacing w:line="440" w:lineRule="exact"/>
        <w:shd w:val="clear" w:color="auto" w:fill="auto"/>
        <w:rPr>
          <w:rStyle w:val="1422"/>
          <w:rFonts w:ascii="Times New Roman" w:hAnsi="Times New Roman"/>
          <w:color w:val="000000"/>
          <w:spacing w:val="7"/>
          <w:sz w:val="24"/>
          <w:szCs w:val="24"/>
          <w:highlight w:val="none"/>
        </w:rPr>
      </w:pPr>
      <w:r>
        <w:rPr>
          <w:rStyle w:val="1422"/>
          <w:rFonts w:ascii="Times New Roman" w:hAnsi="Times New Roman"/>
          <w:color w:val="000000"/>
          <w:spacing w:val="7"/>
          <w:sz w:val="24"/>
          <w:szCs w:val="24"/>
          <w:highlight w:val="none"/>
        </w:rPr>
      </w:r>
      <w:r/>
    </w:p>
    <w:p>
      <w:pPr>
        <w:pStyle w:val="790"/>
        <w:spacing w:line="360" w:lineRule="auto"/>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二、技术要求</w:t>
      </w:r>
      <w:bookmarkStart w:id="81" w:name="EB408f2104b2e44804a6615a1921eee37c"/>
      <w:r/>
      <w:bookmarkEnd w:id="81"/>
      <w:r>
        <w:rPr>
          <w:rFonts w:ascii="Times New Roman" w:hAnsi="Times New Roman"/>
          <w:b/>
          <w:color w:val="000000"/>
          <w:sz w:val="28"/>
          <w:szCs w:val="28"/>
          <w:highlight w:val="none"/>
        </w:rPr>
      </w:r>
      <w:r/>
    </w:p>
    <w:p>
      <w:pPr>
        <w:pStyle w:val="790"/>
        <w:ind w:firstLine="482"/>
        <w:jc w:val="left"/>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（一）项目简介</w:t>
      </w:r>
      <w:r>
        <w:rPr>
          <w:rFonts w:ascii="Times New Roman" w:hAnsi="Times New Roman"/>
          <w:b/>
          <w:bCs/>
          <w:color w:val="000000"/>
          <w:sz w:val="24"/>
          <w:highlight w:val="none"/>
        </w:rPr>
      </w:r>
      <w:r/>
    </w:p>
    <w:p>
      <w:pPr>
        <w:pStyle w:val="790"/>
        <w:ind w:firstLine="480"/>
        <w:jc w:val="left"/>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为充分落实爱警暖警措施，加强公安民警的职业保障，切实减轻民警家庭看病就医负担，张家港市公安局拟为全体民警投保民警意外伤害和家庭医疗保险，项目服务期限为一年，采购预算为12</w:t>
      </w:r>
      <w:r>
        <w:rPr>
          <w:rFonts w:hint="eastAsia" w:ascii="Times New Roman" w:hAnsi="Times New Roman"/>
          <w:color w:val="000000"/>
          <w:sz w:val="24"/>
          <w:highlight w:val="none"/>
        </w:rPr>
        <w:t xml:space="preserve">0</w:t>
      </w:r>
      <w:r>
        <w:rPr>
          <w:rFonts w:ascii="Times New Roman" w:hAnsi="Times New Roman"/>
          <w:color w:val="000000"/>
          <w:sz w:val="24"/>
          <w:highlight w:val="none"/>
        </w:rPr>
        <w:t xml:space="preserve">万元。</w:t>
      </w:r>
      <w:r>
        <w:rPr>
          <w:rFonts w:ascii="Times New Roman" w:hAnsi="Times New Roman"/>
          <w:color w:val="000000"/>
          <w:sz w:val="24"/>
          <w:highlight w:val="none"/>
        </w:rPr>
      </w:r>
      <w:r/>
    </w:p>
    <w:p>
      <w:pPr>
        <w:pStyle w:val="790"/>
        <w:ind w:firstLine="482"/>
        <w:jc w:val="left"/>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（二）服务内容：</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1．主要内容：</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（1）意外保障：分为意外身故、意外残疾、意外门诊医疗、意外住院医疗。详见保障方案。</w:t>
      </w:r>
      <w:r>
        <w:rPr>
          <w:rFonts w:ascii="Times New Roman" w:hAnsi="Times New Roman"/>
          <w:color w:val="000000"/>
          <w:sz w:val="24"/>
          <w:highlight w:val="none"/>
        </w:rPr>
      </w:r>
      <w:r/>
    </w:p>
    <w:p>
      <w:pPr>
        <w:pStyle w:val="790"/>
        <w:ind w:firstLine="480"/>
        <w:jc w:val="left"/>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（2）疾病保障：分为疾病身故、住院津贴（含意外）、疾病住院、重大疾病。详见保障方案。</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2．保障方案：</w:t>
      </w:r>
      <w:r>
        <w:rPr>
          <w:rFonts w:ascii="Times New Roman" w:hAnsi="Times New Roman"/>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2376"/>
        <w:gridCol w:w="1176"/>
        <w:gridCol w:w="1896"/>
        <w:gridCol w:w="1809"/>
        <w:gridCol w:w="1756"/>
      </w:tblGrid>
      <w:tr>
        <w:trPr>
          <w:cantSplit/>
          <w:trHeight w:val="70"/>
        </w:trPr>
        <w:tc>
          <w:tcPr>
            <w:tcMar>
              <w:left w:w="108" w:type="dxa"/>
              <w:top w:w="0" w:type="dxa"/>
              <w:right w:w="108" w:type="dxa"/>
              <w:bottom w:w="0" w:type="dxa"/>
            </w:tcMar>
            <w:tcW w:w="1176" w:type="dxa"/>
            <w:vAlign w:val="center"/>
            <w:vMerge w:val="restart"/>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保障类别</w:t>
            </w:r>
            <w:r>
              <w:rPr>
                <w:rFonts w:ascii="Times New Roman" w:hAnsi="Times New Roman"/>
                <w:color w:val="000000"/>
                <w:sz w:val="24"/>
                <w:highlight w:val="none"/>
              </w:rPr>
            </w:r>
            <w:r/>
          </w:p>
        </w:tc>
        <w:tc>
          <w:tcPr>
            <w:tcMar>
              <w:left w:w="108" w:type="dxa"/>
              <w:top w:w="0" w:type="dxa"/>
              <w:right w:w="108" w:type="dxa"/>
              <w:bottom w:w="0" w:type="dxa"/>
            </w:tcMar>
            <w:tcW w:w="2376" w:type="dxa"/>
            <w:vAlign w:val="center"/>
            <w:vMerge w:val="restart"/>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保险责任</w:t>
            </w:r>
            <w:r>
              <w:rPr>
                <w:rFonts w:ascii="Times New Roman" w:hAnsi="Times New Roman"/>
                <w:color w:val="000000"/>
                <w:sz w:val="24"/>
                <w:highlight w:val="none"/>
              </w:rPr>
            </w:r>
            <w:r/>
          </w:p>
        </w:tc>
        <w:tc>
          <w:tcPr>
            <w:gridSpan w:val="3"/>
            <w:tcMar>
              <w:left w:w="108" w:type="dxa"/>
              <w:top w:w="0" w:type="dxa"/>
              <w:right w:w="108" w:type="dxa"/>
              <w:bottom w:w="0" w:type="dxa"/>
            </w:tcMar>
            <w:tcW w:w="4881"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保险金额（年/人）</w:t>
            </w:r>
            <w:r>
              <w:rPr>
                <w:rFonts w:ascii="Times New Roman" w:hAnsi="Times New Roman"/>
                <w:color w:val="000000"/>
                <w:sz w:val="24"/>
                <w:highlight w:val="none"/>
              </w:rPr>
            </w:r>
            <w:r/>
          </w:p>
        </w:tc>
        <w:tc>
          <w:tcPr>
            <w:tcW w:w="1756" w:type="dxa"/>
            <w:vAlign w:val="center"/>
            <w:vMerge w:val="restart"/>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等待期（天）</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W w:w="23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在职民警</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配偶及成年子女</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未成年子女</w:t>
            </w:r>
            <w:r>
              <w:rPr>
                <w:rFonts w:ascii="Times New Roman" w:hAnsi="Times New Roman"/>
                <w:color w:val="000000"/>
                <w:sz w:val="24"/>
                <w:highlight w:val="none"/>
              </w:rPr>
            </w:r>
            <w:r/>
          </w:p>
        </w:tc>
        <w:tc>
          <w:tcPr>
            <w:tcW w:w="175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r>
      <w:tr>
        <w:trPr>
          <w:cantSplit/>
          <w:trHeight w:val="70"/>
        </w:trPr>
        <w:tc>
          <w:tcPr>
            <w:tcMar>
              <w:left w:w="108" w:type="dxa"/>
              <w:top w:w="0" w:type="dxa"/>
              <w:right w:w="108" w:type="dxa"/>
              <w:bottom w:w="0" w:type="dxa"/>
            </w:tcMar>
            <w:tcW w:w="1176" w:type="dxa"/>
            <w:vAlign w:val="center"/>
            <w:vMerge w:val="restart"/>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意外保障</w:t>
            </w: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意外身故</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意外残疾</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意外门诊医疗</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意外住院医疗</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Mar>
              <w:left w:w="108" w:type="dxa"/>
              <w:top w:w="0" w:type="dxa"/>
              <w:right w:w="108" w:type="dxa"/>
              <w:bottom w:w="0" w:type="dxa"/>
            </w:tcMar>
            <w:tcW w:w="1176" w:type="dxa"/>
            <w:vAlign w:val="center"/>
            <w:vMerge w:val="restart"/>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疾病保障</w:t>
            </w: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疾病身故</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0</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疾病住院</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0</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重大疾病30种</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0</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轻度疾病3种</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15000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0</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住院津贴</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18000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9000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0</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ind w:firstLine="48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重症监护津贴</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180000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0</w:t>
            </w:r>
            <w:r>
              <w:rPr>
                <w:rFonts w:ascii="Times New Roman" w:hAnsi="Times New Roman"/>
                <w:color w:val="000000"/>
                <w:sz w:val="24"/>
                <w:highlight w:val="none"/>
              </w:rPr>
            </w:r>
            <w:r/>
          </w:p>
        </w:tc>
      </w:tr>
      <w:tr>
        <w:trPr>
          <w:cantSplit/>
          <w:trHeight w:val="70"/>
        </w:trPr>
        <w:tc>
          <w:tcPr>
            <w:tcW w:w="1176" w:type="dxa"/>
            <w:vAlign w:val="center"/>
            <w:vMerge w:val="restart"/>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乘客交通意外保障</w:t>
            </w: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机动车乘客</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水上交通</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轨道交通（含火车）</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200000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r>
        <w:trPr>
          <w:cantSplit/>
          <w:trHeight w:val="70"/>
        </w:trPr>
        <w:tc>
          <w:tcPr>
            <w:tcW w:w="1176" w:type="dxa"/>
            <w:vAlign w:val="center"/>
            <w:vMerge w:val="continue"/>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r>
            <w:r/>
          </w:p>
        </w:tc>
        <w:tc>
          <w:tcPr>
            <w:tcMar>
              <w:left w:w="108" w:type="dxa"/>
              <w:top w:w="0" w:type="dxa"/>
              <w:right w:w="108" w:type="dxa"/>
              <w:bottom w:w="0" w:type="dxa"/>
            </w:tcMar>
            <w:tcW w:w="23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飞机</w:t>
            </w:r>
            <w:r>
              <w:rPr>
                <w:rFonts w:ascii="Times New Roman" w:hAnsi="Times New Roman"/>
                <w:color w:val="000000"/>
                <w:sz w:val="24"/>
                <w:highlight w:val="none"/>
              </w:rPr>
            </w:r>
            <w:r/>
          </w:p>
        </w:tc>
        <w:tc>
          <w:tcPr>
            <w:tcMar>
              <w:left w:w="108" w:type="dxa"/>
              <w:top w:w="0" w:type="dxa"/>
              <w:right w:w="108" w:type="dxa"/>
              <w:bottom w:w="0" w:type="dxa"/>
            </w:tcMar>
            <w:tcW w:w="117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500000</w:t>
            </w:r>
            <w:r>
              <w:rPr>
                <w:rFonts w:ascii="Times New Roman" w:hAnsi="Times New Roman"/>
                <w:color w:val="000000"/>
                <w:sz w:val="24"/>
                <w:highlight w:val="none"/>
              </w:rPr>
            </w:r>
            <w:r/>
          </w:p>
        </w:tc>
        <w:tc>
          <w:tcPr>
            <w:tcMar>
              <w:left w:w="108" w:type="dxa"/>
              <w:top w:w="0" w:type="dxa"/>
              <w:right w:w="108" w:type="dxa"/>
              <w:bottom w:w="0" w:type="dxa"/>
            </w:tcMar>
            <w:tcW w:w="1896"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250000</w:t>
            </w:r>
            <w:r>
              <w:rPr>
                <w:rFonts w:ascii="Times New Roman" w:hAnsi="Times New Roman"/>
                <w:color w:val="000000"/>
                <w:sz w:val="24"/>
                <w:highlight w:val="none"/>
              </w:rPr>
            </w:r>
            <w:r/>
          </w:p>
        </w:tc>
        <w:tc>
          <w:tcPr>
            <w:tcMar>
              <w:left w:w="108" w:type="dxa"/>
              <w:top w:w="0" w:type="dxa"/>
              <w:right w:w="108" w:type="dxa"/>
              <w:bottom w:w="0" w:type="dxa"/>
            </w:tcMar>
            <w:tcW w:w="1809" w:type="dxa"/>
            <w:vAlign w:val="center"/>
            <w:textDirection w:val="lrTb"/>
            <w:noWrap/>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c>
          <w:tcPr>
            <w:tcW w:w="1756" w:type="dxa"/>
            <w:vAlign w:val="center"/>
            <w:textDirection w:val="lrTb"/>
            <w:noWrap w:val="false"/>
          </w:tcPr>
          <w:p>
            <w:pPr>
              <w:pStyle w:val="790"/>
              <w:jc w:val="center"/>
              <w:spacing w:line="300" w:lineRule="auto"/>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w:t>
            </w:r>
            <w:r>
              <w:rPr>
                <w:rFonts w:ascii="Times New Roman" w:hAnsi="Times New Roman"/>
                <w:color w:val="000000"/>
                <w:sz w:val="24"/>
                <w:highlight w:val="none"/>
              </w:rPr>
            </w:r>
            <w:r/>
          </w:p>
        </w:tc>
      </w:tr>
    </w:tbl>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备注：</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在职民警：意外医疗使用医保免赔额0元，赔付比例100%；不使用医保每次免赔额50元，赔付比例100%；疾病住院有医保每次免赔额0元，赔付比例100%；无医保免赔额50元，赔付比例100%。</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配偶及成年子女：意外医疗使用医保免赔额0元，赔付比例100%；不使用医保每次免赔额50元，赔付比例100%；疾病住院有医保每次免赔额50元，赔付比例100%；无医保免赔额100元，赔付比例80%。</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未成年子女：意外医疗使用医保无免赔额，赔付比例95%；不使用医保每次免赔额100元，赔付比例80%；疾病住院有医保每次免赔额100元，无医保免赔额200元，按分级进行赔付，免赔额至1000元部分，赔付比例50%，1000元至5000元赔付比例60%，5000元至10000元赔付比例70%。</w:t>
      </w:r>
      <w:r>
        <w:rPr>
          <w:rFonts w:ascii="Times New Roman" w:hAnsi="Times New Roman"/>
          <w:color w:val="000000"/>
          <w:sz w:val="24"/>
          <w:highlight w:val="none"/>
        </w:rPr>
      </w:r>
      <w:r/>
    </w:p>
    <w:p>
      <w:pPr>
        <w:pStyle w:val="1473"/>
        <w:ind w:firstLine="480"/>
        <w:spacing w:after="0" w:line="440" w:lineRule="exact"/>
        <w:shd w:val="clear" w:color="auto" w:fill="auto"/>
        <w:tabs>
          <w:tab w:val="right" w:pos="2520" w:leader="none"/>
          <w:tab w:val="left" w:pos="2880" w:leader="none"/>
        </w:tabs>
        <w:rPr>
          <w:rFonts w:ascii="Times New Roman" w:hAnsi="Times New Roman"/>
          <w:color w:val="000000"/>
          <w:sz w:val="24"/>
          <w:highlight w:val="none"/>
        </w:rPr>
      </w:pPr>
      <w:r>
        <w:rPr>
          <w:rFonts w:ascii="Times New Roman" w:hAnsi="Times New Roman"/>
          <w:color w:val="000000"/>
          <w:sz w:val="24"/>
          <w:highlight w:val="none"/>
        </w:rPr>
        <w:t xml:space="preserve">预估人数：在职民警约为</w:t>
      </w:r>
      <w:r>
        <w:rPr>
          <w:rFonts w:hint="eastAsia" w:ascii="Times New Roman" w:hAnsi="Times New Roman"/>
          <w:color w:val="000000"/>
          <w:sz w:val="24"/>
          <w:highlight w:val="none"/>
          <w:lang w:val="en-US" w:eastAsia="zh-CN"/>
        </w:rPr>
        <w:t xml:space="preserve">1595</w:t>
      </w:r>
      <w:r>
        <w:rPr>
          <w:rFonts w:ascii="Times New Roman" w:hAnsi="Times New Roman"/>
          <w:color w:val="000000"/>
          <w:sz w:val="24"/>
          <w:highlight w:val="none"/>
        </w:rPr>
        <w:t xml:space="preserve">人，配偶约为</w:t>
      </w:r>
      <w:r>
        <w:rPr>
          <w:rFonts w:hint="eastAsia" w:ascii="Times New Roman" w:hAnsi="Times New Roman"/>
          <w:color w:val="000000"/>
          <w:sz w:val="24"/>
          <w:highlight w:val="none"/>
          <w:lang w:val="en-US" w:eastAsia="zh-CN"/>
        </w:rPr>
        <w:t xml:space="preserve">1235</w:t>
      </w:r>
      <w:r>
        <w:rPr>
          <w:rFonts w:ascii="Times New Roman" w:hAnsi="Times New Roman"/>
          <w:color w:val="000000"/>
          <w:sz w:val="24"/>
          <w:highlight w:val="none"/>
        </w:rPr>
        <w:t xml:space="preserve">人，成年子女约为</w:t>
      </w:r>
      <w:r>
        <w:rPr>
          <w:rFonts w:hint="eastAsia" w:ascii="Times New Roman" w:hAnsi="Times New Roman"/>
          <w:color w:val="000000"/>
          <w:sz w:val="24"/>
          <w:highlight w:val="none"/>
          <w:lang w:val="en-US" w:eastAsia="zh-CN"/>
        </w:rPr>
        <w:t xml:space="preserve">567</w:t>
      </w:r>
      <w:r>
        <w:rPr>
          <w:rFonts w:ascii="Times New Roman" w:hAnsi="Times New Roman"/>
          <w:color w:val="000000"/>
          <w:sz w:val="24"/>
          <w:highlight w:val="none"/>
        </w:rPr>
        <w:t xml:space="preserve">人，未成年子女约为</w:t>
      </w:r>
      <w:r>
        <w:rPr>
          <w:rFonts w:hint="eastAsia" w:ascii="Times New Roman" w:hAnsi="Times New Roman"/>
          <w:color w:val="000000"/>
          <w:sz w:val="24"/>
          <w:highlight w:val="none"/>
          <w:lang w:val="en-US" w:eastAsia="zh-CN"/>
        </w:rPr>
        <w:t xml:space="preserve">1031</w:t>
      </w:r>
      <w:r>
        <w:rPr>
          <w:rFonts w:ascii="Times New Roman" w:hAnsi="Times New Roman"/>
          <w:color w:val="000000"/>
          <w:sz w:val="24"/>
          <w:highlight w:val="none"/>
        </w:rPr>
        <w:t xml:space="preserve">人。若统计人员发生遗漏，出险时提供相关材料证明其为在职民警、配偶及成年子女或未成年子女身份，保险公司应给予正常赔付。</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保障方案中三十种重大疾病：恶性肿瘤——重度、较重急性心肌梗死、严重脑中风后遗症、重大器官移植术或造血干细胞移植术、冠状动脉搭桥术（或称冠状动脉旁</w:t>
      </w:r>
      <w:r>
        <w:rPr>
          <w:rFonts w:ascii="Times New Roman" w:hAnsi="Times New Roman"/>
          <w:color w:val="000000"/>
          <w:sz w:val="24"/>
          <w:highlight w:val="none"/>
        </w:rPr>
        <w:t xml:space="preserve">路移植术）、严重慢性肾衰竭、多个肢体缺失、急性重症肝炎或亚急性重症肝炎、严重非恶性颅内肿瘤、严重慢性肝衰竭、严重脑炎后遗症或严重脑膜炎后遗症、深度昏迷、特定年龄双耳失聪、特定年龄双目失明、瘫痪、心脏瓣膜手术、严重阿尔茨海默病、严重脑损伤、严重原发性帕金森病、严重Ⅲ度烧伤、严重特发性肺动脉高压、严重运动神经元病、语言能力丧失、重型再生障碍性贫血、主动脉手术、严重慢性呼吸衰竭、严重克罗恩病、严重溃疡性结肠炎、严重原发性心肌病、严重多发性硬化症。三种轻度疾病：恶性肿瘤——轻度、较轻急性心肌梗死、轻度脑中风后遗症。</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hint="eastAsia" w:ascii="Times New Roman" w:hAnsi="Times New Roman"/>
          <w:color w:val="000000"/>
          <w:sz w:val="24"/>
          <w:highlight w:val="none"/>
        </w:rPr>
        <w:t xml:space="preserve">民警、配偶及成年子女伤残标准依据《劳动能力鉴定职工工伤与职业病致残等级》（GB/T 16180-2014）的规定确定伤残等级，每一伤残等级对应的伤残保险金给付比例为：一级、100%，二级、90%，三级、80%，四级、70%，五级、60%，六级、50%，七级、40%，八级、30%，九级、20%，十级、10%。</w:t>
      </w:r>
      <w:r>
        <w:rPr>
          <w:rFonts w:ascii="Times New Roman" w:hAnsi="Times New Roman"/>
          <w:color w:val="000000"/>
          <w:sz w:val="24"/>
          <w:highlight w:val="none"/>
        </w:rPr>
      </w:r>
      <w:r/>
    </w:p>
    <w:p>
      <w:pPr>
        <w:pStyle w:val="790"/>
        <w:ind w:firstLine="482"/>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（三）服务要求</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1．人员配置要求：</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对本采购项目应设立专项小组，其中项目负责人1名，应具有保险从业经验，负责按照本次保险的有关要求为各被保险人提供承保、理赔及其他各类保险服务，包括必要的组织与协调工作；客户服务专员：至少配备6名，其中至少有2名应为项目专职承保人员，2名应为项目专职理赔人员，协助项目经理提供保险服务（提供专项小组名单）。专项小组成员应具有丰富的保险从业经验，有明确的联系方式。</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为保障出险后能得到完善、及时、良好的理赔服务，投标人在张家港市辖区内现有服务机构网点应尽可能全面覆盖，并利用现有及将有的各营业网点网络，健全相关的服务网络，做好出险后的查勘、理赔工作，材料齐全后投标人应在一周时间内赔付到位。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（3）根据相应文件内容，配合投保人完成核保与出单事宜，并在收到投保单和保费五个工作日内将保单正本和保费发票派专人送达投保人。</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2．承保服务要求</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（1）采用纸质和电脑数据相结合的建档方式，按区域建立健全客户档案资料库，供相关部门参阅。</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（2）指定专门的客服人员，接受各方咨询，解释相关保险内容。</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（3）定期走访项目专员，听取相关意见和建议，不断提高服务水平，为后续的参保工作做好准备。</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（4）每季按时向采购方汇报上季度的承保及理赔情况。</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3．理赔服务要求：</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（1）保险服务基础标准：</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①</w:t>
      </w:r>
      <w:r>
        <w:rPr>
          <w:rFonts w:ascii="Times New Roman" w:hAnsi="Times New Roman"/>
          <w:color w:val="000000"/>
          <w:sz w:val="24"/>
          <w:highlight w:val="none"/>
        </w:rPr>
        <w:t xml:space="preserve">统一实行24小时接报案；</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②</w:t>
      </w:r>
      <w:r>
        <w:rPr>
          <w:rFonts w:ascii="Times New Roman" w:hAnsi="Times New Roman"/>
          <w:color w:val="000000"/>
          <w:sz w:val="24"/>
          <w:highlight w:val="none"/>
        </w:rPr>
        <w:t xml:space="preserve">统一实行24小时查勘；</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③</w:t>
      </w:r>
      <w:r>
        <w:rPr>
          <w:rFonts w:ascii="Times New Roman" w:hAnsi="Times New Roman"/>
          <w:color w:val="000000"/>
          <w:sz w:val="24"/>
          <w:highlight w:val="none"/>
        </w:rPr>
        <w:t xml:space="preserve">统一实行24小时救援；</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④</w:t>
      </w:r>
      <w:r>
        <w:rPr>
          <w:rFonts w:ascii="Times New Roman" w:hAnsi="Times New Roman"/>
          <w:color w:val="000000"/>
          <w:sz w:val="24"/>
          <w:highlight w:val="none"/>
        </w:rPr>
        <w:t xml:space="preserve">统一实行8小时全年无休理赔工作；</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⑤</w:t>
      </w:r>
      <w:r>
        <w:rPr>
          <w:rFonts w:ascii="Times New Roman" w:hAnsi="Times New Roman"/>
          <w:color w:val="000000"/>
          <w:sz w:val="24"/>
          <w:highlight w:val="none"/>
        </w:rPr>
        <w:t xml:space="preserve">统一实行24小时投诉服务；</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⑥</w:t>
      </w:r>
      <w:r>
        <w:rPr>
          <w:rFonts w:ascii="Times New Roman" w:hAnsi="Times New Roman"/>
          <w:color w:val="000000"/>
          <w:sz w:val="24"/>
          <w:highlight w:val="none"/>
        </w:rPr>
        <w:t xml:space="preserve">设立24小时保险服务专线电话，电脑录音系统和查勘调度系统保证畅通无误，及时准确。全年365天随时接受被保险人的出险报案，并立即通知保险公司本项目客户服务专员。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（2）设立专人专门窗口负责受理赔款案件，实行一站式服务，确保理赔、财务、信息技术等环节的高效畅通。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（3）接到报案后应详细地告知被保险人注意事项，承保范围，保障内容及理赔时需要准备的材料等，不得欺骗、误导被保险人。</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（4）配合被保险人了解、熟悉理赔流程，指定专人上门收取索赔单证，并在约定的时间内上门收取，不得以任何理由拒绝上门服务。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保险公司上门收取理赔资料时，若认为有关证明或材料不完整，立刻以书面或口头方式通知被保险人需补充提供的有关证明或材料。若保险公司在接到索赔资料后5个工作日内未给予有关审核意见，则视为认可索赔资料的完整性。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（6）在收到理赔材料后，简化理赔手续，应在规定时间内告知被保险人赔偿金额，除外金额或不予赔偿的理由，超过规定时间的，视为同意赔偿。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（7）接到被保险人报案后，对于属于保险责任的事故，同意按照约定时效及时确定赔偿金额。</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①</w:t>
      </w:r>
      <w:r>
        <w:rPr>
          <w:rFonts w:ascii="Times New Roman" w:hAnsi="Times New Roman"/>
          <w:color w:val="000000"/>
          <w:sz w:val="24"/>
          <w:highlight w:val="none"/>
        </w:rPr>
        <w:t xml:space="preserve">对于意外伤害，资料齐全后10工作日内确定赔偿金额。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（8）住院补贴项中对医院的要求应为二级及以上医院，护理院除外。</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（9）对于不属于保险责任的，同意在接到被保险人赔偿请求后5个工作日内向其发出《拒赔通知书》。</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（10）对于不属于保险责任的，保险公司在接到被保险人赔偿请求后没有按规定时间向其发出《拒赔通知书》，则按保险责任处理。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（11）当和被保险人就赔偿结果无法达成一致时，应及时向采购人汇报，最终以采购人的意见为准；</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（12）及时登记理赔相关信息，每月向采购人汇报未决案件的进展情况，并形成书面汇报。</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（13）每半年度向采购人提交《保险服务报告》，年终向采购人提交《年度服务综合报告》。</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4．其他保险服务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（1）定期沟通制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①</w:t>
      </w:r>
      <w:r>
        <w:rPr>
          <w:rFonts w:ascii="Times New Roman" w:hAnsi="Times New Roman"/>
          <w:color w:val="000000"/>
          <w:sz w:val="24"/>
          <w:highlight w:val="none"/>
        </w:rPr>
        <w:t xml:space="preserve">定期例会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每季度与投保人召开保险工作例会，通报保险事故情况、理赔进展情况、商定各项服务计划和共同解决需双方协调的事宜；并建立客户档案。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Cambria Math" w:hAnsi="Cambria Math" w:cs="Cambria Math"/>
          <w:color w:val="000000"/>
          <w:sz w:val="24"/>
          <w:highlight w:val="none"/>
        </w:rPr>
        <w:t xml:space="preserve">②</w:t>
      </w:r>
      <w:r>
        <w:rPr>
          <w:rFonts w:ascii="Times New Roman" w:hAnsi="Times New Roman"/>
          <w:color w:val="000000"/>
          <w:sz w:val="24"/>
          <w:highlight w:val="none"/>
        </w:rPr>
        <w:t xml:space="preserve">定期统计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将每月向投保人提供赔案统计报表，以便及时掌握理赔案件的进展情况，加快赔案处理速度。赔案统计报表建议包括的内容：出险时间、出险人员、出险人员年龄、出险原因、已决赔款金额、未决赔款金额、预付赔款金额等。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（2）培训机制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定期不定期组织被保险人并提供专项培训，培训内容主要包括保险的基础知识、保险合同责任及条款解释、保险事故索赔程序、风险管理等方面的内容。</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（3）建立投诉制度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设立投诉受理电话，由高管人员负责受理各被保险人对各分支机构的保险投诉；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（4）建立回访制度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定期（每季度一次）组织各分支机构项目小组进行客户回访服务，收集客户反馈意见。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（5）完善服务监督措施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投标人应安排高管人员负责监督该项目各个流程，并提供社会监督渠道，接受多方机构监督，完善消费者保护措施。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（6）合理赔款滞纳处理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对于未按约定及时支付赔款的应支付合理的赔款滞纳金。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（7）建立争议处理及处罚措施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当和被保险人就赔偿结果无法达成一致时，应及时向采购人汇报，并听取采购人意见。对于存在争议的案件，应制定处理及处罚措施。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（8）提供采购人要求的其他保险服务。 </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5．限制性条件</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投标人应提供保险条款说明，明确是否增加限制性条件，包括投标人条款措辞限制、被保险人义务限制、索赔特别约定限制等。条款中如对保障条件中有任何限制或不能有效响应的部分，要做特别说明及阐述解决方案，如无特别说明，则视同条款完全支持保障条件。</w:t>
      </w:r>
      <w:r>
        <w:rPr>
          <w:rFonts w:ascii="Times New Roman" w:hAnsi="Times New Roman"/>
          <w:color w:val="000000"/>
          <w:sz w:val="24"/>
          <w:highlight w:val="none"/>
        </w:rPr>
      </w:r>
      <w:r/>
    </w:p>
    <w:p>
      <w:pPr>
        <w:pStyle w:val="790"/>
        <w:ind w:firstLine="482"/>
        <w:jc w:val="left"/>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（四）投标人应在投标文件中体现以下各项：</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color w:val="000000"/>
          <w:sz w:val="28"/>
          <w:szCs w:val="28"/>
          <w:highlight w:val="none"/>
        </w:rPr>
      </w:pPr>
      <w:r>
        <w:rPr>
          <w:rFonts w:ascii="Times New Roman" w:hAnsi="Times New Roman"/>
          <w:color w:val="000000"/>
          <w:sz w:val="24"/>
          <w:highlight w:val="none"/>
        </w:rPr>
        <w:t xml:space="preserve">1．投标人应在投标文件中提供详细的保障条件，相关分析指标包括：全部接受、全部接受、经国家金融监督管理总局（原中国（银行）保险监督管理委员会）批准的条款</w:t>
      </w:r>
      <w:r>
        <w:rPr>
          <w:rFonts w:ascii="Times New Roman" w:hAnsi="Times New Roman"/>
          <w:color w:val="000000"/>
          <w:sz w:val="28"/>
          <w:szCs w:val="28"/>
          <w:highlight w:val="none"/>
        </w:rPr>
        <w:t xml:space="preserve">。</w:t>
      </w:r>
      <w:r>
        <w:rPr>
          <w:rFonts w:ascii="Times New Roman" w:hAnsi="Times New Roman"/>
          <w:color w:val="000000"/>
          <w:sz w:val="28"/>
          <w:szCs w:val="28"/>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2．投标人应在投标文件中提供详细的承保服务，相关分析指标包括：全部接受、部分增加。</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3．投标人应在投标文件中提供详细的理赔服务，相关分析指标包括：全部接受、优化措施、服务便捷、相关项目服务经验和增值服务。</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4．投标人应在投标文件中提供详细的服务团队匹配情况，包括拟投入本项目的项目经理保险从业经验及参与本项目服务人员数量与服务经验、团队成熟度、人员职位、有无明确联系方式等情况。</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5．投标人应在投标文件中提供详细的售后服务方案及承诺，包括服务计划、培训计划、服务手册、回访制度、相关项目的客户满意度评价。</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6．投标人应在投标文件中提供详细的服务质量管控措施，包括投诉处理办法、服务监督措施、赔款滞纳处理、争议处理措施。</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7．投标人应在投标文件中提供投标人总公司202</w:t>
      </w:r>
      <w:r>
        <w:rPr>
          <w:rFonts w:hint="eastAsia" w:ascii="Times New Roman" w:hAnsi="Times New Roman"/>
          <w:color w:val="000000"/>
          <w:sz w:val="24"/>
          <w:highlight w:val="none"/>
          <w:lang w:val="en-US" w:eastAsia="zh-CN"/>
        </w:rPr>
        <w:t xml:space="preserve">6</w:t>
      </w:r>
      <w:r>
        <w:rPr>
          <w:rFonts w:ascii="Times New Roman" w:hAnsi="Times New Roman"/>
          <w:color w:val="000000"/>
          <w:sz w:val="24"/>
          <w:highlight w:val="none"/>
        </w:rPr>
        <w:t xml:space="preserve">年</w:t>
      </w:r>
      <w:r>
        <w:rPr>
          <w:rFonts w:hint="eastAsia" w:ascii="Times New Roman" w:hAnsi="Times New Roman"/>
          <w:color w:val="000000"/>
          <w:sz w:val="24"/>
          <w:highlight w:val="none"/>
          <w:lang w:val="en-US" w:eastAsia="zh-CN"/>
        </w:rPr>
        <w:t xml:space="preserve">1</w:t>
      </w:r>
      <w:r>
        <w:rPr>
          <w:rFonts w:ascii="Times New Roman" w:hAnsi="Times New Roman"/>
          <w:color w:val="000000"/>
          <w:sz w:val="24"/>
          <w:highlight w:val="none"/>
        </w:rPr>
        <w:t xml:space="preserve">季度末核心偿付能力、2024年全年亿元保费投诉量，投标人所属总公司2025年</w:t>
      </w:r>
      <w:r>
        <w:rPr>
          <w:rFonts w:hint="eastAsia" w:ascii="Times New Roman" w:hAnsi="Times New Roman"/>
          <w:color w:val="000000"/>
          <w:sz w:val="24"/>
          <w:highlight w:val="none"/>
          <w:lang w:val="en-US" w:eastAsia="zh-CN"/>
        </w:rPr>
        <w:t xml:space="preserve">3</w:t>
      </w:r>
      <w:r>
        <w:rPr>
          <w:rFonts w:ascii="Times New Roman" w:hAnsi="Times New Roman"/>
          <w:color w:val="000000"/>
          <w:sz w:val="24"/>
          <w:highlight w:val="none"/>
        </w:rPr>
        <w:t xml:space="preserve">季度风险综合评级。</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b/>
          <w:bCs/>
          <w:color w:val="000000"/>
          <w:sz w:val="24"/>
          <w:highlight w:val="none"/>
        </w:rPr>
      </w:pPr>
      <w:r>
        <w:rPr>
          <w:rFonts w:ascii="Times New Roman" w:hAnsi="Times New Roman"/>
          <w:color w:val="000000"/>
          <w:sz w:val="24"/>
          <w:highlight w:val="none"/>
        </w:rPr>
        <w:t xml:space="preserve">8．投标人或投标人所属总公司提供202</w:t>
      </w:r>
      <w:r>
        <w:rPr>
          <w:rFonts w:hint="eastAsia" w:ascii="Times New Roman" w:hAnsi="Times New Roman"/>
          <w:color w:val="000000"/>
          <w:sz w:val="24"/>
          <w:highlight w:val="none"/>
          <w:lang w:val="en-US" w:eastAsia="zh-CN"/>
        </w:rPr>
        <w:t xml:space="preserve">3</w:t>
      </w:r>
      <w:r>
        <w:rPr>
          <w:rFonts w:ascii="Times New Roman" w:hAnsi="Times New Roman"/>
          <w:color w:val="000000"/>
          <w:sz w:val="24"/>
          <w:highlight w:val="none"/>
        </w:rPr>
        <w:t xml:space="preserve">年以来承保过类似项目业绩。</w:t>
      </w:r>
      <w:r>
        <w:rPr>
          <w:rFonts w:ascii="Times New Roman" w:hAnsi="Times New Roman"/>
          <w:b/>
          <w:bCs/>
          <w:color w:val="000000"/>
          <w:sz w:val="24"/>
          <w:highlight w:val="none"/>
        </w:rPr>
      </w:r>
      <w:r/>
    </w:p>
    <w:p>
      <w:pPr>
        <w:pStyle w:val="790"/>
        <w:ind w:firstLine="482"/>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（五）联合体投标</w:t>
      </w:r>
      <w:r>
        <w:rPr>
          <w:rFonts w:ascii="Times New Roman" w:hAnsi="Times New Roman"/>
          <w:b/>
          <w:bCs/>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联合体投标时，除按本须知相关条款提供联合体每一成员的资料外，还应符合以下规定要求：</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1．联合体各成员之间应签订《联合体协议书》（详见统一格式），投标人的投标文件及中标后签署的合同书，对联合体的每一成员均有法律约束力。</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2．联合体投标人代表应被授权作为联合体各方的代表（该代表须为联合体成员之一），承担责任和接受指令，并负责整个合同的全面履行。</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3．所有联合体成员应按合同条件的规定，为实施合同共同和分别承担责任。在联合体协议书中，以及在投标文件和中标后签署的合同书中应对此做出相应的声明。</w:t>
      </w:r>
      <w:r>
        <w:rPr>
          <w:rFonts w:ascii="Times New Roman" w:hAnsi="Times New Roman"/>
          <w:color w:val="000000"/>
          <w:sz w:val="24"/>
          <w:highlight w:val="none"/>
        </w:rPr>
      </w:r>
      <w:r/>
    </w:p>
    <w:p>
      <w:pPr>
        <w:pStyle w:val="790"/>
        <w:ind w:firstLine="48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4．参加联合体的各成员不得再以自己名义单独投标，也不得同时参加两个或两个以上的联合体投标。如有违反将取消该联合体及联合体各成员的投标资格。</w:t>
      </w:r>
      <w:r>
        <w:rPr>
          <w:rFonts w:ascii="Times New Roman" w:hAnsi="Times New Roman"/>
          <w:color w:val="000000"/>
          <w:sz w:val="24"/>
          <w:highlight w:val="none"/>
        </w:rPr>
      </w:r>
      <w:r/>
    </w:p>
    <w:p>
      <w:pPr>
        <w:pStyle w:val="1148"/>
        <w:shd w:val="clear" w:color="auto" w:fill="auto"/>
        <w:rPr>
          <w:rFonts w:ascii="Times New Roman"/>
          <w:color w:val="000000"/>
          <w:highlight w:val="none"/>
        </w:rPr>
        <w:sectPr>
          <w:footerReference w:type="default" r:id="rId12"/>
          <w:footerReference w:type="first" r:id="rId13"/>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color w:val="000000"/>
          <w:highlight w:val="none"/>
        </w:rPr>
      </w:r>
      <w:r/>
    </w:p>
    <w:p>
      <w:pPr>
        <w:pStyle w:val="790"/>
        <w:spacing w:before="120" w:after="120" w:line="440" w:lineRule="exact"/>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t xml:space="preserve">三、商务条款 </w:t>
      </w:r>
      <w:r>
        <w:rPr>
          <w:rFonts w:ascii="Times New Roman" w:hAnsi="Times New Roman"/>
          <w:b/>
          <w:color w:val="000000"/>
          <w:sz w:val="28"/>
          <w:szCs w:val="28"/>
          <w:highlight w:val="none"/>
        </w:rPr>
      </w:r>
      <w:r/>
    </w:p>
    <w:p>
      <w:pPr>
        <w:pStyle w:val="1350"/>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1 服务期限及服务地点</w:t>
      </w:r>
      <w:r>
        <w:rPr>
          <w:rFonts w:eastAsia="宋体"/>
          <w:b/>
          <w:color w:val="000000"/>
          <w:spacing w:val="7"/>
          <w:highlight w:val="non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1.1、服务期限</w:t>
      </w:r>
      <w:r>
        <w:rPr>
          <w:rFonts w:eastAsia="宋体"/>
          <w:i/>
          <w:color w:val="000000"/>
          <w:spacing w:val="7"/>
          <w:highlight w:val="none"/>
          <w:u w:val="singl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一年。</w:t>
      </w:r>
      <w:r>
        <w:rPr>
          <w:rFonts w:eastAsia="宋体"/>
          <w:i/>
          <w:color w:val="000000"/>
          <w:spacing w:val="7"/>
          <w:highlight w:val="none"/>
          <w:u w:val="single"/>
        </w:rPr>
      </w:r>
      <w:r/>
    </w:p>
    <w:p>
      <w:pPr>
        <w:pStyle w:val="1350"/>
        <w:ind w:firstLine="500"/>
        <w:spacing w:line="440" w:lineRule="exact"/>
        <w:shd w:val="clear" w:color="auto" w:fill="auto"/>
        <w:rPr>
          <w:i/>
          <w:iCs/>
          <w:color w:val="000000"/>
          <w:highlight w:val="none"/>
          <w:u w:val="single"/>
        </w:rPr>
      </w:pPr>
      <w:r>
        <w:rPr>
          <w:rFonts w:eastAsia="宋体"/>
          <w:i/>
          <w:color w:val="000000"/>
          <w:spacing w:val="7"/>
          <w:highlight w:val="none"/>
          <w:u w:val="single"/>
        </w:rPr>
        <w:t xml:space="preserve">1.2 </w:t>
      </w:r>
      <w:r>
        <w:rPr>
          <w:rFonts w:hint="eastAsia" w:ascii="宋体" w:hAnsi="宋体" w:eastAsia="宋体" w:cs="宋体"/>
          <w:b/>
          <w:bCs/>
          <w:i/>
          <w:iCs/>
          <w:color w:val="000000"/>
          <w:highlight w:val="none"/>
          <w:u w:val="single"/>
        </w:rPr>
        <w:t xml:space="preserve">服务地点</w:t>
      </w:r>
      <w:r>
        <w:rPr>
          <w:i/>
          <w:iCs/>
          <w:color w:val="000000"/>
          <w:highlight w:val="none"/>
          <w:u w:val="singl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张家港市行政区域内。</w:t>
      </w:r>
      <w:r>
        <w:rPr>
          <w:rFonts w:eastAsia="宋体"/>
          <w:i/>
          <w:color w:val="000000"/>
          <w:spacing w:val="7"/>
          <w:highlight w:val="none"/>
          <w:u w:val="single"/>
        </w:rPr>
      </w:r>
      <w:r/>
    </w:p>
    <w:p>
      <w:pPr>
        <w:pStyle w:val="1350"/>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2 货款支付</w:t>
      </w:r>
      <w:r>
        <w:rPr>
          <w:rFonts w:eastAsia="宋体"/>
          <w:b/>
          <w:color w:val="000000"/>
          <w:spacing w:val="7"/>
          <w:highlight w:val="non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2.1、结付程序</w:t>
      </w:r>
      <w:r>
        <w:rPr>
          <w:rFonts w:eastAsia="宋体"/>
          <w:i/>
          <w:color w:val="000000"/>
          <w:spacing w:val="7"/>
          <w:highlight w:val="none"/>
          <w:u w:val="singl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中标人依据服务内容合格的履行义务后，凭投保单、缴费通知单等到采购单位办理合同款结算手续。</w:t>
      </w:r>
      <w:r>
        <w:rPr>
          <w:rFonts w:eastAsia="宋体"/>
          <w:i/>
          <w:color w:val="000000"/>
          <w:spacing w:val="7"/>
          <w:highlight w:val="none"/>
          <w:u w:val="singl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2.2、结付期限</w:t>
      </w:r>
      <w:r>
        <w:rPr>
          <w:rFonts w:eastAsia="宋体"/>
          <w:i/>
          <w:color w:val="000000"/>
          <w:spacing w:val="7"/>
          <w:highlight w:val="none"/>
          <w:u w:val="single"/>
        </w:rPr>
      </w:r>
      <w:r/>
    </w:p>
    <w:p>
      <w:pPr>
        <w:pStyle w:val="1350"/>
        <w:ind w:firstLine="500"/>
        <w:spacing w:line="440" w:lineRule="exact"/>
        <w:shd w:val="clear" w:color="auto" w:fill="auto"/>
        <w:rPr>
          <w:rFonts w:eastAsia="宋体"/>
          <w:b/>
          <w:color w:val="000000"/>
          <w:spacing w:val="7"/>
          <w:highlight w:val="none"/>
        </w:rPr>
      </w:pPr>
      <w:r>
        <w:rPr>
          <w:rFonts w:hint="eastAsia" w:ascii="宋体" w:hAnsi="宋体" w:eastAsia="宋体" w:cs="宋体"/>
          <w:i/>
          <w:iCs/>
          <w:color w:val="000000"/>
          <w:highlight w:val="none"/>
          <w:u w:val="single"/>
        </w:rPr>
        <w:t xml:space="preserve">合同签订并生效后，按年度付款，</w:t>
      </w:r>
      <w:r>
        <w:rPr>
          <w:rFonts w:eastAsia="宋体"/>
          <w:i/>
          <w:iCs/>
          <w:color w:val="000000"/>
          <w:highlight w:val="none"/>
          <w:u w:val="single"/>
        </w:rPr>
        <w:t xml:space="preserve">采购人</w:t>
      </w:r>
      <w:r>
        <w:rPr>
          <w:rFonts w:hint="eastAsia" w:ascii="宋体" w:hAnsi="宋体" w:eastAsia="宋体" w:cs="宋体"/>
          <w:i/>
          <w:iCs/>
          <w:color w:val="000000"/>
          <w:highlight w:val="none"/>
          <w:u w:val="single"/>
        </w:rPr>
        <w:t xml:space="preserve">一次性支付该年度总保费的</w:t>
      </w:r>
      <w:r>
        <w:rPr>
          <w:i/>
          <w:iCs/>
          <w:color w:val="000000"/>
          <w:highlight w:val="none"/>
          <w:u w:val="single"/>
        </w:rPr>
        <w:t xml:space="preserve">100%</w:t>
      </w:r>
      <w:r>
        <w:rPr>
          <w:rFonts w:hint="eastAsia" w:ascii="宋体" w:hAnsi="宋体" w:eastAsia="宋体" w:cs="宋体"/>
          <w:i/>
          <w:iCs/>
          <w:color w:val="000000"/>
          <w:highlight w:val="none"/>
          <w:u w:val="single"/>
        </w:rPr>
        <w:t xml:space="preserve">。</w:t>
      </w:r>
      <w:r>
        <w:rPr>
          <w:rFonts w:eastAsia="宋体"/>
          <w:b/>
          <w:color w:val="000000"/>
          <w:spacing w:val="7"/>
          <w:highlight w:val="none"/>
        </w:rPr>
      </w:r>
      <w:r/>
    </w:p>
    <w:p>
      <w:pPr>
        <w:pStyle w:val="1350"/>
        <w:ind w:firstLine="500"/>
        <w:spacing w:line="440" w:lineRule="exact"/>
        <w:shd w:val="clear" w:color="auto" w:fill="auto"/>
        <w:rPr>
          <w:rFonts w:eastAsia="宋体"/>
          <w:b/>
          <w:color w:val="000000"/>
          <w:spacing w:val="7"/>
          <w:highlight w:val="none"/>
        </w:rPr>
      </w:pPr>
      <w:r>
        <w:rPr>
          <w:rFonts w:eastAsia="宋体"/>
          <w:b/>
          <w:color w:val="000000"/>
          <w:spacing w:val="7"/>
          <w:highlight w:val="none"/>
        </w:rPr>
        <w:t xml:space="preserve">3 投标货币</w:t>
      </w:r>
      <w:r>
        <w:rPr>
          <w:rFonts w:eastAsia="宋体"/>
          <w:b/>
          <w:color w:val="000000"/>
          <w:spacing w:val="7"/>
          <w:highlight w:val="non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3.1、投标货币</w:t>
      </w:r>
      <w:r>
        <w:rPr>
          <w:rFonts w:eastAsia="宋体"/>
          <w:i/>
          <w:color w:val="000000"/>
          <w:spacing w:val="7"/>
          <w:highlight w:val="none"/>
          <w:u w:val="singl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t xml:space="preserve">人民币</w:t>
      </w:r>
      <w:r>
        <w:rPr>
          <w:rFonts w:eastAsia="宋体"/>
          <w:i/>
          <w:color w:val="000000"/>
          <w:spacing w:val="7"/>
          <w:highlight w:val="none"/>
          <w:u w:val="single"/>
        </w:rPr>
      </w:r>
      <w:r/>
    </w:p>
    <w:p>
      <w:pPr>
        <w:pStyle w:val="1350"/>
        <w:ind w:firstLine="500"/>
        <w:spacing w:line="440" w:lineRule="exact"/>
        <w:shd w:val="clear" w:color="auto" w:fill="auto"/>
        <w:rPr>
          <w:rFonts w:eastAsia="宋体"/>
          <w:i/>
          <w:color w:val="000000"/>
          <w:spacing w:val="7"/>
          <w:highlight w:val="none"/>
          <w:u w:val="single"/>
        </w:rPr>
      </w:pPr>
      <w:r>
        <w:rPr>
          <w:rFonts w:eastAsia="宋体"/>
          <w:i/>
          <w:color w:val="000000"/>
          <w:spacing w:val="7"/>
          <w:highlight w:val="none"/>
          <w:u w:val="single"/>
        </w:rPr>
      </w:r>
      <w:r/>
    </w:p>
    <w:p>
      <w:pPr>
        <w:pStyle w:val="1399"/>
        <w:jc w:val="center"/>
        <w:spacing w:line="440" w:lineRule="exact"/>
        <w:shd w:val="clear" w:color="auto" w:fill="auto"/>
        <w:rPr>
          <w:rFonts w:eastAsia="宋体"/>
          <w:b/>
          <w:bCs/>
          <w:color w:val="000000"/>
          <w:highlight w:val="none"/>
        </w:rPr>
      </w:pPr>
      <w:r/>
      <w:bookmarkEnd w:id="77"/>
      <w:r>
        <w:rPr>
          <w:rFonts w:eastAsia="宋体"/>
          <w:b/>
          <w:bCs/>
          <w:color w:val="000000"/>
          <w:highlight w:val="none"/>
        </w:rPr>
      </w:r>
      <w:r/>
    </w:p>
    <w:p>
      <w:pPr>
        <w:pStyle w:val="870"/>
        <w:pageBreakBefore/>
        <w:spacing w:line="440" w:lineRule="exact"/>
        <w:shd w:val="clear" w:color="auto" w:fill="auto"/>
        <w:rPr>
          <w:rFonts w:ascii="Times New Roman" w:hAnsi="Times New Roman" w:eastAsia="宋体"/>
          <w:b w:val="0"/>
          <w:color w:val="000000"/>
          <w:sz w:val="24"/>
          <w:highlight w:val="none"/>
        </w:rPr>
      </w:pPr>
      <w:r/>
      <w:bookmarkStart w:id="82" w:name="_Toc209797853"/>
      <w:r>
        <w:rPr>
          <w:rFonts w:ascii="Times New Roman" w:hAnsi="Times New Roman" w:eastAsia="宋体"/>
          <w:color w:val="000000"/>
          <w:highlight w:val="none"/>
        </w:rPr>
        <w:t xml:space="preserve">第五章  评标方法与评标标准</w:t>
      </w:r>
      <w:bookmarkEnd w:id="82"/>
      <w:r>
        <w:rPr>
          <w:rFonts w:ascii="Times New Roman" w:hAnsi="Times New Roman" w:eastAsia="宋体"/>
          <w:b w:val="0"/>
          <w:color w:val="000000"/>
          <w:sz w:val="24"/>
          <w:highlight w:val="none"/>
        </w:rPr>
      </w:r>
      <w:r/>
    </w:p>
    <w:p>
      <w:pPr>
        <w:pStyle w:val="792"/>
        <w:jc w:val="left"/>
        <w:spacing w:before="0" w:after="0" w:line="440" w:lineRule="atLeast"/>
        <w:shd w:val="clear" w:color="auto" w:fill="auto"/>
        <w:rPr>
          <w:rStyle w:val="1099"/>
          <w:rFonts w:ascii="Times New Roman" w:hAnsi="Times New Roman"/>
          <w:b/>
          <w:bCs/>
          <w:color w:val="000000"/>
          <w:highlight w:val="none"/>
        </w:rPr>
      </w:pPr>
      <w:r/>
      <w:bookmarkStart w:id="83" w:name="_Toc209797854"/>
      <w:r>
        <w:rPr>
          <w:rStyle w:val="1099"/>
          <w:rFonts w:ascii="Times New Roman" w:hAnsi="Times New Roman"/>
          <w:b/>
          <w:bCs/>
          <w:color w:val="000000"/>
          <w:highlight w:val="none"/>
        </w:rPr>
        <w:t xml:space="preserve">一、评标方法与定标原则</w:t>
      </w:r>
      <w:bookmarkEnd w:id="83"/>
      <w:r>
        <w:rPr>
          <w:rStyle w:val="1099"/>
          <w:rFonts w:ascii="Times New Roman" w:hAnsi="Times New Roman"/>
          <w:b/>
          <w:bCs/>
          <w:color w:val="000000"/>
          <w:highlight w:val="none"/>
        </w:rPr>
      </w:r>
      <w:r/>
    </w:p>
    <w:p>
      <w:pPr>
        <w:pStyle w:val="1335"/>
        <w:ind w:firstLine="500"/>
        <w:spacing w:line="440" w:lineRule="exact"/>
        <w:shd w:val="clear" w:color="auto" w:fill="auto"/>
        <w:rPr>
          <w:rFonts w:eastAsia="宋体"/>
          <w:color w:val="000000"/>
          <w:spacing w:val="7"/>
          <w:highlight w:val="none"/>
        </w:rPr>
      </w:pPr>
      <w:r/>
      <w:bookmarkStart w:id="84" w:name="OLE_LINK3"/>
      <w:r>
        <w:rPr>
          <w:rFonts w:eastAsia="宋体"/>
          <w:color w:val="000000"/>
          <w:spacing w:val="7"/>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eastAsia="宋体"/>
          <w:color w:val="000000"/>
          <w:spacing w:val="7"/>
          <w:highlight w:val="none"/>
        </w:rPr>
      </w:r>
      <w:r/>
    </w:p>
    <w:p>
      <w:pPr>
        <w:pStyle w:val="1335"/>
        <w:ind w:firstLine="500"/>
        <w:spacing w:line="440" w:lineRule="exact"/>
        <w:shd w:val="clear" w:color="auto" w:fill="auto"/>
        <w:rPr>
          <w:rFonts w:eastAsia="宋体"/>
          <w:b/>
          <w:bCs/>
          <w:color w:val="000000"/>
          <w:spacing w:val="7"/>
          <w:highlight w:val="none"/>
        </w:rPr>
      </w:pPr>
      <w:r>
        <w:rPr>
          <w:rFonts w:eastAsia="宋体"/>
          <w:b/>
          <w:bCs/>
          <w:color w:val="000000"/>
          <w:spacing w:val="7"/>
          <w:highlight w:val="none"/>
        </w:rPr>
        <w:t xml:space="preserve">2</w:t>
      </w:r>
      <w:r>
        <w:rPr>
          <w:rFonts w:hint="eastAsia" w:eastAsia="宋体"/>
          <w:b/>
          <w:bCs/>
          <w:color w:val="000000"/>
          <w:spacing w:val="7"/>
          <w:highlight w:val="none"/>
        </w:rPr>
        <w:t xml:space="preserve">、</w:t>
      </w:r>
      <w:r>
        <w:rPr>
          <w:rFonts w:eastAsia="宋体"/>
          <w:b/>
          <w:bCs/>
          <w:color w:val="000000"/>
          <w:spacing w:val="7"/>
          <w:highlight w:val="none"/>
        </w:rPr>
        <w:t xml:space="preserve">启动异常低价投标（响应）审查的情形和要求详见招标文件第二章 投标人须知/28. 启动异常低价投标（响应）审查的情形和要求。</w:t>
      </w:r>
      <w:r>
        <w:rPr>
          <w:rFonts w:eastAsia="宋体"/>
          <w:b/>
          <w:bCs/>
          <w:color w:val="000000"/>
          <w:spacing w:val="7"/>
          <w:highlight w:val="none"/>
        </w:rPr>
      </w:r>
      <w:r/>
    </w:p>
    <w:p>
      <w:pPr>
        <w:pStyle w:val="1340"/>
        <w:ind w:firstLine="508"/>
        <w:spacing w:line="440" w:lineRule="exact"/>
        <w:shd w:val="clear" w:color="auto" w:fill="auto"/>
        <w:rPr>
          <w:rFonts w:eastAsia="宋体"/>
          <w:color w:val="000000"/>
          <w:spacing w:val="7"/>
          <w:highlight w:val="none"/>
        </w:rPr>
      </w:pPr>
      <w:r>
        <w:rPr>
          <w:rFonts w:hint="eastAsia" w:eastAsia="宋体"/>
          <w:color w:val="000000"/>
          <w:spacing w:val="7"/>
          <w:highlight w:val="none"/>
          <w:lang w:val="en-US" w:eastAsia="zh-CN"/>
        </w:rPr>
        <w:t xml:space="preserve">3</w:t>
      </w:r>
      <w:r>
        <w:rPr>
          <w:rFonts w:eastAsia="宋体"/>
          <w:color w:val="000000"/>
          <w:spacing w:val="7"/>
          <w:highlight w:val="none"/>
        </w:rPr>
        <w:t xml:space="preserve">、针对中小型企业的评审：</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（1）根据《政府采购促进中小企业发展管理办法》（财库〔2020〕46号）及《苏州市政府采购促进中小企业发展实施意见》（苏财购〔2022〕16号）的规定，对符合办法规定的小微企业报价给予</w:t>
      </w:r>
      <w:r>
        <w:rPr>
          <w:rFonts w:hint="eastAsia" w:eastAsia="宋体"/>
          <w:color w:val="000000"/>
          <w:spacing w:val="7"/>
          <w:highlight w:val="none"/>
          <w:lang w:val="en-US" w:eastAsia="zh-CN"/>
        </w:rPr>
        <w:t xml:space="preserve">10</w:t>
      </w:r>
      <w:r>
        <w:rPr>
          <w:rFonts w:eastAsia="宋体"/>
          <w:color w:val="000000"/>
          <w:spacing w:val="7"/>
          <w:highlight w:val="none"/>
        </w:rPr>
        <w:t xml:space="preserve">%的扣除，用扣除后的价格参加评审。</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注：</w:t>
      </w:r>
      <w:r>
        <w:rPr>
          <w:rFonts w:ascii="Cambria Math" w:hAnsi="Cambria Math" w:eastAsia="宋体" w:cs="Cambria Math"/>
          <w:color w:val="000000"/>
          <w:spacing w:val="7"/>
          <w:highlight w:val="none"/>
        </w:rPr>
        <w:t xml:space="preserve">①</w:t>
      </w:r>
      <w:r>
        <w:rPr>
          <w:rFonts w:eastAsia="宋体"/>
          <w:color w:val="000000"/>
          <w:spacing w:val="7"/>
          <w:highlight w:val="none"/>
        </w:rPr>
        <w:t xml:space="preserve">中小企业参加政府采购活动，应当出具《中小企业声明函》，否则不得享受相关中小企业扶持政策；</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ascii="Cambria Math" w:hAnsi="Cambria Math" w:eastAsia="宋体" w:cs="Cambria Math"/>
          <w:color w:val="000000"/>
          <w:spacing w:val="7"/>
          <w:highlight w:val="none"/>
        </w:rPr>
        <w:t xml:space="preserve">②</w:t>
      </w:r>
      <w:r>
        <w:rPr>
          <w:rFonts w:eastAsia="宋体"/>
          <w:color w:val="000000"/>
          <w:spacing w:val="7"/>
          <w:highlight w:val="none"/>
        </w:rPr>
        <w:t xml:space="preserve">大中型企业与小微型企业（残疾人福利单位、监狱企业）组成联合体，联合协议中约定小微型企业（残疾人福利单位、监狱企业）的合同份额占到合同总金额30%以上的，给予联合体</w:t>
      </w:r>
      <w:r>
        <w:rPr>
          <w:rFonts w:hint="eastAsia" w:eastAsia="宋体"/>
          <w:color w:val="000000"/>
          <w:spacing w:val="7"/>
          <w:highlight w:val="none"/>
          <w:lang w:val="en-US" w:eastAsia="zh-CN"/>
        </w:rPr>
        <w:t xml:space="preserve">4</w:t>
      </w:r>
      <w:r>
        <w:rPr>
          <w:rFonts w:eastAsia="宋体"/>
          <w:color w:val="000000"/>
          <w:spacing w:val="7"/>
          <w:highlight w:val="none"/>
        </w:rPr>
        <w:t xml:space="preserve">%的价格扣除，用扣除后的价格参与评审。</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ascii="Cambria Math" w:hAnsi="Cambria Math" w:eastAsia="宋体" w:cs="Cambria Math"/>
          <w:color w:val="000000"/>
          <w:spacing w:val="7"/>
          <w:highlight w:val="none"/>
        </w:rPr>
        <w:t xml:space="preserve">③</w:t>
      </w:r>
      <w:r>
        <w:rPr>
          <w:rFonts w:eastAsia="宋体"/>
          <w:color w:val="000000"/>
          <w:spacing w:val="7"/>
          <w:highlight w:val="none"/>
        </w:rPr>
        <w:t xml:space="preserve">联合体各方均为小型、微型企业（残疾人福利单位、监狱企业）的，联合体享受</w:t>
      </w:r>
      <w:r>
        <w:rPr>
          <w:rFonts w:hint="eastAsia" w:eastAsia="宋体"/>
          <w:color w:val="000000"/>
          <w:spacing w:val="7"/>
          <w:highlight w:val="none"/>
          <w:lang w:val="en-US" w:eastAsia="zh-CN"/>
        </w:rPr>
        <w:t xml:space="preserve">10</w:t>
      </w:r>
      <w:r>
        <w:rPr>
          <w:rFonts w:eastAsia="宋体"/>
          <w:color w:val="000000"/>
          <w:spacing w:val="7"/>
          <w:highlight w:val="none"/>
        </w:rPr>
        <w:t xml:space="preserve">%价格扣除，用扣除后的价格参与评审。</w:t>
      </w:r>
      <w:r>
        <w:rPr>
          <w:rFonts w:eastAsia="宋体"/>
          <w:color w:val="000000"/>
          <w:spacing w:val="7"/>
          <w:highlight w:val="none"/>
        </w:rPr>
      </w:r>
      <w:r/>
    </w:p>
    <w:p>
      <w:pPr>
        <w:pStyle w:val="1340"/>
        <w:ind w:left="239" w:firstLine="350"/>
        <w:spacing w:line="440" w:lineRule="exact"/>
        <w:shd w:val="clear" w:color="auto" w:fill="auto"/>
        <w:rPr>
          <w:rFonts w:eastAsia="宋体"/>
          <w:color w:val="000000"/>
          <w:spacing w:val="7"/>
          <w:highlight w:val="none"/>
        </w:rPr>
      </w:pPr>
      <w:r>
        <w:rPr>
          <w:rFonts w:ascii="Cambria Math" w:hAnsi="Cambria Math" w:eastAsia="宋体" w:cs="Cambria Math"/>
          <w:color w:val="000000"/>
          <w:spacing w:val="7"/>
          <w:highlight w:val="none"/>
        </w:rPr>
        <w:t xml:space="preserve">④</w:t>
      </w:r>
      <w:r>
        <w:rPr>
          <w:rFonts w:eastAsia="宋体"/>
          <w:color w:val="000000"/>
          <w:spacing w:val="7"/>
          <w:highlight w:val="none"/>
        </w:rPr>
        <w:t xml:space="preserve">以上规定未尽事项，按《政府采购促进中小企业发展管理办法》等有关制度规定执行。</w:t>
      </w:r>
      <w:r>
        <w:rPr>
          <w:rFonts w:eastAsia="宋体"/>
          <w:color w:val="000000"/>
          <w:spacing w:val="7"/>
          <w:highlight w:val="none"/>
        </w:rPr>
      </w:r>
      <w:r/>
    </w:p>
    <w:p>
      <w:pPr>
        <w:pStyle w:val="1340"/>
        <w:ind w:left="239" w:firstLine="350"/>
        <w:spacing w:line="440" w:lineRule="exact"/>
        <w:shd w:val="clear" w:color="auto" w:fill="auto"/>
        <w:rPr>
          <w:rFonts w:eastAsia="宋体"/>
          <w:color w:val="000000"/>
          <w:spacing w:val="7"/>
          <w:highlight w:val="none"/>
        </w:rPr>
      </w:pPr>
      <w:r>
        <w:rPr>
          <w:rFonts w:eastAsia="宋体"/>
          <w:color w:val="000000"/>
          <w:spacing w:val="7"/>
          <w:highlight w:val="none"/>
        </w:rPr>
        <w:t xml:space="preserve">（2）根据《关于促进残疾人就业政府采购政策的通知》（财库〔2017〕141号）的通知规定：</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在政府采购活动中，残疾人福利性单位视同小型、微型企业，享受预留份额、评审中价格扣除等促进中小企业发展的政府采购政策。残疾人福利性单位属于小型、微型企业的，不重复享受政策。</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中标、成交供应商为残疾人福利性单位的，采购人或者其委托的采购代理机构应当随中标、成交结果同时公告其《残疾人福利性单位声明函》，接受社会监督。</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注：投标人如不提供以上声明函的，不得享受相关政府采购政策。</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（3）根据《关于政府采购支持监狱企业发展有关问题的通知》（财库〔2014〕68号）的通知规定：</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在政府采购活动中，监狱企业视同小型、微型企业，享受预留份额、评审中价格扣除等促进中小企业发展的政府采购政策。监狱企业属于小型、微型企业的，不重复享受政策。</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eastAsia="宋体"/>
          <w:color w:val="000000"/>
          <w:spacing w:val="7"/>
          <w:highlight w:val="none"/>
        </w:rPr>
      </w:r>
      <w:r/>
    </w:p>
    <w:p>
      <w:pPr>
        <w:pStyle w:val="1340"/>
        <w:ind w:firstLine="500"/>
        <w:spacing w:line="440" w:lineRule="exact"/>
        <w:shd w:val="clear" w:color="auto" w:fill="auto"/>
        <w:rPr>
          <w:rFonts w:eastAsia="宋体"/>
          <w:color w:val="000000"/>
          <w:spacing w:val="7"/>
          <w:highlight w:val="none"/>
        </w:rPr>
      </w:pPr>
      <w:r>
        <w:rPr>
          <w:rFonts w:eastAsia="宋体"/>
          <w:color w:val="000000"/>
          <w:spacing w:val="7"/>
          <w:highlight w:val="none"/>
        </w:rPr>
        <w:t xml:space="preserve">注：投标人如不提供以上证明材料的，不得享受相关政府采购政策。</w:t>
      </w:r>
      <w:r>
        <w:rPr>
          <w:rFonts w:eastAsia="宋体"/>
          <w:color w:val="000000"/>
          <w:spacing w:val="7"/>
          <w:highlight w:val="none"/>
        </w:rPr>
      </w:r>
      <w:r/>
    </w:p>
    <w:p>
      <w:pPr>
        <w:pStyle w:val="792"/>
        <w:jc w:val="left"/>
        <w:spacing w:before="0" w:after="0" w:line="440" w:lineRule="exact"/>
        <w:shd w:val="clear" w:color="auto" w:fill="auto"/>
        <w:rPr>
          <w:rStyle w:val="1099"/>
          <w:rFonts w:ascii="Times New Roman" w:hAnsi="Times New Roman"/>
          <w:b/>
          <w:bCs/>
          <w:color w:val="000000"/>
          <w:highlight w:val="none"/>
        </w:rPr>
      </w:pPr>
      <w:r/>
      <w:bookmarkStart w:id="85" w:name="EBd9567453f96a4fca96262d13cc886515"/>
      <w:r/>
      <w:bookmarkEnd w:id="85"/>
      <w:r/>
      <w:bookmarkStart w:id="86" w:name="_Toc209797855"/>
      <w:r>
        <w:rPr>
          <w:rStyle w:val="1099"/>
          <w:rFonts w:ascii="Times New Roman" w:hAnsi="Times New Roman"/>
          <w:b/>
          <w:bCs/>
          <w:color w:val="000000"/>
          <w:highlight w:val="none"/>
        </w:rPr>
        <w:t xml:space="preserve">二、评标标准</w:t>
      </w:r>
      <w:bookmarkEnd w:id="86"/>
      <w:r>
        <w:rPr>
          <w:rStyle w:val="1099"/>
          <w:rFonts w:ascii="Times New Roman" w:hAnsi="Times New Roman"/>
          <w:b/>
          <w:bCs/>
          <w:color w:val="000000"/>
          <w:highlight w:val="none"/>
        </w:rPr>
      </w:r>
      <w:r/>
    </w:p>
    <w:p>
      <w:pPr>
        <w:pStyle w:val="1352"/>
        <w:ind w:firstLine="510"/>
        <w:keepLines w:val="0"/>
        <w:keepNext w:val="0"/>
        <w:pageBreakBefore w:val="0"/>
        <w:spacing w:line="440" w:lineRule="exact"/>
        <w:shd w:val="clear" w:color="auto" w:fill="auto"/>
        <w:rPr>
          <w:rFonts w:eastAsia="宋体"/>
          <w:b/>
          <w:color w:val="000000"/>
          <w:spacing w:val="7"/>
          <w:highlight w:val="none"/>
        </w:rPr>
      </w:pPr>
      <w:r>
        <w:rPr>
          <w:rFonts w:eastAsia="宋体"/>
          <w:b/>
          <w:color w:val="000000"/>
          <w:spacing w:val="7"/>
          <w:highlight w:val="none"/>
        </w:rPr>
        <w:t xml:space="preserve">1 价格分</w:t>
      </w:r>
      <w:r>
        <w:rPr>
          <w:rFonts w:hint="eastAsia" w:eastAsia="宋体"/>
          <w:b/>
          <w:color w:val="000000"/>
          <w:spacing w:val="7"/>
          <w:highlight w:val="none"/>
        </w:rPr>
        <w:t xml:space="preserve">20</w:t>
      </w:r>
      <w:r>
        <w:rPr>
          <w:rFonts w:eastAsia="宋体"/>
          <w:b/>
          <w:color w:val="000000"/>
          <w:spacing w:val="7"/>
          <w:highlight w:val="none"/>
        </w:rPr>
        <w:t xml:space="preserve">.0 分</w:t>
      </w:r>
      <w:r>
        <w:rPr>
          <w:rFonts w:eastAsia="宋体"/>
          <w:b/>
          <w:color w:val="000000"/>
          <w:spacing w:val="7"/>
          <w:highlight w:val="none"/>
        </w:rPr>
      </w:r>
      <w:r/>
    </w:p>
    <w:p>
      <w:pPr>
        <w:pStyle w:val="1352"/>
        <w:ind w:firstLine="508"/>
        <w:keepLines w:val="0"/>
        <w:keepNext w:val="0"/>
        <w:pageBreakBefore w:val="0"/>
        <w:spacing w:line="440" w:lineRule="exact"/>
        <w:shd w:val="clear" w:color="auto" w:fill="auto"/>
        <w:rPr>
          <w:rFonts w:eastAsia="宋体"/>
          <w:color w:val="000000"/>
          <w:spacing w:val="7"/>
          <w:highlight w:val="none"/>
        </w:rPr>
      </w:pPr>
      <w:r>
        <w:rPr>
          <w:rFonts w:eastAsia="宋体"/>
          <w:color w:val="000000"/>
          <w:spacing w:val="7"/>
          <w:highlight w:val="none"/>
        </w:rPr>
        <w:t xml:space="preserve">采用低价优先法计算，即满足招标文件要求且投标价格最低的投标价为评标基准价，其价格分为满分</w:t>
      </w:r>
      <w:r>
        <w:rPr>
          <w:rFonts w:hint="eastAsia" w:eastAsia="宋体"/>
          <w:color w:val="000000"/>
          <w:spacing w:val="7"/>
          <w:highlight w:val="none"/>
        </w:rPr>
        <w:t xml:space="preserve">20</w:t>
      </w:r>
      <w:r>
        <w:rPr>
          <w:rFonts w:eastAsia="宋体"/>
          <w:color w:val="000000"/>
          <w:spacing w:val="7"/>
          <w:highlight w:val="none"/>
        </w:rPr>
        <w:t xml:space="preserve">.0分。其他投标人的价格分统一按照下列公式计算：</w:t>
      </w:r>
      <w:r>
        <w:rPr>
          <w:rFonts w:eastAsia="宋体"/>
          <w:color w:val="000000"/>
          <w:spacing w:val="7"/>
          <w:highlight w:val="none"/>
        </w:rPr>
      </w:r>
      <w:r/>
    </w:p>
    <w:p>
      <w:pPr>
        <w:pStyle w:val="1352"/>
        <w:ind w:firstLine="508"/>
        <w:keepLines w:val="0"/>
        <w:keepNext w:val="0"/>
        <w:pageBreakBefore w:val="0"/>
        <w:spacing w:line="440" w:lineRule="exact"/>
        <w:shd w:val="clear" w:color="auto" w:fill="auto"/>
        <w:rPr>
          <w:rFonts w:eastAsia="宋体"/>
          <w:color w:val="000000"/>
          <w:spacing w:val="7"/>
          <w:highlight w:val="none"/>
        </w:rPr>
      </w:pPr>
      <w:r>
        <w:rPr>
          <w:rFonts w:eastAsia="宋体"/>
          <w:color w:val="000000"/>
          <w:spacing w:val="7"/>
          <w:highlight w:val="none"/>
        </w:rPr>
        <w:t xml:space="preserve">投标报价得分=（评标基准价/投标报价）* </w:t>
      </w:r>
      <w:r>
        <w:rPr>
          <w:rFonts w:hint="eastAsia" w:eastAsia="宋体"/>
          <w:color w:val="000000"/>
          <w:spacing w:val="7"/>
          <w:highlight w:val="none"/>
        </w:rPr>
        <w:t xml:space="preserve">20</w:t>
      </w:r>
      <w:r>
        <w:rPr>
          <w:rFonts w:eastAsia="宋体"/>
          <w:color w:val="000000"/>
          <w:spacing w:val="7"/>
          <w:highlight w:val="none"/>
        </w:rPr>
        <w:t xml:space="preserve">.0% * 100（保留二位小数）。</w:t>
      </w:r>
      <w:r>
        <w:rPr>
          <w:rFonts w:eastAsia="宋体"/>
          <w:color w:val="000000"/>
          <w:spacing w:val="7"/>
          <w:highlight w:val="none"/>
        </w:rPr>
      </w:r>
      <w:r/>
    </w:p>
    <w:p>
      <w:pPr>
        <w:pStyle w:val="790"/>
        <w:ind w:firstLine="510"/>
        <w:jc w:val="left"/>
        <w:keepLines w:val="0"/>
        <w:keepNext w:val="0"/>
        <w:pageBreakBefore w:val="0"/>
        <w:spacing w:line="440" w:lineRule="exact"/>
        <w:shd w:val="clear" w:color="auto" w:fill="auto"/>
        <w:widowControl/>
        <w:rPr>
          <w:rFonts w:ascii="Times New Roman" w:hAnsi="Times New Roman"/>
          <w:b/>
          <w:color w:val="000000"/>
          <w:spacing w:val="7"/>
          <w:sz w:val="24"/>
          <w:szCs w:val="24"/>
          <w:highlight w:val="none"/>
        </w:rPr>
      </w:pPr>
      <w:r/>
      <w:bookmarkStart w:id="87" w:name="_Hlk208058629"/>
      <w:r>
        <w:rPr>
          <w:rFonts w:ascii="Times New Roman" w:hAnsi="Times New Roman"/>
          <w:b/>
          <w:color w:val="000000"/>
          <w:spacing w:val="7"/>
          <w:sz w:val="24"/>
          <w:szCs w:val="24"/>
          <w:highlight w:val="none"/>
        </w:rPr>
        <w:t xml:space="preserve">2 服务方案 32.0 分</w:t>
      </w:r>
      <w:r>
        <w:rPr>
          <w:rFonts w:ascii="Times New Roman" w:hAnsi="Times New Roman"/>
          <w:b/>
          <w:color w:val="000000"/>
          <w:spacing w:val="7"/>
          <w:sz w:val="24"/>
          <w:szCs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2.1 保障条件</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评委根据投标文件保险方案中保障条件打分，保险公司对于招标文件中要求的保障条件是否能够完全接受，是否满足招标文件要求；相关分析指标包括：全部接受、经国家金融监督管理总局（原中国（银行）保险监督管理委员会）批准的条款；全部接受</w:t>
      </w:r>
      <w:r>
        <w:rPr>
          <w:rFonts w:hint="eastAsia" w:ascii="Times New Roman" w:hAnsi="Times New Roman"/>
          <w:color w:val="000000"/>
          <w:sz w:val="24"/>
          <w:highlight w:val="none"/>
          <w:lang w:val="en-US" w:eastAsia="zh-CN"/>
        </w:rPr>
        <w:t xml:space="preserve">或</w:t>
      </w:r>
      <w:r>
        <w:rPr>
          <w:rFonts w:ascii="Times New Roman" w:hAnsi="Times New Roman"/>
          <w:color w:val="000000"/>
          <w:sz w:val="24"/>
          <w:highlight w:val="none"/>
        </w:rPr>
        <w:t xml:space="preserve">优于招标文件要求的，得4分；有一项不满足招标文件要求的，得3分；两项及以上不满足招标文件要求的，得2分；未体现的不得分。【0/2/3/4】</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2.2 承保服务</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评委根据投标文件保险方案中承保服务打分，保险公司对于招标文件中要求的各项承保服务要求是否能够接受；相关分析指标包括：全部接受、部分增加；全部接受</w:t>
      </w:r>
      <w:r>
        <w:rPr>
          <w:rFonts w:hint="eastAsia" w:ascii="Times New Roman" w:hAnsi="Times New Roman"/>
          <w:color w:val="000000"/>
          <w:sz w:val="24"/>
          <w:highlight w:val="none"/>
          <w:lang w:val="en-US" w:eastAsia="zh-CN"/>
        </w:rPr>
        <w:t xml:space="preserve">或</w:t>
      </w:r>
      <w:r>
        <w:rPr>
          <w:rFonts w:ascii="Times New Roman" w:hAnsi="Times New Roman"/>
          <w:color w:val="000000"/>
          <w:sz w:val="24"/>
          <w:highlight w:val="none"/>
        </w:rPr>
        <w:t xml:space="preserve">优于招标文件要求的，得4分；方案制定缺一项且满足招标文件要求的，得3分；方案制定缺两项及以上不能完全满足招标文件要求的，得2分；未体现的不得分。【0/2/3/4】</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2.3 理赔服务</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评委根据投标文件保险方案中理赔服务打分，保险公司对于招标文件中要求的理赔服务是否能够接受，是否增加了额外的服务优化措施和增值服务；相关分析指标包括：全部接受、优化措施、服务便捷、相关项目服务经验和增值服务；全部接受</w:t>
      </w:r>
      <w:r>
        <w:rPr>
          <w:rFonts w:hint="eastAsia" w:ascii="Times New Roman" w:hAnsi="Times New Roman"/>
          <w:color w:val="000000"/>
          <w:sz w:val="24"/>
          <w:highlight w:val="none"/>
          <w:lang w:val="en-US" w:eastAsia="zh-CN"/>
        </w:rPr>
        <w:t xml:space="preserve">或</w:t>
      </w:r>
      <w:r>
        <w:rPr>
          <w:rFonts w:ascii="Times New Roman" w:hAnsi="Times New Roman"/>
          <w:color w:val="000000"/>
          <w:sz w:val="24"/>
          <w:highlight w:val="none"/>
        </w:rPr>
        <w:t xml:space="preserve">优于招标文件要求的，得8分；方案制定缺一项且满足招标文件要求的，得5分；方案制定缺两项及以上不能完全满足招标文件要求的，得2分；未体现的不得分。【0/2/5/8】</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2.4 服务团队匹配情况</w:t>
      </w:r>
      <w:bookmarkStart w:id="88" w:name="_Toc28343725"/>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bookmarkEnd w:id="88"/>
      <w:r>
        <w:rPr>
          <w:rFonts w:ascii="Times New Roman" w:hAnsi="Times New Roman"/>
          <w:color w:val="000000"/>
          <w:sz w:val="24"/>
          <w:highlight w:val="none"/>
        </w:rPr>
        <w:t xml:space="preserve">（1）项目负责人情况</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拟投入本项目的项目经理保险从业经验5年以内的，得1分；5（含5年）-10年的，得2分；10年（含10年）以上的，得3分</w:t>
      </w:r>
      <w:r>
        <w:rPr>
          <w:rFonts w:ascii="Times New Roman" w:hAnsi="Times New Roman"/>
          <w:b/>
          <w:bCs/>
          <w:color w:val="000000"/>
          <w:sz w:val="24"/>
          <w:highlight w:val="none"/>
        </w:rPr>
        <w:t xml:space="preserve">（请在投标文件中提供相关证明材料及为该员工缴纳的社保证明，不提供不得分）。</w:t>
      </w:r>
      <w:r>
        <w:rPr>
          <w:rFonts w:ascii="Times New Roman" w:hAnsi="Times New Roman"/>
          <w:color w:val="000000"/>
          <w:sz w:val="24"/>
          <w:highlight w:val="none"/>
        </w:rPr>
        <w:t xml:space="preserve">【0/1/2/3】</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（2）项目全部服务人员情况</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拟投入本项目全部服务人员的情况，包括参与本项目服务人员数量与服务经验、团队成熟度、人员职位、有无明确联系方式等情况，方案完全包含上述内容且满足项目需求的，得3分；方案缺一项且所提方案基本满足需求的，得2分；方案缺失达两项以上的，得1分；未体现的不得分。【0/1/2/3】</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2.5 售后服务方案及承诺</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评委根据投标人制定的合理有效的售后服务方案及承诺，包括服务计划、培训计划、服务手册、回访制度、相关项目的客户满意度评价等情况；方案制定方案完全包含上述内容且满足项目需求的，得5分；方案制定缺一项且所提方案基本满足需求的，得3分；方案制定缺两项及以上的，得1分；未体现的不得分。【0/1/3/5】</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2.6 服务质量管控措施</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评委根据投标人制定的服务质量管控措施，包括投诉处理办法、服务监督措施、赔款滞纳处理、争议处理措施评定；方案制定方案完全包含上述内容且满足项目需求的，得5分；方案制定缺一项且所提方案基本满足需求的，得3分；方案制定缺两项以上的，得1分；未体现的不得分。【0/1/3/5】</w:t>
      </w:r>
      <w:r>
        <w:rPr>
          <w:rFonts w:ascii="Times New Roman" w:hAnsi="Times New Roman"/>
          <w:color w:val="000000"/>
          <w:sz w:val="24"/>
          <w:highlight w:val="none"/>
        </w:rPr>
      </w:r>
      <w:r/>
    </w:p>
    <w:p>
      <w:pPr>
        <w:pStyle w:val="790"/>
        <w:ind w:firstLine="51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b/>
          <w:color w:val="000000"/>
          <w:spacing w:val="7"/>
          <w:sz w:val="24"/>
          <w:szCs w:val="24"/>
          <w:highlight w:val="none"/>
        </w:rPr>
        <w:t xml:space="preserve">3 </w:t>
      </w:r>
      <w:r>
        <w:rPr>
          <w:rFonts w:ascii="Times New Roman" w:hAnsi="Times New Roman"/>
          <w:b/>
          <w:bCs/>
          <w:color w:val="000000"/>
          <w:sz w:val="24"/>
          <w:highlight w:val="none"/>
        </w:rPr>
        <w:t xml:space="preserve">履约能力48分</w:t>
      </w:r>
      <w:r>
        <w:rPr>
          <w:rFonts w:ascii="Times New Roman" w:hAnsi="Times New Roman"/>
          <w:color w:val="000000"/>
          <w:sz w:val="24"/>
          <w:highlight w:val="none"/>
        </w:rPr>
      </w:r>
      <w:r/>
    </w:p>
    <w:p>
      <w:pPr>
        <w:pStyle w:val="790"/>
        <w:ind w:firstLine="480"/>
        <w:jc w:val="left"/>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3.1 核心偿付能力</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投标人所属总公司202</w:t>
      </w:r>
      <w:r>
        <w:rPr>
          <w:rFonts w:hint="eastAsia" w:ascii="Times New Roman" w:hAnsi="Times New Roman"/>
          <w:color w:val="000000"/>
          <w:sz w:val="24"/>
          <w:highlight w:val="none"/>
          <w:lang w:val="en-US" w:eastAsia="zh-CN"/>
        </w:rPr>
        <w:t xml:space="preserve">6</w:t>
      </w:r>
      <w:r>
        <w:rPr>
          <w:rFonts w:ascii="Times New Roman" w:hAnsi="Times New Roman"/>
          <w:color w:val="000000"/>
          <w:sz w:val="24"/>
          <w:highlight w:val="none"/>
        </w:rPr>
        <w:t xml:space="preserve">年</w:t>
      </w:r>
      <w:r>
        <w:rPr>
          <w:rFonts w:hint="eastAsia" w:ascii="Times New Roman" w:hAnsi="Times New Roman"/>
          <w:color w:val="000000"/>
          <w:sz w:val="24"/>
          <w:highlight w:val="none"/>
          <w:lang w:val="en-US" w:eastAsia="zh-CN"/>
        </w:rPr>
        <w:t xml:space="preserve">1</w:t>
      </w:r>
      <w:r>
        <w:rPr>
          <w:rFonts w:ascii="Times New Roman" w:hAnsi="Times New Roman"/>
          <w:color w:val="000000"/>
          <w:sz w:val="24"/>
          <w:highlight w:val="none"/>
        </w:rPr>
        <w:t xml:space="preserve">季度末核心偿付能力情况：202</w:t>
      </w:r>
      <w:r>
        <w:rPr>
          <w:rFonts w:hint="eastAsia" w:ascii="Times New Roman" w:hAnsi="Times New Roman"/>
          <w:color w:val="000000"/>
          <w:sz w:val="24"/>
          <w:highlight w:val="none"/>
          <w:lang w:val="en-US" w:eastAsia="zh-CN"/>
        </w:rPr>
        <w:t xml:space="preserve">6</w:t>
      </w:r>
      <w:r>
        <w:rPr>
          <w:rFonts w:ascii="Times New Roman" w:hAnsi="Times New Roman"/>
          <w:color w:val="000000"/>
          <w:sz w:val="24"/>
          <w:highlight w:val="none"/>
        </w:rPr>
        <w:t xml:space="preserve">年</w:t>
      </w:r>
      <w:r>
        <w:rPr>
          <w:rFonts w:hint="eastAsia" w:ascii="Times New Roman" w:hAnsi="Times New Roman"/>
          <w:color w:val="000000"/>
          <w:sz w:val="24"/>
          <w:highlight w:val="none"/>
          <w:lang w:val="en-US" w:eastAsia="zh-CN"/>
        </w:rPr>
        <w:t xml:space="preserve">1</w:t>
      </w:r>
      <w:r>
        <w:rPr>
          <w:rFonts w:ascii="Times New Roman" w:hAnsi="Times New Roman"/>
          <w:color w:val="000000"/>
          <w:sz w:val="24"/>
          <w:highlight w:val="none"/>
        </w:rPr>
        <w:t xml:space="preserve">季度末核心偿付能力&gt;1</w:t>
      </w:r>
      <w:r>
        <w:rPr>
          <w:rFonts w:hint="eastAsia" w:ascii="Times New Roman" w:hAnsi="Times New Roman"/>
          <w:color w:val="000000"/>
          <w:sz w:val="24"/>
          <w:highlight w:val="none"/>
          <w:lang w:val="en-US" w:eastAsia="zh-CN"/>
        </w:rPr>
        <w:t xml:space="preserve">5</w:t>
      </w:r>
      <w:r>
        <w:rPr>
          <w:rFonts w:ascii="Times New Roman" w:hAnsi="Times New Roman"/>
          <w:color w:val="000000"/>
          <w:sz w:val="24"/>
          <w:highlight w:val="none"/>
        </w:rPr>
        <w:t xml:space="preserve">5%，得10分；1</w:t>
      </w:r>
      <w:r>
        <w:rPr>
          <w:rFonts w:hint="eastAsia" w:ascii="Times New Roman" w:hAnsi="Times New Roman"/>
          <w:color w:val="000000"/>
          <w:sz w:val="24"/>
          <w:highlight w:val="none"/>
          <w:lang w:val="en-US" w:eastAsia="zh-CN"/>
        </w:rPr>
        <w:t xml:space="preserve">4</w:t>
      </w:r>
      <w:r>
        <w:rPr>
          <w:rFonts w:ascii="Times New Roman" w:hAnsi="Times New Roman"/>
          <w:color w:val="000000"/>
          <w:sz w:val="24"/>
          <w:highlight w:val="none"/>
        </w:rPr>
        <w:t xml:space="preserve">5%&lt;202</w:t>
      </w:r>
      <w:r>
        <w:rPr>
          <w:rFonts w:hint="eastAsia" w:ascii="Times New Roman" w:hAnsi="Times New Roman"/>
          <w:color w:val="000000"/>
          <w:sz w:val="24"/>
          <w:highlight w:val="none"/>
          <w:lang w:val="en-US" w:eastAsia="zh-CN"/>
        </w:rPr>
        <w:t xml:space="preserve">6</w:t>
      </w:r>
      <w:r>
        <w:rPr>
          <w:rFonts w:ascii="Times New Roman" w:hAnsi="Times New Roman"/>
          <w:color w:val="000000"/>
          <w:sz w:val="24"/>
          <w:highlight w:val="none"/>
        </w:rPr>
        <w:t xml:space="preserve">年</w:t>
      </w:r>
      <w:r>
        <w:rPr>
          <w:rFonts w:hint="eastAsia" w:ascii="Times New Roman" w:hAnsi="Times New Roman"/>
          <w:color w:val="000000"/>
          <w:sz w:val="24"/>
          <w:highlight w:val="none"/>
          <w:lang w:val="en-US" w:eastAsia="zh-CN"/>
        </w:rPr>
        <w:t xml:space="preserve">1</w:t>
      </w:r>
      <w:r>
        <w:rPr>
          <w:rFonts w:ascii="Times New Roman" w:hAnsi="Times New Roman"/>
          <w:color w:val="000000"/>
          <w:sz w:val="24"/>
          <w:highlight w:val="none"/>
        </w:rPr>
        <w:t xml:space="preserve">季度末核心偿付能力≤1</w:t>
      </w:r>
      <w:r>
        <w:rPr>
          <w:rFonts w:hint="eastAsia" w:ascii="Times New Roman" w:hAnsi="Times New Roman"/>
          <w:color w:val="000000"/>
          <w:sz w:val="24"/>
          <w:highlight w:val="none"/>
          <w:lang w:val="en-US" w:eastAsia="zh-CN"/>
        </w:rPr>
        <w:t xml:space="preserve">5</w:t>
      </w:r>
      <w:r>
        <w:rPr>
          <w:rFonts w:ascii="Times New Roman" w:hAnsi="Times New Roman"/>
          <w:color w:val="000000"/>
          <w:sz w:val="24"/>
          <w:highlight w:val="none"/>
        </w:rPr>
        <w:t xml:space="preserve">5%，得6分；1</w:t>
      </w:r>
      <w:r>
        <w:rPr>
          <w:rFonts w:hint="eastAsia" w:ascii="Times New Roman" w:hAnsi="Times New Roman"/>
          <w:color w:val="000000"/>
          <w:sz w:val="24"/>
          <w:highlight w:val="none"/>
          <w:lang w:val="en-US" w:eastAsia="zh-CN"/>
        </w:rPr>
        <w:t xml:space="preserve">2</w:t>
      </w:r>
      <w:r>
        <w:rPr>
          <w:rFonts w:ascii="Times New Roman" w:hAnsi="Times New Roman"/>
          <w:color w:val="000000"/>
          <w:sz w:val="24"/>
          <w:highlight w:val="none"/>
        </w:rPr>
        <w:t xml:space="preserve">5%&lt;202</w:t>
      </w:r>
      <w:r>
        <w:rPr>
          <w:rFonts w:hint="eastAsia" w:ascii="Times New Roman" w:hAnsi="Times New Roman"/>
          <w:color w:val="000000"/>
          <w:sz w:val="24"/>
          <w:highlight w:val="none"/>
          <w:lang w:val="en-US" w:eastAsia="zh-CN"/>
        </w:rPr>
        <w:t xml:space="preserve">6</w:t>
      </w:r>
      <w:r>
        <w:rPr>
          <w:rFonts w:ascii="Times New Roman" w:hAnsi="Times New Roman"/>
          <w:color w:val="000000"/>
          <w:sz w:val="24"/>
          <w:highlight w:val="none"/>
        </w:rPr>
        <w:t xml:space="preserve">年</w:t>
      </w:r>
      <w:r>
        <w:rPr>
          <w:rFonts w:hint="eastAsia" w:ascii="Times New Roman" w:hAnsi="Times New Roman"/>
          <w:color w:val="000000"/>
          <w:sz w:val="24"/>
          <w:highlight w:val="none"/>
          <w:lang w:val="en-US" w:eastAsia="zh-CN"/>
        </w:rPr>
        <w:t xml:space="preserve">1</w:t>
      </w:r>
      <w:r>
        <w:rPr>
          <w:rFonts w:ascii="Times New Roman" w:hAnsi="Times New Roman"/>
          <w:color w:val="000000"/>
          <w:sz w:val="24"/>
          <w:highlight w:val="none"/>
        </w:rPr>
        <w:t xml:space="preserve">季度末核心偿付能力≤1</w:t>
      </w:r>
      <w:r>
        <w:rPr>
          <w:rFonts w:hint="eastAsia" w:ascii="Times New Roman" w:hAnsi="Times New Roman"/>
          <w:color w:val="000000"/>
          <w:sz w:val="24"/>
          <w:highlight w:val="none"/>
          <w:lang w:val="en-US" w:eastAsia="zh-CN"/>
        </w:rPr>
        <w:t xml:space="preserve">4</w:t>
      </w:r>
      <w:r>
        <w:rPr>
          <w:rFonts w:ascii="Times New Roman" w:hAnsi="Times New Roman"/>
          <w:color w:val="000000"/>
          <w:sz w:val="24"/>
          <w:highlight w:val="none"/>
        </w:rPr>
        <w:t xml:space="preserve">5%，得2分；低于1</w:t>
      </w:r>
      <w:r>
        <w:rPr>
          <w:rFonts w:hint="eastAsia" w:ascii="Times New Roman" w:hAnsi="Times New Roman"/>
          <w:color w:val="000000"/>
          <w:sz w:val="24"/>
          <w:highlight w:val="none"/>
          <w:lang w:val="en-US" w:eastAsia="zh-CN"/>
        </w:rPr>
        <w:t xml:space="preserve">2</w:t>
      </w:r>
      <w:r>
        <w:rPr>
          <w:rFonts w:ascii="Times New Roman" w:hAnsi="Times New Roman"/>
          <w:color w:val="000000"/>
          <w:sz w:val="24"/>
          <w:highlight w:val="none"/>
        </w:rPr>
        <w:t xml:space="preserve">5%不得分</w:t>
      </w:r>
      <w:r>
        <w:rPr>
          <w:rFonts w:ascii="Times New Roman" w:hAnsi="Times New Roman"/>
          <w:b/>
          <w:bCs/>
          <w:color w:val="000000"/>
          <w:sz w:val="24"/>
          <w:highlight w:val="none"/>
        </w:rPr>
        <w:t xml:space="preserve">(请在投标文件中提供投标人总公司在公司官方网站或中国保险行业协会网站上披露的202</w:t>
      </w:r>
      <w:r>
        <w:rPr>
          <w:rFonts w:hint="eastAsia" w:ascii="Times New Roman" w:hAnsi="Times New Roman"/>
          <w:b/>
          <w:bCs/>
          <w:color w:val="000000"/>
          <w:sz w:val="24"/>
          <w:highlight w:val="none"/>
          <w:lang w:val="en-US" w:eastAsia="zh-CN"/>
        </w:rPr>
        <w:t xml:space="preserve">6</w:t>
      </w:r>
      <w:r>
        <w:rPr>
          <w:rFonts w:ascii="Times New Roman" w:hAnsi="Times New Roman"/>
          <w:b/>
          <w:bCs/>
          <w:color w:val="000000"/>
          <w:sz w:val="24"/>
          <w:highlight w:val="none"/>
        </w:rPr>
        <w:t xml:space="preserve">年</w:t>
      </w:r>
      <w:r>
        <w:rPr>
          <w:rFonts w:hint="eastAsia" w:ascii="Times New Roman" w:hAnsi="Times New Roman"/>
          <w:b/>
          <w:bCs/>
          <w:color w:val="000000"/>
          <w:sz w:val="24"/>
          <w:highlight w:val="none"/>
          <w:lang w:val="en-US" w:eastAsia="zh-CN"/>
        </w:rPr>
        <w:t xml:space="preserve">1</w:t>
      </w:r>
      <w:r>
        <w:rPr>
          <w:rFonts w:ascii="Times New Roman" w:hAnsi="Times New Roman"/>
          <w:b/>
          <w:bCs/>
          <w:color w:val="000000"/>
          <w:sz w:val="24"/>
          <w:highlight w:val="none"/>
        </w:rPr>
        <w:t xml:space="preserve">季度核心偿付能力情况，不提供不得分；如为联合体投标，以联合体主要承保成员的核心偿付能力计分)</w:t>
      </w:r>
      <w:r>
        <w:rPr>
          <w:rFonts w:ascii="Times New Roman" w:hAnsi="Times New Roman"/>
          <w:color w:val="000000"/>
          <w:sz w:val="24"/>
          <w:highlight w:val="none"/>
        </w:rPr>
        <w:t xml:space="preserve">。【0/2/6/10】</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b/>
          <w:bCs/>
          <w:color w:val="000000"/>
          <w:sz w:val="24"/>
          <w:highlight w:val="none"/>
        </w:rPr>
      </w:pPr>
      <w:r>
        <w:rPr>
          <w:rFonts w:ascii="Times New Roman" w:hAnsi="Times New Roman"/>
          <w:color w:val="000000"/>
          <w:sz w:val="24"/>
          <w:highlight w:val="none"/>
        </w:rPr>
        <w:t xml:space="preserve">3.2 亿元保费投诉量</w:t>
      </w:r>
      <w:r>
        <w:rPr>
          <w:rFonts w:ascii="Times New Roman" w:hAnsi="Times New Roman"/>
          <w:b/>
          <w:bCs/>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投标人所属总公司2024年全年亿元保费投诉量情况评分：亿元保费投诉量＜0.5件/亿元，得12分；0.5件/亿元≤亿元保费投诉量＜1件/亿元，得8分；1件/亿元≤亿元保费投诉量＜1.5件/亿元，得4分；1.5件/亿元≤亿元保费投诉量＜2件/亿元，得2分；亿元保费投诉量≥2件/亿元，不得分。</w:t>
      </w:r>
      <w:r>
        <w:rPr>
          <w:rFonts w:ascii="Times New Roman" w:hAnsi="Times New Roman"/>
          <w:b/>
          <w:bCs/>
          <w:color w:val="000000"/>
          <w:sz w:val="24"/>
          <w:highlight w:val="none"/>
        </w:rPr>
        <w:t xml:space="preserve">（请在投标文件中提供金融监督管理局关于2024年全年保险消费投诉情况的通报扫描件，不提供不得分。投标人若为联合体的，以联合体主要承保成员的保险消费投诉情况计分）。</w:t>
      </w:r>
      <w:r>
        <w:rPr>
          <w:rFonts w:ascii="Times New Roman" w:hAnsi="Times New Roman"/>
          <w:color w:val="000000"/>
          <w:sz w:val="24"/>
          <w:highlight w:val="none"/>
        </w:rPr>
        <w:t xml:space="preserve">【0/2/4/8/12】</w:t>
      </w:r>
      <w:r>
        <w:rPr>
          <w:rFonts w:ascii="Times New Roman" w:hAnsi="Times New Roman"/>
          <w:color w:val="000000"/>
          <w:sz w:val="24"/>
          <w:highlight w:val="none"/>
        </w:rPr>
      </w:r>
      <w:r/>
    </w:p>
    <w:p>
      <w:pPr>
        <w:pStyle w:val="790"/>
        <w:ind w:firstLine="480"/>
        <w:jc w:val="left"/>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3.3 风险综合评级评价</w:t>
      </w:r>
      <w:r>
        <w:rPr>
          <w:rFonts w:ascii="Times New Roman" w:hAnsi="Times New Roman"/>
          <w:color w:val="000000"/>
          <w:sz w:val="24"/>
          <w:highlight w:val="none"/>
        </w:rPr>
      </w:r>
      <w:r/>
    </w:p>
    <w:p>
      <w:pPr>
        <w:pStyle w:val="790"/>
        <w:ind w:firstLine="480"/>
        <w:jc w:val="left"/>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投标人所属总公司2025年</w:t>
      </w:r>
      <w:r>
        <w:rPr>
          <w:rFonts w:hint="eastAsia" w:ascii="Times New Roman" w:hAnsi="Times New Roman"/>
          <w:color w:val="000000"/>
          <w:sz w:val="24"/>
          <w:highlight w:val="none"/>
          <w:lang w:val="en-US" w:eastAsia="zh-CN"/>
        </w:rPr>
        <w:t xml:space="preserve">3</w:t>
      </w:r>
      <w:r>
        <w:rPr>
          <w:rFonts w:ascii="Times New Roman" w:hAnsi="Times New Roman"/>
          <w:color w:val="000000"/>
          <w:sz w:val="24"/>
          <w:highlight w:val="none"/>
        </w:rPr>
        <w:t xml:space="preserve">季度风险综合评级结果，AAA级得20分，AA级得15分，A级得10分，BBB级得5分，B级得1分，C级不得分，本项最多得20分</w:t>
      </w:r>
      <w:r>
        <w:rPr>
          <w:rFonts w:ascii="Times New Roman" w:hAnsi="Times New Roman"/>
          <w:b/>
          <w:bCs/>
          <w:color w:val="000000"/>
          <w:sz w:val="24"/>
          <w:highlight w:val="none"/>
        </w:rPr>
        <w:t xml:space="preserve">（以投标人总公司在公司官方网站或中国保险行业协会网站上披露的2025年</w:t>
      </w:r>
      <w:r>
        <w:rPr>
          <w:rFonts w:hint="eastAsia" w:ascii="Times New Roman" w:hAnsi="Times New Roman"/>
          <w:b/>
          <w:bCs/>
          <w:color w:val="000000"/>
          <w:sz w:val="24"/>
          <w:highlight w:val="none"/>
          <w:lang w:val="en-US" w:eastAsia="zh-CN"/>
        </w:rPr>
        <w:t xml:space="preserve">3</w:t>
      </w:r>
      <w:r>
        <w:rPr>
          <w:rFonts w:ascii="Times New Roman" w:hAnsi="Times New Roman"/>
          <w:b/>
          <w:bCs/>
          <w:color w:val="000000"/>
          <w:sz w:val="24"/>
          <w:highlight w:val="none"/>
        </w:rPr>
        <w:t xml:space="preserve">季度风险综合评级结果为准。请在投标文件中提供投标人总公司2025年</w:t>
      </w:r>
      <w:r>
        <w:rPr>
          <w:rFonts w:hint="eastAsia" w:ascii="Times New Roman" w:hAnsi="Times New Roman"/>
          <w:b/>
          <w:bCs/>
          <w:color w:val="000000"/>
          <w:sz w:val="24"/>
          <w:highlight w:val="none"/>
          <w:lang w:val="en-US" w:eastAsia="zh-CN"/>
        </w:rPr>
        <w:t xml:space="preserve">3</w:t>
      </w:r>
      <w:r>
        <w:rPr>
          <w:rFonts w:ascii="Times New Roman" w:hAnsi="Times New Roman"/>
          <w:b/>
          <w:bCs/>
          <w:color w:val="000000"/>
          <w:sz w:val="24"/>
          <w:highlight w:val="none"/>
        </w:rPr>
        <w:t xml:space="preserve">季度发布的保险公司风险综合评级情况证明材料，不提供不得分；如为联合体投标，以联合体主要承保成员的风险综合评级计分）。</w:t>
      </w:r>
      <w:r>
        <w:rPr>
          <w:rFonts w:ascii="Times New Roman" w:hAnsi="Times New Roman"/>
          <w:color w:val="000000"/>
          <w:sz w:val="24"/>
          <w:highlight w:val="none"/>
        </w:rPr>
        <w:t xml:space="preserve">【0/1/5/10/15/20】</w:t>
      </w:r>
      <w:r>
        <w:rPr>
          <w:rFonts w:ascii="Times New Roman" w:hAnsi="Times New Roman"/>
          <w:color w:val="000000"/>
          <w:sz w:val="24"/>
          <w:highlight w:val="none"/>
        </w:rPr>
      </w:r>
      <w:r/>
    </w:p>
    <w:p>
      <w:pPr>
        <w:pStyle w:val="790"/>
        <w:ind w:firstLine="480"/>
        <w:jc w:val="left"/>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3.4 类似业绩 </w:t>
      </w:r>
      <w:r>
        <w:rPr>
          <w:rFonts w:ascii="Times New Roman" w:hAnsi="Times New Roman"/>
          <w:color w:val="000000"/>
          <w:sz w:val="24"/>
          <w:highlight w:val="none"/>
        </w:rPr>
      </w:r>
      <w:r/>
    </w:p>
    <w:p>
      <w:pPr>
        <w:pStyle w:val="790"/>
        <w:ind w:firstLine="480"/>
        <w:keepLines w:val="0"/>
        <w:keepNext w:val="0"/>
        <w:pageBreakBefore w:val="0"/>
        <w:spacing w:line="440" w:lineRule="exact"/>
        <w:shd w:val="clear" w:color="auto" w:fill="auto"/>
        <w:rPr>
          <w:rFonts w:ascii="Times New Roman" w:hAnsi="Times New Roman"/>
          <w:color w:val="000000"/>
          <w:sz w:val="24"/>
          <w:highlight w:val="none"/>
        </w:rPr>
      </w:pPr>
      <w:r>
        <w:rPr>
          <w:rFonts w:ascii="Times New Roman" w:hAnsi="Times New Roman"/>
          <w:color w:val="000000"/>
          <w:sz w:val="24"/>
          <w:highlight w:val="none"/>
        </w:rPr>
        <w:t xml:space="preserve">投标人或投标人所属总公司提供202</w:t>
      </w:r>
      <w:r>
        <w:rPr>
          <w:rFonts w:hint="eastAsia" w:ascii="Times New Roman" w:hAnsi="Times New Roman"/>
          <w:color w:val="000000"/>
          <w:sz w:val="24"/>
          <w:highlight w:val="none"/>
          <w:lang w:val="en-US" w:eastAsia="zh-CN"/>
        </w:rPr>
        <w:t xml:space="preserve">3</w:t>
      </w:r>
      <w:r>
        <w:rPr>
          <w:rFonts w:ascii="Times New Roman" w:hAnsi="Times New Roman"/>
          <w:color w:val="000000"/>
          <w:sz w:val="24"/>
          <w:highlight w:val="none"/>
        </w:rPr>
        <w:t xml:space="preserve">年以来承保过类似项目业绩，每提供一份得2分，最多得6分</w:t>
      </w:r>
      <w:r>
        <w:rPr>
          <w:rFonts w:ascii="Times New Roman" w:hAnsi="Times New Roman"/>
          <w:b/>
          <w:bCs/>
          <w:color w:val="000000"/>
          <w:sz w:val="24"/>
          <w:highlight w:val="none"/>
        </w:rPr>
        <w:t xml:space="preserve">（请在投标文件中提供相关保单扫描件，不提供不得分；如为联合体投标，联合体成员任意一方提供即可得分）</w:t>
      </w:r>
      <w:r>
        <w:rPr>
          <w:rFonts w:ascii="Times New Roman" w:hAnsi="Times New Roman"/>
          <w:color w:val="000000"/>
          <w:sz w:val="24"/>
          <w:highlight w:val="none"/>
        </w:rPr>
        <w:t xml:space="preserve">。【0/2/4/6】</w:t>
      </w:r>
      <w:r>
        <w:rPr>
          <w:rFonts w:ascii="Times New Roman" w:hAnsi="Times New Roman"/>
          <w:color w:val="000000"/>
          <w:sz w:val="24"/>
          <w:highlight w:val="none"/>
        </w:rPr>
      </w:r>
      <w:r/>
    </w:p>
    <w:p>
      <w:pPr>
        <w:pStyle w:val="790"/>
        <w:ind w:firstLine="482"/>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r>
      <w:r/>
    </w:p>
    <w:p>
      <w:pPr>
        <w:pStyle w:val="790"/>
        <w:ind w:firstLine="482"/>
        <w:spacing w:line="440" w:lineRule="exact"/>
        <w:shd w:val="clear" w:color="auto" w:fill="auto"/>
        <w:rPr>
          <w:rFonts w:ascii="Times New Roman" w:hAnsi="Times New Roman"/>
          <w:b/>
          <w:bCs/>
          <w:color w:val="000000"/>
          <w:sz w:val="24"/>
          <w:highlight w:val="none"/>
        </w:rPr>
      </w:pPr>
      <w:r>
        <w:rPr>
          <w:rFonts w:ascii="Times New Roman" w:hAnsi="Times New Roman"/>
          <w:b/>
          <w:bCs/>
          <w:color w:val="000000"/>
          <w:sz w:val="24"/>
          <w:highlight w:val="none"/>
        </w:rPr>
        <w:t xml:space="preserve">注:</w:t>
      </w:r>
      <w:r>
        <w:rPr>
          <w:rFonts w:ascii="Times New Roman" w:hAnsi="Times New Roman"/>
          <w:b/>
          <w:bCs/>
          <w:color w:val="000000"/>
          <w:sz w:val="24"/>
          <w:highlight w:val="none"/>
        </w:rPr>
      </w:r>
      <w:r/>
    </w:p>
    <w:p>
      <w:pPr>
        <w:pStyle w:val="790"/>
        <w:ind w:firstLine="508"/>
        <w:jc w:val="left"/>
        <w:spacing w:line="440" w:lineRule="exact"/>
        <w:shd w:val="clear" w:color="auto" w:fill="auto"/>
        <w:widowControl/>
        <w:rPr>
          <w:rFonts w:ascii="Times New Roman" w:hAnsi="Times New Roman"/>
          <w:b/>
          <w:bCs/>
          <w:color w:val="000000"/>
          <w:spacing w:val="7"/>
          <w:sz w:val="24"/>
          <w:szCs w:val="24"/>
          <w:highlight w:val="none"/>
        </w:rPr>
      </w:pPr>
      <w:r>
        <w:rPr>
          <w:rFonts w:ascii="Times New Roman" w:hAnsi="Times New Roman"/>
          <w:b/>
          <w:bCs/>
          <w:color w:val="000000"/>
          <w:sz w:val="24"/>
          <w:highlight w:val="none"/>
        </w:rPr>
        <w:t xml:space="preserve">以上证明材料，不提供不得分。</w:t>
      </w:r>
      <w:r>
        <w:rPr>
          <w:rFonts w:ascii="Times New Roman" w:hAnsi="Times New Roman"/>
          <w:b/>
          <w:bCs/>
          <w:color w:val="000000"/>
          <w:spacing w:val="7"/>
          <w:sz w:val="24"/>
          <w:szCs w:val="24"/>
          <w:highlight w:val="none"/>
        </w:rPr>
      </w:r>
      <w:r/>
    </w:p>
    <w:p>
      <w:pPr>
        <w:pStyle w:val="790"/>
        <w:ind w:firstLine="482"/>
        <w:spacing w:line="440" w:lineRule="atLeast"/>
        <w:shd w:val="clear" w:color="auto" w:fill="auto"/>
        <w:rPr>
          <w:rFonts w:ascii="Times New Roman" w:hAnsi="Times New Roman"/>
          <w:b/>
          <w:bCs/>
          <w:color w:val="000000"/>
          <w:sz w:val="24"/>
          <w:highlight w:val="none"/>
        </w:rPr>
      </w:pPr>
      <w:r/>
      <w:bookmarkEnd w:id="78"/>
      <w:r/>
      <w:bookmarkEnd w:id="84"/>
      <w:r/>
      <w:bookmarkStart w:id="89" w:name="EBeb5e011c94484d45bc78085f792444b0"/>
      <w:r>
        <w:rPr>
          <w:rFonts w:ascii="Times New Roman" w:hAnsi="Times New Roman"/>
          <w:b/>
          <w:bCs/>
          <w:color w:val="000000"/>
          <w:sz w:val="24"/>
          <w:highlight w:val="none"/>
        </w:rPr>
      </w:r>
      <w:r/>
    </w:p>
    <w:p>
      <w:pPr>
        <w:pStyle w:val="790"/>
        <w:ind w:firstLine="482"/>
        <w:spacing w:line="440" w:lineRule="atLeast"/>
        <w:shd w:val="clear" w:color="auto" w:fill="auto"/>
        <w:rPr>
          <w:rFonts w:ascii="Times New Roman" w:hAnsi="Times New Roman"/>
          <w:color w:val="000000"/>
          <w:sz w:val="24"/>
          <w:highlight w:val="none"/>
        </w:rPr>
      </w:pPr>
      <w:r>
        <w:rPr>
          <w:rFonts w:ascii="Times New Roman" w:hAnsi="Times New Roman"/>
          <w:color w:val="000000"/>
          <w:sz w:val="20"/>
          <w:highlight w:val="none"/>
        </w:rPr>
        <w:t xml:space="preserve"> </w:t>
      </w:r>
      <w:bookmarkEnd w:id="89"/>
      <w:r>
        <w:rPr>
          <w:rFonts w:ascii="Times New Roman" w:hAnsi="Times New Roman"/>
          <w:color w:val="000000"/>
          <w:sz w:val="24"/>
          <w:highlight w:val="none"/>
        </w:rPr>
      </w:r>
      <w:r/>
    </w:p>
    <w:p>
      <w:pPr>
        <w:pStyle w:val="790"/>
        <w:ind w:firstLine="508"/>
        <w:jc w:val="left"/>
        <w:spacing w:line="440" w:lineRule="exact"/>
        <w:shd w:val="clear" w:color="auto" w:fill="auto"/>
        <w:widowControl/>
        <w:rPr>
          <w:rFonts w:ascii="Times New Roman" w:hAnsi="Times New Roman"/>
          <w:color w:val="000000"/>
          <w:spacing w:val="7"/>
          <w:sz w:val="24"/>
          <w:szCs w:val="24"/>
          <w:highlight w:val="none"/>
        </w:rPr>
      </w:pPr>
      <w:r>
        <w:rPr>
          <w:rFonts w:ascii="Times New Roman" w:hAnsi="Times New Roman"/>
          <w:color w:val="000000"/>
          <w:spacing w:val="7"/>
          <w:sz w:val="24"/>
          <w:szCs w:val="24"/>
          <w:highlight w:val="none"/>
        </w:rPr>
      </w:r>
      <w:r/>
    </w:p>
    <w:p>
      <w:pPr>
        <w:pStyle w:val="870"/>
        <w:pageBreakBefore/>
        <w:spacing w:line="440" w:lineRule="exact"/>
        <w:shd w:val="clear" w:color="auto" w:fill="auto"/>
        <w:rPr>
          <w:rFonts w:ascii="Times New Roman" w:hAnsi="Times New Roman" w:eastAsia="宋体"/>
          <w:color w:val="000000"/>
          <w:highlight w:val="none"/>
        </w:rPr>
      </w:pPr>
      <w:r/>
      <w:bookmarkEnd w:id="76"/>
      <w:r/>
      <w:bookmarkEnd w:id="79"/>
      <w:r/>
      <w:bookmarkEnd w:id="80"/>
      <w:r/>
      <w:bookmarkEnd w:id="87"/>
      <w:r/>
      <w:bookmarkStart w:id="90" w:name="_Toc209797856"/>
      <w:r>
        <w:rPr>
          <w:rFonts w:ascii="Times New Roman" w:hAnsi="Times New Roman" w:eastAsia="宋体"/>
          <w:color w:val="000000"/>
          <w:highlight w:val="none"/>
        </w:rPr>
        <w:t xml:space="preserve">第六章 投标文件格式</w:t>
      </w:r>
      <w:bookmarkEnd w:id="90"/>
      <w:r/>
      <w:bookmarkStart w:id="91" w:name="_Hlt26671244"/>
      <w:r/>
      <w:bookmarkEnd w:id="91"/>
      <w:r/>
      <w:bookmarkStart w:id="92" w:name="_Hlt26955039"/>
      <w:r/>
      <w:bookmarkEnd w:id="92"/>
      <w:r>
        <w:rPr>
          <w:rFonts w:ascii="Times New Roman" w:hAnsi="Times New Roman" w:eastAsia="宋体"/>
          <w:color w:val="000000"/>
          <w:highlight w:val="none"/>
        </w:rPr>
      </w:r>
      <w:r/>
    </w:p>
    <w:p>
      <w:pPr>
        <w:pStyle w:val="790"/>
        <w:ind w:right="-124" w:firstLine="420"/>
        <w:spacing w:line="440" w:lineRule="exact"/>
        <w:shd w:val="clear" w:color="auto" w:fill="auto"/>
        <w:rPr>
          <w:rFonts w:ascii="Times New Roman" w:hAnsi="Times New Roman"/>
          <w:color w:val="000000"/>
          <w:highlight w:val="none"/>
        </w:rPr>
      </w:pPr>
      <w:r>
        <w:rPr>
          <w:rFonts w:ascii="Times New Roman" w:hAnsi="Times New Roman"/>
          <w:color w:val="000000"/>
          <w:highlight w:val="none"/>
        </w:rPr>
      </w:r>
      <w:r/>
    </w:p>
    <w:p>
      <w:pPr>
        <w:pStyle w:val="1353"/>
        <w:jc w:val="center"/>
        <w:spacing w:after="400"/>
        <w:shd w:val="clear" w:color="auto" w:fill="auto"/>
        <w:rPr>
          <w:rFonts w:eastAsia="宋体"/>
          <w:color w:val="000000"/>
          <w:sz w:val="40"/>
          <w:szCs w:val="40"/>
          <w:highlight w:val="none"/>
        </w:rPr>
      </w:pPr>
      <w:r/>
      <w:bookmarkStart w:id="93" w:name="EB3198bb99319c4c5cb9e4b30deb0155ce"/>
      <w:r>
        <w:rPr>
          <w:rFonts w:eastAsia="宋体"/>
          <w:color w:val="000000"/>
          <w:sz w:val="40"/>
          <w:szCs w:val="40"/>
          <w:highlight w:val="none"/>
        </w:rPr>
        <w:t xml:space="preserve">投标主要文件目录</w:t>
      </w:r>
      <w:r>
        <w:rPr>
          <w:rFonts w:eastAsia="宋体"/>
          <w:color w:val="000000"/>
          <w:sz w:val="40"/>
          <w:szCs w:val="4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一、封面</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二、投标函格式</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三、开标一览表（</w:t>
      </w:r>
      <w:r>
        <w:rPr>
          <w:rFonts w:hint="eastAsia" w:eastAsia="宋体"/>
          <w:color w:val="000000"/>
          <w:highlight w:val="none"/>
        </w:rPr>
        <w:t xml:space="preserve">总价</w:t>
      </w:r>
      <w:r>
        <w:rPr>
          <w:rFonts w:eastAsia="宋体"/>
          <w:color w:val="000000"/>
          <w:highlight w:val="none"/>
        </w:rPr>
        <w:t xml:space="preserve">）</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四、资格证明文件</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法人或者其他组织的营业执照等证明文件，自然人的身份证明</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财务状况报告（成立不满一年不需要提供）</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依法缴纳税收和社会保障资金的相关材料</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具备履行合同所必需的设备和专业技术能力的书面声明</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参加政府采购活动前3年内在经营活动中没有重大违法记录的书面声明</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授权委托书</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关于资格证明文件的书面承诺</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联合体协议书（如有）</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《经营保险业务许可证》</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国家金融监督管理总局（原中国（银行）保险监督管理委员会）批准设立的保险公司或其分支机构五、中小企业声明函</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残疾人福利性单位声明函</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监狱企业的证明文件</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六、第四章项目需求中实质性要求响应对照表</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七、服务方案</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八、投标人情况介绍</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投标人拥有的设施设备情况</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类似业绩一览表</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投标人获得的相关证书</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  投标人获得的相关奖项</w:t>
      </w:r>
      <w:r>
        <w:rPr>
          <w:rFonts w:eastAsia="宋体"/>
          <w:color w:val="000000"/>
          <w:highlight w:val="none"/>
        </w:rPr>
      </w:r>
      <w:r/>
    </w:p>
    <w:p>
      <w:pPr>
        <w:pStyle w:val="1353"/>
        <w:spacing w:line="440" w:lineRule="exact"/>
        <w:shd w:val="clear" w:color="auto" w:fill="auto"/>
        <w:rPr>
          <w:rFonts w:eastAsia="宋体"/>
          <w:color w:val="000000"/>
          <w:highlight w:val="none"/>
        </w:rPr>
      </w:pPr>
      <w:r>
        <w:rPr>
          <w:rFonts w:hint="eastAsia" w:eastAsia="宋体"/>
          <w:color w:val="000000"/>
          <w:highlight w:val="none"/>
          <w:lang w:val="en-US" w:eastAsia="zh-CN"/>
        </w:rPr>
        <w:t xml:space="preserve">九、</w:t>
      </w:r>
      <w:r>
        <w:rPr>
          <w:rFonts w:eastAsia="宋体"/>
          <w:color w:val="000000"/>
          <w:highlight w:val="none"/>
        </w:rPr>
        <w:t xml:space="preserve">投标配置及分项报价表</w:t>
      </w:r>
      <w:r>
        <w:rPr>
          <w:rFonts w:eastAsia="宋体"/>
          <w:color w:val="000000"/>
          <w:highlight w:val="none"/>
        </w:rPr>
      </w:r>
      <w:r/>
    </w:p>
    <w:p>
      <w:pPr>
        <w:pStyle w:val="1353"/>
        <w:spacing w:line="440" w:lineRule="exact"/>
        <w:shd w:val="clear" w:color="auto" w:fill="auto"/>
        <w:rPr>
          <w:rFonts w:eastAsia="宋体"/>
          <w:color w:val="000000"/>
          <w:highlight w:val="none"/>
        </w:rPr>
      </w:pPr>
      <w:r>
        <w:rPr>
          <w:rFonts w:hint="eastAsia" w:eastAsia="宋体"/>
          <w:color w:val="000000"/>
          <w:highlight w:val="none"/>
          <w:lang w:val="en-US" w:eastAsia="zh-CN"/>
        </w:rPr>
        <w:t xml:space="preserve">十</w:t>
      </w:r>
      <w:r>
        <w:rPr>
          <w:rFonts w:eastAsia="宋体"/>
          <w:color w:val="000000"/>
          <w:highlight w:val="none"/>
        </w:rPr>
        <w:t xml:space="preserve">、技术参数响应及偏离表</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十</w:t>
      </w:r>
      <w:r>
        <w:rPr>
          <w:rFonts w:hint="eastAsia" w:eastAsia="宋体"/>
          <w:color w:val="000000"/>
          <w:highlight w:val="none"/>
          <w:lang w:val="en-US" w:eastAsia="zh-CN"/>
        </w:rPr>
        <w:t xml:space="preserve">一</w:t>
      </w:r>
      <w:r>
        <w:rPr>
          <w:rFonts w:eastAsia="宋体"/>
          <w:color w:val="000000"/>
          <w:highlight w:val="none"/>
        </w:rPr>
        <w:t xml:space="preserve">、商务条款响应及偏离表</w:t>
      </w:r>
      <w:r>
        <w:rPr>
          <w:rFonts w:eastAsia="宋体"/>
          <w:color w:val="000000"/>
          <w:highlight w:val="none"/>
        </w:rPr>
      </w:r>
      <w:r/>
    </w:p>
    <w:p>
      <w:pPr>
        <w:pStyle w:val="1353"/>
        <w:spacing w:line="440" w:lineRule="exact"/>
        <w:shd w:val="clear" w:color="auto" w:fill="auto"/>
        <w:rPr>
          <w:rFonts w:eastAsia="宋体"/>
          <w:color w:val="000000"/>
          <w:highlight w:val="none"/>
        </w:rPr>
      </w:pPr>
      <w:r>
        <w:rPr>
          <w:rFonts w:eastAsia="宋体"/>
          <w:color w:val="000000"/>
          <w:highlight w:val="none"/>
        </w:rPr>
        <w:t xml:space="preserve">十</w:t>
      </w:r>
      <w:r>
        <w:rPr>
          <w:rFonts w:hint="eastAsia" w:eastAsia="宋体"/>
          <w:color w:val="000000"/>
          <w:highlight w:val="none"/>
          <w:lang w:val="en-US" w:eastAsia="zh-CN"/>
        </w:rPr>
        <w:t xml:space="preserve">二</w:t>
      </w:r>
      <w:r>
        <w:rPr>
          <w:rFonts w:eastAsia="宋体"/>
          <w:color w:val="000000"/>
          <w:highlight w:val="none"/>
        </w:rPr>
        <w:t xml:space="preserve">、其他材料</w:t>
      </w:r>
      <w:r>
        <w:rPr>
          <w:rFonts w:eastAsia="宋体"/>
          <w:color w:val="000000"/>
          <w:highlight w:val="none"/>
        </w:rPr>
      </w:r>
      <w:r/>
    </w:p>
    <w:p>
      <w:pPr>
        <w:pStyle w:val="1354"/>
        <w:shd w:val="clear" w:color="auto" w:fill="auto"/>
        <w:rPr>
          <w:rFonts w:eastAsia="宋体"/>
          <w:color w:val="000000"/>
          <w:highlight w:val="none"/>
        </w:rPr>
        <w:outlineLvl w:val="1"/>
      </w:pPr>
      <w:r>
        <w:rPr>
          <w:rFonts w:eastAsia="宋体"/>
          <w:color w:val="000000"/>
          <w:highlight w:val="none"/>
        </w:rPr>
        <w:br w:type="page" w:clear="all"/>
      </w:r>
      <w:bookmarkStart w:id="94" w:name="_Toc209797858"/>
      <w:r>
        <w:rPr>
          <w:rFonts w:eastAsia="宋体"/>
          <w:b/>
          <w:color w:val="000000"/>
          <w:sz w:val="32"/>
          <w:highlight w:val="none"/>
        </w:rPr>
        <w:t xml:space="preserve">一、封面</w:t>
      </w:r>
      <w:bookmarkEnd w:id="94"/>
      <w:r>
        <w:rPr>
          <w:rFonts w:eastAsia="宋体"/>
          <w:color w:val="000000"/>
          <w:highlight w:val="none"/>
        </w:rPr>
      </w:r>
      <w:r/>
    </w:p>
    <w:p>
      <w:pPr>
        <w:pStyle w:val="1355"/>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55"/>
        <w:jc w:val="center"/>
        <w:spacing w:before="540" w:after="540"/>
        <w:shd w:val="clear" w:color="auto" w:fill="auto"/>
        <w:rPr>
          <w:rFonts w:eastAsia="宋体"/>
          <w:color w:val="000000"/>
          <w:sz w:val="54"/>
          <w:szCs w:val="54"/>
          <w:highlight w:val="none"/>
        </w:rPr>
      </w:pPr>
      <w:r>
        <w:rPr>
          <w:rFonts w:eastAsia="宋体"/>
          <w:color w:val="000000"/>
          <w:sz w:val="54"/>
          <w:szCs w:val="54"/>
          <w:highlight w:val="none"/>
        </w:rPr>
        <w:t xml:space="preserve">投 标 文 件</w:t>
      </w:r>
      <w:r>
        <w:rPr>
          <w:rFonts w:eastAsia="宋体"/>
          <w:color w:val="000000"/>
          <w:sz w:val="54"/>
          <w:szCs w:val="54"/>
          <w:highlight w:val="none"/>
        </w:rPr>
      </w:r>
      <w:r/>
    </w:p>
    <w:p>
      <w:pPr>
        <w:pStyle w:val="135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55"/>
        <w:jc w:val="center"/>
        <w:spacing w:before="400" w:after="400"/>
        <w:shd w:val="clear" w:color="auto" w:fill="auto"/>
        <w:rPr>
          <w:rFonts w:eastAsia="宋体"/>
          <w:color w:val="000000"/>
          <w:sz w:val="40"/>
          <w:szCs w:val="40"/>
          <w:highlight w:val="none"/>
        </w:rPr>
      </w:pPr>
      <w:r>
        <w:rPr>
          <w:rFonts w:eastAsia="宋体"/>
          <w:color w:val="000000"/>
          <w:sz w:val="40"/>
          <w:szCs w:val="40"/>
          <w:highlight w:val="none"/>
        </w:rPr>
        <w:t xml:space="preserve"> </w:t>
      </w:r>
      <w:r>
        <w:rPr>
          <w:rFonts w:eastAsia="宋体"/>
          <w:color w:val="000000"/>
          <w:sz w:val="40"/>
          <w:szCs w:val="40"/>
          <w:highlight w:val="none"/>
        </w:rPr>
      </w:r>
      <w:r/>
    </w:p>
    <w:p>
      <w:pPr>
        <w:pStyle w:val="135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项目名称：   </w:t>
      </w:r>
      <w:r>
        <w:rPr>
          <w:rFonts w:eastAsia="宋体"/>
          <w:color w:val="000000"/>
          <w:sz w:val="36"/>
          <w:szCs w:val="36"/>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招标编号：   </w:t>
      </w:r>
      <w:r>
        <w:rPr>
          <w:rFonts w:eastAsia="宋体"/>
          <w:color w:val="000000"/>
          <w:sz w:val="36"/>
          <w:szCs w:val="36"/>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投标人名称：   </w:t>
      </w:r>
      <w:r>
        <w:rPr>
          <w:rFonts w:eastAsia="宋体"/>
          <w:color w:val="000000"/>
          <w:sz w:val="36"/>
          <w:szCs w:val="36"/>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日期：   </w:t>
      </w:r>
      <w:r>
        <w:rPr>
          <w:rFonts w:eastAsia="宋体"/>
          <w:color w:val="000000"/>
          <w:sz w:val="36"/>
          <w:szCs w:val="36"/>
          <w:highlight w:val="none"/>
        </w:rPr>
      </w:r>
      <w:r/>
    </w:p>
    <w:p>
      <w:pPr>
        <w:pStyle w:val="1355"/>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5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56"/>
        <w:shd w:val="clear" w:color="auto" w:fill="auto"/>
        <w:rPr>
          <w:rFonts w:eastAsia="宋体"/>
          <w:color w:val="000000"/>
          <w:highlight w:val="none"/>
        </w:rPr>
        <w:outlineLvl w:val="1"/>
      </w:pPr>
      <w:r>
        <w:rPr>
          <w:rFonts w:eastAsia="宋体"/>
          <w:color w:val="000000"/>
          <w:highlight w:val="none"/>
        </w:rPr>
        <w:br w:type="page" w:clear="all"/>
      </w:r>
      <w:bookmarkStart w:id="95" w:name="_Toc209797859"/>
      <w:r>
        <w:rPr>
          <w:rFonts w:eastAsia="宋体"/>
          <w:b/>
          <w:color w:val="000000"/>
          <w:sz w:val="32"/>
          <w:highlight w:val="none"/>
        </w:rPr>
        <w:t xml:space="preserve">二、投标函格式</w:t>
      </w:r>
      <w:bookmarkEnd w:id="95"/>
      <w:r>
        <w:rPr>
          <w:rFonts w:eastAsia="宋体"/>
          <w:color w:val="000000"/>
          <w:highlight w:val="none"/>
        </w:rPr>
      </w:r>
      <w:r/>
    </w:p>
    <w:p>
      <w:pPr>
        <w:pStyle w:val="1357"/>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57"/>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投标函格式</w:t>
      </w:r>
      <w:r>
        <w:rPr>
          <w:rFonts w:eastAsia="宋体"/>
          <w:b/>
          <w:bCs/>
          <w:color w:val="000000"/>
          <w:sz w:val="32"/>
          <w:szCs w:val="32"/>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致：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根据贵方的   号招标文件，正式授权下述签字人      (姓名和职务)代表我方   （投标人的名称），全权处理本次项目投标的有关事宜。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据此函，签字人兹宣布同意如下：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1、同意向贵方提供贵方可能另外要求的与投标有关的任何证据或资料；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2、我们完全理解贵方不一定将合同授予最低报价的投标人；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3、我们已详细审核全部招标文件及其有效补充文件，我们知道必须放弃提出含糊不清或误解问题的权利；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4、一旦我方中标，我们将根据招标文件的规定，严格履行合同条款的责任和义务，并保证按照合同条款提供服务；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5、与本投标有关的正式通讯地址为：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地址：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邮编：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电话：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传真：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投标单位代表姓名：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投标单位名称：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公章：</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357"/>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58"/>
        <w:shd w:val="clear" w:color="auto" w:fill="auto"/>
        <w:rPr>
          <w:rFonts w:eastAsia="宋体"/>
          <w:color w:val="000000"/>
          <w:highlight w:val="none"/>
        </w:rPr>
        <w:outlineLvl w:val="1"/>
      </w:pPr>
      <w:r>
        <w:rPr>
          <w:rFonts w:eastAsia="宋体"/>
          <w:color w:val="000000"/>
          <w:highlight w:val="none"/>
        </w:rPr>
        <w:br w:type="page" w:clear="all"/>
      </w:r>
      <w:bookmarkStart w:id="96" w:name="_Toc209797860"/>
      <w:r>
        <w:rPr>
          <w:rFonts w:eastAsia="宋体"/>
          <w:b/>
          <w:color w:val="000000"/>
          <w:sz w:val="32"/>
          <w:highlight w:val="none"/>
        </w:rPr>
        <w:t xml:space="preserve">三、开标一览表</w:t>
      </w:r>
      <w:bookmarkEnd w:id="96"/>
      <w:r>
        <w:rPr>
          <w:rFonts w:eastAsia="宋体"/>
          <w:color w:val="000000"/>
          <w:highlight w:val="none"/>
        </w:rPr>
      </w:r>
      <w:r/>
    </w:p>
    <w:p>
      <w:pPr>
        <w:pStyle w:val="1348"/>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48"/>
        <w:jc w:val="center"/>
        <w:spacing w:before="400" w:after="400" w:line="300" w:lineRule="auto"/>
        <w:shd w:val="clear" w:color="auto" w:fill="auto"/>
        <w:rPr>
          <w:rFonts w:eastAsia="宋体"/>
          <w:b/>
          <w:bCs/>
          <w:color w:val="000000"/>
          <w:sz w:val="40"/>
          <w:szCs w:val="40"/>
          <w:highlight w:val="none"/>
        </w:rPr>
      </w:pPr>
      <w:r>
        <w:rPr>
          <w:rFonts w:eastAsia="宋体"/>
          <w:b/>
          <w:bCs/>
          <w:color w:val="000000"/>
          <w:sz w:val="40"/>
          <w:szCs w:val="40"/>
          <w:highlight w:val="none"/>
        </w:rPr>
        <w:t xml:space="preserve">开标一览表（</w:t>
      </w:r>
      <w:r>
        <w:rPr>
          <w:rFonts w:hint="eastAsia" w:eastAsia="宋体"/>
          <w:b/>
          <w:bCs/>
          <w:color w:val="000000"/>
          <w:sz w:val="40"/>
          <w:szCs w:val="40"/>
          <w:highlight w:val="none"/>
        </w:rPr>
        <w:t xml:space="preserve">总价</w:t>
      </w:r>
      <w:r>
        <w:rPr>
          <w:rFonts w:eastAsia="宋体"/>
          <w:b/>
          <w:bCs/>
          <w:color w:val="000000"/>
          <w:sz w:val="40"/>
          <w:szCs w:val="40"/>
          <w:highlight w:val="none"/>
        </w:rPr>
        <w:t xml:space="preserve">）</w:t>
      </w:r>
      <w:r>
        <w:rPr>
          <w:rFonts w:eastAsia="宋体"/>
          <w:b/>
          <w:bCs/>
          <w:color w:val="000000"/>
          <w:sz w:val="40"/>
          <w:szCs w:val="40"/>
          <w:highlight w:val="none"/>
        </w:rPr>
      </w:r>
      <w:r/>
    </w:p>
    <w:p>
      <w:pPr>
        <w:pStyle w:val="1348"/>
        <w:spacing w:before="240" w:after="240"/>
        <w:shd w:val="clear" w:color="auto" w:fill="auto"/>
        <w:rPr>
          <w:rFonts w:eastAsia="宋体"/>
          <w:color w:val="000000"/>
          <w:highlight w:val="none"/>
        </w:rPr>
      </w:pPr>
      <w:r>
        <w:rPr>
          <w:rFonts w:eastAsia="宋体"/>
          <w:color w:val="000000"/>
          <w:highlight w:val="none"/>
        </w:rPr>
        <w:t xml:space="preserve">投标单位全称（加盖公章）：    </w:t>
      </w:r>
      <w:r>
        <w:rPr>
          <w:rFonts w:eastAsia="宋体"/>
          <w:color w:val="000000"/>
          <w:highlight w:val="none"/>
        </w:rPr>
      </w:r>
      <w:r/>
    </w:p>
    <w:p>
      <w:pPr>
        <w:pStyle w:val="1348"/>
        <w:spacing w:before="240" w:after="240"/>
        <w:shd w:val="clear" w:color="auto" w:fill="auto"/>
        <w:rPr>
          <w:rFonts w:eastAsia="宋体"/>
          <w:color w:val="000000"/>
          <w:highlight w:val="none"/>
        </w:rPr>
      </w:pPr>
      <w:r>
        <w:rPr>
          <w:rFonts w:eastAsia="宋体"/>
          <w:color w:val="000000"/>
          <w:highlight w:val="none"/>
        </w:rPr>
        <w:t xml:space="preserve"> 项目编号：</w:t>
      </w:r>
      <w:r>
        <w:rPr>
          <w:rFonts w:eastAsia="宋体"/>
          <w:color w:val="000000"/>
          <w:highlight w:val="none"/>
        </w:rPr>
      </w:r>
      <w:r/>
    </w:p>
    <w:tbl>
      <w:tblPr>
        <w:tblW w:w="101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3220"/>
        <w:gridCol w:w="6939"/>
      </w:tblGrid>
      <w:tr>
        <w:trPr>
          <w:trHeight w:val="304"/>
        </w:trPr>
        <w:tc>
          <w:tcPr>
            <w:tcMar>
              <w:left w:w="0" w:type="dxa"/>
              <w:top w:w="0" w:type="dxa"/>
              <w:right w:w="0" w:type="dxa"/>
              <w:bottom w:w="0" w:type="dxa"/>
            </w:tcMar>
            <w:tcW w:w="3220" w:type="dxa"/>
            <w:vAlign w:val="center"/>
            <w:textDirection w:val="lrTb"/>
            <w:noWrap w:val="false"/>
          </w:tcPr>
          <w:p>
            <w:pPr>
              <w:pStyle w:val="1348"/>
              <w:jc w:val="center"/>
              <w:shd w:val="clear" w:color="auto" w:fill="auto"/>
              <w:rPr>
                <w:rFonts w:eastAsia="宋体"/>
                <w:color w:val="000000"/>
                <w:highlight w:val="none"/>
              </w:rPr>
            </w:pPr>
            <w:r>
              <w:rPr>
                <w:rFonts w:eastAsia="宋体"/>
                <w:color w:val="000000"/>
                <w:highlight w:val="none"/>
              </w:rPr>
              <w:t xml:space="preserve">项目名称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348"/>
              <w:jc w:val="center"/>
              <w:shd w:val="clear" w:color="auto" w:fill="auto"/>
              <w:rPr>
                <w:rFonts w:eastAsia="宋体"/>
                <w:color w:val="000000"/>
                <w:highlight w:val="none"/>
              </w:rPr>
            </w:pPr>
            <w:r>
              <w:rPr>
                <w:rFonts w:hint="eastAsia" w:eastAsia="宋体"/>
                <w:color w:val="000000"/>
                <w:highlight w:val="none"/>
              </w:rPr>
              <w:t xml:space="preserve">总价（元）</w:t>
            </w:r>
            <w:r>
              <w:rPr>
                <w:rFonts w:eastAsia="宋体"/>
                <w:color w:val="000000"/>
                <w:highlight w:val="none"/>
              </w:rPr>
            </w:r>
            <w:r/>
          </w:p>
        </w:tc>
      </w:tr>
      <w:tr>
        <w:trPr>
          <w:trHeight w:val="330"/>
        </w:trPr>
        <w:tc>
          <w:tcPr>
            <w:tcMar>
              <w:left w:w="0" w:type="dxa"/>
              <w:top w:w="0" w:type="dxa"/>
              <w:right w:w="0" w:type="dxa"/>
              <w:bottom w:w="0" w:type="dxa"/>
            </w:tcMar>
            <w:tcW w:w="3220" w:type="dxa"/>
            <w:vAlign w:val="center"/>
            <w:textDirection w:val="lrTb"/>
            <w:noWrap w:val="false"/>
          </w:tcPr>
          <w:p>
            <w:pPr>
              <w:pStyle w:val="1348"/>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c>
          <w:tcPr>
            <w:tcMar>
              <w:left w:w="0" w:type="dxa"/>
              <w:top w:w="0" w:type="dxa"/>
              <w:right w:w="0" w:type="dxa"/>
              <w:bottom w:w="0" w:type="dxa"/>
            </w:tcMar>
            <w:tcW w:w="6939" w:type="dxa"/>
            <w:vAlign w:val="center"/>
            <w:textDirection w:val="lrTb"/>
            <w:noWrap w:val="false"/>
          </w:tcPr>
          <w:p>
            <w:pPr>
              <w:pStyle w:val="1348"/>
              <w:jc w:val="center"/>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r>
    </w:tbl>
    <w:p>
      <w:pPr>
        <w:pStyle w:val="1348"/>
        <w:ind w:right="960"/>
        <w:jc w:val="right"/>
        <w:spacing w:before="240" w:after="240"/>
        <w:shd w:val="clear" w:color="auto" w:fill="auto"/>
        <w:rPr>
          <w:rFonts w:eastAsia="宋体"/>
          <w:color w:val="000000"/>
          <w:highlight w:val="none"/>
        </w:rPr>
      </w:pPr>
      <w:r>
        <w:rPr>
          <w:rFonts w:eastAsia="宋体"/>
          <w:color w:val="000000"/>
          <w:highlight w:val="none"/>
        </w:rPr>
        <w:t xml:space="preserve"> 日期：</w:t>
      </w:r>
      <w:r>
        <w:rPr>
          <w:rFonts w:eastAsia="宋体"/>
          <w:color w:val="000000"/>
          <w:highlight w:val="none"/>
        </w:rPr>
      </w:r>
      <w:r/>
    </w:p>
    <w:p>
      <w:pPr>
        <w:pStyle w:val="1348"/>
        <w:spacing w:line="440" w:lineRule="exact"/>
        <w:shd w:val="clear" w:color="auto" w:fill="auto"/>
        <w:rPr>
          <w:rFonts w:eastAsia="宋体"/>
          <w:b/>
          <w:bCs/>
          <w:color w:val="000000"/>
          <w:highlight w:val="none"/>
        </w:rPr>
      </w:pPr>
      <w:r>
        <w:rPr>
          <w:rFonts w:eastAsia="宋体"/>
          <w:b/>
          <w:bCs/>
          <w:color w:val="000000"/>
          <w:highlight w:val="none"/>
        </w:rPr>
        <w:t xml:space="preserve">注：</w:t>
      </w:r>
      <w:r>
        <w:rPr>
          <w:rFonts w:eastAsia="宋体"/>
          <w:b/>
          <w:bCs/>
          <w:color w:val="000000"/>
          <w:highlight w:val="none"/>
        </w:rPr>
      </w:r>
      <w:r/>
    </w:p>
    <w:p>
      <w:pPr>
        <w:pStyle w:val="1348"/>
        <w:spacing w:line="440" w:lineRule="exact"/>
        <w:shd w:val="clear" w:color="auto" w:fill="auto"/>
        <w:rPr>
          <w:rFonts w:eastAsia="宋体"/>
          <w:color w:val="000000"/>
          <w:highlight w:val="none"/>
        </w:rPr>
      </w:pPr>
      <w:r>
        <w:rPr>
          <w:rFonts w:eastAsia="宋体"/>
          <w:color w:val="000000"/>
          <w:highlight w:val="none"/>
        </w:rPr>
        <w:t xml:space="preserve">1、报价为</w:t>
      </w:r>
      <w:r>
        <w:rPr>
          <w:rFonts w:hint="eastAsia" w:eastAsia="宋体"/>
          <w:color w:val="000000"/>
          <w:highlight w:val="none"/>
        </w:rPr>
        <w:t xml:space="preserve">综合</w:t>
      </w:r>
      <w:r>
        <w:rPr>
          <w:rFonts w:eastAsia="宋体"/>
          <w:color w:val="000000"/>
          <w:highlight w:val="none"/>
        </w:rPr>
        <w:t xml:space="preserve">报价。</w:t>
      </w:r>
      <w:r>
        <w:rPr>
          <w:rFonts w:eastAsia="宋体"/>
          <w:color w:val="000000"/>
          <w:highlight w:val="none"/>
        </w:rPr>
      </w:r>
      <w:r/>
    </w:p>
    <w:p>
      <w:pPr>
        <w:pStyle w:val="1348"/>
        <w:spacing w:line="440" w:lineRule="exact"/>
        <w:shd w:val="clear" w:color="auto" w:fill="auto"/>
        <w:rPr>
          <w:rFonts w:eastAsia="宋体"/>
          <w:color w:val="000000"/>
          <w:highlight w:val="none"/>
        </w:rPr>
      </w:pPr>
      <w:r>
        <w:rPr>
          <w:rFonts w:eastAsia="宋体"/>
          <w:color w:val="000000"/>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 </w:t>
      </w:r>
      <w:r>
        <w:rPr>
          <w:rFonts w:eastAsia="宋体"/>
          <w:color w:val="000000"/>
          <w:highlight w:val="none"/>
        </w:rPr>
      </w:r>
      <w:r/>
    </w:p>
    <w:p>
      <w:pPr>
        <w:pStyle w:val="1360"/>
        <w:spacing w:line="440" w:lineRule="exact"/>
        <w:shd w:val="clear" w:color="auto" w:fill="auto"/>
        <w:rPr>
          <w:rFonts w:eastAsia="宋体"/>
          <w:b/>
          <w:bCs/>
          <w:color w:val="000000"/>
          <w:highlight w:val="none"/>
        </w:rPr>
      </w:pPr>
      <w:r>
        <w:rPr>
          <w:rFonts w:eastAsia="宋体"/>
          <w:b/>
          <w:bCs/>
          <w:color w:val="000000"/>
          <w:highlight w:val="none"/>
        </w:rPr>
        <w:t xml:space="preserve">填写说明：</w:t>
      </w:r>
      <w:r>
        <w:rPr>
          <w:rFonts w:eastAsia="宋体"/>
          <w:b/>
          <w:bCs/>
          <w:color w:val="000000"/>
          <w:highlight w:val="none"/>
        </w:rPr>
      </w:r>
      <w:r/>
    </w:p>
    <w:p>
      <w:pPr>
        <w:pStyle w:val="1360"/>
        <w:spacing w:line="440" w:lineRule="exact"/>
        <w:shd w:val="clear" w:color="auto" w:fill="auto"/>
        <w:rPr>
          <w:rFonts w:eastAsia="宋体"/>
          <w:i/>
          <w:iCs/>
          <w:color w:val="000000"/>
          <w:highlight w:val="none"/>
          <w:u w:val="single"/>
        </w:rPr>
      </w:pPr>
      <w:r>
        <w:rPr>
          <w:rFonts w:eastAsia="宋体"/>
          <w:i/>
          <w:iCs/>
          <w:color w:val="000000"/>
          <w:highlight w:val="none"/>
          <w:u w:val="single"/>
        </w:rPr>
        <w:t xml:space="preserve">1、开标一览表必须加盖投标人公章（复印件无效）。</w:t>
      </w:r>
      <w:r>
        <w:rPr>
          <w:rFonts w:eastAsia="宋体"/>
          <w:i/>
          <w:iCs/>
          <w:color w:val="000000"/>
          <w:highlight w:val="none"/>
          <w:u w:val="single"/>
        </w:rPr>
      </w:r>
      <w:r/>
    </w:p>
    <w:p>
      <w:pPr>
        <w:pStyle w:val="1360"/>
        <w:spacing w:line="440" w:lineRule="exact"/>
        <w:shd w:val="clear" w:color="auto" w:fill="auto"/>
        <w:rPr>
          <w:rFonts w:eastAsia="宋体"/>
          <w:color w:val="000000"/>
          <w:highlight w:val="none"/>
        </w:rPr>
        <w:outlineLvl w:val="1"/>
      </w:pPr>
      <w:r/>
      <w:bookmarkStart w:id="97" w:name="_Toc209797861"/>
      <w:r>
        <w:rPr>
          <w:rFonts w:eastAsia="宋体"/>
          <w:i/>
          <w:iCs/>
          <w:color w:val="000000"/>
          <w:highlight w:val="none"/>
          <w:u w:val="single"/>
        </w:rPr>
        <w:t xml:space="preserve">2、如有分包，投标人投任何一个包的标的，都需单独填写开标一览表。</w:t>
      </w:r>
      <w:bookmarkEnd w:id="97"/>
      <w:r>
        <w:rPr>
          <w:rFonts w:eastAsia="宋体"/>
          <w:color w:val="000000"/>
          <w:highlight w:val="none"/>
        </w:rPr>
        <w:br w:type="page" w:clear="all"/>
      </w:r>
      <w:bookmarkStart w:id="98" w:name="_Toc209797863"/>
      <w:r>
        <w:rPr>
          <w:rFonts w:eastAsia="宋体"/>
          <w:b/>
          <w:color w:val="000000"/>
          <w:sz w:val="32"/>
          <w:highlight w:val="none"/>
        </w:rPr>
        <w:t xml:space="preserve">四、资格证明文件</w:t>
      </w:r>
      <w:bookmarkEnd w:id="98"/>
      <w:r>
        <w:rPr>
          <w:rFonts w:eastAsia="宋体"/>
          <w:color w:val="000000"/>
          <w:highlight w:val="none"/>
        </w:rPr>
      </w:r>
      <w:r/>
    </w:p>
    <w:p>
      <w:pPr>
        <w:pStyle w:val="1361"/>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法人或者其他组织的营业执照等证明文件，自然人的身份证明</w:t>
      </w:r>
      <w:r>
        <w:rPr>
          <w:rFonts w:eastAsia="宋体"/>
          <w:color w:val="000000"/>
          <w:highlight w:val="none"/>
        </w:rPr>
      </w:r>
      <w:r/>
    </w:p>
    <w:p>
      <w:pPr>
        <w:pStyle w:val="1362"/>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6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62"/>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法人或者其他组织的营业执照等证明文件，自然人的身份证明 </w:t>
      </w:r>
      <w:r>
        <w:rPr>
          <w:rFonts w:eastAsia="宋体"/>
          <w:b/>
          <w:bCs/>
          <w:color w:val="000000"/>
          <w:sz w:val="36"/>
          <w:szCs w:val="36"/>
          <w:highlight w:val="none"/>
        </w:rPr>
      </w:r>
      <w:r/>
    </w:p>
    <w:p>
      <w:pPr>
        <w:pStyle w:val="1362"/>
        <w:spacing w:before="240" w:after="240" w:line="360" w:lineRule="auto"/>
        <w:shd w:val="clear" w:color="auto" w:fill="auto"/>
        <w:rPr>
          <w:rFonts w:eastAsia="宋体"/>
          <w:color w:val="000000"/>
          <w:highlight w:val="none"/>
        </w:rPr>
      </w:pPr>
      <w:r/>
      <w:bookmarkStart w:id="99" w:name="A1"/>
      <w:r/>
      <w:bookmarkEnd w:id="99"/>
      <w:r>
        <w:rPr>
          <w:rFonts w:eastAsia="宋体"/>
          <w:color w:val="000000"/>
          <w:highlight w:val="none"/>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如是联合体参加投标的，联合体各方均须提供。</w:t>
      </w:r>
      <w:r>
        <w:rPr>
          <w:rFonts w:eastAsia="宋体"/>
          <w:color w:val="000000"/>
          <w:highlight w:val="none"/>
        </w:rPr>
      </w:r>
      <w:r/>
    </w:p>
    <w:p>
      <w:pPr>
        <w:pStyle w:val="1362"/>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62"/>
        <w:shd w:val="clear" w:color="auto" w:fill="auto"/>
        <w:rPr>
          <w:rFonts w:eastAsia="宋体"/>
          <w:color w:val="000000"/>
          <w:highlight w:val="none"/>
        </w:rPr>
      </w:pPr>
      <w:r>
        <w:rPr>
          <w:rFonts w:eastAsia="宋体"/>
          <w:color w:val="000000"/>
          <w:highlight w:val="none"/>
        </w:rPr>
        <w:br w:type="page" w:clear="all"/>
      </w:r>
      <w:r>
        <w:rPr>
          <w:rFonts w:eastAsia="宋体"/>
          <w:b/>
          <w:color w:val="000000"/>
          <w:sz w:val="28"/>
          <w:highlight w:val="none"/>
        </w:rPr>
        <w:t xml:space="preserve">  财务状况报告（成立不满一年不需要提供；若供应商为分公司，可提供总公司财务状况报告;如是联合体参加投标的，联合体各方均须提供）</w:t>
      </w:r>
      <w:r>
        <w:rPr>
          <w:rFonts w:eastAsia="宋体"/>
          <w:color w:val="000000"/>
          <w:highlight w:val="none"/>
        </w:rPr>
      </w:r>
      <w:r/>
    </w:p>
    <w:p>
      <w:pPr>
        <w:pStyle w:val="1364"/>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64"/>
        <w:jc w:val="center"/>
        <w:spacing w:before="360" w:after="360" w:line="300" w:lineRule="auto"/>
        <w:shd w:val="clear" w:color="auto" w:fill="auto"/>
        <w:rPr>
          <w:rFonts w:eastAsia="宋体"/>
          <w:b/>
          <w:bCs/>
          <w:color w:val="000000"/>
          <w:sz w:val="36"/>
          <w:szCs w:val="36"/>
          <w:highlight w:val="none"/>
        </w:rPr>
      </w:pPr>
      <w:r>
        <w:rPr>
          <w:rFonts w:eastAsia="宋体"/>
          <w:b/>
          <w:bCs/>
          <w:color w:val="000000"/>
          <w:sz w:val="36"/>
          <w:szCs w:val="36"/>
          <w:highlight w:val="none"/>
        </w:rPr>
        <w:t xml:space="preserve">近年财务状况表</w:t>
      </w:r>
      <w:r>
        <w:rPr>
          <w:rFonts w:eastAsia="宋体"/>
          <w:b/>
          <w:bCs/>
          <w:color w:val="000000"/>
          <w:sz w:val="36"/>
          <w:szCs w:val="36"/>
          <w:highlight w:val="none"/>
        </w:rPr>
      </w:r>
      <w:r/>
    </w:p>
    <w:p>
      <w:pPr>
        <w:pStyle w:val="1364"/>
        <w:shd w:val="clear" w:color="auto" w:fill="auto"/>
        <w:rPr>
          <w:rFonts w:eastAsia="宋体"/>
          <w:b/>
          <w:bCs/>
          <w:color w:val="000000"/>
          <w:sz w:val="36"/>
          <w:szCs w:val="36"/>
          <w:highlight w:val="none"/>
        </w:rPr>
      </w:pPr>
      <w:r/>
      <w:bookmarkStart w:id="100" w:name="Year"/>
      <w:r/>
      <w:bookmarkEnd w:id="100"/>
      <w:r>
        <w:rPr>
          <w:rFonts w:eastAsia="宋体"/>
          <w:b/>
          <w:bCs/>
          <w:color w:val="000000"/>
          <w:sz w:val="36"/>
          <w:szCs w:val="36"/>
          <w:highlight w:val="none"/>
        </w:rPr>
      </w:r>
      <w:r/>
    </w:p>
    <w:p>
      <w:pPr>
        <w:pStyle w:val="1365"/>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依法缴纳税收和社会保障资金的相关材料</w:t>
      </w:r>
      <w:r>
        <w:rPr>
          <w:rFonts w:ascii="Times New Roman" w:hAnsi="Times New Roman"/>
          <w:b/>
          <w:color w:val="000000"/>
          <w:sz w:val="28"/>
          <w:highlight w:val="none"/>
        </w:rPr>
        <w:t xml:space="preserve">（如依法享受缓缴、免缴税收、社会保障资金的，应提供相关证明材料；如是联合体参加投标的，联合体各方均须提供）</w:t>
      </w:r>
      <w:r>
        <w:rPr>
          <w:rFonts w:ascii="Times New Roman" w:hAnsi="Times New Roman"/>
          <w:color w:val="000000"/>
          <w:highlight w:val="none"/>
        </w:rPr>
        <w:t xml:space="preserve"> </w:t>
      </w:r>
      <w:r>
        <w:rPr>
          <w:rFonts w:eastAsia="宋体"/>
          <w:color w:val="000000"/>
          <w:highlight w:val="none"/>
        </w:rPr>
      </w:r>
      <w:r/>
    </w:p>
    <w:p>
      <w:pPr>
        <w:pStyle w:val="1366"/>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依法缴纳税收和社会保障资金的相关材料 </w:t>
      </w:r>
      <w:r>
        <w:rPr>
          <w:rFonts w:ascii="Times New Roman" w:hAnsi="Times New Roman"/>
          <w:color w:val="000000"/>
          <w:sz w:val="24"/>
          <w:szCs w:val="24"/>
          <w:highlight w:val="none"/>
        </w:rPr>
      </w:r>
      <w:r/>
    </w:p>
    <w:p>
      <w:pPr>
        <w:pStyle w:val="1367"/>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具备履行合同所必需的设备和专业技术能力的书面声明（如是联合体参加投标的，联合体各方均须提供）</w:t>
      </w:r>
      <w:r>
        <w:rPr>
          <w:rFonts w:eastAsia="宋体"/>
          <w:color w:val="000000"/>
          <w:highlight w:val="none"/>
        </w:rPr>
      </w:r>
      <w:r/>
    </w:p>
    <w:p>
      <w:pPr>
        <w:pStyle w:val="1368"/>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68"/>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具备履行合同所必需的设备和专业技术能力的书面声明</w:t>
      </w:r>
      <w:r>
        <w:rPr>
          <w:rFonts w:eastAsia="宋体"/>
          <w:b/>
          <w:bCs/>
          <w:color w:val="000000"/>
          <w:sz w:val="32"/>
          <w:szCs w:val="32"/>
          <w:highlight w:val="none"/>
        </w:rPr>
      </w:r>
      <w:r/>
    </w:p>
    <w:p>
      <w:pPr>
        <w:pStyle w:val="136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68"/>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36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68"/>
        <w:spacing w:before="240" w:after="240"/>
        <w:shd w:val="clear" w:color="auto" w:fill="auto"/>
        <w:rPr>
          <w:rFonts w:eastAsia="宋体"/>
          <w:color w:val="000000"/>
          <w:highlight w:val="none"/>
        </w:rPr>
      </w:pPr>
      <w:r>
        <w:rPr>
          <w:rFonts w:eastAsia="宋体"/>
          <w:color w:val="000000"/>
          <w:highlight w:val="none"/>
        </w:rPr>
        <w:t xml:space="preserve">    我单位郑重声明： 我单位具备履行本项采购合同所必需的设备和专业技术能力。 </w:t>
      </w:r>
      <w:r>
        <w:rPr>
          <w:rFonts w:eastAsia="宋体"/>
          <w:color w:val="000000"/>
          <w:highlight w:val="none"/>
        </w:rPr>
      </w:r>
      <w:r/>
    </w:p>
    <w:p>
      <w:pPr>
        <w:pStyle w:val="1368"/>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68"/>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68"/>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68"/>
        <w:jc w:val="center"/>
        <w:spacing w:before="360" w:after="360"/>
        <w:shd w:val="clear" w:color="auto" w:fill="auto"/>
        <w:rPr>
          <w:rFonts w:eastAsia="宋体"/>
          <w:color w:val="000000"/>
          <w:sz w:val="36"/>
          <w:szCs w:val="36"/>
          <w:highlight w:val="none"/>
        </w:rPr>
      </w:pPr>
      <w:r>
        <w:rPr>
          <w:rFonts w:eastAsia="宋体"/>
          <w:color w:val="000000"/>
          <w:sz w:val="36"/>
          <w:szCs w:val="36"/>
          <w:highlight w:val="none"/>
        </w:rPr>
        <w:t xml:space="preserve"> </w:t>
      </w:r>
      <w:r>
        <w:rPr>
          <w:rFonts w:eastAsia="宋体"/>
          <w:color w:val="000000"/>
          <w:sz w:val="36"/>
          <w:szCs w:val="36"/>
          <w:highlight w:val="none"/>
        </w:rPr>
      </w:r>
      <w:r/>
    </w:p>
    <w:p>
      <w:pPr>
        <w:pStyle w:val="1368"/>
        <w:spacing w:before="210" w:after="210"/>
        <w:shd w:val="clear" w:color="auto" w:fill="auto"/>
        <w:rPr>
          <w:rFonts w:eastAsia="宋体"/>
          <w:color w:val="000000"/>
          <w:sz w:val="21"/>
          <w:szCs w:val="21"/>
          <w:highlight w:val="none"/>
        </w:rPr>
      </w:pPr>
      <w:r>
        <w:rPr>
          <w:rFonts w:eastAsia="宋体"/>
          <w:color w:val="000000"/>
          <w:sz w:val="21"/>
          <w:szCs w:val="21"/>
          <w:highlight w:val="none"/>
        </w:rPr>
        <w:t xml:space="preserve"> 投标单位（加盖公章）：   </w:t>
      </w:r>
      <w:r>
        <w:rPr>
          <w:rFonts w:eastAsia="宋体"/>
          <w:color w:val="000000"/>
          <w:sz w:val="21"/>
          <w:szCs w:val="21"/>
          <w:highlight w:val="none"/>
        </w:rPr>
      </w:r>
      <w:r/>
    </w:p>
    <w:p>
      <w:pPr>
        <w:pStyle w:val="1369"/>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参加政府采购活动前3年内在经营活动中没有重大违法记录的书面声明（如是联合体参加投标的，联合体各方均须提供）</w:t>
      </w:r>
      <w:r>
        <w:rPr>
          <w:rFonts w:eastAsia="宋体"/>
          <w:color w:val="000000"/>
          <w:highlight w:val="none"/>
        </w:rPr>
      </w:r>
      <w:r/>
    </w:p>
    <w:p>
      <w:pPr>
        <w:pStyle w:val="1370"/>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70"/>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参加政府采购活动前3年内在经营活动中没有重大违法记录的书面声明</w:t>
      </w:r>
      <w:r>
        <w:rPr>
          <w:rFonts w:eastAsia="宋体"/>
          <w:b/>
          <w:bCs/>
          <w:color w:val="000000"/>
          <w:sz w:val="32"/>
          <w:szCs w:val="32"/>
          <w:highlight w:val="none"/>
        </w:rPr>
      </w:r>
      <w:r/>
    </w:p>
    <w:p>
      <w:pPr>
        <w:pStyle w:val="1370"/>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0"/>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370"/>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声明</w:t>
      </w:r>
      <w:r>
        <w:rPr>
          <w:rFonts w:eastAsia="宋体"/>
          <w:color w:val="000000"/>
          <w:sz w:val="32"/>
          <w:szCs w:val="32"/>
          <w:highlight w:val="none"/>
        </w:rPr>
      </w:r>
      <w:r/>
    </w:p>
    <w:p>
      <w:pPr>
        <w:pStyle w:val="1370"/>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0"/>
        <w:spacing w:before="240" w:after="240"/>
        <w:shd w:val="clear" w:color="auto" w:fill="auto"/>
        <w:rPr>
          <w:rFonts w:eastAsia="宋体"/>
          <w:color w:val="000000"/>
          <w:highlight w:val="none"/>
        </w:rPr>
      </w:pPr>
      <w:r>
        <w:rPr>
          <w:rFonts w:eastAsia="宋体"/>
          <w:color w:val="000000"/>
          <w:highlight w:val="none"/>
        </w:rPr>
        <w:t xml:space="preserve">    我单位郑重声明：参加本次政府采购活动前3年内，我单位在经营活动中没有因违法经营受到刑事处罚或者责令停产停业、吊销许可证或者执照、较大数额罚款等行政处罚。 </w:t>
      </w:r>
      <w:r>
        <w:rPr>
          <w:rFonts w:eastAsia="宋体"/>
          <w:color w:val="000000"/>
          <w:highlight w:val="none"/>
        </w:rPr>
      </w:r>
      <w:r/>
    </w:p>
    <w:p>
      <w:pPr>
        <w:pStyle w:val="1370"/>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0"/>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0"/>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0"/>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0"/>
        <w:spacing w:before="240" w:after="240"/>
        <w:shd w:val="clear" w:color="auto" w:fill="auto"/>
        <w:rPr>
          <w:rFonts w:eastAsia="宋体"/>
          <w:color w:val="000000"/>
          <w:highlight w:val="none"/>
        </w:rPr>
      </w:pPr>
      <w:r>
        <w:rPr>
          <w:rFonts w:eastAsia="宋体"/>
          <w:color w:val="000000"/>
          <w:highlight w:val="none"/>
        </w:rPr>
        <w:t xml:space="preserve"> 投标单位（加盖公章）：   </w:t>
      </w:r>
      <w:r>
        <w:rPr>
          <w:rFonts w:eastAsia="宋体"/>
          <w:color w:val="000000"/>
          <w:highlight w:val="none"/>
        </w:rPr>
      </w:r>
      <w:r/>
    </w:p>
    <w:p>
      <w:pPr>
        <w:pStyle w:val="1373"/>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授权委托书</w:t>
      </w:r>
      <w:r>
        <w:rPr>
          <w:rFonts w:hint="eastAsia" w:eastAsia="宋体"/>
          <w:b/>
          <w:color w:val="000000"/>
          <w:sz w:val="28"/>
          <w:highlight w:val="none"/>
        </w:rPr>
        <w:t xml:space="preserve">（被授权人非法定代表人</w:t>
      </w:r>
      <w:r>
        <w:rPr>
          <w:rFonts w:eastAsia="宋体"/>
          <w:b/>
          <w:color w:val="000000"/>
          <w:sz w:val="28"/>
          <w:highlight w:val="none"/>
        </w:rPr>
        <w:t xml:space="preserve">的</w:t>
      </w:r>
      <w:r>
        <w:rPr>
          <w:rFonts w:hint="eastAsia" w:eastAsia="宋体"/>
          <w:b/>
          <w:color w:val="000000"/>
          <w:sz w:val="28"/>
          <w:highlight w:val="none"/>
        </w:rPr>
        <w:t xml:space="preserve">，应提供授权委托书</w:t>
      </w:r>
      <w:r>
        <w:rPr>
          <w:rFonts w:eastAsia="宋体"/>
          <w:b/>
          <w:color w:val="000000"/>
          <w:sz w:val="28"/>
          <w:highlight w:val="none"/>
        </w:rPr>
        <w:t xml:space="preserve">；</w:t>
      </w:r>
      <w:r>
        <w:rPr>
          <w:rFonts w:hint="eastAsia" w:eastAsia="宋体"/>
          <w:b/>
          <w:color w:val="000000"/>
          <w:sz w:val="28"/>
          <w:highlight w:val="none"/>
        </w:rPr>
        <w:t xml:space="preserve">被授权人是法定代表人</w:t>
      </w:r>
      <w:r>
        <w:rPr>
          <w:rFonts w:eastAsia="宋体"/>
          <w:b/>
          <w:color w:val="000000"/>
          <w:sz w:val="28"/>
          <w:highlight w:val="none"/>
        </w:rPr>
        <w:t xml:space="preserve">的</w:t>
      </w:r>
      <w:r>
        <w:rPr>
          <w:rFonts w:hint="eastAsia" w:eastAsia="宋体"/>
          <w:b/>
          <w:color w:val="000000"/>
          <w:sz w:val="28"/>
          <w:highlight w:val="none"/>
        </w:rPr>
        <w:t xml:space="preserve">，应提供授权委托书或法定代表人身份证明书</w:t>
      </w:r>
      <w:r>
        <w:rPr>
          <w:rFonts w:eastAsia="宋体"/>
          <w:b/>
          <w:color w:val="000000"/>
          <w:sz w:val="28"/>
          <w:highlight w:val="none"/>
        </w:rPr>
        <w:t xml:space="preserve">。</w:t>
      </w:r>
      <w:r>
        <w:rPr>
          <w:rFonts w:hint="eastAsia" w:eastAsia="宋体"/>
          <w:b/>
          <w:color w:val="000000"/>
          <w:sz w:val="28"/>
          <w:highlight w:val="none"/>
        </w:rPr>
        <w:t xml:space="preserve">）（如为联合体，则联合体牵头方须提供）</w:t>
      </w:r>
      <w:r>
        <w:rPr>
          <w:rFonts w:eastAsia="宋体"/>
          <w:color w:val="000000"/>
          <w:highlight w:val="none"/>
        </w:rPr>
      </w:r>
      <w:r/>
    </w:p>
    <w:p>
      <w:pPr>
        <w:pStyle w:val="1372"/>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72"/>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授权委托书</w:t>
      </w:r>
      <w:r>
        <w:rPr>
          <w:rFonts w:eastAsia="宋体"/>
          <w:b/>
          <w:bCs/>
          <w:color w:val="000000"/>
          <w:sz w:val="32"/>
          <w:szCs w:val="32"/>
          <w:highlight w:val="none"/>
        </w:rPr>
      </w:r>
      <w:r/>
    </w:p>
    <w:p>
      <w:pPr>
        <w:pStyle w:val="13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2"/>
        <w:ind w:firstLine="499"/>
        <w:spacing w:line="440" w:lineRule="exact"/>
        <w:shd w:val="clear" w:color="auto" w:fill="auto"/>
        <w:rPr>
          <w:rFonts w:eastAsia="宋体"/>
          <w:color w:val="000000"/>
          <w:highlight w:val="none"/>
        </w:rPr>
      </w:pPr>
      <w:r>
        <w:rPr>
          <w:rFonts w:eastAsia="宋体"/>
          <w:color w:val="000000"/>
          <w:highlight w:val="none"/>
        </w:rPr>
        <w:t xml:space="preserve">本授权书声明：</w:t>
      </w:r>
      <w:r>
        <w:rPr>
          <w:rFonts w:eastAsia="宋体"/>
          <w:color w:val="000000"/>
          <w:highlight w:val="none"/>
          <w:u w:val="single"/>
        </w:rPr>
        <w:t xml:space="preserve">（投标人名称）</w:t>
      </w:r>
      <w:r>
        <w:rPr>
          <w:rFonts w:eastAsia="宋体"/>
          <w:color w:val="000000"/>
          <w:highlight w:val="none"/>
        </w:rPr>
        <w:t xml:space="preserve">授权</w:t>
      </w:r>
      <w:bookmarkStart w:id="101" w:name="sys_STR"/>
      <w:r/>
      <w:bookmarkEnd w:id="101"/>
      <w:r>
        <w:rPr>
          <w:rFonts w:eastAsia="宋体"/>
          <w:color w:val="000000"/>
          <w:highlight w:val="none"/>
          <w:u w:val="single"/>
        </w:rPr>
        <w:t xml:space="preserve">(被授权人的姓名)</w:t>
      </w:r>
      <w:r>
        <w:rPr>
          <w:rFonts w:eastAsia="宋体"/>
          <w:color w:val="000000"/>
          <w:highlight w:val="none"/>
        </w:rPr>
        <w:t xml:space="preserve">为我方就</w:t>
      </w:r>
      <w:r>
        <w:rPr>
          <w:rFonts w:eastAsia="宋体"/>
          <w:color w:val="000000"/>
          <w:highlight w:val="none"/>
          <w:u w:val="single"/>
        </w:rPr>
        <w:t xml:space="preserve">       </w:t>
      </w:r>
      <w:r>
        <w:rPr>
          <w:rFonts w:eastAsia="宋体"/>
          <w:color w:val="000000"/>
          <w:highlight w:val="none"/>
        </w:rPr>
        <w:t xml:space="preserve">项目采购活动的合法代理人，以本单位名义全权处理一切与该项目采购有关的事务。 </w:t>
      </w:r>
      <w:r>
        <w:rPr>
          <w:rFonts w:eastAsia="宋体"/>
          <w:color w:val="000000"/>
          <w:highlight w:val="none"/>
        </w:rPr>
      </w:r>
      <w:r/>
    </w:p>
    <w:p>
      <w:pPr>
        <w:pStyle w:val="1372"/>
        <w:ind w:firstLine="499"/>
        <w:spacing w:line="440" w:lineRule="exact"/>
        <w:shd w:val="clear" w:color="auto" w:fill="auto"/>
        <w:rPr>
          <w:rFonts w:eastAsia="宋体"/>
          <w:color w:val="000000"/>
          <w:highlight w:val="none"/>
        </w:rPr>
      </w:pPr>
      <w:r>
        <w:rPr>
          <w:rFonts w:eastAsia="宋体"/>
          <w:color w:val="000000"/>
          <w:highlight w:val="none"/>
        </w:rPr>
        <w:t xml:space="preserve">本授权书于</w:t>
      </w:r>
      <w:r>
        <w:rPr>
          <w:rFonts w:eastAsia="宋体"/>
          <w:color w:val="000000"/>
          <w:highlight w:val="none"/>
          <w:u w:val="single"/>
        </w:rPr>
        <w:t xml:space="preserve">          </w:t>
      </w:r>
      <w:r>
        <w:rPr>
          <w:rFonts w:eastAsia="宋体"/>
          <w:color w:val="000000"/>
          <w:highlight w:val="none"/>
        </w:rPr>
        <w:t xml:space="preserve">起生效，特此声明。  </w:t>
      </w:r>
      <w:r>
        <w:rPr>
          <w:rFonts w:eastAsia="宋体"/>
          <w:color w:val="000000"/>
          <w:highlight w:val="none"/>
        </w:rPr>
      </w:r>
      <w:r/>
    </w:p>
    <w:p>
      <w:pPr>
        <w:pStyle w:val="1372"/>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2"/>
        <w:ind w:firstLine="3570"/>
        <w:spacing w:before="240" w:after="240"/>
        <w:shd w:val="clear" w:color="auto" w:fill="auto"/>
        <w:rPr>
          <w:rFonts w:eastAsia="宋体"/>
          <w:color w:val="000000"/>
          <w:highlight w:val="none"/>
        </w:rPr>
      </w:pPr>
      <w:r>
        <w:rPr>
          <w:rFonts w:eastAsia="宋体"/>
          <w:color w:val="000000"/>
          <w:highlight w:val="none"/>
        </w:rPr>
        <w:t xml:space="preserve">被授权人身份证号码：   </w:t>
      </w:r>
      <w:r>
        <w:rPr>
          <w:rFonts w:eastAsia="宋体"/>
          <w:color w:val="000000"/>
          <w:highlight w:val="none"/>
        </w:rPr>
      </w:r>
      <w:r/>
    </w:p>
    <w:p>
      <w:pPr>
        <w:pStyle w:val="1372"/>
        <w:ind w:firstLine="3570"/>
        <w:spacing w:before="240" w:after="240"/>
        <w:shd w:val="clear" w:color="auto" w:fill="auto"/>
        <w:rPr>
          <w:rFonts w:eastAsia="宋体"/>
          <w:color w:val="000000"/>
          <w:highlight w:val="none"/>
        </w:rPr>
      </w:pPr>
      <w:r>
        <w:rPr>
          <w:rFonts w:eastAsia="宋体"/>
          <w:color w:val="000000"/>
          <w:highlight w:val="none"/>
        </w:rPr>
        <w:t xml:space="preserve">被授权人联系电话：（手机）   </w:t>
      </w:r>
      <w:r>
        <w:rPr>
          <w:rFonts w:eastAsia="宋体"/>
          <w:color w:val="000000"/>
          <w:highlight w:val="none"/>
        </w:rPr>
      </w:r>
      <w:r/>
    </w:p>
    <w:p>
      <w:pPr>
        <w:pStyle w:val="1372"/>
        <w:ind w:firstLine="3570"/>
        <w:spacing w:before="240" w:after="240"/>
        <w:shd w:val="clear" w:color="auto" w:fill="auto"/>
        <w:rPr>
          <w:rFonts w:eastAsia="宋体"/>
          <w:color w:val="000000"/>
          <w:highlight w:val="none"/>
        </w:rPr>
      </w:pPr>
      <w:r>
        <w:rPr>
          <w:rFonts w:eastAsia="宋体"/>
          <w:color w:val="000000"/>
          <w:highlight w:val="none"/>
        </w:rPr>
        <w:t xml:space="preserve">授权单位名称：   （加盖公章）</w:t>
      </w:r>
      <w:r>
        <w:rPr>
          <w:rFonts w:eastAsia="宋体"/>
          <w:color w:val="000000"/>
          <w:highlight w:val="none"/>
        </w:rPr>
      </w:r>
      <w:r/>
    </w:p>
    <w:p>
      <w:pPr>
        <w:pStyle w:val="1372"/>
        <w:ind w:firstLine="3570"/>
        <w:spacing w:before="240" w:after="240"/>
        <w:shd w:val="clear" w:color="auto" w:fill="auto"/>
        <w:rPr>
          <w:rFonts w:eastAsia="宋体"/>
          <w:color w:val="000000"/>
          <w:highlight w:val="none"/>
        </w:rPr>
      </w:pPr>
      <w:r>
        <w:rPr>
          <w:rFonts w:eastAsia="宋体"/>
          <w:color w:val="000000"/>
          <w:highlight w:val="none"/>
        </w:rPr>
        <w:t xml:space="preserve">单位地址：   </w:t>
      </w:r>
      <w:r>
        <w:rPr>
          <w:rFonts w:eastAsia="宋体"/>
          <w:color w:val="000000"/>
          <w:highlight w:val="none"/>
        </w:rPr>
      </w:r>
      <w:r/>
    </w:p>
    <w:p>
      <w:pPr>
        <w:pStyle w:val="1372"/>
        <w:ind w:firstLine="3600"/>
        <w:spacing w:before="240" w:after="240"/>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372"/>
        <w:ind w:firstLine="4830"/>
        <w:spacing w:before="240" w:after="240"/>
        <w:shd w:val="clear" w:color="auto" w:fill="auto"/>
        <w:rPr>
          <w:rFonts w:eastAsia="宋体"/>
          <w:color w:val="000000"/>
          <w:highlight w:val="none"/>
        </w:rPr>
      </w:pPr>
      <w:r>
        <w:rPr>
          <w:rFonts w:eastAsia="宋体"/>
          <w:color w:val="000000"/>
          <w:highlight w:val="none"/>
        </w:rPr>
      </w:r>
      <w:r/>
    </w:p>
    <w:p>
      <w:pPr>
        <w:pStyle w:val="1372"/>
        <w:contextualSpacing/>
        <w:ind w:firstLine="482"/>
        <w:spacing w:line="360" w:lineRule="auto"/>
        <w:shd w:val="clear" w:color="auto" w:fill="auto"/>
        <w:rPr>
          <w:rFonts w:eastAsia="宋体"/>
          <w:b/>
          <w:bCs/>
          <w:color w:val="000000"/>
          <w:highlight w:val="none"/>
        </w:rPr>
      </w:pPr>
      <w:r/>
      <w:bookmarkStart w:id="102" w:name="OLE_LINK6"/>
      <w:r>
        <w:rPr>
          <w:rFonts w:eastAsia="宋体"/>
          <w:b/>
          <w:bCs/>
          <w:color w:val="000000"/>
          <w:highlight w:val="none"/>
        </w:rPr>
        <w:t xml:space="preserve">注：被授权人非法定代表人的，应提供授权委托书原件、身份证原件的扫描件；被授权人是法定代表人的，应提供法定代表人身份证原件的扫描件。</w:t>
      </w:r>
      <w:r>
        <w:rPr>
          <w:rFonts w:eastAsia="宋体"/>
          <w:b/>
          <w:bCs/>
          <w:color w:val="000000"/>
          <w:highlight w:val="none"/>
        </w:rPr>
      </w:r>
      <w:r/>
    </w:p>
    <w:p>
      <w:pPr>
        <w:pStyle w:val="1372"/>
        <w:contextualSpacing/>
        <w:ind w:firstLine="482"/>
        <w:spacing w:line="360" w:lineRule="auto"/>
        <w:shd w:val="clear" w:color="auto" w:fill="auto"/>
        <w:rPr>
          <w:rFonts w:eastAsia="宋体"/>
          <w:b/>
          <w:bCs/>
          <w:color w:val="000000"/>
          <w:highlight w:val="none"/>
        </w:rPr>
      </w:pPr>
      <w:r>
        <w:rPr>
          <w:rFonts w:eastAsia="宋体"/>
          <w:b/>
          <w:bCs/>
          <w:color w:val="000000"/>
          <w:highlight w:val="none"/>
        </w:rPr>
      </w:r>
      <w:r/>
    </w:p>
    <w:p>
      <w:pPr>
        <w:pStyle w:val="790"/>
        <w:jc w:val="center"/>
        <w:spacing w:before="240" w:after="240"/>
        <w:shd w:val="clear" w:color="auto" w:fill="auto"/>
        <w:rPr>
          <w:rFonts w:ascii="Times New Roman" w:hAnsi="Times New Roman"/>
          <w:color w:val="000000"/>
          <w:sz w:val="24"/>
          <w:szCs w:val="24"/>
          <w:highlight w:val="none"/>
        </w:rPr>
      </w:pPr>
      <w:r>
        <w:rPr>
          <w:rFonts w:ascii="Times New Roman" w:hAnsi="Times New Roman"/>
          <w:b/>
          <w:bCs/>
          <w:color w:val="000000"/>
          <w:sz w:val="32"/>
          <w:szCs w:val="32"/>
          <w:highlight w:val="none"/>
        </w:rPr>
        <w:t xml:space="preserve">法定代表人身份证明书</w:t>
      </w:r>
      <w:r>
        <w:rPr>
          <w:rFonts w:ascii="Times New Roman" w:hAnsi="Times New Roman"/>
          <w:color w:val="000000"/>
          <w:sz w:val="24"/>
          <w:szCs w:val="24"/>
          <w:highlight w:val="none"/>
        </w:rPr>
      </w:r>
      <w:r/>
    </w:p>
    <w:p>
      <w:pPr>
        <w:pStyle w:val="790"/>
        <w:ind w:firstLine="50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兹证明（姓名）（法定代表人身份证号码：</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）担任(供应商名称)</w:t>
      </w:r>
      <w:r>
        <w:rPr>
          <w:rFonts w:ascii="Times New Roman" w:hAnsi="Times New Roman"/>
          <w:color w:val="000000"/>
          <w:sz w:val="24"/>
          <w:szCs w:val="24"/>
          <w:highlight w:val="none"/>
          <w:u w:val="single"/>
        </w:rPr>
        <w:t xml:space="preserve">      （职位 ）</w:t>
      </w:r>
      <w:r>
        <w:rPr>
          <w:rFonts w:ascii="Times New Roman" w:hAnsi="Times New Roman"/>
          <w:color w:val="000000"/>
          <w:sz w:val="24"/>
          <w:szCs w:val="24"/>
          <w:highlight w:val="none"/>
        </w:rPr>
        <w:t xml:space="preserve">，是我单位的法定代表人。 </w:t>
      </w:r>
      <w:r>
        <w:rPr>
          <w:rFonts w:ascii="Times New Roman" w:hAnsi="Times New Roman"/>
          <w:color w:val="000000"/>
          <w:sz w:val="24"/>
          <w:szCs w:val="24"/>
          <w:highlight w:val="none"/>
        </w:rPr>
      </w:r>
      <w:r/>
    </w:p>
    <w:p>
      <w:pPr>
        <w:pStyle w:val="790"/>
        <w:ind w:firstLine="50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特此证明。  </w:t>
      </w:r>
      <w:r>
        <w:rPr>
          <w:rFonts w:ascii="Times New Roman" w:hAnsi="Times New Roman"/>
          <w:color w:val="000000"/>
          <w:sz w:val="24"/>
          <w:szCs w:val="24"/>
          <w:highlight w:val="none"/>
        </w:rPr>
      </w:r>
      <w:r/>
    </w:p>
    <w:p>
      <w:pPr>
        <w:pStyle w:val="79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90"/>
        <w:ind w:firstLine="35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法定代表人联系电话：（手机）   </w:t>
      </w:r>
      <w:r>
        <w:rPr>
          <w:rFonts w:ascii="Times New Roman" w:hAnsi="Times New Roman"/>
          <w:color w:val="000000"/>
          <w:sz w:val="24"/>
          <w:szCs w:val="24"/>
          <w:highlight w:val="none"/>
        </w:rPr>
      </w:r>
      <w:r/>
    </w:p>
    <w:p>
      <w:pPr>
        <w:pStyle w:val="790"/>
        <w:ind w:firstLine="35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单位名称：   （加盖公章）</w:t>
      </w:r>
      <w:r>
        <w:rPr>
          <w:rFonts w:ascii="Times New Roman" w:hAnsi="Times New Roman"/>
          <w:color w:val="000000"/>
          <w:sz w:val="24"/>
          <w:szCs w:val="24"/>
          <w:highlight w:val="none"/>
        </w:rPr>
      </w:r>
      <w:r/>
    </w:p>
    <w:p>
      <w:pPr>
        <w:pStyle w:val="790"/>
        <w:ind w:firstLine="357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单位地址：   </w:t>
      </w:r>
      <w:r>
        <w:rPr>
          <w:rFonts w:ascii="Times New Roman" w:hAnsi="Times New Roman"/>
          <w:color w:val="000000"/>
          <w:sz w:val="24"/>
          <w:szCs w:val="24"/>
          <w:highlight w:val="none"/>
        </w:rPr>
      </w:r>
      <w:r/>
    </w:p>
    <w:p>
      <w:pPr>
        <w:pStyle w:val="790"/>
        <w:ind w:firstLine="360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日期：   年   月   日</w:t>
      </w:r>
      <w:bookmarkEnd w:id="102"/>
      <w:r>
        <w:rPr>
          <w:rFonts w:ascii="Times New Roman" w:hAnsi="Times New Roman"/>
          <w:color w:val="000000"/>
          <w:sz w:val="24"/>
          <w:szCs w:val="24"/>
          <w:highlight w:val="none"/>
        </w:rPr>
      </w:r>
      <w:r/>
    </w:p>
    <w:p>
      <w:pPr>
        <w:pStyle w:val="1373"/>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关于资格证明文件的书面承诺（如是联合体参加投标的，联合体各方均须提供）</w:t>
      </w:r>
      <w:r>
        <w:rPr>
          <w:rFonts w:eastAsia="宋体"/>
          <w:color w:val="000000"/>
          <w:highlight w:val="none"/>
        </w:rPr>
      </w:r>
      <w:r/>
    </w:p>
    <w:p>
      <w:pPr>
        <w:pStyle w:val="1374"/>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3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关于资格证明文件的书面承诺</w:t>
      </w:r>
      <w:r>
        <w:rPr>
          <w:rFonts w:eastAsia="宋体"/>
          <w:color w:val="000000"/>
          <w:sz w:val="32"/>
          <w:szCs w:val="32"/>
          <w:highlight w:val="none"/>
        </w:rPr>
      </w:r>
      <w:r/>
    </w:p>
    <w:p>
      <w:pPr>
        <w:pStyle w:val="13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3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spacing w:before="240" w:after="240"/>
        <w:shd w:val="clear" w:color="auto" w:fill="auto"/>
        <w:rPr>
          <w:rFonts w:eastAsia="宋体"/>
          <w:color w:val="000000"/>
          <w:highlight w:val="none"/>
        </w:rPr>
      </w:pPr>
      <w:r>
        <w:rPr>
          <w:rFonts w:eastAsia="宋体"/>
          <w:color w:val="000000"/>
          <w:highlight w: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rPr>
          <w:rFonts w:eastAsia="宋体"/>
          <w:color w:val="000000"/>
          <w:highlight w:val="none"/>
        </w:rPr>
      </w:r>
      <w:r/>
    </w:p>
    <w:p>
      <w:pPr>
        <w:pStyle w:val="1374"/>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4"/>
        <w:spacing w:before="240" w:after="240"/>
        <w:shd w:val="clear" w:color="auto" w:fill="auto"/>
        <w:rPr>
          <w:rFonts w:eastAsia="宋体"/>
          <w:color w:val="000000"/>
          <w:highlight w:val="none"/>
        </w:rPr>
        <w:sectPr>
          <w:footerReference w:type="default" r:id="rId14"/>
          <w:footerReference w:type="even" r:id="rId15"/>
          <w:footerReference w:type="first" r:id="rId16"/>
          <w:footnotePr/>
          <w:endnotePr/>
          <w:type w:val="nextPage"/>
          <w:pgSz w:w="11906" w:h="16838" w:orient="portrait"/>
          <w:pgMar w:top="720" w:right="720" w:bottom="720" w:left="720" w:header="851" w:footer="992" w:gutter="0"/>
          <w:cols w:num="1" w:sep="0" w:space="1701" w:equalWidth="1"/>
          <w:docGrid w:linePitch="360"/>
          <w:titlePg/>
        </w:sectPr>
      </w:pPr>
      <w:r>
        <w:rPr>
          <w:rFonts w:eastAsia="宋体"/>
          <w:color w:val="000000"/>
          <w:highlight w:val="none"/>
        </w:rPr>
        <w:t xml:space="preserve"> 投标单位（加盖公章）：   </w:t>
      </w:r>
      <w:r>
        <w:rPr>
          <w:rFonts w:eastAsia="宋体"/>
          <w:color w:val="000000"/>
          <w:highlight w:val="none"/>
        </w:rPr>
      </w:r>
      <w:r/>
    </w:p>
    <w:p>
      <w:pPr>
        <w:pStyle w:val="1373"/>
        <w:shd w:val="clear" w:color="auto" w:fill="auto"/>
        <w:rPr>
          <w:rFonts w:eastAsia="宋体"/>
          <w:b/>
          <w:color w:val="000000"/>
          <w:sz w:val="28"/>
          <w:highlight w:val="none"/>
        </w:rPr>
        <w:outlineLvl w:val="2"/>
      </w:pPr>
      <w:r/>
      <w:bookmarkStart w:id="103" w:name="_Toc209797864"/>
      <w:r>
        <w:rPr>
          <w:rFonts w:eastAsia="宋体"/>
          <w:b/>
          <w:color w:val="000000"/>
          <w:sz w:val="28"/>
          <w:highlight w:val="none"/>
        </w:rPr>
        <w:t xml:space="preserve">提供有效的《经营保险业务许可证》（如是联合体参加投标的，联合体各方均须提供）</w:t>
      </w:r>
      <w:r>
        <w:rPr>
          <w:rFonts w:eastAsia="宋体"/>
          <w:b/>
          <w:color w:val="000000"/>
          <w:sz w:val="28"/>
          <w:highlight w:val="none"/>
        </w:rPr>
      </w:r>
      <w:r/>
    </w:p>
    <w:p>
      <w:pPr>
        <w:pStyle w:val="1371"/>
        <w:shd w:val="clear" w:color="auto" w:fill="auto"/>
        <w:rPr>
          <w:rFonts w:eastAsia="宋体"/>
          <w:b/>
          <w:iCs/>
          <w:color w:val="000000"/>
          <w:highlight w:val="none"/>
        </w:rPr>
        <w:outlineLvl w:val="2"/>
      </w:pPr>
      <w:r>
        <w:rPr>
          <w:rFonts w:eastAsia="宋体"/>
          <w:b/>
          <w:iCs/>
          <w:color w:val="000000"/>
          <w:highlight w:val="none"/>
        </w:rPr>
      </w:r>
      <w:r/>
    </w:p>
    <w:p>
      <w:pPr>
        <w:pStyle w:val="790"/>
        <w:jc w:val="center"/>
        <w:shd w:val="clear" w:color="auto" w:fill="auto"/>
        <w:rPr>
          <w:rFonts w:ascii="Times New Roman" w:hAnsi="Times New Roman"/>
          <w:color w:val="000000"/>
          <w:highlight w:val="none"/>
        </w:rPr>
        <w:sectPr>
          <w:footerReference w:type="default" r:id="rId17"/>
          <w:footerReference w:type="even" r:id="rId18"/>
          <w:footerReference w:type="first" r:id="rId19"/>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olor w:val="000000"/>
          <w:highlight w:val="none"/>
        </w:rPr>
      </w:r>
      <w:r/>
    </w:p>
    <w:p>
      <w:pPr>
        <w:pStyle w:val="1373"/>
        <w:shd w:val="clear" w:color="auto" w:fill="auto"/>
        <w:rPr>
          <w:rFonts w:eastAsia="宋体"/>
          <w:b/>
          <w:color w:val="000000"/>
          <w:sz w:val="28"/>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2"/>
      </w:pPr>
      <w:r>
        <w:rPr>
          <w:rFonts w:eastAsia="宋体"/>
          <w:b/>
          <w:color w:val="000000"/>
          <w:sz w:val="28"/>
          <w:highlight w:val="none"/>
        </w:rPr>
        <w:t xml:space="preserve">国家金融监督管理总局（原中国（银行）保险监督管理委员会）批准设立的保险公司或其分支机构。（如是联合体参加投标的，联合体各方均须提供）</w:t>
      </w:r>
      <w:r>
        <w:rPr>
          <w:rFonts w:eastAsia="宋体"/>
          <w:b/>
          <w:color w:val="000000"/>
          <w:sz w:val="28"/>
          <w:highlight w:val="none"/>
        </w:rPr>
      </w:r>
      <w:r/>
    </w:p>
    <w:p>
      <w:pPr>
        <w:pStyle w:val="790"/>
        <w:jc w:val="center"/>
        <w:shd w:val="clear" w:color="auto" w:fill="auto"/>
        <w:rPr>
          <w:rFonts w:ascii="Times New Roman" w:hAnsi="Times New Roman"/>
          <w:b/>
          <w:bCs/>
          <w:color w:val="000000"/>
          <w:sz w:val="32"/>
          <w:szCs w:val="32"/>
          <w:highlight w:val="none"/>
        </w:rPr>
      </w:pPr>
      <w:r>
        <w:rPr>
          <w:rFonts w:ascii="Times New Roman" w:hAnsi="Times New Roman"/>
          <w:b/>
          <w:bCs/>
          <w:color w:val="000000"/>
          <w:sz w:val="32"/>
          <w:szCs w:val="32"/>
          <w:highlight w:val="none"/>
        </w:rPr>
        <w:t xml:space="preserve">联合体协议书（如为联合体，才须提供）</w:t>
      </w:r>
      <w:r>
        <w:rPr>
          <w:rFonts w:ascii="Times New Roman" w:hAnsi="Times New Roman"/>
          <w:b/>
          <w:bCs/>
          <w:color w:val="000000"/>
          <w:sz w:val="32"/>
          <w:szCs w:val="32"/>
          <w:highlight w:val="none"/>
        </w:rPr>
      </w:r>
      <w:r/>
    </w:p>
    <w:p>
      <w:pPr>
        <w:pStyle w:val="790"/>
        <w:ind w:firstLine="643"/>
        <w:jc w:val="center"/>
        <w:keepLines/>
        <w:keepNext/>
        <w:spacing w:line="440" w:lineRule="exact"/>
        <w:shd w:val="clear" w:color="auto" w:fill="auto"/>
        <w:rPr>
          <w:rFonts w:ascii="Times New Roman" w:hAnsi="Times New Roman"/>
          <w:b/>
          <w:bCs/>
          <w:color w:val="000000"/>
          <w:sz w:val="32"/>
          <w:szCs w:val="32"/>
          <w:highlight w:val="none"/>
        </w:rPr>
        <w:outlineLvl w:val="3"/>
      </w:pPr>
      <w:r>
        <w:rPr>
          <w:rFonts w:ascii="Times New Roman" w:hAnsi="Times New Roman"/>
          <w:b/>
          <w:bCs/>
          <w:color w:val="000000"/>
          <w:sz w:val="32"/>
          <w:szCs w:val="32"/>
          <w:highlight w:val="none"/>
        </w:rPr>
        <w:t xml:space="preserve">联合体协议书</w:t>
      </w:r>
      <w:r>
        <w:rPr>
          <w:rFonts w:ascii="Times New Roman" w:hAnsi="Times New Roman"/>
          <w:b/>
          <w:bCs/>
          <w:color w:val="000000"/>
          <w:sz w:val="32"/>
          <w:szCs w:val="32"/>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甲方：</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乙方：</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各方经协商，就响应</w:t>
      </w:r>
      <w:r>
        <w:rPr>
          <w:rFonts w:ascii="Times New Roman" w:hAnsi="Times New Roman"/>
          <w:b/>
          <w:bCs/>
          <w:color w:val="000000"/>
          <w:sz w:val="24"/>
          <w:szCs w:val="24"/>
          <w:highlight w:val="none"/>
          <w:u w:val="single"/>
        </w:rPr>
        <w:t xml:space="preserve">民警意外和家庭医疗保险</w:t>
      </w:r>
      <w:r>
        <w:rPr>
          <w:rFonts w:ascii="Times New Roman" w:hAnsi="Times New Roman"/>
          <w:color w:val="000000"/>
          <w:sz w:val="24"/>
          <w:szCs w:val="24"/>
          <w:highlight w:val="none"/>
        </w:rPr>
        <w:t xml:space="preserve">招标活动联合进行投标之事宜，达成如下协议：</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一、各方一致决定，以</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为牵头方（即联合体投标人代表）进行投标，并按照招标文件的规定提交资格文件。</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二、在本次投标过程中，牵头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三、联合投标其余各方保证对牵头方为响应本次招标而提供的产品和服务提供全部质量保证及售后服务支持。</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四、本次联合投标中：</w:t>
      </w:r>
      <w:r>
        <w:rPr>
          <w:rFonts w:ascii="Times New Roman" w:hAnsi="Times New Roman"/>
          <w:color w:val="000000"/>
          <w:sz w:val="24"/>
          <w:szCs w:val="24"/>
          <w:highlight w:val="none"/>
        </w:rPr>
      </w:r>
      <w:r/>
    </w:p>
    <w:p>
      <w:pPr>
        <w:pStyle w:val="790"/>
        <w:ind w:firstLine="48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甲方承担的工作和义务为：</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w:t>
      </w:r>
      <w:r>
        <w:rPr>
          <w:rFonts w:ascii="Times New Roman" w:hAnsi="Times New Roman"/>
          <w:b/>
          <w:bCs/>
          <w:color w:val="000000"/>
          <w:sz w:val="24"/>
          <w:szCs w:val="24"/>
          <w:highlight w:val="none"/>
        </w:rPr>
        <w:t xml:space="preserve">合同份额占到合同总额</w:t>
      </w:r>
      <w:r>
        <w:rPr>
          <w:rFonts w:ascii="Times New Roman" w:hAnsi="Times New Roman"/>
          <w:color w:val="000000"/>
          <w:sz w:val="24"/>
          <w:szCs w:val="24"/>
          <w:highlight w:val="none"/>
          <w:u w:val="single"/>
        </w:rPr>
        <w:t xml:space="preserve">        （     元） </w:t>
      </w:r>
      <w:r>
        <w:rPr>
          <w:rFonts w:ascii="Times New Roman" w:hAnsi="Times New Roman"/>
          <w:b/>
          <w:bCs/>
          <w:color w:val="000000"/>
          <w:sz w:val="24"/>
          <w:szCs w:val="24"/>
          <w:highlight w:val="none"/>
        </w:rPr>
      </w:r>
      <w:r/>
    </w:p>
    <w:p>
      <w:pPr>
        <w:pStyle w:val="790"/>
        <w:ind w:firstLine="482"/>
        <w:spacing w:line="440" w:lineRule="exact"/>
        <w:shd w:val="clear" w:color="auto" w:fill="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乙方承担的工作和义务为：</w:t>
      </w:r>
      <w:r>
        <w:rPr>
          <w:rFonts w:ascii="Times New Roman" w:hAnsi="Times New Roman"/>
          <w:color w:val="000000"/>
          <w:sz w:val="24"/>
          <w:szCs w:val="24"/>
          <w:highlight w:val="none"/>
          <w:u w:val="single"/>
        </w:rPr>
        <w:t xml:space="preserve">                </w:t>
      </w:r>
      <w:r>
        <w:rPr>
          <w:rFonts w:ascii="Times New Roman" w:hAnsi="Times New Roman"/>
          <w:b/>
          <w:bCs/>
          <w:color w:val="000000"/>
          <w:sz w:val="24"/>
          <w:szCs w:val="24"/>
          <w:highlight w:val="none"/>
        </w:rPr>
        <w:t xml:space="preserve">合同份额占到合同总额</w:t>
      </w:r>
      <w:r>
        <w:rPr>
          <w:rFonts w:ascii="Times New Roman" w:hAnsi="Times New Roman"/>
          <w:color w:val="000000"/>
          <w:sz w:val="24"/>
          <w:szCs w:val="24"/>
          <w:highlight w:val="none"/>
          <w:u w:val="single"/>
        </w:rPr>
        <w:t xml:space="preserve">         （    元）</w:t>
      </w:r>
      <w:r>
        <w:rPr>
          <w:rFonts w:ascii="Times New Roman" w:hAnsi="Times New Roman"/>
          <w:b/>
          <w:bCs/>
          <w:color w:val="000000"/>
          <w:sz w:val="24"/>
          <w:szCs w:val="24"/>
          <w:highlight w:val="none"/>
        </w:rPr>
        <w:t xml:space="preserve"> </w:t>
      </w:r>
      <w:r>
        <w:rPr>
          <w:rFonts w:ascii="Times New Roman" w:hAnsi="Times New Roman"/>
          <w:b/>
          <w:bCs/>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u w:val="single"/>
        </w:rPr>
      </w:pPr>
      <w:r>
        <w:rPr>
          <w:rFonts w:ascii="Times New Roman" w:hAnsi="Times New Roman"/>
          <w:color w:val="000000"/>
          <w:sz w:val="24"/>
          <w:szCs w:val="24"/>
          <w:highlight w:val="none"/>
        </w:rPr>
        <w:t xml:space="preserve">五、有关本次联合投标的其他事宜：</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六、本协议提交招标方后，联合投标各方不得以任何形式对上述实质内容进行修改或撤销。</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七、本协议一式</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份，签约各方各持一份，中标后交采购人一份备案。</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甲方单位：   （公章）                    乙方单位：   （公章）</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法定代表人（负责人）：（签章）           法定代表人（负责人）：（签章）</w:t>
      </w:r>
      <w:r>
        <w:rPr>
          <w:rFonts w:ascii="Times New Roman" w:hAnsi="Times New Roman"/>
          <w:color w:val="000000"/>
          <w:sz w:val="24"/>
          <w:szCs w:val="24"/>
          <w:highlight w:val="none"/>
        </w:rPr>
      </w:r>
      <w:r/>
    </w:p>
    <w:p>
      <w:pPr>
        <w:pStyle w:val="79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                            </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年</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月</w:t>
      </w:r>
      <w:r>
        <w:rPr>
          <w:rFonts w:ascii="Times New Roman" w:hAnsi="Times New Roman"/>
          <w:color w:val="000000"/>
          <w:sz w:val="24"/>
          <w:szCs w:val="24"/>
          <w:highlight w:val="none"/>
          <w:u w:val="single"/>
        </w:rPr>
        <w:t xml:space="preserve">    </w:t>
      </w:r>
      <w:r>
        <w:rPr>
          <w:rFonts w:ascii="Times New Roman" w:hAnsi="Times New Roman"/>
          <w:color w:val="000000"/>
          <w:sz w:val="24"/>
          <w:szCs w:val="24"/>
          <w:highlight w:val="none"/>
        </w:rPr>
        <w:t xml:space="preserve">日</w:t>
      </w:r>
      <w:r>
        <w:rPr>
          <w:rFonts w:ascii="Times New Roman" w:hAnsi="Times New Roman"/>
          <w:color w:val="000000"/>
          <w:sz w:val="24"/>
          <w:szCs w:val="24"/>
          <w:highlight w:val="none"/>
        </w:rPr>
      </w:r>
      <w:r/>
    </w:p>
    <w:p>
      <w:pPr>
        <w:pStyle w:val="790"/>
        <w:ind w:firstLine="480"/>
        <w:spacing w:line="440" w:lineRule="exact"/>
        <w:shd w:val="clear" w:color="auto" w:fill="auto"/>
        <w:tabs>
          <w:tab w:val="left" w:pos="4643" w:leader="none"/>
        </w:tabs>
        <w:rPr>
          <w:rFonts w:ascii="Times New Roman" w:hAnsi="Times New Roman"/>
          <w:color w:val="000000"/>
          <w:sz w:val="24"/>
          <w:szCs w:val="24"/>
          <w:highlight w:val="none"/>
        </w:rPr>
      </w:pPr>
      <w:r>
        <w:rPr>
          <w:rFonts w:ascii="Times New Roman" w:hAnsi="Times New Roman"/>
          <w:color w:val="000000"/>
          <w:sz w:val="24"/>
          <w:szCs w:val="24"/>
          <w:highlight w:val="none"/>
        </w:rPr>
        <w:tab/>
      </w:r>
      <w:r>
        <w:rPr>
          <w:rFonts w:ascii="Times New Roman" w:hAnsi="Times New Roman"/>
          <w:color w:val="000000"/>
          <w:sz w:val="24"/>
          <w:szCs w:val="24"/>
          <w:highlight w:val="none"/>
        </w:rPr>
        <w:t xml:space="preserve">       </w:t>
      </w:r>
      <w:r>
        <w:rPr>
          <w:rFonts w:ascii="Times New Roman" w:hAnsi="Times New Roman"/>
          <w:color w:val="000000"/>
          <w:sz w:val="24"/>
          <w:szCs w:val="24"/>
          <w:highlight w:val="none"/>
        </w:rPr>
      </w:r>
      <w:r/>
    </w:p>
    <w:p>
      <w:pPr>
        <w:pStyle w:val="1375"/>
        <w:ind w:firstLine="482"/>
        <w:shd w:val="clear" w:color="auto" w:fill="auto"/>
        <w:rPr>
          <w:rFonts w:eastAsia="宋体"/>
          <w:b/>
          <w:bCs/>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1"/>
      </w:pPr>
      <w:r>
        <w:rPr>
          <w:rFonts w:eastAsia="宋体"/>
          <w:b/>
          <w:bCs/>
          <w:color w:val="000000"/>
          <w:highlight w:val="none"/>
        </w:rPr>
        <w:t xml:space="preserve">注：联合体协议书须由联合体各方法定代表人签字或盖章，并加盖联合体各方公章，否则按无效投标处理。</w:t>
      </w:r>
      <w:r>
        <w:rPr>
          <w:rFonts w:eastAsia="宋体"/>
          <w:b/>
          <w:bCs/>
          <w:color w:val="000000"/>
          <w:highlight w:val="none"/>
        </w:rPr>
      </w:r>
      <w:r/>
    </w:p>
    <w:p>
      <w:pPr>
        <w:pStyle w:val="1375"/>
        <w:ind w:firstLine="482"/>
        <w:spacing w:line="440" w:lineRule="exact"/>
        <w:shd w:val="clear" w:color="auto" w:fill="auto"/>
        <w:rPr>
          <w:rFonts w:eastAsia="宋体"/>
          <w:color w:val="000000"/>
          <w:highlight w:val="none"/>
        </w:rPr>
        <w:outlineLvl w:val="1"/>
      </w:pPr>
      <w:r>
        <w:rPr>
          <w:rFonts w:eastAsia="宋体"/>
          <w:b/>
          <w:color w:val="000000"/>
          <w:sz w:val="32"/>
          <w:szCs w:val="32"/>
          <w:highlight w:val="none"/>
        </w:rPr>
        <w:t xml:space="preserve">五、中小企业声明函</w:t>
      </w:r>
      <w:bookmarkEnd w:id="103"/>
      <w:r>
        <w:rPr>
          <w:rFonts w:eastAsia="宋体"/>
          <w:color w:val="000000"/>
          <w:highlight w:val="none"/>
        </w:rPr>
      </w:r>
      <w:r/>
    </w:p>
    <w:p>
      <w:pPr>
        <w:pStyle w:val="1376"/>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7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6"/>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中小企业声明函（服务）</w:t>
      </w:r>
      <w:r>
        <w:rPr>
          <w:rFonts w:eastAsia="宋体"/>
          <w:color w:val="000000"/>
          <w:sz w:val="32"/>
          <w:szCs w:val="32"/>
          <w:highlight w:val="none"/>
        </w:rPr>
      </w:r>
      <w:r/>
    </w:p>
    <w:p>
      <w:pPr>
        <w:pStyle w:val="1376"/>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6"/>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 </w:t>
      </w:r>
      <w:r>
        <w:rPr>
          <w:rFonts w:eastAsia="宋体"/>
          <w:color w:val="000000"/>
          <w:sz w:val="32"/>
          <w:szCs w:val="32"/>
          <w:highlight w:val="none"/>
        </w:rPr>
      </w:r>
      <w:r/>
    </w:p>
    <w:p>
      <w:pPr>
        <w:pStyle w:val="1376"/>
        <w:ind w:firstLine="480"/>
        <w:spacing w:line="440" w:lineRule="exact"/>
        <w:shd w:val="clear" w:color="auto" w:fill="auto"/>
        <w:rPr>
          <w:rFonts w:eastAsia="宋体"/>
          <w:color w:val="000000"/>
          <w:highlight w:val="none"/>
        </w:rPr>
      </w:pPr>
      <w:r>
        <w:rPr>
          <w:rFonts w:eastAsia="宋体"/>
          <w:color w:val="000000"/>
          <w:highlight w:val="none"/>
        </w:rPr>
        <w:t xml:space="preserve">本公司郑重声明，根据《政府采购促进中小企业发展管理办法》 (财库〔2020〕46号)的规定，本公司参加   （单位名称）的   （项目名称）采购活动，服务全部由符合政策要求的中小企业承接。相关企业的具体情况如下：</w:t>
      </w:r>
      <w:r>
        <w:rPr>
          <w:rFonts w:eastAsia="宋体"/>
          <w:color w:val="000000"/>
          <w:highlight w:val="none"/>
        </w:rPr>
      </w:r>
      <w:r/>
    </w:p>
    <w:p>
      <w:pPr>
        <w:pStyle w:val="1376"/>
        <w:ind w:firstLine="480"/>
        <w:spacing w:line="440" w:lineRule="exact"/>
        <w:shd w:val="clear" w:color="auto" w:fill="auto"/>
        <w:rPr>
          <w:rFonts w:eastAsia="宋体"/>
          <w:color w:val="000000"/>
          <w:highlight w:val="none"/>
          <w:u w:val="single"/>
        </w:rPr>
      </w:pPr>
      <w:r>
        <w:rPr>
          <w:rFonts w:eastAsia="宋体"/>
          <w:color w:val="000000"/>
          <w:highlight w:val="none"/>
        </w:rPr>
        <w:t xml:space="preserve">1.</w:t>
      </w:r>
      <w:r>
        <w:rPr>
          <w:rFonts w:eastAsia="宋体"/>
          <w:color w:val="000000"/>
          <w:highlight w:val="none"/>
          <w:u w:val="single"/>
        </w:rPr>
        <w:t xml:space="preserve"> （标的名称）</w:t>
      </w:r>
      <w:r>
        <w:rPr>
          <w:rFonts w:eastAsia="宋体"/>
          <w:i/>
          <w:iCs/>
          <w:color w:val="000000"/>
          <w:highlight w:val="none"/>
        </w:rPr>
        <w:t xml:space="preserve">，</w:t>
      </w:r>
      <w:r>
        <w:rPr>
          <w:rFonts w:eastAsia="宋体"/>
          <w:color w:val="000000"/>
          <w:highlight w:val="none"/>
        </w:rPr>
        <w:t xml:space="preserve">属于</w:t>
      </w:r>
      <w:r>
        <w:rPr>
          <w:rFonts w:eastAsia="宋体"/>
          <w:color w:val="000000"/>
          <w:highlight w:val="none"/>
          <w:u w:val="single"/>
        </w:rPr>
        <w:t xml:space="preserve"> </w:t>
      </w:r>
      <w:r>
        <w:rPr>
          <w:rFonts w:eastAsia="宋体"/>
          <w:u w:val="single"/>
          <w:lang w:eastAsia="en-US"/>
        </w:rPr>
        <w:t xml:space="preserve">金融业（保险业）</w:t>
      </w:r>
      <w:r>
        <w:rPr>
          <w:rFonts w:eastAsia="宋体"/>
          <w:color w:val="000000"/>
          <w:highlight w:val="none"/>
          <w:u w:val="single"/>
        </w:rPr>
        <w:t xml:space="preserve"> </w:t>
      </w:r>
      <w:r>
        <w:rPr>
          <w:rFonts w:eastAsia="宋体"/>
          <w:color w:val="000000"/>
          <w:highlight w:val="none"/>
        </w:rPr>
        <w:t xml:space="preserve">行业；承接企业为</w:t>
      </w:r>
      <w:r>
        <w:rPr>
          <w:rFonts w:eastAsia="宋体"/>
          <w:color w:val="000000"/>
          <w:highlight w:val="none"/>
          <w:u w:val="single"/>
        </w:rPr>
        <w:t xml:space="preserve">（企业名称）</w:t>
      </w:r>
      <w:r>
        <w:rPr>
          <w:rFonts w:eastAsia="宋体"/>
          <w:color w:val="000000"/>
          <w:highlight w:val="none"/>
        </w:rPr>
        <w:t xml:space="preserve">，从业人员</w:t>
      </w:r>
      <w:r>
        <w:rPr>
          <w:rFonts w:eastAsia="宋体"/>
          <w:color w:val="000000"/>
          <w:highlight w:val="none"/>
          <w:u w:val="single"/>
        </w:rPr>
        <w:t xml:space="preserve">      </w:t>
      </w:r>
      <w:r>
        <w:rPr>
          <w:rFonts w:eastAsia="宋体"/>
          <w:color w:val="000000"/>
          <w:highlight w:val="none"/>
        </w:rPr>
        <w:t xml:space="preserve">人，营业收入为</w:t>
      </w:r>
      <w:r>
        <w:rPr>
          <w:rFonts w:eastAsia="宋体"/>
          <w:color w:val="000000"/>
          <w:highlight w:val="none"/>
          <w:u w:val="single"/>
        </w:rPr>
        <w:t xml:space="preserve">     </w:t>
      </w:r>
      <w:r>
        <w:rPr>
          <w:rFonts w:eastAsia="宋体"/>
          <w:color w:val="000000"/>
          <w:highlight w:val="none"/>
        </w:rPr>
        <w:t xml:space="preserve">万元，资产总额为</w:t>
      </w:r>
      <w:r>
        <w:rPr>
          <w:rFonts w:eastAsia="宋体"/>
          <w:color w:val="000000"/>
          <w:highlight w:val="none"/>
          <w:u w:val="single"/>
        </w:rPr>
        <w:t xml:space="preserve">      </w:t>
      </w:r>
      <w:r>
        <w:rPr>
          <w:rFonts w:eastAsia="宋体"/>
          <w:color w:val="000000"/>
          <w:highlight w:val="none"/>
        </w:rPr>
        <w:t xml:space="preserve">万元，属于</w:t>
      </w:r>
      <w:r>
        <w:rPr>
          <w:rFonts w:eastAsia="宋体"/>
          <w:color w:val="000000"/>
          <w:highlight w:val="none"/>
          <w:u w:val="single"/>
        </w:rPr>
        <w:t xml:space="preserve">（中型企业、小型企业、微型企业）；</w:t>
      </w:r>
      <w:r>
        <w:rPr>
          <w:rFonts w:eastAsia="宋体"/>
          <w:color w:val="000000"/>
          <w:highlight w:val="none"/>
          <w:u w:val="single"/>
        </w:rPr>
      </w:r>
      <w:r/>
    </w:p>
    <w:p>
      <w:pPr>
        <w:pStyle w:val="1376"/>
        <w:ind w:firstLine="480"/>
        <w:spacing w:line="440" w:lineRule="exact"/>
        <w:shd w:val="clear" w:color="auto" w:fill="auto"/>
        <w:rPr>
          <w:rFonts w:eastAsia="宋体"/>
          <w:color w:val="000000"/>
          <w:highlight w:val="none"/>
        </w:rPr>
      </w:pPr>
      <w:r>
        <w:rPr>
          <w:rFonts w:eastAsia="宋体"/>
          <w:color w:val="000000"/>
          <w:highlight w:val="none"/>
        </w:rPr>
        <w:t xml:space="preserve">以上企业，不属于大企业的分支机构，不存在控股股东为大企业的情形，也不存在与大企业的负责人为同一人的情形。 </w:t>
      </w:r>
      <w:r>
        <w:rPr>
          <w:rFonts w:eastAsia="宋体"/>
          <w:color w:val="000000"/>
          <w:highlight w:val="none"/>
        </w:rPr>
      </w:r>
      <w:r/>
    </w:p>
    <w:p>
      <w:pPr>
        <w:pStyle w:val="1376"/>
        <w:ind w:firstLine="480"/>
        <w:spacing w:line="440" w:lineRule="exact"/>
        <w:shd w:val="clear" w:color="auto" w:fill="auto"/>
        <w:rPr>
          <w:rFonts w:eastAsia="宋体"/>
          <w:color w:val="000000"/>
          <w:highlight w:val="none"/>
        </w:rPr>
      </w:pPr>
      <w:r>
        <w:rPr>
          <w:rFonts w:eastAsia="宋体"/>
          <w:color w:val="000000"/>
          <w:highlight w:val="none"/>
        </w:rPr>
        <w:t xml:space="preserve">本企业对上述声明内容的真实性负责。如有虚假，将依法承担相应责任。 </w:t>
      </w:r>
      <w:r>
        <w:rPr>
          <w:rFonts w:eastAsia="宋体"/>
          <w:color w:val="000000"/>
          <w:highlight w:val="none"/>
        </w:rPr>
      </w:r>
      <w:r/>
    </w:p>
    <w:p>
      <w:pPr>
        <w:pStyle w:val="1376"/>
        <w:ind w:firstLine="480"/>
        <w:spacing w:line="440" w:lineRule="exact"/>
        <w:shd w:val="clear" w:color="auto" w:fill="auto"/>
        <w:rPr>
          <w:rFonts w:eastAsia="宋体"/>
          <w:color w:val="000000"/>
          <w:highlight w:val="none"/>
        </w:rPr>
      </w:pPr>
      <w:r>
        <w:rPr>
          <w:rFonts w:eastAsia="宋体"/>
          <w:color w:val="000000"/>
          <w:highlight w:val="none"/>
        </w:rPr>
        <w:t xml:space="preserve">企业名称（盖章）：   </w:t>
      </w:r>
      <w:r>
        <w:rPr>
          <w:rFonts w:eastAsia="宋体"/>
          <w:color w:val="000000"/>
          <w:highlight w:val="none"/>
        </w:rPr>
      </w:r>
      <w:r/>
    </w:p>
    <w:p>
      <w:pPr>
        <w:pStyle w:val="1376"/>
        <w:ind w:firstLine="480"/>
        <w:spacing w:line="440" w:lineRule="exact"/>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376"/>
        <w:ind w:firstLine="480"/>
        <w:spacing w:line="440" w:lineRule="exact"/>
        <w:shd w:val="clear" w:color="auto" w:fill="auto"/>
        <w:rPr>
          <w:rFonts w:eastAsia="宋体"/>
          <w:color w:val="000000"/>
          <w:highlight w:val="none"/>
        </w:rPr>
      </w:pPr>
      <w:r>
        <w:rPr>
          <w:rFonts w:eastAsia="宋体"/>
          <w:color w:val="000000"/>
          <w:highlight w:val="none"/>
        </w:rPr>
      </w:r>
      <w:r/>
    </w:p>
    <w:p>
      <w:pPr>
        <w:pStyle w:val="1376"/>
        <w:ind w:firstLine="480"/>
        <w:spacing w:line="440" w:lineRule="exact"/>
        <w:rPr>
          <w:rFonts w:eastAsia="宋体"/>
        </w:rPr>
      </w:pPr>
      <w:r>
        <w:rPr>
          <w:rFonts w:eastAsia="宋体"/>
        </w:rPr>
        <w:t xml:space="preserve">注：供应商对照</w:t>
      </w:r>
      <w:r>
        <w:rPr>
          <w:rFonts w:eastAsia="宋体"/>
          <w:spacing w:val="7"/>
        </w:rPr>
        <w:t xml:space="preserve">《关于印发金融业企业划型标准规定的通知》（银发〔2015〕309号）规定，适用的行业包括：金融服务、资本市场服务、保险业、其他金融业。</w:t>
      </w:r>
      <w:r>
        <w:rPr>
          <w:rFonts w:eastAsia="宋体"/>
        </w:rPr>
        <w:t xml:space="preserve">明确标的承接企业所属企业类型。</w:t>
      </w:r>
      <w:r>
        <w:rPr>
          <w:rFonts w:eastAsia="宋体"/>
        </w:rPr>
      </w:r>
      <w:r/>
    </w:p>
    <w:p>
      <w:pPr>
        <w:pStyle w:val="1376"/>
        <w:ind w:firstLine="480"/>
        <w:spacing w:line="440" w:lineRule="exact"/>
        <w:rPr>
          <w:rFonts w:eastAsia="宋体"/>
        </w:rPr>
      </w:pPr>
      <w:r>
        <w:rPr>
          <w:rFonts w:eastAsia="宋体"/>
        </w:rPr>
        <w:t xml:space="preserve">备注：1.从业人员、营业收入、资产总额填报上一年度数据，无上一年度数据的新成立企业可不填报。</w:t>
      </w:r>
      <w:r>
        <w:rPr>
          <w:rFonts w:eastAsia="宋体"/>
        </w:rPr>
      </w:r>
      <w:r/>
    </w:p>
    <w:p>
      <w:pPr>
        <w:pStyle w:val="1376"/>
        <w:ind w:firstLine="480"/>
        <w:spacing w:line="440" w:lineRule="exact"/>
        <w:rPr>
          <w:rFonts w:eastAsia="宋体"/>
          <w:b/>
          <w:bCs/>
        </w:rPr>
      </w:pPr>
      <w:r>
        <w:rPr>
          <w:rFonts w:eastAsia="宋体"/>
        </w:rPr>
        <w:t xml:space="preserve">2.在服务采购项目中，服务由中小企业承接，即提供服务的人员为中小企业依照《中华人民共和国劳动合同法》订立劳动合同的从业人员。</w:t>
      </w:r>
      <w:r>
        <w:rPr>
          <w:rFonts w:eastAsia="宋体"/>
          <w:b/>
          <w:bCs/>
        </w:rPr>
        <w:t xml:space="preserve">服务类项目中供应商若使用退休人员，将不享受相应扶持政策。</w:t>
      </w:r>
      <w:r>
        <w:rPr>
          <w:rFonts w:eastAsia="宋体"/>
          <w:b/>
          <w:bCs/>
        </w:rPr>
      </w:r>
      <w:r/>
    </w:p>
    <w:p>
      <w:pPr>
        <w:pStyle w:val="1376"/>
        <w:ind w:firstLine="480"/>
        <w:spacing w:line="440" w:lineRule="exact"/>
        <w:shd w:val="clear" w:color="auto" w:fill="auto"/>
        <w:rPr>
          <w:rFonts w:eastAsia="宋体"/>
          <w:color w:val="000000"/>
          <w:highlight w:val="none"/>
        </w:rPr>
      </w:pPr>
      <w:r>
        <w:rPr>
          <w:rFonts w:eastAsia="宋体"/>
        </w:rPr>
        <w:t xml:space="preserve">3.在货物类采购项目中，主要标的物由中小企业制造，即提供制造商为中小企业的相关从业人员、营业收入、资产总额数据。</w:t>
      </w:r>
      <w:r>
        <w:rPr>
          <w:rFonts w:eastAsia="宋体"/>
          <w:color w:val="000000"/>
          <w:highlight w:val="none"/>
        </w:rPr>
      </w:r>
      <w:r/>
    </w:p>
    <w:p>
      <w:pPr>
        <w:pStyle w:val="1376"/>
        <w:spacing w:line="440" w:lineRule="exact"/>
        <w:shd w:val="clear" w:color="auto" w:fill="auto"/>
        <w:rPr>
          <w:rFonts w:eastAsia="宋体"/>
          <w:color w:val="000000"/>
          <w:highlight w:val="none"/>
        </w:rPr>
      </w:pPr>
      <w:r>
        <w:rPr>
          <w:rFonts w:eastAsia="宋体"/>
          <w:color w:val="000000"/>
          <w:highlight w:val="none"/>
        </w:rPr>
      </w:r>
      <w:r/>
    </w:p>
    <w:p>
      <w:pPr>
        <w:pStyle w:val="1376"/>
        <w:spacing w:line="440" w:lineRule="exact"/>
        <w:shd w:val="clear" w:color="auto" w:fill="auto"/>
        <w:rPr>
          <w:rFonts w:eastAsia="宋体"/>
          <w:color w:val="000000"/>
          <w:highlight w:val="none"/>
        </w:rPr>
      </w:pPr>
      <w:r>
        <w:rPr>
          <w:rFonts w:eastAsia="宋体"/>
          <w:color w:val="000000"/>
          <w:highlight w:val="none"/>
        </w:rPr>
      </w:r>
      <w:r/>
    </w:p>
    <w:p>
      <w:pPr>
        <w:pStyle w:val="1376"/>
        <w:spacing w:before="240" w:after="240"/>
        <w:shd w:val="clear" w:color="auto" w:fill="auto"/>
        <w:rPr>
          <w:rFonts w:eastAsia="宋体"/>
          <w:color w:val="000000"/>
          <w:highlight w:val="none"/>
        </w:rPr>
      </w:pPr>
      <w:r>
        <w:rPr>
          <w:rFonts w:eastAsia="宋体"/>
          <w:color w:val="000000"/>
          <w:highlight w:val="none"/>
        </w:rPr>
        <w:t xml:space="preserve">附：中小企业划型标准规定</w:t>
      </w:r>
      <w:r>
        <w:rPr>
          <w:rFonts w:eastAsia="宋体"/>
          <w:color w:val="000000"/>
          <w:highlight w:val="none"/>
        </w:rPr>
      </w:r>
      <w:r/>
    </w:p>
    <w:p>
      <w:pPr>
        <w:pStyle w:val="1377"/>
        <w:ind w:firstLine="480"/>
        <w:spacing w:line="440" w:lineRule="exact"/>
        <w:rPr>
          <w:rFonts w:eastAsia="宋体"/>
        </w:rPr>
      </w:pPr>
      <w:r>
        <w:rPr>
          <w:rFonts w:eastAsia="宋体"/>
        </w:rPr>
        <w:t xml:space="preserve">（一）银行业存款类金融机构。资产总额40000亿元以下的 为中小微型企业。其中，资产总额5000亿元及以上的为中型企业， 资产总额50亿元及以上的为小型企业，资产总额50亿元以下的 为微型企业。</w:t>
      </w:r>
      <w:r>
        <w:rPr>
          <w:rFonts w:eastAsia="宋体"/>
        </w:rPr>
      </w:r>
      <w:r/>
    </w:p>
    <w:p>
      <w:pPr>
        <w:pStyle w:val="1377"/>
        <w:ind w:firstLine="480"/>
        <w:spacing w:line="440" w:lineRule="exact"/>
        <w:rPr>
          <w:rFonts w:eastAsia="宋体"/>
        </w:rPr>
      </w:pPr>
      <w:r>
        <w:rPr>
          <w:rFonts w:eastAsia="宋体"/>
        </w:rPr>
        <w:t xml:space="preserve">（二）银行业非存款类金融机构。资产总额1000亿元以下 的为中小微型企业。其中，资产总额200亿元及以上的为中型企 业，资产总额50亿元及以上的为小型企业，资产总额50亿元以 下的为微型企业。</w:t>
      </w:r>
      <w:r>
        <w:rPr>
          <w:rFonts w:eastAsia="宋体"/>
        </w:rPr>
      </w:r>
      <w:r/>
    </w:p>
    <w:p>
      <w:pPr>
        <w:pStyle w:val="1377"/>
        <w:ind w:firstLine="480"/>
        <w:spacing w:line="440" w:lineRule="exact"/>
        <w:rPr>
          <w:rFonts w:eastAsia="宋体"/>
        </w:rPr>
      </w:pPr>
      <w:r>
        <w:rPr>
          <w:rFonts w:eastAsia="宋体"/>
        </w:rPr>
        <w:t xml:space="preserve">（三）贷款公司、小额贷款公司及典当行。资产总额1000 亿元以下的为中小微型企业。其中，资产总额200亿元及以上的 为中型企业，资产总额50亿元及以上的为小型企业，资产总额 50亿元以下的为微型企业。</w:t>
      </w:r>
      <w:r>
        <w:rPr>
          <w:rFonts w:eastAsia="宋体"/>
        </w:rPr>
      </w:r>
      <w:r/>
    </w:p>
    <w:p>
      <w:pPr>
        <w:pStyle w:val="1377"/>
        <w:ind w:firstLine="480"/>
        <w:spacing w:line="440" w:lineRule="exact"/>
        <w:rPr>
          <w:rFonts w:eastAsia="宋体"/>
        </w:rPr>
      </w:pPr>
      <w:r>
        <w:rPr>
          <w:rFonts w:eastAsia="宋体"/>
        </w:rPr>
        <w:t xml:space="preserve">（四）证券业金融机构。资产总额1000亿元以下的为中小 微型企业。其中，资产总额100亿元及以上的为中型企业，资产 总额10亿元及以上的为小型企业，资产总额10亿元以下的为微 型企业。</w:t>
      </w:r>
      <w:r>
        <w:rPr>
          <w:rFonts w:eastAsia="宋体"/>
        </w:rPr>
      </w:r>
      <w:r/>
    </w:p>
    <w:p>
      <w:pPr>
        <w:pStyle w:val="1377"/>
        <w:ind w:firstLine="480"/>
        <w:spacing w:line="440" w:lineRule="exact"/>
        <w:rPr>
          <w:rFonts w:eastAsia="宋体"/>
        </w:rPr>
      </w:pPr>
      <w:r>
        <w:rPr>
          <w:rFonts w:eastAsia="宋体"/>
        </w:rPr>
        <w:t xml:space="preserve">（五）保险业金融机构。资产总额5000亿元以下的为中小 微型企业。其中，资产总额400亿元及以上的为中型企业，资产 总额20亿元及以上的为小型企业，资产总额20亿元以下的为微 型企业 。</w:t>
      </w:r>
      <w:r>
        <w:rPr>
          <w:rFonts w:eastAsia="宋体"/>
        </w:rPr>
      </w:r>
      <w:r/>
    </w:p>
    <w:p>
      <w:pPr>
        <w:pStyle w:val="1377"/>
        <w:ind w:firstLine="480"/>
        <w:spacing w:line="440" w:lineRule="exact"/>
        <w:rPr>
          <w:rFonts w:eastAsia="宋体"/>
        </w:rPr>
      </w:pPr>
      <w:r>
        <w:rPr>
          <w:rFonts w:eastAsia="宋体"/>
        </w:rPr>
        <w:t xml:space="preserve">（六）信托公司。信托资产1000亿元以下的为中小微型企 业。其中，信托资产400亿元及以上的为中型企业，信托资产20 亿元及以上的为小型企业，信托资产20亿元以下的为微型企业。</w:t>
      </w:r>
      <w:r>
        <w:rPr>
          <w:rFonts w:eastAsia="宋体"/>
        </w:rPr>
      </w:r>
      <w:r/>
    </w:p>
    <w:p>
      <w:pPr>
        <w:pStyle w:val="1377"/>
        <w:ind w:firstLine="480"/>
        <w:spacing w:line="440" w:lineRule="exact"/>
        <w:rPr>
          <w:rFonts w:eastAsia="宋体"/>
        </w:rPr>
      </w:pPr>
      <w:r>
        <w:rPr>
          <w:rFonts w:eastAsia="宋体"/>
        </w:rPr>
        <w:t xml:space="preserve">（七）金融控股公司。资产总额40000亿元以下的为中小微 型企业。其中，资产总额5000亿元及以上的为中型企业，资产总 额50亿元及以上的为小型企业，资产总额50亿元以下的为微型 企 业 。</w:t>
      </w:r>
      <w:r>
        <w:rPr>
          <w:rFonts w:eastAsia="宋体"/>
        </w:rPr>
      </w:r>
      <w:r/>
    </w:p>
    <w:p>
      <w:pPr>
        <w:pStyle w:val="1377"/>
        <w:shd w:val="clear" w:color="auto" w:fill="auto"/>
        <w:rPr>
          <w:rFonts w:eastAsia="宋体"/>
          <w:color w:val="000000"/>
          <w:highlight w:val="none"/>
        </w:rPr>
        <w:outlineLvl w:val="2"/>
      </w:pPr>
      <w:r>
        <w:rPr>
          <w:rFonts w:eastAsia="宋体"/>
        </w:rPr>
        <w:t xml:space="preserve">（八）除贷款公司、小额贷款公司、典当行以外的其他金融 机构。资产总额1000亿元以下的为中小微型企业。其中，资产总 额200亿元及以上的为中型企业，资产总额50亿元及以上的为 小型企业，资产总额50亿元以下的为微型企业。</w:t>
      </w:r>
      <w:r>
        <w:rPr>
          <w:rFonts w:eastAsia="宋体"/>
          <w:color w:val="000000"/>
          <w:highlight w:val="none"/>
        </w:rPr>
        <w:br w:type="page" w:clear="all"/>
      </w:r>
      <w:r>
        <w:rPr>
          <w:rFonts w:eastAsia="宋体"/>
          <w:b/>
          <w:color w:val="000000"/>
          <w:sz w:val="28"/>
          <w:highlight w:val="none"/>
        </w:rPr>
        <w:t xml:space="preserve">  残疾人福利性单位声明函</w:t>
      </w:r>
      <w:r>
        <w:rPr>
          <w:rFonts w:eastAsia="宋体"/>
          <w:color w:val="000000"/>
          <w:highlight w:val="none"/>
        </w:rPr>
      </w:r>
      <w:r/>
    </w:p>
    <w:p>
      <w:pPr>
        <w:pStyle w:val="1378"/>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jc w:val="center"/>
        <w:spacing w:before="320" w:after="320"/>
        <w:shd w:val="clear" w:color="auto" w:fill="auto"/>
        <w:rPr>
          <w:rFonts w:eastAsia="宋体"/>
          <w:b/>
          <w:bCs/>
          <w:color w:val="000000"/>
          <w:sz w:val="32"/>
          <w:szCs w:val="32"/>
          <w:highlight w:val="none"/>
        </w:rPr>
      </w:pPr>
      <w:r>
        <w:rPr>
          <w:rFonts w:eastAsia="宋体"/>
          <w:b/>
          <w:bCs/>
          <w:color w:val="000000"/>
          <w:sz w:val="32"/>
          <w:szCs w:val="32"/>
          <w:highlight w:val="none"/>
        </w:rPr>
        <w:t xml:space="preserve"> </w:t>
      </w:r>
      <w:r>
        <w:rPr>
          <w:rFonts w:eastAsia="宋体"/>
          <w:b/>
          <w:bCs/>
          <w:color w:val="000000"/>
          <w:sz w:val="32"/>
          <w:szCs w:val="32"/>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残疾人福利性单位声明函</w:t>
      </w:r>
      <w:r>
        <w:rPr>
          <w:rFonts w:eastAsia="宋体"/>
          <w:color w:val="000000"/>
          <w:sz w:val="32"/>
          <w:szCs w:val="32"/>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jc w:val="center"/>
        <w:spacing w:before="320" w:after="320"/>
        <w:shd w:val="clear" w:color="auto" w:fill="auto"/>
        <w:rPr>
          <w:rFonts w:eastAsia="宋体"/>
          <w:color w:val="000000"/>
          <w:sz w:val="32"/>
          <w:szCs w:val="32"/>
          <w:highlight w:val="none"/>
        </w:rPr>
      </w:pPr>
      <w:r>
        <w:rPr>
          <w:rFonts w:eastAsia="宋体"/>
          <w:color w:val="000000"/>
          <w:sz w:val="32"/>
          <w:szCs w:val="32"/>
          <w:highlight w:val="none"/>
        </w:rPr>
        <w:t xml:space="preserve"> </w:t>
      </w:r>
      <w:r>
        <w:rPr>
          <w:rFonts w:eastAsia="宋体"/>
          <w:color w:val="000000"/>
          <w:sz w:val="32"/>
          <w:szCs w:val="32"/>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本单位对上述声明的真实性负责。如有虚假，将依法承担相应责任。</w:t>
      </w:r>
      <w:r>
        <w:rPr>
          <w:rFonts w:eastAsia="宋体"/>
          <w:color w:val="000000"/>
          <w:highlight w:val="none"/>
        </w:rPr>
      </w:r>
      <w:r/>
    </w:p>
    <w:p>
      <w:pPr>
        <w:pStyle w:val="1378"/>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jc w:val="center"/>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单位名称（盖章）：   </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日期：   </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注：1、符合《关于促进残疾人就业政府采购政策的通知》（财库〔2017〕141号）规定条件的残疾人福利性单位在参加政府采购活动时，应当提供《残疾人福利性单位声明函》，并对声明的真实性负责。</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供应商提供的《残疾人福利性单位声明函》与事实不符的，依照《政府采购法》第七十七条第一款的规定追究法律责任。</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中标、成交供应商为残疾人福利性单位的，采购人或者其委托的采购代理机构应当随中标、成交结果同时公告其《残疾人福利性单位声明函》，接受社会监督。</w:t>
      </w:r>
      <w:r>
        <w:rPr>
          <w:rFonts w:eastAsia="宋体"/>
          <w:color w:val="000000"/>
          <w:highlight w:val="none"/>
        </w:rPr>
      </w:r>
      <w:r/>
    </w:p>
    <w:p>
      <w:pPr>
        <w:pStyle w:val="1378"/>
        <w:spacing w:before="240" w:after="240"/>
        <w:shd w:val="clear" w:color="auto" w:fill="auto"/>
        <w:rPr>
          <w:rFonts w:eastAsia="宋体"/>
          <w:color w:val="000000"/>
          <w:highlight w:val="none"/>
        </w:rPr>
      </w:pPr>
      <w:r>
        <w:rPr>
          <w:rFonts w:eastAsia="宋体"/>
          <w:color w:val="000000"/>
          <w:highlight w:val="none"/>
        </w:rPr>
        <w:t xml:space="preserve">2、若供应商对照《关于促进残疾人就业政府采购政策的通知》（财库〔2017〕141号）中的规定，明确不符合残疾人福利性单位条件的，则无需提供此声明函。 </w:t>
      </w:r>
      <w:r>
        <w:rPr>
          <w:rFonts w:eastAsia="宋体"/>
          <w:color w:val="000000"/>
          <w:highlight w:val="none"/>
        </w:rPr>
      </w:r>
      <w:r/>
    </w:p>
    <w:p>
      <w:pPr>
        <w:pStyle w:val="1379"/>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监狱企业的证明文件</w:t>
      </w:r>
      <w:r>
        <w:rPr>
          <w:rFonts w:eastAsia="宋体"/>
          <w:color w:val="000000"/>
          <w:highlight w:val="none"/>
        </w:rPr>
      </w:r>
      <w:r/>
    </w:p>
    <w:p>
      <w:pPr>
        <w:pStyle w:val="1380"/>
        <w:jc w:val="center"/>
        <w:shd w:val="clear" w:color="auto" w:fill="auto"/>
        <w:rPr>
          <w:rFonts w:ascii="Times New Roman" w:hAnsi="Times New Roman"/>
          <w:color w:val="000000"/>
          <w:sz w:val="32"/>
          <w:szCs w:val="32"/>
          <w:highlight w:val="none"/>
        </w:rPr>
      </w:pPr>
      <w:r>
        <w:rPr>
          <w:rFonts w:ascii="Times New Roman" w:hAnsi="Times New Roman"/>
          <w:color w:val="000000"/>
          <w:sz w:val="32"/>
          <w:szCs w:val="32"/>
          <w:highlight w:val="none"/>
        </w:rPr>
        <w:t xml:space="preserve">监狱企业的证明文件</w:t>
      </w:r>
      <w:r>
        <w:rPr>
          <w:rFonts w:ascii="Times New Roman" w:hAnsi="Times New Roman"/>
          <w:color w:val="000000"/>
          <w:sz w:val="32"/>
          <w:szCs w:val="32"/>
          <w:highlight w:val="none"/>
        </w:rPr>
      </w:r>
      <w:r/>
    </w:p>
    <w:p>
      <w:pPr>
        <w:pStyle w:val="1380"/>
        <w:shd w:val="clear" w:color="auto" w:fill="auto"/>
        <w:rPr>
          <w:rFonts w:ascii="Times New Roman" w:hAnsi="Times New Roman"/>
          <w:color w:val="000000"/>
          <w:highlight w:val="none"/>
        </w:rPr>
      </w:pPr>
      <w:r>
        <w:rPr>
          <w:rFonts w:ascii="Times New Roman" w:hAnsi="Times New Roman"/>
          <w:color w:val="000000"/>
          <w:highlight w:val="none"/>
        </w:rPr>
      </w:r>
      <w:r/>
    </w:p>
    <w:p>
      <w:pPr>
        <w:pStyle w:val="138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Times New Roman" w:hAnsi="Times New Roman"/>
          <w:color w:val="000000"/>
          <w:sz w:val="24"/>
          <w:szCs w:val="24"/>
          <w:highlight w:val="none"/>
        </w:rPr>
      </w:r>
      <w:r/>
    </w:p>
    <w:p>
      <w:pPr>
        <w:pStyle w:val="1380"/>
        <w:shd w:val="clear" w:color="auto" w:fill="auto"/>
        <w:rPr>
          <w:rFonts w:ascii="Times New Roman" w:hAnsi="Times New Roman"/>
          <w:color w:val="000000"/>
          <w:highlight w:val="none"/>
        </w:rPr>
      </w:pPr>
      <w:r>
        <w:rPr>
          <w:rFonts w:ascii="Times New Roman" w:hAnsi="Times New Roman"/>
          <w:color w:val="000000"/>
          <w:highlight w:val="none"/>
        </w:rPr>
        <w:t xml:space="preserve">      </w:t>
      </w:r>
      <w:r>
        <w:rPr>
          <w:rFonts w:ascii="Times New Roman" w:hAnsi="Times New Roman"/>
          <w:color w:val="000000"/>
          <w:highlight w:val="none"/>
        </w:rPr>
      </w:r>
      <w:r/>
    </w:p>
    <w:p>
      <w:pPr>
        <w:pStyle w:val="1380"/>
        <w:ind w:firstLine="480"/>
        <w:spacing w:line="440" w:lineRule="exact"/>
        <w:shd w:val="clear" w:color="auto" w:fill="auto"/>
        <w:rPr>
          <w:rFonts w:ascii="Times New Roman" w:hAnsi="Times New Roman"/>
          <w:color w:val="000000"/>
          <w:sz w:val="24"/>
          <w:szCs w:val="24"/>
          <w:highlight w:val="none"/>
        </w:rPr>
      </w:pPr>
      <w:r>
        <w:rPr>
          <w:rFonts w:ascii="Times New Roman" w:hAnsi="Times New Roman"/>
          <w:color w:val="000000"/>
          <w:sz w:val="24"/>
          <w:szCs w:val="24"/>
          <w:highlight w:val="none"/>
        </w:rPr>
        <w:t xml:space="preserve">2、若供应商对照《关于政府采购支持监狱企业发展有关问题的通知》（财库〔2014〕68号）中的规定，明确不符合监狱企业条件的，则无需提供相关证明文件。 </w:t>
      </w:r>
      <w:r>
        <w:rPr>
          <w:rFonts w:ascii="Times New Roman" w:hAnsi="Times New Roman"/>
          <w:color w:val="000000"/>
          <w:sz w:val="24"/>
          <w:szCs w:val="24"/>
          <w:highlight w:val="none"/>
        </w:rPr>
      </w:r>
      <w:r/>
    </w:p>
    <w:p>
      <w:pPr>
        <w:pStyle w:val="1380"/>
        <w:shd w:val="clear" w:color="auto" w:fill="auto"/>
        <w:rPr>
          <w:rFonts w:ascii="Times New Roman" w:hAnsi="Times New Roman"/>
          <w:color w:val="000000"/>
          <w:highlight w:val="none"/>
        </w:rPr>
      </w:pPr>
      <w:r>
        <w:rPr>
          <w:rFonts w:ascii="Times New Roman" w:hAnsi="Times New Roman"/>
          <w:color w:val="000000"/>
          <w:highlight w:val="none"/>
        </w:rPr>
      </w:r>
      <w:r/>
    </w:p>
    <w:p>
      <w:pPr>
        <w:pStyle w:val="1380"/>
        <w:shd w:val="clear" w:color="auto" w:fill="auto"/>
        <w:rPr>
          <w:rFonts w:ascii="Times New Roman" w:hAnsi="Times New Roman"/>
          <w:color w:val="000000"/>
          <w:highlight w:val="none"/>
        </w:rPr>
      </w:pPr>
      <w:r>
        <w:rPr>
          <w:rFonts w:ascii="Times New Roman" w:hAnsi="Times New Roman"/>
          <w:color w:val="000000"/>
          <w:highlight w:val="none"/>
        </w:rPr>
        <w:t xml:space="preserve"> </w:t>
      </w:r>
      <w:r>
        <w:rPr>
          <w:rFonts w:ascii="Times New Roman" w:hAnsi="Times New Roman"/>
          <w:color w:val="000000"/>
          <w:highlight w:val="none"/>
        </w:rPr>
      </w:r>
      <w:r/>
    </w:p>
    <w:p>
      <w:pPr>
        <w:pStyle w:val="1383"/>
        <w:shd w:val="clear" w:color="auto" w:fill="auto"/>
        <w:rPr>
          <w:rFonts w:eastAsia="宋体"/>
          <w:color w:val="000000"/>
          <w:highlight w:val="none"/>
        </w:rPr>
        <w:outlineLvl w:val="1"/>
      </w:pPr>
      <w:r>
        <w:rPr>
          <w:rFonts w:eastAsia="宋体"/>
          <w:color w:val="000000"/>
          <w:highlight w:val="none"/>
        </w:rPr>
        <w:br w:type="page" w:clear="all"/>
      </w:r>
      <w:bookmarkStart w:id="104" w:name="_Toc209797865"/>
      <w:r>
        <w:rPr>
          <w:rFonts w:eastAsia="宋体"/>
          <w:b/>
          <w:color w:val="000000"/>
          <w:sz w:val="32"/>
          <w:highlight w:val="none"/>
        </w:rPr>
        <w:t xml:space="preserve">六、第四章项目需求中实质性要求响应对照表</w:t>
      </w:r>
      <w:bookmarkEnd w:id="104"/>
      <w:r>
        <w:rPr>
          <w:rFonts w:eastAsia="宋体"/>
          <w:color w:val="000000"/>
          <w:highlight w:val="none"/>
        </w:rPr>
      </w:r>
      <w:r/>
    </w:p>
    <w:p>
      <w:pPr>
        <w:pStyle w:val="1384"/>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84"/>
        <w:jc w:val="center"/>
        <w:spacing w:before="400" w:after="400" w:line="300" w:lineRule="auto"/>
        <w:shd w:val="clear" w:color="auto" w:fill="auto"/>
        <w:rPr>
          <w:rFonts w:eastAsia="宋体"/>
          <w:b/>
          <w:bCs/>
          <w:color w:val="000000"/>
          <w:sz w:val="40"/>
          <w:szCs w:val="40"/>
          <w:highlight w:val="none"/>
        </w:rPr>
      </w:pPr>
      <w:r/>
      <w:bookmarkStart w:id="105" w:name="_Hlk162955391"/>
      <w:r/>
      <w:bookmarkStart w:id="106" w:name="_Hlk173957647"/>
      <w:r>
        <w:rPr>
          <w:rFonts w:eastAsia="宋体"/>
          <w:b/>
          <w:bCs/>
          <w:color w:val="000000"/>
          <w:sz w:val="40"/>
          <w:szCs w:val="40"/>
          <w:highlight w:val="none"/>
        </w:rPr>
        <w:t xml:space="preserve">第四章项目需求中实质性要求响应对照表 </w:t>
      </w:r>
      <w:r>
        <w:rPr>
          <w:rFonts w:eastAsia="宋体"/>
          <w:b/>
          <w:bCs/>
          <w:color w:val="000000"/>
          <w:sz w:val="40"/>
          <w:szCs w:val="40"/>
          <w:highlight w:val="none"/>
        </w:rPr>
      </w:r>
      <w:r/>
    </w:p>
    <w:p>
      <w:pPr>
        <w:pStyle w:val="1384"/>
        <w:spacing w:line="440" w:lineRule="exact"/>
        <w:shd w:val="clear" w:color="auto" w:fill="auto"/>
        <w:rPr>
          <w:rFonts w:hint="eastAsia" w:ascii="宋体" w:hAnsi="宋体" w:eastAsia="宋体" w:cs="宋体"/>
          <w:b/>
          <w:bCs/>
          <w:color w:val="000000"/>
          <w:highlight w:val="none"/>
        </w:rPr>
      </w:pPr>
      <w:r>
        <w:rPr>
          <w:rFonts w:eastAsia="宋体"/>
          <w:color w:val="000000"/>
          <w:highlight w:val="none"/>
        </w:rPr>
        <w:t xml:space="preserve"> </w:t>
      </w:r>
      <w:bookmarkStart w:id="107" w:name="_Toc23281"/>
      <w:r>
        <w:rPr>
          <w:rFonts w:ascii="宋体" w:hAnsi="宋体" w:eastAsia="宋体" w:cs="宋体"/>
          <w:b/>
          <w:bCs/>
          <w:color w:val="000000"/>
          <w:highlight w:val="none"/>
        </w:rPr>
        <w:t xml:space="preserve"> </w:t>
      </w:r>
      <w:r>
        <w:rPr>
          <w:rFonts w:hint="eastAsia" w:ascii="宋体" w:hAnsi="宋体" w:eastAsia="宋体" w:cs="宋体"/>
          <w:b/>
          <w:bCs/>
          <w:color w:val="000000"/>
          <w:highlight w:val="none"/>
        </w:rPr>
        <w:t xml:space="preserve">1、商务条款的实质性格式</w:t>
      </w:r>
      <w:r>
        <w:rPr>
          <w:rFonts w:ascii="宋体" w:hAnsi="宋体" w:eastAsia="宋体" w:cs="宋体"/>
          <w:b/>
          <w:bCs/>
          <w:color w:val="000000"/>
          <w:highlight w:val="none"/>
        </w:rPr>
        <w:t xml:space="preserve"> </w:t>
      </w:r>
      <w:r>
        <w:rPr>
          <w:rFonts w:hint="eastAsia" w:ascii="宋体" w:hAnsi="宋体" w:eastAsia="宋体" w:cs="宋体"/>
          <w:b/>
          <w:bCs/>
          <w:color w:val="000000"/>
          <w:highlight w:val="none"/>
        </w:rPr>
      </w:r>
      <w:r/>
    </w:p>
    <w:tbl>
      <w:tblPr>
        <w:tblW w:w="8019"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商务条款</w:t>
            </w:r>
            <w:r>
              <w:rPr>
                <w:rFonts w:ascii="宋体" w:hAnsi="宋体" w:eastAsia="宋体" w:cs="宋体"/>
                <w:color w:val="000000"/>
                <w:highlight w:val="none"/>
              </w:rPr>
              <w:t xml:space="preserve">的实质性要求</w:t>
            </w:r>
            <w:r>
              <w:rPr>
                <w:rFonts w:hint="eastAsia" w:ascii="宋体" w:hAnsi="宋体" w:eastAsia="宋体" w:cs="宋体"/>
                <w:color w:val="000000"/>
                <w:highlight w:val="none"/>
              </w:rPr>
            </w:r>
            <w:r/>
          </w:p>
          <w:p>
            <w:pPr>
              <w:pStyle w:val="1384"/>
              <w:jc w:val="center"/>
              <w:shd w:val="clear" w:color="auto" w:fill="auto"/>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50"/>
              <w:ind w:firstLine="500"/>
              <w:spacing w:line="440" w:lineRule="exact"/>
              <w:shd w:val="clear" w:color="auto" w:fill="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662"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50"/>
              <w:ind w:firstLine="50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444" w:type="dxa"/>
            <w:vAlign w:val="center"/>
            <w:textDirection w:val="lrTb"/>
            <w:noWrap w:val="false"/>
          </w:tcPr>
          <w:p>
            <w:pPr>
              <w:pStyle w:val="1350"/>
              <w:spacing w:line="440" w:lineRule="exact"/>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Mar>
              <w:left w:w="0" w:type="dxa"/>
              <w:top w:w="0" w:type="dxa"/>
              <w:right w:w="0" w:type="dxa"/>
              <w:bottom w:w="0" w:type="dxa"/>
            </w:tcMar>
            <w:tcW w:w="1662"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409"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90"/>
        <w:spacing w:line="44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90"/>
        <w:spacing w:line="44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对商务</w:t>
      </w:r>
      <w:r>
        <w:rPr>
          <w:rFonts w:hint="eastAsia" w:ascii="宋体" w:hAnsi="宋体"/>
          <w:color w:val="000000"/>
          <w:sz w:val="24"/>
          <w:szCs w:val="24"/>
          <w:highlight w:val="none"/>
        </w:rPr>
        <w:t xml:space="preserve">条款</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bookmarkEnd w:id="107"/>
      <w:r>
        <w:rPr>
          <w:rFonts w:hint="eastAsia" w:ascii="宋体" w:hAnsi="宋体"/>
          <w:color w:val="000000"/>
          <w:sz w:val="24"/>
          <w:szCs w:val="24"/>
          <w:highlight w:val="none"/>
        </w:rPr>
      </w:r>
      <w:r/>
    </w:p>
    <w:p>
      <w:pPr>
        <w:pStyle w:val="1384"/>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0"/>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384"/>
        <w:ind w:firstLine="482"/>
        <w:shd w:val="clear" w:color="auto" w:fill="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2、技术要求的实质性格式</w:t>
      </w:r>
      <w:r>
        <w:rPr>
          <w:rFonts w:hint="eastAsia" w:ascii="宋体" w:hAnsi="宋体" w:eastAsia="宋体" w:cs="宋体"/>
          <w:b/>
          <w:bCs/>
          <w:color w:val="000000"/>
          <w:highlight w:val="none"/>
        </w:rPr>
      </w:r>
      <w:r/>
    </w:p>
    <w:tbl>
      <w:tblPr>
        <w:tblW w:w="8052"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74"/>
        <w:gridCol w:w="4510"/>
        <w:gridCol w:w="1534"/>
        <w:gridCol w:w="1534"/>
      </w:tblGrid>
      <w:tr>
        <w:trPr>
          <w:trHeight w:val="503"/>
        </w:trPr>
        <w:tc>
          <w:tcPr>
            <w:tcMar>
              <w:left w:w="0" w:type="dxa"/>
              <w:top w:w="0" w:type="dxa"/>
              <w:right w:w="0" w:type="dxa"/>
              <w:bottom w:w="0" w:type="dxa"/>
            </w:tcMar>
            <w:tcW w:w="47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ascii="宋体" w:hAnsi="宋体" w:eastAsia="宋体" w:cs="宋体"/>
                <w:color w:val="000000"/>
                <w:highlight w:val="none"/>
              </w:rPr>
              <w:t xml:space="preserve">序号</w:t>
            </w: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技术要求</w:t>
            </w:r>
            <w:r>
              <w:rPr>
                <w:rFonts w:ascii="宋体" w:hAnsi="宋体" w:eastAsia="宋体" w:cs="宋体"/>
                <w:color w:val="000000"/>
                <w:highlight w:val="none"/>
              </w:rPr>
              <w:t xml:space="preserve">的实质性要求</w:t>
            </w:r>
            <w:r>
              <w:rPr>
                <w:rFonts w:hint="eastAsia" w:ascii="宋体" w:hAnsi="宋体" w:eastAsia="宋体" w:cs="宋体"/>
                <w:color w:val="000000"/>
                <w:highlight w:val="none"/>
              </w:rPr>
            </w:r>
            <w:r/>
          </w:p>
          <w:p>
            <w:pPr>
              <w:pStyle w:val="1384"/>
              <w:jc w:val="center"/>
              <w:shd w:val="clear" w:color="auto" w:fill="auto"/>
              <w:rPr>
                <w:rFonts w:hint="eastAsia" w:ascii="宋体" w:hAnsi="宋体" w:eastAsia="宋体" w:cs="宋体"/>
                <w:color w:val="000000"/>
                <w:highlight w:val="none"/>
              </w:rPr>
            </w:pPr>
            <w:r>
              <w:rPr>
                <w:rFonts w:hint="eastAsia" w:ascii="宋体" w:hAnsi="宋体"/>
                <w:i/>
                <w:color w:val="000000"/>
                <w:highlight w:val="none"/>
                <w:u w:val="single"/>
              </w:rPr>
              <w:t xml:space="preserve">（加</w:t>
            </w:r>
            <w:r>
              <w:rPr>
                <w:rFonts w:ascii="宋体" w:hAnsi="宋体"/>
                <w:i/>
                <w:color w:val="000000"/>
                <w:highlight w:val="none"/>
                <w:u w:val="single"/>
              </w:rPr>
              <w:t xml:space="preserve">斜体下划线内容</w:t>
            </w:r>
            <w:r>
              <w:rPr>
                <w:rFonts w:hint="eastAsia" w:ascii="宋体" w:hAnsi="宋体"/>
                <w:i/>
                <w:color w:val="000000"/>
                <w:highlight w:val="none"/>
                <w:u w:val="single"/>
              </w:rPr>
              <w:t xml:space="preserve">）</w:t>
            </w: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投标响应情况</w:t>
            </w: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正偏离、符合或负偏离</w:t>
            </w: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84"/>
              <w:shd w:val="clear" w:color="auto" w:fill="auto"/>
              <w:rPr>
                <w:rFonts w:hint="eastAsia" w:ascii="宋体" w:hAnsi="宋体" w:eastAsia="宋体" w:cs="宋体"/>
                <w:i/>
                <w:color w:val="000000"/>
                <w:highlight w:val="none"/>
                <w:u w:val="single"/>
              </w:rPr>
            </w:pPr>
            <w:r>
              <w:rPr>
                <w:rFonts w:hint="eastAsia" w:ascii="宋体" w:hAnsi="宋体" w:eastAsia="宋体" w:cs="宋体"/>
                <w:i/>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84"/>
              <w:shd w:val="clear" w:color="auto" w:fill="auto"/>
              <w:rPr>
                <w:rFonts w:ascii="宋体" w:hAnsi="宋体" w:cs="宋体"/>
                <w:b/>
                <w:i/>
                <w:iCs/>
                <w:color w:val="000000"/>
                <w:highlight w:val="none"/>
                <w:u w:val="single"/>
              </w:rPr>
            </w:pPr>
            <w:r>
              <w:rPr>
                <w:rFonts w:ascii="宋体" w:hAnsi="宋体" w:cs="宋体"/>
                <w:b/>
                <w:i/>
                <w:iCs/>
                <w:color w:val="000000"/>
                <w:highlight w:val="none"/>
                <w:u w:val="singl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57"/>
        </w:trPr>
        <w:tc>
          <w:tcPr>
            <w:tcMar>
              <w:left w:w="0" w:type="dxa"/>
              <w:top w:w="0" w:type="dxa"/>
              <w:right w:w="0" w:type="dxa"/>
              <w:bottom w:w="0" w:type="dxa"/>
            </w:tcMar>
            <w:tcW w:w="47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84"/>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69"/>
        </w:trPr>
        <w:tc>
          <w:tcPr>
            <w:tcMar>
              <w:left w:w="0" w:type="dxa"/>
              <w:top w:w="0" w:type="dxa"/>
              <w:right w:w="0" w:type="dxa"/>
              <w:bottom w:w="0" w:type="dxa"/>
            </w:tcMar>
            <w:tcW w:w="47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4510" w:type="dxa"/>
            <w:vAlign w:val="center"/>
            <w:textDirection w:val="lrTb"/>
            <w:noWrap w:val="false"/>
          </w:tcPr>
          <w:p>
            <w:pPr>
              <w:pStyle w:val="1384"/>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Mar>
              <w:left w:w="0" w:type="dxa"/>
              <w:top w:w="0" w:type="dxa"/>
              <w:right w:w="0" w:type="dxa"/>
              <w:bottom w:w="0" w:type="dxa"/>
            </w:tcMar>
            <w:tcW w:w="1534" w:type="dxa"/>
            <w:vAlign w:val="center"/>
            <w:textDirection w:val="lrTb"/>
            <w:noWrap w:val="false"/>
          </w:tcPr>
          <w:p>
            <w:pPr>
              <w:pStyle w:val="1384"/>
              <w:jc w:val="center"/>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790"/>
        <w:spacing w:line="44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790"/>
        <w:spacing w:line="440" w:lineRule="exact"/>
        <w:shd w:val="clear" w:color="auto" w:fill="auto"/>
        <w:rPr>
          <w:rFonts w:hint="eastAsia" w:ascii="宋体" w:hAnsi="宋体"/>
          <w:color w:val="000000"/>
          <w:sz w:val="24"/>
          <w:szCs w:val="24"/>
          <w:highlight w:val="none"/>
        </w:rPr>
      </w:pPr>
      <w:r>
        <w:rPr>
          <w:rFonts w:hint="eastAsia" w:ascii="宋体" w:hAnsi="宋体"/>
          <w:color w:val="000000"/>
          <w:sz w:val="24"/>
          <w:szCs w:val="24"/>
          <w:highlight w:val="none"/>
        </w:rPr>
        <w:t xml:space="preserve">1.投标人必须</w:t>
      </w:r>
      <w:r>
        <w:rPr>
          <w:rFonts w:ascii="宋体" w:hAnsi="宋体"/>
          <w:color w:val="000000"/>
          <w:sz w:val="24"/>
          <w:szCs w:val="24"/>
          <w:highlight w:val="none"/>
        </w:rPr>
        <w:t xml:space="preserve">对</w:t>
      </w:r>
      <w:r>
        <w:rPr>
          <w:rFonts w:hint="eastAsia" w:ascii="宋体" w:hAnsi="宋体"/>
          <w:color w:val="000000"/>
          <w:sz w:val="24"/>
          <w:szCs w:val="24"/>
          <w:highlight w:val="none"/>
        </w:rPr>
        <w:t xml:space="preserve">技术要求</w:t>
      </w:r>
      <w:r>
        <w:rPr>
          <w:rFonts w:ascii="宋体" w:hAnsi="宋体"/>
          <w:color w:val="000000"/>
          <w:sz w:val="24"/>
          <w:szCs w:val="24"/>
          <w:highlight w:val="none"/>
        </w:rPr>
        <w:t xml:space="preserve">中的实质性要求</w:t>
      </w:r>
      <w:r>
        <w:rPr>
          <w:rFonts w:hint="eastAsia" w:ascii="宋体" w:hAnsi="宋体"/>
          <w:i/>
          <w:color w:val="000000"/>
          <w:sz w:val="24"/>
          <w:szCs w:val="24"/>
          <w:highlight w:val="none"/>
          <w:u w:val="single"/>
        </w:rPr>
        <w:t xml:space="preserve">（加</w:t>
      </w:r>
      <w:r>
        <w:rPr>
          <w:rFonts w:ascii="宋体" w:hAnsi="宋体"/>
          <w:i/>
          <w:color w:val="000000"/>
          <w:sz w:val="24"/>
          <w:szCs w:val="24"/>
          <w:highlight w:val="none"/>
          <w:u w:val="single"/>
        </w:rPr>
        <w:t xml:space="preserve">斜体下划线内容</w:t>
      </w:r>
      <w:r>
        <w:rPr>
          <w:rFonts w:hint="eastAsia" w:ascii="宋体" w:hAnsi="宋体"/>
          <w:i/>
          <w:color w:val="000000"/>
          <w:sz w:val="24"/>
          <w:szCs w:val="24"/>
          <w:highlight w:val="none"/>
          <w:u w:val="single"/>
        </w:rPr>
        <w:t xml:space="preserve">）</w:t>
      </w:r>
      <w:r>
        <w:rPr>
          <w:rFonts w:ascii="宋体" w:hAnsi="宋体"/>
          <w:color w:val="000000"/>
          <w:sz w:val="24"/>
          <w:szCs w:val="24"/>
          <w:highlight w:val="none"/>
        </w:rPr>
        <w:t xml:space="preserve">逐条做出明确响应</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否则该采购包作无效投标处理</w:t>
      </w:r>
      <w:r>
        <w:rPr>
          <w:rFonts w:ascii="宋体" w:hAnsi="宋体"/>
          <w:color w:val="000000"/>
          <w:sz w:val="24"/>
          <w:highlight w:val="none"/>
        </w:rPr>
        <w:t xml:space="preserve">。</w:t>
      </w:r>
      <w:r>
        <w:rPr>
          <w:rFonts w:hint="eastAsia" w:ascii="宋体" w:hAnsi="宋体"/>
          <w:color w:val="000000"/>
          <w:sz w:val="24"/>
          <w:szCs w:val="24"/>
          <w:highlight w:val="none"/>
        </w:rPr>
      </w:r>
      <w:r/>
    </w:p>
    <w:p>
      <w:pPr>
        <w:pStyle w:val="1384"/>
        <w:spacing w:before="240" w:after="240"/>
        <w:shd w:val="clear" w:color="auto" w:fill="auto"/>
        <w:rPr>
          <w:rFonts w:eastAsia="宋体"/>
          <w:color w:val="000000"/>
          <w:highlight w:val="none"/>
        </w:rPr>
      </w:pPr>
      <w:r>
        <w:rPr>
          <w:rFonts w:eastAsia="宋体"/>
          <w:color w:val="000000"/>
          <w:highlight w:val="none"/>
        </w:rPr>
      </w:r>
      <w:r/>
    </w:p>
    <w:p>
      <w:pPr>
        <w:pStyle w:val="1385"/>
        <w:shd w:val="clear" w:color="auto" w:fill="auto"/>
        <w:rPr>
          <w:rFonts w:eastAsia="宋体"/>
          <w:color w:val="000000"/>
          <w:highlight w:val="none"/>
        </w:rPr>
        <w:outlineLvl w:val="1"/>
      </w:pPr>
      <w:r>
        <w:rPr>
          <w:rFonts w:eastAsia="宋体"/>
          <w:color w:val="000000"/>
          <w:highlight w:val="none"/>
        </w:rPr>
      </w:r>
      <w:r/>
    </w:p>
    <w:p>
      <w:pPr>
        <w:pStyle w:val="790"/>
        <w:spacing w:line="440" w:lineRule="exact"/>
        <w:shd w:val="clear" w:color="auto" w:fill="auto"/>
        <w:rPr>
          <w:rFonts w:ascii="Times New Roman" w:hAnsi="Times New Roman"/>
          <w:b/>
          <w:bCs/>
          <w:color w:val="000000"/>
          <w:highlight w:val="none"/>
        </w:rPr>
      </w:pPr>
      <w:r>
        <w:rPr>
          <w:rFonts w:ascii="Times New Roman" w:hAnsi="Times New Roman"/>
          <w:b/>
          <w:bCs/>
          <w:color w:val="000000"/>
          <w:highlight w:val="none"/>
        </w:rPr>
        <w:t xml:space="preserve">注：</w:t>
      </w:r>
      <w:r>
        <w:rPr>
          <w:rFonts w:ascii="Times New Roman" w:hAnsi="Times New Roman"/>
          <w:b/>
          <w:bCs/>
          <w:color w:val="000000"/>
          <w:highlight w:val="none"/>
        </w:rPr>
      </w:r>
      <w:r/>
    </w:p>
    <w:p>
      <w:pPr>
        <w:pStyle w:val="790"/>
        <w:spacing w:line="440" w:lineRule="exact"/>
        <w:shd w:val="clear" w:color="auto" w:fill="auto"/>
        <w:rPr>
          <w:rFonts w:ascii="Times New Roman" w:hAnsi="Times New Roman"/>
          <w:color w:val="000000"/>
          <w:highlight w:val="none"/>
        </w:rPr>
      </w:pPr>
      <w:r>
        <w:rPr>
          <w:rFonts w:ascii="Times New Roman" w:hAnsi="Times New Roman"/>
          <w:b/>
          <w:bCs/>
          <w:color w:val="000000"/>
          <w:sz w:val="24"/>
          <w:szCs w:val="24"/>
          <w:highlight w:val="none"/>
        </w:rPr>
        <w:t xml:space="preserve">如有缺项（由此造成符合性审查不通过的，由投标人承担后果），投标人自行补充。</w:t>
      </w:r>
      <w:r>
        <w:rPr>
          <w:rFonts w:ascii="Times New Roman" w:hAnsi="Times New Roman"/>
          <w:color w:val="000000"/>
          <w:highlight w:val="none"/>
        </w:rPr>
      </w:r>
      <w:r/>
    </w:p>
    <w:p>
      <w:pPr>
        <w:pStyle w:val="1384"/>
        <w:spacing w:before="240" w:after="240"/>
        <w:shd w:val="clear" w:color="auto" w:fill="auto"/>
        <w:rPr>
          <w:rFonts w:eastAsia="宋体"/>
          <w:color w:val="000000"/>
          <w:highlight w:val="none"/>
        </w:rPr>
      </w:pPr>
      <w:r/>
      <w:bookmarkEnd w:id="105"/>
      <w:r>
        <w:rPr>
          <w:rFonts w:eastAsia="宋体"/>
          <w:color w:val="000000"/>
          <w:highlight w:val="none"/>
        </w:rPr>
      </w:r>
      <w:r/>
    </w:p>
    <w:p>
      <w:pPr>
        <w:pStyle w:val="1385"/>
        <w:shd w:val="clear" w:color="auto" w:fill="auto"/>
        <w:rPr>
          <w:rFonts w:eastAsia="宋体"/>
          <w:color w:val="000000"/>
          <w:highlight w:val="none"/>
        </w:rPr>
        <w:outlineLvl w:val="1"/>
      </w:pPr>
      <w:r>
        <w:rPr>
          <w:rFonts w:eastAsia="宋体"/>
          <w:color w:val="000000"/>
          <w:highlight w:val="none"/>
        </w:rPr>
        <w:br w:type="page" w:clear="all"/>
      </w:r>
      <w:bookmarkEnd w:id="106"/>
      <w:r/>
      <w:bookmarkStart w:id="108" w:name="_Toc209797866"/>
      <w:r>
        <w:rPr>
          <w:rFonts w:eastAsia="宋体"/>
          <w:b/>
          <w:color w:val="000000"/>
          <w:sz w:val="32"/>
          <w:highlight w:val="none"/>
        </w:rPr>
        <w:t xml:space="preserve">七、服务方案</w:t>
      </w:r>
      <w:bookmarkEnd w:id="108"/>
      <w:r>
        <w:rPr>
          <w:rFonts w:eastAsia="宋体"/>
          <w:color w:val="000000"/>
          <w:highlight w:val="none"/>
        </w:rPr>
      </w:r>
      <w:r/>
    </w:p>
    <w:p>
      <w:pPr>
        <w:pStyle w:val="1382"/>
        <w:jc w:val="center"/>
        <w:keepLines/>
        <w:keepNext/>
        <w:spacing w:before="260" w:after="260" w:line="415" w:lineRule="auto"/>
        <w:shd w:val="clear" w:color="auto" w:fill="auto"/>
        <w:rPr>
          <w:b/>
          <w:bCs/>
          <w:color w:val="000000"/>
          <w:sz w:val="28"/>
          <w:szCs w:val="28"/>
          <w:highlight w:val="none"/>
        </w:rPr>
      </w:pPr>
      <w:r>
        <w:rPr>
          <w:b/>
          <w:bCs/>
          <w:color w:val="000000"/>
          <w:sz w:val="28"/>
          <w:szCs w:val="28"/>
          <w:highlight w:val="none"/>
        </w:rPr>
        <w:t xml:space="preserve">服务方案</w:t>
      </w:r>
      <w:r>
        <w:rPr>
          <w:b/>
          <w:bCs/>
          <w:color w:val="000000"/>
          <w:sz w:val="28"/>
          <w:szCs w:val="28"/>
          <w:highlight w:val="none"/>
        </w:rPr>
      </w:r>
      <w:r/>
    </w:p>
    <w:p>
      <w:pPr>
        <w:pStyle w:val="1382"/>
        <w:ind w:firstLine="480"/>
        <w:jc w:val="left"/>
        <w:spacing w:line="360" w:lineRule="auto"/>
        <w:shd w:val="clear" w:color="auto" w:fill="auto"/>
        <w:rPr>
          <w:color w:val="000000"/>
          <w:sz w:val="24"/>
          <w:szCs w:val="24"/>
          <w:highlight w:val="none"/>
        </w:rPr>
      </w:pPr>
      <w:r>
        <w:rPr>
          <w:color w:val="000000"/>
          <w:sz w:val="24"/>
          <w:szCs w:val="24"/>
          <w:highlight w:val="none"/>
        </w:rPr>
      </w:r>
      <w:r/>
    </w:p>
    <w:p>
      <w:pPr>
        <w:pStyle w:val="1382"/>
        <w:jc w:val="center"/>
        <w:spacing w:line="360" w:lineRule="auto"/>
        <w:shd w:val="clear" w:color="auto" w:fill="auto"/>
        <w:rPr>
          <w:color w:val="000000"/>
          <w:sz w:val="24"/>
          <w:szCs w:val="21"/>
          <w:highlight w:val="none"/>
        </w:rPr>
      </w:pPr>
      <w:r>
        <w:rPr>
          <w:color w:val="000000"/>
          <w:sz w:val="24"/>
          <w:szCs w:val="21"/>
          <w:highlight w:val="none"/>
        </w:rPr>
        <w:t xml:space="preserve">（服务方案的内容编排等由投标人自定）</w:t>
      </w:r>
      <w:r>
        <w:rPr>
          <w:color w:val="000000"/>
          <w:sz w:val="24"/>
          <w:szCs w:val="21"/>
          <w:highlight w:val="none"/>
        </w:rPr>
      </w:r>
      <w:r/>
    </w:p>
    <w:p>
      <w:pPr>
        <w:pStyle w:val="1386"/>
        <w:shd w:val="clear" w:color="auto" w:fill="auto"/>
        <w:rPr>
          <w:rFonts w:eastAsia="宋体"/>
          <w:color w:val="000000"/>
          <w:highlight w:val="none"/>
        </w:rPr>
        <w:outlineLvl w:val="1"/>
      </w:pPr>
      <w:r>
        <w:rPr>
          <w:rFonts w:eastAsia="宋体"/>
          <w:color w:val="000000"/>
          <w:highlight w:val="none"/>
        </w:rPr>
        <w:br w:type="page" w:clear="all"/>
      </w:r>
      <w:bookmarkStart w:id="109" w:name="_Toc209797867"/>
      <w:r>
        <w:rPr>
          <w:rFonts w:eastAsia="宋体"/>
          <w:b/>
          <w:color w:val="000000"/>
          <w:sz w:val="32"/>
          <w:highlight w:val="none"/>
        </w:rPr>
        <w:t xml:space="preserve">八、投标人情况介绍</w:t>
      </w:r>
      <w:bookmarkEnd w:id="109"/>
      <w:r>
        <w:rPr>
          <w:rFonts w:eastAsia="宋体"/>
          <w:color w:val="000000"/>
          <w:highlight w:val="none"/>
        </w:rPr>
      </w:r>
      <w:r/>
    </w:p>
    <w:p>
      <w:pPr>
        <w:pStyle w:val="1387"/>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投标人拥有的设施设备情况</w:t>
      </w:r>
      <w:r>
        <w:rPr>
          <w:rFonts w:eastAsia="宋体"/>
          <w:color w:val="000000"/>
          <w:highlight w:val="none"/>
        </w:rPr>
      </w:r>
      <w:r/>
    </w:p>
    <w:p>
      <w:pPr>
        <w:pStyle w:val="1388"/>
        <w:jc w:val="center"/>
        <w:spacing w:line="360" w:lineRule="auto"/>
        <w:shd w:val="clear" w:color="auto" w:fill="auto"/>
        <w:rPr>
          <w:b/>
          <w:bCs/>
          <w:color w:val="000000"/>
          <w:sz w:val="28"/>
          <w:szCs w:val="28"/>
          <w:highlight w:val="none"/>
        </w:rPr>
      </w:pPr>
      <w:r>
        <w:rPr>
          <w:b/>
          <w:bCs/>
          <w:color w:val="000000"/>
          <w:sz w:val="28"/>
          <w:szCs w:val="28"/>
          <w:highlight w:val="none"/>
        </w:rPr>
      </w:r>
      <w:r/>
    </w:p>
    <w:p>
      <w:pPr>
        <w:pStyle w:val="1388"/>
        <w:jc w:val="center"/>
        <w:spacing w:line="360" w:lineRule="auto"/>
        <w:shd w:val="clear" w:color="auto" w:fill="auto"/>
        <w:rPr>
          <w:b/>
          <w:bCs/>
          <w:color w:val="000000"/>
          <w:sz w:val="28"/>
          <w:szCs w:val="28"/>
          <w:highlight w:val="none"/>
        </w:rPr>
      </w:pPr>
      <w:r>
        <w:rPr>
          <w:b/>
          <w:bCs/>
          <w:color w:val="000000"/>
          <w:sz w:val="28"/>
          <w:szCs w:val="28"/>
          <w:highlight w:val="none"/>
        </w:rPr>
        <w:t xml:space="preserve">投标人拥有的设施设备情况（若有的话）</w:t>
      </w:r>
      <w:r>
        <w:rPr>
          <w:b/>
          <w:bCs/>
          <w:color w:val="000000"/>
          <w:sz w:val="28"/>
          <w:szCs w:val="28"/>
          <w:highlight w:val="none"/>
        </w:rPr>
      </w:r>
      <w:r/>
    </w:p>
    <w:p>
      <w:pPr>
        <w:pStyle w:val="1390"/>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类似业绩一览表</w:t>
      </w:r>
      <w:r>
        <w:rPr>
          <w:rFonts w:eastAsia="宋体"/>
          <w:color w:val="000000"/>
          <w:highlight w:val="none"/>
        </w:rPr>
      </w:r>
      <w:r/>
    </w:p>
    <w:p>
      <w:pPr>
        <w:pStyle w:val="1391"/>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92"/>
        <w:shd w:val="clear" w:color="auto" w:fill="auto"/>
        <w:rPr>
          <w:rFonts w:eastAsia="宋体"/>
          <w:color w:val="000000"/>
          <w:highlight w:val="none"/>
        </w:rPr>
        <w:outlineLvl w:val="2"/>
      </w:pPr>
      <w:r/>
      <w:bookmarkStart w:id="110" w:name="xh"/>
      <w:r/>
      <w:bookmarkEnd w:id="110"/>
      <w:r>
        <w:rPr>
          <w:rFonts w:eastAsia="宋体"/>
          <w:color w:val="000000"/>
          <w:highlight w:val="none"/>
        </w:rPr>
        <w:br w:type="page" w:clear="all"/>
      </w:r>
      <w:r>
        <w:rPr>
          <w:rFonts w:eastAsia="宋体"/>
          <w:b/>
          <w:color w:val="000000"/>
          <w:sz w:val="28"/>
          <w:highlight w:val="none"/>
        </w:rPr>
        <w:t xml:space="preserve">  投标人获得的相关证书</w:t>
      </w:r>
      <w:r>
        <w:rPr>
          <w:rFonts w:eastAsia="宋体"/>
          <w:color w:val="000000"/>
          <w:highlight w:val="none"/>
        </w:rPr>
      </w:r>
      <w:r/>
    </w:p>
    <w:p>
      <w:pPr>
        <w:pStyle w:val="1393"/>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9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93"/>
        <w:spacing w:before="240" w:after="240"/>
        <w:shd w:val="clear" w:color="auto" w:fill="auto"/>
        <w:rPr>
          <w:rFonts w:eastAsia="宋体"/>
          <w:color w:val="000000"/>
          <w:highlight w:val="none"/>
        </w:rPr>
      </w:pPr>
      <w:r/>
      <w:bookmarkStart w:id="111" w:name="MC_0"/>
      <w:r/>
      <w:bookmarkEnd w:id="111"/>
      <w:r>
        <w:rPr>
          <w:rFonts w:eastAsia="宋体"/>
          <w:color w:val="000000"/>
          <w:highlight w:val="none"/>
        </w:rPr>
        <w:t xml:space="preserve"> </w:t>
      </w:r>
      <w:r>
        <w:rPr>
          <w:rFonts w:eastAsia="宋体"/>
          <w:color w:val="000000"/>
          <w:highlight w:val="none"/>
        </w:rPr>
      </w:r>
      <w:r/>
    </w:p>
    <w:p>
      <w:pPr>
        <w:pStyle w:val="1393"/>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94"/>
        <w:shd w:val="clear" w:color="auto" w:fill="auto"/>
        <w:rPr>
          <w:rFonts w:eastAsia="宋体"/>
          <w:color w:val="000000"/>
          <w:highlight w:val="none"/>
        </w:rPr>
        <w:outlineLvl w:val="2"/>
      </w:pPr>
      <w:r>
        <w:rPr>
          <w:rFonts w:eastAsia="宋体"/>
          <w:color w:val="000000"/>
          <w:highlight w:val="none"/>
        </w:rPr>
        <w:br w:type="page" w:clear="all"/>
      </w:r>
      <w:r>
        <w:rPr>
          <w:rFonts w:eastAsia="宋体"/>
          <w:b/>
          <w:color w:val="000000"/>
          <w:sz w:val="28"/>
          <w:highlight w:val="none"/>
        </w:rPr>
        <w:t xml:space="preserve">  投标人获得的相关奖项</w:t>
      </w:r>
      <w:r>
        <w:rPr>
          <w:rFonts w:eastAsia="宋体"/>
          <w:color w:val="000000"/>
          <w:highlight w:val="none"/>
        </w:rPr>
      </w:r>
      <w:r/>
    </w:p>
    <w:p>
      <w:pPr>
        <w:pStyle w:val="1395"/>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95"/>
        <w:spacing w:before="240" w:after="240"/>
        <w:shd w:val="clear" w:color="auto" w:fill="auto"/>
        <w:rPr>
          <w:rFonts w:eastAsia="宋体"/>
          <w:color w:val="000000"/>
          <w:highlight w:val="none"/>
        </w:rPr>
      </w:pPr>
      <w:r>
        <w:rPr>
          <w:rFonts w:eastAsia="宋体"/>
          <w:color w:val="000000"/>
          <w:highlight w:val="none"/>
        </w:rPr>
        <w:t xml:space="preserve"> </w:t>
      </w:r>
      <w:bookmarkStart w:id="112" w:name="MC_1"/>
      <w:r/>
      <w:bookmarkEnd w:id="112"/>
      <w:r/>
      <w:bookmarkStart w:id="113" w:name="ChaKan_2"/>
      <w:r/>
      <w:bookmarkEnd w:id="113"/>
      <w:r>
        <w:rPr>
          <w:rFonts w:eastAsia="宋体"/>
          <w:color w:val="000000"/>
          <w:highlight w:val="none"/>
        </w:rPr>
      </w:r>
      <w:r/>
    </w:p>
    <w:p>
      <w:pPr>
        <w:pStyle w:val="1395"/>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96"/>
        <w:shd w:val="clear" w:color="auto" w:fill="auto"/>
        <w:rPr>
          <w:rFonts w:eastAsia="宋体"/>
          <w:b/>
          <w:sz w:val="32"/>
          <w:highlight w:val="none"/>
        </w:rPr>
        <w:outlineLvl w:val="1"/>
      </w:pPr>
      <w:r>
        <w:rPr>
          <w:rFonts w:eastAsia="宋体"/>
          <w:color w:val="000000"/>
          <w:highlight w:val="none"/>
        </w:rPr>
        <w:br w:type="page" w:clear="all"/>
      </w:r>
      <w:bookmarkEnd w:id="93"/>
      <w:r/>
      <w:bookmarkStart w:id="114" w:name="_Toc214009925"/>
      <w:r/>
      <w:bookmarkStart w:id="115" w:name="_Toc209797868"/>
      <w:r>
        <w:rPr>
          <w:rFonts w:eastAsia="宋体"/>
          <w:b/>
          <w:sz w:val="32"/>
          <w:highlight w:val="none"/>
        </w:rPr>
        <w:t xml:space="preserve">九、投标配置及分项报价表</w:t>
      </w:r>
      <w:bookmarkEnd w:id="114"/>
      <w:r>
        <w:rPr>
          <w:rFonts w:eastAsia="宋体"/>
          <w:b/>
          <w:sz w:val="32"/>
          <w:highlight w:val="none"/>
        </w:rPr>
      </w:r>
      <w:r/>
    </w:p>
    <w:p>
      <w:pPr>
        <w:pStyle w:val="1396"/>
        <w:jc w:val="center"/>
        <w:shd w:val="clear" w:color="auto" w:fill="auto"/>
        <w:rPr>
          <w:rFonts w:eastAsia="宋体"/>
          <w:highlight w:val="none"/>
        </w:rPr>
        <w:outlineLvl w:val="1"/>
      </w:pPr>
      <w:r>
        <w:rPr>
          <w:rFonts w:eastAsia="宋体"/>
          <w:highlight w:val="none"/>
        </w:rPr>
      </w:r>
      <w:r/>
    </w:p>
    <w:p>
      <w:pPr>
        <w:pStyle w:val="1396"/>
        <w:jc w:val="center"/>
        <w:shd w:val="clear" w:color="auto" w:fill="auto"/>
        <w:rPr>
          <w:rFonts w:eastAsia="宋体"/>
          <w:color w:val="000000"/>
          <w:highlight w:val="none"/>
        </w:rPr>
      </w:pPr>
      <w:r>
        <w:rPr>
          <w:rFonts w:ascii="Tahoma" w:hAnsi="Tahoma" w:eastAsia="宋体" w:cs="Tahoma"/>
          <w:highlight w:val="none"/>
        </w:rPr>
        <w:t xml:space="preserve">﻿</w:t>
      </w:r>
      <w:r>
        <w:rPr>
          <w:rFonts w:eastAsia="宋体"/>
          <w:highlight w:val="none"/>
        </w:rPr>
        <w:t xml:space="preserve">  </w:t>
      </w:r>
      <w:r>
        <w:rPr>
          <w:rFonts w:eastAsia="宋体"/>
          <w:b/>
          <w:color w:val="000000"/>
          <w:sz w:val="32"/>
          <w:highlight w:val="none"/>
        </w:rPr>
        <w:t xml:space="preserve">投标配置及分项报价表</w:t>
      </w:r>
      <w:r>
        <w:rPr>
          <w:rFonts w:eastAsia="宋体"/>
          <w:color w:val="000000"/>
          <w:highlight w:val="none"/>
        </w:rPr>
      </w:r>
      <w:r/>
    </w:p>
    <w:p>
      <w:pPr>
        <w:pStyle w:val="1152"/>
        <w:ind w:firstLine="0"/>
        <w:spacing w:line="440" w:lineRule="exact"/>
        <w:shd w:val="clear" w:color="auto" w:fill="auto"/>
        <w:rPr>
          <w:rFonts w:ascii="Times New Roman" w:hAnsi="Times New Roman"/>
          <w:b/>
          <w:bCs/>
          <w:color w:val="000000"/>
          <w:highlight w:val="none"/>
        </w:rPr>
      </w:pPr>
      <w:r>
        <w:rPr>
          <w:rFonts w:ascii="Times New Roman" w:hAnsi="Times New Roman"/>
          <w:b/>
          <w:bCs/>
          <w:color w:val="000000"/>
          <w:highlight w:val="none"/>
        </w:rPr>
        <w:t xml:space="preserve">供应商名称（盖章）：</w:t>
      </w:r>
      <w:r>
        <w:rPr>
          <w:rFonts w:ascii="Times New Roman" w:hAnsi="Times New Roman"/>
          <w:b/>
          <w:bCs/>
          <w:color w:val="000000"/>
          <w:highlight w:val="none"/>
          <w:u w:val="single"/>
        </w:rPr>
        <w:t xml:space="preserve">            </w:t>
      </w:r>
      <w:r>
        <w:rPr>
          <w:rFonts w:ascii="Times New Roman" w:hAnsi="Times New Roman"/>
          <w:b/>
          <w:bCs/>
          <w:color w:val="000000"/>
          <w:highlight w:val="none"/>
        </w:rPr>
      </w:r>
      <w:r/>
    </w:p>
    <w:p>
      <w:pPr>
        <w:pStyle w:val="1152"/>
        <w:ind w:firstLine="0"/>
        <w:spacing w:line="440" w:lineRule="exact"/>
        <w:shd w:val="clear" w:color="auto" w:fill="auto"/>
        <w:rPr>
          <w:rFonts w:ascii="Times New Roman" w:hAnsi="Times New Roman"/>
          <w:b/>
          <w:bCs/>
          <w:color w:val="000000"/>
          <w:highlight w:val="none"/>
          <w:u w:val="single"/>
        </w:rPr>
      </w:pPr>
      <w:r>
        <w:rPr>
          <w:rFonts w:ascii="Times New Roman" w:hAnsi="Times New Roman"/>
          <w:b/>
          <w:bCs/>
          <w:color w:val="000000"/>
          <w:highlight w:val="none"/>
        </w:rPr>
        <w:t xml:space="preserve">报价日期：</w:t>
      </w:r>
      <w:r>
        <w:rPr>
          <w:rFonts w:ascii="Times New Roman" w:hAnsi="Times New Roman"/>
          <w:b/>
          <w:bCs/>
          <w:color w:val="000000"/>
          <w:highlight w:val="none"/>
          <w:u w:val="single"/>
        </w:rPr>
        <w:t xml:space="preserve">                     </w:t>
      </w:r>
      <w:r>
        <w:rPr>
          <w:rFonts w:ascii="Times New Roman" w:hAnsi="Times New Roman"/>
          <w:b/>
          <w:bCs/>
          <w:color w:val="000000"/>
          <w:highlight w:val="none"/>
          <w:u w:val="single"/>
        </w:rPr>
      </w:r>
      <w:r/>
    </w:p>
    <w:tbl>
      <w:tblPr>
        <w:tblW w:w="10486" w:type="dxa"/>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9"/>
        <w:gridCol w:w="3891"/>
        <w:gridCol w:w="1225"/>
        <w:gridCol w:w="1445"/>
        <w:gridCol w:w="1713"/>
        <w:gridCol w:w="1713"/>
      </w:tblGrid>
      <w:tr>
        <w:trPr>
          <w:trHeight w:val="58"/>
        </w:trPr>
        <w:tc>
          <w:tcPr>
            <w:tcW w:w="499" w:type="dxa"/>
            <w:vAlign w:val="center"/>
            <w:textDirection w:val="lrTb"/>
            <w:noWrap w:val="false"/>
          </w:tcPr>
          <w:p>
            <w:pPr>
              <w:pStyle w:val="790"/>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序号</w:t>
            </w:r>
            <w:r>
              <w:rPr>
                <w:rFonts w:ascii="Times New Roman" w:hAnsi="Times New Roman"/>
                <w:b/>
                <w:color w:val="000000"/>
                <w:sz w:val="24"/>
                <w:szCs w:val="20"/>
                <w:highlight w:val="none"/>
              </w:rPr>
            </w:r>
            <w:r/>
          </w:p>
        </w:tc>
        <w:tc>
          <w:tcPr>
            <w:tcW w:w="3891"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保险名称</w:t>
            </w:r>
            <w:r>
              <w:rPr>
                <w:rFonts w:ascii="Times New Roman" w:hAnsi="Times New Roman"/>
                <w:b/>
                <w:color w:val="000000"/>
                <w:sz w:val="24"/>
                <w:szCs w:val="20"/>
                <w:highlight w:val="none"/>
              </w:rPr>
            </w:r>
            <w:r/>
          </w:p>
        </w:tc>
        <w:tc>
          <w:tcPr>
            <w:tcW w:w="1225" w:type="dxa"/>
            <w:vAlign w:val="center"/>
            <w:textDirection w:val="lrTb"/>
            <w:noWrap w:val="false"/>
          </w:tcPr>
          <w:p>
            <w:pPr>
              <w:pStyle w:val="790"/>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承保年限</w:t>
            </w:r>
            <w:r>
              <w:rPr>
                <w:rFonts w:ascii="Times New Roman" w:hAnsi="Times New Roman"/>
                <w:b/>
                <w:color w:val="000000"/>
                <w:sz w:val="24"/>
                <w:szCs w:val="20"/>
                <w:highlight w:val="none"/>
              </w:rPr>
            </w:r>
            <w:r/>
          </w:p>
        </w:tc>
        <w:tc>
          <w:tcPr>
            <w:tcW w:w="1445"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单价</w:t>
            </w:r>
            <w:r>
              <w:rPr>
                <w:rFonts w:ascii="Times New Roman" w:hAnsi="Times New Roman"/>
                <w:b/>
                <w:color w:val="000000"/>
                <w:sz w:val="24"/>
                <w:szCs w:val="20"/>
                <w:highlight w:val="none"/>
              </w:rPr>
            </w:r>
            <w:r/>
          </w:p>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（元/年）</w:t>
            </w:r>
            <w:r>
              <w:rPr>
                <w:rFonts w:ascii="Times New Roman" w:hAnsi="Times New Roman"/>
                <w:b/>
                <w:color w:val="000000"/>
                <w:sz w:val="24"/>
                <w:szCs w:val="20"/>
                <w:highlight w:val="none"/>
              </w:rPr>
            </w:r>
            <w:r/>
          </w:p>
        </w:tc>
        <w:tc>
          <w:tcPr>
            <w:tcW w:w="1713" w:type="dxa"/>
            <w:vAlign w:val="top"/>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总价</w:t>
            </w:r>
            <w:r>
              <w:rPr>
                <w:rFonts w:ascii="Times New Roman" w:hAnsi="Times New Roman"/>
                <w:b/>
                <w:color w:val="000000"/>
                <w:sz w:val="24"/>
                <w:szCs w:val="20"/>
                <w:highlight w:val="none"/>
              </w:rPr>
            </w:r>
            <w:r/>
          </w:p>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Cs w:val="20"/>
                <w:highlight w:val="none"/>
              </w:rPr>
              <w:t xml:space="preserve">（元）</w:t>
            </w:r>
            <w:r>
              <w:rPr>
                <w:rFonts w:ascii="Times New Roman" w:hAnsi="Times New Roman"/>
                <w:b/>
                <w:color w:val="000000"/>
                <w:sz w:val="24"/>
                <w:szCs w:val="20"/>
                <w:highlight w:val="none"/>
              </w:rPr>
            </w:r>
            <w:r/>
          </w:p>
        </w:tc>
        <w:tc>
          <w:tcPr>
            <w:tcW w:w="1713"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t xml:space="preserve">备注</w:t>
            </w:r>
            <w:r>
              <w:rPr>
                <w:rFonts w:ascii="Times New Roman" w:hAnsi="Times New Roman"/>
                <w:b/>
                <w:color w:val="000000"/>
                <w:sz w:val="24"/>
                <w:szCs w:val="20"/>
                <w:highlight w:val="none"/>
              </w:rPr>
            </w:r>
            <w:r/>
          </w:p>
        </w:tc>
      </w:tr>
      <w:tr>
        <w:trPr>
          <w:trHeight w:val="58"/>
        </w:trPr>
        <w:tc>
          <w:tcPr>
            <w:tcW w:w="499" w:type="dxa"/>
            <w:vAlign w:val="center"/>
            <w:textDirection w:val="lrTb"/>
            <w:noWrap w:val="false"/>
          </w:tcPr>
          <w:p>
            <w:pPr>
              <w:pStyle w:val="790"/>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c>
          <w:tcPr>
            <w:tcW w:w="3891"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c>
          <w:tcPr>
            <w:tcW w:w="1225" w:type="dxa"/>
            <w:vAlign w:val="center"/>
            <w:textDirection w:val="lrTb"/>
            <w:noWrap w:val="false"/>
          </w:tcPr>
          <w:p>
            <w:pPr>
              <w:pStyle w:val="790"/>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c>
          <w:tcPr>
            <w:tcW w:w="1445"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c>
          <w:tcPr>
            <w:tcW w:w="1713" w:type="dxa"/>
            <w:vAlign w:val="top"/>
            <w:textDirection w:val="lrTb"/>
            <w:noWrap w:val="false"/>
          </w:tcPr>
          <w:p>
            <w:pPr>
              <w:pStyle w:val="790"/>
              <w:jc w:val="center"/>
              <w:spacing w:line="440" w:lineRule="exact"/>
              <w:shd w:val="clear" w:color="auto" w:fill="auto"/>
              <w:rPr>
                <w:rFonts w:ascii="Times New Roman" w:hAnsi="Times New Roman"/>
                <w:b/>
                <w:color w:val="000000"/>
                <w:szCs w:val="20"/>
                <w:highlight w:val="none"/>
              </w:rPr>
            </w:pPr>
            <w:r>
              <w:rPr>
                <w:rFonts w:ascii="Times New Roman" w:hAnsi="Times New Roman"/>
                <w:b/>
                <w:color w:val="000000"/>
                <w:szCs w:val="20"/>
                <w:highlight w:val="none"/>
              </w:rPr>
            </w:r>
            <w:r/>
          </w:p>
        </w:tc>
        <w:tc>
          <w:tcPr>
            <w:tcW w:w="1713"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r>
      <w:tr>
        <w:trPr>
          <w:trHeight w:val="180"/>
        </w:trPr>
        <w:tc>
          <w:tcPr>
            <w:tcW w:w="499" w:type="dxa"/>
            <w:vAlign w:val="center"/>
            <w:textDirection w:val="lrTb"/>
            <w:noWrap w:val="false"/>
          </w:tcPr>
          <w:p>
            <w:pPr>
              <w:pStyle w:val="790"/>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c>
          <w:tcPr>
            <w:gridSpan w:val="3"/>
            <w:tcW w:w="6561" w:type="dxa"/>
            <w:vAlign w:val="center"/>
            <w:textDirection w:val="lrTb"/>
            <w:noWrap w:val="false"/>
          </w:tcPr>
          <w:p>
            <w:pPr>
              <w:pStyle w:val="790"/>
              <w:jc w:val="center"/>
              <w:spacing w:line="440" w:lineRule="exact"/>
              <w:shd w:val="clear" w:color="auto" w:fill="auto"/>
              <w:rPr>
                <w:rFonts w:ascii="Times New Roman" w:hAnsi="Times New Roman"/>
                <w:b/>
                <w:color w:val="000000"/>
                <w:sz w:val="24"/>
                <w:szCs w:val="20"/>
                <w:highlight w:val="none"/>
              </w:rPr>
            </w:pPr>
            <w:r>
              <w:rPr>
                <w:rFonts w:ascii="Times New Roman" w:hAnsi="Times New Roman"/>
                <w:b/>
                <w:color w:val="000000"/>
                <w:sz w:val="24"/>
                <w:szCs w:val="20"/>
                <w:highlight w:val="none"/>
              </w:rPr>
            </w:r>
            <w:r/>
          </w:p>
        </w:tc>
        <w:tc>
          <w:tcPr>
            <w:gridSpan w:val="2"/>
            <w:tcW w:w="3426" w:type="dxa"/>
            <w:vAlign w:val="top"/>
            <w:textDirection w:val="lrTb"/>
            <w:noWrap w:val="false"/>
          </w:tcPr>
          <w:p>
            <w:pPr>
              <w:pStyle w:val="1349"/>
              <w:spacing w:line="440" w:lineRule="exact"/>
              <w:shd w:val="clear" w:color="auto" w:fill="auto"/>
              <w:rPr>
                <w:rFonts w:eastAsia="宋体"/>
                <w:color w:val="000000"/>
                <w:highlight w:val="none"/>
              </w:rPr>
            </w:pPr>
            <w:r>
              <w:rPr>
                <w:rFonts w:eastAsia="宋体"/>
                <w:color w:val="000000"/>
                <w:highlight w:val="none"/>
              </w:rPr>
            </w:r>
            <w:r/>
          </w:p>
        </w:tc>
      </w:tr>
    </w:tbl>
    <w:p>
      <w:pPr>
        <w:pStyle w:val="790"/>
        <w:jc w:val="left"/>
        <w:shd w:val="clear" w:color="auto" w:fill="auto"/>
        <w:rPr>
          <w:rFonts w:ascii="Times New Roman" w:hAnsi="Times New Roman"/>
          <w:b/>
          <w:bCs/>
          <w:color w:val="000000"/>
          <w:sz w:val="24"/>
          <w:szCs w:val="24"/>
          <w:highlight w:val="none"/>
        </w:rPr>
      </w:pPr>
      <w:r>
        <w:rPr>
          <w:rFonts w:ascii="Times New Roman" w:hAnsi="Times New Roman"/>
          <w:b/>
          <w:bCs/>
          <w:color w:val="000000"/>
          <w:sz w:val="24"/>
          <w:szCs w:val="24"/>
          <w:highlight w:val="none"/>
        </w:rPr>
        <w:t xml:space="preserve">注：</w:t>
      </w:r>
      <w:r>
        <w:rPr>
          <w:rFonts w:ascii="Times New Roman" w:hAnsi="Times New Roman"/>
          <w:b/>
          <w:bCs/>
          <w:color w:val="000000"/>
          <w:sz w:val="24"/>
          <w:szCs w:val="24"/>
          <w:highlight w:val="none"/>
        </w:rPr>
      </w:r>
      <w:r/>
    </w:p>
    <w:p>
      <w:pPr>
        <w:pStyle w:val="790"/>
        <w:jc w:val="left"/>
        <w:shd w:val="clear" w:color="auto" w:fill="auto"/>
        <w:rPr>
          <w:rFonts w:ascii="Times New Roman" w:hAnsi="Times New Roman"/>
          <w:b/>
          <w:bCs/>
          <w:color w:val="000000"/>
          <w:sz w:val="40"/>
          <w:szCs w:val="40"/>
          <w:highlight w:val="none"/>
        </w:rPr>
      </w:pPr>
      <w:r>
        <w:rPr>
          <w:rFonts w:ascii="Times New Roman" w:hAnsi="Times New Roman"/>
          <w:b/>
          <w:bCs/>
          <w:color w:val="000000"/>
          <w:sz w:val="24"/>
          <w:szCs w:val="24"/>
          <w:highlight w:val="none"/>
        </w:rPr>
        <w:t xml:space="preserve">表格可自行添加</w:t>
      </w:r>
      <w:r>
        <w:rPr>
          <w:rFonts w:ascii="Times New Roman" w:hAnsi="Times New Roman"/>
          <w:b/>
          <w:bCs/>
          <w:color w:val="000000"/>
          <w:sz w:val="40"/>
          <w:szCs w:val="40"/>
          <w:highlight w:val="none"/>
        </w:rPr>
      </w:r>
      <w:r/>
    </w:p>
    <w:p>
      <w:pPr>
        <w:pStyle w:val="1396"/>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outlineLvl w:val="1"/>
      </w:pPr>
      <w:r>
        <w:rPr>
          <w:rFonts w:eastAsia="宋体"/>
          <w:color w:val="000000"/>
          <w:highlight w:val="none"/>
        </w:rPr>
      </w:r>
      <w:r/>
    </w:p>
    <w:p>
      <w:pPr>
        <w:pStyle w:val="1396"/>
        <w:shd w:val="clear" w:color="auto" w:fill="auto"/>
        <w:rPr>
          <w:rFonts w:eastAsia="宋体"/>
          <w:color w:val="000000"/>
          <w:highlight w:val="none"/>
        </w:rPr>
        <w:outlineLvl w:val="1"/>
      </w:pPr>
      <w:r>
        <w:rPr>
          <w:rFonts w:hint="eastAsia" w:eastAsia="宋体"/>
          <w:b/>
          <w:color w:val="000000"/>
          <w:sz w:val="32"/>
          <w:highlight w:val="none"/>
          <w:lang w:val="en-US" w:eastAsia="zh-CN"/>
        </w:rPr>
        <w:t xml:space="preserve">十</w:t>
      </w:r>
      <w:r>
        <w:rPr>
          <w:rFonts w:eastAsia="宋体"/>
          <w:b/>
          <w:color w:val="000000"/>
          <w:sz w:val="32"/>
          <w:highlight w:val="none"/>
        </w:rPr>
        <w:t xml:space="preserve">、技术参数响应及偏离表</w:t>
      </w:r>
      <w:bookmarkEnd w:id="115"/>
      <w:r>
        <w:rPr>
          <w:rFonts w:eastAsia="宋体"/>
          <w:color w:val="000000"/>
          <w:highlight w:val="none"/>
        </w:rPr>
      </w:r>
      <w:r/>
    </w:p>
    <w:p>
      <w:pPr>
        <w:pStyle w:val="1397"/>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397"/>
        <w:jc w:val="center"/>
        <w:spacing w:before="320" w:after="320" w:line="300" w:lineRule="auto"/>
        <w:shd w:val="clear" w:color="auto" w:fill="auto"/>
        <w:rPr>
          <w:rFonts w:eastAsia="宋体"/>
          <w:b/>
          <w:bCs/>
          <w:color w:val="000000"/>
          <w:sz w:val="32"/>
          <w:szCs w:val="32"/>
          <w:highlight w:val="none"/>
        </w:rPr>
      </w:pPr>
      <w:r>
        <w:rPr>
          <w:rFonts w:eastAsia="宋体"/>
          <w:b/>
          <w:bCs/>
          <w:color w:val="000000"/>
          <w:sz w:val="32"/>
          <w:szCs w:val="32"/>
          <w:highlight w:val="none"/>
        </w:rPr>
        <w:t xml:space="preserve">技术参数响应及偏离表 </w:t>
      </w:r>
      <w:r>
        <w:rPr>
          <w:rFonts w:eastAsia="宋体"/>
          <w:b/>
          <w:bCs/>
          <w:color w:val="000000"/>
          <w:sz w:val="32"/>
          <w:szCs w:val="32"/>
          <w:highlight w:val="none"/>
        </w:rPr>
      </w:r>
      <w:r/>
    </w:p>
    <w:p>
      <w:pPr>
        <w:pStyle w:val="1397"/>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bl>
      <w:tblPr>
        <w:tblW w:w="9613"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535"/>
        <w:gridCol w:w="1191"/>
        <w:gridCol w:w="2506"/>
        <w:gridCol w:w="2287"/>
        <w:gridCol w:w="1047"/>
        <w:gridCol w:w="2008"/>
        <w:gridCol w:w="7"/>
        <w:gridCol w:w="7"/>
        <w:gridCol w:w="7"/>
        <w:gridCol w:w="18"/>
      </w:tblGrid>
      <w:tr>
        <w:trPr>
          <w:trHeight w:val="307"/>
        </w:trPr>
        <w:tc>
          <w:tcPr>
            <w:tcMar>
              <w:left w:w="0" w:type="dxa"/>
              <w:top w:w="0" w:type="dxa"/>
              <w:right w:w="0" w:type="dxa"/>
              <w:bottom w:w="0" w:type="dxa"/>
            </w:tcMar>
            <w:tcW w:w="535" w:type="dxa"/>
            <w:vAlign w:val="center"/>
            <w:textDirection w:val="lrTb"/>
            <w:noWrap w:val="false"/>
          </w:tcPr>
          <w:p>
            <w:pPr>
              <w:pStyle w:val="1397"/>
              <w:jc w:val="center"/>
              <w:shd w:val="clear" w:color="auto" w:fill="auto"/>
              <w:rPr>
                <w:rFonts w:eastAsia="宋体"/>
                <w:color w:val="000000"/>
                <w:highlight w:val="none"/>
              </w:rPr>
            </w:pPr>
            <w:r>
              <w:rPr>
                <w:rFonts w:eastAsia="宋体"/>
                <w:color w:val="000000"/>
                <w:highlight w:val="none"/>
              </w:rPr>
              <w:t xml:space="preserve">序号</w:t>
            </w:r>
            <w:r>
              <w:rPr>
                <w:rFonts w:eastAsia="宋体"/>
                <w:color w:val="000000"/>
                <w:highlight w:val="none"/>
              </w:rPr>
            </w:r>
            <w:r/>
          </w:p>
        </w:tc>
        <w:tc>
          <w:tcPr>
            <w:tcMar>
              <w:left w:w="0" w:type="dxa"/>
              <w:top w:w="0" w:type="dxa"/>
              <w:right w:w="0" w:type="dxa"/>
              <w:bottom w:w="0" w:type="dxa"/>
            </w:tcMar>
            <w:tcW w:w="1191" w:type="dxa"/>
            <w:vAlign w:val="center"/>
            <w:textDirection w:val="lrTb"/>
            <w:noWrap w:val="false"/>
          </w:tcPr>
          <w:p>
            <w:pPr>
              <w:pStyle w:val="1397"/>
              <w:jc w:val="center"/>
              <w:shd w:val="clear" w:color="auto" w:fill="auto"/>
              <w:rPr>
                <w:rFonts w:eastAsia="宋体"/>
                <w:color w:val="000000"/>
                <w:highlight w:val="none"/>
              </w:rPr>
            </w:pPr>
            <w:r>
              <w:rPr>
                <w:rFonts w:eastAsia="宋体"/>
                <w:color w:val="000000"/>
                <w:highlight w:val="none"/>
              </w:rPr>
              <w:t xml:space="preserve">名称</w:t>
            </w:r>
            <w:r>
              <w:rPr>
                <w:rFonts w:eastAsia="宋体"/>
                <w:color w:val="000000"/>
                <w:highlight w:val="none"/>
              </w:rPr>
            </w:r>
            <w:r/>
          </w:p>
        </w:tc>
        <w:tc>
          <w:tcPr>
            <w:tcMar>
              <w:left w:w="0" w:type="dxa"/>
              <w:top w:w="0" w:type="dxa"/>
              <w:right w:w="0" w:type="dxa"/>
              <w:bottom w:w="0" w:type="dxa"/>
            </w:tcMar>
            <w:tcW w:w="2506" w:type="dxa"/>
            <w:vAlign w:val="center"/>
            <w:textDirection w:val="lrTb"/>
            <w:noWrap w:val="false"/>
          </w:tcPr>
          <w:p>
            <w:pPr>
              <w:pStyle w:val="1397"/>
              <w:jc w:val="center"/>
              <w:shd w:val="clear" w:color="auto" w:fill="auto"/>
              <w:rPr>
                <w:rFonts w:eastAsia="宋体"/>
                <w:color w:val="000000"/>
                <w:highlight w:val="none"/>
              </w:rPr>
            </w:pPr>
            <w:r>
              <w:rPr>
                <w:rFonts w:eastAsia="宋体"/>
                <w:color w:val="000000"/>
                <w:highlight w:val="none"/>
              </w:rPr>
              <w:t xml:space="preserve">招标服务或货物的技术性能</w:t>
            </w:r>
            <w:r>
              <w:rPr>
                <w:rFonts w:eastAsia="宋体"/>
                <w:color w:val="000000"/>
                <w:highlight w:val="none"/>
              </w:rPr>
            </w:r>
            <w:r/>
          </w:p>
        </w:tc>
        <w:tc>
          <w:tcPr>
            <w:tcMar>
              <w:left w:w="0" w:type="dxa"/>
              <w:top w:w="0" w:type="dxa"/>
              <w:right w:w="0" w:type="dxa"/>
              <w:bottom w:w="0" w:type="dxa"/>
            </w:tcMar>
            <w:tcW w:w="2287" w:type="dxa"/>
            <w:vAlign w:val="center"/>
            <w:textDirection w:val="lrTb"/>
            <w:noWrap w:val="false"/>
          </w:tcPr>
          <w:p>
            <w:pPr>
              <w:pStyle w:val="1397"/>
              <w:jc w:val="center"/>
              <w:shd w:val="clear" w:color="auto" w:fill="auto"/>
              <w:rPr>
                <w:rFonts w:eastAsia="宋体"/>
                <w:color w:val="000000"/>
                <w:highlight w:val="none"/>
              </w:rPr>
            </w:pPr>
            <w:r>
              <w:rPr>
                <w:rFonts w:eastAsia="宋体"/>
                <w:color w:val="000000"/>
                <w:highlight w:val="none"/>
              </w:rPr>
              <w:t xml:space="preserve">参与投标的服务或货物的技术性能</w:t>
            </w:r>
            <w:r>
              <w:rPr>
                <w:rFonts w:eastAsia="宋体"/>
                <w:color w:val="000000"/>
                <w:highlight w:val="none"/>
              </w:rPr>
            </w:r>
            <w:r/>
          </w:p>
        </w:tc>
        <w:tc>
          <w:tcPr>
            <w:tcMar>
              <w:left w:w="0" w:type="dxa"/>
              <w:top w:w="0" w:type="dxa"/>
              <w:right w:w="0" w:type="dxa"/>
              <w:bottom w:w="0" w:type="dxa"/>
            </w:tcMar>
            <w:tcW w:w="1047" w:type="dxa"/>
            <w:vAlign w:val="center"/>
            <w:textDirection w:val="lrTb"/>
            <w:noWrap w:val="false"/>
          </w:tcPr>
          <w:p>
            <w:pPr>
              <w:pStyle w:val="1397"/>
              <w:jc w:val="center"/>
              <w:shd w:val="clear" w:color="auto" w:fill="auto"/>
              <w:rPr>
                <w:rFonts w:eastAsia="宋体"/>
                <w:color w:val="000000"/>
                <w:highlight w:val="none"/>
              </w:rPr>
            </w:pPr>
            <w:r>
              <w:rPr>
                <w:rFonts w:eastAsia="宋体"/>
                <w:color w:val="000000"/>
                <w:highlight w:val="none"/>
              </w:rPr>
              <w:t xml:space="preserve">有无偏离</w:t>
            </w:r>
            <w:r>
              <w:rPr>
                <w:rFonts w:eastAsia="宋体"/>
                <w:color w:val="000000"/>
                <w:highlight w:val="none"/>
              </w:rPr>
            </w:r>
            <w:r/>
          </w:p>
        </w:tc>
        <w:tc>
          <w:tcPr>
            <w:tcMar>
              <w:left w:w="0" w:type="dxa"/>
              <w:top w:w="0" w:type="dxa"/>
              <w:right w:w="0" w:type="dxa"/>
              <w:bottom w:w="0" w:type="dxa"/>
            </w:tcMar>
            <w:tcW w:w="2008" w:type="dxa"/>
            <w:vAlign w:val="center"/>
            <w:textDirection w:val="lrTb"/>
            <w:noWrap w:val="false"/>
          </w:tcPr>
          <w:p>
            <w:pPr>
              <w:pStyle w:val="1397"/>
              <w:shd w:val="clear" w:color="auto" w:fill="auto"/>
              <w:rPr>
                <w:rFonts w:eastAsia="宋体"/>
                <w:color w:val="000000"/>
                <w:highlight w:val="none"/>
              </w:rPr>
            </w:pPr>
            <w:r>
              <w:rPr>
                <w:rFonts w:eastAsia="宋体"/>
                <w:color w:val="000000"/>
                <w:highlight w:val="none"/>
              </w:rPr>
              <w:t xml:space="preserve">偏离内容及原因</w:t>
            </w:r>
            <w:r>
              <w:rPr>
                <w:rFonts w:eastAsia="宋体"/>
                <w:color w:val="000000"/>
                <w:highlight w:val="none"/>
              </w:rPr>
            </w:r>
            <w:r/>
          </w:p>
        </w:tc>
        <w:tc>
          <w:tcPr>
            <w:tcW w:w="7" w:type="dxa"/>
            <w:vAlign w:val="center"/>
            <w:textDirection w:val="lrTb"/>
            <w:noWrap w:val="false"/>
          </w:tcPr>
          <w:p>
            <w:pPr>
              <w:pStyle w:val="1397"/>
              <w:shd w:val="clear" w:color="auto" w:fill="auto"/>
              <w:rPr>
                <w:rFonts w:eastAsia="宋体"/>
                <w:color w:val="000000"/>
                <w:highlight w:val="none"/>
              </w:rPr>
            </w:pPr>
            <w:r>
              <w:rPr>
                <w:rFonts w:eastAsia="宋体"/>
                <w:color w:val="000000"/>
                <w:highlight w:val="none"/>
              </w:rPr>
            </w:r>
            <w:r/>
          </w:p>
        </w:tc>
        <w:tc>
          <w:tcPr>
            <w:tcW w:w="7" w:type="dxa"/>
            <w:vAlign w:val="center"/>
            <w:textDirection w:val="lrTb"/>
            <w:noWrap w:val="false"/>
          </w:tcPr>
          <w:p>
            <w:pPr>
              <w:pStyle w:val="1397"/>
              <w:shd w:val="clear" w:color="auto" w:fill="auto"/>
              <w:rPr>
                <w:rFonts w:eastAsia="宋体"/>
                <w:color w:val="000000"/>
                <w:highlight w:val="none"/>
              </w:rPr>
            </w:pPr>
            <w:r>
              <w:rPr>
                <w:rFonts w:eastAsia="宋体"/>
                <w:color w:val="000000"/>
                <w:highlight w:val="none"/>
              </w:rPr>
            </w:r>
            <w:r/>
          </w:p>
        </w:tc>
        <w:tc>
          <w:tcPr>
            <w:tcW w:w="7" w:type="dxa"/>
            <w:vAlign w:val="center"/>
            <w:textDirection w:val="lrTb"/>
            <w:noWrap w:val="false"/>
          </w:tcPr>
          <w:p>
            <w:pPr>
              <w:pStyle w:val="1397"/>
              <w:shd w:val="clear" w:color="auto" w:fill="auto"/>
              <w:rPr>
                <w:rFonts w:eastAsia="宋体"/>
                <w:color w:val="000000"/>
                <w:highlight w:val="none"/>
              </w:rPr>
            </w:pPr>
            <w:r>
              <w:rPr>
                <w:rFonts w:eastAsia="宋体"/>
                <w:color w:val="000000"/>
                <w:highlight w:val="none"/>
              </w:rPr>
            </w:r>
            <w:r/>
          </w:p>
        </w:tc>
        <w:tc>
          <w:tcPr>
            <w:tcW w:w="18" w:type="dxa"/>
            <w:vAlign w:val="center"/>
            <w:textDirection w:val="lrTb"/>
            <w:noWrap w:val="false"/>
          </w:tcPr>
          <w:p>
            <w:pPr>
              <w:pStyle w:val="1397"/>
              <w:shd w:val="clear" w:color="auto" w:fill="auto"/>
              <w:rPr>
                <w:rFonts w:eastAsia="宋体"/>
                <w:color w:val="000000"/>
                <w:highlight w:val="none"/>
              </w:rPr>
            </w:pPr>
            <w:r>
              <w:rPr>
                <w:rFonts w:eastAsia="宋体"/>
                <w:color w:val="000000"/>
                <w:highlight w:val="none"/>
              </w:rPr>
            </w:r>
            <w:r/>
          </w:p>
        </w:tc>
      </w:tr>
      <w:tr>
        <w:trPr>
          <w:trHeight w:val="494"/>
        </w:trPr>
        <w:tc>
          <w:tcPr>
            <w:gridSpan w:val="10"/>
            <w:tcMar>
              <w:left w:w="0" w:type="dxa"/>
              <w:top w:w="0" w:type="dxa"/>
              <w:right w:w="0" w:type="dxa"/>
              <w:bottom w:w="0" w:type="dxa"/>
            </w:tcMar>
            <w:tcW w:w="9613" w:type="dxa"/>
            <w:vAlign w:val="center"/>
            <w:textDirection w:val="lrTb"/>
            <w:noWrap w:val="false"/>
          </w:tcPr>
          <w:p>
            <w:pPr>
              <w:pStyle w:val="1397"/>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c>
      </w:tr>
    </w:tbl>
    <w:p>
      <w:pPr>
        <w:pStyle w:val="1397"/>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p>
      <w:pPr>
        <w:pStyle w:val="1397"/>
        <w:spacing w:before="240" w:after="240"/>
        <w:shd w:val="clear" w:color="auto" w:fill="auto"/>
        <w:rPr>
          <w:rFonts w:eastAsia="宋体"/>
          <w:color w:val="000000"/>
          <w:highlight w:val="none"/>
        </w:rPr>
      </w:pPr>
      <w:r>
        <w:rPr>
          <w:rFonts w:eastAsia="宋体"/>
          <w:color w:val="000000"/>
          <w:highlight w:val="none"/>
        </w:rPr>
        <w:t xml:space="preserve">注： </w:t>
      </w:r>
      <w:r>
        <w:rPr>
          <w:rFonts w:eastAsia="宋体"/>
          <w:color w:val="000000"/>
          <w:highlight w:val="none"/>
        </w:rPr>
      </w:r>
      <w:r/>
    </w:p>
    <w:p>
      <w:pPr>
        <w:pStyle w:val="1397"/>
        <w:spacing w:before="240" w:after="240"/>
        <w:shd w:val="clear" w:color="auto" w:fill="auto"/>
        <w:rPr>
          <w:rFonts w:eastAsia="宋体"/>
          <w:color w:val="000000"/>
          <w:highlight w:val="none"/>
        </w:rPr>
      </w:pPr>
      <w:r>
        <w:rPr>
          <w:rFonts w:eastAsia="宋体"/>
          <w:color w:val="000000"/>
          <w:highlight w:val="none"/>
        </w:rPr>
        <w:t xml:space="preserve">1、投标人应根据“技术要求”中的参数要求，对照所投报服务或货物的技术性能进行逐项填写。未标明将默认为无偏离（斜体下划部分除外）。因未标明或表述含糊导致的评标风险将由投标人承担。 </w:t>
      </w:r>
      <w:r>
        <w:rPr>
          <w:rFonts w:eastAsia="宋体"/>
          <w:color w:val="000000"/>
          <w:highlight w:val="none"/>
        </w:rPr>
      </w:r>
      <w:r/>
    </w:p>
    <w:p>
      <w:pPr>
        <w:pStyle w:val="1397"/>
        <w:spacing w:before="240" w:after="240"/>
        <w:shd w:val="clear" w:color="auto" w:fill="auto"/>
        <w:rPr>
          <w:rFonts w:eastAsia="宋体"/>
          <w:color w:val="000000"/>
          <w:highlight w:val="none"/>
        </w:rPr>
      </w:pPr>
      <w:r>
        <w:rPr>
          <w:rFonts w:eastAsia="宋体"/>
          <w:color w:val="000000"/>
          <w:highlight w:val="none"/>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rPr>
          <w:rFonts w:eastAsia="宋体"/>
          <w:color w:val="000000"/>
          <w:highlight w:val="none"/>
        </w:rPr>
      </w:r>
      <w:r/>
    </w:p>
    <w:p>
      <w:pPr>
        <w:pStyle w:val="1397"/>
        <w:spacing w:before="240" w:after="240"/>
        <w:shd w:val="clear" w:color="auto" w:fill="auto"/>
        <w:rPr>
          <w:rFonts w:eastAsia="宋体"/>
          <w:color w:val="000000"/>
          <w:highlight w:val="none"/>
        </w:rPr>
      </w:pPr>
      <w:r>
        <w:rPr>
          <w:rFonts w:eastAsia="宋体"/>
          <w:color w:val="000000"/>
          <w:highlight w:val="none"/>
        </w:rPr>
        <w:t xml:space="preserve">3、表格不够可另接。 </w:t>
      </w:r>
      <w:r>
        <w:rPr>
          <w:rFonts w:eastAsia="宋体"/>
          <w:color w:val="000000"/>
          <w:highlight w:val="none"/>
        </w:rPr>
      </w:r>
      <w:r/>
    </w:p>
    <w:p>
      <w:pPr>
        <w:pStyle w:val="790"/>
        <w:spacing w:line="360" w:lineRule="auto"/>
        <w:shd w:val="clear" w:color="auto" w:fill="auto"/>
        <w:rPr>
          <w:rFonts w:ascii="Times New Roman" w:hAnsi="Times New Roman"/>
          <w:b/>
          <w:color w:val="000000"/>
          <w:sz w:val="32"/>
          <w:highlight w:val="none"/>
        </w:rPr>
        <w:outlineLvl w:val="1"/>
      </w:pPr>
      <w:r>
        <w:rPr>
          <w:rFonts w:ascii="Times New Roman" w:hAnsi="Times New Roman"/>
          <w:b/>
          <w:color w:val="000000"/>
          <w:sz w:val="32"/>
          <w:highlight w:val="none"/>
        </w:rPr>
      </w:r>
      <w:r/>
    </w:p>
    <w:p>
      <w:pPr>
        <w:pStyle w:val="790"/>
        <w:spacing w:line="360" w:lineRule="auto"/>
        <w:shd w:val="clear" w:color="auto" w:fill="auto"/>
        <w:rPr>
          <w:rFonts w:ascii="Times New Roman" w:hAnsi="Times New Roman"/>
          <w:color w:val="000000"/>
          <w:sz w:val="24"/>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ascii="Times New Roman" w:hAnsi="Times New Roman"/>
          <w:color w:val="000000"/>
          <w:sz w:val="24"/>
          <w:highlight w:val="none"/>
        </w:rPr>
      </w:r>
      <w:r/>
    </w:p>
    <w:p>
      <w:pPr>
        <w:pStyle w:val="1398"/>
        <w:shd w:val="clear" w:color="auto" w:fill="auto"/>
        <w:rPr>
          <w:rFonts w:eastAsia="宋体"/>
          <w:color w:val="000000"/>
          <w:highlight w:val="none"/>
        </w:rPr>
        <w:outlineLvl w:val="1"/>
      </w:pPr>
      <w:r/>
      <w:bookmarkStart w:id="116" w:name="_Toc209797869"/>
      <w:r>
        <w:rPr>
          <w:rFonts w:eastAsia="宋体"/>
          <w:b/>
          <w:color w:val="000000"/>
          <w:sz w:val="32"/>
          <w:highlight w:val="none"/>
        </w:rPr>
        <w:t xml:space="preserve">十</w:t>
      </w:r>
      <w:r>
        <w:rPr>
          <w:rFonts w:hint="eastAsia" w:eastAsia="宋体"/>
          <w:b/>
          <w:color w:val="000000"/>
          <w:sz w:val="32"/>
          <w:highlight w:val="none"/>
          <w:lang w:val="en-US" w:eastAsia="zh-CN"/>
        </w:rPr>
        <w:t xml:space="preserve">一</w:t>
      </w:r>
      <w:r>
        <w:rPr>
          <w:rFonts w:eastAsia="宋体"/>
          <w:b/>
          <w:color w:val="000000"/>
          <w:sz w:val="32"/>
          <w:highlight w:val="none"/>
        </w:rPr>
        <w:t xml:space="preserve">、商务条款响应及偏离表</w:t>
      </w:r>
      <w:bookmarkEnd w:id="116"/>
      <w:r>
        <w:rPr>
          <w:rFonts w:eastAsia="宋体"/>
          <w:color w:val="000000"/>
          <w:highlight w:val="none"/>
        </w:rPr>
      </w:r>
      <w:r/>
    </w:p>
    <w:p>
      <w:pPr>
        <w:pStyle w:val="1401"/>
        <w:spacing w:line="440" w:lineRule="exact"/>
        <w:shd w:val="clear" w:color="auto" w:fill="auto"/>
        <w:rPr>
          <w:rFonts w:eastAsia="宋体"/>
          <w:color w:val="000000"/>
          <w:spacing w:val="7"/>
          <w:highlight w:val="none"/>
        </w:rPr>
      </w:pPr>
      <w:r>
        <w:rPr>
          <w:rFonts w:ascii="Tahoma" w:hAnsi="Tahoma" w:eastAsia="宋体" w:cs="Tahoma"/>
          <w:color w:val="000000"/>
          <w:highlight w:val="none"/>
        </w:rPr>
        <w:t xml:space="preserve">﻿</w:t>
      </w:r>
      <w:r>
        <w:rPr>
          <w:rFonts w:eastAsia="宋体"/>
          <w:color w:val="000000"/>
          <w:highlight w:val="none"/>
        </w:rPr>
        <w:t xml:space="preserve"> </w:t>
      </w:r>
      <w:r>
        <w:rPr>
          <w:rFonts w:eastAsia="宋体"/>
          <w:color w:val="000000"/>
          <w:spacing w:val="7"/>
          <w:highlight w:val="none"/>
        </w:rPr>
      </w:r>
      <w:r/>
    </w:p>
    <w:p>
      <w:pPr>
        <w:pStyle w:val="1401"/>
        <w:jc w:val="center"/>
        <w:spacing w:before="320" w:after="320" w:line="300" w:lineRule="auto"/>
        <w:shd w:val="clear" w:color="auto" w:fill="auto"/>
        <w:rPr>
          <w:rFonts w:eastAsia="宋体"/>
          <w:b/>
          <w:bCs/>
          <w:color w:val="000000"/>
          <w:sz w:val="32"/>
          <w:szCs w:val="32"/>
          <w:highlight w:val="none"/>
        </w:rPr>
      </w:pPr>
      <w:r>
        <w:rPr>
          <w:rFonts w:eastAsia="宋体"/>
          <w:b/>
          <w:bCs/>
          <w:color w:val="000000"/>
          <w:sz w:val="32"/>
          <w:szCs w:val="32"/>
          <w:highlight w:val="none"/>
        </w:rPr>
        <w:t xml:space="preserve">商务条款响应及偏离表 </w:t>
      </w:r>
      <w:r>
        <w:rPr>
          <w:rFonts w:eastAsia="宋体"/>
          <w:b/>
          <w:bCs/>
          <w:color w:val="000000"/>
          <w:sz w:val="32"/>
          <w:szCs w:val="32"/>
          <w:highlight w:val="none"/>
        </w:rPr>
      </w:r>
      <w:r/>
    </w:p>
    <w:p>
      <w:pPr>
        <w:pStyle w:val="1401"/>
        <w:spacing w:before="240" w:after="240"/>
        <w:shd w:val="clear" w:color="auto" w:fill="auto"/>
        <w:rPr>
          <w:rFonts w:eastAsia="宋体"/>
          <w:color w:val="000000"/>
          <w:highlight w:val="none"/>
        </w:rPr>
      </w:pPr>
      <w:r>
        <w:rPr>
          <w:rFonts w:eastAsia="宋体"/>
          <w:color w:val="000000"/>
          <w:highlight w:val="none"/>
        </w:rPr>
        <w:t xml:space="preserve">  </w:t>
      </w:r>
      <w:r>
        <w:rPr>
          <w:rFonts w:eastAsia="宋体"/>
          <w:color w:val="000000"/>
          <w:highlight w:val="none"/>
        </w:rPr>
      </w:r>
      <w:r/>
    </w:p>
    <w:tbl>
      <w:tblPr>
        <w:tblW w:w="10108" w:type="dxa"/>
        <w:jc w:val="center"/>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trHeight w:val="450"/>
        </w:trPr>
        <w:tc>
          <w:tcPr>
            <w:tcMar>
              <w:left w:w="0" w:type="dxa"/>
              <w:top w:w="0" w:type="dxa"/>
              <w:right w:w="0" w:type="dxa"/>
              <w:bottom w:w="0" w:type="dxa"/>
            </w:tcMar>
            <w:tcW w:w="2880" w:type="dxa"/>
            <w:vAlign w:val="center"/>
            <w:textDirection w:val="lrTb"/>
            <w:noWrap w:val="false"/>
          </w:tcPr>
          <w:p>
            <w:pPr>
              <w:pStyle w:val="1401"/>
              <w:jc w:val="center"/>
              <w:shd w:val="clear" w:color="auto" w:fill="auto"/>
              <w:rPr>
                <w:rFonts w:eastAsia="宋体"/>
                <w:color w:val="000000"/>
                <w:highlight w:val="none"/>
              </w:rPr>
            </w:pPr>
            <w:r>
              <w:rPr>
                <w:rFonts w:eastAsia="宋体"/>
                <w:color w:val="000000"/>
                <w:highlight w:val="none"/>
              </w:rPr>
              <w:t xml:space="preserve">项目</w:t>
            </w:r>
            <w:r>
              <w:rPr>
                <w:rFonts w:eastAsia="宋体"/>
                <w:color w:val="000000"/>
                <w:highlight w:val="none"/>
              </w:rPr>
            </w:r>
            <w:r/>
          </w:p>
        </w:tc>
        <w:tc>
          <w:tcPr>
            <w:tcMar>
              <w:left w:w="0" w:type="dxa"/>
              <w:top w:w="0" w:type="dxa"/>
              <w:right w:w="0" w:type="dxa"/>
              <w:bottom w:w="0" w:type="dxa"/>
            </w:tcMar>
            <w:tcW w:w="2879" w:type="dxa"/>
            <w:vAlign w:val="center"/>
            <w:textDirection w:val="lrTb"/>
            <w:noWrap w:val="false"/>
          </w:tcPr>
          <w:p>
            <w:pPr>
              <w:pStyle w:val="1401"/>
              <w:jc w:val="center"/>
              <w:shd w:val="clear" w:color="auto" w:fill="auto"/>
              <w:rPr>
                <w:rFonts w:eastAsia="宋体"/>
                <w:color w:val="000000"/>
                <w:highlight w:val="none"/>
              </w:rPr>
            </w:pPr>
            <w:r>
              <w:rPr>
                <w:rFonts w:eastAsia="宋体"/>
                <w:color w:val="000000"/>
                <w:highlight w:val="none"/>
              </w:rPr>
              <w:t xml:space="preserve">招标文件要求</w:t>
            </w:r>
            <w:r>
              <w:rPr>
                <w:rFonts w:eastAsia="宋体"/>
                <w:color w:val="000000"/>
                <w:highlight w:val="none"/>
              </w:rPr>
            </w:r>
            <w:r/>
          </w:p>
        </w:tc>
        <w:tc>
          <w:tcPr>
            <w:tcMar>
              <w:left w:w="0" w:type="dxa"/>
              <w:top w:w="0" w:type="dxa"/>
              <w:right w:w="0" w:type="dxa"/>
              <w:bottom w:w="0" w:type="dxa"/>
            </w:tcMar>
            <w:tcW w:w="906" w:type="dxa"/>
            <w:vAlign w:val="center"/>
            <w:textDirection w:val="lrTb"/>
            <w:noWrap w:val="false"/>
          </w:tcPr>
          <w:p>
            <w:pPr>
              <w:pStyle w:val="1401"/>
              <w:jc w:val="center"/>
              <w:shd w:val="clear" w:color="auto" w:fill="auto"/>
              <w:rPr>
                <w:rFonts w:eastAsia="宋体"/>
                <w:color w:val="000000"/>
                <w:highlight w:val="none"/>
              </w:rPr>
            </w:pPr>
            <w:r>
              <w:rPr>
                <w:rFonts w:eastAsia="宋体"/>
                <w:color w:val="000000"/>
                <w:highlight w:val="none"/>
              </w:rPr>
              <w:t xml:space="preserve">是否响应</w:t>
            </w:r>
            <w:r>
              <w:rPr>
                <w:rFonts w:eastAsia="宋体"/>
                <w:color w:val="000000"/>
                <w:highlight w:val="none"/>
              </w:rPr>
            </w:r>
            <w:r/>
          </w:p>
        </w:tc>
        <w:tc>
          <w:tcPr>
            <w:tcMar>
              <w:left w:w="0" w:type="dxa"/>
              <w:top w:w="0" w:type="dxa"/>
              <w:right w:w="0" w:type="dxa"/>
              <w:bottom w:w="0" w:type="dxa"/>
            </w:tcMar>
            <w:tcW w:w="3443" w:type="dxa"/>
            <w:vAlign w:val="center"/>
            <w:textDirection w:val="lrTb"/>
            <w:noWrap w:val="false"/>
          </w:tcPr>
          <w:p>
            <w:pPr>
              <w:pStyle w:val="1401"/>
              <w:jc w:val="center"/>
              <w:shd w:val="clear" w:color="auto" w:fill="auto"/>
              <w:rPr>
                <w:rFonts w:eastAsia="宋体"/>
                <w:color w:val="000000"/>
                <w:highlight w:val="none"/>
              </w:rPr>
            </w:pPr>
            <w:r>
              <w:rPr>
                <w:rFonts w:eastAsia="宋体"/>
                <w:color w:val="000000"/>
                <w:highlight w:val="none"/>
              </w:rPr>
              <w:t xml:space="preserve">投标人的承诺或说明</w:t>
            </w:r>
            <w:r>
              <w:rPr>
                <w:rFonts w:eastAsia="宋体"/>
                <w:color w:val="000000"/>
                <w:highlight w:val="none"/>
              </w:rPr>
            </w:r>
            <w:r/>
          </w:p>
        </w:tc>
      </w:tr>
    </w:tbl>
    <w:p>
      <w:pPr>
        <w:pStyle w:val="1401"/>
        <w:spacing w:before="240" w:after="240"/>
        <w:shd w:val="clear" w:color="auto" w:fill="auto"/>
        <w:rPr>
          <w:rFonts w:eastAsia="宋体"/>
          <w:color w:val="000000"/>
          <w:highlight w:val="none"/>
        </w:rPr>
        <w:sectPr>
          <w:footnotePr/>
          <w:endnotePr/>
          <w:type w:val="nextPage"/>
          <w:pgSz w:w="11906" w:h="16838" w:orient="portrait"/>
          <w:pgMar w:top="720" w:right="720" w:bottom="720" w:left="720" w:header="851" w:footer="992" w:gutter="0"/>
          <w:cols w:num="1" w:sep="0" w:space="1701" w:equalWidth="1"/>
          <w:docGrid w:linePitch="360"/>
          <w:titlePg/>
        </w:sectPr>
      </w:pPr>
      <w:r>
        <w:rPr>
          <w:rFonts w:eastAsia="宋体"/>
          <w:color w:val="000000"/>
          <w:highlight w:val="none"/>
        </w:rPr>
        <w:t xml:space="preserve">  </w:t>
      </w:r>
      <w:r>
        <w:rPr>
          <w:rFonts w:eastAsia="宋体"/>
          <w:color w:val="000000"/>
          <w:highlight w:val="none"/>
        </w:rPr>
      </w:r>
      <w:r/>
    </w:p>
    <w:p>
      <w:pPr>
        <w:pStyle w:val="790"/>
        <w:spacing w:line="360" w:lineRule="auto"/>
        <w:shd w:val="clear" w:color="auto" w:fill="auto"/>
        <w:rPr>
          <w:rFonts w:ascii="Times New Roman" w:hAnsi="Times New Roman"/>
          <w:b/>
          <w:color w:val="000000"/>
          <w:sz w:val="32"/>
          <w:highlight w:val="none"/>
        </w:rPr>
        <w:outlineLvl w:val="1"/>
      </w:pPr>
      <w:r/>
      <w:bookmarkStart w:id="117" w:name="_Toc209797872"/>
      <w:r>
        <w:rPr>
          <w:rFonts w:ascii="Times New Roman" w:hAnsi="Times New Roman"/>
          <w:b/>
          <w:color w:val="000000"/>
          <w:sz w:val="32"/>
          <w:highlight w:val="none"/>
        </w:rPr>
        <w:t xml:space="preserve">十</w:t>
      </w:r>
      <w:r>
        <w:rPr>
          <w:rFonts w:hint="eastAsia" w:ascii="Times New Roman" w:hAnsi="Times New Roman"/>
          <w:b/>
          <w:color w:val="000000"/>
          <w:sz w:val="32"/>
          <w:highlight w:val="none"/>
          <w:lang w:val="en-US" w:eastAsia="zh-CN"/>
        </w:rPr>
        <w:t xml:space="preserve">二</w:t>
      </w:r>
      <w:r>
        <w:rPr>
          <w:rFonts w:ascii="Times New Roman" w:hAnsi="Times New Roman"/>
          <w:b/>
          <w:color w:val="000000"/>
          <w:sz w:val="32"/>
          <w:highlight w:val="none"/>
        </w:rPr>
        <w:t xml:space="preserve">、其他材料</w:t>
      </w:r>
      <w:bookmarkEnd w:id="117"/>
      <w:r>
        <w:rPr>
          <w:rFonts w:ascii="Times New Roman" w:hAnsi="Times New Roman"/>
          <w:b/>
          <w:color w:val="000000"/>
          <w:sz w:val="32"/>
          <w:highlight w:val="none"/>
        </w:rPr>
      </w:r>
      <w:r/>
    </w:p>
    <w:sectPr>
      <w:footnotePr/>
      <w:endnotePr/>
      <w:type w:val="nextPage"/>
      <w:pgSz w:w="11906" w:h="16838" w:orient="portrait"/>
      <w:pgMar w:top="720" w:right="720" w:bottom="720" w:left="72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egoe UI Symbol">
    <w:panose1 w:val="020B0502040204020203"/>
  </w:font>
  <w:font w:name="Wingdings">
    <w:panose1 w:val="05000000000000000000"/>
  </w:font>
  <w:font w:name="Univers">
    <w:panose1 w:val="020B0503020202020204"/>
  </w:font>
  <w:font w:name="Symbol">
    <w:panose1 w:val="05050102010706020507"/>
  </w:font>
  <w:font w:name="新宋体">
    <w:panose1 w:val="02010609030101010101"/>
  </w:font>
  <w:font w:name="Microsoft YaHei UI">
    <w:panose1 w:val="020B0503020204020204"/>
  </w:font>
  <w:font w:name="Arial Unicode MS">
    <w:panose1 w:val="020B0604020202020204"/>
  </w:font>
  <w:font w:name="方正黑体_GBK">
    <w:panose1 w:val="020B0503020202020204"/>
  </w:font>
  <w:font w:name="MS Mincho">
    <w:panose1 w:val="02020603050405090304"/>
  </w:font>
  <w:font w:name="Tahoma">
    <w:panose1 w:val="020B0604030504040204"/>
  </w:font>
  <w:font w:name="等线">
    <w:panose1 w:val="02010600030101010101"/>
  </w:font>
  <w:font w:name="等线 Light">
    <w:panose1 w:val="02010600030101010101"/>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877"/>
      </w:rPr>
      <w:framePr w:wrap="around" w:vAnchor="text" w:hAnchor="margin" w:xAlign="center" w:y="1"/>
    </w:pPr>
    <w:r>
      <w:fldChar w:fldCharType="begin"/>
    </w:r>
    <w:r>
      <w:rPr>
        <w:rStyle w:val="877"/>
        <w:highlight w:val="white"/>
      </w:rPr>
      <w:instrText xml:space="preserve">PAGE  </w:instrText>
    </w:r>
    <w:r>
      <w:fldChar w:fldCharType="separate"/>
    </w:r>
    <w:r>
      <w:rPr>
        <w:rStyle w:val="877"/>
        <w:highlight w:val="white"/>
      </w:rPr>
      <w:t xml:space="preserve">2</w:t>
    </w:r>
    <w:r>
      <w:fldChar w:fldCharType="end"/>
    </w:r>
    <w:r>
      <w:rPr>
        <w:rStyle w:val="877"/>
      </w:rPr>
    </w:r>
    <w:r/>
  </w:p>
  <w:p>
    <w:pPr>
      <w:pStyle w:val="84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tabs>
        <w:tab w:val="center" w:pos="4153" w:leader="none"/>
        <w:tab w:val="right" w:pos="8306" w:leader="none"/>
      </w:tabs>
      <w:rPr>
        <w:rStyle w:val="877"/>
      </w:rPr>
      <w:framePr w:wrap="around" w:vAnchor="text" w:hAnchor="margin" w:xAlign="center" w:y="1"/>
    </w:pPr>
    <w:r>
      <w:fldChar w:fldCharType="begin"/>
    </w:r>
    <w:r>
      <w:rPr>
        <w:rStyle w:val="877"/>
        <w:highlight w:val="white"/>
      </w:rPr>
      <w:instrText xml:space="preserve">PAGE  </w:instrText>
    </w:r>
    <w:r>
      <w:fldChar w:fldCharType="end"/>
    </w:r>
    <w:r>
      <w:rPr>
        <w:rStyle w:val="877"/>
      </w:rPr>
    </w:r>
    <w:r/>
  </w:p>
  <w:p>
    <w:pPr>
      <w:pStyle w:val="84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4"/>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474"/>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40</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tabs>
        <w:tab w:val="center" w:pos="4153" w:leader="none"/>
        <w:tab w:val="right" w:pos="8306" w:leader="none"/>
      </w:tabs>
      <w:rPr>
        <w:rStyle w:val="877"/>
      </w:rPr>
      <w:framePr w:wrap="around" w:vAnchor="text" w:hAnchor="margin" w:xAlign="right" w:y="1"/>
    </w:pPr>
    <w:r>
      <w:fldChar w:fldCharType="begin"/>
    </w:r>
    <w:r>
      <w:rPr>
        <w:rStyle w:val="877"/>
        <w:color w:val="000000"/>
        <w:highlight w:val="white"/>
      </w:rPr>
      <w:instrText xml:space="preserve">PAGE  </w:instrText>
    </w:r>
    <w:r>
      <w:fldChar w:fldCharType="end"/>
    </w:r>
    <w:r>
      <w:rPr>
        <w:rStyle w:val="877"/>
      </w:rPr>
    </w:r>
    <w:r/>
  </w:p>
  <w:p>
    <w:pPr>
      <w:pStyle w:val="844"/>
      <w:ind w:right="360" w:firstLine="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68</w:t>
    </w:r>
    <w:r>
      <w:fldChar w:fldCharType="end"/>
    </w:r>
    <w:r/>
  </w:p>
  <w:p>
    <w:pPr>
      <w:pStyle w:val="844"/>
      <w:ind w:firstLine="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ind w:firstLine="360"/>
      <w:tabs>
        <w:tab w:val="center" w:pos="4153" w:leader="none"/>
        <w:tab w:val="right" w:pos="8306" w:leader="none"/>
      </w:tabs>
      <w:rPr>
        <w:rStyle w:val="882"/>
      </w:rPr>
      <w:framePr w:wrap="around" w:vAnchor="text" w:hAnchor="margin" w:xAlign="right" w:y="1"/>
    </w:pPr>
    <w:r>
      <w:fldChar w:fldCharType="begin"/>
    </w:r>
    <w:r>
      <w:rPr>
        <w:rStyle w:val="882"/>
        <w:color w:val="000000"/>
        <w:highlight w:val="white"/>
      </w:rPr>
      <w:instrText xml:space="preserve">PAGE  </w:instrText>
    </w:r>
    <w:r>
      <w:fldChar w:fldCharType="separate"/>
    </w:r>
    <w:r>
      <w:fldChar w:fldCharType="end"/>
    </w:r>
    <w:r>
      <w:rPr>
        <w:rStyle w:val="882"/>
      </w:rPr>
    </w:r>
    <w:r/>
  </w:p>
  <w:p>
    <w:pPr>
      <w:pStyle w:val="1476"/>
      <w:ind w:right="360" w:firstLine="360"/>
      <w:tabs>
        <w:tab w:val="center" w:pos="4153" w:leader="none"/>
        <w:tab w:val="right" w:pos="8306" w:leader="none"/>
      </w:tabs>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76"/>
      <w:ind w:firstLine="360"/>
      <w:jc w:val="center"/>
      <w:tabs>
        <w:tab w:val="center" w:pos="4153" w:leader="none"/>
        <w:tab w:val="right"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1476"/>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63"/>
      <w:isLgl w:val="false"/>
      <w:suff w:val="tab"/>
      <w:lvlText w:val="%1."/>
      <w:lvlJc w:val="left"/>
      <w:pPr>
        <w:pStyle w:val="790"/>
        <w:ind w:left="709" w:hanging="709"/>
        <w:tabs>
          <w:tab w:val="num" w:pos="709" w:leader="none"/>
        </w:tabs>
      </w:pPr>
    </w:lvl>
    <w:lvl w:ilvl="1">
      <w:start w:val="1"/>
      <w:numFmt w:val="decimal"/>
      <w:isLgl w:val="false"/>
      <w:suff w:val="tab"/>
      <w:lvlText w:val="%1.%2"/>
      <w:lvlJc w:val="left"/>
      <w:pPr>
        <w:pStyle w:val="790"/>
        <w:ind w:left="709" w:hanging="709"/>
        <w:tabs>
          <w:tab w:val="num" w:pos="709" w:leader="none"/>
        </w:tabs>
      </w:pPr>
    </w:lvl>
    <w:lvl w:ilvl="2">
      <w:start w:val="1"/>
      <w:numFmt w:val="decimal"/>
      <w:isLgl w:val="false"/>
      <w:suff w:val="tab"/>
      <w:lvlText w:val="%1.%2.%3."/>
      <w:lvlJc w:val="left"/>
      <w:pPr>
        <w:pStyle w:val="790"/>
        <w:ind w:left="425" w:hanging="425"/>
        <w:tabs>
          <w:tab w:val="num" w:pos="425" w:leader="none"/>
        </w:tabs>
      </w:pPr>
    </w:lvl>
    <w:lvl w:ilvl="3">
      <w:start w:val="1"/>
      <w:numFmt w:val="decimal"/>
      <w:isLgl w:val="false"/>
      <w:suff w:val="tab"/>
      <w:lvlText w:val="%1.%2.%3.%4."/>
      <w:lvlJc w:val="left"/>
      <w:pPr>
        <w:pStyle w:val="790"/>
        <w:ind w:left="851" w:hanging="851"/>
        <w:tabs>
          <w:tab w:val="num" w:pos="851" w:leader="none"/>
        </w:tabs>
      </w:pPr>
    </w:lvl>
    <w:lvl w:ilvl="4">
      <w:start w:val="1"/>
      <w:numFmt w:val="decimal"/>
      <w:isLgl w:val="false"/>
      <w:suff w:val="tab"/>
      <w:lvlText w:val="%1.%2.%3.%4.%5."/>
      <w:lvlJc w:val="left"/>
      <w:pPr>
        <w:pStyle w:val="790"/>
        <w:ind w:left="992" w:hanging="992"/>
        <w:tabs>
          <w:tab w:val="num" w:pos="992" w:leader="none"/>
        </w:tabs>
      </w:pPr>
    </w:lvl>
    <w:lvl w:ilvl="5">
      <w:start w:val="1"/>
      <w:numFmt w:val="decimal"/>
      <w:isLgl w:val="false"/>
      <w:suff w:val="tab"/>
      <w:lvlText w:val="%1.%2.%3.%4.%5.%6."/>
      <w:lvlJc w:val="left"/>
      <w:pPr>
        <w:pStyle w:val="790"/>
        <w:ind w:left="1134" w:hanging="1134"/>
        <w:tabs>
          <w:tab w:val="num" w:pos="1134" w:leader="none"/>
        </w:tabs>
      </w:pPr>
    </w:lvl>
    <w:lvl w:ilvl="6">
      <w:start w:val="1"/>
      <w:numFmt w:val="decimal"/>
      <w:isLgl w:val="false"/>
      <w:suff w:val="tab"/>
      <w:lvlText w:val="%1.%2.%3.%4.%5.%6.%7."/>
      <w:lvlJc w:val="left"/>
      <w:pPr>
        <w:pStyle w:val="790"/>
        <w:ind w:left="1276" w:hanging="1276"/>
        <w:tabs>
          <w:tab w:val="num" w:pos="1276" w:leader="none"/>
        </w:tabs>
      </w:pPr>
    </w:lvl>
    <w:lvl w:ilvl="7">
      <w:start w:val="1"/>
      <w:numFmt w:val="decimal"/>
      <w:isLgl w:val="false"/>
      <w:suff w:val="tab"/>
      <w:lvlText w:val="%1.%2.%3.%4.%5.%6.%7.%8."/>
      <w:lvlJc w:val="left"/>
      <w:pPr>
        <w:pStyle w:val="790"/>
        <w:ind w:left="1418" w:hanging="1418"/>
        <w:tabs>
          <w:tab w:val="num" w:pos="1418" w:leader="none"/>
        </w:tabs>
      </w:pPr>
    </w:lvl>
    <w:lvl w:ilvl="8">
      <w:start w:val="1"/>
      <w:numFmt w:val="decimal"/>
      <w:isLgl w:val="false"/>
      <w:suff w:val="tab"/>
      <w:lvlText w:val="%1.%2.%3.%4.%5.%6.%7.%8.%9."/>
      <w:lvlJc w:val="left"/>
      <w:pPr>
        <w:pStyle w:val="790"/>
        <w:ind w:left="1559" w:hanging="1559"/>
        <w:tabs>
          <w:tab w:val="num" w:pos="1559" w:leader="none"/>
        </w:tabs>
      </w:pPr>
    </w:lvl>
  </w:abstractNum>
  <w:abstractNum w:abstractNumId="1">
    <w:multiLevelType w:val="hybridMultilevel"/>
    <w:lvl w:ilvl="0">
      <w:start w:val="1"/>
      <w:numFmt w:val="decimal"/>
      <w:pStyle w:val="829"/>
      <w:isLgl w:val="false"/>
      <w:suff w:val="tab"/>
      <w:lvlText w:val="(%1)"/>
      <w:lvlJc w:val="left"/>
      <w:pPr>
        <w:pStyle w:val="790"/>
        <w:ind w:left="397" w:hanging="397"/>
        <w:tabs>
          <w:tab w:val="num"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pStyle w:val="790"/>
        <w:ind w:left="840" w:hanging="420"/>
        <w:tabs>
          <w:tab w:val="num" w:pos="840" w:leader="none"/>
        </w:tabs>
      </w:pPr>
    </w:lvl>
    <w:lvl w:ilvl="2">
      <w:start w:val="1"/>
      <w:numFmt w:val="lowerRoman"/>
      <w:isLgl w:val="false"/>
      <w:suff w:val="tab"/>
      <w:lvlText w:val="%3."/>
      <w:lvlJc w:val="right"/>
      <w:pPr>
        <w:pStyle w:val="790"/>
        <w:ind w:left="1260" w:hanging="420"/>
        <w:tabs>
          <w:tab w:val="num" w:pos="1260" w:leader="none"/>
        </w:tabs>
      </w:pPr>
    </w:lvl>
    <w:lvl w:ilvl="3">
      <w:start w:val="1"/>
      <w:numFmt w:val="decimal"/>
      <w:isLgl w:val="false"/>
      <w:suff w:val="tab"/>
      <w:lvlText w:val="%4."/>
      <w:lvlJc w:val="left"/>
      <w:pPr>
        <w:pStyle w:val="790"/>
        <w:ind w:left="1680" w:hanging="420"/>
        <w:tabs>
          <w:tab w:val="num" w:pos="1680" w:leader="none"/>
        </w:tabs>
      </w:pPr>
    </w:lvl>
    <w:lvl w:ilvl="4">
      <w:start w:val="1"/>
      <w:numFmt w:val="lowerLetter"/>
      <w:isLgl w:val="false"/>
      <w:suff w:val="tab"/>
      <w:lvlText w:val="%5)"/>
      <w:lvlJc w:val="left"/>
      <w:pPr>
        <w:pStyle w:val="790"/>
        <w:ind w:left="2100" w:hanging="420"/>
        <w:tabs>
          <w:tab w:val="num" w:pos="2100" w:leader="none"/>
        </w:tabs>
      </w:pPr>
    </w:lvl>
    <w:lvl w:ilvl="5">
      <w:start w:val="1"/>
      <w:numFmt w:val="lowerRoman"/>
      <w:isLgl w:val="false"/>
      <w:suff w:val="tab"/>
      <w:lvlText w:val="%6."/>
      <w:lvlJc w:val="right"/>
      <w:pPr>
        <w:pStyle w:val="790"/>
        <w:ind w:left="2520" w:hanging="420"/>
        <w:tabs>
          <w:tab w:val="num" w:pos="2520" w:leader="none"/>
        </w:tabs>
      </w:pPr>
    </w:lvl>
    <w:lvl w:ilvl="6">
      <w:start w:val="1"/>
      <w:numFmt w:val="decimal"/>
      <w:isLgl w:val="false"/>
      <w:suff w:val="tab"/>
      <w:lvlText w:val="%7."/>
      <w:lvlJc w:val="left"/>
      <w:pPr>
        <w:pStyle w:val="790"/>
        <w:ind w:left="2940" w:hanging="420"/>
        <w:tabs>
          <w:tab w:val="num" w:pos="2940" w:leader="none"/>
        </w:tabs>
      </w:pPr>
    </w:lvl>
    <w:lvl w:ilvl="7">
      <w:start w:val="1"/>
      <w:numFmt w:val="lowerLetter"/>
      <w:isLgl w:val="false"/>
      <w:suff w:val="tab"/>
      <w:lvlText w:val="%8)"/>
      <w:lvlJc w:val="left"/>
      <w:pPr>
        <w:pStyle w:val="790"/>
        <w:ind w:left="3360" w:hanging="420"/>
        <w:tabs>
          <w:tab w:val="num" w:pos="3360" w:leader="none"/>
        </w:tabs>
      </w:pPr>
    </w:lvl>
    <w:lvl w:ilvl="8">
      <w:start w:val="1"/>
      <w:numFmt w:val="lowerRoman"/>
      <w:isLgl w:val="false"/>
      <w:suff w:val="tab"/>
      <w:lvlText w:val="%9."/>
      <w:lvlJc w:val="right"/>
      <w:pPr>
        <w:pStyle w:val="790"/>
        <w:ind w:left="3780" w:hanging="420"/>
        <w:tabs>
          <w:tab w:val="num" w:pos="3780" w:leader="none"/>
        </w:tabs>
      </w:pPr>
    </w:lvl>
  </w:abstractNum>
  <w:abstractNum w:abstractNumId="2">
    <w:multiLevelType w:val="hybridMultilevel"/>
    <w:lvl w:ilvl="0">
      <w:start w:val="1"/>
      <w:numFmt w:val="decimal"/>
      <w:pStyle w:val="813"/>
      <w:isLgl w:val="false"/>
      <w:suff w:val="tab"/>
      <w:lvlText w:val="%1)"/>
      <w:lvlJc w:val="left"/>
      <w:pPr>
        <w:pStyle w:val="790"/>
        <w:ind w:left="420" w:hanging="420"/>
        <w:tabs>
          <w:tab w:val="num" w:pos="420" w:leader="none"/>
        </w:tabs>
      </w:pPr>
    </w:lvl>
    <w:lvl w:ilvl="1">
      <w:start w:val="1"/>
      <w:numFmt w:val="bullet"/>
      <w:isLgl w:val="false"/>
      <w:suff w:val="tab"/>
      <w:lvlText w:val="o"/>
      <w:lvlJc w:val="left"/>
      <w:pPr>
        <w:pStyle w:val="790"/>
        <w:ind w:left="1440" w:hanging="360"/>
      </w:pPr>
      <w:rPr>
        <w:rFonts w:ascii="Courier New" w:hAnsi="Courier New" w:eastAsia="Courier New" w:cs="Courier New"/>
      </w:rPr>
    </w:lvl>
    <w:lvl w:ilvl="2">
      <w:start w:val="1"/>
      <w:numFmt w:val="bullet"/>
      <w:isLgl w:val="false"/>
      <w:suff w:val="tab"/>
      <w:lvlText w:val="§"/>
      <w:lvlJc w:val="left"/>
      <w:pPr>
        <w:pStyle w:val="790"/>
        <w:ind w:left="2160" w:hanging="360"/>
      </w:pPr>
      <w:rPr>
        <w:rFonts w:ascii="Wingdings" w:hAnsi="Wingdings" w:eastAsia="Wingdings" w:cs="Wingdings"/>
      </w:rPr>
    </w:lvl>
    <w:lvl w:ilvl="3">
      <w:start w:val="1"/>
      <w:numFmt w:val="bullet"/>
      <w:isLgl w:val="false"/>
      <w:suff w:val="tab"/>
      <w:lvlText w:val="·"/>
      <w:lvlJc w:val="left"/>
      <w:pPr>
        <w:pStyle w:val="790"/>
        <w:ind w:left="2880" w:hanging="360"/>
      </w:pPr>
      <w:rPr>
        <w:rFonts w:ascii="Symbol" w:hAnsi="Symbol" w:eastAsia="Symbol" w:cs="Symbol"/>
      </w:rPr>
    </w:lvl>
    <w:lvl w:ilvl="4">
      <w:start w:val="1"/>
      <w:numFmt w:val="bullet"/>
      <w:isLgl w:val="false"/>
      <w:suff w:val="tab"/>
      <w:lvlText w:val="o"/>
      <w:lvlJc w:val="left"/>
      <w:pPr>
        <w:pStyle w:val="790"/>
        <w:ind w:left="3600" w:hanging="360"/>
      </w:pPr>
      <w:rPr>
        <w:rFonts w:ascii="Courier New" w:hAnsi="Courier New" w:eastAsia="Courier New" w:cs="Courier New"/>
      </w:rPr>
    </w:lvl>
    <w:lvl w:ilvl="5">
      <w:start w:val="1"/>
      <w:numFmt w:val="bullet"/>
      <w:isLgl w:val="false"/>
      <w:suff w:val="tab"/>
      <w:lvlText w:val="§"/>
      <w:lvlJc w:val="left"/>
      <w:pPr>
        <w:pStyle w:val="790"/>
        <w:ind w:left="4320" w:hanging="360"/>
      </w:pPr>
      <w:rPr>
        <w:rFonts w:ascii="Wingdings" w:hAnsi="Wingdings" w:eastAsia="Wingdings" w:cs="Wingdings"/>
      </w:rPr>
    </w:lvl>
    <w:lvl w:ilvl="6">
      <w:start w:val="1"/>
      <w:numFmt w:val="bullet"/>
      <w:isLgl w:val="false"/>
      <w:suff w:val="tab"/>
      <w:lvlText w:val="·"/>
      <w:lvlJc w:val="left"/>
      <w:pPr>
        <w:pStyle w:val="790"/>
        <w:ind w:left="5040" w:hanging="360"/>
      </w:pPr>
      <w:rPr>
        <w:rFonts w:ascii="Symbol" w:hAnsi="Symbol" w:eastAsia="Symbol" w:cs="Symbol"/>
      </w:rPr>
    </w:lvl>
    <w:lvl w:ilvl="7">
      <w:start w:val="1"/>
      <w:numFmt w:val="bullet"/>
      <w:isLgl w:val="false"/>
      <w:suff w:val="tab"/>
      <w:lvlText w:val="o"/>
      <w:lvlJc w:val="left"/>
      <w:pPr>
        <w:pStyle w:val="790"/>
        <w:ind w:left="5760" w:hanging="360"/>
      </w:pPr>
      <w:rPr>
        <w:rFonts w:ascii="Courier New" w:hAnsi="Courier New" w:eastAsia="Courier New" w:cs="Courier New"/>
      </w:rPr>
    </w:lvl>
    <w:lvl w:ilvl="8">
      <w:start w:val="1"/>
      <w:numFmt w:val="bullet"/>
      <w:isLgl w:val="false"/>
      <w:suff w:val="tab"/>
      <w:lvlText w:val="§"/>
      <w:lvlJc w:val="left"/>
      <w:pPr>
        <w:pStyle w:val="790"/>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90"/>
        <w:ind w:left="0" w:firstLine="0"/>
        <w:tabs>
          <w:tab w:val="num" w:pos="0" w:leader="none"/>
        </w:tabs>
      </w:pPr>
    </w:lvl>
    <w:lvl w:ilvl="1">
      <w:start w:val="1"/>
      <w:numFmt w:val="decimal"/>
      <w:isLgl w:val="false"/>
      <w:suff w:val="nothing"/>
      <w:lvlText w:val="%2、"/>
      <w:lvlJc w:val="left"/>
      <w:pPr>
        <w:pStyle w:val="790"/>
        <w:ind w:left="0" w:firstLine="0"/>
        <w:tabs>
          <w:tab w:val="num" w:pos="0" w:leader="none"/>
        </w:tabs>
      </w:pPr>
    </w:lvl>
    <w:lvl w:ilvl="2">
      <w:start w:val="1"/>
      <w:numFmt w:val="decimal"/>
      <w:isLgl w:val="false"/>
      <w:suff w:val="nothing"/>
      <w:lvlText w:val="%2.%3 "/>
      <w:lvlJc w:val="left"/>
      <w:pPr>
        <w:pStyle w:val="790"/>
        <w:ind w:left="0" w:firstLine="0"/>
        <w:tabs>
          <w:tab w:val="num" w:pos="0" w:leader="none"/>
        </w:tabs>
      </w:pPr>
    </w:lvl>
    <w:lvl w:ilvl="3">
      <w:start w:val="1"/>
      <w:numFmt w:val="decimal"/>
      <w:isLgl w:val="false"/>
      <w:suff w:val="nothing"/>
      <w:lvlText w:val="%2.%3.%4 "/>
      <w:lvlJc w:val="left"/>
      <w:pPr>
        <w:pStyle w:val="790"/>
        <w:ind w:left="0" w:firstLine="0"/>
        <w:tabs>
          <w:tab w:val="num" w:pos="0" w:leader="none"/>
        </w:tabs>
      </w:pPr>
    </w:lvl>
    <w:lvl w:ilvl="4">
      <w:start w:val="1"/>
      <w:numFmt w:val="decimal"/>
      <w:isLgl w:val="false"/>
      <w:suff w:val="nothing"/>
      <w:lvlText w:val="%2.%3.%4.%5 "/>
      <w:lvlJc w:val="left"/>
      <w:pPr>
        <w:pStyle w:val="790"/>
        <w:ind w:left="0" w:firstLine="0"/>
        <w:tabs>
          <w:tab w:val="num" w:pos="0" w:leader="none"/>
        </w:tabs>
      </w:pPr>
    </w:lvl>
    <w:lvl w:ilvl="5">
      <w:start w:val="1"/>
      <w:numFmt w:val="decimal"/>
      <w:pStyle w:val="796"/>
      <w:isLgl w:val="false"/>
      <w:suff w:val="nothing"/>
      <w:lvlText w:val=""/>
      <w:lvlJc w:val="left"/>
      <w:pPr>
        <w:pStyle w:val="790"/>
        <w:ind w:left="0" w:firstLine="0"/>
        <w:tabs>
          <w:tab w:val="num" w:pos="0" w:leader="none"/>
        </w:tabs>
      </w:pPr>
    </w:lvl>
    <w:lvl w:ilvl="6">
      <w:start w:val="1"/>
      <w:numFmt w:val="decimal"/>
      <w:pStyle w:val="797"/>
      <w:isLgl w:val="false"/>
      <w:suff w:val="nothing"/>
      <w:lvlText w:val=""/>
      <w:lvlJc w:val="left"/>
      <w:pPr>
        <w:pStyle w:val="790"/>
        <w:ind w:left="0" w:firstLine="0"/>
        <w:tabs>
          <w:tab w:val="num" w:pos="0" w:leader="none"/>
        </w:tabs>
      </w:pPr>
    </w:lvl>
    <w:lvl w:ilvl="7">
      <w:start w:val="1"/>
      <w:numFmt w:val="decimal"/>
      <w:pStyle w:val="798"/>
      <w:isLgl w:val="false"/>
      <w:suff w:val="nothing"/>
      <w:lvlText w:val=""/>
      <w:lvlJc w:val="left"/>
      <w:pPr>
        <w:pStyle w:val="790"/>
        <w:ind w:left="0" w:firstLine="0"/>
        <w:tabs>
          <w:tab w:val="num" w:pos="0" w:leader="none"/>
        </w:tabs>
      </w:pPr>
    </w:lvl>
    <w:lvl w:ilvl="8">
      <w:start w:val="1"/>
      <w:numFmt w:val="decimal"/>
      <w:pStyle w:val="799"/>
      <w:isLgl w:val="false"/>
      <w:suff w:val="nothing"/>
      <w:lvlText w:val=""/>
      <w:lvlJc w:val="left"/>
      <w:pPr>
        <w:pStyle w:val="790"/>
        <w:ind w:left="0" w:firstLine="0"/>
        <w:tabs>
          <w:tab w:val="num" w:pos="0" w:leader="none"/>
        </w:tabs>
      </w:pPr>
    </w:lvl>
  </w:abstractNum>
  <w:abstractNum w:abstractNumId="4">
    <w:multiLevelType w:val="hybridMultilevel"/>
    <w:lvl w:ilvl="0">
      <w:start w:val="1"/>
      <w:numFmt w:val="bullet"/>
      <w:pStyle w:val="1080"/>
      <w:isLgl w:val="false"/>
      <w:suff w:val="tab"/>
      <w:lvlText w:val=""/>
      <w:lvlJc w:val="left"/>
      <w:pPr>
        <w:pStyle w:val="790"/>
        <w:ind w:left="284" w:hanging="284"/>
        <w:tabs>
          <w:tab w:val="num" w:pos="284" w:leader="none"/>
        </w:tabs>
      </w:pPr>
      <w:rPr>
        <w:rFonts w:ascii="Wingdings" w:hAnsi="Wingdings"/>
        <w:strike w:val="0"/>
        <w:color w:val="000000"/>
        <w:sz w:val="13"/>
        <w:u w:val="none"/>
      </w:rPr>
    </w:lvl>
    <w:lvl w:ilvl="1">
      <w:start w:val="1"/>
      <w:numFmt w:val="bullet"/>
      <w:isLgl w:val="false"/>
      <w:suff w:val="tab"/>
      <w:lvlText w:val=""/>
      <w:lvlJc w:val="left"/>
      <w:pPr>
        <w:pStyle w:val="790"/>
        <w:ind w:left="840" w:hanging="420"/>
        <w:tabs>
          <w:tab w:val="num" w:pos="840" w:leader="none"/>
        </w:tabs>
      </w:pPr>
      <w:rPr>
        <w:rFonts w:ascii="Wingdings" w:hAnsi="Wingdings"/>
      </w:rPr>
    </w:lvl>
    <w:lvl w:ilvl="2">
      <w:start w:val="1"/>
      <w:numFmt w:val="bullet"/>
      <w:isLgl w:val="false"/>
      <w:suff w:val="tab"/>
      <w:lvlText w:val=""/>
      <w:lvlJc w:val="left"/>
      <w:pPr>
        <w:pStyle w:val="790"/>
        <w:ind w:left="1260" w:hanging="420"/>
        <w:tabs>
          <w:tab w:val="num" w:pos="1260" w:leader="none"/>
        </w:tabs>
      </w:pPr>
      <w:rPr>
        <w:rFonts w:ascii="Wingdings" w:hAnsi="Wingdings"/>
      </w:rPr>
    </w:lvl>
    <w:lvl w:ilvl="3">
      <w:start w:val="1"/>
      <w:numFmt w:val="bullet"/>
      <w:isLgl w:val="false"/>
      <w:suff w:val="tab"/>
      <w:lvlText w:val=""/>
      <w:lvlJc w:val="left"/>
      <w:pPr>
        <w:pStyle w:val="790"/>
        <w:ind w:left="1680" w:hanging="420"/>
        <w:tabs>
          <w:tab w:val="num" w:pos="1680" w:leader="none"/>
        </w:tabs>
      </w:pPr>
      <w:rPr>
        <w:rFonts w:ascii="Wingdings" w:hAnsi="Wingdings"/>
      </w:rPr>
    </w:lvl>
    <w:lvl w:ilvl="4">
      <w:start w:val="1"/>
      <w:numFmt w:val="bullet"/>
      <w:isLgl w:val="false"/>
      <w:suff w:val="tab"/>
      <w:lvlText w:val=""/>
      <w:lvlJc w:val="left"/>
      <w:pPr>
        <w:pStyle w:val="790"/>
        <w:ind w:left="2100" w:hanging="420"/>
        <w:tabs>
          <w:tab w:val="num" w:pos="2100" w:leader="none"/>
        </w:tabs>
      </w:pPr>
      <w:rPr>
        <w:rFonts w:ascii="Wingdings" w:hAnsi="Wingdings"/>
      </w:rPr>
    </w:lvl>
    <w:lvl w:ilvl="5">
      <w:start w:val="1"/>
      <w:numFmt w:val="bullet"/>
      <w:isLgl w:val="false"/>
      <w:suff w:val="tab"/>
      <w:lvlText w:val=""/>
      <w:lvlJc w:val="left"/>
      <w:pPr>
        <w:pStyle w:val="790"/>
        <w:ind w:left="2520" w:hanging="420"/>
        <w:tabs>
          <w:tab w:val="num" w:pos="2520" w:leader="none"/>
        </w:tabs>
      </w:pPr>
      <w:rPr>
        <w:rFonts w:ascii="Wingdings" w:hAnsi="Wingdings"/>
      </w:rPr>
    </w:lvl>
    <w:lvl w:ilvl="6">
      <w:start w:val="1"/>
      <w:numFmt w:val="bullet"/>
      <w:isLgl w:val="false"/>
      <w:suff w:val="tab"/>
      <w:lvlText w:val=""/>
      <w:lvlJc w:val="left"/>
      <w:pPr>
        <w:pStyle w:val="790"/>
        <w:ind w:left="2940" w:hanging="420"/>
        <w:tabs>
          <w:tab w:val="num" w:pos="2940" w:leader="none"/>
        </w:tabs>
      </w:pPr>
      <w:rPr>
        <w:rFonts w:ascii="Wingdings" w:hAnsi="Wingdings"/>
      </w:rPr>
    </w:lvl>
    <w:lvl w:ilvl="7">
      <w:start w:val="1"/>
      <w:numFmt w:val="bullet"/>
      <w:isLgl w:val="false"/>
      <w:suff w:val="tab"/>
      <w:lvlText w:val=""/>
      <w:lvlJc w:val="left"/>
      <w:pPr>
        <w:pStyle w:val="790"/>
        <w:ind w:left="3360" w:hanging="420"/>
        <w:tabs>
          <w:tab w:val="num" w:pos="3360" w:leader="none"/>
        </w:tabs>
      </w:pPr>
      <w:rPr>
        <w:rFonts w:ascii="Wingdings" w:hAnsi="Wingdings"/>
      </w:rPr>
    </w:lvl>
    <w:lvl w:ilvl="8">
      <w:start w:val="1"/>
      <w:numFmt w:val="bullet"/>
      <w:isLgl w:val="false"/>
      <w:suff w:val="tab"/>
      <w:lvlText w:val=""/>
      <w:lvlJc w:val="left"/>
      <w:pPr>
        <w:pStyle w:val="790"/>
        <w:ind w:left="3780" w:hanging="420"/>
        <w:tabs>
          <w:tab w:val="num" w:pos="3780" w:leader="none"/>
        </w:tabs>
      </w:pPr>
      <w:rPr>
        <w:rFonts w:ascii="Wingdings" w:hAnsi="Wingdings"/>
      </w:rPr>
    </w:lvl>
  </w:abstractNum>
  <w:abstractNum w:abstractNumId="5">
    <w:multiLevelType w:val="hybridMultilevel"/>
    <w:lvl w:ilvl="0">
      <w:start w:val="1"/>
      <w:numFmt w:val="decimal"/>
      <w:pStyle w:val="1199"/>
      <w:isLgl w:val="false"/>
      <w:suff w:val="tab"/>
      <w:lvlText w:val="第%1章"/>
      <w:lvlJc w:val="left"/>
      <w:pPr>
        <w:pStyle w:val="790"/>
        <w:ind w:left="709" w:hanging="425"/>
      </w:pPr>
      <w:rPr>
        <w:rFonts w:hint="eastAsia" w:eastAsia="宋体"/>
        <w:sz w:val="28"/>
        <w:lang w:val="en-US"/>
      </w:rPr>
    </w:lvl>
    <w:lvl w:ilvl="1">
      <w:start w:val="1"/>
      <w:numFmt w:val="decimal"/>
      <w:isLgl w:val="false"/>
      <w:suff w:val="tab"/>
      <w:lvlText w:val="%1.%2"/>
      <w:lvlJc w:val="left"/>
      <w:pPr>
        <w:pStyle w:val="790"/>
        <w:ind w:left="880" w:hanging="879"/>
      </w:pPr>
      <w:rPr>
        <w:rFonts w:hint="eastAsia" w:ascii="宋体" w:hAnsi="宋体" w:eastAsia="宋体"/>
        <w:sz w:val="28"/>
      </w:rPr>
    </w:lvl>
    <w:lvl w:ilvl="2">
      <w:start w:val="1"/>
      <w:numFmt w:val="decimal"/>
      <w:isLgl w:val="false"/>
      <w:suff w:val="tab"/>
      <w:lvlText w:val="%1.%2.%3"/>
      <w:lvlJc w:val="left"/>
      <w:pPr>
        <w:pStyle w:val="790"/>
        <w:ind w:left="5444" w:hanging="1191"/>
      </w:pPr>
      <w:rPr>
        <w:rFonts w:hint="eastAsia" w:ascii="宋体" w:hAnsi="宋体" w:eastAsia="宋体"/>
        <w:sz w:val="28"/>
      </w:rPr>
    </w:lvl>
    <w:lvl w:ilvl="3">
      <w:start w:val="1"/>
      <w:numFmt w:val="decimal"/>
      <w:isLgl w:val="false"/>
      <w:suff w:val="tab"/>
      <w:lvlText w:val="%1.%2.%3.%4"/>
      <w:lvlJc w:val="left"/>
      <w:pPr>
        <w:pStyle w:val="790"/>
        <w:ind w:left="1275" w:hanging="1644"/>
      </w:pPr>
      <w:rPr>
        <w:rFonts w:hint="eastAsia" w:ascii="宋体" w:hAnsi="宋体" w:eastAsia="宋体"/>
        <w:sz w:val="28"/>
      </w:rPr>
    </w:lvl>
    <w:lvl w:ilvl="4">
      <w:start w:val="1"/>
      <w:numFmt w:val="decimal"/>
      <w:isLgl w:val="false"/>
      <w:suff w:val="tab"/>
      <w:lvlText w:val="%1.%2.%3.%4.%5"/>
      <w:lvlJc w:val="left"/>
      <w:pPr>
        <w:pStyle w:val="790"/>
        <w:ind w:left="1842" w:hanging="2097"/>
      </w:pPr>
      <w:rPr>
        <w:rFonts w:hint="eastAsia"/>
      </w:rPr>
    </w:lvl>
    <w:lvl w:ilvl="5">
      <w:start w:val="1"/>
      <w:numFmt w:val="decimal"/>
      <w:isLgl w:val="false"/>
      <w:suff w:val="tab"/>
      <w:lvlText w:val="%1.%2.%3.%4.%5.%6"/>
      <w:lvlJc w:val="left"/>
      <w:pPr>
        <w:pStyle w:val="790"/>
        <w:ind w:left="2551" w:hanging="2693"/>
      </w:pPr>
      <w:rPr>
        <w:rFonts w:hint="eastAsia"/>
      </w:rPr>
    </w:lvl>
    <w:lvl w:ilvl="6">
      <w:start w:val="1"/>
      <w:numFmt w:val="decimal"/>
      <w:isLgl w:val="false"/>
      <w:suff w:val="tab"/>
      <w:lvlText w:val="%1.%2.%3.%4.%5.%6.%7"/>
      <w:lvlJc w:val="left"/>
      <w:pPr>
        <w:pStyle w:val="790"/>
        <w:ind w:left="3118" w:hanging="3147"/>
      </w:pPr>
      <w:rPr>
        <w:rFonts w:hint="eastAsia"/>
      </w:rPr>
    </w:lvl>
    <w:lvl w:ilvl="7">
      <w:start w:val="1"/>
      <w:numFmt w:val="decimal"/>
      <w:isLgl w:val="false"/>
      <w:suff w:val="tab"/>
      <w:lvlText w:val="%1.%2.%3.%4.%5.%6.%7.%8"/>
      <w:lvlJc w:val="left"/>
      <w:pPr>
        <w:pStyle w:val="790"/>
        <w:ind w:left="3685" w:hanging="3600"/>
      </w:pPr>
      <w:rPr>
        <w:rFonts w:hint="eastAsia"/>
      </w:rPr>
    </w:lvl>
    <w:lvl w:ilvl="8">
      <w:start w:val="1"/>
      <w:numFmt w:val="decimal"/>
      <w:isLgl w:val="false"/>
      <w:suff w:val="tab"/>
      <w:lvlText w:val="%1.%2.%3.%4.%5.%6.%7.%8.%9"/>
      <w:lvlJc w:val="left"/>
      <w:pPr>
        <w:pStyle w:val="790"/>
        <w:ind w:left="4393" w:hanging="4195"/>
      </w:pPr>
      <w:rPr>
        <w:rFonts w:hint="eastAsia"/>
      </w:rPr>
    </w:lvl>
  </w:abstractNum>
  <w:abstractNum w:abstractNumId="6">
    <w:multiLevelType w:val="hybridMultilevel"/>
    <w:lvl w:ilvl="0">
      <w:start w:val="1"/>
      <w:numFmt w:val="upperLetter"/>
      <w:pStyle w:val="828"/>
      <w:isLgl w:val="false"/>
      <w:suff w:val="tab"/>
      <w:lvlText w:val="附录%1."/>
      <w:lvlJc w:val="left"/>
      <w:pPr>
        <w:pStyle w:val="790"/>
        <w:ind w:left="972" w:hanging="907"/>
        <w:tabs>
          <w:tab w:val="num" w:pos="972" w:leader="none"/>
        </w:tabs>
      </w:pPr>
    </w:lvl>
    <w:lvl w:ilvl="1">
      <w:start w:val="1"/>
      <w:numFmt w:val="decimal"/>
      <w:isLgl w:val="false"/>
      <w:suff w:val="tab"/>
      <w:lvlText w:val="%2."/>
      <w:lvlJc w:val="left"/>
      <w:pPr>
        <w:pStyle w:val="790"/>
        <w:ind w:left="1505" w:hanging="360"/>
        <w:tabs>
          <w:tab w:val="num" w:pos="1505" w:leader="none"/>
        </w:tabs>
      </w:pPr>
    </w:lvl>
    <w:lvl w:ilvl="2">
      <w:start w:val="1"/>
      <w:numFmt w:val="decimal"/>
      <w:isLgl w:val="false"/>
      <w:suff w:val="tab"/>
      <w:lvlText w:val="%3."/>
      <w:lvlJc w:val="left"/>
      <w:pPr>
        <w:pStyle w:val="790"/>
        <w:ind w:left="2225" w:hanging="360"/>
        <w:tabs>
          <w:tab w:val="num" w:pos="2225" w:leader="none"/>
        </w:tabs>
      </w:pPr>
    </w:lvl>
    <w:lvl w:ilvl="3">
      <w:start w:val="1"/>
      <w:numFmt w:val="decimal"/>
      <w:isLgl w:val="false"/>
      <w:suff w:val="tab"/>
      <w:lvlText w:val="%4."/>
      <w:lvlJc w:val="left"/>
      <w:pPr>
        <w:pStyle w:val="790"/>
        <w:ind w:left="2945" w:hanging="360"/>
        <w:tabs>
          <w:tab w:val="num" w:pos="2945" w:leader="none"/>
        </w:tabs>
      </w:pPr>
    </w:lvl>
    <w:lvl w:ilvl="4">
      <w:start w:val="1"/>
      <w:numFmt w:val="decimal"/>
      <w:isLgl w:val="false"/>
      <w:suff w:val="tab"/>
      <w:lvlText w:val="%5."/>
      <w:lvlJc w:val="left"/>
      <w:pPr>
        <w:pStyle w:val="790"/>
        <w:ind w:left="3665" w:hanging="360"/>
        <w:tabs>
          <w:tab w:val="num" w:pos="3665" w:leader="none"/>
        </w:tabs>
      </w:pPr>
    </w:lvl>
    <w:lvl w:ilvl="5">
      <w:start w:val="1"/>
      <w:numFmt w:val="decimal"/>
      <w:isLgl w:val="false"/>
      <w:suff w:val="tab"/>
      <w:lvlText w:val="%6."/>
      <w:lvlJc w:val="left"/>
      <w:pPr>
        <w:pStyle w:val="790"/>
        <w:ind w:left="4385" w:hanging="360"/>
        <w:tabs>
          <w:tab w:val="num" w:pos="4385" w:leader="none"/>
        </w:tabs>
      </w:pPr>
    </w:lvl>
    <w:lvl w:ilvl="6">
      <w:start w:val="1"/>
      <w:numFmt w:val="decimal"/>
      <w:isLgl w:val="false"/>
      <w:suff w:val="tab"/>
      <w:lvlText w:val="%7."/>
      <w:lvlJc w:val="left"/>
      <w:pPr>
        <w:pStyle w:val="790"/>
        <w:ind w:left="5105" w:hanging="360"/>
        <w:tabs>
          <w:tab w:val="num" w:pos="5105" w:leader="none"/>
        </w:tabs>
      </w:pPr>
    </w:lvl>
    <w:lvl w:ilvl="7">
      <w:start w:val="1"/>
      <w:numFmt w:val="decimal"/>
      <w:isLgl w:val="false"/>
      <w:suff w:val="tab"/>
      <w:lvlText w:val="%8."/>
      <w:lvlJc w:val="left"/>
      <w:pPr>
        <w:pStyle w:val="790"/>
        <w:ind w:left="5825" w:hanging="360"/>
        <w:tabs>
          <w:tab w:val="num" w:pos="5825" w:leader="none"/>
        </w:tabs>
      </w:pPr>
    </w:lvl>
    <w:lvl w:ilvl="8">
      <w:start w:val="1"/>
      <w:numFmt w:val="decimal"/>
      <w:isLgl w:val="false"/>
      <w:suff w:val="tab"/>
      <w:lvlText w:val="%9."/>
      <w:lvlJc w:val="left"/>
      <w:pPr>
        <w:pStyle w:val="790"/>
        <w:ind w:left="6545" w:hanging="360"/>
        <w:tabs>
          <w:tab w:val="num" w:pos="6545" w:leader="none"/>
        </w:tabs>
      </w:pPr>
    </w:lvl>
  </w:abstractNum>
  <w:abstractNum w:abstractNumId="7">
    <w:multiLevelType w:val="hybridMultilevel"/>
    <w:lvl w:ilvl="0">
      <w:start w:val="1"/>
      <w:numFmt w:val="decimal"/>
      <w:pStyle w:val="1290"/>
      <w:isLgl w:val="false"/>
      <w:suff w:val="tab"/>
      <w:lvlText w:val="(%1)"/>
      <w:lvlJc w:val="left"/>
      <w:pPr>
        <w:pStyle w:val="790"/>
        <w:ind w:left="845" w:hanging="420"/>
      </w:pPr>
    </w:lvl>
    <w:lvl w:ilvl="1">
      <w:start w:val="1"/>
      <w:numFmt w:val="bullet"/>
      <w:isLgl w:val="false"/>
      <w:suff w:val="tab"/>
      <w:lvlText w:val=""/>
      <w:lvlJc w:val="left"/>
      <w:pPr>
        <w:pStyle w:val="790"/>
        <w:ind w:left="1265" w:hanging="420"/>
      </w:pPr>
      <w:rPr>
        <w:rFonts w:ascii="Wingdings" w:hAnsi="Wingdings"/>
      </w:rPr>
    </w:lvl>
    <w:lvl w:ilvl="2">
      <w:start w:val="1"/>
      <w:numFmt w:val="bullet"/>
      <w:isLgl w:val="false"/>
      <w:suff w:val="tab"/>
      <w:lvlText w:val=""/>
      <w:lvlJc w:val="left"/>
      <w:pPr>
        <w:pStyle w:val="790"/>
        <w:ind w:left="1685" w:hanging="420"/>
      </w:pPr>
      <w:rPr>
        <w:rFonts w:ascii="Wingdings" w:hAnsi="Wingdings"/>
      </w:rPr>
    </w:lvl>
    <w:lvl w:ilvl="3">
      <w:start w:val="1"/>
      <w:numFmt w:val="bullet"/>
      <w:isLgl w:val="false"/>
      <w:suff w:val="tab"/>
      <w:lvlText w:val=""/>
      <w:lvlJc w:val="left"/>
      <w:pPr>
        <w:pStyle w:val="790"/>
        <w:ind w:left="2105" w:hanging="420"/>
      </w:pPr>
      <w:rPr>
        <w:rFonts w:ascii="Wingdings" w:hAnsi="Wingdings"/>
      </w:rPr>
    </w:lvl>
    <w:lvl w:ilvl="4">
      <w:start w:val="1"/>
      <w:numFmt w:val="bullet"/>
      <w:isLgl w:val="false"/>
      <w:suff w:val="tab"/>
      <w:lvlText w:val=""/>
      <w:lvlJc w:val="left"/>
      <w:pPr>
        <w:pStyle w:val="790"/>
        <w:ind w:left="2525" w:hanging="420"/>
      </w:pPr>
      <w:rPr>
        <w:rFonts w:ascii="Wingdings" w:hAnsi="Wingdings"/>
      </w:rPr>
    </w:lvl>
    <w:lvl w:ilvl="5">
      <w:start w:val="1"/>
      <w:numFmt w:val="bullet"/>
      <w:isLgl w:val="false"/>
      <w:suff w:val="tab"/>
      <w:lvlText w:val=""/>
      <w:lvlJc w:val="left"/>
      <w:pPr>
        <w:pStyle w:val="790"/>
        <w:ind w:left="2945" w:hanging="420"/>
      </w:pPr>
      <w:rPr>
        <w:rFonts w:ascii="Wingdings" w:hAnsi="Wingdings"/>
      </w:rPr>
    </w:lvl>
    <w:lvl w:ilvl="6">
      <w:start w:val="1"/>
      <w:numFmt w:val="bullet"/>
      <w:isLgl w:val="false"/>
      <w:suff w:val="tab"/>
      <w:lvlText w:val=""/>
      <w:lvlJc w:val="left"/>
      <w:pPr>
        <w:pStyle w:val="790"/>
        <w:ind w:left="3365" w:hanging="420"/>
      </w:pPr>
      <w:rPr>
        <w:rFonts w:ascii="Wingdings" w:hAnsi="Wingdings"/>
      </w:rPr>
    </w:lvl>
    <w:lvl w:ilvl="7">
      <w:start w:val="1"/>
      <w:numFmt w:val="bullet"/>
      <w:isLgl w:val="false"/>
      <w:suff w:val="tab"/>
      <w:lvlText w:val=""/>
      <w:lvlJc w:val="left"/>
      <w:pPr>
        <w:pStyle w:val="790"/>
        <w:ind w:left="3785" w:hanging="420"/>
      </w:pPr>
      <w:rPr>
        <w:rFonts w:ascii="Wingdings" w:hAnsi="Wingdings"/>
      </w:rPr>
    </w:lvl>
    <w:lvl w:ilvl="8">
      <w:start w:val="1"/>
      <w:numFmt w:val="bullet"/>
      <w:isLgl w:val="false"/>
      <w:suff w:val="tab"/>
      <w:lvlText w:val=""/>
      <w:lvlJc w:val="left"/>
      <w:pPr>
        <w:pStyle w:val="790"/>
        <w:ind w:left="4205" w:hanging="420"/>
      </w:pPr>
      <w:rPr>
        <w:rFonts w:ascii="Wingdings" w:hAnsi="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0"/>
    <w:next w:val="790"/>
    <w:link w:val="938"/>
    <w:uiPriority w:val="9"/>
    <w:qFormat/>
    <w:pPr>
      <w:keepLines/>
      <w:keepNext/>
      <w:spacing w:before="480" w:after="200"/>
      <w:outlineLvl w:val="0"/>
    </w:pPr>
    <w:rPr>
      <w:rFonts w:ascii="Arial" w:hAnsi="Arial" w:eastAsia="Arial" w:cs="Arial"/>
      <w:sz w:val="40"/>
      <w:szCs w:val="40"/>
    </w:rPr>
  </w:style>
  <w:style w:type="paragraph" w:styleId="14">
    <w:name w:val="Heading 2"/>
    <w:basedOn w:val="790"/>
    <w:next w:val="790"/>
    <w:link w:val="939"/>
    <w:uiPriority w:val="9"/>
    <w:unhideWhenUsed/>
    <w:qFormat/>
    <w:pPr>
      <w:keepLines/>
      <w:keepNext/>
      <w:spacing w:before="360" w:after="200"/>
      <w:outlineLvl w:val="1"/>
    </w:pPr>
    <w:rPr>
      <w:rFonts w:ascii="Arial" w:hAnsi="Arial" w:eastAsia="Arial" w:cs="Arial"/>
      <w:sz w:val="34"/>
    </w:rPr>
  </w:style>
  <w:style w:type="paragraph" w:styleId="16">
    <w:name w:val="Heading 3"/>
    <w:basedOn w:val="790"/>
    <w:next w:val="790"/>
    <w:link w:val="94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90"/>
    <w:next w:val="790"/>
    <w:link w:val="94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90"/>
    <w:next w:val="790"/>
    <w:link w:val="94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90"/>
    <w:next w:val="790"/>
    <w:link w:val="94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90"/>
    <w:next w:val="790"/>
    <w:link w:val="94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90"/>
    <w:next w:val="790"/>
    <w:link w:val="94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90"/>
    <w:next w:val="790"/>
    <w:link w:val="94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90"/>
    <w:next w:val="790"/>
    <w:link w:val="947"/>
    <w:uiPriority w:val="10"/>
    <w:qFormat/>
    <w:pPr>
      <w:contextualSpacing/>
      <w:spacing w:before="300" w:after="200"/>
    </w:pPr>
    <w:rPr>
      <w:sz w:val="48"/>
      <w:szCs w:val="48"/>
    </w:rPr>
  </w:style>
  <w:style w:type="paragraph" w:styleId="35">
    <w:name w:val="Subtitle"/>
    <w:basedOn w:val="790"/>
    <w:next w:val="790"/>
    <w:link w:val="948"/>
    <w:uiPriority w:val="11"/>
    <w:qFormat/>
    <w:pPr>
      <w:spacing w:before="200" w:after="200"/>
    </w:pPr>
    <w:rPr>
      <w:sz w:val="24"/>
      <w:szCs w:val="24"/>
    </w:rPr>
  </w:style>
  <w:style w:type="paragraph" w:styleId="41">
    <w:name w:val="Header"/>
    <w:basedOn w:val="790"/>
    <w:link w:val="949"/>
    <w:uiPriority w:val="99"/>
    <w:unhideWhenUsed/>
    <w:pPr>
      <w:spacing w:after="0" w:line="240" w:lineRule="auto"/>
      <w:tabs>
        <w:tab w:val="center" w:pos="7143" w:leader="none"/>
        <w:tab w:val="right" w:pos="14287" w:leader="none"/>
      </w:tabs>
    </w:pPr>
  </w:style>
  <w:style w:type="paragraph" w:styleId="43">
    <w:name w:val="Footer"/>
    <w:basedOn w:val="790"/>
    <w:link w:val="951"/>
    <w:uiPriority w:val="99"/>
    <w:unhideWhenUsed/>
    <w:pPr>
      <w:spacing w:after="0" w:line="240" w:lineRule="auto"/>
      <w:tabs>
        <w:tab w:val="center" w:pos="7143" w:leader="none"/>
        <w:tab w:val="right" w:pos="14287" w:leader="none"/>
      </w:tabs>
    </w:pPr>
  </w:style>
  <w:style w:type="paragraph" w:styleId="45">
    <w:name w:val="Caption"/>
    <w:basedOn w:val="790"/>
    <w:next w:val="79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90"/>
    <w:link w:val="9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90"/>
    <w:link w:val="9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90"/>
    <w:next w:val="790"/>
    <w:uiPriority w:val="39"/>
    <w:unhideWhenUsed/>
    <w:pPr>
      <w:ind w:left="0" w:right="0" w:firstLine="0"/>
      <w:spacing w:after="57"/>
    </w:pPr>
  </w:style>
  <w:style w:type="paragraph" w:styleId="181">
    <w:name w:val="toc 2"/>
    <w:basedOn w:val="790"/>
    <w:next w:val="790"/>
    <w:uiPriority w:val="39"/>
    <w:unhideWhenUsed/>
    <w:pPr>
      <w:ind w:left="283" w:right="0" w:firstLine="0"/>
      <w:spacing w:after="57"/>
    </w:pPr>
  </w:style>
  <w:style w:type="paragraph" w:styleId="182">
    <w:name w:val="toc 3"/>
    <w:basedOn w:val="790"/>
    <w:next w:val="790"/>
    <w:uiPriority w:val="39"/>
    <w:unhideWhenUsed/>
    <w:pPr>
      <w:ind w:left="567" w:right="0" w:firstLine="0"/>
      <w:spacing w:after="57"/>
    </w:pPr>
  </w:style>
  <w:style w:type="paragraph" w:styleId="183">
    <w:name w:val="toc 4"/>
    <w:basedOn w:val="790"/>
    <w:next w:val="790"/>
    <w:uiPriority w:val="39"/>
    <w:unhideWhenUsed/>
    <w:pPr>
      <w:ind w:left="850" w:right="0" w:firstLine="0"/>
      <w:spacing w:after="57"/>
    </w:pPr>
  </w:style>
  <w:style w:type="paragraph" w:styleId="184">
    <w:name w:val="toc 5"/>
    <w:basedOn w:val="790"/>
    <w:next w:val="790"/>
    <w:uiPriority w:val="39"/>
    <w:unhideWhenUsed/>
    <w:pPr>
      <w:ind w:left="1134" w:right="0" w:firstLine="0"/>
      <w:spacing w:after="57"/>
    </w:pPr>
  </w:style>
  <w:style w:type="paragraph" w:styleId="185">
    <w:name w:val="toc 6"/>
    <w:basedOn w:val="790"/>
    <w:next w:val="790"/>
    <w:uiPriority w:val="39"/>
    <w:unhideWhenUsed/>
    <w:pPr>
      <w:ind w:left="1417" w:right="0" w:firstLine="0"/>
      <w:spacing w:after="57"/>
    </w:pPr>
  </w:style>
  <w:style w:type="paragraph" w:styleId="186">
    <w:name w:val="toc 7"/>
    <w:basedOn w:val="790"/>
    <w:next w:val="790"/>
    <w:uiPriority w:val="39"/>
    <w:unhideWhenUsed/>
    <w:pPr>
      <w:ind w:left="1701" w:right="0" w:firstLine="0"/>
      <w:spacing w:after="57"/>
    </w:pPr>
  </w:style>
  <w:style w:type="paragraph" w:styleId="187">
    <w:name w:val="toc 8"/>
    <w:basedOn w:val="790"/>
    <w:next w:val="790"/>
    <w:uiPriority w:val="39"/>
    <w:unhideWhenUsed/>
    <w:pPr>
      <w:ind w:left="1984" w:right="0" w:firstLine="0"/>
      <w:spacing w:after="57"/>
    </w:pPr>
  </w:style>
  <w:style w:type="paragraph" w:styleId="188">
    <w:name w:val="toc 9"/>
    <w:basedOn w:val="790"/>
    <w:next w:val="790"/>
    <w:uiPriority w:val="39"/>
    <w:unhideWhenUsed/>
    <w:pPr>
      <w:ind w:left="2268" w:right="0" w:firstLine="0"/>
      <w:spacing w:after="57"/>
    </w:pPr>
  </w:style>
  <w:style w:type="paragraph" w:styleId="190">
    <w:name w:val="table of figures"/>
    <w:basedOn w:val="790"/>
    <w:next w:val="790"/>
    <w:uiPriority w:val="99"/>
    <w:unhideWhenUsed/>
    <w:pPr>
      <w:spacing w:after="0" w:afterAutospacing="0"/>
    </w:pPr>
  </w:style>
  <w:style w:type="paragraph" w:styleId="790" w:default="1">
    <w:name w:val="Normal"/>
    <w:next w:val="790"/>
    <w:link w:val="790"/>
    <w:qFormat/>
    <w:pPr>
      <w:jc w:val="both"/>
      <w:widowControl w:val="off"/>
    </w:pPr>
    <w:rPr>
      <w:rFonts w:ascii="Calibri" w:hAnsi="Calibri" w:eastAsia="宋体" w:cs="Times New Roman"/>
      <w:sz w:val="21"/>
      <w:szCs w:val="22"/>
    </w:rPr>
  </w:style>
  <w:style w:type="paragraph" w:styleId="791">
    <w:name w:val="标题 1"/>
    <w:basedOn w:val="790"/>
    <w:next w:val="790"/>
    <w:link w:val="802"/>
    <w:uiPriority w:val="9"/>
    <w:qFormat/>
    <w:pPr>
      <w:jc w:val="center"/>
      <w:keepNext/>
      <w:outlineLvl w:val="0"/>
    </w:pPr>
    <w:rPr>
      <w:rFonts w:ascii="楷体_GB2312" w:hAnsi="宋体" w:eastAsia="楷体_GB2312"/>
      <w:sz w:val="28"/>
      <w:szCs w:val="28"/>
    </w:rPr>
  </w:style>
  <w:style w:type="paragraph" w:styleId="792">
    <w:name w:val="标题 2"/>
    <w:basedOn w:val="790"/>
    <w:next w:val="790"/>
    <w:link w:val="803"/>
    <w:uiPriority w:val="9"/>
    <w:qFormat/>
    <w:pPr>
      <w:jc w:val="center"/>
      <w:keepLines/>
      <w:keepNext/>
      <w:spacing w:before="260" w:after="260" w:line="415" w:lineRule="auto"/>
      <w:outlineLvl w:val="1"/>
    </w:pPr>
    <w:rPr>
      <w:rFonts w:ascii="Arial" w:hAnsi="Arial" w:eastAsia="幼圆"/>
      <w:b/>
      <w:bCs/>
      <w:sz w:val="44"/>
      <w:szCs w:val="44"/>
    </w:rPr>
  </w:style>
  <w:style w:type="paragraph" w:styleId="793">
    <w:name w:val="标题 3"/>
    <w:basedOn w:val="790"/>
    <w:next w:val="790"/>
    <w:link w:val="804"/>
    <w:uiPriority w:val="9"/>
    <w:qFormat/>
    <w:pPr>
      <w:keepLines/>
      <w:keepNext/>
      <w:spacing w:before="260" w:after="260" w:line="415" w:lineRule="auto"/>
      <w:outlineLvl w:val="2"/>
    </w:pPr>
    <w:rPr>
      <w:b/>
      <w:bCs/>
      <w:sz w:val="32"/>
      <w:szCs w:val="32"/>
    </w:rPr>
  </w:style>
  <w:style w:type="paragraph" w:styleId="794">
    <w:name w:val="标题 4"/>
    <w:basedOn w:val="790"/>
    <w:next w:val="790"/>
    <w:link w:val="805"/>
    <w:uiPriority w:val="9"/>
    <w:qFormat/>
    <w:pPr>
      <w:keepLines/>
      <w:keepNext/>
      <w:spacing w:before="280" w:after="290" w:line="376" w:lineRule="auto"/>
      <w:outlineLvl w:val="3"/>
    </w:pPr>
    <w:rPr>
      <w:rFonts w:ascii="Arial" w:hAnsi="Arial" w:eastAsia="黑体"/>
      <w:b/>
      <w:bCs/>
      <w:sz w:val="28"/>
      <w:szCs w:val="28"/>
    </w:rPr>
  </w:style>
  <w:style w:type="paragraph" w:styleId="795">
    <w:name w:val="标题 5"/>
    <w:basedOn w:val="790"/>
    <w:next w:val="790"/>
    <w:link w:val="806"/>
    <w:uiPriority w:val="9"/>
    <w:qFormat/>
    <w:pPr>
      <w:keepNext/>
      <w:outlineLvl w:val="4"/>
    </w:pPr>
    <w:rPr>
      <w:rFonts w:ascii="宋体" w:hAnsi="宋体"/>
      <w:color w:val="000000"/>
      <w:sz w:val="28"/>
      <w:szCs w:val="28"/>
    </w:rPr>
  </w:style>
  <w:style w:type="paragraph" w:styleId="796">
    <w:name w:val="标题 6"/>
    <w:basedOn w:val="790"/>
    <w:next w:val="790"/>
    <w:link w:val="807"/>
    <w:uiPriority w:val="9"/>
    <w:qFormat/>
    <w:pPr>
      <w:numPr>
        <w:ilvl w:val="5"/>
        <w:numId w:val="1"/>
      </w:numPr>
      <w:keepLines/>
      <w:keepNext/>
      <w:spacing w:before="240" w:after="64" w:line="319" w:lineRule="auto"/>
      <w:tabs>
        <w:tab w:val="left" w:pos="0" w:leader="none"/>
      </w:tabs>
      <w:outlineLvl w:val="5"/>
    </w:pPr>
    <w:rPr>
      <w:rFonts w:ascii="Arial" w:hAnsi="Arial" w:eastAsia="黑体"/>
      <w:b/>
      <w:bCs/>
      <w:sz w:val="24"/>
    </w:rPr>
  </w:style>
  <w:style w:type="paragraph" w:styleId="797">
    <w:name w:val="标题 7"/>
    <w:basedOn w:val="790"/>
    <w:next w:val="790"/>
    <w:link w:val="808"/>
    <w:uiPriority w:val="9"/>
    <w:qFormat/>
    <w:pPr>
      <w:numPr>
        <w:ilvl w:val="6"/>
        <w:numId w:val="1"/>
      </w:numPr>
      <w:keepLines/>
      <w:keepNext/>
      <w:spacing w:before="240" w:after="64" w:line="319" w:lineRule="auto"/>
      <w:tabs>
        <w:tab w:val="left" w:pos="0" w:leader="none"/>
      </w:tabs>
      <w:outlineLvl w:val="6"/>
    </w:pPr>
    <w:rPr>
      <w:b/>
      <w:bCs/>
      <w:sz w:val="24"/>
    </w:rPr>
  </w:style>
  <w:style w:type="paragraph" w:styleId="798">
    <w:name w:val="标题 8"/>
    <w:basedOn w:val="790"/>
    <w:next w:val="790"/>
    <w:link w:val="809"/>
    <w:uiPriority w:val="9"/>
    <w:qFormat/>
    <w:pPr>
      <w:numPr>
        <w:ilvl w:val="7"/>
        <w:numId w:val="1"/>
      </w:numPr>
      <w:keepLines/>
      <w:keepNext/>
      <w:spacing w:before="240" w:after="64" w:line="319" w:lineRule="auto"/>
      <w:tabs>
        <w:tab w:val="left" w:pos="0" w:leader="none"/>
      </w:tabs>
      <w:outlineLvl w:val="7"/>
    </w:pPr>
    <w:rPr>
      <w:rFonts w:ascii="Arial" w:hAnsi="Arial" w:eastAsia="黑体"/>
      <w:sz w:val="24"/>
    </w:rPr>
  </w:style>
  <w:style w:type="paragraph" w:styleId="799">
    <w:name w:val="标题 9"/>
    <w:basedOn w:val="790"/>
    <w:next w:val="790"/>
    <w:link w:val="810"/>
    <w:uiPriority w:val="9"/>
    <w:qFormat/>
    <w:pPr>
      <w:numPr>
        <w:ilvl w:val="8"/>
        <w:numId w:val="1"/>
      </w:numPr>
      <w:keepLines/>
      <w:keepNext/>
      <w:spacing w:before="240" w:after="64" w:line="319" w:lineRule="auto"/>
      <w:tabs>
        <w:tab w:val="left" w:pos="0" w:leader="none"/>
      </w:tabs>
      <w:outlineLvl w:val="8"/>
    </w:pPr>
    <w:rPr>
      <w:rFonts w:ascii="Arial" w:hAnsi="Arial" w:eastAsia="黑体"/>
      <w:szCs w:val="21"/>
    </w:rPr>
  </w:style>
  <w:style w:type="character" w:styleId="800">
    <w:name w:val="默认段落字体"/>
    <w:next w:val="800"/>
    <w:link w:val="790"/>
    <w:uiPriority w:val="1"/>
    <w:unhideWhenUsed/>
    <w:qFormat/>
  </w:style>
  <w:style w:type="table" w:styleId="801">
    <w:name w:val="普通表格"/>
    <w:next w:val="801"/>
    <w:link w:val="790"/>
    <w:uiPriority w:val="99"/>
    <w:unhideWhenUsed/>
    <w:qFormat/>
    <w:tblPr/>
  </w:style>
  <w:style w:type="character" w:styleId="802">
    <w:name w:val="标题 1 字符1"/>
    <w:next w:val="802"/>
    <w:link w:val="791"/>
    <w:uiPriority w:val="9"/>
    <w:qFormat/>
    <w:rPr>
      <w:rFonts w:ascii="楷体_GB2312" w:hAnsi="宋体" w:eastAsia="楷体_GB2312" w:cs="宋体"/>
      <w:sz w:val="28"/>
      <w:szCs w:val="28"/>
    </w:rPr>
  </w:style>
  <w:style w:type="character" w:styleId="803">
    <w:name w:val="标题 2 字符"/>
    <w:next w:val="803"/>
    <w:link w:val="792"/>
    <w:uiPriority w:val="9"/>
    <w:qFormat/>
    <w:rPr>
      <w:rFonts w:ascii="Arial" w:hAnsi="Arial" w:eastAsia="幼圆" w:cs="Arial"/>
      <w:b/>
      <w:bCs/>
      <w:sz w:val="44"/>
      <w:szCs w:val="44"/>
    </w:rPr>
  </w:style>
  <w:style w:type="character" w:styleId="804">
    <w:name w:val="标题 3 字符"/>
    <w:next w:val="804"/>
    <w:link w:val="793"/>
    <w:uiPriority w:val="9"/>
    <w:qFormat/>
    <w:rPr>
      <w:b/>
      <w:bCs/>
      <w:sz w:val="32"/>
      <w:szCs w:val="32"/>
    </w:rPr>
  </w:style>
  <w:style w:type="character" w:styleId="805">
    <w:name w:val="标题 4 字符"/>
    <w:next w:val="805"/>
    <w:link w:val="794"/>
    <w:uiPriority w:val="9"/>
    <w:qFormat/>
    <w:rPr>
      <w:rFonts w:ascii="Arial" w:hAnsi="Arial" w:eastAsia="黑体" w:cs="Arial"/>
      <w:b/>
      <w:bCs/>
      <w:sz w:val="28"/>
      <w:szCs w:val="28"/>
    </w:rPr>
  </w:style>
  <w:style w:type="character" w:styleId="806">
    <w:name w:val="标题 5 字符"/>
    <w:next w:val="806"/>
    <w:link w:val="795"/>
    <w:uiPriority w:val="9"/>
    <w:qFormat/>
    <w:rPr>
      <w:rFonts w:ascii="宋体" w:hAnsi="宋体" w:cs="宋体"/>
      <w:color w:val="000000"/>
      <w:sz w:val="28"/>
      <w:szCs w:val="28"/>
    </w:rPr>
  </w:style>
  <w:style w:type="character" w:styleId="807">
    <w:name w:val="标题 6 字符"/>
    <w:next w:val="807"/>
    <w:link w:val="796"/>
    <w:uiPriority w:val="9"/>
    <w:qFormat/>
    <w:rPr>
      <w:rFonts w:ascii="Arial" w:hAnsi="Arial" w:eastAsia="黑体"/>
      <w:b/>
      <w:bCs/>
      <w:sz w:val="24"/>
      <w:szCs w:val="22"/>
    </w:rPr>
  </w:style>
  <w:style w:type="character" w:styleId="808">
    <w:name w:val="标题 7 字符"/>
    <w:next w:val="808"/>
    <w:link w:val="797"/>
    <w:uiPriority w:val="9"/>
    <w:qFormat/>
    <w:rPr>
      <w:rFonts w:ascii="Calibri" w:hAnsi="Calibri"/>
      <w:b/>
      <w:bCs/>
      <w:sz w:val="24"/>
      <w:szCs w:val="22"/>
    </w:rPr>
  </w:style>
  <w:style w:type="character" w:styleId="809">
    <w:name w:val="标题 8 字符"/>
    <w:next w:val="809"/>
    <w:link w:val="798"/>
    <w:uiPriority w:val="9"/>
    <w:qFormat/>
    <w:rPr>
      <w:rFonts w:ascii="Arial" w:hAnsi="Arial" w:eastAsia="黑体"/>
      <w:sz w:val="24"/>
      <w:szCs w:val="22"/>
    </w:rPr>
  </w:style>
  <w:style w:type="character" w:styleId="810">
    <w:name w:val="标题 9 字符"/>
    <w:next w:val="810"/>
    <w:link w:val="799"/>
    <w:uiPriority w:val="9"/>
    <w:qFormat/>
    <w:rPr>
      <w:rFonts w:ascii="Arial" w:hAnsi="Arial" w:eastAsia="黑体"/>
      <w:sz w:val="21"/>
      <w:szCs w:val="21"/>
    </w:rPr>
  </w:style>
  <w:style w:type="paragraph" w:styleId="811">
    <w:name w:val="列表 3"/>
    <w:basedOn w:val="790"/>
    <w:next w:val="811"/>
    <w:link w:val="790"/>
    <w:qFormat/>
    <w:pPr>
      <w:ind w:hanging="200"/>
    </w:pPr>
    <w:rPr>
      <w:szCs w:val="21"/>
    </w:rPr>
  </w:style>
  <w:style w:type="paragraph" w:styleId="812">
    <w:name w:val="目录 7"/>
    <w:basedOn w:val="790"/>
    <w:next w:val="790"/>
    <w:link w:val="790"/>
    <w:uiPriority w:val="39"/>
    <w:unhideWhenUsed/>
    <w:qFormat/>
    <w:pPr>
      <w:ind w:left="1701"/>
      <w:spacing w:after="57"/>
    </w:pPr>
  </w:style>
  <w:style w:type="paragraph" w:styleId="813">
    <w:name w:val="列表编号"/>
    <w:basedOn w:val="790"/>
    <w:next w:val="813"/>
    <w:link w:val="790"/>
    <w:qFormat/>
    <w:pPr>
      <w:numPr>
        <w:ilvl w:val="0"/>
        <w:numId w:val="2"/>
      </w:numPr>
      <w:ind w:left="0" w:firstLine="0"/>
      <w:tabs>
        <w:tab w:val="clear" w:pos="420" w:leader="none"/>
      </w:tabs>
    </w:pPr>
    <w:rPr>
      <w:szCs w:val="20"/>
    </w:rPr>
  </w:style>
  <w:style w:type="paragraph" w:styleId="814">
    <w:name w:val="正文缩进"/>
    <w:basedOn w:val="790"/>
    <w:next w:val="790"/>
    <w:link w:val="815"/>
    <w:uiPriority w:val="99"/>
    <w:qFormat/>
    <w:pPr>
      <w:ind w:firstLine="420"/>
    </w:pPr>
    <w:rPr>
      <w:szCs w:val="21"/>
    </w:rPr>
  </w:style>
  <w:style w:type="character" w:styleId="815">
    <w:name w:val="正文缩进 字符"/>
    <w:next w:val="815"/>
    <w:link w:val="814"/>
    <w:uiPriority w:val="99"/>
    <w:qFormat/>
    <w:rPr>
      <w:rFonts w:eastAsia="宋体"/>
      <w:sz w:val="21"/>
      <w:szCs w:val="21"/>
      <w:lang w:val="en-US" w:eastAsia="zh-CN" w:bidi="ar-SA"/>
    </w:rPr>
  </w:style>
  <w:style w:type="paragraph" w:styleId="816">
    <w:name w:val="题注"/>
    <w:basedOn w:val="790"/>
    <w:next w:val="790"/>
    <w:link w:val="790"/>
    <w:uiPriority w:val="35"/>
    <w:qFormat/>
    <w:pPr>
      <w:spacing w:line="276" w:lineRule="auto"/>
    </w:pPr>
    <w:rPr>
      <w:b/>
      <w:bCs/>
      <w:color w:val="4f81bd"/>
      <w:sz w:val="18"/>
      <w:szCs w:val="18"/>
    </w:rPr>
  </w:style>
  <w:style w:type="paragraph" w:styleId="817">
    <w:name w:val="文档结构图"/>
    <w:basedOn w:val="790"/>
    <w:next w:val="817"/>
    <w:link w:val="818"/>
    <w:uiPriority w:val="99"/>
    <w:qFormat/>
    <w:pPr>
      <w:shd w:val="clear" w:color="auto" w:fill="000080"/>
    </w:pPr>
    <w:rPr>
      <w:szCs w:val="21"/>
    </w:rPr>
  </w:style>
  <w:style w:type="character" w:styleId="818">
    <w:name w:val="文档结构图 字符"/>
    <w:next w:val="818"/>
    <w:link w:val="817"/>
    <w:uiPriority w:val="99"/>
    <w:qFormat/>
    <w:rPr>
      <w:sz w:val="21"/>
      <w:szCs w:val="21"/>
      <w:shd w:val="clear" w:color="auto" w:fill="000080"/>
    </w:rPr>
  </w:style>
  <w:style w:type="paragraph" w:styleId="819">
    <w:name w:val="引文目录标题"/>
    <w:basedOn w:val="790"/>
    <w:next w:val="790"/>
    <w:link w:val="790"/>
    <w:qFormat/>
    <w:pPr>
      <w:spacing w:before="120"/>
    </w:pPr>
    <w:rPr>
      <w:rFonts w:ascii="Arial" w:hAnsi="Arial" w:cs="Arial"/>
      <w:sz w:val="24"/>
    </w:rPr>
  </w:style>
  <w:style w:type="paragraph" w:styleId="820">
    <w:name w:val="批注文字"/>
    <w:basedOn w:val="790"/>
    <w:next w:val="820"/>
    <w:link w:val="821"/>
    <w:uiPriority w:val="99"/>
    <w:qFormat/>
    <w:pPr>
      <w:jc w:val="left"/>
    </w:pPr>
    <w:rPr>
      <w:szCs w:val="21"/>
    </w:rPr>
  </w:style>
  <w:style w:type="character" w:styleId="821">
    <w:name w:val="批注文字 字符"/>
    <w:next w:val="821"/>
    <w:link w:val="820"/>
    <w:uiPriority w:val="99"/>
    <w:qFormat/>
    <w:rPr>
      <w:sz w:val="21"/>
      <w:szCs w:val="21"/>
    </w:rPr>
  </w:style>
  <w:style w:type="paragraph" w:styleId="822">
    <w:name w:val="正文文本 3"/>
    <w:basedOn w:val="790"/>
    <w:next w:val="822"/>
    <w:link w:val="823"/>
    <w:qFormat/>
    <w:rPr>
      <w:rFonts w:ascii="仿宋_GB2312" w:hAnsi="宋体" w:eastAsia="仿宋_GB2312" w:cs="宋体"/>
      <w:sz w:val="32"/>
      <w:szCs w:val="32"/>
    </w:rPr>
  </w:style>
  <w:style w:type="character" w:styleId="823">
    <w:name w:val="正文文本 3 字符"/>
    <w:next w:val="823"/>
    <w:link w:val="822"/>
    <w:qFormat/>
    <w:rPr>
      <w:rFonts w:ascii="仿宋_GB2312" w:hAnsi="宋体" w:eastAsia="仿宋_GB2312" w:cs="宋体"/>
      <w:sz w:val="32"/>
      <w:szCs w:val="32"/>
    </w:rPr>
  </w:style>
  <w:style w:type="paragraph" w:styleId="824">
    <w:name w:val="正文文本"/>
    <w:basedOn w:val="790"/>
    <w:next w:val="824"/>
    <w:link w:val="825"/>
    <w:uiPriority w:val="99"/>
    <w:qFormat/>
    <w:pPr>
      <w:jc w:val="left"/>
      <w:spacing w:after="60"/>
      <w:tabs>
        <w:tab w:val="right" w:pos="2520" w:leader="none"/>
        <w:tab w:val="left" w:pos="2880" w:leader="none"/>
      </w:tabs>
    </w:pPr>
    <w:rPr>
      <w:sz w:val="22"/>
      <w:szCs w:val="20"/>
    </w:rPr>
  </w:style>
  <w:style w:type="character" w:styleId="825">
    <w:name w:val="正文文本 字符"/>
    <w:next w:val="825"/>
    <w:link w:val="824"/>
    <w:qFormat/>
    <w:rPr>
      <w:rFonts w:ascii="楷体_GB2312" w:hAnsi="宋体" w:eastAsia="楷体_GB2312" w:cs="宋体"/>
      <w:sz w:val="28"/>
      <w:szCs w:val="28"/>
    </w:rPr>
  </w:style>
  <w:style w:type="paragraph" w:styleId="826">
    <w:name w:val="正文文本缩进"/>
    <w:basedOn w:val="790"/>
    <w:next w:val="790"/>
    <w:link w:val="827"/>
    <w:uiPriority w:val="99"/>
    <w:qFormat/>
    <w:pPr>
      <w:ind w:firstLine="645"/>
    </w:pPr>
    <w:rPr>
      <w:rFonts w:ascii="楷体_GB2312" w:hAnsi="宋体" w:eastAsia="楷体_GB2312" w:cs="宋体"/>
      <w:sz w:val="32"/>
      <w:szCs w:val="32"/>
    </w:rPr>
  </w:style>
  <w:style w:type="character" w:styleId="827">
    <w:name w:val="正文文本缩进 字符"/>
    <w:next w:val="827"/>
    <w:link w:val="826"/>
    <w:uiPriority w:val="99"/>
    <w:qFormat/>
    <w:rPr>
      <w:rFonts w:ascii="楷体_GB2312" w:hAnsi="宋体" w:eastAsia="楷体_GB2312" w:cs="宋体"/>
      <w:sz w:val="32"/>
      <w:szCs w:val="32"/>
    </w:rPr>
  </w:style>
  <w:style w:type="paragraph" w:styleId="828">
    <w:name w:val="列表 2"/>
    <w:basedOn w:val="790"/>
    <w:next w:val="828"/>
    <w:link w:val="790"/>
    <w:qFormat/>
    <w:pPr>
      <w:numPr>
        <w:ilvl w:val="0"/>
        <w:numId w:val="3"/>
      </w:numPr>
      <w:ind w:left="0" w:hanging="200"/>
      <w:tabs>
        <w:tab w:val="left" w:pos="972" w:leader="none"/>
      </w:tabs>
    </w:pPr>
    <w:rPr>
      <w:szCs w:val="21"/>
    </w:rPr>
  </w:style>
  <w:style w:type="paragraph" w:styleId="829">
    <w:name w:val="HTML 地址"/>
    <w:basedOn w:val="790"/>
    <w:next w:val="829"/>
    <w:link w:val="830"/>
    <w:qFormat/>
    <w:pPr>
      <w:numPr>
        <w:ilvl w:val="0"/>
        <w:numId w:val="4"/>
      </w:numPr>
      <w:ind w:left="0" w:firstLine="0"/>
      <w:tabs>
        <w:tab w:val="clear" w:pos="397" w:leader="none"/>
      </w:tabs>
    </w:pPr>
    <w:rPr>
      <w:i/>
      <w:iCs/>
      <w:szCs w:val="21"/>
    </w:rPr>
  </w:style>
  <w:style w:type="character" w:styleId="830">
    <w:name w:val="HTML 地址 字符"/>
    <w:next w:val="830"/>
    <w:link w:val="829"/>
    <w:qFormat/>
    <w:rPr>
      <w:rFonts w:ascii="Calibri" w:hAnsi="Calibri"/>
      <w:i/>
      <w:iCs/>
      <w:sz w:val="21"/>
      <w:szCs w:val="21"/>
    </w:rPr>
  </w:style>
  <w:style w:type="paragraph" w:styleId="831">
    <w:name w:val="目录 5"/>
    <w:basedOn w:val="790"/>
    <w:next w:val="790"/>
    <w:link w:val="790"/>
    <w:uiPriority w:val="39"/>
    <w:unhideWhenUsed/>
    <w:qFormat/>
    <w:pPr>
      <w:ind w:left="1134"/>
      <w:spacing w:after="57"/>
    </w:pPr>
  </w:style>
  <w:style w:type="paragraph" w:styleId="832">
    <w:name w:val="目录 3"/>
    <w:basedOn w:val="790"/>
    <w:next w:val="790"/>
    <w:link w:val="790"/>
    <w:uiPriority w:val="39"/>
    <w:unhideWhenUsed/>
    <w:qFormat/>
    <w:pPr>
      <w:ind w:left="567"/>
      <w:spacing w:after="57"/>
    </w:pPr>
  </w:style>
  <w:style w:type="paragraph" w:styleId="833">
    <w:name w:val="纯文本"/>
    <w:basedOn w:val="790"/>
    <w:next w:val="833"/>
    <w:link w:val="834"/>
    <w:uiPriority w:val="99"/>
    <w:qFormat/>
    <w:rPr>
      <w:rFonts w:ascii="宋体" w:hAnsi="宋体"/>
      <w:szCs w:val="21"/>
    </w:rPr>
  </w:style>
  <w:style w:type="character" w:styleId="834">
    <w:name w:val="纯文本 字符"/>
    <w:next w:val="834"/>
    <w:link w:val="833"/>
    <w:uiPriority w:val="99"/>
    <w:qFormat/>
    <w:rPr>
      <w:rFonts w:ascii="宋体" w:hAnsi="宋体" w:cs="Courier New"/>
      <w:sz w:val="21"/>
      <w:szCs w:val="21"/>
    </w:rPr>
  </w:style>
  <w:style w:type="paragraph" w:styleId="835">
    <w:name w:val="目录 8"/>
    <w:basedOn w:val="790"/>
    <w:next w:val="790"/>
    <w:link w:val="790"/>
    <w:uiPriority w:val="39"/>
    <w:unhideWhenUsed/>
    <w:qFormat/>
    <w:pPr>
      <w:ind w:left="1984"/>
      <w:spacing w:after="57"/>
    </w:pPr>
  </w:style>
  <w:style w:type="paragraph" w:styleId="836">
    <w:name w:val="日期"/>
    <w:basedOn w:val="790"/>
    <w:next w:val="790"/>
    <w:link w:val="837"/>
    <w:qFormat/>
    <w:rPr>
      <w:sz w:val="24"/>
    </w:rPr>
  </w:style>
  <w:style w:type="character" w:styleId="837">
    <w:name w:val="日期 字符"/>
    <w:next w:val="837"/>
    <w:link w:val="836"/>
    <w:qFormat/>
    <w:rPr>
      <w:sz w:val="24"/>
      <w:szCs w:val="24"/>
    </w:rPr>
  </w:style>
  <w:style w:type="paragraph" w:styleId="838">
    <w:name w:val="正文文本缩进 2"/>
    <w:basedOn w:val="790"/>
    <w:next w:val="838"/>
    <w:link w:val="839"/>
    <w:qFormat/>
    <w:pPr>
      <w:ind w:left="630" w:firstLine="645"/>
    </w:pPr>
    <w:rPr>
      <w:rFonts w:ascii="Arial" w:hAnsi="Arial" w:eastAsia="仿宋_GB2312" w:cs="Arial"/>
      <w:sz w:val="32"/>
      <w:szCs w:val="32"/>
    </w:rPr>
  </w:style>
  <w:style w:type="character" w:styleId="839">
    <w:name w:val="正文文本缩进 2 字符"/>
    <w:next w:val="839"/>
    <w:link w:val="838"/>
    <w:qFormat/>
    <w:rPr>
      <w:rFonts w:ascii="Arial" w:hAnsi="Arial" w:eastAsia="仿宋_GB2312" w:cs="Arial"/>
      <w:sz w:val="32"/>
      <w:szCs w:val="32"/>
    </w:rPr>
  </w:style>
  <w:style w:type="paragraph" w:styleId="840">
    <w:name w:val="尾注文本"/>
    <w:basedOn w:val="790"/>
    <w:next w:val="840"/>
    <w:link w:val="841"/>
    <w:uiPriority w:val="99"/>
    <w:unhideWhenUsed/>
    <w:qFormat/>
    <w:rPr>
      <w:sz w:val="20"/>
    </w:rPr>
  </w:style>
  <w:style w:type="character" w:styleId="841">
    <w:name w:val="尾注文本 字符"/>
    <w:next w:val="841"/>
    <w:link w:val="840"/>
    <w:uiPriority w:val="99"/>
    <w:qFormat/>
    <w:rPr>
      <w:sz w:val="20"/>
    </w:rPr>
  </w:style>
  <w:style w:type="paragraph" w:styleId="842">
    <w:name w:val="批注框文本"/>
    <w:basedOn w:val="790"/>
    <w:next w:val="842"/>
    <w:link w:val="843"/>
    <w:uiPriority w:val="99"/>
    <w:qFormat/>
    <w:rPr>
      <w:sz w:val="18"/>
      <w:szCs w:val="18"/>
    </w:rPr>
  </w:style>
  <w:style w:type="character" w:styleId="843">
    <w:name w:val="批注框文本 字符"/>
    <w:next w:val="843"/>
    <w:link w:val="842"/>
    <w:uiPriority w:val="99"/>
    <w:qFormat/>
    <w:rPr>
      <w:sz w:val="18"/>
      <w:szCs w:val="18"/>
    </w:rPr>
  </w:style>
  <w:style w:type="paragraph" w:styleId="844">
    <w:name w:val="页脚"/>
    <w:basedOn w:val="790"/>
    <w:next w:val="844"/>
    <w:link w:val="845"/>
    <w:qFormat/>
    <w:pPr>
      <w:jc w:val="left"/>
      <w:tabs>
        <w:tab w:val="center" w:pos="4153" w:leader="none"/>
        <w:tab w:val="right" w:pos="8306" w:leader="none"/>
      </w:tabs>
    </w:pPr>
    <w:rPr>
      <w:sz w:val="18"/>
      <w:szCs w:val="18"/>
    </w:rPr>
  </w:style>
  <w:style w:type="character" w:styleId="845">
    <w:name w:val="页脚 字符"/>
    <w:next w:val="845"/>
    <w:link w:val="844"/>
    <w:uiPriority w:val="99"/>
    <w:qFormat/>
    <w:rPr>
      <w:sz w:val="18"/>
      <w:szCs w:val="18"/>
    </w:rPr>
  </w:style>
  <w:style w:type="paragraph" w:styleId="846">
    <w:name w:val="页眉"/>
    <w:basedOn w:val="790"/>
    <w:next w:val="846"/>
    <w:link w:val="847"/>
    <w:qFormat/>
    <w:pPr>
      <w:jc w:val="center"/>
      <w:tabs>
        <w:tab w:val="center" w:pos="4153" w:leader="none"/>
        <w:tab w:val="right" w:pos="8306" w:leader="none"/>
      </w:tabs>
      <w:pBdr>
        <w:bottom w:val="single" w:color="000000" w:sz="6" w:space="1"/>
      </w:pBdr>
    </w:pPr>
    <w:rPr>
      <w:sz w:val="18"/>
      <w:szCs w:val="18"/>
    </w:rPr>
  </w:style>
  <w:style w:type="character" w:styleId="847">
    <w:name w:val="页眉 字符"/>
    <w:next w:val="847"/>
    <w:link w:val="846"/>
    <w:uiPriority w:val="99"/>
    <w:qFormat/>
    <w:rPr>
      <w:sz w:val="18"/>
      <w:szCs w:val="18"/>
    </w:rPr>
  </w:style>
  <w:style w:type="paragraph" w:styleId="848">
    <w:name w:val="目录 1"/>
    <w:basedOn w:val="790"/>
    <w:next w:val="790"/>
    <w:link w:val="790"/>
    <w:uiPriority w:val="39"/>
    <w:unhideWhenUsed/>
    <w:qFormat/>
    <w:pPr>
      <w:spacing w:after="57"/>
    </w:pPr>
  </w:style>
  <w:style w:type="paragraph" w:styleId="849">
    <w:name w:val="目录 4"/>
    <w:basedOn w:val="790"/>
    <w:next w:val="790"/>
    <w:link w:val="790"/>
    <w:uiPriority w:val="39"/>
    <w:unhideWhenUsed/>
    <w:qFormat/>
    <w:pPr>
      <w:ind w:left="850"/>
      <w:spacing w:after="57"/>
    </w:pPr>
  </w:style>
  <w:style w:type="paragraph" w:styleId="850">
    <w:name w:val="副标题"/>
    <w:basedOn w:val="790"/>
    <w:next w:val="790"/>
    <w:link w:val="851"/>
    <w:uiPriority w:val="11"/>
    <w:qFormat/>
    <w:pPr>
      <w:ind w:firstLine="200"/>
      <w:jc w:val="center"/>
      <w:spacing w:before="100" w:beforeAutospacing="1" w:after="100" w:afterAutospacing="1" w:line="312" w:lineRule="auto"/>
      <w:outlineLvl w:val="1"/>
    </w:pPr>
    <w:rPr>
      <w:rFonts w:ascii="Cambria" w:hAnsi="Cambria"/>
      <w:b/>
      <w:bCs/>
      <w:sz w:val="32"/>
      <w:szCs w:val="32"/>
    </w:rPr>
  </w:style>
  <w:style w:type="character" w:styleId="851">
    <w:name w:val="副标题 字符"/>
    <w:next w:val="851"/>
    <w:link w:val="850"/>
    <w:uiPriority w:val="11"/>
    <w:qFormat/>
    <w:rPr>
      <w:rFonts w:ascii="Cambria" w:hAnsi="Cambria"/>
      <w:b/>
      <w:bCs/>
      <w:sz w:val="32"/>
      <w:szCs w:val="32"/>
    </w:rPr>
  </w:style>
  <w:style w:type="paragraph" w:styleId="852">
    <w:name w:val="列表"/>
    <w:basedOn w:val="790"/>
    <w:next w:val="852"/>
    <w:link w:val="790"/>
    <w:uiPriority w:val="99"/>
    <w:qFormat/>
    <w:pPr>
      <w:ind w:left="200" w:hanging="200"/>
    </w:pPr>
    <w:rPr>
      <w:szCs w:val="21"/>
    </w:rPr>
  </w:style>
  <w:style w:type="paragraph" w:styleId="853">
    <w:name w:val="脚注文本"/>
    <w:basedOn w:val="790"/>
    <w:next w:val="853"/>
    <w:link w:val="854"/>
    <w:qFormat/>
    <w:pPr>
      <w:jc w:val="left"/>
      <w:widowControl/>
    </w:pPr>
    <w:rPr>
      <w:sz w:val="20"/>
      <w:szCs w:val="20"/>
    </w:rPr>
  </w:style>
  <w:style w:type="character" w:styleId="854">
    <w:name w:val="脚注文本 字符"/>
    <w:next w:val="854"/>
    <w:link w:val="853"/>
    <w:qFormat/>
    <w:rPr>
      <w:sz w:val="18"/>
    </w:rPr>
  </w:style>
  <w:style w:type="paragraph" w:styleId="855">
    <w:name w:val="目录 6"/>
    <w:basedOn w:val="790"/>
    <w:next w:val="790"/>
    <w:link w:val="790"/>
    <w:uiPriority w:val="39"/>
    <w:unhideWhenUsed/>
    <w:qFormat/>
    <w:pPr>
      <w:ind w:left="1417"/>
      <w:spacing w:after="57"/>
    </w:pPr>
  </w:style>
  <w:style w:type="paragraph" w:styleId="856">
    <w:name w:val="正文文本缩进 3"/>
    <w:basedOn w:val="790"/>
    <w:next w:val="856"/>
    <w:link w:val="857"/>
    <w:qFormat/>
    <w:pPr>
      <w:ind w:left="645" w:firstLine="645"/>
    </w:pPr>
    <w:rPr>
      <w:rFonts w:ascii="Arial" w:hAnsi="Arial" w:eastAsia="仿宋_GB2312" w:cs="Arial"/>
      <w:color w:val="ffff00"/>
      <w:sz w:val="32"/>
      <w:szCs w:val="32"/>
    </w:rPr>
  </w:style>
  <w:style w:type="character" w:styleId="857">
    <w:name w:val="正文文本缩进 3 字符"/>
    <w:next w:val="857"/>
    <w:link w:val="856"/>
    <w:qFormat/>
    <w:rPr>
      <w:rFonts w:ascii="Arial" w:hAnsi="Arial" w:eastAsia="仿宋_GB2312" w:cs="Arial"/>
      <w:color w:val="ffff00"/>
      <w:sz w:val="32"/>
      <w:szCs w:val="32"/>
    </w:rPr>
  </w:style>
  <w:style w:type="paragraph" w:styleId="858">
    <w:name w:val="图表目录"/>
    <w:basedOn w:val="790"/>
    <w:next w:val="790"/>
    <w:link w:val="790"/>
    <w:qFormat/>
    <w:pPr>
      <w:ind w:left="840" w:hanging="420"/>
    </w:pPr>
    <w:rPr>
      <w:szCs w:val="21"/>
    </w:rPr>
  </w:style>
  <w:style w:type="paragraph" w:styleId="859">
    <w:name w:val="目录 2"/>
    <w:basedOn w:val="790"/>
    <w:next w:val="790"/>
    <w:link w:val="790"/>
    <w:uiPriority w:val="39"/>
    <w:unhideWhenUsed/>
    <w:qFormat/>
    <w:pPr>
      <w:ind w:left="283"/>
      <w:spacing w:after="57"/>
    </w:pPr>
  </w:style>
  <w:style w:type="paragraph" w:styleId="860">
    <w:name w:val="目录 9"/>
    <w:basedOn w:val="790"/>
    <w:next w:val="790"/>
    <w:link w:val="790"/>
    <w:uiPriority w:val="39"/>
    <w:unhideWhenUsed/>
    <w:qFormat/>
    <w:pPr>
      <w:ind w:left="2268"/>
      <w:spacing w:after="57"/>
    </w:pPr>
  </w:style>
  <w:style w:type="paragraph" w:styleId="861">
    <w:name w:val="正文文本 2"/>
    <w:basedOn w:val="790"/>
    <w:next w:val="861"/>
    <w:link w:val="862"/>
    <w:qFormat/>
    <w:pPr>
      <w:jc w:val="center"/>
      <w:widowControl/>
    </w:pPr>
    <w:rPr>
      <w:rFonts w:ascii="楷体_GB2312" w:hAnsi="宋体" w:eastAsia="楷体_GB2312" w:cs="宋体"/>
      <w:sz w:val="28"/>
      <w:szCs w:val="28"/>
    </w:rPr>
  </w:style>
  <w:style w:type="character" w:styleId="862">
    <w:name w:val="正文文本 2 字符"/>
    <w:next w:val="862"/>
    <w:link w:val="861"/>
    <w:qFormat/>
    <w:rPr>
      <w:rFonts w:ascii="楷体_GB2312" w:hAnsi="宋体" w:eastAsia="楷体_GB2312" w:cs="宋体"/>
      <w:sz w:val="28"/>
      <w:szCs w:val="28"/>
    </w:rPr>
  </w:style>
  <w:style w:type="paragraph" w:styleId="863">
    <w:name w:val="列表 4"/>
    <w:basedOn w:val="790"/>
    <w:next w:val="863"/>
    <w:link w:val="790"/>
    <w:qFormat/>
    <w:pPr>
      <w:numPr>
        <w:ilvl w:val="0"/>
        <w:numId w:val="5"/>
      </w:numPr>
      <w:ind w:left="100" w:hanging="200"/>
      <w:tabs>
        <w:tab w:val="clear" w:pos="709" w:leader="none"/>
      </w:tabs>
    </w:pPr>
    <w:rPr>
      <w:szCs w:val="21"/>
    </w:rPr>
  </w:style>
  <w:style w:type="paragraph" w:styleId="864">
    <w:name w:val="HTML 预设格式"/>
    <w:basedOn w:val="790"/>
    <w:next w:val="864"/>
    <w:link w:val="8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5">
    <w:name w:val="HTML 预设格式 字符"/>
    <w:next w:val="865"/>
    <w:link w:val="864"/>
    <w:qFormat/>
    <w:rPr>
      <w:rFonts w:ascii="宋体" w:hAnsi="宋体" w:cs="宋体"/>
      <w:sz w:val="24"/>
      <w:szCs w:val="22"/>
    </w:rPr>
  </w:style>
  <w:style w:type="paragraph" w:styleId="866">
    <w:name w:val="普通(网站)"/>
    <w:basedOn w:val="790"/>
    <w:next w:val="866"/>
    <w:link w:val="867"/>
    <w:qFormat/>
    <w:pPr>
      <w:jc w:val="left"/>
      <w:spacing w:before="100" w:beforeAutospacing="1" w:after="100" w:afterAutospacing="1"/>
      <w:widowControl/>
    </w:pPr>
    <w:rPr>
      <w:rFonts w:ascii="宋体" w:hAnsi="宋体"/>
      <w:sz w:val="24"/>
    </w:rPr>
  </w:style>
  <w:style w:type="character" w:styleId="867">
    <w:name w:val="普通(网站) 字符"/>
    <w:next w:val="867"/>
    <w:link w:val="866"/>
    <w:uiPriority w:val="99"/>
    <w:qFormat/>
    <w:rPr>
      <w:rFonts w:ascii="宋体" w:hAnsi="宋体" w:cs="宋体"/>
      <w:sz w:val="24"/>
      <w:szCs w:val="24"/>
    </w:rPr>
  </w:style>
  <w:style w:type="paragraph" w:styleId="868">
    <w:name w:val="列表接续 3"/>
    <w:basedOn w:val="790"/>
    <w:next w:val="868"/>
    <w:link w:val="790"/>
    <w:qFormat/>
    <w:pPr>
      <w:ind w:left="1260"/>
      <w:spacing w:after="120"/>
    </w:pPr>
    <w:rPr>
      <w:szCs w:val="20"/>
    </w:rPr>
  </w:style>
  <w:style w:type="paragraph" w:styleId="869">
    <w:name w:val="索引 1"/>
    <w:basedOn w:val="790"/>
    <w:next w:val="790"/>
    <w:link w:val="790"/>
    <w:qFormat/>
    <w:pPr>
      <w:spacing w:line="240" w:lineRule="atLeast"/>
    </w:pPr>
    <w:rPr>
      <w:b/>
      <w:bCs/>
      <w:szCs w:val="21"/>
    </w:rPr>
  </w:style>
  <w:style w:type="paragraph" w:styleId="870">
    <w:name w:val="标题"/>
    <w:basedOn w:val="790"/>
    <w:next w:val="870"/>
    <w:link w:val="871"/>
    <w:uiPriority w:val="10"/>
    <w:qFormat/>
    <w:pPr>
      <w:jc w:val="center"/>
      <w:spacing w:before="240" w:after="60"/>
      <w:outlineLvl w:val="0"/>
    </w:pPr>
    <w:rPr>
      <w:rFonts w:ascii="Arial" w:hAnsi="Arial" w:eastAsia="黑体"/>
      <w:b/>
      <w:bCs/>
      <w:sz w:val="44"/>
      <w:szCs w:val="32"/>
    </w:rPr>
  </w:style>
  <w:style w:type="character" w:styleId="871">
    <w:name w:val="标题 字符1"/>
    <w:next w:val="871"/>
    <w:link w:val="870"/>
    <w:qFormat/>
    <w:rPr>
      <w:rFonts w:ascii="Arial" w:hAnsi="Arial" w:eastAsia="黑体" w:cs="Arial"/>
      <w:b/>
      <w:bCs/>
      <w:sz w:val="44"/>
      <w:szCs w:val="32"/>
    </w:rPr>
  </w:style>
  <w:style w:type="paragraph" w:styleId="872">
    <w:name w:val="批注主题"/>
    <w:basedOn w:val="820"/>
    <w:next w:val="820"/>
    <w:link w:val="873"/>
    <w:uiPriority w:val="99"/>
    <w:qFormat/>
    <w:rPr>
      <w:b/>
      <w:bCs/>
    </w:rPr>
  </w:style>
  <w:style w:type="character" w:styleId="873">
    <w:name w:val="批注主题 字符"/>
    <w:next w:val="873"/>
    <w:link w:val="872"/>
    <w:uiPriority w:val="99"/>
    <w:qFormat/>
    <w:rPr>
      <w:b/>
      <w:bCs/>
      <w:sz w:val="21"/>
      <w:szCs w:val="21"/>
    </w:rPr>
  </w:style>
  <w:style w:type="table" w:styleId="874">
    <w:name w:val="网格型"/>
    <w:basedOn w:val="801"/>
    <w:next w:val="874"/>
    <w:link w:val="790"/>
    <w:uiPriority w:val="39"/>
    <w:qFormat/>
    <w:rPr>
      <w:rFonts w:ascii="Calibri" w:hAnsi="Calibri"/>
    </w:rPr>
    <w:tblPr/>
  </w:style>
  <w:style w:type="character" w:styleId="875">
    <w:name w:val="要点"/>
    <w:next w:val="875"/>
    <w:link w:val="790"/>
    <w:qFormat/>
    <w:rPr>
      <w:b/>
      <w:bCs/>
    </w:rPr>
  </w:style>
  <w:style w:type="character" w:styleId="876">
    <w:name w:val="尾注引用"/>
    <w:next w:val="876"/>
    <w:link w:val="790"/>
    <w:uiPriority w:val="99"/>
    <w:unhideWhenUsed/>
    <w:qFormat/>
    <w:rPr>
      <w:vertAlign w:val="superscript"/>
    </w:rPr>
  </w:style>
  <w:style w:type="character" w:styleId="877">
    <w:name w:val="页码"/>
    <w:next w:val="877"/>
    <w:link w:val="790"/>
    <w:qFormat/>
  </w:style>
  <w:style w:type="character" w:styleId="878">
    <w:name w:val="强调"/>
    <w:next w:val="878"/>
    <w:link w:val="790"/>
    <w:uiPriority w:val="20"/>
    <w:qFormat/>
    <w:rPr>
      <w:i/>
      <w:iCs/>
    </w:rPr>
  </w:style>
  <w:style w:type="character" w:styleId="879">
    <w:name w:val="超链接"/>
    <w:next w:val="879"/>
    <w:link w:val="790"/>
    <w:qFormat/>
    <w:rPr>
      <w:color w:val="0000ff"/>
      <w:u w:val="single"/>
    </w:rPr>
  </w:style>
  <w:style w:type="character" w:styleId="880">
    <w:name w:val="批注引用"/>
    <w:next w:val="880"/>
    <w:link w:val="790"/>
    <w:uiPriority w:val="99"/>
    <w:qFormat/>
    <w:rPr>
      <w:sz w:val="21"/>
      <w:szCs w:val="21"/>
    </w:rPr>
  </w:style>
  <w:style w:type="character" w:styleId="881">
    <w:name w:val="脚注引用"/>
    <w:next w:val="881"/>
    <w:link w:val="790"/>
    <w:uiPriority w:val="99"/>
    <w:unhideWhenUsed/>
    <w:qFormat/>
    <w:rPr>
      <w:vertAlign w:val="superscript"/>
    </w:rPr>
  </w:style>
  <w:style w:type="character" w:styleId="882">
    <w:name w:val="页码11"/>
    <w:next w:val="882"/>
    <w:link w:val="790"/>
    <w:qFormat/>
  </w:style>
  <w:style w:type="table" w:styleId="883">
    <w:name w:val="Plain Table 1"/>
    <w:basedOn w:val="801"/>
    <w:next w:val="883"/>
    <w:link w:val="790"/>
    <w:uiPriority w:val="59"/>
    <w:qFormat/>
    <w:pPr>
      <w:spacing w:after="0" w:line="240" w:lineRule="auto"/>
    </w:pPr>
    <w:tblPr/>
  </w:style>
  <w:style w:type="table" w:styleId="884">
    <w:name w:val="Plain Table 2"/>
    <w:basedOn w:val="801"/>
    <w:next w:val="884"/>
    <w:link w:val="790"/>
    <w:uiPriority w:val="59"/>
    <w:qFormat/>
    <w:pPr>
      <w:spacing w:after="0" w:line="240" w:lineRule="auto"/>
    </w:pPr>
    <w:tblPr/>
  </w:style>
  <w:style w:type="table" w:styleId="885">
    <w:name w:val="Plain Table 3"/>
    <w:basedOn w:val="801"/>
    <w:next w:val="885"/>
    <w:link w:val="790"/>
    <w:uiPriority w:val="99"/>
    <w:pPr>
      <w:spacing w:after="0" w:line="240" w:lineRule="auto"/>
    </w:pPr>
    <w:tblPr/>
  </w:style>
  <w:style w:type="table" w:styleId="886">
    <w:name w:val="Plain Table 4"/>
    <w:basedOn w:val="801"/>
    <w:next w:val="886"/>
    <w:link w:val="790"/>
    <w:uiPriority w:val="99"/>
    <w:qFormat/>
    <w:pPr>
      <w:spacing w:after="0" w:line="240" w:lineRule="auto"/>
    </w:pPr>
    <w:tblPr/>
  </w:style>
  <w:style w:type="table" w:styleId="887">
    <w:name w:val="Plain Table 5"/>
    <w:basedOn w:val="801"/>
    <w:next w:val="887"/>
    <w:link w:val="790"/>
    <w:uiPriority w:val="99"/>
    <w:qFormat/>
    <w:pPr>
      <w:spacing w:after="0" w:line="240" w:lineRule="auto"/>
    </w:pPr>
    <w:tblPr/>
  </w:style>
  <w:style w:type="table" w:styleId="888">
    <w:name w:val="Grid Table 1 Light"/>
    <w:basedOn w:val="801"/>
    <w:next w:val="888"/>
    <w:link w:val="790"/>
    <w:uiPriority w:val="99"/>
    <w:qFormat/>
    <w:pPr>
      <w:spacing w:after="0" w:line="240" w:lineRule="auto"/>
    </w:pPr>
    <w:tblPr/>
  </w:style>
  <w:style w:type="table" w:styleId="889">
    <w:name w:val="Grid Table 2"/>
    <w:basedOn w:val="801"/>
    <w:next w:val="889"/>
    <w:link w:val="790"/>
    <w:uiPriority w:val="99"/>
    <w:pPr>
      <w:spacing w:after="0" w:line="240" w:lineRule="auto"/>
    </w:pPr>
    <w:tblPr/>
  </w:style>
  <w:style w:type="table" w:styleId="890">
    <w:name w:val="Grid Table 3"/>
    <w:basedOn w:val="801"/>
    <w:next w:val="890"/>
    <w:link w:val="790"/>
    <w:uiPriority w:val="99"/>
    <w:pPr>
      <w:spacing w:after="0" w:line="240" w:lineRule="auto"/>
    </w:pPr>
    <w:tblPr/>
  </w:style>
  <w:style w:type="table" w:styleId="891">
    <w:name w:val="Grid Table 4"/>
    <w:basedOn w:val="801"/>
    <w:next w:val="891"/>
    <w:link w:val="790"/>
    <w:uiPriority w:val="59"/>
    <w:qFormat/>
    <w:pPr>
      <w:spacing w:after="0" w:line="240" w:lineRule="auto"/>
    </w:pPr>
    <w:tblPr/>
  </w:style>
  <w:style w:type="table" w:styleId="892">
    <w:name w:val="Grid Table 5 Dark"/>
    <w:basedOn w:val="801"/>
    <w:next w:val="892"/>
    <w:link w:val="790"/>
    <w:uiPriority w:val="99"/>
    <w:qFormat/>
    <w:pPr>
      <w:spacing w:after="0" w:line="240" w:lineRule="auto"/>
    </w:pPr>
    <w:tblPr/>
  </w:style>
  <w:style w:type="table" w:styleId="893">
    <w:name w:val="Grid Table 6 Colorful"/>
    <w:basedOn w:val="801"/>
    <w:next w:val="893"/>
    <w:link w:val="790"/>
    <w:uiPriority w:val="99"/>
    <w:qFormat/>
    <w:pPr>
      <w:spacing w:after="0" w:line="240" w:lineRule="auto"/>
    </w:pPr>
    <w:tblPr/>
  </w:style>
  <w:style w:type="table" w:styleId="894">
    <w:name w:val="Grid Table 7 Colorful"/>
    <w:basedOn w:val="801"/>
    <w:next w:val="894"/>
    <w:link w:val="790"/>
    <w:uiPriority w:val="99"/>
    <w:qFormat/>
    <w:pPr>
      <w:spacing w:after="0" w:line="240" w:lineRule="auto"/>
    </w:pPr>
    <w:tblPr/>
  </w:style>
  <w:style w:type="table" w:styleId="895">
    <w:name w:val="List Table 1 Light"/>
    <w:basedOn w:val="801"/>
    <w:next w:val="895"/>
    <w:link w:val="790"/>
    <w:uiPriority w:val="99"/>
    <w:qFormat/>
    <w:pPr>
      <w:spacing w:after="0" w:line="240" w:lineRule="auto"/>
    </w:pPr>
    <w:tblPr/>
  </w:style>
  <w:style w:type="table" w:styleId="896">
    <w:name w:val="List Table 2"/>
    <w:basedOn w:val="801"/>
    <w:next w:val="896"/>
    <w:link w:val="790"/>
    <w:uiPriority w:val="99"/>
    <w:pPr>
      <w:spacing w:after="0" w:line="240" w:lineRule="auto"/>
    </w:pPr>
    <w:tblPr/>
  </w:style>
  <w:style w:type="table" w:styleId="897">
    <w:name w:val="List Table 3"/>
    <w:basedOn w:val="801"/>
    <w:next w:val="897"/>
    <w:link w:val="790"/>
    <w:uiPriority w:val="99"/>
    <w:pPr>
      <w:spacing w:after="0" w:line="240" w:lineRule="auto"/>
    </w:pPr>
    <w:tblPr/>
  </w:style>
  <w:style w:type="table" w:styleId="898">
    <w:name w:val="List Table 4"/>
    <w:basedOn w:val="801"/>
    <w:next w:val="898"/>
    <w:link w:val="790"/>
    <w:uiPriority w:val="99"/>
    <w:pPr>
      <w:spacing w:after="0" w:line="240" w:lineRule="auto"/>
    </w:pPr>
    <w:tblPr/>
  </w:style>
  <w:style w:type="table" w:styleId="899">
    <w:name w:val="List Table 5 Dark"/>
    <w:basedOn w:val="801"/>
    <w:next w:val="899"/>
    <w:link w:val="790"/>
    <w:uiPriority w:val="99"/>
    <w:qFormat/>
    <w:pPr>
      <w:spacing w:after="0" w:line="240" w:lineRule="auto"/>
    </w:pPr>
    <w:tblPr/>
  </w:style>
  <w:style w:type="table" w:styleId="900">
    <w:name w:val="List Table 6 Colorful"/>
    <w:basedOn w:val="801"/>
    <w:next w:val="900"/>
    <w:link w:val="790"/>
    <w:uiPriority w:val="99"/>
    <w:qFormat/>
    <w:pPr>
      <w:spacing w:after="0" w:line="240" w:lineRule="auto"/>
    </w:pPr>
    <w:tblPr/>
  </w:style>
  <w:style w:type="table" w:styleId="901">
    <w:name w:val="List Table 7 Colorful"/>
    <w:basedOn w:val="801"/>
    <w:next w:val="901"/>
    <w:link w:val="790"/>
    <w:uiPriority w:val="99"/>
    <w:pPr>
      <w:spacing w:after="0" w:line="240" w:lineRule="auto"/>
    </w:pPr>
    <w:tblPr/>
  </w:style>
  <w:style w:type="paragraph" w:styleId="902">
    <w:name w:val="TOC Heading"/>
    <w:next w:val="902"/>
    <w:link w:val="790"/>
    <w:uiPriority w:val="39"/>
    <w:unhideWhenUsed/>
    <w:qFormat/>
    <w:rPr>
      <w:rFonts w:ascii="Times New Roman" w:hAnsi="Times New Roman" w:eastAsia="宋体" w:cs="Times New Roman"/>
    </w:rPr>
  </w:style>
  <w:style w:type="table" w:styleId="903">
    <w:name w:val="无格式表格 11"/>
    <w:basedOn w:val="801"/>
    <w:next w:val="903"/>
    <w:link w:val="790"/>
    <w:uiPriority w:val="59"/>
    <w:qFormat/>
    <w:tblPr/>
  </w:style>
  <w:style w:type="table" w:styleId="904">
    <w:name w:val="无格式表格 21"/>
    <w:basedOn w:val="801"/>
    <w:next w:val="904"/>
    <w:link w:val="790"/>
    <w:uiPriority w:val="59"/>
    <w:qFormat/>
    <w:tblPr/>
  </w:style>
  <w:style w:type="table" w:styleId="905">
    <w:name w:val="无格式表格 31"/>
    <w:basedOn w:val="801"/>
    <w:next w:val="905"/>
    <w:link w:val="790"/>
    <w:uiPriority w:val="99"/>
    <w:qFormat/>
    <w:tblPr/>
  </w:style>
  <w:style w:type="table" w:styleId="906">
    <w:name w:val="无格式表格 41"/>
    <w:basedOn w:val="801"/>
    <w:next w:val="906"/>
    <w:link w:val="790"/>
    <w:uiPriority w:val="99"/>
    <w:qFormat/>
    <w:tblPr/>
  </w:style>
  <w:style w:type="table" w:styleId="907">
    <w:name w:val="无格式表格 51"/>
    <w:basedOn w:val="801"/>
    <w:next w:val="907"/>
    <w:link w:val="790"/>
    <w:uiPriority w:val="99"/>
    <w:qFormat/>
    <w:tblPr/>
  </w:style>
  <w:style w:type="table" w:styleId="908">
    <w:name w:val="网格表 1 浅色1"/>
    <w:basedOn w:val="801"/>
    <w:next w:val="908"/>
    <w:link w:val="790"/>
    <w:uiPriority w:val="99"/>
    <w:qFormat/>
    <w:tblPr/>
  </w:style>
  <w:style w:type="table" w:styleId="909">
    <w:name w:val="网格表 21"/>
    <w:basedOn w:val="801"/>
    <w:next w:val="909"/>
    <w:link w:val="790"/>
    <w:uiPriority w:val="99"/>
    <w:qFormat/>
    <w:tblPr/>
  </w:style>
  <w:style w:type="table" w:styleId="910">
    <w:name w:val="网格表 31"/>
    <w:basedOn w:val="801"/>
    <w:next w:val="910"/>
    <w:link w:val="790"/>
    <w:uiPriority w:val="99"/>
    <w:qFormat/>
    <w:tblPr/>
  </w:style>
  <w:style w:type="table" w:styleId="911">
    <w:name w:val="网格表 41"/>
    <w:basedOn w:val="801"/>
    <w:next w:val="911"/>
    <w:link w:val="790"/>
    <w:uiPriority w:val="59"/>
    <w:qFormat/>
    <w:tblPr/>
  </w:style>
  <w:style w:type="table" w:styleId="912">
    <w:name w:val="网格表 5 深色1"/>
    <w:basedOn w:val="801"/>
    <w:next w:val="912"/>
    <w:link w:val="790"/>
    <w:uiPriority w:val="99"/>
    <w:qFormat/>
    <w:tblPr/>
  </w:style>
  <w:style w:type="table" w:styleId="913">
    <w:name w:val="网格表 6 彩色1"/>
    <w:basedOn w:val="801"/>
    <w:next w:val="913"/>
    <w:link w:val="790"/>
    <w:uiPriority w:val="99"/>
    <w:qFormat/>
    <w:tblPr/>
  </w:style>
  <w:style w:type="table" w:styleId="914">
    <w:name w:val="网格表 7 彩色1"/>
    <w:basedOn w:val="801"/>
    <w:next w:val="914"/>
    <w:link w:val="790"/>
    <w:uiPriority w:val="99"/>
    <w:qFormat/>
    <w:tblPr/>
  </w:style>
  <w:style w:type="table" w:styleId="915">
    <w:name w:val="清单表 1 浅色1"/>
    <w:basedOn w:val="801"/>
    <w:next w:val="915"/>
    <w:link w:val="790"/>
    <w:uiPriority w:val="99"/>
    <w:qFormat/>
    <w:tblPr/>
  </w:style>
  <w:style w:type="table" w:styleId="916">
    <w:name w:val="清单表 21"/>
    <w:basedOn w:val="801"/>
    <w:next w:val="916"/>
    <w:link w:val="790"/>
    <w:uiPriority w:val="99"/>
    <w:qFormat/>
    <w:tblPr/>
  </w:style>
  <w:style w:type="table" w:styleId="917">
    <w:name w:val="清单表 31"/>
    <w:basedOn w:val="801"/>
    <w:next w:val="917"/>
    <w:link w:val="790"/>
    <w:uiPriority w:val="99"/>
    <w:qFormat/>
    <w:tblPr/>
  </w:style>
  <w:style w:type="table" w:styleId="918">
    <w:name w:val="清单表 41"/>
    <w:basedOn w:val="801"/>
    <w:next w:val="918"/>
    <w:link w:val="790"/>
    <w:uiPriority w:val="99"/>
    <w:qFormat/>
    <w:tblPr/>
  </w:style>
  <w:style w:type="table" w:styleId="919">
    <w:name w:val="清单表 5 深色1"/>
    <w:basedOn w:val="801"/>
    <w:next w:val="919"/>
    <w:link w:val="790"/>
    <w:uiPriority w:val="99"/>
    <w:qFormat/>
    <w:tblPr/>
  </w:style>
  <w:style w:type="table" w:styleId="920">
    <w:name w:val="清单表 6 彩色1"/>
    <w:basedOn w:val="801"/>
    <w:next w:val="920"/>
    <w:link w:val="790"/>
    <w:uiPriority w:val="99"/>
    <w:qFormat/>
    <w:tblPr/>
  </w:style>
  <w:style w:type="table" w:styleId="921">
    <w:name w:val="清单表 7 彩色1"/>
    <w:basedOn w:val="801"/>
    <w:next w:val="921"/>
    <w:link w:val="790"/>
    <w:uiPriority w:val="99"/>
    <w:qFormat/>
    <w:tblPr/>
  </w:style>
  <w:style w:type="paragraph" w:styleId="922">
    <w:name w:val="TOC 标题1"/>
    <w:next w:val="922"/>
    <w:link w:val="790"/>
    <w:uiPriority w:val="39"/>
    <w:unhideWhenUsed/>
    <w:qFormat/>
    <w:rPr>
      <w:rFonts w:ascii="Times New Roman" w:hAnsi="Times New Roman" w:eastAsia="宋体" w:cs="Times New Roman"/>
    </w:rPr>
  </w:style>
  <w:style w:type="paragraph" w:styleId="923">
    <w:name w:val="TOC 标题115"/>
    <w:next w:val="923"/>
    <w:link w:val="790"/>
    <w:uiPriority w:val="39"/>
    <w:unhideWhenUsed/>
    <w:qFormat/>
    <w:rPr>
      <w:rFonts w:ascii="Times New Roman" w:hAnsi="Times New Roman" w:eastAsia="宋体" w:cs="Times New Roman"/>
    </w:rPr>
  </w:style>
  <w:style w:type="paragraph" w:styleId="924">
    <w:name w:val="TOC 标题114"/>
    <w:next w:val="924"/>
    <w:link w:val="790"/>
    <w:uiPriority w:val="39"/>
    <w:unhideWhenUsed/>
    <w:qFormat/>
    <w:rPr>
      <w:rFonts w:ascii="Times New Roman" w:hAnsi="Times New Roman" w:eastAsia="宋体" w:cs="Times New Roman"/>
    </w:rPr>
  </w:style>
  <w:style w:type="paragraph" w:styleId="925">
    <w:name w:val="List Paragraph"/>
    <w:basedOn w:val="790"/>
    <w:next w:val="925"/>
    <w:link w:val="790"/>
    <w:qFormat/>
    <w:pPr>
      <w:ind w:firstLine="200"/>
    </w:pPr>
    <w:rPr>
      <w:rFonts w:cs="Arial"/>
    </w:rPr>
  </w:style>
  <w:style w:type="paragraph" w:styleId="926">
    <w:name w:val="No Spacing"/>
    <w:next w:val="926"/>
    <w:link w:val="790"/>
    <w:uiPriority w:val="1"/>
    <w:qFormat/>
    <w:pPr>
      <w:jc w:val="both"/>
      <w:widowControl w:val="off"/>
    </w:pPr>
    <w:rPr>
      <w:rFonts w:ascii="Times New Roman" w:hAnsi="Times New Roman" w:eastAsia="楷体_GB2312" w:cs="Times New Roman"/>
      <w:sz w:val="26"/>
    </w:rPr>
  </w:style>
  <w:style w:type="paragraph" w:styleId="927">
    <w:name w:val="Quote"/>
    <w:basedOn w:val="790"/>
    <w:next w:val="790"/>
    <w:link w:val="928"/>
    <w:uiPriority w:val="29"/>
    <w:qFormat/>
    <w:pPr>
      <w:ind w:left="720" w:right="720"/>
    </w:pPr>
    <w:rPr>
      <w:i/>
    </w:rPr>
  </w:style>
  <w:style w:type="character" w:styleId="928">
    <w:name w:val="引用 字符"/>
    <w:next w:val="928"/>
    <w:link w:val="927"/>
    <w:uiPriority w:val="29"/>
    <w:qFormat/>
    <w:rPr>
      <w:i/>
    </w:rPr>
  </w:style>
  <w:style w:type="paragraph" w:styleId="929">
    <w:name w:val="Intense Quote"/>
    <w:basedOn w:val="790"/>
    <w:next w:val="790"/>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name w:val="明显引用 字符"/>
    <w:next w:val="930"/>
    <w:link w:val="929"/>
    <w:uiPriority w:val="30"/>
    <w:qFormat/>
    <w:rPr>
      <w:i/>
    </w:rPr>
  </w:style>
  <w:style w:type="paragraph" w:styleId="931">
    <w:name w:val="TOC 标题113"/>
    <w:next w:val="931"/>
    <w:link w:val="790"/>
    <w:uiPriority w:val="39"/>
    <w:unhideWhenUsed/>
    <w:qFormat/>
    <w:rPr>
      <w:rFonts w:ascii="Times New Roman" w:hAnsi="Times New Roman" w:eastAsia="宋体" w:cs="Times New Roman"/>
    </w:rPr>
  </w:style>
  <w:style w:type="paragraph" w:styleId="932">
    <w:name w:val="TOC 标题112"/>
    <w:next w:val="932"/>
    <w:link w:val="790"/>
    <w:uiPriority w:val="39"/>
    <w:unhideWhenUsed/>
    <w:qFormat/>
    <w:rPr>
      <w:rFonts w:ascii="Times New Roman" w:hAnsi="Times New Roman" w:eastAsia="宋体" w:cs="Times New Roman"/>
    </w:rPr>
  </w:style>
  <w:style w:type="character" w:styleId="933">
    <w:name w:val="Quote Char"/>
    <w:next w:val="933"/>
    <w:link w:val="790"/>
    <w:uiPriority w:val="29"/>
    <w:qFormat/>
    <w:rPr>
      <w:i/>
    </w:rPr>
  </w:style>
  <w:style w:type="character" w:styleId="934">
    <w:name w:val="Intense Quote Char"/>
    <w:next w:val="934"/>
    <w:link w:val="790"/>
    <w:uiPriority w:val="30"/>
    <w:qFormat/>
    <w:rPr>
      <w:i/>
    </w:rPr>
  </w:style>
  <w:style w:type="character" w:styleId="935">
    <w:name w:val="Footnote Text Char"/>
    <w:next w:val="935"/>
    <w:link w:val="790"/>
    <w:uiPriority w:val="99"/>
    <w:qFormat/>
    <w:rPr>
      <w:sz w:val="18"/>
    </w:rPr>
  </w:style>
  <w:style w:type="character" w:styleId="936">
    <w:name w:val="Endnote Text Char"/>
    <w:next w:val="936"/>
    <w:link w:val="790"/>
    <w:uiPriority w:val="99"/>
    <w:qFormat/>
    <w:rPr>
      <w:sz w:val="20"/>
    </w:rPr>
  </w:style>
  <w:style w:type="paragraph" w:styleId="937">
    <w:name w:val="TOC 标题111"/>
    <w:next w:val="937"/>
    <w:link w:val="790"/>
    <w:uiPriority w:val="39"/>
    <w:unhideWhenUsed/>
    <w:qFormat/>
    <w:rPr>
      <w:rFonts w:ascii="Times New Roman" w:hAnsi="Times New Roman" w:eastAsia="宋体" w:cs="Times New Roman"/>
    </w:rPr>
  </w:style>
  <w:style w:type="character" w:styleId="938">
    <w:name w:val="Heading 1 Char"/>
    <w:next w:val="938"/>
    <w:link w:val="790"/>
    <w:uiPriority w:val="9"/>
    <w:qFormat/>
    <w:rPr>
      <w:rFonts w:ascii="Arial" w:hAnsi="Arial" w:eastAsia="Arial" w:cs="Arial"/>
      <w:sz w:val="40"/>
      <w:szCs w:val="40"/>
    </w:rPr>
  </w:style>
  <w:style w:type="character" w:styleId="939">
    <w:name w:val="Heading 2 Char"/>
    <w:next w:val="939"/>
    <w:link w:val="790"/>
    <w:uiPriority w:val="9"/>
    <w:qFormat/>
    <w:rPr>
      <w:rFonts w:ascii="Arial" w:hAnsi="Arial" w:eastAsia="Arial" w:cs="Arial"/>
      <w:sz w:val="34"/>
    </w:rPr>
  </w:style>
  <w:style w:type="character" w:styleId="940">
    <w:name w:val="Heading 3 Char"/>
    <w:next w:val="940"/>
    <w:link w:val="790"/>
    <w:uiPriority w:val="9"/>
    <w:qFormat/>
    <w:rPr>
      <w:rFonts w:ascii="Arial" w:hAnsi="Arial" w:eastAsia="Arial" w:cs="Arial"/>
      <w:sz w:val="30"/>
      <w:szCs w:val="30"/>
    </w:rPr>
  </w:style>
  <w:style w:type="character" w:styleId="941">
    <w:name w:val="Heading 4 Char"/>
    <w:next w:val="941"/>
    <w:link w:val="790"/>
    <w:uiPriority w:val="9"/>
    <w:qFormat/>
    <w:rPr>
      <w:rFonts w:ascii="Arial" w:hAnsi="Arial" w:eastAsia="Arial" w:cs="Arial"/>
      <w:b/>
      <w:bCs/>
      <w:sz w:val="26"/>
      <w:szCs w:val="26"/>
    </w:rPr>
  </w:style>
  <w:style w:type="character" w:styleId="942">
    <w:name w:val="Heading 5 Char"/>
    <w:next w:val="942"/>
    <w:link w:val="790"/>
    <w:uiPriority w:val="9"/>
    <w:qFormat/>
    <w:rPr>
      <w:rFonts w:ascii="Arial" w:hAnsi="Arial" w:eastAsia="Arial" w:cs="Arial"/>
      <w:b/>
      <w:bCs/>
      <w:sz w:val="24"/>
      <w:szCs w:val="24"/>
    </w:rPr>
  </w:style>
  <w:style w:type="character" w:styleId="943">
    <w:name w:val="Heading 6 Char"/>
    <w:next w:val="943"/>
    <w:link w:val="790"/>
    <w:uiPriority w:val="9"/>
    <w:qFormat/>
    <w:rPr>
      <w:rFonts w:ascii="Arial" w:hAnsi="Arial" w:eastAsia="Arial" w:cs="Arial"/>
      <w:b/>
      <w:bCs/>
      <w:sz w:val="22"/>
      <w:szCs w:val="22"/>
    </w:rPr>
  </w:style>
  <w:style w:type="character" w:styleId="944">
    <w:name w:val="Heading 7 Char"/>
    <w:next w:val="944"/>
    <w:link w:val="790"/>
    <w:uiPriority w:val="9"/>
    <w:qFormat/>
    <w:rPr>
      <w:rFonts w:ascii="Arial" w:hAnsi="Arial" w:eastAsia="Arial" w:cs="Arial"/>
      <w:b/>
      <w:bCs/>
      <w:i/>
      <w:iCs/>
      <w:sz w:val="22"/>
      <w:szCs w:val="22"/>
    </w:rPr>
  </w:style>
  <w:style w:type="character" w:styleId="945">
    <w:name w:val="Heading 8 Char"/>
    <w:next w:val="945"/>
    <w:link w:val="790"/>
    <w:uiPriority w:val="9"/>
    <w:qFormat/>
    <w:rPr>
      <w:rFonts w:ascii="Arial" w:hAnsi="Arial" w:eastAsia="Arial" w:cs="Arial"/>
      <w:i/>
      <w:iCs/>
      <w:sz w:val="22"/>
      <w:szCs w:val="22"/>
    </w:rPr>
  </w:style>
  <w:style w:type="character" w:styleId="946">
    <w:name w:val="Heading 9 Char"/>
    <w:next w:val="946"/>
    <w:link w:val="790"/>
    <w:uiPriority w:val="9"/>
    <w:qFormat/>
    <w:rPr>
      <w:rFonts w:ascii="Arial" w:hAnsi="Arial" w:eastAsia="Arial" w:cs="Arial"/>
      <w:i/>
      <w:iCs/>
      <w:sz w:val="21"/>
      <w:szCs w:val="21"/>
    </w:rPr>
  </w:style>
  <w:style w:type="character" w:styleId="947">
    <w:name w:val="Title Char"/>
    <w:next w:val="947"/>
    <w:link w:val="790"/>
    <w:uiPriority w:val="10"/>
    <w:qFormat/>
    <w:rPr>
      <w:sz w:val="48"/>
      <w:szCs w:val="48"/>
    </w:rPr>
  </w:style>
  <w:style w:type="character" w:styleId="948">
    <w:name w:val="Subtitle Char"/>
    <w:next w:val="948"/>
    <w:link w:val="790"/>
    <w:uiPriority w:val="11"/>
    <w:qFormat/>
    <w:rPr>
      <w:sz w:val="24"/>
      <w:szCs w:val="24"/>
    </w:rPr>
  </w:style>
  <w:style w:type="character" w:styleId="949">
    <w:name w:val="Header Char"/>
    <w:next w:val="949"/>
    <w:link w:val="790"/>
    <w:uiPriority w:val="99"/>
    <w:qFormat/>
  </w:style>
  <w:style w:type="character" w:styleId="950">
    <w:name w:val="Footer Char"/>
    <w:next w:val="950"/>
    <w:link w:val="790"/>
    <w:uiPriority w:val="99"/>
    <w:qFormat/>
  </w:style>
  <w:style w:type="character" w:styleId="951">
    <w:name w:val="Caption Char"/>
    <w:next w:val="951"/>
    <w:link w:val="790"/>
    <w:uiPriority w:val="99"/>
    <w:qFormat/>
  </w:style>
  <w:style w:type="table" w:styleId="952">
    <w:name w:val="Table Grid Light"/>
    <w:next w:val="952"/>
    <w:link w:val="790"/>
    <w:uiPriority w:val="59"/>
    <w:qFormat/>
    <w:tblPr/>
  </w:style>
  <w:style w:type="table" w:styleId="953">
    <w:name w:val="Grid Table 1 Light - Accent 1"/>
    <w:next w:val="953"/>
    <w:link w:val="790"/>
    <w:uiPriority w:val="99"/>
    <w:qFormat/>
    <w:tblPr/>
  </w:style>
  <w:style w:type="table" w:styleId="954">
    <w:name w:val="Grid Table 1 Light - Accent 2"/>
    <w:next w:val="954"/>
    <w:link w:val="790"/>
    <w:uiPriority w:val="99"/>
    <w:qFormat/>
    <w:tblPr/>
  </w:style>
  <w:style w:type="table" w:styleId="955">
    <w:name w:val="Grid Table 1 Light - Accent 3"/>
    <w:next w:val="955"/>
    <w:link w:val="790"/>
    <w:uiPriority w:val="99"/>
    <w:qFormat/>
    <w:tblPr/>
  </w:style>
  <w:style w:type="table" w:styleId="956">
    <w:name w:val="Grid Table 1 Light - Accent 4"/>
    <w:next w:val="956"/>
    <w:link w:val="790"/>
    <w:uiPriority w:val="99"/>
    <w:qFormat/>
    <w:tblPr/>
  </w:style>
  <w:style w:type="table" w:styleId="957">
    <w:name w:val="Grid Table 1 Light - Accent 5"/>
    <w:next w:val="957"/>
    <w:link w:val="790"/>
    <w:uiPriority w:val="99"/>
    <w:qFormat/>
    <w:tblPr/>
  </w:style>
  <w:style w:type="table" w:styleId="958">
    <w:name w:val="Grid Table 1 Light - Accent 6"/>
    <w:next w:val="958"/>
    <w:link w:val="790"/>
    <w:uiPriority w:val="99"/>
    <w:qFormat/>
    <w:tblPr/>
  </w:style>
  <w:style w:type="table" w:styleId="959">
    <w:name w:val="Grid Table 2 - Accent 1"/>
    <w:next w:val="959"/>
    <w:link w:val="790"/>
    <w:uiPriority w:val="99"/>
    <w:qFormat/>
    <w:tblPr/>
  </w:style>
  <w:style w:type="table" w:styleId="960">
    <w:name w:val="Grid Table 2 - Accent 2"/>
    <w:next w:val="960"/>
    <w:link w:val="790"/>
    <w:uiPriority w:val="99"/>
    <w:qFormat/>
    <w:tblPr/>
  </w:style>
  <w:style w:type="table" w:styleId="961">
    <w:name w:val="Grid Table 2 - Accent 3"/>
    <w:next w:val="961"/>
    <w:link w:val="790"/>
    <w:uiPriority w:val="99"/>
    <w:qFormat/>
    <w:tblPr/>
  </w:style>
  <w:style w:type="table" w:styleId="962">
    <w:name w:val="Grid Table 2 - Accent 4"/>
    <w:next w:val="962"/>
    <w:link w:val="790"/>
    <w:uiPriority w:val="99"/>
    <w:qFormat/>
    <w:tblPr/>
  </w:style>
  <w:style w:type="table" w:styleId="963">
    <w:name w:val="Grid Table 2 - Accent 5"/>
    <w:next w:val="963"/>
    <w:link w:val="790"/>
    <w:uiPriority w:val="99"/>
    <w:qFormat/>
    <w:tblPr/>
  </w:style>
  <w:style w:type="table" w:styleId="964">
    <w:name w:val="Grid Table 2 - Accent 6"/>
    <w:next w:val="964"/>
    <w:link w:val="790"/>
    <w:uiPriority w:val="99"/>
    <w:qFormat/>
    <w:tblPr/>
  </w:style>
  <w:style w:type="table" w:styleId="965">
    <w:name w:val="Grid Table 3 - Accent 1"/>
    <w:next w:val="965"/>
    <w:link w:val="790"/>
    <w:uiPriority w:val="99"/>
    <w:qFormat/>
    <w:tblPr/>
  </w:style>
  <w:style w:type="table" w:styleId="966">
    <w:name w:val="Grid Table 3 - Accent 2"/>
    <w:next w:val="966"/>
    <w:link w:val="790"/>
    <w:uiPriority w:val="99"/>
    <w:qFormat/>
    <w:tblPr/>
  </w:style>
  <w:style w:type="table" w:styleId="967">
    <w:name w:val="Grid Table 3 - Accent 3"/>
    <w:next w:val="967"/>
    <w:link w:val="790"/>
    <w:uiPriority w:val="99"/>
    <w:qFormat/>
    <w:tblPr/>
  </w:style>
  <w:style w:type="table" w:styleId="968">
    <w:name w:val="Grid Table 3 - Accent 4"/>
    <w:next w:val="968"/>
    <w:link w:val="790"/>
    <w:uiPriority w:val="99"/>
    <w:qFormat/>
    <w:tblPr/>
  </w:style>
  <w:style w:type="table" w:styleId="969">
    <w:name w:val="Grid Table 3 - Accent 5"/>
    <w:next w:val="969"/>
    <w:link w:val="790"/>
    <w:uiPriority w:val="99"/>
    <w:qFormat/>
    <w:tblPr/>
  </w:style>
  <w:style w:type="table" w:styleId="970">
    <w:name w:val="Grid Table 3 - Accent 6"/>
    <w:next w:val="970"/>
    <w:link w:val="790"/>
    <w:uiPriority w:val="99"/>
    <w:qFormat/>
    <w:tblPr/>
  </w:style>
  <w:style w:type="table" w:styleId="971">
    <w:name w:val="Grid Table 4 - Accent 1"/>
    <w:next w:val="971"/>
    <w:link w:val="790"/>
    <w:uiPriority w:val="59"/>
    <w:qFormat/>
    <w:tblPr/>
  </w:style>
  <w:style w:type="table" w:styleId="972">
    <w:name w:val="Grid Table 4 - Accent 2"/>
    <w:next w:val="972"/>
    <w:link w:val="790"/>
    <w:uiPriority w:val="59"/>
    <w:qFormat/>
    <w:tblPr/>
  </w:style>
  <w:style w:type="table" w:styleId="973">
    <w:name w:val="Grid Table 4 - Accent 3"/>
    <w:next w:val="973"/>
    <w:link w:val="790"/>
    <w:uiPriority w:val="59"/>
    <w:qFormat/>
    <w:tblPr/>
  </w:style>
  <w:style w:type="table" w:styleId="974">
    <w:name w:val="Grid Table 4 - Accent 4"/>
    <w:next w:val="974"/>
    <w:link w:val="790"/>
    <w:uiPriority w:val="59"/>
    <w:qFormat/>
    <w:tblPr/>
  </w:style>
  <w:style w:type="table" w:styleId="975">
    <w:name w:val="Grid Table 4 - Accent 5"/>
    <w:next w:val="975"/>
    <w:link w:val="790"/>
    <w:uiPriority w:val="59"/>
    <w:qFormat/>
    <w:tblPr/>
  </w:style>
  <w:style w:type="table" w:styleId="976">
    <w:name w:val="Grid Table 4 - Accent 6"/>
    <w:next w:val="976"/>
    <w:link w:val="790"/>
    <w:uiPriority w:val="59"/>
    <w:qFormat/>
    <w:tblPr/>
  </w:style>
  <w:style w:type="table" w:styleId="977">
    <w:name w:val="Grid Table 5 Dark- Accent 1"/>
    <w:next w:val="977"/>
    <w:link w:val="790"/>
    <w:uiPriority w:val="99"/>
    <w:qFormat/>
    <w:tblPr/>
  </w:style>
  <w:style w:type="table" w:styleId="978">
    <w:name w:val="Grid Table 5 Dark - Accent 2"/>
    <w:next w:val="978"/>
    <w:link w:val="790"/>
    <w:uiPriority w:val="99"/>
    <w:qFormat/>
    <w:tblPr/>
  </w:style>
  <w:style w:type="table" w:styleId="979">
    <w:name w:val="Grid Table 5 Dark - Accent 3"/>
    <w:next w:val="979"/>
    <w:link w:val="790"/>
    <w:uiPriority w:val="99"/>
    <w:qFormat/>
    <w:tblPr/>
  </w:style>
  <w:style w:type="table" w:styleId="980">
    <w:name w:val="Grid Table 5 Dark- Accent 4"/>
    <w:next w:val="980"/>
    <w:link w:val="790"/>
    <w:uiPriority w:val="99"/>
    <w:qFormat/>
    <w:tblPr/>
  </w:style>
  <w:style w:type="table" w:styleId="981">
    <w:name w:val="Grid Table 5 Dark - Accent 5"/>
    <w:next w:val="981"/>
    <w:link w:val="790"/>
    <w:uiPriority w:val="99"/>
    <w:qFormat/>
    <w:tblPr/>
  </w:style>
  <w:style w:type="table" w:styleId="982">
    <w:name w:val="Grid Table 5 Dark - Accent 6"/>
    <w:next w:val="982"/>
    <w:link w:val="790"/>
    <w:uiPriority w:val="99"/>
    <w:qFormat/>
    <w:tblPr/>
  </w:style>
  <w:style w:type="table" w:styleId="983">
    <w:name w:val="Grid Table 6 Colorful - Accent 1"/>
    <w:next w:val="983"/>
    <w:link w:val="790"/>
    <w:uiPriority w:val="99"/>
    <w:qFormat/>
    <w:tblPr/>
  </w:style>
  <w:style w:type="table" w:styleId="984">
    <w:name w:val="Grid Table 6 Colorful - Accent 2"/>
    <w:next w:val="984"/>
    <w:link w:val="790"/>
    <w:uiPriority w:val="99"/>
    <w:qFormat/>
    <w:tblPr/>
  </w:style>
  <w:style w:type="table" w:styleId="985">
    <w:name w:val="Grid Table 6 Colorful - Accent 3"/>
    <w:next w:val="985"/>
    <w:link w:val="790"/>
    <w:uiPriority w:val="99"/>
    <w:qFormat/>
    <w:tblPr/>
  </w:style>
  <w:style w:type="table" w:styleId="986">
    <w:name w:val="Grid Table 6 Colorful - Accent 4"/>
    <w:next w:val="986"/>
    <w:link w:val="790"/>
    <w:uiPriority w:val="99"/>
    <w:qFormat/>
    <w:tblPr/>
  </w:style>
  <w:style w:type="table" w:styleId="987">
    <w:name w:val="Grid Table 6 Colorful - Accent 5"/>
    <w:next w:val="987"/>
    <w:link w:val="790"/>
    <w:uiPriority w:val="99"/>
    <w:qFormat/>
    <w:tblPr/>
  </w:style>
  <w:style w:type="table" w:styleId="988">
    <w:name w:val="Grid Table 6 Colorful - Accent 6"/>
    <w:next w:val="988"/>
    <w:link w:val="790"/>
    <w:uiPriority w:val="99"/>
    <w:qFormat/>
    <w:tblPr/>
  </w:style>
  <w:style w:type="table" w:styleId="989">
    <w:name w:val="Grid Table 7 Colorful - Accent 1"/>
    <w:next w:val="989"/>
    <w:link w:val="790"/>
    <w:uiPriority w:val="99"/>
    <w:qFormat/>
    <w:tblPr/>
  </w:style>
  <w:style w:type="table" w:styleId="990">
    <w:name w:val="Grid Table 7 Colorful - Accent 2"/>
    <w:next w:val="990"/>
    <w:link w:val="790"/>
    <w:uiPriority w:val="99"/>
    <w:qFormat/>
    <w:tblPr/>
  </w:style>
  <w:style w:type="table" w:styleId="991">
    <w:name w:val="Grid Table 7 Colorful - Accent 3"/>
    <w:next w:val="991"/>
    <w:link w:val="790"/>
    <w:uiPriority w:val="99"/>
    <w:qFormat/>
    <w:tblPr/>
  </w:style>
  <w:style w:type="table" w:styleId="992">
    <w:name w:val="Grid Table 7 Colorful - Accent 4"/>
    <w:next w:val="992"/>
    <w:link w:val="790"/>
    <w:uiPriority w:val="99"/>
    <w:qFormat/>
    <w:tblPr/>
  </w:style>
  <w:style w:type="table" w:styleId="993">
    <w:name w:val="Grid Table 7 Colorful - Accent 5"/>
    <w:next w:val="993"/>
    <w:link w:val="790"/>
    <w:uiPriority w:val="99"/>
    <w:qFormat/>
    <w:tblPr/>
  </w:style>
  <w:style w:type="table" w:styleId="994">
    <w:name w:val="Grid Table 7 Colorful - Accent 6"/>
    <w:next w:val="994"/>
    <w:link w:val="790"/>
    <w:uiPriority w:val="99"/>
    <w:qFormat/>
    <w:tblPr/>
  </w:style>
  <w:style w:type="table" w:styleId="995">
    <w:name w:val="List Table 1 Light - Accent 1"/>
    <w:next w:val="995"/>
    <w:link w:val="790"/>
    <w:uiPriority w:val="99"/>
    <w:qFormat/>
    <w:tblPr/>
  </w:style>
  <w:style w:type="table" w:styleId="996">
    <w:name w:val="List Table 1 Light - Accent 2"/>
    <w:next w:val="996"/>
    <w:link w:val="790"/>
    <w:uiPriority w:val="99"/>
    <w:qFormat/>
    <w:tblPr/>
  </w:style>
  <w:style w:type="table" w:styleId="997">
    <w:name w:val="List Table 1 Light - Accent 3"/>
    <w:next w:val="997"/>
    <w:link w:val="790"/>
    <w:uiPriority w:val="99"/>
    <w:qFormat/>
    <w:tblPr/>
  </w:style>
  <w:style w:type="table" w:styleId="998">
    <w:name w:val="List Table 1 Light - Accent 4"/>
    <w:next w:val="998"/>
    <w:link w:val="790"/>
    <w:uiPriority w:val="99"/>
    <w:qFormat/>
    <w:tblPr/>
  </w:style>
  <w:style w:type="table" w:styleId="999">
    <w:name w:val="List Table 1 Light - Accent 5"/>
    <w:next w:val="999"/>
    <w:link w:val="790"/>
    <w:uiPriority w:val="99"/>
    <w:qFormat/>
    <w:tblPr/>
  </w:style>
  <w:style w:type="table" w:styleId="1000">
    <w:name w:val="List Table 1 Light - Accent 6"/>
    <w:next w:val="1000"/>
    <w:link w:val="790"/>
    <w:uiPriority w:val="99"/>
    <w:qFormat/>
    <w:tblPr/>
  </w:style>
  <w:style w:type="table" w:styleId="1001">
    <w:name w:val="List Table 2 - Accent 1"/>
    <w:next w:val="1001"/>
    <w:link w:val="790"/>
    <w:uiPriority w:val="99"/>
    <w:qFormat/>
    <w:tblPr/>
  </w:style>
  <w:style w:type="table" w:styleId="1002">
    <w:name w:val="List Table 2 - Accent 2"/>
    <w:next w:val="1002"/>
    <w:link w:val="790"/>
    <w:uiPriority w:val="99"/>
    <w:qFormat/>
    <w:tblPr/>
  </w:style>
  <w:style w:type="table" w:styleId="1003">
    <w:name w:val="List Table 2 - Accent 3"/>
    <w:next w:val="1003"/>
    <w:link w:val="790"/>
    <w:uiPriority w:val="99"/>
    <w:qFormat/>
    <w:tblPr/>
  </w:style>
  <w:style w:type="table" w:styleId="1004">
    <w:name w:val="List Table 2 - Accent 4"/>
    <w:next w:val="1004"/>
    <w:link w:val="790"/>
    <w:uiPriority w:val="99"/>
    <w:qFormat/>
    <w:tblPr/>
  </w:style>
  <w:style w:type="table" w:styleId="1005">
    <w:name w:val="List Table 2 - Accent 5"/>
    <w:next w:val="1005"/>
    <w:link w:val="790"/>
    <w:uiPriority w:val="99"/>
    <w:qFormat/>
    <w:tblPr/>
  </w:style>
  <w:style w:type="table" w:styleId="1006">
    <w:name w:val="List Table 2 - Accent 6"/>
    <w:next w:val="1006"/>
    <w:link w:val="790"/>
    <w:uiPriority w:val="99"/>
    <w:qFormat/>
    <w:tblPr/>
  </w:style>
  <w:style w:type="table" w:styleId="1007">
    <w:name w:val="List Table 3 - Accent 1"/>
    <w:next w:val="1007"/>
    <w:link w:val="790"/>
    <w:uiPriority w:val="99"/>
    <w:qFormat/>
    <w:tblPr/>
  </w:style>
  <w:style w:type="table" w:styleId="1008">
    <w:name w:val="List Table 3 - Accent 2"/>
    <w:next w:val="1008"/>
    <w:link w:val="790"/>
    <w:uiPriority w:val="99"/>
    <w:qFormat/>
    <w:tblPr/>
  </w:style>
  <w:style w:type="table" w:styleId="1009">
    <w:name w:val="List Table 3 - Accent 3"/>
    <w:next w:val="1009"/>
    <w:link w:val="790"/>
    <w:uiPriority w:val="99"/>
    <w:qFormat/>
    <w:tblPr/>
  </w:style>
  <w:style w:type="table" w:styleId="1010">
    <w:name w:val="List Table 3 - Accent 4"/>
    <w:next w:val="1010"/>
    <w:link w:val="790"/>
    <w:uiPriority w:val="99"/>
    <w:qFormat/>
    <w:tblPr/>
  </w:style>
  <w:style w:type="table" w:styleId="1011">
    <w:name w:val="List Table 3 - Accent 5"/>
    <w:next w:val="1011"/>
    <w:link w:val="790"/>
    <w:uiPriority w:val="99"/>
    <w:qFormat/>
    <w:tblPr/>
  </w:style>
  <w:style w:type="table" w:styleId="1012">
    <w:name w:val="List Table 3 - Accent 6"/>
    <w:next w:val="1012"/>
    <w:link w:val="790"/>
    <w:uiPriority w:val="99"/>
    <w:qFormat/>
    <w:tblPr/>
  </w:style>
  <w:style w:type="table" w:styleId="1013">
    <w:name w:val="List Table 4 - Accent 1"/>
    <w:next w:val="1013"/>
    <w:link w:val="790"/>
    <w:uiPriority w:val="99"/>
    <w:qFormat/>
    <w:tblPr/>
  </w:style>
  <w:style w:type="table" w:styleId="1014">
    <w:name w:val="List Table 4 - Accent 2"/>
    <w:next w:val="1014"/>
    <w:link w:val="790"/>
    <w:uiPriority w:val="99"/>
    <w:qFormat/>
    <w:tblPr/>
  </w:style>
  <w:style w:type="table" w:styleId="1015">
    <w:name w:val="List Table 4 - Accent 3"/>
    <w:next w:val="1015"/>
    <w:link w:val="790"/>
    <w:uiPriority w:val="99"/>
    <w:qFormat/>
    <w:tblPr/>
  </w:style>
  <w:style w:type="table" w:styleId="1016">
    <w:name w:val="List Table 4 - Accent 4"/>
    <w:next w:val="1016"/>
    <w:link w:val="790"/>
    <w:uiPriority w:val="99"/>
    <w:qFormat/>
    <w:tblPr/>
  </w:style>
  <w:style w:type="table" w:styleId="1017">
    <w:name w:val="List Table 4 - Accent 5"/>
    <w:next w:val="1017"/>
    <w:link w:val="790"/>
    <w:uiPriority w:val="99"/>
    <w:qFormat/>
    <w:tblPr/>
  </w:style>
  <w:style w:type="table" w:styleId="1018">
    <w:name w:val="List Table 4 - Accent 6"/>
    <w:next w:val="1018"/>
    <w:link w:val="790"/>
    <w:uiPriority w:val="99"/>
    <w:qFormat/>
    <w:tblPr/>
  </w:style>
  <w:style w:type="table" w:styleId="1019">
    <w:name w:val="List Table 5 Dark - Accent 1"/>
    <w:next w:val="1019"/>
    <w:link w:val="790"/>
    <w:uiPriority w:val="99"/>
    <w:qFormat/>
    <w:tblPr/>
  </w:style>
  <w:style w:type="table" w:styleId="1020">
    <w:name w:val="List Table 5 Dark - Accent 2"/>
    <w:next w:val="1020"/>
    <w:link w:val="790"/>
    <w:uiPriority w:val="99"/>
    <w:qFormat/>
    <w:tblPr/>
  </w:style>
  <w:style w:type="table" w:styleId="1021">
    <w:name w:val="List Table 5 Dark - Accent 3"/>
    <w:next w:val="1021"/>
    <w:link w:val="790"/>
    <w:uiPriority w:val="99"/>
    <w:qFormat/>
    <w:tblPr/>
  </w:style>
  <w:style w:type="table" w:styleId="1022">
    <w:name w:val="List Table 5 Dark - Accent 4"/>
    <w:next w:val="1022"/>
    <w:link w:val="790"/>
    <w:uiPriority w:val="99"/>
    <w:qFormat/>
    <w:tblPr/>
  </w:style>
  <w:style w:type="table" w:styleId="1023">
    <w:name w:val="List Table 5 Dark - Accent 5"/>
    <w:next w:val="1023"/>
    <w:link w:val="790"/>
    <w:uiPriority w:val="99"/>
    <w:qFormat/>
    <w:tblPr/>
  </w:style>
  <w:style w:type="table" w:styleId="1024">
    <w:name w:val="List Table 5 Dark - Accent 6"/>
    <w:next w:val="1024"/>
    <w:link w:val="790"/>
    <w:uiPriority w:val="99"/>
    <w:qFormat/>
    <w:tblPr/>
  </w:style>
  <w:style w:type="table" w:styleId="1025">
    <w:name w:val="List Table 6 Colorful - Accent 1"/>
    <w:next w:val="1025"/>
    <w:link w:val="790"/>
    <w:uiPriority w:val="99"/>
    <w:qFormat/>
    <w:tblPr/>
  </w:style>
  <w:style w:type="table" w:styleId="1026">
    <w:name w:val="List Table 6 Colorful - Accent 2"/>
    <w:next w:val="1026"/>
    <w:link w:val="790"/>
    <w:uiPriority w:val="99"/>
    <w:qFormat/>
    <w:tblPr/>
  </w:style>
  <w:style w:type="table" w:styleId="1027">
    <w:name w:val="List Table 6 Colorful - Accent 3"/>
    <w:next w:val="1027"/>
    <w:link w:val="790"/>
    <w:uiPriority w:val="99"/>
    <w:qFormat/>
    <w:tblPr/>
  </w:style>
  <w:style w:type="table" w:styleId="1028">
    <w:name w:val="List Table 6 Colorful - Accent 4"/>
    <w:next w:val="1028"/>
    <w:link w:val="790"/>
    <w:uiPriority w:val="99"/>
    <w:qFormat/>
    <w:tblPr/>
  </w:style>
  <w:style w:type="table" w:styleId="1029">
    <w:name w:val="List Table 6 Colorful - Accent 5"/>
    <w:next w:val="1029"/>
    <w:link w:val="790"/>
    <w:uiPriority w:val="99"/>
    <w:qFormat/>
    <w:tblPr/>
  </w:style>
  <w:style w:type="table" w:styleId="1030">
    <w:name w:val="List Table 6 Colorful - Accent 6"/>
    <w:next w:val="1030"/>
    <w:link w:val="790"/>
    <w:uiPriority w:val="99"/>
    <w:qFormat/>
    <w:tblPr/>
  </w:style>
  <w:style w:type="table" w:styleId="1031">
    <w:name w:val="List Table 7 Colorful - Accent 1"/>
    <w:next w:val="1031"/>
    <w:link w:val="790"/>
    <w:uiPriority w:val="99"/>
    <w:qFormat/>
    <w:tblPr/>
  </w:style>
  <w:style w:type="table" w:styleId="1032">
    <w:name w:val="List Table 7 Colorful - Accent 2"/>
    <w:next w:val="1032"/>
    <w:link w:val="790"/>
    <w:uiPriority w:val="99"/>
    <w:qFormat/>
    <w:tblPr/>
  </w:style>
  <w:style w:type="table" w:styleId="1033">
    <w:name w:val="List Table 7 Colorful - Accent 3"/>
    <w:next w:val="1033"/>
    <w:link w:val="790"/>
    <w:uiPriority w:val="99"/>
    <w:qFormat/>
    <w:tblPr/>
  </w:style>
  <w:style w:type="table" w:styleId="1034">
    <w:name w:val="List Table 7 Colorful - Accent 4"/>
    <w:next w:val="1034"/>
    <w:link w:val="790"/>
    <w:uiPriority w:val="99"/>
    <w:qFormat/>
    <w:tblPr/>
  </w:style>
  <w:style w:type="table" w:styleId="1035">
    <w:name w:val="List Table 7 Colorful - Accent 5"/>
    <w:next w:val="1035"/>
    <w:link w:val="790"/>
    <w:uiPriority w:val="99"/>
    <w:qFormat/>
    <w:tblPr/>
  </w:style>
  <w:style w:type="table" w:styleId="1036">
    <w:name w:val="List Table 7 Colorful - Accent 6"/>
    <w:next w:val="1036"/>
    <w:link w:val="790"/>
    <w:uiPriority w:val="99"/>
    <w:qFormat/>
    <w:tblPr/>
  </w:style>
  <w:style w:type="table" w:styleId="1037">
    <w:name w:val="Lined - Accent"/>
    <w:next w:val="1037"/>
    <w:link w:val="790"/>
    <w:uiPriority w:val="99"/>
    <w:qFormat/>
    <w:rPr>
      <w:color w:val="404040"/>
    </w:rPr>
    <w:tblPr/>
  </w:style>
  <w:style w:type="table" w:styleId="1038">
    <w:name w:val="Lined - Accent 1"/>
    <w:next w:val="1038"/>
    <w:link w:val="790"/>
    <w:uiPriority w:val="99"/>
    <w:qFormat/>
    <w:rPr>
      <w:color w:val="404040"/>
    </w:rPr>
    <w:tblPr/>
  </w:style>
  <w:style w:type="table" w:styleId="1039">
    <w:name w:val="Lined - Accent 2"/>
    <w:next w:val="1039"/>
    <w:link w:val="790"/>
    <w:uiPriority w:val="99"/>
    <w:qFormat/>
    <w:rPr>
      <w:color w:val="404040"/>
    </w:rPr>
    <w:tblPr/>
  </w:style>
  <w:style w:type="table" w:styleId="1040">
    <w:name w:val="Lined - Accent 3"/>
    <w:next w:val="1040"/>
    <w:link w:val="790"/>
    <w:uiPriority w:val="99"/>
    <w:qFormat/>
    <w:rPr>
      <w:color w:val="404040"/>
    </w:rPr>
    <w:tblPr/>
  </w:style>
  <w:style w:type="table" w:styleId="1041">
    <w:name w:val="Lined - Accent 4"/>
    <w:next w:val="1041"/>
    <w:link w:val="790"/>
    <w:uiPriority w:val="99"/>
    <w:qFormat/>
    <w:rPr>
      <w:color w:val="404040"/>
    </w:rPr>
    <w:tblPr/>
  </w:style>
  <w:style w:type="table" w:styleId="1042">
    <w:name w:val="Lined - Accent 5"/>
    <w:next w:val="1042"/>
    <w:link w:val="790"/>
    <w:uiPriority w:val="99"/>
    <w:qFormat/>
    <w:rPr>
      <w:color w:val="404040"/>
    </w:rPr>
    <w:tblPr/>
  </w:style>
  <w:style w:type="table" w:styleId="1043">
    <w:name w:val="Lined - Accent 6"/>
    <w:next w:val="1043"/>
    <w:link w:val="790"/>
    <w:uiPriority w:val="99"/>
    <w:qFormat/>
    <w:rPr>
      <w:color w:val="404040"/>
    </w:rPr>
    <w:tblPr/>
  </w:style>
  <w:style w:type="table" w:styleId="1044">
    <w:name w:val="Bordered &amp; Lined - Accent"/>
    <w:next w:val="1044"/>
    <w:link w:val="790"/>
    <w:uiPriority w:val="99"/>
    <w:qFormat/>
    <w:rPr>
      <w:color w:val="404040"/>
    </w:rPr>
    <w:tblPr/>
  </w:style>
  <w:style w:type="table" w:styleId="1045">
    <w:name w:val="Bordered &amp; Lined - Accent 1"/>
    <w:next w:val="1045"/>
    <w:link w:val="790"/>
    <w:uiPriority w:val="99"/>
    <w:qFormat/>
    <w:rPr>
      <w:color w:val="404040"/>
    </w:rPr>
    <w:tblPr/>
  </w:style>
  <w:style w:type="table" w:styleId="1046">
    <w:name w:val="Bordered &amp; Lined - Accent 2"/>
    <w:next w:val="1046"/>
    <w:link w:val="790"/>
    <w:uiPriority w:val="99"/>
    <w:qFormat/>
    <w:rPr>
      <w:color w:val="404040"/>
    </w:rPr>
    <w:tblPr/>
  </w:style>
  <w:style w:type="table" w:styleId="1047">
    <w:name w:val="Bordered &amp; Lined - Accent 3"/>
    <w:next w:val="1047"/>
    <w:link w:val="790"/>
    <w:uiPriority w:val="99"/>
    <w:qFormat/>
    <w:rPr>
      <w:color w:val="404040"/>
    </w:rPr>
    <w:tblPr/>
  </w:style>
  <w:style w:type="table" w:styleId="1048">
    <w:name w:val="Bordered &amp; Lined - Accent 4"/>
    <w:next w:val="1048"/>
    <w:link w:val="790"/>
    <w:uiPriority w:val="99"/>
    <w:qFormat/>
    <w:rPr>
      <w:color w:val="404040"/>
    </w:rPr>
    <w:tblPr/>
  </w:style>
  <w:style w:type="table" w:styleId="1049">
    <w:name w:val="Bordered &amp; Lined - Accent 5"/>
    <w:next w:val="1049"/>
    <w:link w:val="790"/>
    <w:uiPriority w:val="99"/>
    <w:qFormat/>
    <w:rPr>
      <w:color w:val="404040"/>
    </w:rPr>
    <w:tblPr/>
  </w:style>
  <w:style w:type="table" w:styleId="1050">
    <w:name w:val="Bordered &amp; Lined - Accent 6"/>
    <w:next w:val="1050"/>
    <w:link w:val="790"/>
    <w:uiPriority w:val="99"/>
    <w:qFormat/>
    <w:rPr>
      <w:color w:val="404040"/>
    </w:rPr>
    <w:tblPr/>
  </w:style>
  <w:style w:type="table" w:styleId="1051">
    <w:name w:val="Bordered"/>
    <w:next w:val="1051"/>
    <w:link w:val="790"/>
    <w:uiPriority w:val="99"/>
    <w:qFormat/>
    <w:tblPr/>
  </w:style>
  <w:style w:type="table" w:styleId="1052">
    <w:name w:val="Bordered - Accent 1"/>
    <w:next w:val="1052"/>
    <w:link w:val="790"/>
    <w:uiPriority w:val="99"/>
    <w:qFormat/>
    <w:tblPr/>
  </w:style>
  <w:style w:type="table" w:styleId="1053">
    <w:name w:val="Bordered - Accent 2"/>
    <w:next w:val="1053"/>
    <w:link w:val="790"/>
    <w:uiPriority w:val="99"/>
    <w:qFormat/>
    <w:tblPr/>
  </w:style>
  <w:style w:type="table" w:styleId="1054">
    <w:name w:val="Bordered - Accent 3"/>
    <w:next w:val="1054"/>
    <w:link w:val="790"/>
    <w:uiPriority w:val="99"/>
    <w:qFormat/>
    <w:tblPr/>
  </w:style>
  <w:style w:type="table" w:styleId="1055">
    <w:name w:val="Bordered - Accent 4"/>
    <w:next w:val="1055"/>
    <w:link w:val="790"/>
    <w:uiPriority w:val="99"/>
    <w:qFormat/>
    <w:tblPr/>
  </w:style>
  <w:style w:type="table" w:styleId="1056">
    <w:name w:val="Bordered - Accent 5"/>
    <w:next w:val="1056"/>
    <w:link w:val="790"/>
    <w:uiPriority w:val="99"/>
    <w:qFormat/>
    <w:tblPr/>
  </w:style>
  <w:style w:type="table" w:styleId="1057">
    <w:name w:val="Bordered - Accent 6"/>
    <w:next w:val="1057"/>
    <w:link w:val="790"/>
    <w:uiPriority w:val="99"/>
    <w:qFormat/>
    <w:tblPr/>
  </w:style>
  <w:style w:type="paragraph" w:styleId="1058">
    <w:name w:val="TOC 标题11"/>
    <w:basedOn w:val="791"/>
    <w:next w:val="790"/>
    <w:link w:val="79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059">
    <w:name w:val="目录 71"/>
    <w:basedOn w:val="790"/>
    <w:next w:val="790"/>
    <w:link w:val="790"/>
    <w:uiPriority w:val="39"/>
    <w:qFormat/>
    <w:pPr>
      <w:ind w:left="1260"/>
      <w:jc w:val="left"/>
    </w:pPr>
    <w:rPr>
      <w:rFonts w:cs="Calibri"/>
      <w:sz w:val="18"/>
      <w:szCs w:val="18"/>
    </w:rPr>
  </w:style>
  <w:style w:type="paragraph" w:styleId="1060">
    <w:name w:val="目录 51"/>
    <w:basedOn w:val="790"/>
    <w:next w:val="790"/>
    <w:link w:val="790"/>
    <w:uiPriority w:val="39"/>
    <w:qFormat/>
    <w:pPr>
      <w:ind w:left="840"/>
      <w:jc w:val="left"/>
    </w:pPr>
    <w:rPr>
      <w:rFonts w:cs="Calibri"/>
      <w:sz w:val="18"/>
      <w:szCs w:val="18"/>
    </w:rPr>
  </w:style>
  <w:style w:type="paragraph" w:styleId="1061">
    <w:name w:val="目录 31"/>
    <w:basedOn w:val="790"/>
    <w:next w:val="790"/>
    <w:link w:val="790"/>
    <w:uiPriority w:val="39"/>
    <w:qFormat/>
    <w:pPr>
      <w:ind w:left="420"/>
      <w:jc w:val="left"/>
    </w:pPr>
    <w:rPr>
      <w:rFonts w:cs="Calibri"/>
      <w:i/>
      <w:iCs/>
      <w:sz w:val="20"/>
      <w:szCs w:val="20"/>
    </w:rPr>
  </w:style>
  <w:style w:type="paragraph" w:styleId="1062">
    <w:name w:val="目录 81"/>
    <w:basedOn w:val="790"/>
    <w:next w:val="790"/>
    <w:link w:val="790"/>
    <w:uiPriority w:val="39"/>
    <w:qFormat/>
    <w:pPr>
      <w:ind w:left="1470"/>
      <w:jc w:val="left"/>
    </w:pPr>
    <w:rPr>
      <w:rFonts w:cs="Calibri"/>
      <w:sz w:val="18"/>
      <w:szCs w:val="18"/>
    </w:rPr>
  </w:style>
  <w:style w:type="paragraph" w:styleId="1063">
    <w:name w:val="目录 11"/>
    <w:basedOn w:val="790"/>
    <w:next w:val="790"/>
    <w:link w:val="790"/>
    <w:uiPriority w:val="39"/>
    <w:qFormat/>
    <w:pPr>
      <w:jc w:val="left"/>
      <w:spacing w:before="120" w:after="120"/>
    </w:pPr>
    <w:rPr>
      <w:rFonts w:cs="Calibri"/>
      <w:b/>
      <w:bCs/>
      <w:caps/>
      <w:sz w:val="20"/>
      <w:szCs w:val="20"/>
    </w:rPr>
  </w:style>
  <w:style w:type="paragraph" w:styleId="1064">
    <w:name w:val="目录 41"/>
    <w:basedOn w:val="790"/>
    <w:next w:val="790"/>
    <w:link w:val="790"/>
    <w:uiPriority w:val="39"/>
    <w:qFormat/>
    <w:pPr>
      <w:ind w:left="630"/>
      <w:jc w:val="left"/>
    </w:pPr>
    <w:rPr>
      <w:rFonts w:cs="Calibri"/>
      <w:sz w:val="18"/>
      <w:szCs w:val="18"/>
    </w:rPr>
  </w:style>
  <w:style w:type="paragraph" w:styleId="1065">
    <w:name w:val="目录 61"/>
    <w:basedOn w:val="790"/>
    <w:next w:val="790"/>
    <w:link w:val="790"/>
    <w:uiPriority w:val="39"/>
    <w:qFormat/>
    <w:pPr>
      <w:ind w:left="1050"/>
      <w:jc w:val="left"/>
    </w:pPr>
    <w:rPr>
      <w:rFonts w:cs="Calibri"/>
      <w:sz w:val="18"/>
      <w:szCs w:val="18"/>
    </w:rPr>
  </w:style>
  <w:style w:type="paragraph" w:styleId="1066">
    <w:name w:val="目录 21"/>
    <w:basedOn w:val="790"/>
    <w:next w:val="790"/>
    <w:link w:val="790"/>
    <w:uiPriority w:val="39"/>
    <w:qFormat/>
    <w:pPr>
      <w:ind w:left="210"/>
      <w:jc w:val="left"/>
    </w:pPr>
    <w:rPr>
      <w:rFonts w:cs="Calibri"/>
      <w:smallCaps/>
      <w:sz w:val="20"/>
      <w:szCs w:val="20"/>
    </w:rPr>
  </w:style>
  <w:style w:type="paragraph" w:styleId="1067">
    <w:name w:val="目录 91"/>
    <w:basedOn w:val="790"/>
    <w:next w:val="790"/>
    <w:link w:val="790"/>
    <w:uiPriority w:val="39"/>
    <w:qFormat/>
    <w:pPr>
      <w:ind w:left="1680"/>
      <w:jc w:val="left"/>
    </w:pPr>
    <w:rPr>
      <w:rFonts w:cs="Calibri"/>
      <w:sz w:val="18"/>
      <w:szCs w:val="18"/>
    </w:rPr>
  </w:style>
  <w:style w:type="paragraph" w:styleId="1068">
    <w:name w:val="正文首行缩进11"/>
    <w:basedOn w:val="790"/>
    <w:next w:val="1068"/>
    <w:link w:val="1069"/>
    <w:qFormat/>
    <w:pPr>
      <w:ind w:firstLine="200"/>
      <w:spacing w:line="360" w:lineRule="auto"/>
    </w:pPr>
    <w:rPr>
      <w:rFonts w:ascii="仿宋_GB2312" w:hAnsi="宋体" w:eastAsia="仿宋_GB2312"/>
      <w:sz w:val="30"/>
      <w:szCs w:val="30"/>
    </w:rPr>
  </w:style>
  <w:style w:type="character" w:styleId="1069">
    <w:name w:val="正文文本首行缩进 字符"/>
    <w:next w:val="1069"/>
    <w:link w:val="1068"/>
    <w:qFormat/>
    <w:rPr>
      <w:rFonts w:ascii="仿宋_GB2312" w:hAnsi="宋体" w:eastAsia="仿宋_GB2312" w:cs="宋体"/>
      <w:sz w:val="30"/>
      <w:szCs w:val="30"/>
    </w:rPr>
  </w:style>
  <w:style w:type="paragraph" w:styleId="1070">
    <w:name w:val="正文首行缩进 21"/>
    <w:basedOn w:val="826"/>
    <w:next w:val="1070"/>
    <w:link w:val="790"/>
    <w:qFormat/>
    <w:pPr>
      <w:ind w:firstLine="200"/>
      <w:spacing w:line="360" w:lineRule="auto"/>
    </w:pPr>
    <w:rPr>
      <w:rFonts w:ascii="宋体" w:eastAsia="宋体"/>
      <w:sz w:val="21"/>
      <w:szCs w:val="20"/>
    </w:rPr>
  </w:style>
  <w:style w:type="character" w:styleId="1071">
    <w:name w:val="已访问的超链接1"/>
    <w:next w:val="1071"/>
    <w:link w:val="790"/>
    <w:uiPriority w:val="99"/>
    <w:qFormat/>
    <w:rPr>
      <w:color w:val="800080"/>
      <w:u w:val="single"/>
    </w:rPr>
  </w:style>
  <w:style w:type="character" w:styleId="1072">
    <w:name w:val="标题 8 Char1"/>
    <w:next w:val="1072"/>
    <w:link w:val="790"/>
    <w:semiHidden/>
    <w:qFormat/>
    <w:rPr>
      <w:rFonts w:ascii="Cambria" w:hAnsi="Cambria" w:eastAsia="宋体" w:cs="Times New Roman"/>
      <w:sz w:val="24"/>
      <w:szCs w:val="24"/>
    </w:rPr>
  </w:style>
  <w:style w:type="character" w:styleId="1073">
    <w:name w:val="标题 字符"/>
    <w:next w:val="1073"/>
    <w:link w:val="790"/>
    <w:uiPriority w:val="10"/>
    <w:qFormat/>
    <w:rPr>
      <w:rFonts w:ascii="Cambria" w:hAnsi="Cambria" w:eastAsia="宋体" w:cs="Times New Roman"/>
      <w:b/>
      <w:bCs/>
      <w:sz w:val="32"/>
      <w:szCs w:val="32"/>
    </w:rPr>
  </w:style>
  <w:style w:type="character" w:styleId="1074">
    <w:name w:val="font61"/>
    <w:next w:val="1074"/>
    <w:link w:val="790"/>
    <w:qFormat/>
    <w:rPr>
      <w:rFonts w:hint="eastAsia" w:ascii="宋体" w:hAnsi="宋体" w:eastAsia="宋体" w:cs="宋体"/>
      <w:i/>
      <w:color w:val="000000"/>
      <w:sz w:val="20"/>
      <w:szCs w:val="20"/>
      <w:u w:val="single"/>
    </w:rPr>
  </w:style>
  <w:style w:type="character" w:styleId="1075">
    <w:name w:val="font71"/>
    <w:next w:val="1075"/>
    <w:link w:val="790"/>
    <w:qFormat/>
    <w:rPr>
      <w:rFonts w:hint="eastAsia" w:ascii="宋体" w:hAnsi="宋体" w:eastAsia="宋体" w:cs="宋体"/>
      <w:color w:val="000000"/>
      <w:sz w:val="20"/>
      <w:szCs w:val="20"/>
      <w:u w:val="none"/>
    </w:rPr>
  </w:style>
  <w:style w:type="character" w:styleId="1076">
    <w:name w:val="副标题 Char1"/>
    <w:next w:val="1076"/>
    <w:link w:val="790"/>
    <w:uiPriority w:val="11"/>
    <w:qFormat/>
    <w:rPr>
      <w:rFonts w:ascii="Cambria" w:hAnsi="Cambria" w:cs="Times New Roman"/>
      <w:b/>
      <w:bCs/>
      <w:sz w:val="32"/>
      <w:szCs w:val="32"/>
    </w:rPr>
  </w:style>
  <w:style w:type="character" w:styleId="1077">
    <w:name w:val="标题 5 Char"/>
    <w:next w:val="1077"/>
    <w:link w:val="790"/>
    <w:qFormat/>
    <w:rPr>
      <w:b/>
      <w:bCs/>
      <w:sz w:val="28"/>
      <w:szCs w:val="28"/>
    </w:rPr>
  </w:style>
  <w:style w:type="character" w:styleId="1078">
    <w:name w:val="正文文本 Char"/>
    <w:next w:val="1078"/>
    <w:link w:val="790"/>
    <w:qFormat/>
    <w:rPr>
      <w:rFonts w:ascii="Calibri" w:hAnsi="Calibri" w:eastAsia="宋体" w:cs="Times New Roman"/>
    </w:rPr>
  </w:style>
  <w:style w:type="character" w:styleId="1079">
    <w:name w:val="Item List in Table Char Char"/>
    <w:next w:val="1079"/>
    <w:link w:val="1080"/>
    <w:uiPriority w:val="99"/>
    <w:qFormat/>
    <w:rPr>
      <w:rFonts w:ascii="Arial" w:hAnsi="Arial"/>
      <w:sz w:val="18"/>
      <w:szCs w:val="22"/>
    </w:rPr>
  </w:style>
  <w:style w:type="paragraph" w:styleId="1080">
    <w:name w:val="Item List in Table"/>
    <w:next w:val="1080"/>
    <w:link w:val="1079"/>
    <w:uiPriority w:val="99"/>
    <w:qFormat/>
    <w:pPr>
      <w:numPr>
        <w:ilvl w:val="0"/>
        <w:numId w:val="6"/>
      </w:numPr>
      <w:jc w:val="both"/>
      <w:spacing w:before="40" w:after="40"/>
      <w:tabs>
        <w:tab w:val="left" w:pos="284" w:leader="none"/>
      </w:tabs>
    </w:pPr>
    <w:rPr>
      <w:rFonts w:ascii="Arial" w:hAnsi="Arial" w:eastAsia="宋体" w:cs="Times New Roman"/>
      <w:sz w:val="18"/>
      <w:szCs w:val="22"/>
    </w:rPr>
  </w:style>
  <w:style w:type="character" w:styleId="1081">
    <w:name w:val="标题 9 Char1"/>
    <w:next w:val="1081"/>
    <w:link w:val="790"/>
    <w:semiHidden/>
    <w:qFormat/>
    <w:rPr>
      <w:rFonts w:ascii="Cambria" w:hAnsi="Cambria" w:eastAsia="宋体" w:cs="Times New Roman"/>
      <w:sz w:val="21"/>
      <w:szCs w:val="21"/>
    </w:rPr>
  </w:style>
  <w:style w:type="character" w:styleId="1082">
    <w:name w:val="副标题 字符1"/>
    <w:next w:val="1082"/>
    <w:link w:val="790"/>
    <w:uiPriority w:val="11"/>
    <w:qFormat/>
    <w:rPr>
      <w:b/>
      <w:bCs/>
      <w:sz w:val="32"/>
      <w:szCs w:val="32"/>
    </w:rPr>
  </w:style>
  <w:style w:type="character" w:styleId="1083">
    <w:name w:val="font91"/>
    <w:next w:val="1083"/>
    <w:link w:val="790"/>
    <w:qFormat/>
    <w:rPr>
      <w:rFonts w:ascii="Times New Roman" w:hAnsi="Times New Roman" w:cs="Times New Roman"/>
      <w:color w:val="000000"/>
      <w:sz w:val="20"/>
      <w:szCs w:val="20"/>
      <w:u w:val="none"/>
    </w:rPr>
  </w:style>
  <w:style w:type="character" w:styleId="1084">
    <w:name w:val="Item List Char Char"/>
    <w:next w:val="1084"/>
    <w:link w:val="1085"/>
    <w:uiPriority w:val="99"/>
    <w:qFormat/>
    <w:rPr>
      <w:rFonts w:ascii="Arial" w:hAnsi="Arial" w:cs="Arial"/>
      <w:lang w:eastAsia="en-US"/>
    </w:rPr>
  </w:style>
  <w:style w:type="paragraph" w:styleId="1085">
    <w:name w:val="Item List"/>
    <w:basedOn w:val="790"/>
    <w:next w:val="1085"/>
    <w:link w:val="1084"/>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86">
    <w:name w:val="正文首行缩进 Char Char"/>
    <w:next w:val="1086"/>
    <w:link w:val="1087"/>
    <w:qFormat/>
    <w:rPr>
      <w:szCs w:val="24"/>
    </w:rPr>
  </w:style>
  <w:style w:type="paragraph" w:styleId="1087">
    <w:name w:val="正文首行缩进1"/>
    <w:basedOn w:val="824"/>
    <w:next w:val="1087"/>
    <w:link w:val="1086"/>
    <w:qFormat/>
    <w:pPr>
      <w:ind w:firstLine="420"/>
      <w:spacing w:after="120"/>
      <w:tabs>
        <w:tab w:val="right" w:pos="2520" w:leader="none"/>
        <w:tab w:val="left" w:pos="2880" w:leader="none"/>
      </w:tabs>
    </w:pPr>
    <w:rPr>
      <w:rFonts w:ascii="Times New Roman" w:hAnsi="Times New Roman"/>
      <w:sz w:val="20"/>
      <w:szCs w:val="24"/>
    </w:rPr>
  </w:style>
  <w:style w:type="character" w:styleId="1088">
    <w:name w:val="正文样式 Char"/>
    <w:next w:val="1088"/>
    <w:link w:val="1089"/>
    <w:qFormat/>
    <w:rPr>
      <w:rFonts w:ascii="宋体" w:hAnsi="宋体"/>
      <w:sz w:val="24"/>
      <w:szCs w:val="24"/>
    </w:rPr>
  </w:style>
  <w:style w:type="paragraph" w:styleId="1089">
    <w:name w:val="正文样式"/>
    <w:basedOn w:val="790"/>
    <w:next w:val="1089"/>
    <w:link w:val="1088"/>
    <w:qFormat/>
    <w:pPr>
      <w:ind w:firstLine="480"/>
      <w:spacing w:line="360" w:lineRule="auto"/>
    </w:pPr>
    <w:rPr>
      <w:rFonts w:ascii="宋体" w:hAnsi="宋体"/>
      <w:sz w:val="24"/>
    </w:rPr>
  </w:style>
  <w:style w:type="character" w:styleId="1090">
    <w:name w:val="标题 5 Char1"/>
    <w:next w:val="1090"/>
    <w:link w:val="790"/>
    <w:semiHidden/>
    <w:qFormat/>
    <w:rPr>
      <w:b/>
      <w:bCs/>
      <w:sz w:val="28"/>
      <w:szCs w:val="28"/>
    </w:rPr>
  </w:style>
  <w:style w:type="character" w:styleId="1091">
    <w:name w:val="Table Text Char"/>
    <w:next w:val="1091"/>
    <w:link w:val="1092"/>
    <w:uiPriority w:val="99"/>
    <w:qFormat/>
    <w:rPr>
      <w:rFonts w:ascii="Arial" w:hAnsi="Arial"/>
      <w:sz w:val="18"/>
      <w:szCs w:val="18"/>
      <w:lang w:val="en-US" w:eastAsia="zh-CN" w:bidi="ar-SA"/>
    </w:rPr>
  </w:style>
  <w:style w:type="paragraph" w:styleId="1092">
    <w:name w:val="Table Text"/>
    <w:next w:val="1092"/>
    <w:link w:val="1091"/>
    <w:uiPriority w:val="99"/>
    <w:qFormat/>
    <w:pPr>
      <w:spacing w:before="80" w:after="80"/>
    </w:pPr>
    <w:rPr>
      <w:rFonts w:ascii="Arial" w:hAnsi="Arial" w:eastAsia="宋体" w:cs="Times New Roman"/>
      <w:sz w:val="18"/>
      <w:szCs w:val="18"/>
    </w:rPr>
  </w:style>
  <w:style w:type="character" w:styleId="1093">
    <w:name w:val="样式1 Char"/>
    <w:next w:val="1093"/>
    <w:link w:val="1094"/>
    <w:qFormat/>
    <w:rPr>
      <w:rFonts w:ascii="宋体" w:hAnsi="宋体"/>
      <w:sz w:val="21"/>
      <w:szCs w:val="21"/>
    </w:rPr>
  </w:style>
  <w:style w:type="paragraph" w:styleId="1094">
    <w:name w:val="样式1"/>
    <w:basedOn w:val="790"/>
    <w:next w:val="1094"/>
    <w:link w:val="1093"/>
    <w:qFormat/>
    <w:pPr>
      <w:ind w:left="709" w:hanging="709"/>
      <w:tabs>
        <w:tab w:val="left" w:pos="709" w:leader="none"/>
      </w:tabs>
    </w:pPr>
    <w:rPr>
      <w:rFonts w:ascii="宋体" w:hAnsi="宋体"/>
      <w:szCs w:val="21"/>
    </w:rPr>
  </w:style>
  <w:style w:type="character" w:styleId="1095">
    <w:name w:val="标题 4 Char1"/>
    <w:next w:val="1095"/>
    <w:link w:val="790"/>
    <w:uiPriority w:val="99"/>
    <w:semiHidden/>
    <w:qFormat/>
    <w:rPr>
      <w:rFonts w:ascii="Cambria" w:hAnsi="Cambria" w:eastAsia="宋体" w:cs="Times New Roman"/>
      <w:b/>
      <w:bCs/>
      <w:sz w:val="28"/>
      <w:szCs w:val="28"/>
    </w:rPr>
  </w:style>
  <w:style w:type="character" w:styleId="1096">
    <w:name w:val="as-productsummary-addonupgrade"/>
    <w:next w:val="1096"/>
    <w:link w:val="790"/>
    <w:qFormat/>
  </w:style>
  <w:style w:type="character" w:styleId="1097">
    <w:name w:val="标题 2 Char1"/>
    <w:next w:val="1097"/>
    <w:link w:val="790"/>
    <w:uiPriority w:val="99"/>
    <w:semiHidden/>
    <w:qFormat/>
    <w:rPr>
      <w:rFonts w:ascii="Cambria" w:hAnsi="Cambria" w:eastAsia="宋体" w:cs="Times New Roman"/>
      <w:b/>
      <w:bCs/>
      <w:sz w:val="32"/>
      <w:szCs w:val="32"/>
    </w:rPr>
  </w:style>
  <w:style w:type="character" w:styleId="1098">
    <w:name w:val="标题 3 Char"/>
    <w:next w:val="1098"/>
    <w:link w:val="790"/>
    <w:qFormat/>
    <w:rPr>
      <w:b/>
      <w:bCs/>
      <w:sz w:val="32"/>
      <w:szCs w:val="32"/>
    </w:rPr>
  </w:style>
  <w:style w:type="character" w:styleId="1099">
    <w:name w:val="标题 4 Char"/>
    <w:next w:val="1099"/>
    <w:link w:val="790"/>
    <w:qFormat/>
    <w:rPr>
      <w:rFonts w:ascii="Cambria" w:hAnsi="Cambria" w:eastAsia="宋体" w:cs="Times New Roman"/>
      <w:b/>
      <w:bCs/>
      <w:sz w:val="28"/>
      <w:szCs w:val="28"/>
    </w:rPr>
  </w:style>
  <w:style w:type="character" w:styleId="1100">
    <w:name w:val="font41"/>
    <w:next w:val="1100"/>
    <w:link w:val="790"/>
    <w:qFormat/>
    <w:rPr>
      <w:rFonts w:hint="eastAsia" w:ascii="宋体" w:hAnsi="宋体" w:eastAsia="宋体" w:cs="宋体"/>
      <w:color w:val="000000"/>
      <w:sz w:val="18"/>
      <w:szCs w:val="18"/>
      <w:u w:val="none"/>
    </w:rPr>
  </w:style>
  <w:style w:type="character" w:styleId="1101">
    <w:name w:val="标题 6 Char"/>
    <w:next w:val="1101"/>
    <w:link w:val="790"/>
    <w:qFormat/>
    <w:rPr>
      <w:rFonts w:ascii="Cambria" w:hAnsi="Cambria" w:eastAsia="宋体" w:cs="Times New Roman"/>
      <w:b/>
      <w:bCs/>
      <w:sz w:val="24"/>
      <w:szCs w:val="24"/>
    </w:rPr>
  </w:style>
  <w:style w:type="character" w:styleId="1102">
    <w:name w:val="表格 Char Char"/>
    <w:next w:val="1102"/>
    <w:link w:val="1103"/>
    <w:qFormat/>
    <w:rPr>
      <w:rFonts w:ascii="宋体" w:hAnsi="宋体" w:cs="宋体"/>
    </w:rPr>
  </w:style>
  <w:style w:type="paragraph" w:styleId="1103">
    <w:name w:val="表格"/>
    <w:basedOn w:val="790"/>
    <w:next w:val="1103"/>
    <w:link w:val="1102"/>
    <w:qFormat/>
    <w:pPr>
      <w:ind w:firstLine="21"/>
    </w:pPr>
    <w:rPr>
      <w:rFonts w:ascii="宋体" w:hAnsi="宋体"/>
      <w:sz w:val="20"/>
      <w:szCs w:val="20"/>
    </w:rPr>
  </w:style>
  <w:style w:type="character" w:styleId="1104">
    <w:name w:val="普通正文 Char"/>
    <w:next w:val="1104"/>
    <w:link w:val="1105"/>
    <w:qFormat/>
    <w:rPr>
      <w:rFonts w:ascii="Arial" w:hAnsi="Arial" w:cs="Arial"/>
      <w:sz w:val="24"/>
      <w:szCs w:val="24"/>
    </w:rPr>
  </w:style>
  <w:style w:type="paragraph" w:styleId="1105">
    <w:name w:val="普通正文"/>
    <w:basedOn w:val="790"/>
    <w:next w:val="1105"/>
    <w:link w:val="1104"/>
    <w:qFormat/>
    <w:pPr>
      <w:ind w:firstLine="480"/>
      <w:jc w:val="left"/>
      <w:spacing w:before="120" w:after="120" w:line="360" w:lineRule="auto"/>
    </w:pPr>
    <w:rPr>
      <w:rFonts w:ascii="Arial" w:hAnsi="Arial"/>
      <w:sz w:val="24"/>
    </w:rPr>
  </w:style>
  <w:style w:type="character" w:styleId="1106">
    <w:name w:val="intro1"/>
    <w:next w:val="1106"/>
    <w:link w:val="790"/>
    <w:qFormat/>
    <w:rPr>
      <w:rFonts w:ascii="Trebuchet MS"/>
      <w:sz w:val="21"/>
      <w:szCs w:val="21"/>
    </w:rPr>
  </w:style>
  <w:style w:type="character" w:styleId="1107">
    <w:name w:val="批注框文本 Char"/>
    <w:next w:val="1107"/>
    <w:link w:val="790"/>
    <w:uiPriority w:val="99"/>
    <w:qFormat/>
    <w:rPr>
      <w:sz w:val="18"/>
      <w:szCs w:val="18"/>
    </w:rPr>
  </w:style>
  <w:style w:type="character" w:styleId="1108">
    <w:name w:val="文档结构图 Char"/>
    <w:next w:val="1108"/>
    <w:link w:val="790"/>
    <w:uiPriority w:val="99"/>
    <w:qFormat/>
    <w:rPr>
      <w:rFonts w:ascii="宋体" w:eastAsia="宋体"/>
      <w:sz w:val="18"/>
      <w:szCs w:val="18"/>
    </w:rPr>
  </w:style>
  <w:style w:type="character" w:styleId="1109">
    <w:name w:val="font81"/>
    <w:next w:val="1109"/>
    <w:link w:val="790"/>
    <w:qFormat/>
    <w:rPr>
      <w:rFonts w:hint="eastAsia" w:ascii="宋体" w:hAnsi="宋体" w:eastAsia="宋体" w:cs="宋体"/>
      <w:color w:val="000000"/>
      <w:sz w:val="20"/>
      <w:szCs w:val="20"/>
      <w:u w:val="none"/>
    </w:rPr>
  </w:style>
  <w:style w:type="character" w:styleId="1110">
    <w:name w:val="font112"/>
    <w:next w:val="1110"/>
    <w:link w:val="790"/>
    <w:qFormat/>
    <w:rPr>
      <w:rFonts w:hint="eastAsia" w:ascii="宋体" w:hAnsi="宋体" w:eastAsia="宋体" w:cs="宋体"/>
      <w:color w:val="000000"/>
      <w:sz w:val="22"/>
      <w:szCs w:val="22"/>
      <w:u w:val="none"/>
    </w:rPr>
  </w:style>
  <w:style w:type="character" w:styleId="1111">
    <w:name w:val="font132"/>
    <w:next w:val="1111"/>
    <w:link w:val="790"/>
    <w:qFormat/>
    <w:rPr>
      <w:rFonts w:hint="eastAsia" w:ascii="宋体" w:hAnsi="宋体" w:eastAsia="宋体" w:cs="宋体"/>
      <w:color w:val="000000"/>
      <w:sz w:val="22"/>
      <w:szCs w:val="22"/>
      <w:u w:val="none"/>
    </w:rPr>
  </w:style>
  <w:style w:type="character" w:styleId="1112">
    <w:name w:val="正文（绿盟科技） Char"/>
    <w:next w:val="1112"/>
    <w:link w:val="1113"/>
    <w:uiPriority w:val="99"/>
    <w:qFormat/>
    <w:rPr>
      <w:rFonts w:ascii="Arial" w:hAnsi="Arial"/>
      <w:sz w:val="21"/>
      <w:szCs w:val="22"/>
      <w:lang w:val="en-US" w:eastAsia="zh-CN" w:bidi="ar-SA"/>
    </w:rPr>
  </w:style>
  <w:style w:type="paragraph" w:styleId="1113">
    <w:name w:val="正文（绿盟科技）"/>
    <w:next w:val="1113"/>
    <w:link w:val="1112"/>
    <w:uiPriority w:val="99"/>
    <w:qFormat/>
    <w:pPr>
      <w:spacing w:line="300" w:lineRule="auto"/>
    </w:pPr>
    <w:rPr>
      <w:rFonts w:ascii="Arial" w:hAnsi="Arial" w:eastAsia="宋体" w:cs="Times New Roman"/>
      <w:sz w:val="21"/>
      <w:szCs w:val="22"/>
    </w:rPr>
  </w:style>
  <w:style w:type="character" w:styleId="1114">
    <w:name w:val="标题 1 Char"/>
    <w:next w:val="1114"/>
    <w:link w:val="790"/>
    <w:qFormat/>
    <w:rPr>
      <w:b/>
      <w:bCs/>
      <w:sz w:val="44"/>
      <w:szCs w:val="44"/>
    </w:rPr>
  </w:style>
  <w:style w:type="character" w:styleId="1115">
    <w:name w:val="font131"/>
    <w:next w:val="1115"/>
    <w:link w:val="790"/>
    <w:qFormat/>
    <w:rPr>
      <w:rFonts w:hint="eastAsia" w:ascii="宋体" w:hAnsi="宋体" w:eastAsia="宋体" w:cs="宋体"/>
      <w:color w:val="000000"/>
      <w:sz w:val="20"/>
      <w:szCs w:val="20"/>
      <w:u w:val="none"/>
    </w:rPr>
  </w:style>
  <w:style w:type="character" w:styleId="1116">
    <w:name w:val="font101"/>
    <w:next w:val="1116"/>
    <w:link w:val="790"/>
    <w:qFormat/>
    <w:rPr>
      <w:rFonts w:ascii="Tahoma" w:hAnsi="Tahoma" w:eastAsia="Tahoma" w:cs="Tahoma"/>
      <w:color w:val="000000"/>
      <w:sz w:val="22"/>
      <w:szCs w:val="22"/>
      <w:u w:val="none"/>
    </w:rPr>
  </w:style>
  <w:style w:type="character" w:styleId="1117">
    <w:name w:val="标题 7 Char1"/>
    <w:next w:val="1117"/>
    <w:link w:val="790"/>
    <w:semiHidden/>
    <w:qFormat/>
    <w:rPr>
      <w:b/>
      <w:bCs/>
      <w:sz w:val="24"/>
      <w:szCs w:val="24"/>
    </w:rPr>
  </w:style>
  <w:style w:type="character" w:styleId="1118">
    <w:name w:val="列出段落 Char"/>
    <w:next w:val="1118"/>
    <w:link w:val="1119"/>
    <w:qFormat/>
    <w:rPr>
      <w:rFonts w:ascii="Calibri" w:hAnsi="Calibri"/>
      <w:sz w:val="22"/>
    </w:rPr>
  </w:style>
  <w:style w:type="paragraph" w:styleId="1119">
    <w:name w:val="2"/>
    <w:basedOn w:val="790"/>
    <w:next w:val="925"/>
    <w:link w:val="1118"/>
    <w:qFormat/>
    <w:pPr>
      <w:ind w:firstLine="420"/>
    </w:pPr>
    <w:rPr>
      <w:sz w:val="22"/>
      <w:szCs w:val="20"/>
    </w:rPr>
  </w:style>
  <w:style w:type="character" w:styleId="1120">
    <w:name w:val="标题 1 字符"/>
    <w:next w:val="1120"/>
    <w:link w:val="790"/>
    <w:uiPriority w:val="9"/>
    <w:qFormat/>
    <w:rPr>
      <w:rFonts w:ascii="Calibri" w:hAnsi="Calibri" w:eastAsia="宋体" w:cs="Times New Roman"/>
      <w:b/>
      <w:bCs/>
      <w:sz w:val="44"/>
      <w:szCs w:val="44"/>
    </w:rPr>
  </w:style>
  <w:style w:type="character" w:styleId="1121">
    <w:name w:val="font5 Char"/>
    <w:next w:val="1121"/>
    <w:link w:val="790"/>
    <w:qFormat/>
    <w:rPr>
      <w:rFonts w:ascii="宋体" w:eastAsia="宋体"/>
      <w:sz w:val="28"/>
      <w:szCs w:val="28"/>
      <w:lang w:val="en-US" w:eastAsia="zh-CN"/>
    </w:rPr>
  </w:style>
  <w:style w:type="character" w:styleId="1122">
    <w:name w:val="页脚 Char"/>
    <w:next w:val="1122"/>
    <w:link w:val="790"/>
    <w:uiPriority w:val="99"/>
    <w:qFormat/>
    <w:rPr>
      <w:sz w:val="18"/>
      <w:szCs w:val="18"/>
    </w:rPr>
  </w:style>
  <w:style w:type="character" w:styleId="1123">
    <w:name w:val="列出段落 Char1"/>
    <w:next w:val="1123"/>
    <w:link w:val="1124"/>
    <w:uiPriority w:val="34"/>
    <w:qFormat/>
    <w:rPr>
      <w:rFonts w:ascii="Calibri" w:hAnsi="Calibri"/>
      <w:sz w:val="21"/>
      <w:szCs w:val="22"/>
    </w:rPr>
  </w:style>
  <w:style w:type="paragraph" w:styleId="1124">
    <w:name w:val="列出段落1"/>
    <w:basedOn w:val="790"/>
    <w:next w:val="1124"/>
    <w:link w:val="1123"/>
    <w:uiPriority w:val="34"/>
    <w:qFormat/>
    <w:pPr>
      <w:ind w:firstLine="420"/>
    </w:pPr>
  </w:style>
  <w:style w:type="character" w:styleId="1125">
    <w:name w:val="批注主题 Char"/>
    <w:next w:val="1125"/>
    <w:link w:val="790"/>
    <w:uiPriority w:val="99"/>
    <w:qFormat/>
    <w:rPr>
      <w:b/>
      <w:bCs/>
    </w:rPr>
  </w:style>
  <w:style w:type="character" w:styleId="1126">
    <w:name w:val="批注文字 Char1"/>
    <w:next w:val="1126"/>
    <w:link w:val="790"/>
    <w:uiPriority w:val="99"/>
    <w:qFormat/>
    <w:rPr>
      <w:rFonts w:ascii="Times New Roman" w:hAnsi="Times New Roman" w:eastAsia="宋体" w:cs="Times New Roman"/>
      <w:szCs w:val="24"/>
    </w:rPr>
  </w:style>
  <w:style w:type="character" w:styleId="1127">
    <w:name w:val="modeltitle"/>
    <w:next w:val="1127"/>
    <w:link w:val="790"/>
    <w:qFormat/>
  </w:style>
  <w:style w:type="character" w:styleId="1128">
    <w:name w:val="font01"/>
    <w:next w:val="1128"/>
    <w:link w:val="790"/>
    <w:qFormat/>
    <w:rPr>
      <w:rFonts w:hint="eastAsia" w:ascii="宋体" w:hAnsi="宋体" w:eastAsia="宋体" w:cs="宋体"/>
      <w:color w:val="000000"/>
      <w:sz w:val="20"/>
      <w:szCs w:val="20"/>
      <w:u w:val="none"/>
    </w:rPr>
  </w:style>
  <w:style w:type="character" w:styleId="1129">
    <w:name w:val="标题 Char"/>
    <w:next w:val="1129"/>
    <w:link w:val="790"/>
    <w:qFormat/>
    <w:rPr>
      <w:rFonts w:ascii="Cambria" w:hAnsi="Cambria" w:cs="Times New Roman"/>
      <w:b/>
      <w:bCs/>
      <w:sz w:val="32"/>
      <w:szCs w:val="32"/>
    </w:rPr>
  </w:style>
  <w:style w:type="character" w:styleId="1130">
    <w:name w:val="标题 2 Char"/>
    <w:next w:val="1130"/>
    <w:link w:val="790"/>
    <w:uiPriority w:val="9"/>
    <w:qFormat/>
    <w:rPr>
      <w:rFonts w:ascii="Cambria" w:hAnsi="Cambria" w:eastAsia="宋体" w:cs="Times New Roman"/>
      <w:b/>
      <w:bCs/>
      <w:sz w:val="32"/>
      <w:szCs w:val="32"/>
    </w:rPr>
  </w:style>
  <w:style w:type="character" w:styleId="1131">
    <w:name w:val="列出段落字符"/>
    <w:next w:val="1131"/>
    <w:link w:val="790"/>
    <w:uiPriority w:val="34"/>
    <w:qFormat/>
    <w:rPr>
      <w:rFonts w:ascii="Calibri" w:hAnsi="Calibri" w:eastAsia="宋体" w:cs="Times New Roman"/>
      <w:sz w:val="24"/>
      <w:szCs w:val="24"/>
    </w:rPr>
  </w:style>
  <w:style w:type="character" w:styleId="1132">
    <w:name w:val="标题 1 Char1"/>
    <w:next w:val="1132"/>
    <w:link w:val="790"/>
    <w:uiPriority w:val="99"/>
    <w:qFormat/>
    <w:rPr>
      <w:b/>
      <w:bCs/>
      <w:sz w:val="44"/>
      <w:szCs w:val="44"/>
    </w:rPr>
  </w:style>
  <w:style w:type="character" w:styleId="1133">
    <w:name w:val="font51"/>
    <w:next w:val="1133"/>
    <w:link w:val="790"/>
    <w:qFormat/>
    <w:rPr>
      <w:rFonts w:hint="eastAsia" w:ascii="宋体" w:hAnsi="宋体" w:eastAsia="宋体" w:cs="宋体"/>
      <w:i/>
      <w:color w:val="000000"/>
      <w:sz w:val="20"/>
      <w:szCs w:val="20"/>
      <w:u w:val="single"/>
    </w:rPr>
  </w:style>
  <w:style w:type="character" w:styleId="1134">
    <w:name w:val="font121"/>
    <w:next w:val="1134"/>
    <w:link w:val="790"/>
    <w:qFormat/>
    <w:rPr>
      <w:rFonts w:ascii="宋体-简" w:hAnsi="宋体-简" w:eastAsia="宋体-简" w:cs="宋体-简"/>
      <w:i/>
      <w:color w:val="000000"/>
      <w:sz w:val="20"/>
      <w:szCs w:val="20"/>
      <w:u w:val="single"/>
    </w:rPr>
  </w:style>
  <w:style w:type="character" w:styleId="1135">
    <w:name w:val="正文首行缩进 Char"/>
    <w:next w:val="1135"/>
    <w:link w:val="790"/>
    <w:qFormat/>
    <w:rPr>
      <w:rFonts w:ascii="Times New Roman" w:hAnsi="Times New Roman" w:eastAsia="宋体" w:cs="Times New Roman"/>
      <w:szCs w:val="20"/>
    </w:rPr>
  </w:style>
  <w:style w:type="character" w:styleId="1136">
    <w:name w:val="表格非标题文字 Char"/>
    <w:next w:val="1136"/>
    <w:link w:val="1137"/>
    <w:uiPriority w:val="99"/>
    <w:qFormat/>
    <w:rPr>
      <w:rFonts w:ascii="Futura Bk" w:hAnsi="Futura Bk"/>
      <w:sz w:val="18"/>
      <w:szCs w:val="21"/>
      <w:lang w:val="en-US" w:eastAsia="zh-CN" w:bidi="ar-SA"/>
    </w:rPr>
  </w:style>
  <w:style w:type="paragraph" w:styleId="1137">
    <w:name w:val="表格非标题文字"/>
    <w:next w:val="1137"/>
    <w:link w:val="1136"/>
    <w:uiPriority w:val="99"/>
    <w:qFormat/>
    <w:pPr>
      <w:spacing w:before="80" w:after="40"/>
    </w:pPr>
    <w:rPr>
      <w:rFonts w:ascii="Futura Bk" w:hAnsi="Futura Bk" w:eastAsia="宋体" w:cs="Times New Roman"/>
      <w:sz w:val="18"/>
      <w:szCs w:val="21"/>
    </w:rPr>
  </w:style>
  <w:style w:type="character" w:styleId="1138">
    <w:name w:val="普通(网站) Char1"/>
    <w:next w:val="1138"/>
    <w:link w:val="790"/>
    <w:uiPriority w:val="99"/>
    <w:semiHidden/>
    <w:qFormat/>
    <w:rPr>
      <w:sz w:val="18"/>
      <w:szCs w:val="18"/>
    </w:rPr>
  </w:style>
  <w:style w:type="character" w:styleId="1139">
    <w:name w:val="js-正文 Char"/>
    <w:next w:val="1139"/>
    <w:link w:val="1140"/>
    <w:qFormat/>
    <w:rPr>
      <w:sz w:val="24"/>
      <w:szCs w:val="24"/>
    </w:rPr>
  </w:style>
  <w:style w:type="paragraph" w:styleId="1140">
    <w:name w:val="js-正文"/>
    <w:basedOn w:val="790"/>
    <w:next w:val="1140"/>
    <w:link w:val="1139"/>
    <w:qFormat/>
    <w:pPr>
      <w:ind w:firstLine="480"/>
      <w:spacing w:line="360" w:lineRule="auto"/>
    </w:pPr>
    <w:rPr>
      <w:sz w:val="24"/>
    </w:rPr>
  </w:style>
  <w:style w:type="character" w:styleId="1141">
    <w:name w:val="标题 3 Char1"/>
    <w:next w:val="1141"/>
    <w:link w:val="790"/>
    <w:uiPriority w:val="99"/>
    <w:semiHidden/>
    <w:qFormat/>
    <w:rPr>
      <w:b/>
      <w:bCs/>
      <w:sz w:val="32"/>
      <w:szCs w:val="32"/>
    </w:rPr>
  </w:style>
  <w:style w:type="character" w:styleId="1142">
    <w:name w:val="正文首行缩进 Char1"/>
    <w:next w:val="1142"/>
    <w:link w:val="790"/>
    <w:uiPriority w:val="99"/>
    <w:semiHidden/>
    <w:qFormat/>
  </w:style>
  <w:style w:type="character" w:styleId="1143">
    <w:name w:val="页眉 Char"/>
    <w:next w:val="1143"/>
    <w:link w:val="790"/>
    <w:uiPriority w:val="99"/>
    <w:qFormat/>
    <w:rPr>
      <w:sz w:val="18"/>
      <w:szCs w:val="18"/>
    </w:rPr>
  </w:style>
  <w:style w:type="character" w:styleId="1144">
    <w:name w:val="apple-converted-space"/>
    <w:next w:val="1144"/>
    <w:link w:val="790"/>
    <w:qFormat/>
  </w:style>
  <w:style w:type="character" w:styleId="1145">
    <w:name w:val="日期 Char"/>
    <w:next w:val="1145"/>
    <w:link w:val="790"/>
    <w:qFormat/>
    <w:rPr>
      <w:rFonts w:eastAsia="宋体"/>
      <w:sz w:val="24"/>
      <w:szCs w:val="24"/>
    </w:rPr>
  </w:style>
  <w:style w:type="character" w:styleId="1146">
    <w:name w:val="标题 6 Char1"/>
    <w:next w:val="1146"/>
    <w:link w:val="790"/>
    <w:semiHidden/>
    <w:qFormat/>
    <w:rPr>
      <w:rFonts w:ascii="Cambria" w:hAnsi="Cambria" w:eastAsia="宋体" w:cs="Times New Roman"/>
      <w:b/>
      <w:bCs/>
      <w:sz w:val="24"/>
      <w:szCs w:val="24"/>
    </w:rPr>
  </w:style>
  <w:style w:type="character" w:styleId="1147">
    <w:name w:val="apple-style-span"/>
    <w:next w:val="1147"/>
    <w:link w:val="790"/>
    <w:qFormat/>
  </w:style>
  <w:style w:type="paragraph" w:styleId="1148">
    <w:name w:val="段"/>
    <w:next w:val="790"/>
    <w:link w:val="790"/>
    <w:qFormat/>
    <w:pPr>
      <w:ind w:firstLine="200"/>
      <w:jc w:val="both"/>
    </w:pPr>
    <w:rPr>
      <w:rFonts w:ascii="宋体" w:hAnsi="Times New Roman" w:eastAsia="Times New Roman" w:cs="Times New Roman"/>
      <w:sz w:val="21"/>
      <w:szCs w:val="22"/>
    </w:rPr>
  </w:style>
  <w:style w:type="paragraph" w:styleId="1149">
    <w:name w:val="xl103"/>
    <w:basedOn w:val="790"/>
    <w:next w:val="1149"/>
    <w:link w:val="79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0">
    <w:name w:val="xl67"/>
    <w:basedOn w:val="790"/>
    <w:next w:val="1150"/>
    <w:link w:val="79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1">
    <w:name w:val="Default"/>
    <w:next w:val="1151"/>
    <w:link w:val="790"/>
    <w:qFormat/>
    <w:pPr>
      <w:widowControl w:val="off"/>
    </w:pPr>
    <w:rPr>
      <w:rFonts w:ascii="Arial" w:hAnsi="Arial" w:eastAsia="宋体" w:cs="Arial"/>
      <w:color w:val="000000"/>
      <w:sz w:val="24"/>
      <w:szCs w:val="24"/>
    </w:rPr>
  </w:style>
  <w:style w:type="paragraph" w:styleId="1152">
    <w:name w:val="首行缩进"/>
    <w:basedOn w:val="790"/>
    <w:next w:val="1152"/>
    <w:link w:val="790"/>
    <w:qFormat/>
    <w:pPr>
      <w:ind w:firstLine="480"/>
      <w:jc w:val="left"/>
      <w:spacing w:line="360" w:lineRule="auto"/>
    </w:pPr>
    <w:rPr>
      <w:rFonts w:ascii="宋体" w:hAnsi="宋体"/>
      <w:sz w:val="24"/>
    </w:rPr>
  </w:style>
  <w:style w:type="paragraph" w:styleId="1153">
    <w:name w:val="_Style 235"/>
    <w:basedOn w:val="824"/>
    <w:next w:val="1068"/>
    <w:link w:val="790"/>
    <w:qFormat/>
    <w:pPr>
      <w:ind w:firstLine="420"/>
      <w:jc w:val="center"/>
      <w:spacing w:after="120"/>
      <w:tabs>
        <w:tab w:val="right" w:pos="2520" w:leader="none"/>
        <w:tab w:val="left" w:pos="2880" w:leader="none"/>
      </w:tabs>
    </w:pPr>
    <w:rPr>
      <w:rFonts w:ascii="Times New Roman" w:hAnsi="Times New Roman"/>
      <w:position w:val="6"/>
      <w:sz w:val="21"/>
      <w:szCs w:val="24"/>
    </w:rPr>
  </w:style>
  <w:style w:type="paragraph" w:styleId="1154">
    <w:name w:val="xl86"/>
    <w:basedOn w:val="790"/>
    <w:next w:val="1154"/>
    <w:link w:val="79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55">
    <w:name w:val="Item List_3"/>
    <w:basedOn w:val="1156"/>
    <w:next w:val="1155"/>
    <w:link w:val="790"/>
    <w:uiPriority w:val="99"/>
    <w:semiHidden/>
    <w:qFormat/>
    <w:pPr>
      <w:tabs>
        <w:tab w:val="left" w:pos="360" w:leader="none"/>
        <w:tab w:val="left" w:pos="840" w:leader="none"/>
        <w:tab w:val="left" w:pos="1134" w:leader="none"/>
      </w:tabs>
    </w:pPr>
  </w:style>
  <w:style w:type="paragraph" w:styleId="1156">
    <w:name w:val="Item List_2"/>
    <w:basedOn w:val="1085"/>
    <w:next w:val="1156"/>
    <w:link w:val="790"/>
    <w:uiPriority w:val="99"/>
    <w:qFormat/>
    <w:pPr>
      <w:ind w:left="840" w:hanging="420"/>
      <w:tabs>
        <w:tab w:val="left" w:pos="360" w:leader="none"/>
        <w:tab w:val="left" w:pos="840" w:leader="none"/>
        <w:tab w:val="left" w:pos="1134" w:leader="none"/>
      </w:tabs>
    </w:pPr>
  </w:style>
  <w:style w:type="paragraph" w:styleId="1157">
    <w:name w:val="xl115"/>
    <w:basedOn w:val="790"/>
    <w:next w:val="1157"/>
    <w:link w:val="79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158">
    <w:name w:val="xl91"/>
    <w:basedOn w:val="790"/>
    <w:next w:val="1158"/>
    <w:link w:val="79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9">
    <w:name w:val="xl96"/>
    <w:basedOn w:val="790"/>
    <w:next w:val="1159"/>
    <w:link w:val="790"/>
    <w:qFormat/>
    <w:pPr>
      <w:jc w:val="center"/>
      <w:spacing w:before="100" w:beforeAutospacing="1" w:after="100" w:afterAutospacing="1"/>
      <w:widowControl/>
    </w:pPr>
    <w:rPr>
      <w:rFonts w:ascii="宋体" w:hAnsi="宋体" w:cs="宋体"/>
      <w:b/>
      <w:bCs/>
      <w:color w:val="000000"/>
      <w:sz w:val="24"/>
    </w:rPr>
  </w:style>
  <w:style w:type="paragraph" w:styleId="1160">
    <w:name w:val="xl89"/>
    <w:basedOn w:val="790"/>
    <w:next w:val="1160"/>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name w:val="table_1stline"/>
    <w:basedOn w:val="790"/>
    <w:next w:val="1161"/>
    <w:link w:val="790"/>
    <w:qFormat/>
    <w:pPr>
      <w:jc w:val="left"/>
      <w:spacing w:before="120"/>
      <w:widowControl/>
    </w:pPr>
    <w:rPr>
      <w:bCs/>
      <w:sz w:val="20"/>
      <w:szCs w:val="20"/>
      <w:lang w:val="de-DE" w:eastAsia="de-DE"/>
    </w:rPr>
  </w:style>
  <w:style w:type="paragraph" w:styleId="1162">
    <w:name w:val="Char Char Char Char Char Char Char Char Char Char Char Char Char Char Char Char Char Char"/>
    <w:basedOn w:val="790"/>
    <w:next w:val="1162"/>
    <w:link w:val="790"/>
    <w:qFormat/>
    <w:pPr>
      <w:jc w:val="center"/>
      <w:spacing w:line="480" w:lineRule="exact"/>
    </w:pPr>
    <w:rPr>
      <w:color w:val="000000"/>
      <w:sz w:val="28"/>
      <w:szCs w:val="52"/>
    </w:rPr>
  </w:style>
  <w:style w:type="paragraph" w:styleId="1163">
    <w:name w:val="font16"/>
    <w:basedOn w:val="790"/>
    <w:next w:val="1163"/>
    <w:link w:val="790"/>
    <w:qFormat/>
    <w:pPr>
      <w:jc w:val="left"/>
      <w:spacing w:before="100" w:beforeAutospacing="1" w:after="100" w:afterAutospacing="1"/>
      <w:widowControl/>
    </w:pPr>
    <w:rPr>
      <w:rFonts w:ascii="宋体" w:hAnsi="宋体" w:cs="宋体"/>
      <w:color w:val="000000"/>
      <w:sz w:val="22"/>
    </w:rPr>
  </w:style>
  <w:style w:type="paragraph" w:styleId="1164">
    <w:name w:val="无间隔1"/>
    <w:next w:val="1164"/>
    <w:link w:val="790"/>
    <w:uiPriority w:val="1"/>
    <w:qFormat/>
    <w:pPr>
      <w:jc w:val="both"/>
      <w:widowControl w:val="off"/>
    </w:pPr>
    <w:rPr>
      <w:rFonts w:ascii="Calibri" w:hAnsi="Calibri" w:eastAsia="宋体" w:cs="Times New Roman"/>
      <w:sz w:val="21"/>
      <w:szCs w:val="22"/>
    </w:rPr>
  </w:style>
  <w:style w:type="paragraph" w:styleId="1165">
    <w:name w:val="列出段落2"/>
    <w:basedOn w:val="790"/>
    <w:next w:val="1165"/>
    <w:link w:val="790"/>
    <w:uiPriority w:val="99"/>
    <w:qFormat/>
    <w:pPr>
      <w:ind w:firstLine="420"/>
      <w:jc w:val="left"/>
      <w:widowControl/>
    </w:pPr>
    <w:rPr>
      <w:sz w:val="24"/>
    </w:rPr>
  </w:style>
  <w:style w:type="paragraph" w:styleId="1166">
    <w:name w:val="Char5 Char Char Char Char Char Char"/>
    <w:basedOn w:val="790"/>
    <w:next w:val="1166"/>
    <w:link w:val="790"/>
    <w:qFormat/>
    <w:rPr>
      <w:rFonts w:ascii="Tahoma" w:hAnsi="Tahoma"/>
      <w:sz w:val="24"/>
      <w:szCs w:val="20"/>
    </w:rPr>
  </w:style>
  <w:style w:type="paragraph" w:styleId="1167">
    <w:name w:val="xl90"/>
    <w:basedOn w:val="790"/>
    <w:next w:val="1167"/>
    <w:link w:val="79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68">
    <w:name w:val="修订1"/>
    <w:next w:val="1168"/>
    <w:link w:val="790"/>
    <w:uiPriority w:val="99"/>
    <w:semiHidden/>
    <w:qFormat/>
    <w:rPr>
      <w:rFonts w:ascii="Times New Roman" w:hAnsi="Times New Roman" w:eastAsia="宋体" w:cs="Times New Roman"/>
      <w:sz w:val="21"/>
      <w:szCs w:val="24"/>
    </w:rPr>
  </w:style>
  <w:style w:type="paragraph" w:styleId="1169">
    <w:name w:val="xl71"/>
    <w:basedOn w:val="790"/>
    <w:next w:val="1169"/>
    <w:link w:val="79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0">
    <w:name w:val="Char Char Char Char Char Char Char Char"/>
    <w:basedOn w:val="790"/>
    <w:next w:val="1170"/>
    <w:link w:val="790"/>
    <w:qFormat/>
    <w:pPr>
      <w:jc w:val="left"/>
      <w:spacing w:after="160" w:line="240" w:lineRule="exact"/>
      <w:widowControl/>
    </w:pPr>
    <w:rPr>
      <w:rFonts w:ascii="Verdana" w:hAnsi="Verdana"/>
      <w:sz w:val="20"/>
      <w:szCs w:val="20"/>
      <w:lang w:eastAsia="en-US"/>
    </w:rPr>
  </w:style>
  <w:style w:type="paragraph" w:styleId="1171">
    <w:name w:val="Char"/>
    <w:basedOn w:val="790"/>
    <w:next w:val="1171"/>
    <w:link w:val="790"/>
    <w:qFormat/>
    <w:rPr>
      <w:rFonts w:ascii="Tahoma" w:hAnsi="Tahoma"/>
      <w:sz w:val="24"/>
      <w:szCs w:val="20"/>
    </w:rPr>
  </w:style>
  <w:style w:type="paragraph" w:styleId="1172">
    <w:name w:val="标题3"/>
    <w:basedOn w:val="790"/>
    <w:next w:val="790"/>
    <w:link w:val="790"/>
    <w:qFormat/>
    <w:pPr>
      <w:ind w:firstLine="624"/>
      <w:spacing w:line="590" w:lineRule="atLeast"/>
    </w:pPr>
    <w:rPr>
      <w:rFonts w:ascii="方正黑体_GBK" w:hAnsi="宋体" w:eastAsia="方正黑体_GBK" w:cs="宋体"/>
      <w:sz w:val="32"/>
      <w:szCs w:val="32"/>
    </w:rPr>
  </w:style>
  <w:style w:type="paragraph" w:styleId="1173">
    <w:name w:val="font18"/>
    <w:basedOn w:val="790"/>
    <w:next w:val="1173"/>
    <w:link w:val="790"/>
    <w:qFormat/>
    <w:pPr>
      <w:jc w:val="left"/>
      <w:spacing w:before="100" w:beforeAutospacing="1" w:after="100" w:afterAutospacing="1"/>
      <w:widowControl/>
    </w:pPr>
    <w:rPr>
      <w:rFonts w:ascii="宋体" w:hAnsi="宋体" w:cs="宋体"/>
      <w:sz w:val="18"/>
      <w:szCs w:val="18"/>
    </w:rPr>
  </w:style>
  <w:style w:type="paragraph" w:styleId="1174">
    <w:name w:val="xl92"/>
    <w:basedOn w:val="790"/>
    <w:next w:val="1174"/>
    <w:link w:val="79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75">
    <w:name w:val="xl97"/>
    <w:basedOn w:val="790"/>
    <w:next w:val="1175"/>
    <w:link w:val="79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76">
    <w:name w:val="xl79"/>
    <w:basedOn w:val="790"/>
    <w:next w:val="1176"/>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77">
    <w:name w:val="标题1"/>
    <w:basedOn w:val="790"/>
    <w:next w:val="790"/>
    <w:link w:val="79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78">
    <w:name w:val="xl110"/>
    <w:basedOn w:val="790"/>
    <w:next w:val="1178"/>
    <w:link w:val="79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179">
    <w:name w:val="xl72"/>
    <w:basedOn w:val="790"/>
    <w:next w:val="1179"/>
    <w:link w:val="790"/>
    <w:qFormat/>
    <w:pPr>
      <w:jc w:val="left"/>
      <w:spacing w:before="100" w:beforeAutospacing="1" w:after="100" w:afterAutospacing="1"/>
      <w:shd w:val="clear" w:color="000000" w:fill="bcd6ee"/>
      <w:widowControl/>
    </w:pPr>
    <w:rPr>
      <w:rFonts w:ascii="宋体" w:hAnsi="宋体" w:cs="宋体"/>
      <w:color w:val="000000"/>
      <w:sz w:val="24"/>
    </w:rPr>
  </w:style>
  <w:style w:type="paragraph" w:styleId="1180">
    <w:name w:val="xl64"/>
    <w:basedOn w:val="790"/>
    <w:next w:val="1180"/>
    <w:link w:val="790"/>
    <w:qFormat/>
    <w:pPr>
      <w:jc w:val="left"/>
      <w:spacing w:before="100" w:beforeAutospacing="1" w:after="100" w:afterAutospacing="1"/>
      <w:widowControl/>
    </w:pPr>
    <w:rPr>
      <w:rFonts w:ascii="宋体" w:hAnsi="宋体" w:cs="宋体"/>
      <w:color w:val="000000"/>
      <w:sz w:val="24"/>
    </w:rPr>
  </w:style>
  <w:style w:type="paragraph" w:styleId="1181">
    <w:name w:val="xl24"/>
    <w:basedOn w:val="790"/>
    <w:next w:val="1181"/>
    <w:link w:val="7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82">
    <w:name w:val="Char Char1 Char Char Char Char Char Char Char"/>
    <w:basedOn w:val="790"/>
    <w:next w:val="1182"/>
    <w:link w:val="790"/>
    <w:qFormat/>
    <w:rPr>
      <w:rFonts w:ascii="Tahoma" w:hAnsi="Tahoma" w:cs="Tahoma"/>
      <w:sz w:val="24"/>
    </w:rPr>
  </w:style>
  <w:style w:type="paragraph" w:styleId="1183">
    <w:name w:val="font6"/>
    <w:basedOn w:val="790"/>
    <w:next w:val="1183"/>
    <w:link w:val="790"/>
    <w:qFormat/>
    <w:pPr>
      <w:jc w:val="left"/>
      <w:spacing w:before="100" w:beforeAutospacing="1" w:after="100" w:afterAutospacing="1"/>
      <w:widowControl/>
    </w:pPr>
    <w:rPr>
      <w:rFonts w:ascii="宋体" w:hAnsi="宋体" w:cs="宋体"/>
      <w:sz w:val="28"/>
      <w:szCs w:val="28"/>
      <w:u w:val="single"/>
    </w:rPr>
  </w:style>
  <w:style w:type="paragraph" w:styleId="1184">
    <w:name w:val="xl84"/>
    <w:basedOn w:val="790"/>
    <w:next w:val="1184"/>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5">
    <w:name w:val="xl107"/>
    <w:basedOn w:val="790"/>
    <w:next w:val="1185"/>
    <w:link w:val="79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6">
    <w:name w:val="Char2"/>
    <w:basedOn w:val="790"/>
    <w:next w:val="1186"/>
    <w:link w:val="790"/>
    <w:qFormat/>
    <w:rPr>
      <w:rFonts w:ascii="仿宋_GB2312" w:eastAsia="仿宋_GB2312"/>
      <w:b/>
      <w:sz w:val="32"/>
      <w:szCs w:val="32"/>
    </w:rPr>
  </w:style>
  <w:style w:type="paragraph" w:styleId="1187">
    <w:name w:val="font11"/>
    <w:basedOn w:val="790"/>
    <w:next w:val="1187"/>
    <w:link w:val="790"/>
    <w:qFormat/>
    <w:pPr>
      <w:jc w:val="left"/>
      <w:spacing w:before="100" w:beforeAutospacing="1" w:after="100" w:afterAutospacing="1"/>
      <w:widowControl/>
    </w:pPr>
    <w:rPr>
      <w:rFonts w:ascii="宋体" w:hAnsi="宋体" w:cs="宋体"/>
      <w:b/>
      <w:bCs/>
      <w:sz w:val="18"/>
      <w:szCs w:val="18"/>
    </w:rPr>
  </w:style>
  <w:style w:type="paragraph" w:styleId="1188">
    <w:name w:val="font8"/>
    <w:basedOn w:val="790"/>
    <w:next w:val="1188"/>
    <w:link w:val="790"/>
    <w:qFormat/>
    <w:pPr>
      <w:jc w:val="left"/>
      <w:spacing w:before="100" w:beforeAutospacing="1" w:after="100" w:afterAutospacing="1"/>
      <w:widowControl/>
    </w:pPr>
    <w:rPr>
      <w:rFonts w:ascii="宋体" w:hAnsi="宋体" w:cs="宋体"/>
      <w:sz w:val="22"/>
    </w:rPr>
  </w:style>
  <w:style w:type="paragraph" w:styleId="1189">
    <w:name w:val="xl98"/>
    <w:basedOn w:val="790"/>
    <w:next w:val="1189"/>
    <w:link w:val="79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90">
    <w:name w:val="正文 New"/>
    <w:next w:val="1190"/>
    <w:link w:val="790"/>
    <w:qFormat/>
    <w:pPr>
      <w:jc w:val="both"/>
      <w:widowControl w:val="off"/>
    </w:pPr>
    <w:rPr>
      <w:rFonts w:ascii="Times New Roman" w:hAnsi="Times New Roman" w:eastAsia="宋体" w:cs="Times New Roman"/>
      <w:sz w:val="21"/>
      <w:szCs w:val="24"/>
    </w:rPr>
  </w:style>
  <w:style w:type="paragraph" w:styleId="1191">
    <w:name w:val="xl30"/>
    <w:basedOn w:val="790"/>
    <w:next w:val="1191"/>
    <w:link w:val="790"/>
    <w:qFormat/>
    <w:pPr>
      <w:jc w:val="center"/>
      <w:spacing w:before="100" w:beforeAutospacing="1" w:after="100" w:afterAutospacing="1"/>
      <w:widowControl/>
    </w:pPr>
    <w:rPr>
      <w:rFonts w:ascii="宋体" w:hAnsi="宋体" w:cs="宋体"/>
      <w:b/>
      <w:bCs/>
      <w:sz w:val="36"/>
      <w:szCs w:val="36"/>
    </w:rPr>
  </w:style>
  <w:style w:type="paragraph" w:styleId="1192">
    <w:name w:val="font0"/>
    <w:basedOn w:val="790"/>
    <w:next w:val="1192"/>
    <w:link w:val="790"/>
    <w:qFormat/>
    <w:pPr>
      <w:jc w:val="left"/>
      <w:spacing w:before="100" w:beforeAutospacing="1" w:after="100" w:afterAutospacing="1"/>
      <w:widowControl/>
    </w:pPr>
    <w:rPr>
      <w:rFonts w:ascii="宋体" w:hAnsi="宋体" w:cs="宋体"/>
      <w:color w:val="000000"/>
      <w:sz w:val="22"/>
    </w:rPr>
  </w:style>
  <w:style w:type="paragraph" w:styleId="1193">
    <w:name w:val="xl77"/>
    <w:basedOn w:val="790"/>
    <w:next w:val="1193"/>
    <w:link w:val="7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4">
    <w:name w:val="列出段落31"/>
    <w:basedOn w:val="790"/>
    <w:next w:val="1194"/>
    <w:link w:val="790"/>
    <w:uiPriority w:val="72"/>
    <w:qFormat/>
    <w:pPr>
      <w:ind w:firstLine="420"/>
      <w:jc w:val="left"/>
      <w:widowControl/>
    </w:pPr>
    <w:rPr>
      <w:rFonts w:ascii="Cambria" w:hAnsi="Cambria"/>
      <w:sz w:val="24"/>
    </w:rPr>
  </w:style>
  <w:style w:type="paragraph" w:styleId="1195">
    <w:name w:val="reader-word-layer"/>
    <w:basedOn w:val="790"/>
    <w:next w:val="1195"/>
    <w:link w:val="790"/>
    <w:qFormat/>
    <w:pPr>
      <w:jc w:val="left"/>
      <w:spacing w:before="100" w:beforeAutospacing="1" w:after="100" w:afterAutospacing="1"/>
      <w:widowControl/>
    </w:pPr>
    <w:rPr>
      <w:sz w:val="24"/>
    </w:rPr>
  </w:style>
  <w:style w:type="paragraph" w:styleId="1196">
    <w:name w:val="xl109"/>
    <w:basedOn w:val="790"/>
    <w:next w:val="1196"/>
    <w:link w:val="79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7">
    <w:name w:val="Char1 Char Char Char"/>
    <w:basedOn w:val="790"/>
    <w:next w:val="1197"/>
    <w:link w:val="790"/>
    <w:qFormat/>
    <w:rPr>
      <w:rFonts w:ascii="Tahoma" w:hAnsi="Tahoma" w:cs="Tahoma"/>
      <w:sz w:val="24"/>
      <w:szCs w:val="20"/>
    </w:rPr>
  </w:style>
  <w:style w:type="paragraph" w:styleId="1198">
    <w:name w:val="二级标题"/>
    <w:basedOn w:val="1199"/>
    <w:next w:val="1198"/>
    <w:link w:val="790"/>
    <w:qFormat/>
    <w:pPr>
      <w:numPr>
        <w:ilvl w:val="1"/>
      </w:numPr>
      <w:outlineLvl w:val="1"/>
    </w:pPr>
    <w:rPr>
      <w:lang w:eastAsia="zh-CN"/>
    </w:rPr>
  </w:style>
  <w:style w:type="paragraph" w:styleId="1199">
    <w:name w:val="一级标题"/>
    <w:basedOn w:val="790"/>
    <w:next w:val="1199"/>
    <w:link w:val="790"/>
    <w:qFormat/>
    <w:pPr>
      <w:numPr>
        <w:ilvl w:val="0"/>
        <w:numId w:val="7"/>
      </w:numPr>
      <w:ind w:firstLine="0"/>
      <w:jc w:val="left"/>
      <w:widowControl/>
      <w:outlineLvl w:val="0"/>
    </w:pPr>
    <w:rPr>
      <w:rFonts w:ascii="宋体" w:hAnsi="宋体"/>
      <w:b/>
      <w:sz w:val="30"/>
      <w:lang w:eastAsia="en-US" w:bidi="en-US"/>
    </w:rPr>
  </w:style>
  <w:style w:type="paragraph" w:styleId="1200">
    <w:name w:val="xl73"/>
    <w:basedOn w:val="790"/>
    <w:next w:val="1200"/>
    <w:link w:val="790"/>
    <w:qFormat/>
    <w:pPr>
      <w:jc w:val="left"/>
      <w:spacing w:before="100" w:beforeAutospacing="1" w:after="100" w:afterAutospacing="1"/>
      <w:shd w:val="clear" w:color="000000" w:fill="f8cbac"/>
      <w:widowControl/>
    </w:pPr>
    <w:rPr>
      <w:rFonts w:ascii="宋体" w:hAnsi="宋体" w:cs="宋体"/>
      <w:color w:val="000000"/>
      <w:sz w:val="24"/>
    </w:rPr>
  </w:style>
  <w:style w:type="paragraph" w:styleId="1201">
    <w:name w:val="Char Char Char"/>
    <w:basedOn w:val="790"/>
    <w:next w:val="1201"/>
    <w:link w:val="790"/>
    <w:qFormat/>
    <w:pPr>
      <w:jc w:val="left"/>
      <w:widowControl/>
    </w:pPr>
    <w:rPr>
      <w:rFonts w:ascii="Tahoma" w:hAnsi="Tahoma" w:cs="宋体"/>
      <w:sz w:val="24"/>
      <w:szCs w:val="20"/>
    </w:rPr>
  </w:style>
  <w:style w:type="paragraph" w:styleId="1202">
    <w:name w:val="xl118"/>
    <w:basedOn w:val="790"/>
    <w:next w:val="1202"/>
    <w:link w:val="79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03">
    <w:name w:val="font14"/>
    <w:basedOn w:val="790"/>
    <w:next w:val="1203"/>
    <w:link w:val="790"/>
    <w:qFormat/>
    <w:pPr>
      <w:jc w:val="left"/>
      <w:spacing w:before="100" w:beforeAutospacing="1" w:after="100" w:afterAutospacing="1"/>
      <w:widowControl/>
    </w:pPr>
    <w:rPr>
      <w:rFonts w:ascii="宋体" w:hAnsi="宋体" w:cs="宋体"/>
      <w:color w:val="000000"/>
      <w:sz w:val="22"/>
    </w:rPr>
  </w:style>
  <w:style w:type="paragraph" w:styleId="1204">
    <w:name w:val="Char5 Char Char Char Char Char Char2"/>
    <w:basedOn w:val="790"/>
    <w:next w:val="1204"/>
    <w:link w:val="790"/>
    <w:qFormat/>
    <w:rPr>
      <w:rFonts w:ascii="Tahoma" w:hAnsi="Tahoma"/>
      <w:sz w:val="24"/>
      <w:szCs w:val="20"/>
    </w:rPr>
  </w:style>
  <w:style w:type="paragraph" w:styleId="1205">
    <w:name w:val="样式 样式 标题1 + 行距: 单倍行距 + 段前: 7.8 磅 段后: 7.8 磅"/>
    <w:basedOn w:val="790"/>
    <w:next w:val="1205"/>
    <w:link w:val="79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06">
    <w:name w:val="xl28"/>
    <w:basedOn w:val="790"/>
    <w:next w:val="1206"/>
    <w:link w:val="7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07">
    <w:name w:val="默认段落字体 Para Char Char"/>
    <w:basedOn w:val="790"/>
    <w:next w:val="1207"/>
    <w:link w:val="790"/>
    <w:qFormat/>
    <w:pPr>
      <w:spacing w:before="156" w:after="156"/>
    </w:pPr>
    <w:rPr>
      <w:szCs w:val="20"/>
    </w:rPr>
  </w:style>
  <w:style w:type="paragraph" w:styleId="1208">
    <w:name w:val="Char Char1 Char Char Char Char Char Char Char Char"/>
    <w:basedOn w:val="790"/>
    <w:next w:val="1208"/>
    <w:link w:val="790"/>
    <w:qFormat/>
    <w:pPr>
      <w:jc w:val="left"/>
      <w:spacing w:after="160" w:line="240" w:lineRule="exact"/>
      <w:widowControl/>
    </w:pPr>
    <w:rPr>
      <w:rFonts w:ascii="Verdana" w:hAnsi="Verdana" w:cs="宋体"/>
      <w:sz w:val="20"/>
      <w:szCs w:val="20"/>
      <w:lang w:eastAsia="en-US"/>
    </w:rPr>
  </w:style>
  <w:style w:type="paragraph" w:styleId="1209">
    <w:name w:val="xl75"/>
    <w:basedOn w:val="790"/>
    <w:next w:val="1209"/>
    <w:link w:val="79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10">
    <w:name w:val="Char Char Char Char Char Char Char Char Char Char"/>
    <w:basedOn w:val="790"/>
    <w:next w:val="1210"/>
    <w:link w:val="790"/>
    <w:qFormat/>
    <w:pPr>
      <w:spacing w:line="360" w:lineRule="auto"/>
    </w:pPr>
    <w:rPr>
      <w:sz w:val="24"/>
      <w:szCs w:val="20"/>
    </w:rPr>
  </w:style>
  <w:style w:type="paragraph" w:styleId="1211">
    <w:name w:val="font15"/>
    <w:basedOn w:val="790"/>
    <w:next w:val="1211"/>
    <w:link w:val="790"/>
    <w:qFormat/>
    <w:pPr>
      <w:jc w:val="left"/>
      <w:spacing w:before="100" w:beforeAutospacing="1" w:after="100" w:afterAutospacing="1"/>
      <w:widowControl/>
    </w:pPr>
    <w:rPr>
      <w:rFonts w:ascii="宋体" w:hAnsi="宋体" w:cs="宋体"/>
      <w:sz w:val="18"/>
      <w:szCs w:val="18"/>
    </w:rPr>
  </w:style>
  <w:style w:type="paragraph" w:styleId="1212">
    <w:name w:val="Char3"/>
    <w:basedOn w:val="817"/>
    <w:next w:val="1212"/>
    <w:link w:val="790"/>
    <w:qFormat/>
    <w:pPr>
      <w:spacing w:line="360" w:lineRule="auto"/>
    </w:pPr>
    <w:rPr>
      <w:rFonts w:ascii="Tahoma" w:hAnsi="Tahoma" w:cs="Tahoma"/>
      <w:sz w:val="24"/>
      <w:szCs w:val="24"/>
    </w:rPr>
  </w:style>
  <w:style w:type="paragraph" w:styleId="1213">
    <w:name w:val="xl122"/>
    <w:basedOn w:val="790"/>
    <w:next w:val="1213"/>
    <w:link w:val="79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14">
    <w:name w:val="彩色列表 - 强调文字颜色 11"/>
    <w:basedOn w:val="790"/>
    <w:next w:val="1214"/>
    <w:link w:val="790"/>
    <w:uiPriority w:val="34"/>
    <w:qFormat/>
    <w:pPr>
      <w:ind w:firstLine="420"/>
    </w:pPr>
    <w:rPr>
      <w:rFonts w:ascii="Cambria" w:hAnsi="Cambria"/>
      <w:sz w:val="24"/>
    </w:rPr>
  </w:style>
  <w:style w:type="paragraph" w:styleId="1215">
    <w:name w:val="Char1"/>
    <w:basedOn w:val="790"/>
    <w:next w:val="1215"/>
    <w:link w:val="790"/>
    <w:qFormat/>
    <w:pPr>
      <w:ind w:left="840" w:hanging="420"/>
      <w:tabs>
        <w:tab w:val="left" w:pos="840" w:leader="none"/>
      </w:tabs>
    </w:pPr>
    <w:rPr>
      <w:sz w:val="24"/>
    </w:rPr>
  </w:style>
  <w:style w:type="paragraph" w:styleId="1216">
    <w:name w:val="默认段落字体 Para Char Char Char Char"/>
    <w:basedOn w:val="790"/>
    <w:next w:val="1216"/>
    <w:link w:val="790"/>
    <w:qFormat/>
    <w:rPr>
      <w:rFonts w:ascii="Arial" w:hAnsi="Arial" w:cs="Arial"/>
      <w:szCs w:val="21"/>
    </w:rPr>
  </w:style>
  <w:style w:type="paragraph" w:styleId="1217">
    <w:name w:val="xl66"/>
    <w:basedOn w:val="790"/>
    <w:next w:val="1217"/>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8">
    <w:name w:val="xl83"/>
    <w:basedOn w:val="790"/>
    <w:next w:val="1218"/>
    <w:link w:val="79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9">
    <w:name w:val="font17"/>
    <w:basedOn w:val="790"/>
    <w:next w:val="1219"/>
    <w:link w:val="790"/>
    <w:qFormat/>
    <w:pPr>
      <w:jc w:val="left"/>
      <w:spacing w:before="100" w:beforeAutospacing="1" w:after="100" w:afterAutospacing="1"/>
      <w:widowControl/>
    </w:pPr>
    <w:rPr>
      <w:rFonts w:ascii="宋体" w:hAnsi="宋体" w:cs="宋体"/>
      <w:color w:val="ff0000"/>
      <w:sz w:val="22"/>
    </w:rPr>
  </w:style>
  <w:style w:type="paragraph" w:styleId="1220">
    <w:name w:val="标题5"/>
    <w:basedOn w:val="795"/>
    <w:next w:val="1220"/>
    <w:link w:val="790"/>
    <w:qFormat/>
    <w:pPr>
      <w:keepNext w:val="0"/>
      <w:spacing w:line="360" w:lineRule="auto"/>
      <w:tabs>
        <w:tab w:val="left" w:pos="0" w:leader="none"/>
      </w:tabs>
    </w:pPr>
    <w:rPr>
      <w:rFonts w:ascii="Times New Roman" w:hAnsi="Times New Roman" w:eastAsia="仿宋_GB2312"/>
      <w:bCs/>
      <w:sz w:val="30"/>
      <w:szCs w:val="30"/>
    </w:rPr>
  </w:style>
  <w:style w:type="paragraph" w:styleId="1221">
    <w:name w:val="xl104"/>
    <w:basedOn w:val="790"/>
    <w:next w:val="1221"/>
    <w:link w:val="79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2">
    <w:name w:val="四级标题"/>
    <w:basedOn w:val="1223"/>
    <w:next w:val="1222"/>
    <w:link w:val="790"/>
    <w:qFormat/>
    <w:pPr>
      <w:numPr>
        <w:ilvl w:val="3"/>
      </w:numPr>
      <w:outlineLvl w:val="3"/>
    </w:pPr>
  </w:style>
  <w:style w:type="paragraph" w:styleId="1223">
    <w:name w:val="三级标题"/>
    <w:basedOn w:val="1198"/>
    <w:next w:val="1223"/>
    <w:link w:val="790"/>
    <w:qFormat/>
    <w:pPr>
      <w:numPr>
        <w:ilvl w:val="2"/>
      </w:numPr>
      <w:ind w:left="1191"/>
      <w:spacing w:before="50" w:after="50"/>
      <w:outlineLvl w:val="2"/>
    </w:pPr>
    <w:rPr>
      <w:sz w:val="24"/>
    </w:rPr>
  </w:style>
  <w:style w:type="paragraph" w:styleId="1224">
    <w:name w:val="附录1"/>
    <w:next w:val="1224"/>
    <w:link w:val="790"/>
    <w:qFormat/>
    <w:pPr>
      <w:ind w:left="907" w:hanging="907"/>
      <w:spacing w:before="240" w:line="600" w:lineRule="atLeast"/>
      <w:tabs>
        <w:tab w:val="left" w:pos="907" w:leader="none"/>
      </w:tabs>
    </w:pPr>
    <w:rPr>
      <w:rFonts w:ascii="Times New Roman" w:hAnsi="Times New Roman" w:eastAsia="宋体" w:cs="Times New Roman"/>
      <w:b/>
      <w:i/>
      <w:iCs/>
      <w:sz w:val="28"/>
      <w:szCs w:val="28"/>
    </w:rPr>
  </w:style>
  <w:style w:type="paragraph" w:styleId="1225">
    <w:name w:val="table_lines"/>
    <w:basedOn w:val="790"/>
    <w:next w:val="1225"/>
    <w:link w:val="790"/>
    <w:qFormat/>
    <w:pPr>
      <w:jc w:val="left"/>
      <w:widowControl/>
    </w:pPr>
    <w:rPr>
      <w:sz w:val="20"/>
      <w:szCs w:val="20"/>
      <w:lang w:val="de-DE" w:eastAsia="de-DE"/>
    </w:rPr>
  </w:style>
  <w:style w:type="paragraph" w:styleId="1226">
    <w:name w:val="xl114"/>
    <w:basedOn w:val="790"/>
    <w:next w:val="1226"/>
    <w:link w:val="79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27">
    <w:name w:val="Char Char Char Char Char Char Char Char Char"/>
    <w:basedOn w:val="790"/>
    <w:next w:val="1227"/>
    <w:link w:val="790"/>
    <w:qFormat/>
    <w:rPr>
      <w:rFonts w:ascii="Tahoma" w:hAnsi="Tahoma" w:cs="Tahoma"/>
      <w:sz w:val="24"/>
      <w:szCs w:val="20"/>
    </w:rPr>
  </w:style>
  <w:style w:type="paragraph" w:styleId="1228">
    <w:name w:val="xl74"/>
    <w:basedOn w:val="790"/>
    <w:next w:val="1228"/>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29">
    <w:name w:val="ÕýÎÄ"/>
    <w:next w:val="1229"/>
    <w:link w:val="790"/>
    <w:qFormat/>
    <w:pPr>
      <w:ind w:firstLine="419"/>
      <w:jc w:val="both"/>
      <w:spacing w:line="351" w:lineRule="atLeast"/>
      <w:widowControl w:val="off"/>
    </w:pPr>
    <w:rPr>
      <w:rFonts w:ascii="Times New Roman" w:hAnsi="Times New Roman" w:eastAsia="宋体" w:cs="Times New Roman"/>
      <w:color w:val="000000"/>
      <w:sz w:val="21"/>
      <w:szCs w:val="28"/>
    </w:rPr>
  </w:style>
  <w:style w:type="paragraph" w:styleId="1230">
    <w:name w:val="xl112"/>
    <w:basedOn w:val="790"/>
    <w:next w:val="1230"/>
    <w:link w:val="79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31">
    <w:name w:val="xl85"/>
    <w:basedOn w:val="790"/>
    <w:next w:val="1231"/>
    <w:link w:val="79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32">
    <w:name w:val="font5"/>
    <w:basedOn w:val="790"/>
    <w:next w:val="1232"/>
    <w:link w:val="790"/>
    <w:qFormat/>
    <w:pPr>
      <w:jc w:val="left"/>
      <w:spacing w:before="100" w:beforeAutospacing="1" w:after="100" w:afterAutospacing="1"/>
      <w:widowControl/>
    </w:pPr>
    <w:rPr>
      <w:rFonts w:ascii="宋体" w:hAnsi="宋体" w:cs="宋体"/>
      <w:sz w:val="28"/>
      <w:szCs w:val="28"/>
    </w:rPr>
  </w:style>
  <w:style w:type="paragraph" w:styleId="1233">
    <w:name w:val="Char Char Char Char"/>
    <w:basedOn w:val="817"/>
    <w:next w:val="1233"/>
    <w:link w:val="790"/>
    <w:qFormat/>
    <w:pPr>
      <w:spacing w:line="360" w:lineRule="auto"/>
    </w:pPr>
    <w:rPr>
      <w:rFonts w:ascii="Tahoma" w:hAnsi="Tahoma" w:cs="Tahoma"/>
      <w:sz w:val="24"/>
      <w:szCs w:val="24"/>
    </w:rPr>
  </w:style>
  <w:style w:type="paragraph" w:styleId="1234">
    <w:name w:val="正文蓝"/>
    <w:basedOn w:val="814"/>
    <w:next w:val="1234"/>
    <w:link w:val="790"/>
    <w:qFormat/>
    <w:pPr>
      <w:ind w:firstLine="482"/>
      <w:spacing w:line="288" w:lineRule="auto"/>
    </w:pPr>
    <w:rPr>
      <w:rFonts w:ascii="仿宋_GB2312" w:hAnsi="宋体" w:eastAsia="仿宋_GB2312" w:cs="宋体"/>
      <w:bCs/>
      <w:color w:val="0000ff"/>
      <w:sz w:val="24"/>
      <w:szCs w:val="20"/>
    </w:rPr>
  </w:style>
  <w:style w:type="paragraph" w:styleId="1235">
    <w:name w:val="xl25"/>
    <w:basedOn w:val="790"/>
    <w:next w:val="1235"/>
    <w:link w:val="790"/>
    <w:qFormat/>
    <w:pPr>
      <w:jc w:val="center"/>
      <w:spacing w:before="100" w:beforeAutospacing="1" w:after="100" w:afterAutospacing="1"/>
      <w:widowControl/>
    </w:pPr>
    <w:rPr>
      <w:rFonts w:ascii="Arial Unicode MS" w:hAnsi="Arial Unicode MS" w:eastAsia="Arial Unicode MS" w:cs="Arial Unicode MS"/>
      <w:sz w:val="24"/>
    </w:rPr>
  </w:style>
  <w:style w:type="paragraph" w:styleId="1236">
    <w:name w:val="xl93"/>
    <w:basedOn w:val="790"/>
    <w:next w:val="1236"/>
    <w:link w:val="7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237">
    <w:name w:val="Char Char Char1 Char Char Char Char"/>
    <w:basedOn w:val="790"/>
    <w:next w:val="1237"/>
    <w:link w:val="790"/>
    <w:qFormat/>
    <w:pPr>
      <w:jc w:val="left"/>
      <w:spacing w:after="160" w:line="240" w:lineRule="exact"/>
      <w:widowControl/>
    </w:pPr>
    <w:rPr>
      <w:rFonts w:ascii="宋体" w:hAnsi="宋体" w:cs="宋体"/>
      <w:b/>
      <w:sz w:val="28"/>
      <w:szCs w:val="28"/>
    </w:rPr>
  </w:style>
  <w:style w:type="paragraph" w:styleId="1238">
    <w:name w:val="font20"/>
    <w:basedOn w:val="790"/>
    <w:next w:val="1238"/>
    <w:link w:val="790"/>
    <w:qFormat/>
    <w:pPr>
      <w:jc w:val="left"/>
      <w:spacing w:before="100" w:beforeAutospacing="1" w:after="100" w:afterAutospacing="1"/>
      <w:widowControl/>
    </w:pPr>
    <w:rPr>
      <w:rFonts w:ascii="Tahoma" w:hAnsi="Tahoma" w:cs="Tahoma"/>
      <w:b/>
      <w:bCs/>
      <w:color w:val="000000"/>
      <w:sz w:val="18"/>
      <w:szCs w:val="18"/>
    </w:rPr>
  </w:style>
  <w:style w:type="paragraph" w:styleId="1239">
    <w:name w:val="标题2"/>
    <w:basedOn w:val="792"/>
    <w:next w:val="1239"/>
    <w:link w:val="790"/>
    <w:qFormat/>
    <w:pPr>
      <w:jc w:val="both"/>
      <w:keepLines w:val="0"/>
      <w:keepNext w:val="0"/>
      <w:spacing w:before="0" w:after="0" w:line="360" w:lineRule="auto"/>
      <w:tabs>
        <w:tab w:val="left" w:pos="0" w:leader="none"/>
      </w:tabs>
    </w:pPr>
    <w:rPr>
      <w:rFonts w:eastAsia="仿宋_GB2312"/>
      <w:b w:val="0"/>
      <w:sz w:val="30"/>
      <w:szCs w:val="32"/>
    </w:rPr>
  </w:style>
  <w:style w:type="paragraph" w:styleId="1240">
    <w:name w:val="xl27"/>
    <w:basedOn w:val="790"/>
    <w:next w:val="1240"/>
    <w:link w:val="79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41">
    <w:name w:val="xl106"/>
    <w:basedOn w:val="790"/>
    <w:next w:val="1241"/>
    <w:link w:val="79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2">
    <w:name w:val="font21"/>
    <w:basedOn w:val="790"/>
    <w:next w:val="1242"/>
    <w:link w:val="790"/>
    <w:qFormat/>
    <w:pPr>
      <w:jc w:val="left"/>
      <w:spacing w:before="100" w:beforeAutospacing="1" w:after="100" w:afterAutospacing="1"/>
      <w:widowControl/>
    </w:pPr>
    <w:rPr>
      <w:rFonts w:ascii="宋体" w:hAnsi="宋体" w:cs="宋体"/>
      <w:b/>
      <w:bCs/>
      <w:color w:val="000000"/>
      <w:sz w:val="18"/>
      <w:szCs w:val="18"/>
    </w:rPr>
  </w:style>
  <w:style w:type="paragraph" w:styleId="1243">
    <w:name w:val="标书正文"/>
    <w:basedOn w:val="790"/>
    <w:next w:val="1243"/>
    <w:link w:val="790"/>
    <w:uiPriority w:val="99"/>
    <w:qFormat/>
    <w:pPr>
      <w:ind w:firstLine="431"/>
      <w:jc w:val="left"/>
      <w:spacing w:before="120" w:after="120" w:line="360" w:lineRule="auto"/>
      <w:widowControl/>
    </w:pPr>
    <w:rPr>
      <w:sz w:val="22"/>
      <w:szCs w:val="21"/>
      <w:lang w:eastAsia="en-US"/>
    </w:rPr>
  </w:style>
  <w:style w:type="paragraph" w:styleId="1244">
    <w:name w:val="xl26"/>
    <w:basedOn w:val="790"/>
    <w:next w:val="1244"/>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5">
    <w:name w:val="可研 + 首行缩进:  2 字符"/>
    <w:basedOn w:val="790"/>
    <w:next w:val="1245"/>
    <w:link w:val="790"/>
    <w:qFormat/>
    <w:pPr>
      <w:ind w:firstLine="200"/>
      <w:spacing w:before="120" w:line="288" w:lineRule="auto"/>
    </w:pPr>
    <w:rPr>
      <w:rFonts w:eastAsia="仿宋_GB2312"/>
      <w:sz w:val="24"/>
      <w:szCs w:val="20"/>
    </w:rPr>
  </w:style>
  <w:style w:type="paragraph" w:styleId="1246">
    <w:name w:val="font19"/>
    <w:basedOn w:val="790"/>
    <w:next w:val="1246"/>
    <w:link w:val="790"/>
    <w:qFormat/>
    <w:pPr>
      <w:jc w:val="left"/>
      <w:spacing w:before="100" w:beforeAutospacing="1" w:after="100" w:afterAutospacing="1"/>
      <w:widowControl/>
    </w:pPr>
    <w:rPr>
      <w:rFonts w:ascii="宋体" w:hAnsi="宋体" w:cs="宋体"/>
      <w:sz w:val="18"/>
      <w:szCs w:val="18"/>
    </w:rPr>
  </w:style>
  <w:style w:type="paragraph" w:styleId="1247">
    <w:name w:val="Char Char Char1 Char Char Char Char1"/>
    <w:basedOn w:val="790"/>
    <w:next w:val="1247"/>
    <w:link w:val="790"/>
    <w:qFormat/>
    <w:pPr>
      <w:jc w:val="left"/>
      <w:spacing w:after="160" w:line="240" w:lineRule="exact"/>
      <w:widowControl/>
    </w:pPr>
    <w:rPr>
      <w:rFonts w:ascii="宋体" w:hAnsi="宋体"/>
      <w:b/>
      <w:sz w:val="28"/>
      <w:szCs w:val="28"/>
    </w:rPr>
  </w:style>
  <w:style w:type="paragraph" w:styleId="1248">
    <w:name w:val="font9"/>
    <w:basedOn w:val="790"/>
    <w:next w:val="1248"/>
    <w:link w:val="790"/>
    <w:qFormat/>
    <w:pPr>
      <w:jc w:val="left"/>
      <w:spacing w:before="100" w:beforeAutospacing="1" w:after="100" w:afterAutospacing="1"/>
      <w:widowControl/>
    </w:pPr>
    <w:rPr>
      <w:rFonts w:ascii="宋体" w:hAnsi="宋体" w:cs="宋体"/>
      <w:sz w:val="20"/>
      <w:szCs w:val="20"/>
    </w:rPr>
  </w:style>
  <w:style w:type="paragraph" w:styleId="1249">
    <w:name w:val="xl113"/>
    <w:basedOn w:val="790"/>
    <w:next w:val="1249"/>
    <w:link w:val="79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50">
    <w:name w:val="xl88"/>
    <w:basedOn w:val="790"/>
    <w:next w:val="1250"/>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1">
    <w:name w:val="xl94"/>
    <w:basedOn w:val="790"/>
    <w:next w:val="1251"/>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2">
    <w:name w:val="Char4"/>
    <w:basedOn w:val="790"/>
    <w:next w:val="1252"/>
    <w:link w:val="790"/>
    <w:qFormat/>
    <w:pPr>
      <w:tabs>
        <w:tab w:val="left" w:pos="360" w:leader="none"/>
      </w:tabs>
    </w:pPr>
    <w:rPr>
      <w:sz w:val="24"/>
    </w:rPr>
  </w:style>
  <w:style w:type="paragraph" w:styleId="1253">
    <w:name w:val="xl100"/>
    <w:basedOn w:val="790"/>
    <w:next w:val="1253"/>
    <w:link w:val="79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54">
    <w:name w:val="xl65"/>
    <w:basedOn w:val="790"/>
    <w:next w:val="1254"/>
    <w:link w:val="790"/>
    <w:qFormat/>
    <w:pPr>
      <w:jc w:val="left"/>
      <w:spacing w:before="100" w:beforeAutospacing="1" w:after="100" w:afterAutospacing="1"/>
      <w:widowControl/>
    </w:pPr>
    <w:rPr>
      <w:rFonts w:ascii="宋体" w:hAnsi="宋体" w:cs="宋体"/>
      <w:b/>
      <w:bCs/>
      <w:color w:val="000000"/>
      <w:sz w:val="24"/>
    </w:rPr>
  </w:style>
  <w:style w:type="paragraph" w:styleId="1255">
    <w:name w:val="Char Char Char Char1"/>
    <w:basedOn w:val="817"/>
    <w:next w:val="1255"/>
    <w:link w:val="790"/>
    <w:qFormat/>
    <w:pPr>
      <w:spacing w:line="360" w:lineRule="auto"/>
    </w:pPr>
    <w:rPr>
      <w:rFonts w:ascii="Tahoma" w:hAnsi="Tahoma"/>
      <w:sz w:val="24"/>
      <w:szCs w:val="24"/>
    </w:rPr>
  </w:style>
  <w:style w:type="paragraph" w:styleId="1256">
    <w:name w:val="Main_heading"/>
    <w:basedOn w:val="790"/>
    <w:next w:val="790"/>
    <w:link w:val="790"/>
    <w:qFormat/>
    <w:pPr>
      <w:jc w:val="left"/>
      <w:spacing w:before="240" w:after="240" w:line="240" w:lineRule="atLeast"/>
      <w:widowControl/>
    </w:pPr>
    <w:rPr>
      <w:rFonts w:eastAsia="MS Mincho"/>
      <w:b/>
      <w:sz w:val="28"/>
      <w:szCs w:val="20"/>
      <w:lang w:eastAsia="ja-JP"/>
    </w:rPr>
  </w:style>
  <w:style w:type="paragraph" w:styleId="1257">
    <w:name w:val="Item Step in Table"/>
    <w:next w:val="1257"/>
    <w:link w:val="790"/>
    <w:qFormat/>
    <w:pPr>
      <w:ind w:left="397" w:hanging="397"/>
      <w:jc w:val="both"/>
      <w:spacing w:before="40" w:after="40"/>
      <w:tabs>
        <w:tab w:val="left" w:pos="397" w:leader="none"/>
      </w:tabs>
    </w:pPr>
    <w:rPr>
      <w:rFonts w:ascii="Arial" w:hAnsi="Arial" w:eastAsia="宋体" w:cs="Arial"/>
      <w:sz w:val="18"/>
      <w:szCs w:val="18"/>
    </w:rPr>
  </w:style>
  <w:style w:type="paragraph" w:styleId="1258">
    <w:name w:val="标题6"/>
    <w:basedOn w:val="796"/>
    <w:next w:val="1258"/>
    <w:link w:val="790"/>
    <w:qFormat/>
    <w:pPr>
      <w:numPr>
        <w:ilvl w:val="0"/>
        <w:numId w:val="0"/>
      </w:numPr>
      <w:keepLines w:val="0"/>
      <w:keepNext w:val="0"/>
      <w:spacing w:before="0" w:after="0" w:line="360" w:lineRule="auto"/>
      <w:tabs>
        <w:tab w:val="left" w:pos="0" w:leader="none"/>
      </w:tabs>
    </w:pPr>
    <w:rPr>
      <w:rFonts w:eastAsia="仿宋_GB2312"/>
      <w:b w:val="0"/>
      <w:sz w:val="30"/>
    </w:rPr>
  </w:style>
  <w:style w:type="paragraph" w:styleId="1259">
    <w:name w:val="Char5 Char Char Char Char Char Char1"/>
    <w:basedOn w:val="790"/>
    <w:next w:val="1259"/>
    <w:link w:val="790"/>
    <w:qFormat/>
    <w:rPr>
      <w:rFonts w:ascii="Tahoma" w:hAnsi="Tahoma"/>
      <w:sz w:val="24"/>
      <w:szCs w:val="20"/>
    </w:rPr>
  </w:style>
  <w:style w:type="paragraph" w:styleId="1260">
    <w:name w:val="font10"/>
    <w:basedOn w:val="790"/>
    <w:next w:val="1260"/>
    <w:link w:val="790"/>
    <w:qFormat/>
    <w:pPr>
      <w:jc w:val="left"/>
      <w:spacing w:before="100" w:beforeAutospacing="1" w:after="100" w:afterAutospacing="1"/>
      <w:widowControl/>
    </w:pPr>
    <w:rPr>
      <w:rFonts w:ascii="Tahoma" w:hAnsi="Tahoma" w:cs="Tahoma"/>
      <w:b/>
      <w:bCs/>
      <w:sz w:val="18"/>
      <w:szCs w:val="18"/>
    </w:rPr>
  </w:style>
  <w:style w:type="paragraph" w:styleId="1261">
    <w:name w:val="样式3"/>
    <w:basedOn w:val="833"/>
    <w:next w:val="1261"/>
    <w:link w:val="790"/>
    <w:qFormat/>
    <w:rPr>
      <w:rFonts w:cs="宋体"/>
    </w:rPr>
  </w:style>
  <w:style w:type="paragraph" w:styleId="1262">
    <w:name w:val="列表 31"/>
    <w:basedOn w:val="790"/>
    <w:next w:val="1262"/>
    <w:link w:val="790"/>
    <w:qFormat/>
    <w:pPr>
      <w:contextualSpacing/>
      <w:ind w:left="100" w:hanging="200"/>
    </w:pPr>
  </w:style>
  <w:style w:type="paragraph" w:styleId="1263">
    <w:name w:val="列出段落11"/>
    <w:basedOn w:val="790"/>
    <w:next w:val="1263"/>
    <w:link w:val="790"/>
    <w:uiPriority w:val="99"/>
    <w:qFormat/>
    <w:pPr>
      <w:ind w:firstLine="420"/>
    </w:pPr>
  </w:style>
  <w:style w:type="paragraph" w:styleId="1264">
    <w:name w:val="xl101"/>
    <w:basedOn w:val="790"/>
    <w:next w:val="1264"/>
    <w:link w:val="79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5">
    <w:name w:val="xl120"/>
    <w:basedOn w:val="790"/>
    <w:next w:val="1265"/>
    <w:link w:val="79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66">
    <w:name w:val="xl87"/>
    <w:basedOn w:val="790"/>
    <w:next w:val="1266"/>
    <w:link w:val="79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67">
    <w:name w:val="默认段落字体 Para Char Char Char Char Char Char Char Char Char1 Char Char Char Char Char Char Char"/>
    <w:basedOn w:val="817"/>
    <w:next w:val="1267"/>
    <w:link w:val="790"/>
    <w:qFormat/>
    <w:rPr>
      <w:rFonts w:ascii="Tahoma" w:hAnsi="Tahoma" w:cs="Tahoma"/>
      <w:sz w:val="24"/>
      <w:szCs w:val="24"/>
    </w:rPr>
  </w:style>
  <w:style w:type="paragraph" w:styleId="1268">
    <w:name w:val="xl111"/>
    <w:basedOn w:val="790"/>
    <w:next w:val="1268"/>
    <w:link w:val="79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69">
    <w:name w:val="xl121"/>
    <w:basedOn w:val="790"/>
    <w:next w:val="1269"/>
    <w:link w:val="79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70">
    <w:name w:val="五级标题"/>
    <w:basedOn w:val="1222"/>
    <w:next w:val="1270"/>
    <w:link w:val="790"/>
    <w:qFormat/>
    <w:pPr>
      <w:numPr>
        <w:ilvl w:val="4"/>
      </w:numPr>
      <w:ind w:right="278"/>
      <w:outlineLvl w:val="4"/>
    </w:pPr>
  </w:style>
  <w:style w:type="paragraph" w:styleId="1271">
    <w:name w:val="xl117"/>
    <w:basedOn w:val="790"/>
    <w:next w:val="1271"/>
    <w:link w:val="79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2">
    <w:name w:val="xl70"/>
    <w:basedOn w:val="790"/>
    <w:next w:val="1272"/>
    <w:link w:val="79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name w:val="图标"/>
    <w:basedOn w:val="790"/>
    <w:next w:val="790"/>
    <w:link w:val="79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4">
    <w:name w:val="Char Char Char Char Char Char Char"/>
    <w:basedOn w:val="790"/>
    <w:next w:val="1274"/>
    <w:link w:val="790"/>
    <w:qFormat/>
    <w:pPr>
      <w:ind w:left="432" w:hanging="432"/>
      <w:tabs>
        <w:tab w:val="left" w:pos="432" w:leader="none"/>
      </w:tabs>
    </w:pPr>
    <w:rPr>
      <w:rFonts w:ascii="Tahoma" w:hAnsi="Tahoma"/>
      <w:sz w:val="24"/>
      <w:szCs w:val="20"/>
    </w:rPr>
  </w:style>
  <w:style w:type="paragraph" w:styleId="1275">
    <w:name w:val="xl69"/>
    <w:basedOn w:val="790"/>
    <w:next w:val="1275"/>
    <w:link w:val="79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76">
    <w:name w:val="xl105"/>
    <w:basedOn w:val="790"/>
    <w:next w:val="1276"/>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77">
    <w:name w:val="标题9"/>
    <w:basedOn w:val="799"/>
    <w:next w:val="1277"/>
    <w:link w:val="790"/>
    <w:qFormat/>
    <w:pPr>
      <w:numPr>
        <w:ilvl w:val="0"/>
        <w:numId w:val="0"/>
      </w:numPr>
      <w:keepLines w:val="0"/>
      <w:keepNext w:val="0"/>
      <w:spacing w:before="0" w:after="0" w:line="360" w:lineRule="auto"/>
      <w:tabs>
        <w:tab w:val="left" w:pos="0" w:leader="none"/>
      </w:tabs>
    </w:pPr>
    <w:rPr>
      <w:rFonts w:eastAsia="仿宋_GB2312"/>
      <w:sz w:val="30"/>
    </w:rPr>
  </w:style>
  <w:style w:type="paragraph" w:styleId="1278">
    <w:name w:val="xl82"/>
    <w:basedOn w:val="790"/>
    <w:next w:val="1278"/>
    <w:link w:val="79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79">
    <w:name w:val="正文 A"/>
    <w:next w:val="1279"/>
    <w:link w:val="790"/>
    <w:qFormat/>
    <w:pPr>
      <w:jc w:val="both"/>
      <w:widowControl w:val="off"/>
    </w:pPr>
    <w:rPr>
      <w:rFonts w:ascii="Arial Unicode MS" w:hAnsi="Arial Unicode MS" w:eastAsia="Times New Roman" w:cs="Arial Unicode MS"/>
      <w:color w:val="000000"/>
      <w:sz w:val="21"/>
      <w:szCs w:val="21"/>
    </w:rPr>
  </w:style>
  <w:style w:type="paragraph" w:styleId="1280">
    <w:name w:val="xl116"/>
    <w:basedOn w:val="790"/>
    <w:next w:val="1280"/>
    <w:link w:val="79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281">
    <w:name w:val="Char Char"/>
    <w:basedOn w:val="790"/>
    <w:next w:val="1281"/>
    <w:link w:val="790"/>
    <w:qFormat/>
    <w:pPr>
      <w:ind w:left="360"/>
      <w:jc w:val="left"/>
      <w:spacing w:before="100" w:beforeAutospacing="1" w:after="100" w:afterAutospacing="1" w:line="360" w:lineRule="auto"/>
      <w:widowControl/>
    </w:pPr>
    <w:rPr>
      <w:szCs w:val="20"/>
    </w:rPr>
  </w:style>
  <w:style w:type="paragraph" w:styleId="1282">
    <w:name w:val="Char5 Char Char Char Char Char Char3"/>
    <w:basedOn w:val="790"/>
    <w:next w:val="1282"/>
    <w:link w:val="790"/>
    <w:qFormat/>
    <w:rPr>
      <w:rFonts w:ascii="Tahoma" w:hAnsi="Tahoma"/>
      <w:sz w:val="24"/>
      <w:szCs w:val="20"/>
    </w:rPr>
  </w:style>
  <w:style w:type="paragraph" w:styleId="1283">
    <w:name w:val="xl95"/>
    <w:basedOn w:val="790"/>
    <w:next w:val="1283"/>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84">
    <w:name w:val="font13"/>
    <w:basedOn w:val="790"/>
    <w:next w:val="1284"/>
    <w:link w:val="790"/>
    <w:qFormat/>
    <w:pPr>
      <w:jc w:val="left"/>
      <w:spacing w:before="100" w:beforeAutospacing="1" w:after="100" w:afterAutospacing="1"/>
      <w:widowControl/>
    </w:pPr>
    <w:rPr>
      <w:rFonts w:ascii="宋体" w:hAnsi="宋体" w:cs="宋体"/>
      <w:b/>
      <w:bCs/>
      <w:color w:val="000000"/>
      <w:sz w:val="28"/>
      <w:szCs w:val="28"/>
    </w:rPr>
  </w:style>
  <w:style w:type="paragraph" w:styleId="1285">
    <w:name w:val="纯文本2"/>
    <w:basedOn w:val="790"/>
    <w:next w:val="1285"/>
    <w:link w:val="790"/>
    <w:qFormat/>
    <w:rPr>
      <w:rFonts w:ascii="宋体" w:hAnsi="Courier New" w:eastAsia="楷体_GB2312"/>
      <w:sz w:val="26"/>
      <w:szCs w:val="20"/>
    </w:rPr>
  </w:style>
  <w:style w:type="paragraph" w:styleId="1286">
    <w:name w:val="p25"/>
    <w:basedOn w:val="790"/>
    <w:next w:val="1286"/>
    <w:link w:val="790"/>
    <w:qFormat/>
    <w:pPr>
      <w:jc w:val="left"/>
      <w:widowControl/>
    </w:pPr>
    <w:rPr>
      <w:rFonts w:ascii="宋体" w:hAnsi="宋体" w:cs="宋体"/>
      <w:sz w:val="26"/>
      <w:szCs w:val="26"/>
    </w:rPr>
  </w:style>
  <w:style w:type="paragraph" w:styleId="1287">
    <w:name w:val="indent-fix3"/>
    <w:basedOn w:val="790"/>
    <w:next w:val="1287"/>
    <w:link w:val="790"/>
    <w:qFormat/>
    <w:pPr>
      <w:jc w:val="left"/>
      <w:spacing w:before="100" w:beforeAutospacing="1" w:after="100" w:afterAutospacing="1"/>
      <w:widowControl/>
    </w:pPr>
    <w:rPr>
      <w:rFonts w:ascii="宋体" w:hAnsi="宋体" w:cs="宋体"/>
      <w:sz w:val="24"/>
    </w:rPr>
  </w:style>
  <w:style w:type="paragraph" w:styleId="1288">
    <w:name w:val="Char Char Char Char Char Char Char2"/>
    <w:basedOn w:val="790"/>
    <w:next w:val="1288"/>
    <w:link w:val="790"/>
    <w:qFormat/>
    <w:pPr>
      <w:ind w:left="432" w:hanging="432"/>
      <w:tabs>
        <w:tab w:val="left" w:pos="432" w:leader="none"/>
      </w:tabs>
    </w:pPr>
    <w:rPr>
      <w:rFonts w:ascii="Tahoma" w:hAnsi="Tahoma"/>
      <w:sz w:val="24"/>
      <w:szCs w:val="20"/>
    </w:rPr>
  </w:style>
  <w:style w:type="paragraph" w:styleId="1289">
    <w:name w:val="1 Char Char Char Char Char Char Char"/>
    <w:basedOn w:val="790"/>
    <w:next w:val="1289"/>
    <w:link w:val="790"/>
    <w:qFormat/>
    <w:pPr>
      <w:spacing w:line="360" w:lineRule="auto"/>
    </w:pPr>
    <w:rPr>
      <w:rFonts w:ascii="仿宋_GB2312" w:hAnsi="宋体" w:eastAsia="仿宋_GB2312" w:cs="宋体"/>
      <w:szCs w:val="21"/>
    </w:rPr>
  </w:style>
  <w:style w:type="paragraph" w:styleId="1290">
    <w:name w:val="样式2"/>
    <w:basedOn w:val="790"/>
    <w:next w:val="1290"/>
    <w:link w:val="790"/>
    <w:qFormat/>
    <w:pPr>
      <w:numPr>
        <w:ilvl w:val="0"/>
        <w:numId w:val="8"/>
      </w:numPr>
      <w:spacing w:line="288" w:lineRule="auto"/>
    </w:pPr>
  </w:style>
  <w:style w:type="paragraph" w:styleId="1291">
    <w:name w:val="Body Text(ch)"/>
    <w:basedOn w:val="790"/>
    <w:next w:val="824"/>
    <w:link w:val="790"/>
    <w:qFormat/>
    <w:pPr>
      <w:spacing w:after="120"/>
    </w:pPr>
    <w:rPr>
      <w:rFonts w:ascii="宋体" w:hAnsi="宋体" w:cs="宋体"/>
      <w:bCs/>
      <w:iCs/>
    </w:rPr>
  </w:style>
  <w:style w:type="paragraph" w:styleId="1292">
    <w:name w:val="正文格式"/>
    <w:basedOn w:val="790"/>
    <w:next w:val="1292"/>
    <w:link w:val="790"/>
    <w:qFormat/>
    <w:pPr>
      <w:ind w:firstLine="482"/>
      <w:spacing w:line="400" w:lineRule="exact"/>
      <w:widowControl/>
    </w:pPr>
    <w:rPr>
      <w:rFonts w:ascii="Arial" w:hAnsi="Arial" w:eastAsia="新宋体" w:cs="Arial"/>
      <w:sz w:val="24"/>
      <w:szCs w:val="20"/>
    </w:rPr>
  </w:style>
  <w:style w:type="paragraph" w:styleId="1293">
    <w:name w:val="xl119"/>
    <w:basedOn w:val="790"/>
    <w:next w:val="1293"/>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name w:val="1"/>
    <w:basedOn w:val="790"/>
    <w:next w:val="925"/>
    <w:link w:val="790"/>
    <w:uiPriority w:val="34"/>
    <w:qFormat/>
    <w:pPr>
      <w:ind w:firstLine="420"/>
    </w:pPr>
  </w:style>
  <w:style w:type="paragraph" w:styleId="1295">
    <w:name w:val="xl102"/>
    <w:basedOn w:val="790"/>
    <w:next w:val="1295"/>
    <w:link w:val="79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6">
    <w:name w:val="font7"/>
    <w:basedOn w:val="790"/>
    <w:next w:val="1296"/>
    <w:link w:val="790"/>
    <w:qFormat/>
    <w:pPr>
      <w:jc w:val="left"/>
      <w:spacing w:before="100" w:beforeAutospacing="1" w:after="100" w:afterAutospacing="1"/>
      <w:widowControl/>
    </w:pPr>
    <w:rPr>
      <w:rFonts w:ascii="宋体" w:hAnsi="宋体" w:cs="宋体"/>
      <w:sz w:val="18"/>
      <w:szCs w:val="18"/>
    </w:rPr>
  </w:style>
  <w:style w:type="paragraph" w:styleId="1297">
    <w:name w:val="font12"/>
    <w:basedOn w:val="790"/>
    <w:next w:val="1297"/>
    <w:link w:val="790"/>
    <w:qFormat/>
    <w:pPr>
      <w:jc w:val="left"/>
      <w:spacing w:before="100" w:beforeAutospacing="1" w:after="100" w:afterAutospacing="1"/>
      <w:widowControl/>
    </w:pPr>
    <w:rPr>
      <w:rFonts w:ascii="宋体" w:hAnsi="宋体" w:cs="宋体"/>
      <w:sz w:val="18"/>
      <w:szCs w:val="18"/>
    </w:rPr>
  </w:style>
  <w:style w:type="paragraph" w:styleId="1298">
    <w:name w:val="p0"/>
    <w:basedOn w:val="790"/>
    <w:next w:val="1298"/>
    <w:link w:val="790"/>
    <w:qFormat/>
    <w:pPr>
      <w:widowControl/>
    </w:pPr>
    <w:rPr>
      <w:rFonts w:cs="宋体"/>
      <w:szCs w:val="21"/>
    </w:rPr>
  </w:style>
  <w:style w:type="paragraph" w:styleId="1299">
    <w:name w:val="??"/>
    <w:next w:val="1299"/>
    <w:link w:val="790"/>
    <w:qFormat/>
    <w:pPr>
      <w:jc w:val="both"/>
      <w:widowControl w:val="off"/>
    </w:pPr>
    <w:rPr>
      <w:rFonts w:ascii="Times New Roman" w:hAnsi="Times New Roman" w:eastAsia="宋体" w:cs="Times New Roman"/>
      <w:sz w:val="21"/>
      <w:szCs w:val="28"/>
      <w:lang w:eastAsia="en-US"/>
    </w:rPr>
  </w:style>
  <w:style w:type="paragraph" w:styleId="1300">
    <w:name w:val="_Style 7"/>
    <w:basedOn w:val="790"/>
    <w:next w:val="1300"/>
    <w:link w:val="790"/>
    <w:uiPriority w:val="99"/>
    <w:qFormat/>
    <w:pPr>
      <w:ind w:firstLine="420"/>
    </w:pPr>
    <w:rPr>
      <w:szCs w:val="20"/>
    </w:rPr>
  </w:style>
  <w:style w:type="paragraph" w:styleId="1301">
    <w:name w:val="标书内容123"/>
    <w:basedOn w:val="790"/>
    <w:next w:val="1301"/>
    <w:link w:val="790"/>
    <w:uiPriority w:val="99"/>
    <w:qFormat/>
    <w:pPr>
      <w:ind w:left="432"/>
      <w:jc w:val="left"/>
      <w:spacing w:line="360" w:lineRule="auto"/>
      <w:widowControl/>
    </w:pPr>
    <w:rPr>
      <w:sz w:val="24"/>
    </w:rPr>
  </w:style>
  <w:style w:type="paragraph" w:styleId="1302">
    <w:name w:val="xl80"/>
    <w:basedOn w:val="790"/>
    <w:next w:val="1302"/>
    <w:link w:val="790"/>
    <w:qFormat/>
    <w:pPr>
      <w:jc w:val="center"/>
      <w:spacing w:before="100" w:beforeAutospacing="1" w:after="100" w:afterAutospacing="1"/>
      <w:widowControl/>
    </w:pPr>
    <w:rPr>
      <w:rFonts w:ascii="宋体" w:hAnsi="宋体" w:cs="宋体"/>
      <w:color w:val="000000"/>
      <w:sz w:val="24"/>
    </w:rPr>
  </w:style>
  <w:style w:type="paragraph" w:styleId="1303">
    <w:name w:val="文档正文"/>
    <w:basedOn w:val="790"/>
    <w:next w:val="1303"/>
    <w:link w:val="790"/>
    <w:qFormat/>
    <w:pPr>
      <w:ind w:firstLine="567"/>
      <w:spacing w:line="480" w:lineRule="atLeast"/>
    </w:pPr>
    <w:rPr>
      <w:rFonts w:ascii="仿宋_GB2312" w:eastAsia="仿宋_GB2312"/>
      <w:b/>
      <w:bCs/>
      <w:sz w:val="28"/>
      <w:szCs w:val="20"/>
    </w:rPr>
  </w:style>
  <w:style w:type="paragraph" w:styleId="1304">
    <w:name w:val="xl99"/>
    <w:basedOn w:val="790"/>
    <w:next w:val="1304"/>
    <w:link w:val="79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5">
    <w:name w:val="xl78"/>
    <w:basedOn w:val="790"/>
    <w:next w:val="1305"/>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6">
    <w:name w:val="xl68"/>
    <w:basedOn w:val="790"/>
    <w:next w:val="1306"/>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07">
    <w:name w:val="4"/>
    <w:basedOn w:val="790"/>
    <w:next w:val="856"/>
    <w:link w:val="790"/>
    <w:qFormat/>
    <w:pPr>
      <w:ind w:firstLine="420"/>
      <w:spacing w:line="360" w:lineRule="auto"/>
    </w:pPr>
    <w:rPr>
      <w:color w:val="ff0000"/>
      <w:sz w:val="24"/>
    </w:rPr>
  </w:style>
  <w:style w:type="paragraph" w:styleId="1308">
    <w:name w:val="xl29"/>
    <w:basedOn w:val="790"/>
    <w:next w:val="1308"/>
    <w:link w:val="79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309">
    <w:name w:val="列表内容"/>
    <w:basedOn w:val="790"/>
    <w:next w:val="790"/>
    <w:link w:val="790"/>
    <w:qFormat/>
    <w:pPr>
      <w:ind w:left="840" w:hanging="420"/>
      <w:jc w:val="left"/>
      <w:widowControl/>
      <w:tabs>
        <w:tab w:val="left" w:pos="840" w:leader="none"/>
      </w:tabs>
    </w:pPr>
    <w:rPr>
      <w:sz w:val="18"/>
    </w:rPr>
  </w:style>
  <w:style w:type="paragraph" w:styleId="1310">
    <w:name w:val="Char Char Char Char Char Char Char1"/>
    <w:basedOn w:val="790"/>
    <w:next w:val="1310"/>
    <w:link w:val="790"/>
    <w:qFormat/>
    <w:pPr>
      <w:ind w:left="432" w:hanging="432"/>
      <w:tabs>
        <w:tab w:val="left" w:pos="432" w:leader="none"/>
      </w:tabs>
    </w:pPr>
    <w:rPr>
      <w:rFonts w:ascii="Tahoma" w:hAnsi="Tahoma"/>
      <w:sz w:val="24"/>
      <w:szCs w:val="20"/>
    </w:rPr>
  </w:style>
  <w:style w:type="paragraph" w:styleId="1311">
    <w:name w:val="普通 (Web)"/>
    <w:basedOn w:val="790"/>
    <w:next w:val="1311"/>
    <w:link w:val="790"/>
    <w:qFormat/>
    <w:pPr>
      <w:jc w:val="left"/>
      <w:spacing w:before="100" w:beforeAutospacing="1" w:after="100" w:afterAutospacing="1"/>
      <w:widowControl/>
    </w:pPr>
    <w:rPr>
      <w:rFonts w:ascii="宋体" w:hAnsi="宋体" w:cs="宋体"/>
      <w:sz w:val="24"/>
    </w:rPr>
  </w:style>
  <w:style w:type="paragraph" w:styleId="1312">
    <w:name w:val="xl76"/>
    <w:basedOn w:val="790"/>
    <w:next w:val="1312"/>
    <w:link w:val="79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13">
    <w:name w:val="报告正文"/>
    <w:basedOn w:val="790"/>
    <w:next w:val="1313"/>
    <w:link w:val="790"/>
    <w:qFormat/>
    <w:pPr>
      <w:ind w:firstLine="567"/>
    </w:pPr>
    <w:rPr>
      <w:rFonts w:ascii="Arial Narrow" w:hAnsi="Arial Narrow" w:eastAsia="仿宋_GB2312"/>
      <w:sz w:val="28"/>
      <w:szCs w:val="20"/>
    </w:rPr>
  </w:style>
  <w:style w:type="paragraph" w:styleId="1314">
    <w:name w:val="标题8"/>
    <w:basedOn w:val="798"/>
    <w:next w:val="1314"/>
    <w:link w:val="790"/>
    <w:qFormat/>
    <w:pPr>
      <w:numPr>
        <w:ilvl w:val="0"/>
        <w:numId w:val="0"/>
      </w:numPr>
      <w:keepLines w:val="0"/>
      <w:keepNext w:val="0"/>
      <w:spacing w:before="0" w:after="0" w:line="360" w:lineRule="auto"/>
      <w:tabs>
        <w:tab w:val="left" w:pos="0" w:leader="none"/>
      </w:tabs>
    </w:pPr>
    <w:rPr>
      <w:rFonts w:eastAsia="仿宋_GB2312"/>
      <w:sz w:val="30"/>
    </w:rPr>
  </w:style>
  <w:style w:type="paragraph" w:styleId="1315">
    <w:name w:val="xl81"/>
    <w:basedOn w:val="790"/>
    <w:next w:val="1315"/>
    <w:link w:val="79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16">
    <w:name w:val="Body"/>
    <w:next w:val="1316"/>
    <w:link w:val="790"/>
    <w:qFormat/>
    <w:pPr>
      <w:spacing w:before="130" w:after="130" w:line="260" w:lineRule="exact"/>
    </w:pPr>
    <w:rPr>
      <w:rFonts w:ascii="Univers" w:hAnsi="Univers" w:eastAsia="宋体" w:cs="宋体"/>
      <w:color w:val="000000"/>
      <w:sz w:val="22"/>
      <w:szCs w:val="28"/>
      <w:lang w:eastAsia="en-US"/>
    </w:rPr>
  </w:style>
  <w:style w:type="paragraph" w:styleId="1317">
    <w:name w:val="列表 21"/>
    <w:basedOn w:val="790"/>
    <w:next w:val="1317"/>
    <w:link w:val="790"/>
    <w:qFormat/>
    <w:pPr>
      <w:contextualSpacing/>
      <w:ind w:left="100" w:hanging="200"/>
    </w:pPr>
  </w:style>
  <w:style w:type="paragraph" w:styleId="1318">
    <w:name w:val="列出段落111"/>
    <w:basedOn w:val="790"/>
    <w:next w:val="1318"/>
    <w:link w:val="790"/>
    <w:uiPriority w:val="72"/>
    <w:qFormat/>
    <w:pPr>
      <w:ind w:firstLine="420"/>
      <w:jc w:val="left"/>
      <w:widowControl/>
    </w:pPr>
    <w:rPr>
      <w:sz w:val="24"/>
      <w:szCs w:val="20"/>
    </w:rPr>
  </w:style>
  <w:style w:type="paragraph" w:styleId="1319">
    <w:name w:val="xl108"/>
    <w:basedOn w:val="790"/>
    <w:next w:val="1319"/>
    <w:link w:val="79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0">
    <w:name w:val="Char Char Char Char Char Char Char Char1"/>
    <w:basedOn w:val="790"/>
    <w:next w:val="1320"/>
    <w:link w:val="790"/>
    <w:qFormat/>
    <w:pPr>
      <w:jc w:val="left"/>
      <w:spacing w:after="160" w:line="240" w:lineRule="exact"/>
      <w:widowControl/>
    </w:pPr>
    <w:rPr>
      <w:rFonts w:ascii="Verdana" w:hAnsi="Verdana" w:cs="宋体"/>
      <w:sz w:val="20"/>
      <w:szCs w:val="20"/>
      <w:lang w:eastAsia="en-US"/>
    </w:rPr>
  </w:style>
  <w:style w:type="paragraph" w:styleId="1321">
    <w:name w:val="Char5 Char Char Char Char Char Char4"/>
    <w:basedOn w:val="790"/>
    <w:next w:val="1321"/>
    <w:link w:val="790"/>
    <w:qFormat/>
    <w:rPr>
      <w:rFonts w:ascii="Tahoma" w:hAnsi="Tahoma"/>
      <w:sz w:val="24"/>
      <w:szCs w:val="20"/>
    </w:rPr>
  </w:style>
  <w:style w:type="paragraph" w:styleId="1322">
    <w:name w:val="Normal_0"/>
    <w:next w:val="1323"/>
    <w:link w:val="790"/>
    <w:qFormat/>
    <w:pPr>
      <w:jc w:val="both"/>
      <w:widowControl w:val="off"/>
    </w:pPr>
    <w:rPr>
      <w:rFonts w:ascii="Times New Roman" w:hAnsi="Times New Roman" w:eastAsia="宋体" w:cs="Times New Roman"/>
      <w:sz w:val="21"/>
      <w:szCs w:val="24"/>
    </w:rPr>
  </w:style>
  <w:style w:type="paragraph" w:styleId="1323">
    <w:name w:val="首行缩进_0"/>
    <w:basedOn w:val="1322"/>
    <w:next w:val="1323"/>
    <w:link w:val="790"/>
    <w:qFormat/>
    <w:pPr>
      <w:ind w:firstLine="480"/>
      <w:jc w:val="left"/>
      <w:spacing w:line="360" w:lineRule="auto"/>
    </w:pPr>
    <w:rPr>
      <w:rFonts w:ascii="宋体" w:hAnsi="宋体"/>
      <w:sz w:val="24"/>
    </w:rPr>
  </w:style>
  <w:style w:type="paragraph" w:styleId="1324">
    <w:name w:val="Normal_1"/>
    <w:next w:val="1324"/>
    <w:link w:val="790"/>
    <w:qFormat/>
    <w:rPr>
      <w:rFonts w:ascii="Times New Roman" w:hAnsi="Times New Roman" w:eastAsia="Times New Roman" w:cs="Times New Roman"/>
      <w:sz w:val="24"/>
      <w:szCs w:val="24"/>
    </w:rPr>
  </w:style>
  <w:style w:type="paragraph" w:styleId="1325">
    <w:name w:val="Normal_2"/>
    <w:next w:val="1325"/>
    <w:link w:val="790"/>
    <w:qFormat/>
    <w:rPr>
      <w:rFonts w:ascii="Times New Roman" w:hAnsi="Times New Roman" w:eastAsia="Times New Roman" w:cs="Times New Roman"/>
      <w:sz w:val="24"/>
      <w:szCs w:val="24"/>
    </w:rPr>
  </w:style>
  <w:style w:type="paragraph" w:styleId="1326">
    <w:name w:val="Normal_3"/>
    <w:next w:val="1326"/>
    <w:link w:val="790"/>
    <w:qFormat/>
    <w:rPr>
      <w:rFonts w:ascii="Times New Roman" w:hAnsi="Times New Roman" w:eastAsia="Times New Roman" w:cs="Times New Roman"/>
      <w:sz w:val="24"/>
      <w:szCs w:val="24"/>
    </w:rPr>
  </w:style>
  <w:style w:type="paragraph" w:styleId="1327">
    <w:name w:val="Normal_4"/>
    <w:next w:val="1327"/>
    <w:link w:val="790"/>
    <w:qFormat/>
    <w:rPr>
      <w:rFonts w:ascii="Times New Roman" w:hAnsi="Times New Roman" w:eastAsia="Times New Roman" w:cs="Times New Roman"/>
      <w:sz w:val="24"/>
      <w:szCs w:val="24"/>
    </w:rPr>
  </w:style>
  <w:style w:type="paragraph" w:styleId="1328">
    <w:name w:val="Normal_5"/>
    <w:next w:val="1328"/>
    <w:link w:val="790"/>
    <w:qFormat/>
    <w:rPr>
      <w:rFonts w:ascii="Times New Roman" w:hAnsi="Times New Roman" w:eastAsia="Times New Roman" w:cs="Times New Roman"/>
      <w:sz w:val="24"/>
      <w:szCs w:val="24"/>
    </w:rPr>
  </w:style>
  <w:style w:type="paragraph" w:styleId="1329">
    <w:name w:val="Normal_6"/>
    <w:next w:val="1329"/>
    <w:link w:val="790"/>
    <w:qFormat/>
    <w:rPr>
      <w:rFonts w:ascii="Times New Roman" w:hAnsi="Times New Roman" w:eastAsia="Times New Roman" w:cs="Times New Roman"/>
      <w:sz w:val="24"/>
      <w:szCs w:val="24"/>
    </w:rPr>
  </w:style>
  <w:style w:type="paragraph" w:styleId="1330">
    <w:name w:val="Normal_7"/>
    <w:next w:val="1330"/>
    <w:link w:val="790"/>
    <w:qFormat/>
    <w:rPr>
      <w:rFonts w:ascii="Times New Roman" w:hAnsi="Times New Roman" w:eastAsia="Times New Roman" w:cs="Times New Roman"/>
      <w:sz w:val="24"/>
      <w:szCs w:val="24"/>
    </w:rPr>
  </w:style>
  <w:style w:type="paragraph" w:styleId="1331">
    <w:name w:val="Normal_8"/>
    <w:next w:val="1331"/>
    <w:link w:val="790"/>
    <w:qFormat/>
    <w:rPr>
      <w:rFonts w:ascii="Times New Roman" w:hAnsi="Times New Roman" w:eastAsia="Times New Roman" w:cs="Times New Roman"/>
      <w:sz w:val="24"/>
      <w:szCs w:val="24"/>
    </w:rPr>
  </w:style>
  <w:style w:type="paragraph" w:styleId="1332">
    <w:name w:val="Normal_9"/>
    <w:next w:val="1332"/>
    <w:link w:val="790"/>
    <w:qFormat/>
    <w:rPr>
      <w:rFonts w:ascii="Times New Roman" w:hAnsi="Times New Roman" w:eastAsia="Times New Roman" w:cs="Times New Roman"/>
      <w:sz w:val="24"/>
      <w:szCs w:val="24"/>
    </w:rPr>
  </w:style>
  <w:style w:type="paragraph" w:styleId="1333">
    <w:name w:val="Normal_10"/>
    <w:next w:val="1333"/>
    <w:link w:val="790"/>
    <w:qFormat/>
    <w:rPr>
      <w:rFonts w:ascii="Times New Roman" w:hAnsi="Times New Roman" w:eastAsia="Times New Roman" w:cs="Times New Roman"/>
      <w:sz w:val="24"/>
      <w:szCs w:val="24"/>
    </w:rPr>
  </w:style>
  <w:style w:type="paragraph" w:styleId="1334">
    <w:name w:val="Normal_11"/>
    <w:next w:val="1334"/>
    <w:link w:val="790"/>
    <w:qFormat/>
    <w:rPr>
      <w:rFonts w:ascii="Times New Roman" w:hAnsi="Times New Roman" w:eastAsia="Times New Roman" w:cs="Times New Roman"/>
      <w:sz w:val="24"/>
      <w:szCs w:val="24"/>
    </w:rPr>
  </w:style>
  <w:style w:type="paragraph" w:styleId="1335">
    <w:name w:val="Normal_12"/>
    <w:next w:val="1335"/>
    <w:link w:val="790"/>
    <w:qFormat/>
    <w:rPr>
      <w:rFonts w:ascii="Times New Roman" w:hAnsi="Times New Roman" w:eastAsia="Times New Roman" w:cs="Times New Roman"/>
      <w:sz w:val="24"/>
      <w:szCs w:val="24"/>
    </w:rPr>
  </w:style>
  <w:style w:type="paragraph" w:styleId="1336">
    <w:name w:val="Normal_13"/>
    <w:next w:val="1323"/>
    <w:link w:val="790"/>
    <w:qFormat/>
    <w:rPr>
      <w:rFonts w:ascii="Times New Roman" w:hAnsi="Times New Roman" w:eastAsia="Times New Roman" w:cs="Times New Roman"/>
      <w:sz w:val="24"/>
      <w:szCs w:val="24"/>
    </w:rPr>
  </w:style>
  <w:style w:type="paragraph" w:styleId="1337">
    <w:name w:val="Normal_14"/>
    <w:next w:val="1337"/>
    <w:link w:val="790"/>
    <w:qFormat/>
    <w:rPr>
      <w:rFonts w:ascii="Times New Roman" w:hAnsi="Times New Roman" w:eastAsia="Times New Roman" w:cs="Times New Roman"/>
      <w:sz w:val="24"/>
      <w:szCs w:val="24"/>
    </w:rPr>
  </w:style>
  <w:style w:type="paragraph" w:styleId="1338">
    <w:name w:val="Normal_15"/>
    <w:next w:val="1338"/>
    <w:link w:val="790"/>
    <w:qFormat/>
    <w:rPr>
      <w:rFonts w:ascii="Times New Roman" w:hAnsi="Times New Roman" w:eastAsia="Times New Roman" w:cs="Times New Roman"/>
      <w:sz w:val="24"/>
      <w:szCs w:val="24"/>
    </w:rPr>
  </w:style>
  <w:style w:type="paragraph" w:styleId="1339">
    <w:name w:val="Normal_16"/>
    <w:next w:val="1339"/>
    <w:link w:val="790"/>
    <w:qFormat/>
    <w:rPr>
      <w:rFonts w:ascii="Times New Roman" w:hAnsi="Times New Roman" w:eastAsia="Times New Roman" w:cs="Times New Roman"/>
      <w:sz w:val="24"/>
      <w:szCs w:val="24"/>
    </w:rPr>
  </w:style>
  <w:style w:type="paragraph" w:styleId="1340">
    <w:name w:val="Normal_0_0"/>
    <w:next w:val="1340"/>
    <w:link w:val="790"/>
    <w:qFormat/>
    <w:rPr>
      <w:rFonts w:ascii="Times New Roman" w:hAnsi="Times New Roman" w:eastAsia="Times New Roman" w:cs="Times New Roman"/>
      <w:sz w:val="24"/>
      <w:szCs w:val="24"/>
    </w:rPr>
  </w:style>
  <w:style w:type="paragraph" w:styleId="1341">
    <w:name w:val="Normal_1_0"/>
    <w:next w:val="1341"/>
    <w:link w:val="790"/>
    <w:qFormat/>
    <w:rPr>
      <w:rFonts w:ascii="Times New Roman" w:hAnsi="Times New Roman" w:eastAsia="Times New Roman" w:cs="Times New Roman"/>
      <w:sz w:val="24"/>
      <w:szCs w:val="24"/>
    </w:rPr>
  </w:style>
  <w:style w:type="paragraph" w:styleId="1342">
    <w:name w:val="Normal_0_1"/>
    <w:next w:val="1342"/>
    <w:link w:val="790"/>
    <w:qFormat/>
    <w:rPr>
      <w:rFonts w:ascii="Times New Roman" w:hAnsi="Times New Roman" w:eastAsia="Times New Roman" w:cs="Times New Roman"/>
      <w:sz w:val="24"/>
      <w:szCs w:val="24"/>
    </w:rPr>
  </w:style>
  <w:style w:type="paragraph" w:styleId="1343">
    <w:name w:val="Normal_0_0_0"/>
    <w:next w:val="1343"/>
    <w:link w:val="790"/>
    <w:qFormat/>
    <w:rPr>
      <w:rFonts w:ascii="Times New Roman" w:hAnsi="Times New Roman" w:eastAsia="Times New Roman" w:cs="Times New Roman"/>
      <w:sz w:val="24"/>
      <w:szCs w:val="24"/>
    </w:rPr>
  </w:style>
  <w:style w:type="paragraph" w:styleId="1344">
    <w:name w:val="Normal_1_1"/>
    <w:next w:val="1344"/>
    <w:link w:val="790"/>
    <w:qFormat/>
    <w:rPr>
      <w:rFonts w:ascii="Times New Roman" w:hAnsi="Times New Roman" w:eastAsia="Times New Roman" w:cs="Times New Roman"/>
      <w:sz w:val="24"/>
      <w:szCs w:val="24"/>
    </w:rPr>
  </w:style>
  <w:style w:type="paragraph" w:styleId="1345">
    <w:name w:val="Normal_2_0"/>
    <w:next w:val="1345"/>
    <w:link w:val="790"/>
    <w:qFormat/>
    <w:rPr>
      <w:rFonts w:ascii="Times New Roman" w:hAnsi="Times New Roman" w:eastAsia="Times New Roman" w:cs="Times New Roman"/>
      <w:sz w:val="24"/>
      <w:szCs w:val="24"/>
    </w:rPr>
  </w:style>
  <w:style w:type="paragraph" w:styleId="1346">
    <w:name w:val="Normal_4_0"/>
    <w:next w:val="1346"/>
    <w:link w:val="790"/>
    <w:qFormat/>
    <w:rPr>
      <w:rFonts w:ascii="Times New Roman" w:hAnsi="Times New Roman" w:eastAsia="Times New Roman" w:cs="Times New Roman"/>
      <w:sz w:val="24"/>
      <w:szCs w:val="24"/>
    </w:rPr>
  </w:style>
  <w:style w:type="paragraph" w:styleId="1347">
    <w:name w:val="Normal_5_0"/>
    <w:next w:val="1347"/>
    <w:link w:val="790"/>
    <w:qFormat/>
    <w:rPr>
      <w:rFonts w:ascii="Times New Roman" w:hAnsi="Times New Roman" w:eastAsia="Times New Roman" w:cs="Times New Roman"/>
      <w:sz w:val="24"/>
      <w:szCs w:val="24"/>
    </w:rPr>
  </w:style>
  <w:style w:type="paragraph" w:styleId="1348">
    <w:name w:val="Normal_6_0"/>
    <w:next w:val="1348"/>
    <w:link w:val="790"/>
    <w:qFormat/>
    <w:rPr>
      <w:rFonts w:ascii="Times New Roman" w:hAnsi="Times New Roman" w:eastAsia="Times New Roman" w:cs="Times New Roman"/>
      <w:sz w:val="24"/>
      <w:szCs w:val="24"/>
    </w:rPr>
  </w:style>
  <w:style w:type="paragraph" w:styleId="1349">
    <w:name w:val="Normal_0_2"/>
    <w:next w:val="1349"/>
    <w:link w:val="790"/>
    <w:qFormat/>
    <w:rPr>
      <w:rFonts w:ascii="Times New Roman" w:hAnsi="Times New Roman" w:eastAsia="Times New Roman" w:cs="Times New Roman"/>
      <w:sz w:val="24"/>
      <w:szCs w:val="24"/>
    </w:rPr>
  </w:style>
  <w:style w:type="paragraph" w:styleId="1350">
    <w:name w:val="Normal_0_3"/>
    <w:next w:val="1350"/>
    <w:link w:val="790"/>
    <w:qFormat/>
    <w:rPr>
      <w:rFonts w:ascii="Times New Roman" w:hAnsi="Times New Roman" w:eastAsia="Times New Roman" w:cs="Times New Roman"/>
      <w:sz w:val="24"/>
      <w:szCs w:val="24"/>
    </w:rPr>
  </w:style>
  <w:style w:type="paragraph" w:styleId="1351">
    <w:name w:val="Normal_17"/>
    <w:next w:val="1351"/>
    <w:link w:val="790"/>
    <w:qFormat/>
    <w:rPr>
      <w:rFonts w:ascii="Times New Roman" w:hAnsi="Times New Roman" w:eastAsia="Times New Roman" w:cs="Times New Roman"/>
      <w:sz w:val="24"/>
      <w:szCs w:val="24"/>
    </w:rPr>
  </w:style>
  <w:style w:type="paragraph" w:styleId="1352">
    <w:name w:val="Normal_18"/>
    <w:next w:val="1352"/>
    <w:link w:val="790"/>
    <w:qFormat/>
    <w:rPr>
      <w:rFonts w:ascii="Times New Roman" w:hAnsi="Times New Roman" w:eastAsia="Times New Roman" w:cs="Times New Roman"/>
      <w:sz w:val="24"/>
      <w:szCs w:val="24"/>
    </w:rPr>
  </w:style>
  <w:style w:type="paragraph" w:styleId="1353">
    <w:name w:val="Normal_0_4"/>
    <w:next w:val="1353"/>
    <w:link w:val="790"/>
    <w:qFormat/>
    <w:rPr>
      <w:rFonts w:ascii="Times New Roman" w:hAnsi="Times New Roman" w:eastAsia="Times New Roman" w:cs="Times New Roman"/>
      <w:sz w:val="24"/>
      <w:szCs w:val="24"/>
    </w:rPr>
  </w:style>
  <w:style w:type="paragraph" w:styleId="1354">
    <w:name w:val="Normal_1_2"/>
    <w:next w:val="1354"/>
    <w:link w:val="790"/>
    <w:qFormat/>
    <w:rPr>
      <w:rFonts w:ascii="Times New Roman" w:hAnsi="Times New Roman" w:eastAsia="Times New Roman" w:cs="Times New Roman"/>
      <w:sz w:val="24"/>
      <w:szCs w:val="24"/>
    </w:rPr>
  </w:style>
  <w:style w:type="paragraph" w:styleId="1355">
    <w:name w:val="Normal_2_1"/>
    <w:next w:val="1355"/>
    <w:link w:val="790"/>
    <w:qFormat/>
    <w:rPr>
      <w:rFonts w:ascii="Times New Roman" w:hAnsi="Times New Roman" w:eastAsia="Times New Roman" w:cs="Times New Roman"/>
      <w:sz w:val="24"/>
      <w:szCs w:val="24"/>
    </w:rPr>
  </w:style>
  <w:style w:type="paragraph" w:styleId="1356">
    <w:name w:val="Normal_3_0"/>
    <w:next w:val="1356"/>
    <w:link w:val="790"/>
    <w:qFormat/>
    <w:rPr>
      <w:rFonts w:ascii="Times New Roman" w:hAnsi="Times New Roman" w:eastAsia="Times New Roman" w:cs="Times New Roman"/>
      <w:sz w:val="24"/>
      <w:szCs w:val="24"/>
    </w:rPr>
  </w:style>
  <w:style w:type="paragraph" w:styleId="1357">
    <w:name w:val="Normal_4_1"/>
    <w:next w:val="1357"/>
    <w:link w:val="790"/>
    <w:qFormat/>
    <w:rPr>
      <w:rFonts w:ascii="Times New Roman" w:hAnsi="Times New Roman" w:eastAsia="Times New Roman" w:cs="Times New Roman"/>
      <w:sz w:val="24"/>
      <w:szCs w:val="24"/>
    </w:rPr>
  </w:style>
  <w:style w:type="paragraph" w:styleId="1358">
    <w:name w:val="Normal_5_1"/>
    <w:next w:val="1358"/>
    <w:link w:val="790"/>
    <w:qFormat/>
    <w:rPr>
      <w:rFonts w:ascii="Times New Roman" w:hAnsi="Times New Roman" w:eastAsia="Times New Roman" w:cs="Times New Roman"/>
      <w:sz w:val="24"/>
      <w:szCs w:val="24"/>
    </w:rPr>
  </w:style>
  <w:style w:type="paragraph" w:styleId="1359">
    <w:name w:val="Normal_6_1"/>
    <w:next w:val="1359"/>
    <w:link w:val="790"/>
    <w:qFormat/>
    <w:rPr>
      <w:rFonts w:ascii="Times New Roman" w:hAnsi="Times New Roman" w:eastAsia="Times New Roman" w:cs="Times New Roman"/>
      <w:sz w:val="24"/>
      <w:szCs w:val="24"/>
    </w:rPr>
  </w:style>
  <w:style w:type="paragraph" w:styleId="1360">
    <w:name w:val="Normal_7_0"/>
    <w:next w:val="1360"/>
    <w:link w:val="790"/>
    <w:qFormat/>
    <w:rPr>
      <w:rFonts w:ascii="Times New Roman" w:hAnsi="Times New Roman" w:eastAsia="Times New Roman" w:cs="Times New Roman"/>
      <w:sz w:val="24"/>
      <w:szCs w:val="24"/>
    </w:rPr>
  </w:style>
  <w:style w:type="paragraph" w:styleId="1361">
    <w:name w:val="Normal_8_0"/>
    <w:next w:val="1361"/>
    <w:link w:val="790"/>
    <w:qFormat/>
    <w:rPr>
      <w:rFonts w:ascii="Times New Roman" w:hAnsi="Times New Roman" w:eastAsia="Times New Roman" w:cs="Times New Roman"/>
      <w:sz w:val="24"/>
      <w:szCs w:val="24"/>
    </w:rPr>
  </w:style>
  <w:style w:type="paragraph" w:styleId="1362">
    <w:name w:val="Normal_9_0"/>
    <w:next w:val="1362"/>
    <w:link w:val="790"/>
    <w:qFormat/>
    <w:rPr>
      <w:rFonts w:ascii="Times New Roman" w:hAnsi="Times New Roman" w:eastAsia="Times New Roman" w:cs="Times New Roman"/>
      <w:sz w:val="24"/>
      <w:szCs w:val="24"/>
    </w:rPr>
  </w:style>
  <w:style w:type="paragraph" w:styleId="1363">
    <w:name w:val="Normal_10_0"/>
    <w:next w:val="1363"/>
    <w:link w:val="790"/>
    <w:qFormat/>
    <w:rPr>
      <w:rFonts w:ascii="Times New Roman" w:hAnsi="Times New Roman" w:eastAsia="Times New Roman" w:cs="Times New Roman"/>
      <w:sz w:val="24"/>
      <w:szCs w:val="24"/>
    </w:rPr>
  </w:style>
  <w:style w:type="paragraph" w:styleId="1364">
    <w:name w:val="Normal_11_0"/>
    <w:next w:val="1364"/>
    <w:link w:val="790"/>
    <w:qFormat/>
    <w:rPr>
      <w:rFonts w:ascii="Times New Roman" w:hAnsi="Times New Roman" w:eastAsia="Times New Roman" w:cs="Times New Roman"/>
      <w:sz w:val="24"/>
      <w:szCs w:val="24"/>
    </w:rPr>
  </w:style>
  <w:style w:type="paragraph" w:styleId="1365">
    <w:name w:val="Normal_12_0"/>
    <w:next w:val="1365"/>
    <w:link w:val="790"/>
    <w:qFormat/>
    <w:rPr>
      <w:rFonts w:ascii="Times New Roman" w:hAnsi="Times New Roman" w:eastAsia="Times New Roman" w:cs="Times New Roman"/>
      <w:sz w:val="24"/>
      <w:szCs w:val="24"/>
    </w:rPr>
  </w:style>
  <w:style w:type="paragraph" w:styleId="1366">
    <w:name w:val="正文_0"/>
    <w:next w:val="1366"/>
    <w:link w:val="790"/>
    <w:qFormat/>
    <w:pPr>
      <w:jc w:val="both"/>
      <w:widowControl w:val="off"/>
    </w:pPr>
    <w:rPr>
      <w:rFonts w:ascii="Calibri" w:hAnsi="Calibri" w:eastAsia="宋体" w:cs="Times New Roman"/>
      <w:sz w:val="21"/>
      <w:szCs w:val="22"/>
    </w:rPr>
  </w:style>
  <w:style w:type="paragraph" w:styleId="1367">
    <w:name w:val="Normal_13_0"/>
    <w:next w:val="1367"/>
    <w:link w:val="790"/>
    <w:qFormat/>
    <w:rPr>
      <w:rFonts w:ascii="Times New Roman" w:hAnsi="Times New Roman" w:eastAsia="Times New Roman" w:cs="Times New Roman"/>
      <w:sz w:val="24"/>
      <w:szCs w:val="24"/>
    </w:rPr>
  </w:style>
  <w:style w:type="paragraph" w:styleId="1368">
    <w:name w:val="Normal_14_0"/>
    <w:next w:val="1368"/>
    <w:link w:val="790"/>
    <w:qFormat/>
    <w:rPr>
      <w:rFonts w:ascii="Times New Roman" w:hAnsi="Times New Roman" w:eastAsia="Times New Roman" w:cs="Times New Roman"/>
      <w:sz w:val="24"/>
      <w:szCs w:val="24"/>
    </w:rPr>
  </w:style>
  <w:style w:type="paragraph" w:styleId="1369">
    <w:name w:val="Normal_15_0"/>
    <w:next w:val="1369"/>
    <w:link w:val="790"/>
    <w:qFormat/>
    <w:rPr>
      <w:rFonts w:ascii="Times New Roman" w:hAnsi="Times New Roman" w:eastAsia="Times New Roman" w:cs="Times New Roman"/>
      <w:sz w:val="24"/>
      <w:szCs w:val="24"/>
    </w:rPr>
  </w:style>
  <w:style w:type="paragraph" w:styleId="1370">
    <w:name w:val="Normal_16_0"/>
    <w:next w:val="1370"/>
    <w:link w:val="790"/>
    <w:qFormat/>
    <w:rPr>
      <w:rFonts w:ascii="Times New Roman" w:hAnsi="Times New Roman" w:eastAsia="Times New Roman" w:cs="Times New Roman"/>
      <w:sz w:val="24"/>
      <w:szCs w:val="24"/>
    </w:rPr>
  </w:style>
  <w:style w:type="paragraph" w:styleId="1371">
    <w:name w:val="Normal_17_0"/>
    <w:next w:val="1371"/>
    <w:link w:val="790"/>
    <w:qFormat/>
    <w:rPr>
      <w:rFonts w:ascii="Times New Roman" w:hAnsi="Times New Roman" w:eastAsia="Times New Roman" w:cs="Times New Roman"/>
      <w:sz w:val="24"/>
      <w:szCs w:val="24"/>
    </w:rPr>
  </w:style>
  <w:style w:type="paragraph" w:styleId="1372">
    <w:name w:val="Normal_18_0"/>
    <w:next w:val="1372"/>
    <w:link w:val="790"/>
    <w:qFormat/>
    <w:rPr>
      <w:rFonts w:ascii="Times New Roman" w:hAnsi="Times New Roman" w:eastAsia="Times New Roman" w:cs="Times New Roman"/>
      <w:sz w:val="24"/>
      <w:szCs w:val="24"/>
    </w:rPr>
  </w:style>
  <w:style w:type="paragraph" w:styleId="1373">
    <w:name w:val="Normal_19"/>
    <w:next w:val="1373"/>
    <w:link w:val="790"/>
    <w:qFormat/>
    <w:rPr>
      <w:rFonts w:ascii="Times New Roman" w:hAnsi="Times New Roman" w:eastAsia="Times New Roman" w:cs="Times New Roman"/>
      <w:sz w:val="24"/>
      <w:szCs w:val="24"/>
    </w:rPr>
  </w:style>
  <w:style w:type="paragraph" w:styleId="1374">
    <w:name w:val="Normal_20"/>
    <w:next w:val="1374"/>
    <w:link w:val="790"/>
    <w:qFormat/>
    <w:rPr>
      <w:rFonts w:ascii="Times New Roman" w:hAnsi="Times New Roman" w:eastAsia="Times New Roman" w:cs="Times New Roman"/>
      <w:sz w:val="24"/>
      <w:szCs w:val="24"/>
    </w:rPr>
  </w:style>
  <w:style w:type="paragraph" w:styleId="1375">
    <w:name w:val="Normal_22"/>
    <w:next w:val="1375"/>
    <w:link w:val="790"/>
    <w:qFormat/>
    <w:rPr>
      <w:rFonts w:ascii="Times New Roman" w:hAnsi="Times New Roman" w:eastAsia="Times New Roman" w:cs="Times New Roman"/>
      <w:sz w:val="24"/>
      <w:szCs w:val="24"/>
    </w:rPr>
  </w:style>
  <w:style w:type="paragraph" w:styleId="1376">
    <w:name w:val="Normal_23"/>
    <w:next w:val="1376"/>
    <w:link w:val="790"/>
    <w:qFormat/>
    <w:rPr>
      <w:rFonts w:ascii="Times New Roman" w:hAnsi="Times New Roman" w:eastAsia="Times New Roman" w:cs="Times New Roman"/>
      <w:sz w:val="24"/>
      <w:szCs w:val="24"/>
    </w:rPr>
  </w:style>
  <w:style w:type="paragraph" w:styleId="1377">
    <w:name w:val="Normal_24"/>
    <w:next w:val="1377"/>
    <w:link w:val="790"/>
    <w:qFormat/>
    <w:rPr>
      <w:rFonts w:ascii="Times New Roman" w:hAnsi="Times New Roman" w:eastAsia="Times New Roman" w:cs="Times New Roman"/>
      <w:sz w:val="24"/>
      <w:szCs w:val="24"/>
    </w:rPr>
  </w:style>
  <w:style w:type="paragraph" w:styleId="1378">
    <w:name w:val="Normal_25"/>
    <w:next w:val="1378"/>
    <w:link w:val="790"/>
    <w:qFormat/>
    <w:rPr>
      <w:rFonts w:ascii="Times New Roman" w:hAnsi="Times New Roman" w:eastAsia="Times New Roman" w:cs="Times New Roman"/>
      <w:sz w:val="24"/>
      <w:szCs w:val="24"/>
    </w:rPr>
  </w:style>
  <w:style w:type="paragraph" w:styleId="1379">
    <w:name w:val="Normal_26"/>
    <w:next w:val="1379"/>
    <w:link w:val="790"/>
    <w:qFormat/>
    <w:rPr>
      <w:rFonts w:ascii="Times New Roman" w:hAnsi="Times New Roman" w:eastAsia="Times New Roman" w:cs="Times New Roman"/>
      <w:sz w:val="24"/>
      <w:szCs w:val="24"/>
    </w:rPr>
  </w:style>
  <w:style w:type="paragraph" w:styleId="1380">
    <w:name w:val="正文_0_0"/>
    <w:next w:val="1381"/>
    <w:link w:val="790"/>
    <w:qFormat/>
    <w:pPr>
      <w:jc w:val="both"/>
      <w:widowControl w:val="off"/>
    </w:pPr>
    <w:rPr>
      <w:rFonts w:ascii="Calibri" w:hAnsi="Calibri" w:eastAsia="宋体" w:cs="Times New Roman"/>
      <w:sz w:val="21"/>
      <w:szCs w:val="22"/>
    </w:rPr>
  </w:style>
  <w:style w:type="paragraph" w:styleId="1381">
    <w:name w:val="正文文本_0"/>
    <w:basedOn w:val="1382"/>
    <w:next w:val="1381"/>
    <w:link w:val="790"/>
    <w:qFormat/>
    <w:pPr>
      <w:spacing w:line="400" w:lineRule="exact"/>
    </w:pPr>
    <w:rPr>
      <w:sz w:val="24"/>
    </w:rPr>
  </w:style>
  <w:style w:type="paragraph" w:styleId="1382">
    <w:name w:val="正文_1"/>
    <w:next w:val="1381"/>
    <w:link w:val="790"/>
    <w:qFormat/>
    <w:pPr>
      <w:jc w:val="both"/>
      <w:widowControl w:val="off"/>
    </w:pPr>
    <w:rPr>
      <w:rFonts w:ascii="Times New Roman" w:hAnsi="Times New Roman" w:eastAsia="宋体" w:cs="Times New Roman"/>
      <w:sz w:val="21"/>
    </w:rPr>
  </w:style>
  <w:style w:type="paragraph" w:styleId="1383">
    <w:name w:val="Normal_27"/>
    <w:next w:val="1383"/>
    <w:link w:val="790"/>
    <w:qFormat/>
    <w:rPr>
      <w:rFonts w:ascii="Times New Roman" w:hAnsi="Times New Roman" w:eastAsia="Times New Roman" w:cs="Times New Roman"/>
      <w:sz w:val="24"/>
      <w:szCs w:val="24"/>
    </w:rPr>
  </w:style>
  <w:style w:type="paragraph" w:styleId="1384">
    <w:name w:val="Normal_28"/>
    <w:next w:val="1384"/>
    <w:link w:val="790"/>
    <w:qFormat/>
    <w:rPr>
      <w:rFonts w:ascii="Times New Roman" w:hAnsi="Times New Roman" w:eastAsia="Times New Roman" w:cs="Times New Roman"/>
      <w:sz w:val="24"/>
      <w:szCs w:val="24"/>
    </w:rPr>
  </w:style>
  <w:style w:type="paragraph" w:styleId="1385">
    <w:name w:val="Normal_29"/>
    <w:next w:val="1385"/>
    <w:link w:val="790"/>
    <w:qFormat/>
    <w:rPr>
      <w:rFonts w:ascii="Times New Roman" w:hAnsi="Times New Roman" w:eastAsia="Times New Roman" w:cs="Times New Roman"/>
      <w:sz w:val="24"/>
      <w:szCs w:val="24"/>
    </w:rPr>
  </w:style>
  <w:style w:type="paragraph" w:styleId="1386">
    <w:name w:val="Normal_30"/>
    <w:next w:val="1386"/>
    <w:link w:val="790"/>
    <w:qFormat/>
    <w:rPr>
      <w:rFonts w:ascii="Times New Roman" w:hAnsi="Times New Roman" w:eastAsia="Times New Roman" w:cs="Times New Roman"/>
      <w:sz w:val="24"/>
      <w:szCs w:val="24"/>
    </w:rPr>
  </w:style>
  <w:style w:type="paragraph" w:styleId="1387">
    <w:name w:val="Normal_31"/>
    <w:next w:val="1387"/>
    <w:link w:val="790"/>
    <w:qFormat/>
    <w:rPr>
      <w:rFonts w:ascii="Times New Roman" w:hAnsi="Times New Roman" w:eastAsia="Times New Roman" w:cs="Times New Roman"/>
      <w:sz w:val="24"/>
      <w:szCs w:val="24"/>
    </w:rPr>
  </w:style>
  <w:style w:type="paragraph" w:styleId="1388">
    <w:name w:val="正文_2"/>
    <w:next w:val="1389"/>
    <w:link w:val="790"/>
    <w:qFormat/>
    <w:pPr>
      <w:jc w:val="both"/>
      <w:widowControl w:val="off"/>
    </w:pPr>
    <w:rPr>
      <w:rFonts w:ascii="Times New Roman" w:hAnsi="Times New Roman" w:eastAsia="宋体" w:cs="Times New Roman"/>
      <w:sz w:val="21"/>
    </w:rPr>
  </w:style>
  <w:style w:type="paragraph" w:styleId="1389">
    <w:name w:val="正文文本_0_0"/>
    <w:basedOn w:val="1388"/>
    <w:next w:val="1389"/>
    <w:link w:val="790"/>
    <w:qFormat/>
    <w:pPr>
      <w:spacing w:line="400" w:lineRule="exact"/>
    </w:pPr>
    <w:rPr>
      <w:sz w:val="24"/>
    </w:rPr>
  </w:style>
  <w:style w:type="paragraph" w:styleId="1390">
    <w:name w:val="Normal_32"/>
    <w:next w:val="1390"/>
    <w:link w:val="790"/>
    <w:qFormat/>
    <w:rPr>
      <w:rFonts w:ascii="Times New Roman" w:hAnsi="Times New Roman" w:eastAsia="Times New Roman" w:cs="Times New Roman"/>
      <w:sz w:val="24"/>
      <w:szCs w:val="24"/>
    </w:rPr>
  </w:style>
  <w:style w:type="paragraph" w:styleId="1391">
    <w:name w:val="Normal_33"/>
    <w:next w:val="1391"/>
    <w:link w:val="790"/>
    <w:qFormat/>
    <w:rPr>
      <w:rFonts w:ascii="Times New Roman" w:hAnsi="Times New Roman" w:eastAsia="Times New Roman" w:cs="Times New Roman"/>
      <w:sz w:val="24"/>
      <w:szCs w:val="24"/>
    </w:rPr>
  </w:style>
  <w:style w:type="paragraph" w:styleId="1392">
    <w:name w:val="Normal_34"/>
    <w:next w:val="1392"/>
    <w:link w:val="790"/>
    <w:qFormat/>
    <w:rPr>
      <w:rFonts w:ascii="Times New Roman" w:hAnsi="Times New Roman" w:eastAsia="Times New Roman" w:cs="Times New Roman"/>
      <w:sz w:val="24"/>
      <w:szCs w:val="24"/>
    </w:rPr>
  </w:style>
  <w:style w:type="paragraph" w:styleId="1393">
    <w:name w:val="Normal_35"/>
    <w:next w:val="1393"/>
    <w:link w:val="790"/>
    <w:qFormat/>
    <w:rPr>
      <w:rFonts w:ascii="Times New Roman" w:hAnsi="Times New Roman" w:eastAsia="Times New Roman" w:cs="Times New Roman"/>
      <w:sz w:val="24"/>
      <w:szCs w:val="24"/>
    </w:rPr>
  </w:style>
  <w:style w:type="paragraph" w:styleId="1394">
    <w:name w:val="Normal_36"/>
    <w:next w:val="1394"/>
    <w:link w:val="790"/>
    <w:qFormat/>
    <w:rPr>
      <w:rFonts w:ascii="Times New Roman" w:hAnsi="Times New Roman" w:eastAsia="Times New Roman" w:cs="Times New Roman"/>
      <w:sz w:val="24"/>
      <w:szCs w:val="24"/>
    </w:rPr>
  </w:style>
  <w:style w:type="paragraph" w:styleId="1395">
    <w:name w:val="Normal_37"/>
    <w:next w:val="1395"/>
    <w:link w:val="790"/>
    <w:qFormat/>
    <w:rPr>
      <w:rFonts w:ascii="Times New Roman" w:hAnsi="Times New Roman" w:eastAsia="Times New Roman" w:cs="Times New Roman"/>
      <w:sz w:val="24"/>
      <w:szCs w:val="24"/>
    </w:rPr>
  </w:style>
  <w:style w:type="paragraph" w:styleId="1396">
    <w:name w:val="Normal_38"/>
    <w:next w:val="1396"/>
    <w:link w:val="790"/>
    <w:qFormat/>
    <w:rPr>
      <w:rFonts w:ascii="Times New Roman" w:hAnsi="Times New Roman" w:eastAsia="Times New Roman" w:cs="Times New Roman"/>
      <w:sz w:val="24"/>
      <w:szCs w:val="24"/>
    </w:rPr>
  </w:style>
  <w:style w:type="paragraph" w:styleId="1397">
    <w:name w:val="Normal_39"/>
    <w:next w:val="1397"/>
    <w:link w:val="790"/>
    <w:qFormat/>
    <w:rPr>
      <w:rFonts w:ascii="Times New Roman" w:hAnsi="Times New Roman" w:eastAsia="Times New Roman" w:cs="Times New Roman"/>
      <w:sz w:val="24"/>
      <w:szCs w:val="24"/>
    </w:rPr>
  </w:style>
  <w:style w:type="paragraph" w:styleId="1398">
    <w:name w:val="Normal_40"/>
    <w:next w:val="1398"/>
    <w:link w:val="790"/>
    <w:qFormat/>
    <w:rPr>
      <w:rFonts w:ascii="Times New Roman" w:hAnsi="Times New Roman" w:eastAsia="Times New Roman" w:cs="Times New Roman"/>
      <w:sz w:val="24"/>
      <w:szCs w:val="24"/>
    </w:rPr>
  </w:style>
  <w:style w:type="paragraph" w:styleId="1399">
    <w:name w:val="Normal_21"/>
    <w:next w:val="1399"/>
    <w:link w:val="790"/>
    <w:qFormat/>
    <w:rPr>
      <w:rFonts w:ascii="Times New Roman" w:hAnsi="Times New Roman" w:eastAsia="Times New Roman" w:cs="Times New Roman"/>
      <w:sz w:val="24"/>
      <w:szCs w:val="24"/>
    </w:rPr>
  </w:style>
  <w:style w:type="paragraph" w:styleId="1400">
    <w:name w:val="Normal_43"/>
    <w:next w:val="1400"/>
    <w:link w:val="790"/>
    <w:qFormat/>
    <w:rPr>
      <w:rFonts w:ascii="Times New Roman" w:hAnsi="Times New Roman" w:eastAsia="Times New Roman" w:cs="Times New Roman"/>
      <w:sz w:val="24"/>
      <w:szCs w:val="24"/>
    </w:rPr>
  </w:style>
  <w:style w:type="paragraph" w:styleId="1401">
    <w:name w:val="Normal_41"/>
    <w:next w:val="1401"/>
    <w:link w:val="790"/>
    <w:qFormat/>
    <w:rPr>
      <w:rFonts w:ascii="Times New Roman" w:hAnsi="Times New Roman" w:eastAsia="Times New Roman" w:cs="Times New Roman"/>
      <w:sz w:val="24"/>
      <w:szCs w:val="24"/>
    </w:rPr>
  </w:style>
  <w:style w:type="paragraph" w:styleId="1402">
    <w:name w:val="Normal_42"/>
    <w:next w:val="1402"/>
    <w:link w:val="790"/>
    <w:qFormat/>
    <w:rPr>
      <w:rFonts w:ascii="Times New Roman" w:hAnsi="Times New Roman" w:eastAsia="Times New Roman" w:cs="Times New Roman"/>
      <w:sz w:val="24"/>
      <w:szCs w:val="24"/>
    </w:rPr>
  </w:style>
  <w:style w:type="paragraph" w:styleId="1403">
    <w:name w:val="Normal_44"/>
    <w:next w:val="1403"/>
    <w:link w:val="790"/>
    <w:qFormat/>
    <w:rPr>
      <w:rFonts w:ascii="Times New Roman" w:hAnsi="Times New Roman" w:eastAsia="Times New Roman" w:cs="Times New Roman"/>
      <w:sz w:val="24"/>
      <w:szCs w:val="24"/>
    </w:rPr>
  </w:style>
  <w:style w:type="paragraph" w:styleId="1404">
    <w:name w:val="Normal_45"/>
    <w:next w:val="1404"/>
    <w:link w:val="790"/>
    <w:qFormat/>
    <w:rPr>
      <w:rFonts w:ascii="Times New Roman" w:hAnsi="Times New Roman" w:eastAsia="Times New Roman" w:cs="Times New Roman"/>
      <w:sz w:val="24"/>
      <w:szCs w:val="24"/>
    </w:rPr>
  </w:style>
  <w:style w:type="paragraph" w:styleId="1405">
    <w:name w:val="正文文本_1"/>
    <w:next w:val="1405"/>
    <w:link w:val="790"/>
    <w:qFormat/>
    <w:pPr>
      <w:jc w:val="both"/>
      <w:spacing w:line="400" w:lineRule="exact"/>
      <w:widowControl w:val="off"/>
    </w:pPr>
    <w:rPr>
      <w:rFonts w:ascii="Times New Roman" w:hAnsi="Times New Roman" w:eastAsia="宋体" w:cs="Times New Roman"/>
      <w:sz w:val="24"/>
    </w:rPr>
  </w:style>
  <w:style w:type="paragraph" w:styleId="1406">
    <w:name w:val="Normal_46"/>
    <w:next w:val="1406"/>
    <w:link w:val="790"/>
    <w:qFormat/>
    <w:rPr>
      <w:rFonts w:ascii="Times New Roman" w:hAnsi="Times New Roman" w:eastAsia="Times New Roman" w:cs="Times New Roman"/>
      <w:sz w:val="24"/>
      <w:szCs w:val="24"/>
    </w:rPr>
  </w:style>
  <w:style w:type="paragraph" w:styleId="1407">
    <w:name w:val="Normal_0_1_0"/>
    <w:next w:val="1407"/>
    <w:link w:val="790"/>
    <w:qFormat/>
    <w:rPr>
      <w:rFonts w:ascii="Times New Roman" w:hAnsi="Times New Roman" w:eastAsia="Times New Roman" w:cs="Times New Roman"/>
      <w:sz w:val="24"/>
      <w:szCs w:val="24"/>
    </w:rPr>
  </w:style>
  <w:style w:type="paragraph" w:styleId="1408">
    <w:name w:val="Normal_0_0_1"/>
    <w:next w:val="1408"/>
    <w:link w:val="790"/>
    <w:qFormat/>
    <w:rPr>
      <w:rFonts w:ascii="Times New Roman" w:hAnsi="Times New Roman" w:eastAsia="Times New Roman" w:cs="Times New Roman"/>
      <w:sz w:val="24"/>
      <w:szCs w:val="24"/>
    </w:rPr>
  </w:style>
  <w:style w:type="paragraph" w:styleId="1409">
    <w:name w:val="Normal_1_0_0"/>
    <w:next w:val="1409"/>
    <w:link w:val="790"/>
    <w:qFormat/>
    <w:rPr>
      <w:rFonts w:ascii="Times New Roman" w:hAnsi="Times New Roman" w:eastAsia="Times New Roman" w:cs="Times New Roman"/>
      <w:sz w:val="24"/>
      <w:szCs w:val="24"/>
    </w:rPr>
  </w:style>
  <w:style w:type="paragraph" w:styleId="1410">
    <w:name w:val="Normal_0_0_2"/>
    <w:next w:val="1410"/>
    <w:link w:val="790"/>
    <w:qFormat/>
    <w:rPr>
      <w:rFonts w:ascii="Times New Roman" w:hAnsi="Times New Roman" w:eastAsia="Times New Roman" w:cs="Times New Roman"/>
      <w:sz w:val="24"/>
      <w:szCs w:val="24"/>
    </w:rPr>
  </w:style>
  <w:style w:type="paragraph" w:styleId="1411">
    <w:name w:val="p0_0"/>
    <w:basedOn w:val="1322"/>
    <w:next w:val="1411"/>
    <w:link w:val="790"/>
    <w:qFormat/>
    <w:pPr>
      <w:ind w:firstLine="200"/>
      <w:spacing w:line="440" w:lineRule="exact"/>
      <w:widowControl/>
    </w:pPr>
    <w:rPr>
      <w:szCs w:val="21"/>
    </w:rPr>
  </w:style>
  <w:style w:type="character" w:styleId="1412">
    <w:name w:val="15"/>
    <w:next w:val="1412"/>
    <w:link w:val="790"/>
    <w:qFormat/>
    <w:rPr>
      <w:rFonts w:hint="eastAsia" w:ascii="等线" w:hAnsi="等线" w:eastAsia="等线"/>
      <w:sz w:val="24"/>
      <w:szCs w:val="24"/>
    </w:rPr>
  </w:style>
  <w:style w:type="character" w:styleId="1413">
    <w:name w:val="16"/>
    <w:next w:val="1413"/>
    <w:link w:val="790"/>
    <w:qFormat/>
    <w:rPr>
      <w:rFonts w:hint="eastAsia" w:ascii="等线" w:hAnsi="等线" w:eastAsia="等线"/>
      <w:sz w:val="21"/>
      <w:szCs w:val="21"/>
    </w:rPr>
  </w:style>
  <w:style w:type="paragraph" w:styleId="1414">
    <w:name w:val="修订2"/>
    <w:next w:val="1414"/>
    <w:link w:val="790"/>
    <w:uiPriority w:val="99"/>
    <w:unhideWhenUsed/>
    <w:qFormat/>
    <w:rPr>
      <w:rFonts w:ascii="Calibri" w:hAnsi="Calibri" w:eastAsia="宋体" w:cs="Times New Roman"/>
      <w:sz w:val="21"/>
      <w:szCs w:val="22"/>
    </w:rPr>
  </w:style>
  <w:style w:type="character" w:styleId="1415">
    <w:name w:val="htd01"/>
    <w:next w:val="1415"/>
    <w:link w:val="790"/>
    <w:qFormat/>
    <w:rPr>
      <w:rFonts w:cs="Times New Roman"/>
    </w:rPr>
  </w:style>
  <w:style w:type="paragraph" w:styleId="1416">
    <w:name w:val="修订3"/>
    <w:next w:val="1416"/>
    <w:link w:val="790"/>
    <w:uiPriority w:val="99"/>
    <w:unhideWhenUsed/>
    <w:qFormat/>
    <w:rPr>
      <w:rFonts w:ascii="Calibri" w:hAnsi="Calibri" w:eastAsia="宋体" w:cs="Times New Roman"/>
      <w:sz w:val="21"/>
      <w:szCs w:val="22"/>
    </w:rPr>
  </w:style>
  <w:style w:type="character" w:styleId="1417">
    <w:name w:val="10"/>
    <w:next w:val="1417"/>
    <w:link w:val="790"/>
    <w:qFormat/>
    <w:rPr>
      <w:rFonts w:ascii="Times New Roman" w:hAnsi="Times New Roman" w:cs="Times New Roman"/>
    </w:rPr>
  </w:style>
  <w:style w:type="paragraph" w:styleId="1418">
    <w:name w:val="修订4"/>
    <w:next w:val="1418"/>
    <w:link w:val="790"/>
    <w:uiPriority w:val="99"/>
    <w:unhideWhenUsed/>
    <w:qFormat/>
    <w:rPr>
      <w:rFonts w:ascii="Calibri" w:hAnsi="Calibri" w:eastAsia="宋体" w:cs="Times New Roman"/>
      <w:sz w:val="21"/>
      <w:szCs w:val="22"/>
    </w:rPr>
  </w:style>
  <w:style w:type="character" w:styleId="1419">
    <w:name w:val="cf01"/>
    <w:next w:val="1419"/>
    <w:link w:val="790"/>
    <w:qFormat/>
    <w:rPr>
      <w:rFonts w:hint="eastAsia" w:ascii="Microsoft YaHei UI" w:hAnsi="Microsoft YaHei UI" w:eastAsia="Microsoft YaHei UI"/>
      <w:sz w:val="18"/>
      <w:szCs w:val="18"/>
    </w:rPr>
  </w:style>
  <w:style w:type="paragraph" w:styleId="1420">
    <w:name w:val="修订5"/>
    <w:next w:val="1420"/>
    <w:link w:val="790"/>
    <w:uiPriority w:val="99"/>
    <w:unhideWhenUsed/>
    <w:qFormat/>
    <w:rPr>
      <w:rFonts w:ascii="Calibri" w:hAnsi="Calibri" w:eastAsia="宋体" w:cs="Times New Roman"/>
      <w:sz w:val="21"/>
      <w:szCs w:val="22"/>
    </w:rPr>
  </w:style>
  <w:style w:type="paragraph" w:styleId="1421">
    <w:name w:val="修订6"/>
    <w:next w:val="1421"/>
    <w:link w:val="790"/>
    <w:uiPriority w:val="99"/>
    <w:semiHidden/>
    <w:qFormat/>
    <w:rPr>
      <w:rFonts w:ascii="Calibri" w:hAnsi="Calibri" w:eastAsia="宋体" w:cs="Times New Roman"/>
      <w:sz w:val="21"/>
      <w:szCs w:val="22"/>
    </w:rPr>
  </w:style>
  <w:style w:type="character" w:styleId="1422">
    <w:name w:val="默认段落字体11"/>
    <w:next w:val="1422"/>
    <w:link w:val="790"/>
    <w:uiPriority w:val="1"/>
    <w:unhideWhenUsed/>
    <w:qFormat/>
    <w:rPr>
      <w:rFonts w:ascii="Calibri" w:hAnsi="Calibri" w:eastAsia="宋体" w:cs="Times New Roman"/>
      <w:sz w:val="21"/>
      <w:szCs w:val="22"/>
    </w:rPr>
  </w:style>
  <w:style w:type="character" w:styleId="1423">
    <w:name w:val="明显强调1"/>
    <w:next w:val="1423"/>
    <w:link w:val="790"/>
    <w:uiPriority w:val="21"/>
    <w:qFormat/>
    <w:rPr>
      <w:i/>
      <w:iCs/>
      <w:color w:val="366091"/>
    </w:rPr>
  </w:style>
  <w:style w:type="character" w:styleId="1424">
    <w:name w:val="明显参考1"/>
    <w:next w:val="1424"/>
    <w:link w:val="790"/>
    <w:uiPriority w:val="32"/>
    <w:qFormat/>
    <w:rPr>
      <w:b/>
      <w:bCs/>
      <w:smallCaps/>
      <w:color w:val="366091"/>
      <w:spacing w:val="5"/>
    </w:rPr>
  </w:style>
  <w:style w:type="paragraph" w:styleId="1425">
    <w:name w:val="修订7"/>
    <w:next w:val="1425"/>
    <w:link w:val="790"/>
    <w:uiPriority w:val="99"/>
    <w:unhideWhenUsed/>
    <w:qFormat/>
    <w:rPr>
      <w:rFonts w:ascii="Calibri" w:hAnsi="Calibri" w:eastAsia="宋体" w:cs="Times New Roman"/>
      <w:sz w:val="21"/>
      <w:szCs w:val="22"/>
    </w:rPr>
  </w:style>
  <w:style w:type="character" w:styleId="1426">
    <w:name w:val="未处理的提及1"/>
    <w:next w:val="1426"/>
    <w:link w:val="790"/>
    <w:uiPriority w:val="99"/>
    <w:unhideWhenUsed/>
    <w:qFormat/>
    <w:rPr>
      <w:color w:val="605e5c"/>
      <w:shd w:val="clear" w:color="auto" w:fill="e1dfdd"/>
    </w:rPr>
  </w:style>
  <w:style w:type="paragraph" w:styleId="1427">
    <w:name w:val="修订8"/>
    <w:next w:val="1427"/>
    <w:link w:val="790"/>
    <w:uiPriority w:val="99"/>
    <w:unhideWhenUsed/>
    <w:qFormat/>
    <w:rPr>
      <w:rFonts w:ascii="Calibri" w:hAnsi="Calibri" w:eastAsia="宋体" w:cs="Times New Roman"/>
      <w:sz w:val="21"/>
      <w:szCs w:val="22"/>
    </w:rPr>
  </w:style>
  <w:style w:type="character" w:styleId="1428">
    <w:name w:val="未处理的提及2"/>
    <w:basedOn w:val="800"/>
    <w:next w:val="1428"/>
    <w:link w:val="790"/>
    <w:uiPriority w:val="99"/>
    <w:unhideWhenUsed/>
    <w:qFormat/>
    <w:rPr>
      <w:color w:val="605e5c"/>
      <w:shd w:val="clear" w:color="auto" w:fill="e1dfdd"/>
    </w:rPr>
  </w:style>
  <w:style w:type="paragraph" w:styleId="1429">
    <w:name w:val="Normal_2_2"/>
    <w:next w:val="1429"/>
    <w:link w:val="790"/>
    <w:qFormat/>
    <w:rPr>
      <w:rFonts w:ascii="Times New Roman" w:hAnsi="Times New Roman" w:eastAsia="Times New Roman" w:cs="Times New Roman"/>
      <w:sz w:val="24"/>
      <w:szCs w:val="24"/>
    </w:rPr>
  </w:style>
  <w:style w:type="paragraph" w:styleId="1430">
    <w:name w:val="首行缩进_0_0"/>
    <w:basedOn w:val="1322"/>
    <w:next w:val="1430"/>
    <w:link w:val="790"/>
    <w:qFormat/>
    <w:pPr>
      <w:ind w:firstLine="480"/>
      <w:jc w:val="left"/>
      <w:spacing w:line="360" w:lineRule="auto"/>
    </w:pPr>
    <w:rPr>
      <w:rFonts w:hint="eastAsia" w:ascii="宋体" w:hAnsi="宋体"/>
      <w:sz w:val="24"/>
    </w:rPr>
  </w:style>
  <w:style w:type="character" w:styleId="1431">
    <w:name w:val="fontstyle01"/>
    <w:next w:val="1431"/>
    <w:link w:val="790"/>
    <w:qFormat/>
    <w:rPr>
      <w:rFonts w:ascii="Calibri" w:hAnsi="Calibri" w:eastAsia="宋体" w:cs="Times New Roman"/>
      <w:sz w:val="21"/>
      <w:szCs w:val="22"/>
      <w:lang w:val="en-US" w:eastAsia="zh-CN" w:bidi="ar-SA"/>
    </w:rPr>
  </w:style>
  <w:style w:type="character" w:styleId="1432">
    <w:name w:val="未处理的提及3"/>
    <w:basedOn w:val="800"/>
    <w:next w:val="1432"/>
    <w:link w:val="790"/>
    <w:uiPriority w:val="99"/>
    <w:unhideWhenUsed/>
    <w:qFormat/>
    <w:rPr>
      <w:color w:val="605e5c"/>
      <w:shd w:val="clear" w:color="auto" w:fill="e1dfdd"/>
    </w:rPr>
  </w:style>
  <w:style w:type="character" w:styleId="1433">
    <w:name w:val="未处理的提及4"/>
    <w:basedOn w:val="800"/>
    <w:next w:val="1433"/>
    <w:link w:val="790"/>
    <w:uiPriority w:val="99"/>
    <w:unhideWhenUsed/>
    <w:qFormat/>
    <w:rPr>
      <w:color w:val="605e5c"/>
      <w:shd w:val="clear" w:color="auto" w:fill="e1dfdd"/>
    </w:rPr>
  </w:style>
  <w:style w:type="paragraph" w:styleId="1434">
    <w:name w:val="Normal_0_0_0_0"/>
    <w:next w:val="1434"/>
    <w:link w:val="790"/>
    <w:qFormat/>
    <w:rPr>
      <w:rFonts w:ascii="Times New Roman" w:hAnsi="Times New Roman" w:eastAsia="Times New Roman" w:cs="Times New Roman"/>
      <w:sz w:val="24"/>
      <w:szCs w:val="24"/>
    </w:rPr>
  </w:style>
  <w:style w:type="paragraph" w:styleId="1435">
    <w:name w:val="0.1正文"/>
    <w:basedOn w:val="790"/>
    <w:next w:val="1435"/>
    <w:link w:val="790"/>
    <w:qFormat/>
    <w:pPr>
      <w:spacing w:line="360" w:lineRule="auto"/>
    </w:pPr>
    <w:rPr>
      <w:sz w:val="24"/>
      <w:szCs w:val="24"/>
    </w:rPr>
  </w:style>
  <w:style w:type="paragraph" w:styleId="1436">
    <w:name w:val="修订9"/>
    <w:next w:val="1436"/>
    <w:link w:val="790"/>
    <w:uiPriority w:val="99"/>
    <w:semiHidden/>
    <w:qFormat/>
    <w:rPr>
      <w:rFonts w:ascii="Calibri" w:hAnsi="Calibri" w:eastAsia="宋体" w:cs="Times New Roman"/>
      <w:sz w:val="21"/>
      <w:szCs w:val="22"/>
    </w:rPr>
  </w:style>
  <w:style w:type="paragraph" w:styleId="1437">
    <w:name w:val="Revision"/>
    <w:next w:val="1437"/>
    <w:link w:val="790"/>
    <w:uiPriority w:val="99"/>
    <w:unhideWhenUsed/>
    <w:qFormat/>
    <w:rPr>
      <w:rFonts w:ascii="Calibri" w:hAnsi="Calibri" w:eastAsia="宋体" w:cs="Times New Roman"/>
      <w:sz w:val="21"/>
      <w:szCs w:val="22"/>
    </w:rPr>
  </w:style>
  <w:style w:type="character" w:styleId="1438">
    <w:name w:val="Intense Emphasis"/>
    <w:basedOn w:val="800"/>
    <w:next w:val="1438"/>
    <w:link w:val="790"/>
    <w:uiPriority w:val="21"/>
    <w:qFormat/>
    <w:rPr>
      <w:i/>
      <w:iCs/>
      <w:color w:val="366091"/>
    </w:rPr>
  </w:style>
  <w:style w:type="character" w:styleId="1439">
    <w:name w:val="Intense Reference"/>
    <w:basedOn w:val="800"/>
    <w:next w:val="1439"/>
    <w:link w:val="790"/>
    <w:uiPriority w:val="32"/>
    <w:qFormat/>
    <w:rPr>
      <w:b/>
      <w:bCs/>
      <w:smallCaps/>
      <w:color w:val="366091"/>
      <w:spacing w:val="5"/>
    </w:rPr>
  </w:style>
  <w:style w:type="paragraph" w:styleId="1440">
    <w:name w:val="msonormal"/>
    <w:basedOn w:val="790"/>
    <w:next w:val="1440"/>
    <w:link w:val="790"/>
    <w:qFormat/>
    <w:pPr>
      <w:jc w:val="left"/>
      <w:spacing w:before="100" w:beforeAutospacing="1" w:after="100" w:afterAutospacing="1"/>
      <w:widowControl/>
    </w:pPr>
    <w:rPr>
      <w:rFonts w:ascii="宋体" w:hAnsi="宋体" w:cs="宋体"/>
      <w:sz w:val="24"/>
      <w:szCs w:val="24"/>
    </w:rPr>
  </w:style>
  <w:style w:type="paragraph" w:styleId="1441">
    <w:name w:val="font1"/>
    <w:basedOn w:val="790"/>
    <w:next w:val="1441"/>
    <w:link w:val="790"/>
    <w:qFormat/>
    <w:pPr>
      <w:jc w:val="left"/>
      <w:spacing w:before="100" w:beforeAutospacing="1" w:after="100" w:afterAutospacing="1"/>
      <w:widowControl/>
    </w:pPr>
    <w:rPr>
      <w:rFonts w:ascii="Arial" w:hAnsi="Arial" w:cs="Arial"/>
      <w:color w:val="000000"/>
      <w:sz w:val="20"/>
      <w:szCs w:val="20"/>
    </w:rPr>
  </w:style>
  <w:style w:type="paragraph" w:styleId="1442">
    <w:name w:val="font2"/>
    <w:basedOn w:val="790"/>
    <w:next w:val="1442"/>
    <w:link w:val="790"/>
    <w:qFormat/>
    <w:pPr>
      <w:jc w:val="left"/>
      <w:spacing w:before="100" w:beforeAutospacing="1" w:after="100" w:afterAutospacing="1"/>
      <w:widowControl/>
    </w:pPr>
    <w:rPr>
      <w:rFonts w:ascii="黑体" w:hAnsi="黑体" w:eastAsia="黑体" w:cs="宋体"/>
      <w:color w:val="000000"/>
      <w:sz w:val="28"/>
      <w:szCs w:val="28"/>
    </w:rPr>
  </w:style>
  <w:style w:type="paragraph" w:styleId="1443">
    <w:name w:val="font3"/>
    <w:basedOn w:val="790"/>
    <w:next w:val="1443"/>
    <w:link w:val="790"/>
    <w:qFormat/>
    <w:pPr>
      <w:jc w:val="left"/>
      <w:spacing w:before="100" w:beforeAutospacing="1" w:after="100" w:afterAutospacing="1"/>
      <w:widowControl/>
    </w:pPr>
    <w:rPr>
      <w:rFonts w:ascii="宋体" w:hAnsi="宋体" w:cs="宋体"/>
      <w:b/>
      <w:bCs/>
      <w:color w:val="000000"/>
      <w:sz w:val="20"/>
      <w:szCs w:val="20"/>
    </w:rPr>
  </w:style>
  <w:style w:type="paragraph" w:styleId="1444">
    <w:name w:val="font4"/>
    <w:basedOn w:val="790"/>
    <w:next w:val="1444"/>
    <w:link w:val="790"/>
    <w:qFormat/>
    <w:pPr>
      <w:jc w:val="left"/>
      <w:spacing w:before="100" w:beforeAutospacing="1" w:after="100" w:afterAutospacing="1"/>
      <w:widowControl/>
    </w:pPr>
    <w:rPr>
      <w:rFonts w:ascii="宋体" w:hAnsi="宋体" w:cs="宋体"/>
      <w:color w:val="000000"/>
      <w:sz w:val="20"/>
      <w:szCs w:val="20"/>
    </w:rPr>
  </w:style>
  <w:style w:type="paragraph" w:styleId="1445">
    <w:name w:val="et1"/>
    <w:basedOn w:val="790"/>
    <w:next w:val="1445"/>
    <w:link w:val="790"/>
    <w:qFormat/>
    <w:pPr>
      <w:jc w:val="left"/>
      <w:spacing w:before="100" w:beforeAutospacing="1" w:after="100" w:afterAutospacing="1"/>
      <w:widowControl/>
    </w:pPr>
    <w:rPr>
      <w:rFonts w:ascii="宋体" w:hAnsi="宋体" w:cs="宋体"/>
      <w:sz w:val="24"/>
      <w:szCs w:val="24"/>
    </w:rPr>
  </w:style>
  <w:style w:type="paragraph" w:styleId="1446">
    <w:name w:val="et2"/>
    <w:basedOn w:val="790"/>
    <w:next w:val="1446"/>
    <w:link w:val="790"/>
    <w:qFormat/>
    <w:pPr>
      <w:jc w:val="center"/>
      <w:spacing w:before="100" w:beforeAutospacing="1" w:after="100" w:afterAutospacing="1"/>
      <w:widowControl/>
    </w:pPr>
    <w:rPr>
      <w:rFonts w:ascii="宋体" w:hAnsi="宋体" w:cs="宋体"/>
      <w:color w:val="000000"/>
      <w:sz w:val="24"/>
      <w:szCs w:val="24"/>
    </w:rPr>
  </w:style>
  <w:style w:type="paragraph" w:styleId="1447">
    <w:name w:val="et3"/>
    <w:basedOn w:val="790"/>
    <w:next w:val="1447"/>
    <w:link w:val="790"/>
    <w:qFormat/>
    <w:pPr>
      <w:jc w:val="left"/>
      <w:spacing w:before="100" w:beforeAutospacing="1" w:after="100" w:afterAutospacing="1"/>
      <w:widowControl/>
    </w:pPr>
    <w:rPr>
      <w:rFonts w:ascii="宋体" w:hAnsi="宋体" w:cs="宋体"/>
      <w:color w:val="000000"/>
      <w:sz w:val="24"/>
      <w:szCs w:val="24"/>
    </w:rPr>
  </w:style>
  <w:style w:type="paragraph" w:styleId="1448">
    <w:name w:val="et4"/>
    <w:basedOn w:val="790"/>
    <w:next w:val="1448"/>
    <w:link w:val="790"/>
    <w:qFormat/>
    <w:pPr>
      <w:jc w:val="left"/>
      <w:spacing w:before="100" w:beforeAutospacing="1" w:after="100" w:afterAutospacing="1"/>
      <w:widowControl/>
    </w:pPr>
    <w:rPr>
      <w:rFonts w:ascii="宋体" w:hAnsi="宋体" w:cs="宋体"/>
      <w:color w:val="000000"/>
      <w:sz w:val="24"/>
      <w:szCs w:val="24"/>
    </w:rPr>
  </w:style>
  <w:style w:type="paragraph" w:styleId="1449">
    <w:name w:val="et5"/>
    <w:basedOn w:val="790"/>
    <w:next w:val="1449"/>
    <w:link w:val="790"/>
    <w:qFormat/>
    <w:pPr>
      <w:jc w:val="left"/>
      <w:spacing w:before="100" w:beforeAutospacing="1" w:after="100" w:afterAutospacing="1"/>
      <w:widowControl/>
    </w:pPr>
    <w:rPr>
      <w:rFonts w:ascii="宋体" w:hAnsi="宋体" w:cs="宋体"/>
      <w:color w:val="000000"/>
      <w:sz w:val="24"/>
      <w:szCs w:val="24"/>
    </w:rPr>
  </w:style>
  <w:style w:type="paragraph" w:styleId="1450">
    <w:name w:val="et6"/>
    <w:basedOn w:val="790"/>
    <w:next w:val="1450"/>
    <w:link w:val="790"/>
    <w:qFormat/>
    <w:pPr>
      <w:jc w:val="center"/>
      <w:spacing w:before="100" w:beforeAutospacing="1" w:after="100" w:afterAutospacing="1"/>
      <w:widowControl/>
    </w:pPr>
    <w:rPr>
      <w:rFonts w:ascii="宋体" w:hAnsi="宋体" w:cs="宋体"/>
      <w:color w:val="000000"/>
      <w:sz w:val="24"/>
      <w:szCs w:val="24"/>
    </w:rPr>
  </w:style>
  <w:style w:type="paragraph" w:styleId="1451">
    <w:name w:val="et7"/>
    <w:basedOn w:val="790"/>
    <w:next w:val="1451"/>
    <w:link w:val="790"/>
    <w:qFormat/>
    <w:pPr>
      <w:jc w:val="center"/>
      <w:spacing w:before="100" w:beforeAutospacing="1" w:after="100" w:afterAutospacing="1"/>
      <w:widowControl/>
    </w:pPr>
    <w:rPr>
      <w:rFonts w:ascii="黑体" w:hAnsi="黑体" w:eastAsia="黑体" w:cs="宋体"/>
      <w:color w:val="000000"/>
      <w:sz w:val="28"/>
      <w:szCs w:val="28"/>
    </w:rPr>
  </w:style>
  <w:style w:type="paragraph" w:styleId="1452">
    <w:name w:val="et8"/>
    <w:basedOn w:val="790"/>
    <w:next w:val="1452"/>
    <w:link w:val="790"/>
    <w:qFormat/>
    <w:pPr>
      <w:jc w:val="left"/>
      <w:spacing w:before="100" w:beforeAutospacing="1" w:after="100" w:afterAutospacing="1"/>
      <w:widowControl/>
    </w:pPr>
    <w:rPr>
      <w:rFonts w:ascii="黑体" w:hAnsi="黑体" w:eastAsia="黑体" w:cs="宋体"/>
      <w:color w:val="000000"/>
      <w:sz w:val="28"/>
      <w:szCs w:val="28"/>
    </w:rPr>
  </w:style>
  <w:style w:type="paragraph" w:styleId="1453">
    <w:name w:val="et9"/>
    <w:basedOn w:val="790"/>
    <w:next w:val="1453"/>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54">
    <w:name w:val="et10"/>
    <w:basedOn w:val="790"/>
    <w:next w:val="1454"/>
    <w:link w:val="79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4"/>
      <w:szCs w:val="24"/>
    </w:rPr>
  </w:style>
  <w:style w:type="paragraph" w:styleId="1455">
    <w:name w:val="et11"/>
    <w:basedOn w:val="790"/>
    <w:next w:val="1455"/>
    <w:link w:val="79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56">
    <w:name w:val="et12"/>
    <w:basedOn w:val="790"/>
    <w:next w:val="1456"/>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57">
    <w:name w:val="et13"/>
    <w:basedOn w:val="790"/>
    <w:next w:val="1457"/>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58">
    <w:name w:val="et14"/>
    <w:basedOn w:val="790"/>
    <w:next w:val="1458"/>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59">
    <w:name w:val="et15"/>
    <w:basedOn w:val="790"/>
    <w:next w:val="1459"/>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0">
    <w:name w:val="et16"/>
    <w:basedOn w:val="790"/>
    <w:next w:val="1460"/>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1">
    <w:name w:val="et17"/>
    <w:basedOn w:val="790"/>
    <w:next w:val="1461"/>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462">
    <w:name w:val="et18"/>
    <w:basedOn w:val="790"/>
    <w:next w:val="1462"/>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3">
    <w:name w:val="et19"/>
    <w:basedOn w:val="790"/>
    <w:next w:val="1463"/>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4">
    <w:name w:val="et20"/>
    <w:basedOn w:val="790"/>
    <w:next w:val="1464"/>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465">
    <w:name w:val="et21"/>
    <w:basedOn w:val="790"/>
    <w:next w:val="1465"/>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66">
    <w:name w:val="et22"/>
    <w:basedOn w:val="790"/>
    <w:next w:val="1466"/>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7">
    <w:name w:val="et23"/>
    <w:basedOn w:val="790"/>
    <w:next w:val="1467"/>
    <w:link w:val="79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8">
    <w:name w:val="et24"/>
    <w:basedOn w:val="790"/>
    <w:next w:val="1468"/>
    <w:link w:val="79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9">
    <w:name w:val="et25"/>
    <w:basedOn w:val="790"/>
    <w:next w:val="1469"/>
    <w:link w:val="79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70">
    <w:name w:val="et26"/>
    <w:basedOn w:val="790"/>
    <w:next w:val="1470"/>
    <w:link w:val="790"/>
    <w:qFormat/>
    <w:pPr>
      <w:jc w:val="left"/>
      <w:spacing w:before="100" w:beforeAutospacing="1" w:after="100" w:afterAutospacing="1"/>
      <w:widowControl/>
      <w:pBdr>
        <w:top w:val="single" w:color="000000" w:sz="4" w:space="0"/>
      </w:pBdr>
    </w:pPr>
    <w:rPr>
      <w:rFonts w:ascii="宋体" w:hAnsi="宋体" w:cs="宋体"/>
      <w:color w:val="000000"/>
      <w:sz w:val="24"/>
      <w:szCs w:val="24"/>
    </w:rPr>
  </w:style>
  <w:style w:type="paragraph" w:styleId="1471">
    <w:name w:val="et27"/>
    <w:basedOn w:val="790"/>
    <w:next w:val="1471"/>
    <w:link w:val="790"/>
    <w:qFormat/>
    <w:pPr>
      <w:jc w:val="left"/>
      <w:spacing w:before="100" w:beforeAutospacing="1" w:after="100" w:afterAutospacing="1"/>
      <w:widowControl/>
    </w:pPr>
    <w:rPr>
      <w:rFonts w:ascii="宋体" w:hAnsi="宋体" w:cs="宋体"/>
      <w:color w:val="000000"/>
      <w:sz w:val="24"/>
      <w:szCs w:val="24"/>
    </w:rPr>
  </w:style>
  <w:style w:type="paragraph" w:styleId="1472">
    <w:name w:val="et28"/>
    <w:basedOn w:val="790"/>
    <w:next w:val="1472"/>
    <w:link w:val="790"/>
    <w:qFormat/>
    <w:pPr>
      <w:jc w:val="center"/>
      <w:spacing w:before="100" w:beforeAutospacing="1" w:after="100" w:afterAutospacing="1"/>
      <w:widowControl/>
    </w:pPr>
    <w:rPr>
      <w:rFonts w:ascii="宋体" w:hAnsi="宋体" w:cs="宋体"/>
      <w:color w:val="000000"/>
      <w:sz w:val="24"/>
      <w:szCs w:val="24"/>
    </w:rPr>
  </w:style>
  <w:style w:type="paragraph" w:styleId="1473">
    <w:name w:val="正文文本1"/>
    <w:basedOn w:val="790"/>
    <w:next w:val="1473"/>
    <w:link w:val="790"/>
    <w:qFormat/>
    <w:pPr>
      <w:jc w:val="left"/>
      <w:spacing w:after="60"/>
      <w:tabs>
        <w:tab w:val="right" w:pos="2520" w:leader="none"/>
        <w:tab w:val="left" w:pos="2880" w:leader="none"/>
      </w:tabs>
    </w:pPr>
    <w:rPr>
      <w:sz w:val="22"/>
      <w:szCs w:val="20"/>
    </w:rPr>
  </w:style>
  <w:style w:type="paragraph" w:styleId="1474">
    <w:name w:val="页脚1"/>
    <w:basedOn w:val="790"/>
    <w:next w:val="1474"/>
    <w:link w:val="790"/>
    <w:uiPriority w:val="99"/>
    <w:qFormat/>
    <w:pPr>
      <w:jc w:val="left"/>
      <w:tabs>
        <w:tab w:val="center" w:pos="4153" w:leader="none"/>
        <w:tab w:val="right" w:pos="8306" w:leader="none"/>
      </w:tabs>
    </w:pPr>
    <w:rPr>
      <w:sz w:val="18"/>
      <w:szCs w:val="18"/>
    </w:rPr>
  </w:style>
  <w:style w:type="character" w:styleId="1475">
    <w:name w:val="页码1"/>
    <w:next w:val="1475"/>
    <w:link w:val="790"/>
    <w:qFormat/>
  </w:style>
  <w:style w:type="paragraph" w:styleId="1476">
    <w:name w:val="页脚11"/>
    <w:basedOn w:val="790"/>
    <w:next w:val="1476"/>
    <w:link w:val="790"/>
    <w:uiPriority w:val="99"/>
    <w:qFormat/>
    <w:pPr>
      <w:jc w:val="left"/>
      <w:tabs>
        <w:tab w:val="center" w:pos="4153" w:leader="none"/>
        <w:tab w:val="right" w:pos="8306" w:leader="none"/>
      </w:tabs>
    </w:pPr>
    <w:rPr>
      <w:sz w:val="18"/>
      <w:szCs w:val="18"/>
    </w:rPr>
  </w:style>
  <w:style w:type="character" w:styleId="8701" w:default="1">
    <w:name w:val="Default Paragraph Font"/>
    <w:uiPriority w:val="1"/>
    <w:semiHidden/>
    <w:unhideWhenUsed/>
  </w:style>
  <w:style w:type="numbering" w:styleId="8702" w:default="1">
    <w:name w:val="No List"/>
    <w:uiPriority w:val="99"/>
    <w:semiHidden/>
    <w:unhideWhenUsed/>
  </w:style>
  <w:style w:type="table" w:styleId="87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dc:creator>
  <cp:lastModifiedBy>黄李红</cp:lastModifiedBy>
  <cp:revision>9</cp:revision>
  <dcterms:created xsi:type="dcterms:W3CDTF">2026-04-29T09:24:00Z</dcterms:created>
  <dcterms:modified xsi:type="dcterms:W3CDTF">2026-09-04T05:34:34Z</dcterms:modified>
</cp:coreProperties>
</file>