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南京市栖霞区民政局</w:t>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栖霞区民政局2026-2029年度养老服务指导中心运营项目</w:t>
      </w:r>
      <w:r/>
    </w:p>
    <w:p>
      <w:pPr>
        <w:pStyle w:val="972"/>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2"/>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2"/>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JSZC-320113-JITC-C2026-0340</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643"/>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南京市栖霞区民政局</w:t>
      </w:r>
      <w:r/>
    </w:p>
    <w:p>
      <w:pPr>
        <w:ind w:firstLine="643"/>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九</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月</w:t>
      </w:r>
      <w:r/>
    </w:p>
    <w:p>
      <w:pPr>
        <w:jc w:val="center"/>
        <w:keepLines w:val="0"/>
        <w:keepNext w:val="0"/>
        <w:pageBreakBefore w:val="0"/>
        <w:spacing w:line="480" w:lineRule="auto"/>
        <w:widowControl w:val="off"/>
        <w:rPr>
          <w:rFonts w:ascii="Microsoft New Tai Lue" w:hAnsi="Microsoft New Tai Lue" w:cs="Microsoft New Tai Lue"/>
          <w:b/>
          <w:color w:val="auto"/>
          <w:sz w:val="48"/>
          <w:szCs w:val="48"/>
          <w:highlight w:val="none"/>
        </w:rPr>
      </w:pPr>
      <w:r/>
      <w:bookmarkStart w:id="0" w:name="_Toc80264696"/>
      <w:r/>
      <w:bookmarkStart w:id="1" w:name="_Toc531620161"/>
      <w:r>
        <w:rPr>
          <w:rFonts w:ascii="Microsoft New Tai Lue" w:hAnsi="Microsoft New Tai Lue" w:cs="Microsoft New Tai Lue"/>
          <w:b/>
          <w:color w:val="auto"/>
          <w:sz w:val="48"/>
          <w:szCs w:val="48"/>
          <w:highlight w:val="none"/>
        </w:rPr>
        <w:t xml:space="preserve">目   录</w:t>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_Toc28448 </w:instrText>
      </w:r>
      <w:r>
        <w:rPr>
          <w:rFonts w:ascii="宋体" w:hAnsi="宋体" w:eastAsia="宋体"/>
          <w:sz w:val="30"/>
          <w:szCs w:val="30"/>
          <w:highlight w:val="none"/>
        </w:rPr>
        <w:fldChar w:fldCharType="separate"/>
      </w:r>
      <w:r>
        <w:rPr>
          <w:rFonts w:ascii="Microsoft New Tai Lue" w:hAnsi="Microsoft New Tai Lue" w:cs="Microsoft New Tai Lue"/>
          <w:sz w:val="30"/>
          <w:szCs w:val="30"/>
        </w:rPr>
        <w:t xml:space="preserve">第一章 </w:t>
      </w:r>
      <w:r>
        <w:rPr>
          <w:rFonts w:hint="eastAsia" w:ascii="Microsoft New Tai Lue" w:hAnsi="Microsoft New Tai Lue" w:cs="Microsoft New Tai Lue"/>
          <w:sz w:val="30"/>
          <w:szCs w:val="30"/>
          <w:highlight w:val="none"/>
        </w:rPr>
        <w:t xml:space="preserve">竞争性磋商公告</w:t>
      </w:r>
      <w:r>
        <w:rPr>
          <w:sz w:val="30"/>
          <w:szCs w:val="30"/>
        </w:rPr>
        <w:tab/>
      </w:r>
      <w:r>
        <w:rPr>
          <w:sz w:val="30"/>
          <w:szCs w:val="30"/>
        </w:rPr>
        <w:fldChar w:fldCharType="begin"/>
      </w:r>
      <w:r>
        <w:rPr>
          <w:sz w:val="30"/>
          <w:szCs w:val="30"/>
        </w:rPr>
        <w:instrText xml:space="preserve"> PAGEREF _Toc28448 \h </w:instrText>
      </w:r>
      <w:r>
        <w:rPr>
          <w:sz w:val="30"/>
          <w:szCs w:val="30"/>
        </w:rPr>
        <w:fldChar w:fldCharType="separate"/>
      </w:r>
      <w:r>
        <w:rPr>
          <w:sz w:val="30"/>
          <w:szCs w:val="30"/>
        </w:rPr>
        <w:t xml:space="preserve">2</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_Toc6347 </w:instrText>
      </w:r>
      <w:r>
        <w:rPr>
          <w:rFonts w:ascii="宋体" w:hAnsi="宋体" w:eastAsia="宋体"/>
          <w:sz w:val="30"/>
          <w:szCs w:val="30"/>
          <w:highlight w:val="none"/>
        </w:rPr>
        <w:fldChar w:fldCharType="separate"/>
      </w:r>
      <w:r>
        <w:rPr>
          <w:rFonts w:ascii="Microsoft New Tai Lue" w:hAnsi="Microsoft New Tai Lue" w:cs="Microsoft New Tai Lue"/>
          <w:sz w:val="30"/>
          <w:szCs w:val="30"/>
        </w:rPr>
        <w:t xml:space="preserve">第二章 </w:t>
      </w:r>
      <w:r>
        <w:rPr>
          <w:rFonts w:ascii="Microsoft New Tai Lue" w:hAnsi="Microsoft New Tai Lue" w:cs="Microsoft New Tai Lue"/>
          <w:sz w:val="30"/>
          <w:szCs w:val="30"/>
          <w:highlight w:val="none"/>
        </w:rPr>
        <w:t xml:space="preserve">供应商须知</w:t>
      </w:r>
      <w:r>
        <w:rPr>
          <w:sz w:val="30"/>
          <w:szCs w:val="30"/>
        </w:rPr>
        <w:tab/>
      </w:r>
      <w:r>
        <w:rPr>
          <w:sz w:val="30"/>
          <w:szCs w:val="30"/>
        </w:rPr>
        <w:fldChar w:fldCharType="begin"/>
      </w:r>
      <w:r>
        <w:rPr>
          <w:sz w:val="30"/>
          <w:szCs w:val="30"/>
        </w:rPr>
        <w:instrText xml:space="preserve"> PAGEREF _Toc6347 \h </w:instrText>
      </w:r>
      <w:r>
        <w:rPr>
          <w:sz w:val="30"/>
          <w:szCs w:val="30"/>
        </w:rPr>
        <w:fldChar w:fldCharType="separate"/>
      </w:r>
      <w:r>
        <w:rPr>
          <w:sz w:val="30"/>
          <w:szCs w:val="30"/>
        </w:rPr>
        <w:t xml:space="preserve">6</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_Toc2197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供应商须知</w:t>
      </w:r>
      <w:r>
        <w:rPr>
          <w:sz w:val="30"/>
          <w:szCs w:val="30"/>
        </w:rPr>
        <w:tab/>
      </w:r>
      <w:r>
        <w:rPr>
          <w:sz w:val="30"/>
          <w:szCs w:val="30"/>
        </w:rPr>
        <w:fldChar w:fldCharType="begin"/>
      </w:r>
      <w:r>
        <w:rPr>
          <w:sz w:val="30"/>
          <w:szCs w:val="30"/>
        </w:rPr>
        <w:instrText xml:space="preserve"> PAGEREF _Toc2197 \h </w:instrText>
      </w:r>
      <w:r>
        <w:rPr>
          <w:sz w:val="30"/>
          <w:szCs w:val="30"/>
        </w:rPr>
        <w:fldChar w:fldCharType="separate"/>
      </w:r>
      <w:r>
        <w:rPr>
          <w:sz w:val="30"/>
          <w:szCs w:val="30"/>
        </w:rPr>
        <w:t xml:space="preserve">9</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_Toc843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一．总则</w:t>
      </w:r>
      <w:r>
        <w:rPr>
          <w:sz w:val="30"/>
          <w:szCs w:val="30"/>
        </w:rPr>
        <w:tab/>
      </w:r>
      <w:r>
        <w:rPr>
          <w:sz w:val="30"/>
          <w:szCs w:val="30"/>
        </w:rPr>
        <w:fldChar w:fldCharType="begin"/>
      </w:r>
      <w:r>
        <w:rPr>
          <w:sz w:val="30"/>
          <w:szCs w:val="30"/>
        </w:rPr>
        <w:instrText xml:space="preserve"> PAGEREF _Toc843 \h </w:instrText>
      </w:r>
      <w:r>
        <w:rPr>
          <w:sz w:val="30"/>
          <w:szCs w:val="30"/>
        </w:rPr>
        <w:fldChar w:fldCharType="separate"/>
      </w:r>
      <w:r>
        <w:rPr>
          <w:sz w:val="30"/>
          <w:szCs w:val="30"/>
        </w:rPr>
        <w:t xml:space="preserve">9</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_Toc15519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二．磋商文件</w:t>
      </w:r>
      <w:r>
        <w:rPr>
          <w:sz w:val="30"/>
          <w:szCs w:val="30"/>
        </w:rPr>
        <w:tab/>
      </w:r>
      <w:r>
        <w:rPr>
          <w:sz w:val="30"/>
          <w:szCs w:val="30"/>
        </w:rPr>
        <w:fldChar w:fldCharType="begin"/>
      </w:r>
      <w:r>
        <w:rPr>
          <w:sz w:val="30"/>
          <w:szCs w:val="30"/>
        </w:rPr>
        <w:instrText xml:space="preserve"> PAGEREF _Toc15519 \h </w:instrText>
      </w:r>
      <w:r>
        <w:rPr>
          <w:sz w:val="30"/>
          <w:szCs w:val="30"/>
        </w:rPr>
        <w:fldChar w:fldCharType="separate"/>
      </w:r>
      <w:r>
        <w:rPr>
          <w:sz w:val="30"/>
          <w:szCs w:val="30"/>
        </w:rPr>
        <w:t xml:space="preserve">13</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_Toc20052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三．响应文件</w:t>
      </w:r>
      <w:r>
        <w:rPr>
          <w:sz w:val="30"/>
          <w:szCs w:val="30"/>
        </w:rPr>
        <w:tab/>
      </w:r>
      <w:r>
        <w:rPr>
          <w:sz w:val="30"/>
          <w:szCs w:val="30"/>
        </w:rPr>
        <w:fldChar w:fldCharType="begin"/>
      </w:r>
      <w:r>
        <w:rPr>
          <w:sz w:val="30"/>
          <w:szCs w:val="30"/>
        </w:rPr>
        <w:instrText xml:space="preserve"> PAGEREF _Toc20052 \h </w:instrText>
      </w:r>
      <w:r>
        <w:rPr>
          <w:sz w:val="30"/>
          <w:szCs w:val="30"/>
        </w:rPr>
        <w:fldChar w:fldCharType="separate"/>
      </w:r>
      <w:r>
        <w:rPr>
          <w:sz w:val="30"/>
          <w:szCs w:val="30"/>
        </w:rPr>
        <w:t xml:space="preserve">14</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_Toc23764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四．响应文件的提交</w:t>
      </w:r>
      <w:r>
        <w:rPr>
          <w:sz w:val="30"/>
          <w:szCs w:val="30"/>
        </w:rPr>
        <w:tab/>
      </w:r>
      <w:r>
        <w:rPr>
          <w:sz w:val="30"/>
          <w:szCs w:val="30"/>
        </w:rPr>
        <w:fldChar w:fldCharType="begin"/>
      </w:r>
      <w:r>
        <w:rPr>
          <w:sz w:val="30"/>
          <w:szCs w:val="30"/>
        </w:rPr>
        <w:instrText xml:space="preserve"> PAGEREF _Toc23764 \h </w:instrText>
      </w:r>
      <w:r>
        <w:rPr>
          <w:sz w:val="30"/>
          <w:szCs w:val="30"/>
        </w:rPr>
        <w:fldChar w:fldCharType="separate"/>
      </w:r>
      <w:r>
        <w:rPr>
          <w:sz w:val="30"/>
          <w:szCs w:val="30"/>
        </w:rPr>
        <w:t xml:space="preserve">16</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_Toc20298 </w:instrText>
      </w:r>
      <w:r>
        <w:rPr>
          <w:rFonts w:ascii="宋体" w:hAnsi="宋体" w:eastAsia="宋体"/>
          <w:sz w:val="30"/>
          <w:szCs w:val="30"/>
          <w:highlight w:val="none"/>
        </w:rPr>
        <w:fldChar w:fldCharType="separate"/>
      </w:r>
      <w:r>
        <w:rPr>
          <w:rFonts w:hint="eastAsia" w:ascii="宋体" w:hAnsi="宋体" w:eastAsia="宋体" w:cs="宋体"/>
          <w:sz w:val="30"/>
          <w:szCs w:val="30"/>
          <w:highlight w:val="none"/>
        </w:rPr>
        <w:t xml:space="preserve">五、</w:t>
      </w:r>
      <w:r>
        <w:rPr>
          <w:rFonts w:hint="eastAsia" w:ascii="宋体" w:hAnsi="宋体" w:eastAsia="宋体" w:cs="宋体"/>
          <w:sz w:val="30"/>
          <w:szCs w:val="30"/>
          <w:highlight w:val="none"/>
          <w:lang w:eastAsia="zh-CN"/>
        </w:rPr>
        <w:t xml:space="preserve">响应文件的解密与评审</w:t>
      </w:r>
      <w:r>
        <w:rPr>
          <w:sz w:val="30"/>
          <w:szCs w:val="30"/>
        </w:rPr>
        <w:tab/>
      </w:r>
      <w:r>
        <w:rPr>
          <w:sz w:val="30"/>
          <w:szCs w:val="30"/>
        </w:rPr>
        <w:fldChar w:fldCharType="begin"/>
      </w:r>
      <w:r>
        <w:rPr>
          <w:sz w:val="30"/>
          <w:szCs w:val="30"/>
        </w:rPr>
        <w:instrText xml:space="preserve"> PAGEREF _Toc20298 \h </w:instrText>
      </w:r>
      <w:r>
        <w:rPr>
          <w:sz w:val="30"/>
          <w:szCs w:val="30"/>
        </w:rPr>
        <w:fldChar w:fldCharType="separate"/>
      </w:r>
      <w:r>
        <w:rPr>
          <w:sz w:val="30"/>
          <w:szCs w:val="30"/>
        </w:rPr>
        <w:t xml:space="preserve">17</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_Toc7781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六．确定成交</w:t>
      </w:r>
      <w:r>
        <w:rPr>
          <w:sz w:val="30"/>
          <w:szCs w:val="30"/>
        </w:rPr>
        <w:tab/>
      </w:r>
      <w:r>
        <w:rPr>
          <w:sz w:val="30"/>
          <w:szCs w:val="30"/>
        </w:rPr>
        <w:fldChar w:fldCharType="begin"/>
      </w:r>
      <w:r>
        <w:rPr>
          <w:sz w:val="30"/>
          <w:szCs w:val="30"/>
        </w:rPr>
        <w:instrText xml:space="preserve"> PAGEREF _Toc7781 \h </w:instrText>
      </w:r>
      <w:r>
        <w:rPr>
          <w:sz w:val="30"/>
          <w:szCs w:val="30"/>
        </w:rPr>
        <w:fldChar w:fldCharType="separate"/>
      </w:r>
      <w:r>
        <w:rPr>
          <w:sz w:val="30"/>
          <w:szCs w:val="30"/>
        </w:rPr>
        <w:t xml:space="preserve">20</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_Toc5538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七．询问与质疑</w:t>
      </w:r>
      <w:r>
        <w:rPr>
          <w:sz w:val="30"/>
          <w:szCs w:val="30"/>
        </w:rPr>
        <w:tab/>
      </w:r>
      <w:r>
        <w:rPr>
          <w:sz w:val="30"/>
          <w:szCs w:val="30"/>
        </w:rPr>
        <w:fldChar w:fldCharType="begin"/>
      </w:r>
      <w:r>
        <w:rPr>
          <w:sz w:val="30"/>
          <w:szCs w:val="30"/>
        </w:rPr>
        <w:instrText xml:space="preserve"> PAGEREF _Toc5538 \h </w:instrText>
      </w:r>
      <w:r>
        <w:rPr>
          <w:sz w:val="30"/>
          <w:szCs w:val="30"/>
        </w:rPr>
        <w:fldChar w:fldCharType="separate"/>
      </w:r>
      <w:r>
        <w:rPr>
          <w:sz w:val="30"/>
          <w:szCs w:val="30"/>
        </w:rPr>
        <w:t xml:space="preserve">22</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_Toc16086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八．其他</w:t>
      </w:r>
      <w:r>
        <w:rPr>
          <w:sz w:val="30"/>
          <w:szCs w:val="30"/>
        </w:rPr>
        <w:tab/>
      </w:r>
      <w:r>
        <w:rPr>
          <w:sz w:val="30"/>
          <w:szCs w:val="30"/>
        </w:rPr>
        <w:fldChar w:fldCharType="begin"/>
      </w:r>
      <w:r>
        <w:rPr>
          <w:sz w:val="30"/>
          <w:szCs w:val="30"/>
        </w:rPr>
        <w:instrText xml:space="preserve"> PAGEREF _Toc16086 \h </w:instrText>
      </w:r>
      <w:r>
        <w:rPr>
          <w:sz w:val="30"/>
          <w:szCs w:val="30"/>
        </w:rPr>
        <w:fldChar w:fldCharType="separate"/>
      </w:r>
      <w:r>
        <w:rPr>
          <w:sz w:val="30"/>
          <w:szCs w:val="30"/>
        </w:rPr>
        <w:t xml:space="preserve">22</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_Toc24282 </w:instrText>
      </w:r>
      <w:r>
        <w:rPr>
          <w:rFonts w:ascii="宋体" w:hAnsi="宋体" w:eastAsia="宋体"/>
          <w:sz w:val="30"/>
          <w:szCs w:val="30"/>
          <w:highlight w:val="none"/>
        </w:rPr>
        <w:fldChar w:fldCharType="separate"/>
      </w:r>
      <w:r>
        <w:rPr>
          <w:rFonts w:ascii="Microsoft New Tai Lue" w:hAnsi="Microsoft New Tai Lue" w:cs="Microsoft New Tai Lue"/>
          <w:sz w:val="30"/>
          <w:szCs w:val="30"/>
          <w:highlight w:val="none"/>
        </w:rPr>
        <w:t xml:space="preserve">第三章 </w:t>
      </w:r>
      <w:r>
        <w:rPr>
          <w:rFonts w:hint="eastAsia" w:ascii="宋体" w:hAnsi="宋体" w:cs="宋体"/>
          <w:sz w:val="30"/>
          <w:szCs w:val="30"/>
          <w:highlight w:val="none"/>
        </w:rPr>
        <w:t xml:space="preserve">政府采购合同条款及格式</w:t>
      </w:r>
      <w:r>
        <w:rPr>
          <w:sz w:val="30"/>
          <w:szCs w:val="30"/>
        </w:rPr>
        <w:tab/>
      </w:r>
      <w:r>
        <w:rPr>
          <w:sz w:val="30"/>
          <w:szCs w:val="30"/>
        </w:rPr>
        <w:fldChar w:fldCharType="begin"/>
      </w:r>
      <w:r>
        <w:rPr>
          <w:sz w:val="30"/>
          <w:szCs w:val="30"/>
        </w:rPr>
        <w:instrText xml:space="preserve"> PAGEREF _Toc24282 \h </w:instrText>
      </w:r>
      <w:r>
        <w:rPr>
          <w:sz w:val="30"/>
          <w:szCs w:val="30"/>
        </w:rPr>
        <w:fldChar w:fldCharType="separate"/>
      </w:r>
      <w:r>
        <w:rPr>
          <w:sz w:val="30"/>
          <w:szCs w:val="30"/>
        </w:rPr>
        <w:t xml:space="preserve">23</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_Toc28961 </w:instrText>
      </w:r>
      <w:r>
        <w:rPr>
          <w:rFonts w:ascii="宋体" w:hAnsi="宋体" w:eastAsia="宋体"/>
          <w:sz w:val="30"/>
          <w:szCs w:val="30"/>
          <w:highlight w:val="none"/>
        </w:rPr>
        <w:fldChar w:fldCharType="separate"/>
      </w:r>
      <w:r>
        <w:rPr>
          <w:rFonts w:hint="eastAsia" w:ascii="Microsoft New Tai Lue" w:hAnsi="Microsoft New Tai Lue" w:cs="Microsoft New Tai Lue"/>
          <w:sz w:val="30"/>
          <w:szCs w:val="30"/>
          <w:highlight w:val="none"/>
          <w:lang w:val="en-US" w:eastAsia="zh-CN"/>
        </w:rPr>
        <w:t xml:space="preserve">第四章 </w:t>
      </w:r>
      <w:r>
        <w:rPr>
          <w:rFonts w:ascii="Microsoft New Tai Lue" w:hAnsi="Microsoft New Tai Lue" w:cs="Microsoft New Tai Lue"/>
          <w:sz w:val="30"/>
          <w:szCs w:val="30"/>
          <w:highlight w:val="none"/>
        </w:rPr>
        <w:t xml:space="preserve">采购需求</w:t>
      </w:r>
      <w:r>
        <w:rPr>
          <w:sz w:val="30"/>
          <w:szCs w:val="30"/>
        </w:rPr>
        <w:tab/>
      </w:r>
      <w:r>
        <w:rPr>
          <w:sz w:val="30"/>
          <w:szCs w:val="30"/>
        </w:rPr>
        <w:fldChar w:fldCharType="begin"/>
      </w:r>
      <w:r>
        <w:rPr>
          <w:sz w:val="30"/>
          <w:szCs w:val="30"/>
        </w:rPr>
        <w:instrText xml:space="preserve"> PAGEREF _Toc28961 \h </w:instrText>
      </w:r>
      <w:r>
        <w:rPr>
          <w:sz w:val="30"/>
          <w:szCs w:val="30"/>
        </w:rPr>
        <w:fldChar w:fldCharType="separate"/>
      </w:r>
      <w:r>
        <w:rPr>
          <w:sz w:val="30"/>
          <w:szCs w:val="30"/>
        </w:rPr>
        <w:t xml:space="preserve">33</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_Toc30484 </w:instrText>
      </w:r>
      <w:r>
        <w:rPr>
          <w:rFonts w:ascii="宋体" w:hAnsi="宋体" w:eastAsia="宋体"/>
          <w:sz w:val="30"/>
          <w:szCs w:val="30"/>
          <w:highlight w:val="none"/>
        </w:rPr>
        <w:fldChar w:fldCharType="separate"/>
      </w:r>
      <w:r>
        <w:rPr>
          <w:rFonts w:ascii="Microsoft New Tai Lue" w:hAnsi="Microsoft New Tai Lue" w:cs="Microsoft New Tai Lue"/>
          <w:sz w:val="30"/>
          <w:szCs w:val="30"/>
          <w:highlight w:val="none"/>
        </w:rPr>
        <w:t xml:space="preserve">第五章 评审方法与评审标准</w:t>
      </w:r>
      <w:r>
        <w:rPr>
          <w:sz w:val="30"/>
          <w:szCs w:val="30"/>
        </w:rPr>
        <w:tab/>
      </w:r>
      <w:r>
        <w:rPr>
          <w:sz w:val="30"/>
          <w:szCs w:val="30"/>
        </w:rPr>
        <w:fldChar w:fldCharType="begin"/>
      </w:r>
      <w:r>
        <w:rPr>
          <w:sz w:val="30"/>
          <w:szCs w:val="30"/>
        </w:rPr>
        <w:instrText xml:space="preserve"> PAGEREF _Toc30484 \h </w:instrText>
      </w:r>
      <w:r>
        <w:rPr>
          <w:sz w:val="30"/>
          <w:szCs w:val="30"/>
        </w:rPr>
        <w:fldChar w:fldCharType="separate"/>
      </w:r>
      <w:r>
        <w:rPr>
          <w:sz w:val="30"/>
          <w:szCs w:val="30"/>
        </w:rPr>
        <w:t xml:space="preserve">37</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_Toc18194 </w:instrText>
      </w:r>
      <w:r>
        <w:rPr>
          <w:rFonts w:ascii="宋体" w:hAnsi="宋体" w:eastAsia="宋体"/>
          <w:sz w:val="30"/>
          <w:szCs w:val="30"/>
          <w:highlight w:val="none"/>
        </w:rPr>
        <w:fldChar w:fldCharType="separate"/>
      </w:r>
      <w:r>
        <w:rPr>
          <w:rFonts w:ascii="Microsoft New Tai Lue" w:hAnsi="Microsoft New Tai Lue" w:eastAsia="宋体" w:cs="Microsoft New Tai Lue"/>
          <w:bCs/>
          <w:sz w:val="30"/>
          <w:szCs w:val="30"/>
          <w:highlight w:val="none"/>
          <w:lang w:val="en-US" w:eastAsia="zh-CN" w:bidi="ar-SA"/>
        </w:rPr>
        <w:t xml:space="preserve">第六章 </w:t>
      </w:r>
      <w:r>
        <w:rPr>
          <w:rFonts w:hint="eastAsia" w:ascii="Microsoft New Tai Lue" w:hAnsi="Microsoft New Tai Lue" w:eastAsia="宋体" w:cs="Microsoft New Tai Lue"/>
          <w:bCs/>
          <w:sz w:val="30"/>
          <w:szCs w:val="30"/>
          <w:highlight w:val="none"/>
          <w:lang w:val="en-US" w:eastAsia="zh-CN" w:bidi="ar-SA"/>
        </w:rPr>
        <w:t xml:space="preserve">响应文件格式</w:t>
      </w:r>
      <w:r>
        <w:rPr>
          <w:sz w:val="30"/>
          <w:szCs w:val="30"/>
        </w:rPr>
        <w:tab/>
      </w:r>
      <w:r>
        <w:rPr>
          <w:sz w:val="30"/>
          <w:szCs w:val="30"/>
        </w:rPr>
        <w:fldChar w:fldCharType="begin"/>
      </w:r>
      <w:r>
        <w:rPr>
          <w:sz w:val="30"/>
          <w:szCs w:val="30"/>
        </w:rPr>
        <w:instrText xml:space="preserve"> PAGEREF _Toc18194 \h </w:instrText>
      </w:r>
      <w:r>
        <w:rPr>
          <w:sz w:val="30"/>
          <w:szCs w:val="30"/>
        </w:rPr>
        <w:fldChar w:fldCharType="separate"/>
      </w:r>
      <w:r>
        <w:rPr>
          <w:sz w:val="30"/>
          <w:szCs w:val="30"/>
        </w:rPr>
        <w:t xml:space="preserve">41</w:t>
      </w:r>
      <w:r>
        <w:rPr>
          <w:sz w:val="30"/>
          <w:szCs w:val="30"/>
        </w:rPr>
        <w:fldChar w:fldCharType="end"/>
      </w:r>
      <w:r>
        <w:rPr>
          <w:rFonts w:ascii="宋体" w:hAnsi="宋体" w:eastAsia="宋体"/>
          <w:color w:val="auto"/>
          <w:sz w:val="30"/>
          <w:szCs w:val="30"/>
          <w:highlight w:val="none"/>
        </w:rPr>
        <w:fldChar w:fldCharType="end"/>
      </w:r>
      <w:r/>
    </w:p>
    <w:p>
      <w:pPr>
        <w:pStyle w:val="781"/>
        <w:tabs>
          <w:tab w:val="right" w:pos="8730" w:leader="dot"/>
        </w:tabs>
      </w:pPr>
      <w:r/>
      <w:r/>
    </w:p>
    <w:p>
      <w:pPr>
        <w:pStyle w:val="983"/>
        <w:spacing w:line="360" w:lineRule="auto"/>
        <w:tabs>
          <w:tab w:val="right" w:pos="8834" w:leader="dot"/>
        </w:tabs>
        <w:rPr>
          <w:rFonts w:ascii="等线" w:hAnsi="等线" w:eastAsia="等线"/>
          <w:b/>
          <w:color w:val="auto"/>
          <w:sz w:val="21"/>
          <w:szCs w:val="22"/>
          <w:highlight w:val="none"/>
        </w:rPr>
      </w:pPr>
      <w:r>
        <w:rPr>
          <w:rFonts w:ascii="宋体" w:hAnsi="宋体" w:eastAsia="宋体"/>
          <w:color w:val="auto"/>
          <w:highlight w:val="none"/>
        </w:rPr>
        <w:fldChar w:fldCharType="end"/>
      </w:r>
      <w:bookmarkEnd w:id="0"/>
      <w:r/>
      <w:bookmarkEnd w:id="1"/>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1"/>
        <w:numPr>
          <w:ilvl w:val="0"/>
          <w:numId w:val="2"/>
        </w:numPr>
        <w:rPr>
          <w:rFonts w:ascii="Microsoft New Tai Lue" w:hAnsi="Microsoft New Tai Lue" w:cs="Microsoft New Tai Lue"/>
          <w:color w:val="auto"/>
          <w:highlight w:val="none"/>
        </w:rPr>
      </w:pPr>
      <w:r/>
      <w:bookmarkStart w:id="2" w:name="_Toc80264697"/>
      <w:r/>
      <w:bookmarkStart w:id="3" w:name="_Toc80792688"/>
      <w:r>
        <w:rPr>
          <w:rFonts w:hint="eastAsia" w:ascii="Microsoft New Tai Lue" w:hAnsi="Microsoft New Tai Lue" w:cs="Microsoft New Tai Lue"/>
          <w:color w:val="auto"/>
          <w:highlight w:val="none"/>
        </w:rPr>
        <w:br w:type="page" w:clear="all"/>
      </w:r>
      <w:bookmarkStart w:id="4" w:name="_Toc28448"/>
      <w:r>
        <w:rPr>
          <w:rFonts w:hint="eastAsia" w:ascii="Microsoft New Tai Lue" w:hAnsi="Microsoft New Tai Lue" w:cs="Microsoft New Tai Lue"/>
          <w:color w:val="auto"/>
          <w:highlight w:val="none"/>
        </w:rPr>
        <w:t xml:space="preserve">竞争性磋商公告</w:t>
      </w:r>
      <w:bookmarkEnd w:id="4"/>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lang w:eastAsia="zh-CN"/>
        </w:rPr>
        <w:t xml:space="preserve">栖霞区民政局2026-2029年度养老服务指导中心运营项目</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val="en-US" w:eastAsia="zh-CN"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9</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28</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09</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5" w:name="_Toc96347851"/>
      <w:r/>
      <w:bookmarkStart w:id="6" w:name="_Toc93909065"/>
      <w:r>
        <w:rPr>
          <w:rFonts w:ascii="Microsoft New Tai Lue" w:hAnsi="Microsoft New Tai Lue" w:cs="Microsoft New Tai Lue"/>
          <w:b/>
          <w:bCs/>
          <w:color w:val="auto"/>
          <w:szCs w:val="44"/>
          <w:highlight w:val="none"/>
        </w:rPr>
        <w:t xml:space="preserve">一、项目</w:t>
      </w:r>
      <w:bookmarkEnd w:id="2"/>
      <w:r>
        <w:rPr>
          <w:rFonts w:ascii="Microsoft New Tai Lue" w:hAnsi="Microsoft New Tai Lue" w:cs="Microsoft New Tai Lue"/>
          <w:b/>
          <w:bCs/>
          <w:color w:val="auto"/>
          <w:szCs w:val="44"/>
          <w:highlight w:val="none"/>
        </w:rPr>
        <w:t xml:space="preserve">基本情况</w:t>
      </w:r>
      <w:bookmarkEnd w:id="3"/>
      <w:r/>
      <w:bookmarkEnd w:id="5"/>
      <w:r/>
      <w:bookmarkEnd w:id="6"/>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JSZC-320113-JITC-C2026-0340</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lang w:eastAsia="zh-CN"/>
        </w:rPr>
        <w:t xml:space="preserve">栖霞区民政局2026-2029年度养老服务指导中心运营项目</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Microsoft New Tai Lue" w:hAnsi="Microsoft New Tai Lue" w:cs="Microsoft New Tai Lue"/>
          <w:bCs/>
          <w:color w:val="auto"/>
          <w:szCs w:val="21"/>
          <w:highlight w:val="none"/>
          <w:lang w:val="en-US" w:eastAsia="zh-CN"/>
        </w:rPr>
        <w:t xml:space="preserve">258万元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ascii="宋体" w:hAnsi="宋体" w:eastAsia="宋体" w:cs="宋体"/>
          <w:b/>
          <w:color w:val="000000"/>
          <w:sz w:val="21"/>
        </w:rPr>
        <w:t xml:space="preserve">本项目预算金额258万元为三年总预算。最高限价为258万元/3年,86万元/年。供应商报价不得超过上述金额，否则将作无效响应处理</w:t>
      </w:r>
      <w:r>
        <w:rPr>
          <w:rFonts w:hint="eastAsia" w:ascii="宋体" w:hAnsi="宋体" w:eastAsia="宋体" w:cs="宋体"/>
          <w:b/>
          <w:color w:val="auto"/>
          <w:szCs w:val="21"/>
          <w:highlight w:val="none"/>
          <w:lang w:val="en-US" w:eastAsia="zh-CN"/>
        </w:rPr>
        <w:t xml:space="preserve">。</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lang w:eastAsia="zh-CN"/>
        </w:rPr>
        <w:t xml:space="preserve">：</w:t>
      </w:r>
      <w:r>
        <w:rPr>
          <w:rFonts w:hint="eastAsia" w:ascii="宋体" w:hAnsi="宋体" w:cs="宋体"/>
          <w:bCs/>
          <w:color w:val="auto"/>
          <w:szCs w:val="21"/>
          <w:highlight w:val="none"/>
          <w:u w:val="none"/>
          <w:lang w:eastAsia="zh-CN"/>
        </w:rPr>
        <w:t xml:space="preserve">为进一步提升区级养老服务指导中心运营效能，拟采购专业第三方运营服务。运营单位需承担区级养老服务指导中心日常运营管理，“栖彩颐养”信息化系统运维，对辖区内养老服务组织提供专业的服务指导、人员培训等专业支撑，为辖区老年人链接相关养老资源等，统筹推动区域养老服务资源高效利用，配合开展区内养老服务工作的业务指导和监督检查。具体服务内容包括:全区养老服务资源统筹与信息发布、“栖彩颐养”信息系统运维协助、养老服务机构日常监管辅助、养老服务政策宜传与咨询、养老服务业务指导、养老服务数据统计与分析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具体要求详见招标文件第四章《采购需求》</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标段划分：本项目共划分1个标段。</w:t>
      </w:r>
      <w:r/>
    </w:p>
    <w:p>
      <w:pPr>
        <w:ind w:firstLine="420"/>
        <w:spacing w:line="360" w:lineRule="auto"/>
        <w:rPr>
          <w:rFonts w:hint="eastAsia" w:ascii="宋体" w:hAnsi="宋体" w:eastAsia="宋体" w:cs="宋体"/>
          <w:b/>
          <w:bCs w:val="0"/>
          <w:color w:val="auto"/>
          <w:szCs w:val="21"/>
          <w:highlight w:val="none"/>
          <w:lang w:val="zh-CN"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合同履行期限：</w:t>
      </w:r>
      <w:r>
        <w:rPr>
          <w:rFonts w:hint="eastAsia" w:ascii="宋体" w:hAnsi="宋体" w:eastAsia="宋体" w:cs="宋体"/>
          <w:color w:val="auto"/>
          <w:sz w:val="21"/>
          <w:szCs w:val="21"/>
          <w:highlight w:val="none"/>
          <w:lang w:val="en-US" w:eastAsia="zh-CN"/>
        </w:rPr>
        <w:t xml:space="preserve">三年</w:t>
      </w:r>
      <w:r>
        <w:rPr>
          <w:rFonts w:hint="eastAsia" w:ascii="宋体" w:hAnsi="宋体" w:eastAsia="宋体" w:cs="宋体"/>
          <w:color w:val="auto"/>
          <w:sz w:val="21"/>
          <w:szCs w:val="21"/>
          <w:highlight w:val="none"/>
        </w:rPr>
        <w:t xml:space="preserve">。合同协议一年一签，合同协议期满后经采购人对其服务进行综合评价，评价合格后方可续签合同，无法通过评价或因政府政策调整不再适宜续签的，终止服务。</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本项目是否接受进口产品：不接受</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93909066"/>
      <w:r/>
      <w:bookmarkStart w:id="9" w:name="_Toc80792689"/>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hint="eastAsia" w:ascii="宋体" w:hAnsi="宋体" w:cs="宋体"/>
          <w:bCs/>
          <w:color w:val="auto"/>
          <w:szCs w:val="21"/>
          <w:highlight w:val="none"/>
        </w:rPr>
      </w:pPr>
      <w:r/>
      <w:bookmarkStart w:id="11" w:name="_Toc80264699"/>
      <w:r/>
      <w:bookmarkStart w:id="12" w:name="_Toc80792690"/>
      <w:r/>
      <w:bookmarkStart w:id="13" w:name="_Toc96347853"/>
      <w:r/>
      <w:bookmarkStart w:id="14" w:name="_Toc93909067"/>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2.1.2具有良好的商业信誉和健全的财务会计制度，提供</w:t>
      </w:r>
      <w:r>
        <w:rPr>
          <w:rFonts w:hint="eastAsia" w:ascii="宋体" w:hAnsi="宋体" w:cs="宋体"/>
          <w:bCs/>
          <w:color w:val="auto"/>
          <w:szCs w:val="21"/>
          <w:highlight w:val="none"/>
          <w:lang w:val="en-US" w:eastAsia="zh-CN"/>
        </w:rPr>
        <w:t xml:space="preserve">2025年度</w:t>
      </w:r>
      <w:r>
        <w:rPr>
          <w:rFonts w:hint="eastAsia" w:ascii="宋体" w:hAnsi="宋体" w:cs="宋体"/>
          <w:bCs/>
          <w:color w:val="auto"/>
          <w:szCs w:val="21"/>
          <w:highlight w:val="none"/>
        </w:rPr>
        <w:t xml:space="preserve">财务</w:t>
      </w:r>
      <w:r>
        <w:rPr>
          <w:rFonts w:hint="eastAsia" w:ascii="宋体" w:hAnsi="宋体" w:cs="宋体"/>
          <w:bCs/>
          <w:color w:val="auto"/>
          <w:szCs w:val="21"/>
          <w:highlight w:val="none"/>
          <w:lang w:val="en-US" w:eastAsia="zh-CN"/>
        </w:rPr>
        <w:t xml:space="preserve">报告</w:t>
      </w:r>
      <w:r>
        <w:rPr>
          <w:rFonts w:hint="eastAsia" w:ascii="宋体" w:hAnsi="宋体" w:cs="宋体"/>
          <w:bCs/>
          <w:color w:val="auto"/>
          <w:szCs w:val="21"/>
          <w:highlight w:val="none"/>
        </w:rPr>
        <w:t xml:space="preserve">复印件（如为新成立的公司，应提供公司成立之后的财务报表）或投标截止时间前3个月内，由其基本开户银行出具的资信证明；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01</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w:t>
      </w:r>
      <w:r>
        <w:rPr>
          <w:rFonts w:ascii="宋体" w:hAnsi="宋体" w:eastAsia="宋体" w:cs="宋体"/>
          <w:color w:val="auto"/>
          <w:sz w:val="21"/>
          <w:highlight w:val="none"/>
        </w:rPr>
        <w:t xml:space="preserve">法律、行政法规规定的其他条件：无。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2.3本项目的特定资格要求：</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2.3.1本项目的特定资格条件：</w:t>
      </w:r>
      <w:r>
        <w:rPr>
          <w:rFonts w:hint="eastAsia" w:ascii="宋体" w:hAnsi="宋体" w:cs="宋体"/>
          <w:b/>
          <w:bCs w:val="0"/>
          <w:color w:val="auto"/>
          <w:szCs w:val="21"/>
          <w:highlight w:val="none"/>
          <w:lang w:val="en-US" w:eastAsia="zh-CN"/>
        </w:rPr>
        <w:t xml:space="preserve">正在（服务期包含2026年9月29日及之后的）南京市</w:t>
      </w:r>
      <w:r>
        <w:rPr>
          <w:rFonts w:hint="eastAsia"/>
          <w:b/>
          <w:bCs/>
          <w:color w:val="auto"/>
          <w:highlight w:val="none"/>
          <w:lang w:val="en-US" w:eastAsia="zh-CN"/>
        </w:rPr>
        <w:t xml:space="preserve">栖霞区辖区内承接社区居家养老服务中心或政府购买养老服务项目</w:t>
      </w:r>
      <w:r>
        <w:rPr>
          <w:rFonts w:hint="eastAsia" w:ascii="宋体" w:hAnsi="宋体" w:cs="宋体"/>
          <w:b/>
          <w:bCs w:val="0"/>
          <w:color w:val="auto"/>
          <w:szCs w:val="21"/>
          <w:highlight w:val="none"/>
          <w:lang w:val="en-US" w:eastAsia="zh-CN"/>
        </w:rPr>
        <w:t xml:space="preserve">的供应商不得参加本次采购。（提供承诺书，格式自拟）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供应商存在下列情形的不得参加本次</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2.3.2.3</w:t>
      </w:r>
      <w:r>
        <w:rPr>
          <w:rFonts w:hint="eastAsia" w:ascii="宋体" w:hAnsi="宋体" w:cs="宋体"/>
          <w:bCs/>
          <w:color w:val="auto"/>
          <w:szCs w:val="21"/>
          <w:highlight w:val="none"/>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11"/>
      <w:r/>
      <w:bookmarkEnd w:id="12"/>
      <w:r/>
      <w:bookmarkEnd w:id="13"/>
      <w:r/>
      <w:bookmarkEnd w:id="14"/>
      <w:r/>
      <w:r/>
    </w:p>
    <w:p>
      <w:pPr>
        <w:spacing w:line="360" w:lineRule="auto"/>
        <w:rPr>
          <w:rFonts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15" w:name="_Toc28359082"/>
      <w:r/>
      <w:bookmarkStart w:id="16" w:name="_Toc28359005"/>
      <w:r/>
      <w:bookmarkStart w:id="17" w:name="_Toc38985266"/>
      <w:r/>
      <w:bookmarkStart w:id="18" w:name="_Toc35393793"/>
      <w:r/>
      <w:bookmarkStart w:id="19" w:name="_Toc35393624"/>
      <w:r>
        <w:rPr>
          <w:rFonts w:hint="eastAsia" w:ascii="Microsoft New Tai Lue" w:hAnsi="Microsoft New Tai Lue" w:eastAsia="宋体" w:cs="Microsoft New Tai Lue"/>
          <w:bCs/>
          <w:color w:val="auto"/>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四、</w:t>
      </w:r>
      <w:bookmarkEnd w:id="15"/>
      <w:r/>
      <w:bookmarkEnd w:id="16"/>
      <w:r>
        <w:rPr>
          <w:rFonts w:hint="eastAsia" w:ascii="Microsoft New Tai Lue" w:hAnsi="Microsoft New Tai Lue" w:eastAsia="宋体" w:cs="Microsoft New Tai Lue"/>
          <w:b/>
          <w:bCs/>
          <w:color w:val="auto"/>
          <w:szCs w:val="44"/>
          <w:highlight w:val="none"/>
          <w:lang w:eastAsia="zh-CN"/>
        </w:rPr>
        <w:t xml:space="preserve">响应文件</w:t>
      </w:r>
      <w:bookmarkEnd w:id="17"/>
      <w:r/>
      <w:bookmarkEnd w:id="18"/>
      <w:r/>
      <w:bookmarkEnd w:id="19"/>
      <w:r>
        <w:rPr>
          <w:rFonts w:hint="eastAsia" w:ascii="Microsoft New Tai Lue" w:hAnsi="Microsoft New Tai Lue" w:eastAsia="宋体" w:cs="Microsoft New Tai Lue"/>
          <w:b/>
          <w:bCs/>
          <w:color w:val="auto"/>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截</w:t>
      </w:r>
      <w:bookmarkStart w:id="20" w:name="OLE_LINK104"/>
      <w:r>
        <w:rPr>
          <w:rFonts w:hint="eastAsia" w:ascii="Microsoft New Tai Lue" w:hAnsi="Microsoft New Tai Lue" w:eastAsia="宋体" w:cs="Microsoft New Tai Lue"/>
          <w:bCs/>
          <w:color w:val="auto"/>
          <w:szCs w:val="21"/>
          <w:highlight w:val="none"/>
          <w:lang w:eastAsia="zh-CN"/>
        </w:rPr>
        <w:t xml:space="preserve">止</w:t>
      </w:r>
      <w:bookmarkStart w:id="21" w:name="OLE_LINK105"/>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cs="Microsoft New Tai Lue"/>
          <w:bCs/>
          <w:color w:val="auto"/>
          <w:szCs w:val="21"/>
          <w:highlight w:val="none"/>
          <w:lang w:val="en-US" w:eastAsia="zh-CN"/>
        </w:rPr>
        <w:t xml:space="preserve">28</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w:t>
      </w:r>
      <w:bookmarkEnd w:id="20"/>
      <w:r/>
      <w:bookmarkEnd w:id="21"/>
      <w:r/>
      <w:bookmarkStart w:id="22" w:name="OLE_LINK86"/>
      <w:r>
        <w:rPr>
          <w:rFonts w:hint="eastAsia" w:ascii="Microsoft New Tai Lue" w:hAnsi="Microsoft New Tai Lue" w:eastAsia="宋体" w:cs="Microsoft New Tai Lue"/>
          <w:bCs/>
          <w:color w:val="auto"/>
          <w:szCs w:val="21"/>
          <w:highlight w:val="none"/>
          <w:lang w:eastAsia="zh-CN"/>
        </w:rPr>
        <w:t xml:space="preserve">江苏省政府采购交易系统（以下简称“苏采云系统”）</w:t>
      </w:r>
      <w:bookmarkEnd w:id="22"/>
      <w:r/>
      <w:r/>
    </w:p>
    <w:p>
      <w:pPr>
        <w:spacing w:line="360" w:lineRule="auto"/>
        <w:rPr>
          <w:rFonts w:hint="eastAsia" w:ascii="Microsoft New Tai Lue" w:hAnsi="Microsoft New Tai Lue" w:eastAsia="宋体" w:cs="Microsoft New Tai Lue"/>
          <w:b/>
          <w:bCs/>
          <w:color w:val="auto"/>
          <w:szCs w:val="44"/>
          <w:highlight w:val="none"/>
          <w:lang w:eastAsia="zh-CN"/>
        </w:rPr>
      </w:pPr>
      <w:r/>
      <w:bookmarkStart w:id="23" w:name="_Toc28359007"/>
      <w:r/>
      <w:bookmarkStart w:id="24" w:name="_Toc38985267"/>
      <w:r/>
      <w:bookmarkStart w:id="25" w:name="_Toc35393794"/>
      <w:r/>
      <w:bookmarkStart w:id="26" w:name="_Toc35393625"/>
      <w:r/>
      <w:bookmarkStart w:id="27" w:name="_Toc28359084"/>
      <w:r>
        <w:rPr>
          <w:rFonts w:hint="eastAsia" w:ascii="Microsoft New Tai Lue" w:hAnsi="Microsoft New Tai Lue" w:eastAsia="宋体" w:cs="Microsoft New Tai Lue"/>
          <w:b/>
          <w:bCs/>
          <w:color w:val="auto"/>
          <w:szCs w:val="44"/>
          <w:highlight w:val="none"/>
          <w:lang w:eastAsia="zh-CN"/>
        </w:rPr>
        <w:t xml:space="preserve">五、</w:t>
      </w:r>
      <w:bookmarkEnd w:id="23"/>
      <w:r/>
      <w:bookmarkEnd w:id="24"/>
      <w:r/>
      <w:bookmarkEnd w:id="25"/>
      <w:r/>
      <w:bookmarkEnd w:id="26"/>
      <w:r/>
      <w:bookmarkEnd w:id="27"/>
      <w:r>
        <w:rPr>
          <w:rFonts w:hint="eastAsia" w:ascii="Microsoft New Tai Lue" w:hAnsi="Microsoft New Tai Lue" w:eastAsia="宋体" w:cs="Microsoft New Tai Lue"/>
          <w:b/>
          <w:bCs/>
          <w:color w:val="auto"/>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cs="Microsoft New Tai Lue"/>
          <w:bCs/>
          <w:color w:val="auto"/>
          <w:szCs w:val="21"/>
          <w:highlight w:val="none"/>
          <w:lang w:val="en-US" w:eastAsia="zh-CN"/>
        </w:rPr>
        <w:t xml:space="preserve">28</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cs="Microsoft New Tai Lue"/>
          <w:bCs/>
          <w:color w:val="auto"/>
          <w:szCs w:val="21"/>
          <w:highlight w:val="none"/>
          <w:lang w:val="en-US" w:eastAsia="zh-CN"/>
        </w:rPr>
        <w:t xml:space="preserve">09</w:t>
      </w:r>
      <w:bookmarkStart w:id="215" w:name="_GoBack"/>
      <w:r/>
      <w:bookmarkEnd w:id="215"/>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地点：苏采云系统网上开标大厅</w:t>
      </w:r>
      <w:r/>
    </w:p>
    <w:p>
      <w:pPr>
        <w:spacing w:after="0" w:line="360" w:lineRule="auto"/>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auto"/>
          <w:szCs w:val="44"/>
          <w:highlight w:val="none"/>
        </w:rPr>
      </w:pPr>
      <w:r/>
      <w:bookmarkStart w:id="28" w:name="_Toc93909070"/>
      <w:r/>
      <w:bookmarkStart w:id="29" w:name="_Toc96347856"/>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8"/>
      <w:r/>
      <w:bookmarkEnd w:id="29"/>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30" w:name="_Toc80792694"/>
      <w:r/>
      <w:bookmarkStart w:id="31" w:name="_Toc80264702"/>
      <w:r/>
      <w:bookmarkStart w:id="32" w:name="_Toc96347857"/>
      <w:r/>
      <w:bookmarkStart w:id="33" w:name="_Toc93909071"/>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1</w:t>
      </w:r>
      <w:r>
        <w:rPr>
          <w:rFonts w:ascii="Microsoft New Tai Lue" w:hAnsi="Microsoft New Tai Lue" w:cs="Microsoft New Tai Lue"/>
          <w:bCs/>
          <w:color w:val="auto"/>
          <w:szCs w:val="21"/>
          <w:highlight w:val="none"/>
        </w:rPr>
        <w:t xml:space="preserve">）《政府采购促进中小企业发展管理办法》</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）《关于进一步加大政府采购支持中小企业力度的通知》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ascii="Microsoft New Tai Lue" w:hAnsi="Microsoft New Tai Lue" w:cs="Microsoft New Tai Lue"/>
          <w:bCs/>
          <w:color w:val="auto"/>
          <w:szCs w:val="21"/>
          <w:highlight w:val="none"/>
        </w:rPr>
        <w:t xml:space="preserve">）《关于政府采购支持监狱企业发展有关问题的通知》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5</w:t>
      </w:r>
      <w:r>
        <w:rPr>
          <w:rFonts w:ascii="Microsoft New Tai Lue" w:hAnsi="Microsoft New Tai Lue" w:cs="Microsoft New Tai Lue"/>
          <w:bCs/>
          <w:color w:val="auto"/>
          <w:szCs w:val="21"/>
          <w:highlight w:val="none"/>
        </w:rPr>
        <w:t xml:space="preserve">）《关于调整优化节能产品、环境标志产品政府采购执行机制的通知》</w:t>
      </w:r>
      <w:r/>
    </w:p>
    <w:p>
      <w:pPr>
        <w:ind w:firstLine="420"/>
        <w:spacing w:line="360" w:lineRule="auto"/>
        <w:rPr>
          <w:rFonts w:hint="eastAsia" w:ascii="Microsoft New Tai Lue" w:hAnsi="Microsoft New Tai Lue" w:eastAsia="宋体" w:cs="Microsoft New Tai Lue"/>
          <w:bCs/>
          <w:color w:val="auto"/>
          <w:szCs w:val="21"/>
          <w:highlight w:val="none"/>
        </w:rPr>
      </w:pPr>
      <w:r>
        <w:rPr>
          <w:rFonts w:hint="eastAsia" w:ascii="Microsoft New Tai Lue" w:hAnsi="Microsoft New Tai Lue" w:eastAsia="宋体" w:cs="Microsoft New Tai Lue"/>
          <w:bCs/>
          <w:color w:val="auto"/>
          <w:szCs w:val="21"/>
          <w:highlight w:val="none"/>
        </w:rPr>
        <w:t xml:space="preserve">（</w:t>
      </w:r>
      <w:r>
        <w:rPr>
          <w:rFonts w:hint="eastAsia" w:ascii="Microsoft New Tai Lue" w:hAnsi="Microsoft New Tai Lue" w:eastAsia="宋体" w:cs="Microsoft New Tai Lue"/>
          <w:bCs/>
          <w:color w:val="auto"/>
          <w:szCs w:val="21"/>
          <w:highlight w:val="none"/>
          <w:lang w:val="en-US" w:eastAsia="zh-CN"/>
        </w:rPr>
        <w:t xml:space="preserve">6</w:t>
      </w:r>
      <w:r>
        <w:rPr>
          <w:rFonts w:hint="eastAsia" w:ascii="Microsoft New Tai Lue" w:hAnsi="Microsoft New Tai Lue" w:eastAsia="宋体" w:cs="Microsoft New Tai Lue"/>
          <w:bCs/>
          <w:color w:val="auto"/>
          <w:szCs w:val="21"/>
          <w:highlight w:val="none"/>
        </w:rPr>
        <w:t xml:space="preserve">）《关于做好政府采购支持企业发展有关事项的通知》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2、供应商诚信档案管理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numPr>
          <w:ilvl w:val="0"/>
          <w:numId w:val="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在政府采购资格审查环节，供应商只需提供书面《南京市政府采购供应商信用承诺书》，即可替代以下证明材料：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（1）符合国家相关规定的财务状况报告；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（2）依法缴纳税收的证明材料；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（3）依法缴纳社会保障资金的证明材料；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成交</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供应商涉及以下情形的，不适用信用承诺：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（1）供应商被列入严重失信主体名单；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（7）苏采云系统使用谷歌浏览器参与不见面开标。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（8）“苏采云”南京地区客服热线025-83633744、025-83633743。</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0"/>
      <w:r/>
      <w:bookmarkEnd w:id="31"/>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2"/>
      <w:r/>
      <w:bookmarkEnd w:id="33"/>
      <w:r/>
      <w:r/>
    </w:p>
    <w:p>
      <w:pPr>
        <w:ind w:firstLine="525"/>
        <w:spacing w:line="360" w:lineRule="auto"/>
        <w:rPr>
          <w:rFonts w:ascii="Microsoft New Tai Lue" w:hAnsi="Microsoft New Tai Lue" w:cs="Microsoft New Tai Lue"/>
          <w:color w:val="auto"/>
          <w:szCs w:val="21"/>
          <w:highlight w:val="none"/>
        </w:rPr>
      </w:pPr>
      <w:r/>
      <w:bookmarkStart w:id="34"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hint="eastAsia"/>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color w:val="auto"/>
          <w:szCs w:val="21"/>
          <w:highlight w:val="none"/>
          <w:lang w:eastAsia="zh-CN"/>
        </w:rPr>
        <w:t xml:space="preserve">南京市栖霞区民政局</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lang w:val="en-US" w:eastAsia="zh-CN"/>
        </w:rPr>
        <w:t xml:space="preserve">南京市栖霞区文苑路118号8817</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蒯老师 </w:t>
      </w:r>
      <w:r/>
    </w:p>
    <w:p>
      <w:pPr>
        <w:ind w:firstLine="525"/>
        <w:spacing w:line="360" w:lineRule="auto"/>
        <w:rPr>
          <w:rFonts w:hint="eastAsia" w:ascii="宋体" w:hAnsi="宋体" w:eastAsia="宋体" w:cs="宋体"/>
          <w:color w:val="auto"/>
          <w:szCs w:val="21"/>
          <w:highlight w:val="none"/>
          <w:lang w:val="en-US" w:eastAsia="zh-CN"/>
        </w:rPr>
      </w:pPr>
      <w:r>
        <w:rPr>
          <w:rFonts w:hint="eastAsia" w:ascii="Microsoft New Tai Lue" w:hAnsi="Microsoft New Tai Lue" w:cs="Microsoft New Tai Lue"/>
          <w:color w:val="auto"/>
          <w:szCs w:val="21"/>
          <w:highlight w:val="none"/>
        </w:rPr>
        <w:t xml:space="preserve">联系方式：</w:t>
      </w:r>
      <w:bookmarkEnd w:id="34"/>
      <w:r>
        <w:rPr>
          <w:rFonts w:hint="eastAsia" w:ascii="Microsoft New Tai Lue" w:hAnsi="Microsoft New Tai Lue" w:cs="Microsoft New Tai Lue"/>
          <w:color w:val="auto"/>
          <w:szCs w:val="21"/>
          <w:highlight w:val="none"/>
          <w:lang w:val="en-US" w:eastAsia="zh-CN"/>
        </w:rPr>
        <w:t xml:space="preserve">025-85337223 </w:t>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宋体" w:hAnsi="宋体" w:eastAsia="宋体" w:cs="宋体"/>
          <w:color w:val="auto"/>
          <w:sz w:val="21"/>
          <w:szCs w:val="21"/>
          <w:highlight w:val="none"/>
          <w:lang w:val="en-US" w:eastAsia="zh-CN"/>
        </w:rPr>
        <w:t xml:space="preserve">南京市雨花台区宁双路19号C栋3楼 305室</w:t>
      </w:r>
      <w:r/>
    </w:p>
    <w:p>
      <w:pPr>
        <w:ind w:firstLine="525"/>
        <w:spacing w:line="360" w:lineRule="auto"/>
        <w:rPr>
          <w:rFonts w:ascii="宋体" w:hAnsi="宋体" w:eastAsia="宋体" w:cs="宋体"/>
          <w:color w:val="auto"/>
          <w:szCs w:val="21"/>
          <w:highlight w:val="none"/>
          <w:lang w:val="en-US" w:eastAsia="zh-CN" w:bidi="ar"/>
        </w:rPr>
      </w:pPr>
      <w:r>
        <w:rPr>
          <w:rFonts w:ascii="Microsoft New Tai Lue" w:hAnsi="Microsoft New Tai Lue" w:cs="Microsoft New Tai Lue"/>
          <w:color w:val="auto"/>
          <w:szCs w:val="21"/>
          <w:highlight w:val="none"/>
        </w:rPr>
        <w:t xml:space="preserve">联系人：</w:t>
      </w:r>
      <w:r>
        <w:rPr>
          <w:rFonts w:hint="eastAsia" w:ascii="宋体" w:hAnsi="宋体" w:cs="宋体"/>
          <w:color w:val="auto"/>
          <w:szCs w:val="21"/>
          <w:highlight w:val="none"/>
          <w:lang w:bidi="ar"/>
        </w:rPr>
        <w:t xml:space="preserve">史平华、</w:t>
      </w:r>
      <w:r>
        <w:rPr>
          <w:rFonts w:hint="eastAsia" w:ascii="宋体" w:hAnsi="宋体" w:cs="宋体"/>
          <w:color w:val="auto"/>
          <w:szCs w:val="21"/>
          <w:highlight w:val="none"/>
          <w:lang w:val="en-US" w:eastAsia="zh-CN" w:bidi="ar"/>
        </w:rPr>
        <w:t xml:space="preserve">陆新一、马继烨、黄锡芳、宗超</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bidi="ar"/>
        </w:rPr>
        <w:t xml:space="preserve">15951799162   19941561767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宋体" w:hAnsi="宋体" w:cs="宋体"/>
          <w:color w:val="auto"/>
          <w:szCs w:val="21"/>
          <w:highlight w:val="none"/>
          <w:lang w:bidi="ar"/>
        </w:rPr>
        <w:t xml:space="preserve">史平华</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宋体" w:hAnsi="宋体" w:cs="宋体"/>
          <w:color w:val="auto"/>
          <w:szCs w:val="21"/>
          <w:highlight w:val="none"/>
          <w:lang w:bidi="ar"/>
        </w:rPr>
        <w:t xml:space="preserve">15951799162</w:t>
      </w:r>
      <w:r/>
    </w:p>
    <w:p>
      <w:pPr>
        <w:pStyle w:val="991"/>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5"/>
      <w:r/>
      <w:bookmarkStart w:id="37" w:name="_Toc6347"/>
      <w:r>
        <w:rPr>
          <w:rFonts w:ascii="Microsoft New Tai Lue" w:hAnsi="Microsoft New Tai Lue" w:cs="Microsoft New Tai Lue"/>
          <w:color w:val="auto"/>
          <w:highlight w:val="none"/>
        </w:rPr>
        <w:t xml:space="preserve">供应商须知</w:t>
      </w:r>
      <w:bookmarkEnd w:id="36"/>
      <w:r/>
      <w:bookmarkEnd w:id="37"/>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69"/>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1012"/>
              <w:spacing w:before="160" w:line="276" w:lineRule="auto"/>
              <w:rPr>
                <w:rFonts w:hint="eastAsia" w:eastAsia="宋体" w:cs="Microsoft New Tai Lue"/>
                <w:color w:val="auto"/>
                <w:sz w:val="21"/>
                <w:szCs w:val="21"/>
                <w:highlight w:val="none"/>
                <w:lang w:val="en-US" w:eastAsia="zh-CN" w:bidi="ar-SA"/>
              </w:rPr>
            </w:pPr>
            <w:r>
              <w:rPr>
                <w:rFonts w:hint="eastAsia"/>
                <w:color w:val="auto"/>
                <w:sz w:val="21"/>
                <w:szCs w:val="21"/>
                <w:highlight w:val="none"/>
                <w:lang w:val="en-US" w:bidi="ar-SA"/>
              </w:rPr>
              <w:t xml:space="preserve">名 称：</w:t>
            </w:r>
            <w:r>
              <w:rPr>
                <w:rFonts w:hint="eastAsia" w:cs="Microsoft New Tai Lue"/>
                <w:color w:val="auto"/>
                <w:sz w:val="21"/>
                <w:szCs w:val="21"/>
                <w:highlight w:val="none"/>
                <w:lang w:val="en-US" w:eastAsia="zh-CN" w:bidi="ar-SA"/>
              </w:rPr>
              <w:t xml:space="preserve">南京市栖霞区民政局</w:t>
            </w:r>
            <w:r/>
          </w:p>
          <w:p>
            <w:pPr>
              <w:pStyle w:val="1012"/>
              <w:spacing w:before="160" w:line="276"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地</w:t>
            </w:r>
            <w:r>
              <w:rPr>
                <w:rFonts w:hint="eastAsia" w:ascii="Microsoft New Tai Lue" w:hAnsi="Microsoft New Tai Lue" w:cs="Microsoft New Tai Lue"/>
                <w:color w:val="auto"/>
                <w:szCs w:val="21"/>
                <w:highlight w:val="none"/>
                <w:lang w:val="en-US" w:eastAsia="zh-CN"/>
              </w:rPr>
              <w:t xml:space="preserve"> </w:t>
            </w:r>
            <w:r>
              <w:rPr>
                <w:rFonts w:hint="eastAsia" w:ascii="Microsoft New Tai Lue" w:hAnsi="Microsoft New Tai Lue" w:cs="Microsoft New Tai Lue"/>
                <w:color w:val="auto"/>
                <w:szCs w:val="21"/>
                <w:highlight w:val="none"/>
              </w:rPr>
              <w:t xml:space="preserve">址：</w:t>
            </w:r>
            <w:r>
              <w:rPr>
                <w:rFonts w:hint="eastAsia" w:ascii="Microsoft New Tai Lue" w:hAnsi="Microsoft New Tai Lue" w:cs="Microsoft New Tai Lue"/>
                <w:color w:val="auto"/>
                <w:szCs w:val="21"/>
                <w:highlight w:val="none"/>
                <w:lang w:eastAsia="zh-CN"/>
              </w:rPr>
              <w:t xml:space="preserve">南京市栖霞区文苑路118号8817</w:t>
            </w:r>
            <w:r/>
          </w:p>
          <w:p>
            <w:pPr>
              <w:pStyle w:val="1012"/>
              <w:spacing w:before="160" w:line="276"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蒯老师</w:t>
            </w:r>
            <w:r/>
          </w:p>
          <w:p>
            <w:pPr>
              <w:pStyle w:val="1012"/>
              <w:spacing w:before="160" w:line="276" w:lineRule="auto"/>
              <w:rPr>
                <w:rFonts w:hint="eastAsia" w:eastAsia="宋体"/>
                <w:color w:val="auto"/>
                <w:sz w:val="21"/>
                <w:szCs w:val="21"/>
                <w:highlight w:val="none"/>
                <w:lang w:val="en-US" w:eastAsia="zh-CN"/>
              </w:rPr>
            </w:pPr>
            <w:r>
              <w:rPr>
                <w:rFonts w:hint="eastAsia"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val="en-US" w:eastAsia="zh-CN"/>
              </w:rPr>
              <w:t xml:space="preserve">025-85337223</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12"/>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12"/>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ascii="宋体" w:hAnsi="宋体" w:eastAsia="宋体" w:cs="宋体"/>
                <w:color w:val="auto"/>
                <w:sz w:val="21"/>
                <w:szCs w:val="21"/>
                <w:highlight w:val="none"/>
                <w:lang w:val="en-US" w:eastAsia="zh-CN"/>
              </w:rPr>
              <w:t xml:space="preserve">南京市雨花台区宁双路19号C栋3楼 305室</w:t>
            </w:r>
            <w:r/>
          </w:p>
          <w:p>
            <w:pPr>
              <w:pStyle w:val="1012"/>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12"/>
              <w:spacing w:before="160" w:line="276" w:lineRule="auto"/>
              <w:rPr>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Pr>
        <w:tc>
          <w:tcPr>
            <w:tcW w:w="675" w:type="dxa"/>
            <w:vAlign w:val="center"/>
            <w:textDirection w:val="lrTb"/>
            <w:noWrap w:val="false"/>
          </w:tcPr>
          <w:p>
            <w:pPr>
              <w:pStyle w:val="985"/>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985"/>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985"/>
              <w:ind w:left="0" w:firstLine="0"/>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ind w:left="0" w:right="0" w:firstLine="0"/>
              <w:jc w:val="both"/>
              <w:keepLines w:val="0"/>
              <w:keepNext w:val="0"/>
              <w:spacing w:before="0" w:beforeAutospacing="0" w:after="0" w:afterAutospacing="0" w:line="276" w:lineRule="auto"/>
              <w:rPr>
                <w:rFonts w:ascii="宋体" w:hAnsi="宋体" w:cs="Microsoft New Tai Lue"/>
                <w:bCs/>
                <w:color w:val="auto"/>
                <w:szCs w:val="21"/>
                <w:highlight w:val="none"/>
              </w:rPr>
              <w:suppressLineNumbers w:val="0"/>
            </w:pPr>
            <w:r>
              <w:rPr>
                <w:rFonts w:hint="eastAsia" w:ascii="Segoe UI Symbol" w:hAnsi="Segoe UI Symbol" w:cs="Segoe UI Symbol"/>
                <w:bCs/>
                <w:color w:val="auto"/>
                <w:szCs w:val="21"/>
                <w:highlight w:val="none"/>
              </w:rPr>
              <w:t xml:space="preserve">■</w:t>
            </w:r>
            <w:r>
              <w:rPr>
                <w:rFonts w:hint="eastAsia" w:ascii="Segoe UI Symbol" w:hAnsi="Segoe UI Symbol" w:cs="Segoe UI Symbol"/>
                <w:bCs/>
                <w:color w:val="auto"/>
                <w:szCs w:val="21"/>
                <w:highlight w:val="none"/>
                <w:lang w:eastAsia="zh-CN"/>
              </w:rPr>
              <w:t xml:space="preserve">，</w:t>
            </w:r>
            <w:r>
              <w:rPr>
                <w:rFonts w:ascii="宋体" w:hAnsi="宋体" w:cs="Microsoft New Tai Lue"/>
                <w:bCs/>
                <w:color w:val="auto"/>
                <w:szCs w:val="21"/>
                <w:highlight w:val="none"/>
              </w:rPr>
              <w:t xml:space="preserve">组织</w:t>
            </w:r>
            <w:r/>
          </w:p>
          <w:p>
            <w:pPr>
              <w:ind w:firstLine="0"/>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（1）踏勘时间：2026年</w:t>
            </w:r>
            <w:r>
              <w:rPr>
                <w:rFonts w:hint="eastAsia" w:ascii="宋体" w:hAnsi="宋体" w:cs="宋体"/>
                <w:bCs/>
                <w:color w:val="auto"/>
                <w:sz w:val="21"/>
                <w:szCs w:val="21"/>
                <w:highlight w:val="none"/>
                <w:lang w:val="en-US" w:eastAsia="zh-CN" w:bidi="ar-SA"/>
              </w:rPr>
              <w:t xml:space="preserve">9</w:t>
            </w:r>
            <w:r>
              <w:rPr>
                <w:rFonts w:hint="default" w:ascii="宋体" w:hAnsi="宋体" w:cs="宋体"/>
                <w:bCs/>
                <w:color w:val="auto"/>
                <w:sz w:val="21"/>
                <w:szCs w:val="21"/>
                <w:highlight w:val="none"/>
                <w:lang w:val="en-US" w:eastAsia="zh-CN" w:bidi="ar-SA"/>
              </w:rPr>
              <w:t xml:space="preserve">月</w:t>
            </w:r>
            <w:r>
              <w:rPr>
                <w:rFonts w:hint="eastAsia" w:ascii="宋体" w:hAnsi="宋体" w:cs="宋体"/>
                <w:bCs/>
                <w:color w:val="auto"/>
                <w:sz w:val="21"/>
                <w:szCs w:val="21"/>
                <w:highlight w:val="none"/>
                <w:u w:val="none"/>
                <w:lang w:val="en-US" w:eastAsia="zh-CN" w:bidi="ar-SA"/>
              </w:rPr>
              <w:t xml:space="preserve">24</w:t>
            </w:r>
            <w:r>
              <w:rPr>
                <w:rFonts w:hint="default" w:ascii="宋体" w:hAnsi="宋体" w:cs="宋体"/>
                <w:bCs/>
                <w:color w:val="auto"/>
                <w:sz w:val="21"/>
                <w:szCs w:val="21"/>
                <w:highlight w:val="none"/>
                <w:lang w:val="en-US" w:eastAsia="zh-CN" w:bidi="ar-SA"/>
              </w:rPr>
              <w:t xml:space="preserve">日</w:t>
            </w:r>
            <w:r>
              <w:rPr>
                <w:rFonts w:hint="eastAsia" w:ascii="宋体" w:hAnsi="宋体" w:cs="宋体"/>
                <w:bCs/>
                <w:color w:val="auto"/>
                <w:sz w:val="21"/>
                <w:szCs w:val="21"/>
                <w:highlight w:val="none"/>
                <w:lang w:val="en-US" w:eastAsia="zh-CN" w:bidi="ar-SA"/>
              </w:rPr>
              <w:t xml:space="preserve">09:30-</w:t>
            </w:r>
            <w:r>
              <w:rPr>
                <w:rFonts w:hint="default" w:ascii="宋体" w:hAnsi="宋体" w:cs="宋体"/>
                <w:bCs/>
                <w:color w:val="auto"/>
                <w:sz w:val="21"/>
                <w:szCs w:val="21"/>
                <w:highlight w:val="none"/>
                <w:lang w:val="en-US" w:eastAsia="zh-CN" w:bidi="ar-SA"/>
              </w:rPr>
              <w:t xml:space="preserve">10：00</w:t>
            </w:r>
            <w:r>
              <w:rPr>
                <w:rFonts w:hint="eastAsia" w:ascii="宋体" w:hAnsi="宋体" w:cs="宋体"/>
                <w:bCs/>
                <w:color w:val="auto"/>
                <w:sz w:val="21"/>
                <w:szCs w:val="21"/>
                <w:highlight w:val="none"/>
                <w:lang w:val="en-US" w:eastAsia="zh-CN" w:bidi="ar-SA"/>
              </w:rPr>
              <w:t xml:space="preserve">，过时不候</w:t>
            </w:r>
            <w:r>
              <w:rPr>
                <w:rFonts w:hint="default" w:ascii="宋体" w:hAnsi="宋体" w:cs="宋体"/>
                <w:bCs/>
                <w:color w:val="auto"/>
                <w:sz w:val="21"/>
                <w:szCs w:val="21"/>
                <w:highlight w:val="none"/>
                <w:lang w:val="en-US" w:eastAsia="zh-CN" w:bidi="ar-SA"/>
              </w:rPr>
              <w:t xml:space="preserve">。</w:t>
            </w:r>
            <w:r/>
          </w:p>
          <w:p>
            <w:pPr>
              <w:ind w:firstLine="0"/>
              <w:jc w:val="both"/>
              <w:spacing w:line="276" w:lineRule="auto"/>
              <w:widowControl w:val="off"/>
              <w:rPr>
                <w:rFonts w:hint="default" w:ascii="宋体" w:hAnsi="宋体" w:eastAsia="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（2）踏勘地点:</w:t>
            </w:r>
            <w:r>
              <w:rPr>
                <w:rFonts w:hint="eastAsia" w:ascii="宋体" w:hAnsi="宋体" w:cs="宋体"/>
                <w:bCs/>
                <w:color w:val="auto"/>
                <w:sz w:val="21"/>
                <w:szCs w:val="21"/>
                <w:highlight w:val="none"/>
                <w:lang w:val="en-US" w:eastAsia="zh-CN" w:bidi="ar-SA"/>
              </w:rPr>
              <w:t xml:space="preserve">栖霞区养老服务指导中心，栖霞区瑞福大街与栖梧路交叉口东60米 </w:t>
            </w:r>
            <w:r/>
          </w:p>
          <w:p>
            <w:pPr>
              <w:ind w:firstLine="0"/>
              <w:jc w:val="both"/>
              <w:spacing w:line="276" w:lineRule="auto"/>
              <w:widowControl w:val="off"/>
              <w:rPr>
                <w:rFonts w:hint="eastAsia"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（3）联系人：</w:t>
            </w:r>
            <w:r>
              <w:rPr>
                <w:rFonts w:hint="eastAsia" w:ascii="宋体" w:hAnsi="宋体" w:cs="宋体"/>
                <w:bCs/>
                <w:color w:val="auto"/>
                <w:sz w:val="21"/>
                <w:szCs w:val="21"/>
                <w:highlight w:val="none"/>
                <w:lang w:val="en-US" w:eastAsia="zh-CN" w:bidi="ar-SA"/>
              </w:rPr>
              <w:t xml:space="preserve">王老师</w:t>
            </w:r>
            <w:r/>
          </w:p>
          <w:p>
            <w:pPr>
              <w:ind w:firstLine="420"/>
              <w:spacing w:line="276" w:lineRule="auto"/>
              <w:rPr>
                <w:rFonts w:hint="default" w:ascii="宋体" w:hAnsi="宋体" w:cs="宋体"/>
                <w:color w:val="auto"/>
                <w:sz w:val="24"/>
                <w:szCs w:val="24"/>
                <w:highlight w:val="none"/>
                <w:lang w:val="en-US" w:eastAsia="zh-CN"/>
              </w:rPr>
            </w:pPr>
            <w:r>
              <w:rPr>
                <w:rFonts w:hint="default" w:ascii="宋体" w:hAnsi="宋体" w:cs="宋体"/>
                <w:bCs/>
                <w:color w:val="auto"/>
                <w:sz w:val="21"/>
                <w:szCs w:val="21"/>
                <w:highlight w:val="none"/>
                <w:lang w:val="en-US" w:eastAsia="zh-CN" w:bidi="ar-SA"/>
              </w:rPr>
              <w:t xml:space="preserve">联系方式：</w:t>
            </w:r>
            <w:r>
              <w:rPr>
                <w:rFonts w:hint="eastAsia" w:ascii="宋体" w:hAnsi="宋体" w:cs="宋体"/>
                <w:color w:val="auto"/>
                <w:sz w:val="24"/>
                <w:szCs w:val="24"/>
                <w:highlight w:val="none"/>
                <w:lang w:val="en-US" w:eastAsia="zh-CN"/>
              </w:rPr>
              <w:t xml:space="preserve">15051155788</w:t>
            </w:r>
            <w:r/>
          </w:p>
          <w:p>
            <w:pPr>
              <w:ind w:firstLine="0"/>
              <w:spacing w:line="276" w:lineRule="auto"/>
              <w:rPr>
                <w:color w:val="auto"/>
                <w:highlight w:val="none"/>
                <w:lang w:val="en-US" w:eastAsia="zh-CN"/>
              </w:rPr>
            </w:pPr>
            <w:r>
              <w:rPr>
                <w:rFonts w:hint="default" w:ascii="宋体" w:hAnsi="宋体" w:cs="宋体"/>
                <w:bCs/>
                <w:color w:val="auto"/>
                <w:sz w:val="21"/>
                <w:szCs w:val="21"/>
                <w:highlight w:val="none"/>
                <w:lang w:val="en-US" w:eastAsia="zh-CN" w:bidi="ar-SA"/>
              </w:rPr>
              <w:t xml:space="preserve">（4）参加人员要求：</w:t>
            </w:r>
            <w:r>
              <w:rPr>
                <w:rFonts w:hint="default" w:ascii="宋体" w:hAnsi="宋体" w:cs="宋体"/>
                <w:b/>
                <w:bCs w:val="0"/>
                <w:color w:val="auto"/>
                <w:sz w:val="21"/>
                <w:szCs w:val="21"/>
                <w:highlight w:val="none"/>
                <w:lang w:val="en-US" w:eastAsia="zh-CN" w:bidi="ar-SA"/>
              </w:rPr>
              <w:t xml:space="preserve">参加现场踏勘的人员须携带投标供应商确认函</w:t>
            </w:r>
            <w:r>
              <w:rPr>
                <w:rFonts w:hint="eastAsia" w:ascii="宋体" w:hAnsi="宋体" w:cs="宋体"/>
                <w:b/>
                <w:bCs w:val="0"/>
                <w:color w:val="auto"/>
                <w:sz w:val="21"/>
                <w:szCs w:val="21"/>
                <w:highlight w:val="none"/>
                <w:lang w:val="en-US" w:eastAsia="zh-CN" w:bidi="ar-SA"/>
              </w:rPr>
              <w:t xml:space="preserve">（苏采云系统下载，样式附后）</w:t>
            </w:r>
            <w:r>
              <w:rPr>
                <w:rFonts w:hint="default" w:ascii="宋体" w:hAnsi="宋体" w:cs="宋体"/>
                <w:b/>
                <w:bCs w:val="0"/>
                <w:color w:val="auto"/>
                <w:sz w:val="21"/>
                <w:szCs w:val="21"/>
                <w:highlight w:val="none"/>
                <w:lang w:val="en-US" w:eastAsia="zh-CN" w:bidi="ar-SA"/>
              </w:rPr>
              <w:t xml:space="preserve">，否则将拒绝其踏勘。</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12"/>
              <w:spacing w:before="160"/>
              <w:rPr>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15"/>
              <w:spacing w:line="360" w:lineRule="auto"/>
              <w:rPr>
                <w:rFonts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ascii="宋体" w:hAnsi="宋体" w:eastAsia="宋体" w:cs="宋体"/>
                <w:color w:val="auto"/>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15"/>
              <w:jc w:val="left"/>
              <w:rPr>
                <w:rFonts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15"/>
              <w:spacing w:line="360" w:lineRule="auto"/>
              <w:rPr>
                <w:rFonts w:hAnsi="宋体" w:cs="宋体"/>
                <w:bCs/>
                <w:color w:val="auto"/>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不要求提供</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15"/>
              <w:jc w:val="left"/>
              <w:rPr>
                <w:rFonts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w:t>
            </w:r>
            <w:r>
              <w:rPr>
                <w:rFonts w:hint="eastAsia" w:ascii="宋体" w:hAnsi="宋体" w:cs="宋体"/>
                <w:bCs/>
                <w:color w:val="auto"/>
                <w:highlight w:val="none"/>
                <w:lang w:eastAsia="zh-CN"/>
              </w:rPr>
              <w:t xml:space="preserve">sph@jstcc.cn</w:t>
            </w:r>
            <w:r>
              <w:rPr>
                <w:rFonts w:hint="eastAsia" w:ascii="宋体" w:hAnsi="宋体" w:cs="宋体"/>
                <w:bCs/>
                <w:color w:val="auto"/>
                <w:highlight w:val="none"/>
              </w:rPr>
              <w:t xml:space="preserve">）通知采购人或采购代理机构。</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15"/>
              <w:jc w:val="left"/>
              <w:rPr>
                <w:rFonts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w:t>
            </w:r>
            <w:r>
              <w:rPr>
                <w:rFonts w:hint="eastAsia" w:hAnsi="宋体" w:cs="宋体"/>
                <w:bCs/>
                <w:color w:val="auto"/>
                <w:sz w:val="21"/>
                <w:highlight w:val="none"/>
                <w:lang w:eastAsia="zh-CN"/>
              </w:rPr>
              <w:t xml:space="preserve">sph@jstcc.cn</w:t>
            </w:r>
            <w:r>
              <w:rPr>
                <w:rFonts w:hint="eastAsia" w:hAnsi="宋体" w:cs="宋体"/>
                <w:bCs/>
                <w:color w:val="auto"/>
                <w:sz w:val="21"/>
                <w:highlight w:val="none"/>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本项目代理服务费按计价格【2002】1980号文服务类的80%计取。</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972"/>
              <w:spacing w:line="360" w:lineRule="auto"/>
              <w:rPr>
                <w:rFonts w:hAnsi="宋体" w:cs="宋体"/>
                <w:bCs/>
                <w:color w:val="auto"/>
                <w:highlight w:val="none"/>
              </w:rPr>
            </w:pPr>
            <w:r>
              <w:rPr>
                <w:rFonts w:hint="eastAsia" w:ascii="Times New Roman" w:hAnsi="Times New Roman" w:eastAsia="宋体"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972"/>
              <w:spacing w:line="360" w:lineRule="auto"/>
              <w:rPr>
                <w:rFonts w:hint="eastAsia" w:hAnsi="宋体" w:cs="宋体"/>
                <w:color w:val="auto"/>
                <w:highlight w:val="none"/>
              </w:rPr>
            </w:pPr>
            <w:r>
              <w:rPr>
                <w:rFonts w:hint="eastAsia" w:hAnsi="宋体" w:cs="宋体"/>
                <w:color w:val="auto"/>
                <w:highlight w:val="none"/>
              </w:rPr>
              <w:t xml:space="preserve">采购项目属性：</w:t>
            </w:r>
            <w:r>
              <w:rPr>
                <w:rFonts w:hint="eastAsia" w:hAnsi="宋体" w:cs="宋体"/>
                <w:color w:val="auto"/>
                <w:highlight w:val="none"/>
                <w:lang w:val="en-US" w:eastAsia="zh-CN"/>
              </w:rPr>
              <w:t xml:space="preserve">服务</w:t>
            </w:r>
            <w:r>
              <w:rPr>
                <w:rFonts w:hint="eastAsia" w:hAnsi="宋体" w:cs="宋体"/>
                <w:color w:val="auto"/>
                <w:highlight w:val="none"/>
              </w:rPr>
              <w:t xml:space="preserve">类</w:t>
            </w:r>
            <w:r/>
          </w:p>
        </w:tc>
      </w:tr>
      <w:tr>
        <w:trPr>
          <w:jc w:val="center"/>
          <w:trHeight w:val="875"/>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2"/>
              <w:spacing w:line="360" w:lineRule="auto"/>
              <w:rPr>
                <w:rFonts w:hAnsi="宋体" w:eastAsia="宋体" w:cs="宋体"/>
                <w:bCs/>
                <w:color w:val="auto"/>
                <w:highlight w:val="none"/>
                <w:lang w:val="en-US" w:eastAsia="zh-CN"/>
              </w:rPr>
            </w:pPr>
            <w:r>
              <w:rPr>
                <w:rFonts w:hint="eastAsia" w:hAnsi="宋体" w:cs="宋体"/>
                <w:color w:val="auto"/>
                <w:highlight w:val="none"/>
              </w:rPr>
              <w:t xml:space="preserve">标的对应的中小企业划分标准所属行业：</w:t>
            </w:r>
            <w:r>
              <w:rPr>
                <w:rFonts w:hint="eastAsia" w:ascii="宋体" w:hAnsi="宋体" w:eastAsia="宋体" w:cs="宋体"/>
                <w:color w:val="auto"/>
                <w:sz w:val="21"/>
                <w:szCs w:val="21"/>
                <w:highlight w:val="none"/>
                <w:lang w:val="en-US" w:eastAsia="zh-CN" w:bidi="ar-SA"/>
              </w:rPr>
              <w:t xml:space="preserve">其他未列明行业</w:t>
            </w:r>
            <w:r/>
          </w:p>
        </w:tc>
      </w:tr>
      <w:tr>
        <w:trPr>
          <w:jc w:val="center"/>
          <w:trHeight w:val="1963"/>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2"/>
              <w:spacing w:line="360" w:lineRule="auto"/>
              <w:rPr>
                <w:rFonts w:hAnsi="宋体" w:cs="宋体"/>
                <w:bCs/>
                <w:color w:val="auto"/>
                <w:highlight w:val="none"/>
              </w:rPr>
            </w:pPr>
            <w:r>
              <w:rPr>
                <w:rFonts w:hint="eastAsia" w:hAnsi="宋体" w:cs="宋体"/>
                <w:bCs/>
                <w:color w:val="auto"/>
                <w:highlight w:val="none"/>
              </w:rPr>
              <w:t xml:space="preserve">其他规定：</w:t>
            </w:r>
            <w:r>
              <w:rPr>
                <w:rFonts w:hint="eastAsia"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991"/>
        <w:rPr>
          <w:rFonts w:ascii="宋体" w:hAnsi="宋体" w:cs="宋体"/>
          <w:color w:val="auto"/>
          <w:highlight w:val="none"/>
        </w:rPr>
      </w:pPr>
      <w:r/>
      <w:bookmarkStart w:id="38" w:name="_Toc103848526"/>
      <w:r/>
      <w:bookmarkStart w:id="39" w:name="_Toc100905199"/>
      <w:r/>
      <w:bookmarkStart w:id="40" w:name="_Toc107246213"/>
      <w:r/>
      <w:bookmarkStart w:id="41" w:name="_Toc104560837"/>
      <w:r>
        <w:rPr>
          <w:rFonts w:ascii="Microsoft New Tai Lue" w:hAnsi="Microsoft New Tai Lue" w:cs="Microsoft New Tai Lue"/>
          <w:color w:val="auto"/>
          <w:highlight w:val="none"/>
        </w:rPr>
        <w:br w:type="page" w:clear="all"/>
      </w:r>
      <w:bookmarkStart w:id="42" w:name="_Toc2197"/>
      <w:r>
        <w:rPr>
          <w:rFonts w:hint="eastAsia" w:ascii="宋体" w:hAnsi="宋体" w:cs="宋体"/>
          <w:color w:val="auto"/>
          <w:highlight w:val="none"/>
        </w:rPr>
        <w:t xml:space="preserve">供应商须知</w:t>
      </w:r>
      <w:bookmarkEnd w:id="42"/>
      <w:r/>
      <w:r/>
    </w:p>
    <w:p>
      <w:pPr>
        <w:pStyle w:val="943"/>
        <w:ind w:left="0" w:right="210"/>
        <w:spacing w:line="360" w:lineRule="auto"/>
        <w:rPr>
          <w:rFonts w:ascii="宋体" w:hAnsi="宋体" w:cs="宋体"/>
          <w:color w:val="auto"/>
          <w:highlight w:val="none"/>
        </w:rPr>
      </w:pPr>
      <w:r/>
      <w:bookmarkStart w:id="43" w:name="_Toc843"/>
      <w:r>
        <w:rPr>
          <w:rFonts w:hint="eastAsia" w:ascii="宋体" w:hAnsi="宋体" w:cs="宋体"/>
          <w:color w:val="auto"/>
          <w:highlight w:val="none"/>
        </w:rPr>
        <w:t xml:space="preserve">一．总则</w:t>
      </w:r>
      <w:bookmarkEnd w:id="43"/>
      <w:r/>
      <w:r/>
    </w:p>
    <w:p>
      <w:pPr>
        <w:pStyle w:val="943"/>
        <w:ind w:left="0" w:right="210"/>
        <w:spacing w:line="360" w:lineRule="auto"/>
        <w:rPr>
          <w:rFonts w:ascii="宋体" w:hAnsi="宋体" w:cs="宋体"/>
          <w:color w:val="auto"/>
          <w:highlight w:val="none"/>
        </w:rPr>
      </w:pPr>
      <w:r/>
      <w:bookmarkStart w:id="44" w:name="_Toc17307"/>
      <w:r>
        <w:rPr>
          <w:rFonts w:hint="eastAsia" w:ascii="宋体" w:hAnsi="宋体" w:cs="宋体"/>
          <w:color w:val="auto"/>
          <w:highlight w:val="none"/>
        </w:rPr>
        <w:t xml:space="preserve">1.采购方式</w:t>
      </w:r>
      <w:bookmarkEnd w:id="4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43"/>
        <w:ind w:left="0" w:right="210"/>
        <w:spacing w:line="360" w:lineRule="auto"/>
        <w:rPr>
          <w:rFonts w:ascii="宋体" w:hAnsi="宋体" w:cs="宋体"/>
          <w:color w:val="auto"/>
          <w:highlight w:val="none"/>
        </w:rPr>
      </w:pPr>
      <w:r/>
      <w:bookmarkStart w:id="45" w:name="_Toc1342"/>
      <w:r>
        <w:rPr>
          <w:rFonts w:hint="eastAsia" w:ascii="宋体" w:hAnsi="宋体" w:cs="宋体"/>
          <w:color w:val="auto"/>
          <w:highlight w:val="none"/>
        </w:rPr>
        <w:t xml:space="preserve">2.定义</w:t>
      </w:r>
      <w:bookmarkEnd w:id="45"/>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43"/>
        <w:ind w:left="0" w:right="210"/>
        <w:spacing w:line="360" w:lineRule="auto"/>
        <w:rPr>
          <w:rFonts w:ascii="宋体" w:hAnsi="宋体" w:cs="宋体"/>
          <w:color w:val="auto"/>
          <w:highlight w:val="none"/>
        </w:rPr>
      </w:pPr>
      <w:r/>
      <w:bookmarkStart w:id="46" w:name="_Toc15563"/>
      <w:r>
        <w:rPr>
          <w:rFonts w:hint="eastAsia" w:ascii="宋体" w:hAnsi="宋体" w:cs="宋体"/>
          <w:color w:val="auto"/>
          <w:highlight w:val="none"/>
        </w:rPr>
        <w:t xml:space="preserve">3.适用法律</w:t>
      </w:r>
      <w:bookmarkEnd w:id="4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43"/>
        <w:ind w:left="0" w:right="210"/>
        <w:spacing w:line="360" w:lineRule="auto"/>
        <w:rPr>
          <w:rFonts w:ascii="宋体" w:hAnsi="宋体" w:cs="宋体"/>
          <w:color w:val="auto"/>
          <w:highlight w:val="none"/>
        </w:rPr>
      </w:pPr>
      <w:r/>
      <w:bookmarkStart w:id="47" w:name="_Toc21554"/>
      <w:r>
        <w:rPr>
          <w:rFonts w:hint="eastAsia" w:ascii="宋体" w:hAnsi="宋体" w:cs="宋体"/>
          <w:color w:val="auto"/>
          <w:highlight w:val="none"/>
        </w:rPr>
        <w:t xml:space="preserve">4.政府采购政策（包括但不限于下列具体政策要求）</w:t>
      </w:r>
      <w:bookmarkEnd w:id="47"/>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优先采购的具体规定见第五章《评审方法与评审标准》（如涉及）。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43"/>
        <w:ind w:left="0" w:right="210"/>
        <w:spacing w:line="360" w:lineRule="auto"/>
        <w:rPr>
          <w:rFonts w:ascii="宋体" w:hAnsi="宋体" w:cs="宋体"/>
          <w:color w:val="auto"/>
          <w:highlight w:val="none"/>
        </w:rPr>
      </w:pPr>
      <w:r/>
      <w:bookmarkStart w:id="48" w:name="_Toc31109"/>
      <w:r>
        <w:rPr>
          <w:rFonts w:hint="eastAsia" w:ascii="宋体" w:hAnsi="宋体" w:cs="宋体"/>
          <w:color w:val="auto"/>
          <w:highlight w:val="none"/>
        </w:rPr>
        <w:t xml:space="preserve">5.相关费用</w:t>
      </w:r>
      <w:bookmarkEnd w:id="4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43"/>
        <w:ind w:left="0" w:right="210"/>
        <w:spacing w:line="360" w:lineRule="auto"/>
        <w:rPr>
          <w:rFonts w:ascii="宋体" w:hAnsi="宋体" w:cs="宋体"/>
          <w:color w:val="auto"/>
          <w:highlight w:val="none"/>
        </w:rPr>
      </w:pPr>
      <w:r/>
      <w:bookmarkStart w:id="49" w:name="_Toc5608"/>
      <w:r>
        <w:rPr>
          <w:rFonts w:hint="eastAsia" w:ascii="宋体" w:hAnsi="宋体" w:cs="宋体"/>
          <w:color w:val="auto"/>
          <w:highlight w:val="none"/>
        </w:rPr>
        <w:t xml:space="preserve">6.保密</w:t>
      </w:r>
      <w:bookmarkEnd w:id="4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43"/>
        <w:ind w:left="0" w:right="210"/>
        <w:spacing w:line="360" w:lineRule="auto"/>
        <w:rPr>
          <w:rFonts w:ascii="宋体" w:hAnsi="宋体" w:cs="宋体"/>
          <w:color w:val="auto"/>
          <w:highlight w:val="none"/>
        </w:rPr>
      </w:pPr>
      <w:r/>
      <w:bookmarkStart w:id="50" w:name="_Toc28380"/>
      <w:r>
        <w:rPr>
          <w:rFonts w:hint="eastAsia" w:ascii="宋体" w:hAnsi="宋体" w:cs="宋体"/>
          <w:color w:val="auto"/>
          <w:highlight w:val="none"/>
        </w:rPr>
        <w:t xml:space="preserve">7.语言文字、计量单位</w:t>
      </w:r>
      <w:bookmarkEnd w:id="50"/>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43"/>
        <w:ind w:left="0" w:right="210"/>
        <w:spacing w:line="360" w:lineRule="auto"/>
        <w:rPr>
          <w:rFonts w:ascii="宋体" w:hAnsi="宋体" w:cs="宋体"/>
          <w:color w:val="auto"/>
          <w:highlight w:val="none"/>
        </w:rPr>
      </w:pPr>
      <w:r/>
      <w:bookmarkStart w:id="51" w:name="_Toc8213"/>
      <w:r>
        <w:rPr>
          <w:rFonts w:hint="eastAsia" w:ascii="宋体" w:hAnsi="宋体" w:cs="宋体"/>
          <w:color w:val="auto"/>
          <w:highlight w:val="none"/>
        </w:rPr>
        <w:t xml:space="preserve">8.现场考察</w:t>
      </w:r>
      <w:bookmarkEnd w:id="5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43"/>
        <w:ind w:left="0" w:right="210"/>
        <w:spacing w:line="360" w:lineRule="auto"/>
        <w:rPr>
          <w:rFonts w:ascii="宋体" w:hAnsi="宋体" w:cs="宋体"/>
          <w:color w:val="auto"/>
          <w:highlight w:val="none"/>
        </w:rPr>
      </w:pPr>
      <w:r/>
      <w:bookmarkStart w:id="52" w:name="_Toc17630"/>
      <w:r>
        <w:rPr>
          <w:rFonts w:hint="eastAsia" w:ascii="宋体" w:hAnsi="宋体" w:cs="宋体"/>
          <w:color w:val="auto"/>
          <w:highlight w:val="none"/>
        </w:rPr>
        <w:t xml:space="preserve">9.磋商前答疑会</w:t>
      </w:r>
      <w:bookmarkEnd w:id="5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43"/>
        <w:ind w:left="0" w:right="210"/>
        <w:spacing w:line="360" w:lineRule="auto"/>
        <w:rPr>
          <w:rFonts w:ascii="宋体" w:hAnsi="宋体" w:cs="宋体"/>
          <w:color w:val="auto"/>
          <w:highlight w:val="none"/>
        </w:rPr>
      </w:pPr>
      <w:r/>
      <w:bookmarkStart w:id="53" w:name="_Toc10004"/>
      <w:r>
        <w:rPr>
          <w:rFonts w:hint="eastAsia" w:ascii="宋体" w:hAnsi="宋体" w:cs="宋体"/>
          <w:color w:val="auto"/>
          <w:szCs w:val="21"/>
          <w:highlight w:val="none"/>
        </w:rPr>
        <w:t xml:space="preserve">10.联合体响应</w:t>
      </w:r>
      <w:bookmarkEnd w:id="5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43"/>
        <w:ind w:left="0" w:right="210"/>
        <w:spacing w:line="360" w:lineRule="auto"/>
        <w:rPr>
          <w:rFonts w:ascii="宋体" w:hAnsi="宋体" w:cs="宋体"/>
          <w:color w:val="auto"/>
          <w:highlight w:val="none"/>
        </w:rPr>
      </w:pPr>
      <w:r/>
      <w:bookmarkStart w:id="54" w:name="_Toc24822"/>
      <w:r>
        <w:rPr>
          <w:rFonts w:hint="eastAsia" w:ascii="宋体" w:hAnsi="宋体" w:cs="宋体"/>
          <w:color w:val="auto"/>
          <w:highlight w:val="none"/>
        </w:rPr>
        <w:t xml:space="preserve">11.分包</w:t>
      </w:r>
      <w:bookmarkEnd w:id="5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43"/>
        <w:ind w:left="0" w:right="210"/>
        <w:spacing w:line="360" w:lineRule="auto"/>
        <w:rPr>
          <w:rFonts w:ascii="宋体" w:hAnsi="宋体" w:cs="宋体"/>
          <w:color w:val="auto"/>
          <w:highlight w:val="none"/>
        </w:rPr>
      </w:pPr>
      <w:r/>
      <w:bookmarkStart w:id="55" w:name="_Toc23348"/>
      <w:r>
        <w:rPr>
          <w:rFonts w:hint="eastAsia" w:ascii="宋体" w:hAnsi="宋体" w:cs="宋体"/>
          <w:color w:val="auto"/>
          <w:highlight w:val="none"/>
        </w:rPr>
        <w:t xml:space="preserve">12.样品</w:t>
      </w:r>
      <w:bookmarkEnd w:id="5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12.2样品的评审方法以及评审标准等内容见第五章《评审方法与评审标准》。</w:t>
      </w:r>
      <w:r/>
    </w:p>
    <w:p>
      <w:pPr>
        <w:pStyle w:val="943"/>
        <w:ind w:left="0" w:right="210"/>
        <w:spacing w:line="360" w:lineRule="auto"/>
        <w:rPr>
          <w:rFonts w:ascii="宋体" w:hAnsi="宋体" w:cs="宋体"/>
          <w:color w:val="auto"/>
          <w:highlight w:val="none"/>
        </w:rPr>
      </w:pPr>
      <w:r/>
      <w:bookmarkStart w:id="56" w:name="_Toc22651"/>
      <w:r>
        <w:rPr>
          <w:rFonts w:hint="eastAsia" w:ascii="宋体" w:hAnsi="宋体" w:cs="宋体"/>
          <w:color w:val="auto"/>
          <w:highlight w:val="none"/>
        </w:rPr>
        <w:t xml:space="preserve">13.采购进口产品</w:t>
      </w:r>
      <w:bookmarkEnd w:id="5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57" w:name="_Toc12691"/>
      <w:r>
        <w:rPr>
          <w:rFonts w:hint="eastAsia" w:ascii="宋体" w:hAnsi="宋体" w:cs="宋体"/>
          <w:color w:val="auto"/>
          <w:highlight w:val="none"/>
        </w:rPr>
        <w:t xml:space="preserve">14.采购项目预算及最高限价</w:t>
      </w:r>
      <w:bookmarkEnd w:id="5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58" w:name="_Toc13487"/>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5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59" w:name="_Toc15519"/>
      <w:r>
        <w:rPr>
          <w:rFonts w:hint="eastAsia" w:ascii="宋体" w:hAnsi="宋体" w:cs="宋体"/>
          <w:color w:val="auto"/>
          <w:highlight w:val="none"/>
        </w:rPr>
        <w:t xml:space="preserve">二．磋商文件</w:t>
      </w:r>
      <w:bookmarkEnd w:id="59"/>
      <w:r/>
      <w:r/>
    </w:p>
    <w:p>
      <w:pPr>
        <w:pStyle w:val="943"/>
        <w:ind w:left="0" w:right="210"/>
        <w:spacing w:line="360" w:lineRule="auto"/>
        <w:rPr>
          <w:rFonts w:ascii="宋体" w:hAnsi="宋体" w:cs="宋体"/>
          <w:color w:val="auto"/>
          <w:highlight w:val="none"/>
        </w:rPr>
      </w:pPr>
      <w:r/>
      <w:bookmarkStart w:id="60" w:name="_Toc31671"/>
      <w:r>
        <w:rPr>
          <w:rFonts w:hint="eastAsia" w:ascii="宋体" w:hAnsi="宋体" w:cs="宋体"/>
          <w:color w:val="auto"/>
          <w:highlight w:val="none"/>
        </w:rPr>
        <w:t xml:space="preserve">16.磋商文件的构成</w:t>
      </w:r>
      <w:bookmarkEnd w:id="60"/>
      <w:r/>
      <w:r/>
    </w:p>
    <w:p>
      <w:pPr>
        <w:pStyle w:val="1015"/>
        <w:ind w:firstLine="420"/>
        <w:rPr>
          <w:rFonts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第五章：评审方法与评审标准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★磋商文件</w:t>
      </w:r>
      <w:r>
        <w:rPr>
          <w:rFonts w:hint="eastAsia" w:ascii="宋体" w:hAnsi="宋体" w:cs="宋体"/>
          <w:b/>
          <w:color w:val="auto"/>
          <w:szCs w:val="21"/>
          <w:highlight w:val="none"/>
          <w:lang w:val="en-US" w:eastAsia="zh-CN"/>
        </w:rPr>
        <w:t xml:space="preserve">标</w:t>
      </w: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43"/>
        <w:ind w:left="0" w:right="210"/>
        <w:spacing w:line="360" w:lineRule="auto"/>
        <w:rPr>
          <w:rFonts w:ascii="宋体" w:hAnsi="宋体" w:cs="宋体"/>
          <w:color w:val="auto"/>
          <w:highlight w:val="none"/>
        </w:rPr>
      </w:pPr>
      <w:r/>
      <w:bookmarkStart w:id="61" w:name="_Toc22953"/>
      <w:r>
        <w:rPr>
          <w:rFonts w:hint="eastAsia" w:ascii="宋体" w:hAnsi="宋体" w:cs="宋体"/>
          <w:color w:val="auto"/>
          <w:highlight w:val="none"/>
        </w:rPr>
        <w:t xml:space="preserve">17.磋商文件的澄清或者修改</w:t>
      </w:r>
      <w:bookmarkEnd w:id="6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43"/>
        <w:ind w:left="0" w:right="210"/>
        <w:spacing w:line="360" w:lineRule="auto"/>
        <w:rPr>
          <w:rFonts w:ascii="宋体" w:hAnsi="宋体" w:cs="宋体"/>
          <w:color w:val="auto"/>
          <w:highlight w:val="none"/>
        </w:rPr>
      </w:pPr>
      <w:r/>
      <w:bookmarkStart w:id="62" w:name="_Toc20052"/>
      <w:r>
        <w:rPr>
          <w:rFonts w:hint="eastAsia" w:ascii="宋体" w:hAnsi="宋体" w:cs="宋体"/>
          <w:color w:val="auto"/>
          <w:highlight w:val="none"/>
        </w:rPr>
        <w:t xml:space="preserve">三．响应文件</w:t>
      </w:r>
      <w:bookmarkEnd w:id="62"/>
      <w:r/>
      <w:r/>
    </w:p>
    <w:p>
      <w:pPr>
        <w:pStyle w:val="943"/>
        <w:ind w:left="0" w:right="210"/>
        <w:spacing w:line="360" w:lineRule="auto"/>
        <w:rPr>
          <w:rFonts w:ascii="宋体" w:hAnsi="宋体" w:cs="宋体"/>
          <w:color w:val="auto"/>
          <w:highlight w:val="none"/>
        </w:rPr>
      </w:pPr>
      <w:r/>
      <w:bookmarkStart w:id="63" w:name="_Toc25664"/>
      <w:r>
        <w:rPr>
          <w:rFonts w:hint="eastAsia" w:ascii="宋体" w:hAnsi="宋体" w:cs="宋体"/>
          <w:color w:val="auto"/>
          <w:highlight w:val="none"/>
        </w:rPr>
        <w:t xml:space="preserve">18.响应文件的组成</w:t>
      </w:r>
      <w:bookmarkEnd w:id="6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响应文件的价格及商务部分，包括但不限于下列文件：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（1）响应函，格式见附件。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（4-1）初始报价一览表，格式见附件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（4-2）分项报价表，格式见附件。</w:t>
      </w:r>
      <w:r/>
    </w:p>
    <w:p>
      <w:pPr>
        <w:ind w:firstLine="315"/>
        <w:jc w:val="left"/>
        <w:spacing w:line="360" w:lineRule="auto"/>
        <w:rPr>
          <w:color w:val="auto"/>
          <w:highlight w:val="none"/>
        </w:rPr>
      </w:pPr>
      <w:r>
        <w:rPr>
          <w:rFonts w:hint="eastAsia" w:ascii="宋体" w:hAnsi="宋体" w:cs="宋体"/>
          <w:color w:val="auto"/>
          <w:szCs w:val="21"/>
          <w:highlight w:val="none"/>
        </w:rPr>
        <w:t xml:space="preserve">（5）商务条款偏离表，格式见附件。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）供应商具备磋商资格的证明文件（</w:t>
      </w:r>
      <w:r>
        <w:rPr>
          <w:rFonts w:hint="eastAsia" w:ascii="宋体" w:hAnsi="宋体" w:cs="宋体"/>
          <w:color w:val="auto"/>
          <w:highlight w:val="none"/>
        </w:rPr>
        <w:t xml:space="preserve">如为南京市政府采购项目，按照公告要求提供</w:t>
      </w:r>
      <w:r>
        <w:rPr>
          <w:rFonts w:hint="eastAsia" w:ascii="宋体" w:hAnsi="宋体" w:cs="宋体"/>
          <w:color w:val="auto"/>
          <w:szCs w:val="21"/>
          <w:highlight w:val="none"/>
        </w:rPr>
        <w:t xml:space="preserve">）：</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（f）若本项目允许分支机构参加响应，则分支机构参加响应的，此处可提供该分支机构或其所属法人或其他组织的相应证明文件（如需）。</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-7）无不良信用记录承诺函（供应商自行查询适用），格式见附件。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-8）磋商文件要求的其它实质性资格资信证明文件。</w:t>
      </w:r>
      <w:r/>
    </w:p>
    <w:p>
      <w:pPr>
        <w:ind w:firstLine="315"/>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Microsoft New Tai Lue" w:hAnsi="Microsoft New Tai Lue" w:cs="Microsoft New Tai Lue"/>
          <w:bCs w:val="0"/>
          <w:color w:val="auto"/>
          <w:sz w:val="24"/>
          <w:szCs w:val="24"/>
          <w:highlight w:val="none"/>
        </w:rPr>
        <w:t xml:space="preserve">《</w:t>
      </w:r>
      <w:r>
        <w:rPr>
          <w:rFonts w:hint="eastAsia" w:ascii="宋体" w:hAnsi="宋体" w:eastAsia="宋体" w:cs="宋体"/>
          <w:color w:val="auto"/>
          <w:szCs w:val="21"/>
          <w:highlight w:val="none"/>
        </w:rPr>
        <w:t xml:space="preserve">南京市政府采购供应商信用承诺书</w:t>
      </w: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w:t>
      </w:r>
      <w:r>
        <w:rPr>
          <w:rFonts w:hint="eastAsia" w:ascii="Microsoft New Tai Lue" w:hAnsi="Microsoft New Tai Lue" w:cs="Microsoft New Tai Lue"/>
          <w:bCs w:val="0"/>
          <w:color w:val="auto"/>
          <w:sz w:val="24"/>
          <w:szCs w:val="24"/>
          <w:highlight w:val="none"/>
          <w:lang w:eastAsia="zh-CN"/>
        </w:rPr>
        <w:t xml:space="preserve">）</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响应文件的技术部分，包括但不限于下列文件：</w:t>
      </w:r>
      <w:r/>
    </w:p>
    <w:p>
      <w:pPr>
        <w:numPr>
          <w:ilvl w:val="0"/>
          <w:numId w:val="4"/>
        </w:numPr>
        <w:ind w:left="210" w:firstLine="105"/>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服务方案</w:t>
      </w:r>
      <w:r/>
    </w:p>
    <w:p>
      <w:pPr>
        <w:numPr>
          <w:ilvl w:val="0"/>
          <w:numId w:val="4"/>
        </w:numPr>
        <w:ind w:left="210" w:firstLine="10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技术条款偏离表，格式见附件</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Microsoft New Tai Lue" w:hAnsi="Microsoft New Tai Lue" w:cs="Microsoft New Tai Lue"/>
          <w:bCs w:val="0"/>
          <w:color w:val="auto"/>
          <w:sz w:val="24"/>
          <w:szCs w:val="24"/>
          <w:highlight w:val="none"/>
          <w:lang w:val="en-US" w:eastAsia="zh-CN"/>
        </w:rPr>
        <w:t xml:space="preserve">采购需求中★号项证明材料（如需）</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拟参与本项目人员一览表，格式见附件</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业绩一览表</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18.4响应文件的其他部分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18.4.1响应文件的其他部分由供应商根据编制响应文件需要提供的其他相关文件组成。</w:t>
      </w:r>
      <w:r/>
    </w:p>
    <w:p>
      <w:pPr>
        <w:pStyle w:val="943"/>
        <w:ind w:left="0" w:right="210"/>
        <w:spacing w:line="360" w:lineRule="auto"/>
        <w:rPr>
          <w:rFonts w:ascii="宋体" w:hAnsi="宋体" w:cs="宋体"/>
          <w:color w:val="auto"/>
          <w:szCs w:val="21"/>
          <w:highlight w:val="none"/>
        </w:rPr>
      </w:pPr>
      <w:r/>
      <w:bookmarkStart w:id="64" w:name="_Toc10342"/>
      <w:r>
        <w:rPr>
          <w:rFonts w:hint="eastAsia" w:ascii="宋体" w:hAnsi="宋体" w:cs="宋体"/>
          <w:color w:val="auto"/>
          <w:highlight w:val="none"/>
        </w:rPr>
        <w:t xml:space="preserve">19.响应文件编制的原则</w:t>
      </w:r>
      <w:bookmarkEnd w:id="64"/>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43"/>
        <w:ind w:left="0" w:right="210"/>
        <w:spacing w:line="360" w:lineRule="auto"/>
        <w:rPr>
          <w:rFonts w:ascii="宋体" w:hAnsi="宋体" w:cs="宋体"/>
          <w:color w:val="auto"/>
          <w:szCs w:val="21"/>
          <w:highlight w:val="none"/>
        </w:rPr>
      </w:pPr>
      <w:r/>
      <w:bookmarkStart w:id="65" w:name="_Toc25895"/>
      <w:r>
        <w:rPr>
          <w:rFonts w:hint="eastAsia" w:ascii="宋体" w:hAnsi="宋体" w:cs="宋体"/>
          <w:color w:val="auto"/>
          <w:highlight w:val="none"/>
        </w:rPr>
        <w:t xml:space="preserve">20.报价</w:t>
      </w:r>
      <w:bookmarkEnd w:id="65"/>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66" w:name="_Toc637"/>
      <w:r>
        <w:rPr>
          <w:rFonts w:hint="eastAsia" w:ascii="宋体" w:hAnsi="宋体" w:cs="宋体"/>
          <w:color w:val="auto"/>
          <w:highlight w:val="none"/>
        </w:rPr>
        <w:t xml:space="preserve">21.响应有效期</w:t>
      </w:r>
      <w:bookmarkEnd w:id="66"/>
      <w:r/>
      <w:r/>
    </w:p>
    <w:p>
      <w:pPr>
        <w:ind w:firstLine="422"/>
        <w:spacing w:before="156"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43"/>
        <w:ind w:left="0" w:right="210"/>
        <w:spacing w:line="360" w:lineRule="auto"/>
        <w:rPr>
          <w:rFonts w:ascii="宋体" w:hAnsi="宋体" w:cs="宋体"/>
          <w:color w:val="auto"/>
          <w:highlight w:val="none"/>
        </w:rPr>
      </w:pPr>
      <w:r/>
      <w:bookmarkStart w:id="67" w:name="_Toc8731"/>
      <w:r>
        <w:rPr>
          <w:rFonts w:hint="eastAsia" w:ascii="宋体" w:hAnsi="宋体" w:cs="宋体"/>
          <w:color w:val="auto"/>
          <w:highlight w:val="none"/>
        </w:rPr>
        <w:t xml:space="preserve">22.磋商保证金</w:t>
      </w:r>
      <w:bookmarkEnd w:id="67"/>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22.1本项目</w:t>
      </w:r>
      <w:r>
        <w:rPr>
          <w:rFonts w:hint="eastAsia" w:ascii="宋体" w:hAnsi="宋体" w:cs="宋体"/>
          <w:bCs/>
          <w:color w:val="auto"/>
          <w:szCs w:val="21"/>
          <w:highlight w:val="none"/>
          <w:lang w:val="en-US" w:eastAsia="zh-CN"/>
        </w:rPr>
        <w:t xml:space="preserve">无需</w:t>
      </w:r>
      <w:r>
        <w:rPr>
          <w:rFonts w:hint="eastAsia" w:ascii="宋体" w:hAnsi="宋体" w:cs="宋体"/>
          <w:bCs/>
          <w:color w:val="auto"/>
          <w:szCs w:val="21"/>
          <w:highlight w:val="none"/>
        </w:rPr>
        <w:t xml:space="preserve">交纳磋商保证金。</w:t>
      </w:r>
      <w:r/>
    </w:p>
    <w:p>
      <w:pPr>
        <w:pStyle w:val="943"/>
        <w:ind w:left="0" w:right="210"/>
        <w:spacing w:line="360" w:lineRule="auto"/>
        <w:rPr>
          <w:rFonts w:ascii="宋体" w:hAnsi="宋体" w:cs="宋体"/>
          <w:color w:val="auto"/>
          <w:highlight w:val="none"/>
        </w:rPr>
      </w:pPr>
      <w:r/>
      <w:bookmarkStart w:id="68" w:name="_Toc17674"/>
      <w:r>
        <w:rPr>
          <w:rFonts w:hint="eastAsia" w:ascii="宋体" w:hAnsi="宋体" w:cs="宋体"/>
          <w:color w:val="auto"/>
          <w:highlight w:val="none"/>
        </w:rPr>
        <w:t xml:space="preserve">23.响应文件的制作和签署</w:t>
      </w:r>
      <w:bookmarkEnd w:id="68"/>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23.1</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应当按照《操作手册》规定，在</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公告规定的投标截止时间前制作并上传电子投标文件。</w:t>
      </w:r>
      <w:bookmarkStart w:id="69" w:name="_Toc16938542"/>
      <w:r/>
      <w:bookmarkEnd w:id="69"/>
      <w:r/>
      <w:bookmarkStart w:id="70" w:name="_Toc20823298"/>
      <w:r/>
      <w:bookmarkEnd w:id="70"/>
      <w:r/>
      <w:bookmarkStart w:id="71" w:name="_Toc513029226"/>
      <w:r/>
      <w:bookmarkEnd w:id="71"/>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可以按照规定，通过修改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文件酌情延长投标截止时间，在此情况下，</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的所有权利和义务均以延长后新的截止时间为准</w:t>
      </w:r>
      <w:r>
        <w:rPr>
          <w:rFonts w:hint="eastAsia" w:ascii="宋体" w:hAnsi="宋体" w:eastAsia="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72" w:name="_Toc23764"/>
      <w:r>
        <w:rPr>
          <w:rFonts w:hint="eastAsia" w:ascii="宋体" w:hAnsi="宋体" w:cs="宋体"/>
          <w:color w:val="auto"/>
          <w:highlight w:val="none"/>
        </w:rPr>
        <w:t xml:space="preserve">四．响应文件的提交</w:t>
      </w:r>
      <w:bookmarkEnd w:id="72"/>
      <w:r/>
      <w:r/>
    </w:p>
    <w:p>
      <w:pPr>
        <w:pStyle w:val="943"/>
        <w:ind w:left="0" w:right="210"/>
        <w:spacing w:line="360" w:lineRule="auto"/>
        <w:rPr>
          <w:rFonts w:hint="eastAsia" w:ascii="宋体" w:hAnsi="宋体" w:eastAsia="宋体" w:cs="宋体"/>
          <w:color w:val="auto"/>
          <w:highlight w:val="none"/>
          <w:lang w:val="en-US" w:eastAsia="zh-CN"/>
        </w:rPr>
      </w:pPr>
      <w:r/>
      <w:bookmarkStart w:id="73" w:name="_Toc16869"/>
      <w:r>
        <w:rPr>
          <w:rFonts w:hint="eastAsia" w:ascii="宋体" w:hAnsi="宋体" w:cs="宋体"/>
          <w:color w:val="auto"/>
          <w:highlight w:val="none"/>
        </w:rPr>
        <w:t xml:space="preserve">24.响应文件的</w:t>
      </w:r>
      <w:r>
        <w:rPr>
          <w:rFonts w:hint="eastAsia" w:ascii="宋体" w:hAnsi="宋体" w:cs="宋体"/>
          <w:color w:val="auto"/>
          <w:highlight w:val="none"/>
          <w:lang w:val="en-US" w:eastAsia="zh-CN"/>
        </w:rPr>
        <w:t xml:space="preserve">递交</w:t>
      </w:r>
      <w:bookmarkEnd w:id="73"/>
      <w:r/>
      <w:r/>
    </w:p>
    <w:p>
      <w:pPr>
        <w:ind w:firstLine="420"/>
        <w:spacing w:before="156"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投标截止时间后上传的任何投标文件将被拒绝。</w:t>
      </w:r>
      <w:r/>
    </w:p>
    <w:p>
      <w:pPr>
        <w:pStyle w:val="943"/>
        <w:ind w:left="0" w:right="210"/>
        <w:spacing w:line="360" w:lineRule="auto"/>
        <w:rPr>
          <w:rFonts w:hint="eastAsia" w:ascii="宋体" w:hAnsi="宋体" w:eastAsia="宋体" w:cs="宋体"/>
          <w:color w:val="auto"/>
          <w:highlight w:val="none"/>
          <w:lang w:eastAsia="zh-CN"/>
        </w:rPr>
      </w:pPr>
      <w:r/>
      <w:bookmarkStart w:id="74" w:name="_Toc17109"/>
      <w:r/>
      <w:bookmarkStart w:id="75" w:name="_Toc16938544"/>
      <w:r/>
      <w:bookmarkStart w:id="76" w:name="_Toc20823300"/>
      <w:r/>
      <w:bookmarkStart w:id="77" w:name="_Toc513029228"/>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.投标文件的撤回和修改</w:t>
      </w:r>
      <w:bookmarkEnd w:id="74"/>
      <w:r/>
      <w:bookmarkEnd w:id="75"/>
      <w:r/>
      <w:bookmarkEnd w:id="76"/>
      <w:r/>
      <w:bookmarkEnd w:id="77"/>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 投标文件的撤回</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投标人可在投标截止时间前撤回其电子投标文件，具体操作方法见《操作手册》。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投标人撤回电子投标文件，则认为其不再参与本项目投标活动。</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 投标文件的修改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78" w:name="_Toc120614218"/>
      <w:r/>
      <w:bookmarkStart w:id="79" w:name="_Toc20823301"/>
      <w:r/>
      <w:bookmarkStart w:id="80" w:name="_Toc513029229"/>
      <w:r/>
      <w:bookmarkStart w:id="81" w:name="_Toc16938545"/>
      <w:r/>
      <w:r/>
    </w:p>
    <w:p>
      <w:pPr>
        <w:pStyle w:val="943"/>
        <w:ind w:left="0" w:right="210"/>
        <w:spacing w:line="360" w:lineRule="auto"/>
        <w:rPr>
          <w:rFonts w:hint="eastAsia" w:ascii="宋体" w:hAnsi="宋体" w:eastAsia="宋体" w:cs="宋体"/>
          <w:color w:val="auto"/>
          <w:highlight w:val="none"/>
        </w:rPr>
      </w:pPr>
      <w:r/>
      <w:bookmarkStart w:id="82" w:name="_Toc20298"/>
      <w:r>
        <w:rPr>
          <w:rFonts w:hint="eastAsia" w:ascii="宋体" w:hAnsi="宋体" w:eastAsia="宋体" w:cs="宋体"/>
          <w:color w:val="auto"/>
          <w:highlight w:val="none"/>
        </w:rPr>
        <w:t xml:space="preserve">五、</w:t>
      </w:r>
      <w:bookmarkEnd w:id="78"/>
      <w:r/>
      <w:bookmarkEnd w:id="79"/>
      <w:r/>
      <w:bookmarkEnd w:id="80"/>
      <w:r/>
      <w:bookmarkEnd w:id="81"/>
      <w:r>
        <w:rPr>
          <w:rFonts w:hint="eastAsia" w:ascii="宋体" w:hAnsi="宋体" w:eastAsia="宋体" w:cs="宋体"/>
          <w:color w:val="auto"/>
          <w:highlight w:val="none"/>
          <w:lang w:eastAsia="zh-CN"/>
        </w:rPr>
        <w:t xml:space="preserve">响应文件的解密与评审</w:t>
      </w:r>
      <w:bookmarkEnd w:id="82"/>
      <w:r/>
      <w:r/>
    </w:p>
    <w:p>
      <w:pPr>
        <w:pStyle w:val="943"/>
        <w:ind w:left="0" w:right="210"/>
        <w:spacing w:line="360" w:lineRule="auto"/>
        <w:rPr>
          <w:rFonts w:hint="eastAsia" w:ascii="宋体" w:hAnsi="宋体" w:eastAsia="宋体" w:cs="宋体"/>
          <w:color w:val="auto"/>
          <w:highlight w:val="none"/>
          <w:lang w:eastAsia="zh-CN"/>
        </w:rPr>
      </w:pPr>
      <w:r/>
      <w:bookmarkStart w:id="83" w:name="_Toc23825"/>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.响应文件解密</w:t>
      </w:r>
      <w:bookmarkEnd w:id="83"/>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供应商应当按照《操作手册》规定，在苏采云系统规定的时间内对响应文件进行解密。</w:t>
      </w:r>
      <w:r/>
    </w:p>
    <w:p>
      <w:pPr>
        <w:pStyle w:val="943"/>
        <w:ind w:left="0" w:right="210"/>
        <w:spacing w:line="360" w:lineRule="auto"/>
        <w:rPr>
          <w:rFonts w:hint="eastAsia" w:ascii="宋体" w:hAnsi="宋体" w:eastAsia="宋体" w:cs="宋体"/>
          <w:color w:val="auto"/>
          <w:highlight w:val="none"/>
          <w:lang w:eastAsia="zh-CN"/>
        </w:rPr>
      </w:pPr>
      <w:r/>
      <w:bookmarkStart w:id="84" w:name="_Toc14201"/>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.磋商</w:t>
      </w:r>
      <w:bookmarkEnd w:id="84"/>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磋商小组独立工作，负责评审所有响应文件并推荐成交候选人，或根据采购人授权直接确定成交供应商。</w:t>
      </w:r>
      <w:r/>
    </w:p>
    <w:p>
      <w:pPr>
        <w:pStyle w:val="943"/>
        <w:ind w:left="0" w:right="210"/>
        <w:spacing w:line="360" w:lineRule="auto"/>
        <w:rPr>
          <w:rFonts w:hint="eastAsia" w:ascii="宋体" w:hAnsi="宋体" w:eastAsia="宋体" w:cs="宋体"/>
          <w:color w:val="auto"/>
          <w:highlight w:val="none"/>
          <w:lang w:eastAsia="zh-CN"/>
        </w:rPr>
      </w:pPr>
      <w:r/>
      <w:bookmarkStart w:id="85" w:name="_Toc1395"/>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.评审过程的保密与公正</w:t>
      </w:r>
      <w:bookmarkEnd w:id="85"/>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磋商小组、采购人和</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和磋商小组不向未成交的供应商解释未成交原因，也不公布评审过程中的相关细节。</w:t>
      </w:r>
      <w:r/>
    </w:p>
    <w:p>
      <w:pPr>
        <w:pStyle w:val="943"/>
        <w:ind w:left="0" w:right="210"/>
        <w:spacing w:line="360" w:lineRule="auto"/>
        <w:rPr>
          <w:rFonts w:hint="eastAsia" w:ascii="宋体" w:hAnsi="宋体" w:eastAsia="宋体" w:cs="宋体"/>
          <w:color w:val="auto"/>
          <w:highlight w:val="none"/>
          <w:lang w:eastAsia="zh-CN"/>
        </w:rPr>
      </w:pPr>
      <w:r/>
      <w:bookmarkStart w:id="86" w:name="_Toc2719"/>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.评审过程中的澄清</w:t>
      </w:r>
      <w:bookmarkEnd w:id="86"/>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需要供应商进行澄清、说明和补正的，磋商小组将通过苏采云系统向供应商发出</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，接到</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的供应商应当按照要求在苏采云系统中提交</w:t>
      </w:r>
      <w:r>
        <w:rPr>
          <w:rFonts w:hint="eastAsia" w:ascii="宋体" w:hAnsi="宋体" w:eastAsia="宋体" w:cs="宋体"/>
          <w:color w:val="auto"/>
          <w:szCs w:val="21"/>
          <w:highlight w:val="none"/>
          <w:lang w:val="zh-CN"/>
        </w:rPr>
        <w:t xml:space="preserve">《澄清响应函》</w:t>
      </w:r>
      <w:r>
        <w:rPr>
          <w:rFonts w:hint="eastAsia" w:ascii="宋体" w:hAnsi="宋体" w:eastAsia="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接到磋商小组澄清、说明和补正要求的供应商如未按规定做出澄清、说明和补正，其风险由供应商自行承担。</w:t>
      </w:r>
      <w:r/>
    </w:p>
    <w:p>
      <w:pPr>
        <w:pStyle w:val="943"/>
        <w:ind w:left="0" w:right="210"/>
        <w:spacing w:line="360" w:lineRule="auto"/>
        <w:rPr>
          <w:rFonts w:hint="eastAsia" w:ascii="宋体" w:hAnsi="宋体" w:eastAsia="宋体" w:cs="宋体"/>
          <w:color w:val="auto"/>
          <w:highlight w:val="none"/>
          <w:lang w:eastAsia="zh-CN"/>
        </w:rPr>
      </w:pPr>
      <w:r/>
      <w:bookmarkStart w:id="87" w:name="_Toc22973"/>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eastAsia="zh-CN"/>
        </w:rPr>
        <w:t xml:space="preserve">.响应文件的审查</w:t>
      </w:r>
      <w:bookmarkEnd w:id="87"/>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磋商小组</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w:t>
      </w:r>
      <w:r>
        <w:rPr>
          <w:rFonts w:hint="eastAsia" w:ascii="宋体" w:hAnsi="宋体" w:eastAsia="宋体" w:cs="宋体"/>
          <w:color w:val="auto"/>
          <w:szCs w:val="21"/>
          <w:highlight w:val="none"/>
        </w:rPr>
        <w:t xml:space="preserve">磋商小组认</w:t>
      </w:r>
      <w:r>
        <w:rPr>
          <w:rFonts w:hint="eastAsia" w:ascii="宋体" w:hAnsi="宋体" w:eastAsia="宋体" w:cs="宋体"/>
          <w:color w:val="auto"/>
          <w:szCs w:val="21"/>
          <w:highlight w:val="none"/>
          <w:lang w:val="zh-CN"/>
        </w:rPr>
        <w:t xml:space="preserve">定响应文件的响应性只根据响应文件本身的内容，而不寻求外部的证据。</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 未实质性响应磋商文件的情形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 供应商在苏采云系统规定的时间内未成功解密电子响应文件。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.3.2 供应商未按照磋商文件要求上传电子响应文件。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.3.3 同一供应商提交两个（含两个）以上不同的响应文件或者最后报价。</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.3.4 供应商不具备磋商文件中规定的资格要求。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.3.5 供应商的最后报价超过了采购预算或最高限价。</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.3.6 不符合磋商文件中规定的实质性要求和条件。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.3.8 响应文件含有采购人不能接受的附加条件。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.3.10 响应文件未按照磋商文件要求加盖电子公章。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.3.11 法律法规及本磋商文件规定的其他无效响应的情形。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.6 供应商在项目评审全过程中应保持通讯畅通，</w:t>
      </w:r>
      <w:r>
        <w:rPr>
          <w:rFonts w:hint="eastAsia" w:ascii="宋体" w:hAnsi="宋体" w:eastAsia="宋体" w:cs="宋体"/>
          <w:color w:val="auto"/>
          <w:szCs w:val="21"/>
          <w:highlight w:val="none"/>
          <w:lang w:val="zh-CN"/>
        </w:rPr>
        <w:t xml:space="preserve">及时登录苏采云系统查阅、答复相关信息，并安排专人与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及磋商小组联系。</w:t>
      </w:r>
      <w:r/>
    </w:p>
    <w:p>
      <w:pPr>
        <w:pStyle w:val="943"/>
        <w:ind w:left="0" w:right="210"/>
        <w:spacing w:line="360" w:lineRule="auto"/>
        <w:rPr>
          <w:rFonts w:hint="eastAsia" w:ascii="宋体" w:hAnsi="宋体" w:eastAsia="宋体" w:cs="宋体"/>
          <w:color w:val="auto"/>
          <w:highlight w:val="none"/>
          <w:lang w:eastAsia="zh-CN"/>
        </w:rPr>
      </w:pPr>
      <w:r/>
      <w:bookmarkStart w:id="88" w:name="_Toc3247"/>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.磋商程序及评审方法与评审标准</w:t>
      </w:r>
      <w:bookmarkEnd w:id="88"/>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 磋商程序</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 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.2.1 评审方法。见磋商文件第五章。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.2.2 评审标准。见磋商文件第五章。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 采购活动终止</w:t>
      </w:r>
      <w:r/>
    </w:p>
    <w:p>
      <w:pPr>
        <w:ind w:firstLine="422"/>
        <w:rPr>
          <w:rFonts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.3.2 出现影响采购公正的违法、违规行为。</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val="zh-CN"/>
        </w:rPr>
        <w:t xml:space="preserve">.3.5法律法规规定的其他应</w:t>
      </w:r>
      <w:r>
        <w:rPr>
          <w:rFonts w:hint="eastAsia" w:ascii="宋体" w:hAnsi="宋体"/>
          <w:color w:val="auto"/>
          <w:sz w:val="24"/>
          <w:highlight w:val="none"/>
          <w:lang w:val="zh-CN"/>
        </w:rPr>
        <w:t xml:space="preserve">当终止情形。</w:t>
      </w:r>
      <w:r/>
    </w:p>
    <w:p>
      <w:pPr>
        <w:pStyle w:val="943"/>
        <w:ind w:left="0" w:right="210"/>
        <w:spacing w:line="360" w:lineRule="auto"/>
        <w:rPr>
          <w:rFonts w:ascii="宋体" w:hAnsi="宋体" w:cs="宋体"/>
          <w:color w:val="auto"/>
          <w:highlight w:val="none"/>
        </w:rPr>
      </w:pPr>
      <w:r/>
      <w:bookmarkStart w:id="89" w:name="_Toc7781"/>
      <w:r>
        <w:rPr>
          <w:rFonts w:hint="eastAsia" w:ascii="宋体" w:hAnsi="宋体" w:cs="宋体"/>
          <w:color w:val="auto"/>
          <w:highlight w:val="none"/>
        </w:rPr>
        <w:t xml:space="preserve">六．确定成交</w:t>
      </w:r>
      <w:bookmarkEnd w:id="89"/>
      <w:r/>
      <w:r/>
    </w:p>
    <w:p>
      <w:pPr>
        <w:pStyle w:val="943"/>
        <w:ind w:left="0" w:right="210"/>
        <w:spacing w:line="360" w:lineRule="auto"/>
        <w:rPr>
          <w:rFonts w:hint="eastAsia" w:ascii="宋体" w:hAnsi="宋体" w:eastAsia="宋体" w:cs="宋体"/>
          <w:color w:val="auto"/>
          <w:highlight w:val="none"/>
          <w:lang w:eastAsia="zh-CN"/>
        </w:rPr>
      </w:pPr>
      <w:r/>
      <w:bookmarkStart w:id="90" w:name="_Toc1873"/>
      <w:r>
        <w:rPr>
          <w:rFonts w:hint="eastAsia" w:ascii="宋体" w:hAnsi="宋体" w:eastAsia="宋体" w:cs="宋体"/>
          <w:color w:val="auto"/>
          <w:highlight w:val="none"/>
          <w:lang w:val="en-US" w:eastAsia="zh-CN"/>
        </w:rPr>
        <w:t xml:space="preserve">32</w:t>
      </w:r>
      <w:r>
        <w:rPr>
          <w:rFonts w:hint="eastAsia" w:ascii="宋体" w:hAnsi="宋体" w:eastAsia="宋体" w:cs="宋体"/>
          <w:color w:val="auto"/>
          <w:highlight w:val="none"/>
          <w:lang w:eastAsia="zh-CN"/>
        </w:rPr>
        <w:t xml:space="preserve">.确定成交单位</w:t>
      </w:r>
      <w:bookmarkEnd w:id="90"/>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按以下第（</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）种方式确定</w:t>
      </w:r>
      <w:r>
        <w:rPr>
          <w:rFonts w:hint="eastAsia" w:ascii="宋体" w:hAnsi="宋体" w:eastAsia="宋体" w:cs="宋体"/>
          <w:color w:val="auto"/>
          <w:szCs w:val="21"/>
          <w:highlight w:val="none"/>
        </w:rPr>
        <w:t xml:space="preserve">成交供应商</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直接确定排名第一的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将在“江苏政府采购网”发布成交结果公告，公告期限为1个工作日。</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.4 </w:t>
      </w:r>
      <w:r>
        <w:rPr>
          <w:rFonts w:hint="eastAsia" w:ascii="宋体" w:hAnsi="宋体"/>
          <w:b/>
          <w:bCs/>
          <w:color w:val="auto"/>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.4.1 提供虚假材料谋取成交。</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.4.2 向评审专家、采购人或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.4.3 与其他供应商、评审专家、采购人或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工作人员恶意串通。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.4.5 采取不正当手段诋毁、排挤其他供应商。</w:t>
      </w:r>
      <w:r/>
    </w:p>
    <w:p>
      <w:pPr>
        <w:pStyle w:val="943"/>
        <w:ind w:left="0" w:right="210"/>
        <w:spacing w:line="360" w:lineRule="auto"/>
        <w:rPr>
          <w:rFonts w:hint="eastAsia" w:ascii="宋体" w:hAnsi="宋体" w:eastAsia="宋体" w:cs="宋体"/>
          <w:color w:val="auto"/>
          <w:highlight w:val="none"/>
          <w:lang w:eastAsia="zh-CN"/>
        </w:rPr>
      </w:pPr>
      <w:r/>
      <w:bookmarkStart w:id="91" w:name="_Toc22871"/>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.成交通知书</w:t>
      </w:r>
      <w:bookmarkEnd w:id="91"/>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.1 成交结果确定后，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43"/>
        <w:ind w:left="0" w:right="210"/>
        <w:spacing w:line="360" w:lineRule="auto"/>
        <w:rPr>
          <w:rFonts w:ascii="宋体" w:hAnsi="宋体" w:cs="宋体"/>
          <w:color w:val="auto"/>
          <w:highlight w:val="none"/>
        </w:rPr>
      </w:pPr>
      <w:r/>
      <w:bookmarkStart w:id="92" w:name="_Toc18457"/>
      <w:r>
        <w:rPr>
          <w:rFonts w:hint="eastAsia" w:ascii="宋体" w:hAnsi="宋体" w:cs="宋体"/>
          <w:color w:val="auto"/>
          <w:highlight w:val="none"/>
        </w:rPr>
        <w:t xml:space="preserve">41.签订合同</w:t>
      </w:r>
      <w:bookmarkEnd w:id="92"/>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43"/>
        <w:ind w:left="0" w:right="210"/>
        <w:spacing w:line="360" w:lineRule="auto"/>
        <w:rPr>
          <w:rFonts w:ascii="宋体" w:hAnsi="宋体" w:cs="宋体"/>
          <w:color w:val="auto"/>
          <w:szCs w:val="21"/>
          <w:highlight w:val="none"/>
        </w:rPr>
      </w:pPr>
      <w:r/>
      <w:bookmarkStart w:id="93" w:name="_Toc27587"/>
      <w:r>
        <w:rPr>
          <w:rFonts w:hint="eastAsia" w:ascii="宋体" w:hAnsi="宋体" w:cs="宋体"/>
          <w:color w:val="auto"/>
          <w:szCs w:val="21"/>
          <w:highlight w:val="none"/>
        </w:rPr>
        <w:t xml:space="preserve">42.履约保证金</w:t>
      </w:r>
      <w:bookmarkEnd w:id="9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43"/>
        <w:ind w:left="0" w:right="210"/>
        <w:spacing w:line="360" w:lineRule="auto"/>
        <w:rPr>
          <w:rFonts w:ascii="宋体" w:hAnsi="宋体" w:cs="宋体"/>
          <w:color w:val="auto"/>
          <w:highlight w:val="none"/>
        </w:rPr>
      </w:pPr>
      <w:r/>
      <w:bookmarkStart w:id="94" w:name="_Toc5538"/>
      <w:r>
        <w:rPr>
          <w:rFonts w:hint="eastAsia" w:ascii="宋体" w:hAnsi="宋体" w:cs="宋体"/>
          <w:color w:val="auto"/>
          <w:highlight w:val="none"/>
        </w:rPr>
        <w:t xml:space="preserve">七．询问与质疑</w:t>
      </w:r>
      <w:bookmarkEnd w:id="94"/>
      <w:r/>
      <w:r/>
    </w:p>
    <w:p>
      <w:pPr>
        <w:pStyle w:val="943"/>
        <w:ind w:left="0" w:right="210"/>
        <w:spacing w:line="360" w:lineRule="auto"/>
        <w:rPr>
          <w:rFonts w:ascii="宋体" w:hAnsi="宋体" w:cs="宋体"/>
          <w:color w:val="auto"/>
          <w:szCs w:val="21"/>
          <w:highlight w:val="none"/>
        </w:rPr>
      </w:pPr>
      <w:r/>
      <w:bookmarkStart w:id="95" w:name="_Toc27490"/>
      <w:r>
        <w:rPr>
          <w:rFonts w:hint="eastAsia" w:ascii="宋体" w:hAnsi="宋体" w:cs="宋体"/>
          <w:color w:val="auto"/>
          <w:szCs w:val="21"/>
          <w:highlight w:val="none"/>
        </w:rPr>
        <w:t xml:space="preserve">43.询问</w:t>
      </w:r>
      <w:bookmarkEnd w:id="9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43"/>
        <w:ind w:left="0" w:right="210"/>
        <w:spacing w:line="360" w:lineRule="auto"/>
        <w:rPr>
          <w:rFonts w:ascii="宋体" w:hAnsi="宋体" w:cs="宋体"/>
          <w:color w:val="auto"/>
          <w:szCs w:val="21"/>
          <w:highlight w:val="none"/>
        </w:rPr>
      </w:pPr>
      <w:r/>
      <w:bookmarkStart w:id="96" w:name="_Toc31290"/>
      <w:r>
        <w:rPr>
          <w:rFonts w:hint="eastAsia" w:ascii="宋体" w:hAnsi="宋体" w:cs="宋体"/>
          <w:color w:val="auto"/>
          <w:szCs w:val="21"/>
          <w:highlight w:val="none"/>
        </w:rPr>
        <w:t xml:space="preserve">44.质疑</w:t>
      </w:r>
      <w:bookmarkEnd w:id="9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43"/>
        <w:ind w:left="0" w:right="210"/>
        <w:spacing w:line="360" w:lineRule="auto"/>
        <w:rPr>
          <w:rFonts w:ascii="宋体" w:hAnsi="宋体" w:cs="宋体"/>
          <w:color w:val="auto"/>
          <w:highlight w:val="none"/>
        </w:rPr>
      </w:pPr>
      <w:r/>
      <w:bookmarkStart w:id="97" w:name="_Toc16086"/>
      <w:r>
        <w:rPr>
          <w:rFonts w:hint="eastAsia" w:ascii="宋体" w:hAnsi="宋体" w:cs="宋体"/>
          <w:color w:val="auto"/>
          <w:highlight w:val="none"/>
        </w:rPr>
        <w:t xml:space="preserve">八．其他</w:t>
      </w:r>
      <w:bookmarkEnd w:id="97"/>
      <w:r/>
      <w:r/>
    </w:p>
    <w:p>
      <w:pPr>
        <w:pStyle w:val="943"/>
        <w:ind w:left="0" w:right="210"/>
        <w:spacing w:line="360" w:lineRule="auto"/>
        <w:rPr>
          <w:rFonts w:ascii="宋体" w:hAnsi="宋体" w:cs="宋体"/>
          <w:color w:val="auto"/>
          <w:szCs w:val="21"/>
          <w:highlight w:val="none"/>
        </w:rPr>
      </w:pPr>
      <w:r/>
      <w:bookmarkStart w:id="98" w:name="_Toc31048"/>
      <w:r>
        <w:rPr>
          <w:rFonts w:hint="eastAsia" w:ascii="宋体" w:hAnsi="宋体" w:cs="宋体"/>
          <w:color w:val="auto"/>
          <w:szCs w:val="21"/>
          <w:highlight w:val="none"/>
        </w:rPr>
        <w:t xml:space="preserve">45.采购代理服务费</w:t>
      </w:r>
      <w:bookmarkEnd w:id="98"/>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szCs w:val="21"/>
          <w:highlight w:val="none"/>
        </w:rPr>
      </w:pPr>
      <w:r/>
      <w:bookmarkStart w:id="99" w:name="_Toc24078"/>
      <w:r>
        <w:rPr>
          <w:rFonts w:hint="eastAsia" w:ascii="宋体" w:hAnsi="宋体" w:cs="宋体"/>
          <w:color w:val="auto"/>
          <w:szCs w:val="21"/>
          <w:highlight w:val="none"/>
        </w:rPr>
        <w:t xml:space="preserve">46.其他规定</w:t>
      </w:r>
      <w:bookmarkEnd w:id="9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43"/>
        <w:ind w:left="0" w:right="210"/>
        <w:spacing w:line="360" w:lineRule="auto"/>
        <w:rPr>
          <w:rFonts w:ascii="宋体" w:hAnsi="宋体" w:cs="宋体"/>
          <w:color w:val="auto"/>
          <w:szCs w:val="21"/>
          <w:highlight w:val="none"/>
        </w:rPr>
      </w:pPr>
      <w:r/>
      <w:bookmarkStart w:id="100" w:name="_Toc11416"/>
      <w:r>
        <w:rPr>
          <w:rFonts w:hint="eastAsia" w:ascii="宋体" w:hAnsi="宋体" w:cs="宋体"/>
          <w:color w:val="auto"/>
          <w:szCs w:val="21"/>
          <w:highlight w:val="none"/>
        </w:rPr>
        <w:t xml:space="preserve">47.文件解释权</w:t>
      </w:r>
      <w:bookmarkEnd w:id="100"/>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38"/>
      <w:r/>
      <w:bookmarkEnd w:id="39"/>
      <w:r/>
      <w:bookmarkEnd w:id="40"/>
      <w:r/>
      <w:bookmarkEnd w:id="41"/>
      <w:r/>
      <w:bookmarkStart w:id="101" w:name="_Toc80264714"/>
      <w:r/>
      <w:bookmarkEnd w:id="101"/>
      <w:r/>
      <w:r/>
    </w:p>
    <w:p>
      <w:pPr>
        <w:pStyle w:val="1035"/>
        <w:numPr>
          <w:ilvl w:val="0"/>
          <w:numId w:val="0"/>
        </w:numPr>
        <w:jc w:val="center"/>
        <w:rPr>
          <w:rFonts w:hint="eastAsia" w:ascii="宋体" w:hAnsi="宋体" w:cs="宋体"/>
          <w:color w:val="auto"/>
          <w:highlight w:val="none"/>
        </w:rPr>
      </w:pPr>
      <w:r/>
      <w:bookmarkStart w:id="102" w:name="_Toc91836563"/>
      <w:r>
        <w:rPr>
          <w:rFonts w:ascii="Microsoft New Tai Lue" w:hAnsi="Microsoft New Tai Lue" w:cs="Microsoft New Tai Lue"/>
          <w:color w:val="auto"/>
          <w:highlight w:val="none"/>
        </w:rPr>
        <w:br w:type="page" w:clear="all"/>
      </w:r>
      <w:bookmarkStart w:id="103" w:name="_Toc24282"/>
      <w:r>
        <w:rPr>
          <w:rFonts w:ascii="Microsoft New Tai Lue" w:hAnsi="Microsoft New Tai Lue" w:cs="Microsoft New Tai Lue"/>
          <w:color w:val="auto"/>
          <w:highlight w:val="none"/>
        </w:rPr>
        <w:t xml:space="preserve">第三章 </w:t>
      </w:r>
      <w:bookmarkEnd w:id="102"/>
      <w:r>
        <w:rPr>
          <w:rFonts w:hint="eastAsia" w:ascii="宋体" w:hAnsi="宋体" w:cs="宋体"/>
          <w:color w:val="auto"/>
          <w:highlight w:val="none"/>
        </w:rPr>
        <w:t xml:space="preserve">政府采购合同条款及格式</w:t>
      </w:r>
      <w:bookmarkEnd w:id="103"/>
      <w:r/>
      <w:r/>
    </w:p>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（模板仅供参考以最终签订的合同为准，</w:t>
      </w:r>
      <w:r>
        <w:rPr>
          <w:rFonts w:hint="eastAsia" w:ascii="宋体" w:hAnsi="宋体" w:cs="宋体"/>
          <w:color w:val="auto"/>
          <w:sz w:val="24"/>
          <w:highlight w:val="none"/>
          <w:lang w:val="en-US" w:eastAsia="zh-CN" w:bidi="ar"/>
        </w:rPr>
        <w:t xml:space="preserve">但不得改变合同实质性内容</w:t>
      </w:r>
      <w:r>
        <w:rPr>
          <w:rFonts w:hint="eastAsia" w:ascii="宋体" w:hAnsi="宋体" w:cs="宋体"/>
          <w:color w:val="auto"/>
          <w:sz w:val="24"/>
          <w:highlight w:val="none"/>
          <w:lang w:val="zh-CN" w:bidi="ar"/>
        </w:rPr>
        <w:t xml:space="preserve">）</w:t>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ind w:firstLine="303"/>
        <w:jc w:val="center"/>
        <w:rPr>
          <w:rFonts w:ascii="宋体" w:hAnsi="宋体"/>
          <w:b/>
          <w:color w:val="auto"/>
          <w:sz w:val="52"/>
          <w:szCs w:val="52"/>
          <w:highlight w:val="none"/>
        </w:rPr>
      </w:pPr>
      <w:r>
        <w:rPr>
          <w:rFonts w:ascii="宋体" w:hAnsi="宋体"/>
          <w:b/>
          <w:color w:val="auto"/>
          <w:sz w:val="52"/>
          <w:szCs w:val="52"/>
          <w:highlight w:val="none"/>
        </w:rPr>
      </w:r>
      <w:r/>
    </w:p>
    <w:p>
      <w:pPr>
        <w:ind w:firstLine="303"/>
        <w:jc w:val="center"/>
        <w:rPr>
          <w:rFonts w:ascii="宋体" w:hAnsi="宋体"/>
          <w:b/>
          <w:color w:val="auto"/>
          <w:sz w:val="52"/>
          <w:szCs w:val="52"/>
          <w:highlight w:val="none"/>
        </w:rPr>
      </w:pPr>
      <w:r>
        <w:rPr>
          <w:rFonts w:hint="eastAsia" w:ascii="宋体" w:hAnsi="宋体"/>
          <w:b/>
          <w:color w:val="auto"/>
          <w:sz w:val="52"/>
          <w:szCs w:val="52"/>
          <w:highlight w:val="none"/>
        </w:rPr>
        <w:t xml:space="preserve">栖霞区养老服务指导中心项目</w:t>
      </w:r>
      <w:r/>
    </w:p>
    <w:p>
      <w:pPr>
        <w:jc w:val="center"/>
        <w:rPr>
          <w:rFonts w:ascii="方正小标宋简体" w:hAnsi="宋体" w:eastAsia="方正小标宋简体"/>
          <w:color w:val="auto"/>
          <w:sz w:val="32"/>
          <w:szCs w:val="32"/>
          <w:highlight w:val="none"/>
        </w:rPr>
      </w:pPr>
      <w:r>
        <w:rPr>
          <w:rFonts w:ascii="方正小标宋简体" w:hAnsi="宋体" w:eastAsia="方正小标宋简体"/>
          <w:color w:val="auto"/>
          <w:sz w:val="32"/>
          <w:szCs w:val="32"/>
          <w:highlight w:val="none"/>
        </w:rPr>
      </w:r>
      <w:r/>
    </w:p>
    <w:p>
      <w:pPr>
        <w:jc w:val="center"/>
        <w:rPr>
          <w:rFonts w:ascii="方正小标宋简体" w:hAnsi="宋体" w:eastAsia="方正小标宋简体"/>
          <w:color w:val="auto"/>
          <w:sz w:val="72"/>
          <w:szCs w:val="72"/>
          <w:highlight w:val="none"/>
        </w:rPr>
      </w:pPr>
      <w:r>
        <w:rPr>
          <w:rFonts w:hint="eastAsia" w:ascii="方正小标宋简体" w:hAnsi="宋体" w:eastAsia="方正小标宋简体"/>
          <w:color w:val="auto"/>
          <w:sz w:val="72"/>
          <w:szCs w:val="72"/>
          <w:highlight w:val="none"/>
        </w:rPr>
        <w:t xml:space="preserve">采</w:t>
      </w:r>
      <w:r/>
    </w:p>
    <w:p>
      <w:pPr>
        <w:jc w:val="center"/>
        <w:rPr>
          <w:rFonts w:ascii="方正小标宋简体" w:hAnsi="宋体" w:eastAsia="方正小标宋简体"/>
          <w:color w:val="auto"/>
          <w:sz w:val="72"/>
          <w:szCs w:val="72"/>
          <w:highlight w:val="none"/>
        </w:rPr>
      </w:pPr>
      <w:r>
        <w:rPr>
          <w:rFonts w:hint="eastAsia" w:ascii="方正小标宋简体" w:hAnsi="宋体" w:eastAsia="方正小标宋简体"/>
          <w:color w:val="auto"/>
          <w:sz w:val="72"/>
          <w:szCs w:val="72"/>
          <w:highlight w:val="none"/>
        </w:rPr>
        <w:t xml:space="preserve">购</w:t>
      </w:r>
      <w:r/>
    </w:p>
    <w:p>
      <w:pPr>
        <w:jc w:val="center"/>
        <w:rPr>
          <w:rFonts w:ascii="方正小标宋简体" w:hAnsi="宋体" w:eastAsia="方正小标宋简体"/>
          <w:color w:val="auto"/>
          <w:sz w:val="72"/>
          <w:szCs w:val="72"/>
          <w:highlight w:val="none"/>
        </w:rPr>
      </w:pPr>
      <w:r>
        <w:rPr>
          <w:rFonts w:hint="eastAsia" w:ascii="方正小标宋简体" w:hAnsi="宋体" w:eastAsia="方正小标宋简体"/>
          <w:color w:val="auto"/>
          <w:sz w:val="72"/>
          <w:szCs w:val="72"/>
          <w:highlight w:val="none"/>
        </w:rPr>
        <w:t xml:space="preserve">合</w:t>
      </w:r>
      <w:r/>
    </w:p>
    <w:p>
      <w:pPr>
        <w:jc w:val="center"/>
        <w:rPr>
          <w:rFonts w:ascii="方正小标宋简体" w:hAnsi="宋体" w:eastAsia="方正小标宋简体"/>
          <w:color w:val="auto"/>
          <w:sz w:val="48"/>
          <w:szCs w:val="48"/>
          <w:highlight w:val="none"/>
        </w:rPr>
      </w:pPr>
      <w:r>
        <w:rPr>
          <w:rFonts w:hint="eastAsia" w:ascii="方正小标宋简体" w:hAnsi="宋体" w:eastAsia="方正小标宋简体"/>
          <w:color w:val="auto"/>
          <w:sz w:val="72"/>
          <w:szCs w:val="72"/>
          <w:highlight w:val="none"/>
        </w:rPr>
        <w:t xml:space="preserve">同</w:t>
      </w:r>
      <w:r/>
    </w:p>
    <w:p>
      <w:pPr>
        <w:pStyle w:val="773"/>
        <w:rPr>
          <w:color w:val="auto"/>
          <w:highlight w:val="none"/>
        </w:rPr>
      </w:pPr>
      <w:r>
        <w:rPr>
          <w:color w:val="auto"/>
          <w:highlight w:val="none"/>
        </w:rPr>
      </w:r>
      <w:r/>
    </w:p>
    <w:p>
      <w:pPr>
        <w:pStyle w:val="773"/>
        <w:rPr>
          <w:color w:val="auto"/>
          <w:highlight w:val="none"/>
        </w:rPr>
      </w:pPr>
      <w:r>
        <w:rPr>
          <w:color w:val="auto"/>
          <w:highlight w:val="none"/>
        </w:rPr>
      </w:r>
      <w:r/>
    </w:p>
    <w:p>
      <w:pPr>
        <w:ind w:firstLine="1285"/>
        <w:rPr>
          <w:rFonts w:ascii="宋体" w:hAnsi="宋体"/>
          <w:b/>
          <w:color w:val="auto"/>
          <w:sz w:val="32"/>
          <w:szCs w:val="32"/>
          <w:highlight w:val="none"/>
        </w:rPr>
      </w:pPr>
      <w:r>
        <w:rPr>
          <w:rFonts w:ascii="宋体" w:hAnsi="宋体"/>
          <w:b/>
          <w:color w:val="auto"/>
          <w:sz w:val="32"/>
          <w:szCs w:val="32"/>
          <w:highlight w:val="none"/>
        </w:rPr>
        <w:t xml:space="preserve">合同编号 ：</w:t>
      </w:r>
      <w:r>
        <w:rPr>
          <w:rFonts w:hint="eastAsia" w:ascii="宋体" w:hAnsi="宋体"/>
          <w:b/>
          <w:color w:val="auto"/>
          <w:sz w:val="32"/>
          <w:szCs w:val="32"/>
          <w:highlight w:val="none"/>
          <w:u w:val="single"/>
          <w:lang w:val="en-US" w:eastAsia="zh-CN"/>
        </w:rPr>
        <w:t xml:space="preserve">                      </w:t>
      </w:r>
      <w:r>
        <w:rPr>
          <w:rFonts w:hint="eastAsia" w:ascii="宋体" w:hAnsi="宋体"/>
          <w:b/>
          <w:color w:val="auto"/>
          <w:sz w:val="32"/>
          <w:szCs w:val="32"/>
          <w:highlight w:val="none"/>
          <w:u w:val="single"/>
        </w:rPr>
        <w:t xml:space="preserve"> </w:t>
      </w:r>
      <w:r>
        <w:rPr>
          <w:rFonts w:ascii="宋体" w:hAnsi="宋体"/>
          <w:b/>
          <w:color w:val="auto"/>
          <w:sz w:val="32"/>
          <w:szCs w:val="32"/>
          <w:highlight w:val="none"/>
          <w:u w:val="single"/>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hint="default" w:ascii="宋体" w:hAnsi="宋体" w:eastAsia="宋体"/>
          <w:b/>
          <w:color w:val="auto"/>
          <w:sz w:val="32"/>
          <w:szCs w:val="32"/>
          <w:highlight w:val="none"/>
          <w:u w:val="single"/>
          <w:lang w:val="en-US" w:eastAsia="zh-CN"/>
        </w:rPr>
      </w:pPr>
      <w:r>
        <w:rPr>
          <w:rFonts w:ascii="宋体" w:hAnsi="宋体"/>
          <w:b/>
          <w:color w:val="auto"/>
          <w:sz w:val="32"/>
          <w:szCs w:val="32"/>
          <w:highlight w:val="none"/>
        </w:rPr>
        <w:t xml:space="preserve">项目名称 ：</w:t>
      </w:r>
      <w:r>
        <w:rPr>
          <w:rFonts w:hint="eastAsia" w:ascii="宋体" w:hAnsi="宋体"/>
          <w:b/>
          <w:color w:val="auto"/>
          <w:sz w:val="32"/>
          <w:szCs w:val="32"/>
          <w:highlight w:val="none"/>
          <w:u w:val="single"/>
          <w:lang w:val="en-US" w:eastAsia="zh-CN"/>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ascii="宋体" w:hAnsi="宋体"/>
          <w:b/>
          <w:color w:val="auto"/>
          <w:sz w:val="32"/>
          <w:szCs w:val="32"/>
          <w:highlight w:val="none"/>
          <w:u w:val="single"/>
        </w:rPr>
      </w:pPr>
      <w:r>
        <w:rPr>
          <w:rFonts w:ascii="宋体" w:hAnsi="宋体"/>
          <w:b/>
          <w:color w:val="auto"/>
          <w:sz w:val="32"/>
          <w:szCs w:val="32"/>
          <w:highlight w:val="none"/>
        </w:rPr>
        <w:t xml:space="preserve">采</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购</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人 ：</w:t>
      </w:r>
      <w:r>
        <w:rPr>
          <w:rFonts w:hint="eastAsia" w:ascii="宋体" w:hAnsi="宋体"/>
          <w:b/>
          <w:color w:val="auto"/>
          <w:sz w:val="32"/>
          <w:szCs w:val="32"/>
          <w:highlight w:val="none"/>
          <w:u w:val="single"/>
        </w:rPr>
        <w:t xml:space="preserve">南京市栖霞区民政局</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hint="default" w:ascii="宋体" w:hAnsi="宋体" w:eastAsia="宋体"/>
          <w:b/>
          <w:color w:val="auto"/>
          <w:sz w:val="32"/>
          <w:szCs w:val="32"/>
          <w:highlight w:val="none"/>
          <w:lang w:val="en-US" w:eastAsia="zh-CN"/>
        </w:rPr>
      </w:pPr>
      <w:r>
        <w:rPr>
          <w:rFonts w:ascii="宋体" w:hAnsi="宋体"/>
          <w:b/>
          <w:color w:val="auto"/>
          <w:sz w:val="32"/>
          <w:szCs w:val="32"/>
          <w:highlight w:val="none"/>
        </w:rPr>
        <w:t xml:space="preserve">供</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应</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商 ：</w:t>
      </w:r>
      <w:r>
        <w:rPr>
          <w:rFonts w:hint="eastAsia" w:ascii="宋体" w:hAnsi="宋体"/>
          <w:b/>
          <w:color w:val="auto"/>
          <w:sz w:val="32"/>
          <w:szCs w:val="32"/>
          <w:highlight w:val="none"/>
          <w:u w:val="single"/>
          <w:lang w:val="en-US" w:eastAsia="zh-CN"/>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ascii="宋体" w:hAnsi="宋体"/>
          <w:b/>
          <w:color w:val="auto"/>
          <w:sz w:val="32"/>
          <w:szCs w:val="32"/>
          <w:highlight w:val="none"/>
          <w:u w:val="single"/>
        </w:rPr>
      </w:pPr>
      <w:r>
        <w:rPr>
          <w:rFonts w:ascii="宋体" w:hAnsi="宋体"/>
          <w:b/>
          <w:color w:val="auto"/>
          <w:sz w:val="32"/>
          <w:szCs w:val="32"/>
          <w:highlight w:val="none"/>
        </w:rPr>
        <w:t xml:space="preserve">签订日期 ：</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lang w:val="en-US" w:eastAsia="zh-CN"/>
        </w:rPr>
        <w:t xml:space="preserve">     </w:t>
      </w:r>
      <w:r>
        <w:rPr>
          <w:rFonts w:ascii="宋体" w:hAnsi="宋体"/>
          <w:b/>
          <w:color w:val="auto"/>
          <w:sz w:val="32"/>
          <w:szCs w:val="32"/>
          <w:highlight w:val="none"/>
          <w:u w:val="single"/>
        </w:rPr>
        <w:t xml:space="preserve">                 </w:t>
      </w:r>
      <w:r/>
    </w:p>
    <w:p>
      <w:pPr>
        <w:spacing w:line="240" w:lineRule="auto"/>
        <w:rPr>
          <w:rFonts w:ascii="宋体" w:hAnsi="宋体"/>
          <w:b/>
          <w:bCs/>
          <w:color w:val="auto"/>
          <w:sz w:val="24"/>
          <w:szCs w:val="24"/>
          <w:highlight w:val="none"/>
        </w:rPr>
      </w:pPr>
      <w:r>
        <w:rPr>
          <w:rFonts w:ascii="宋体" w:hAnsi="宋体"/>
          <w:b/>
          <w:bCs/>
          <w:color w:val="auto"/>
          <w:sz w:val="24"/>
          <w:szCs w:val="24"/>
          <w:highlight w:val="none"/>
        </w:rPr>
        <w:br w:type="page" w:clear="all"/>
      </w:r>
      <w:r/>
    </w:p>
    <w:p>
      <w:p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合同编号：</w:t>
      </w:r>
      <w:r/>
    </w:p>
    <w:p>
      <w:p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政府采购计划号：</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采购人：（以下称甲方）南京市栖霞区民政局       </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住所地：南京市栖霞区文苑路118号 </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供应商：（以下称乙方）</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住所地：</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根据《中华人民共和国政府采购法》、《中华人民共和国民法典》等法律法规的规定，甲乙双方按照竞争性磋商结果签订本合同。</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合同标的</w:t>
      </w:r>
      <w:r/>
    </w:p>
    <w:p>
      <w:pPr>
        <w:ind w:left="139"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乙方根据甲方需求提供下列服务：</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1、全区养老服务工作的业务指导和监督检查</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在区民政局养老服务科指导下，对全区养老服务机构的养老服务过程实施综合监管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对养老服务机构业务进行指导</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对居家养老进行扶持</w:t>
      </w:r>
      <w:r>
        <w:rPr>
          <w:rFonts w:hint="eastAsia" w:ascii="宋体" w:hAnsi="宋体"/>
          <w:color w:val="auto"/>
          <w:sz w:val="24"/>
          <w:szCs w:val="24"/>
          <w:highlight w:val="none"/>
        </w:rPr>
        <w:t xml:space="preserve">；有效的利用平台归集整理全区养老服务机构的基本信息及组织、人员信息等并及时更新。针对社区居家服务及政府购买服务项目服务数据进行每日检查与随机抽查、不定期开展上门核查，确保服务的真实有效性。抽查项目及抽查数量以民政局相关文件要求为准；</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2、对栖霞区民政养老服务信息化系统进行建设、维护、管理和发展规划</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（1）从业务指导、服务管理、安全监管、品牌专管等方面提供运营服务；</w:t>
      </w:r>
      <w:r/>
    </w:p>
    <w:p>
      <w:pPr>
        <w:ind w:left="139" w:firstLine="480"/>
        <w:spacing w:line="560" w:lineRule="exact"/>
        <w:rPr>
          <w:color w:val="auto"/>
          <w:highlight w:val="none"/>
        </w:rPr>
      </w:pPr>
      <w:r>
        <w:rPr>
          <w:rFonts w:hint="eastAsia" w:ascii="宋体" w:hAnsi="宋体"/>
          <w:color w:val="auto"/>
          <w:sz w:val="24"/>
          <w:szCs w:val="24"/>
          <w:highlight w:val="none"/>
        </w:rPr>
        <w:t xml:space="preserve">（2）开发并根据</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要求不断完善“栖彩颐养”养老服务信息化管理平台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居家养老业务管理模块、机构养老业务管理模块、养老安全模块、评估系统，栖彩颐养小程序、智慧养老产品闭环管理等信息化建设。</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3、高标准管理、维护省民政厅、市民政局以及其他单位在养老服务领域的信息化管理平台，做好日常数据整理、分析、上报、汇总等工作。</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4、开展对区内老人、养老服务机构从业人员进行业务培训、宣传</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常规开展线上线下服务培训指导。针对政策、项目、服务及绩效等各方面进行线上线下实时指导与答疑解惑。全年开展不少于12次的培训项目，涵盖政策解读、项目策划、服务开展（助餐、助浴、助行、助洁、助购、助医、助急等生活照料服务；健康管理、家庭护理等健康服务；关爱探访、生活陪伴、临终关怀等精神慰藉服务；安全监测、紧急救援等安全服务）、机构管理等多元层面，为区内养老服务组织搭建互助交流与能力建设平台；</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（2）链接多方资源，每年合力开展一次栖霞区养老大型培训，拓宽区内养老服务组织工作视野，学习先进经验，感受先进理念，提升工作品质；</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（3）专业开展驻点指导。对新成立的居家养老服务中心，开展驻点指导，协助站点服务开启。</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5、统筹负责区内养老服务领域智能化设备与养老信息化系统的有效接入并进行监管和闭环管理。</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（1）按照年度指标、数据统计、数据分析、数据呈现的思路进行接入、监管和闭环管理；</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（2）对已有的基础数据和服务数据进行地区、时间、服务项目等多维度全方面的统计和分析；</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6、协助区民政局对养老领域各服务项目的正常运行</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（1）开展区域交流。涵盖政策解读、项目策划、服务开展、机构管理等多元层面，为区内养老服务组织搭建互助交流与能力建设平台；</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（2）聚焦项目创新发展，协助开展居家养老服务创新工作，动员社会各方资源及区内服务组织，参与栖霞养老服务。</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7、协助区民政局组织做好养老服务高质量发展方面的各项工作</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（1）采用信息化手段，定制展示数据统计报表、开展重点关爱困难老人巡访工作、AI智能识别服务图像。</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（2）定制展示数据模块包含</w:t>
      </w:r>
      <w:r>
        <w:rPr>
          <w:rFonts w:hint="eastAsia" w:ascii="宋体" w:hAnsi="宋体"/>
          <w:color w:val="auto"/>
          <w:sz w:val="24"/>
          <w:szCs w:val="24"/>
          <w:highlight w:val="none"/>
          <w:lang w:val="en-US" w:eastAsia="zh-CN"/>
        </w:rPr>
        <w:t xml:space="preserve">老年人</w:t>
      </w:r>
      <w:r>
        <w:rPr>
          <w:rFonts w:hint="eastAsia" w:ascii="宋体" w:hAnsi="宋体"/>
          <w:color w:val="auto"/>
          <w:sz w:val="24"/>
          <w:szCs w:val="24"/>
          <w:highlight w:val="none"/>
        </w:rPr>
        <w:t xml:space="preserve">服务统计表、居家养老服务中心服务绩效统计报表；关爱巡访重点困难老人，支持小程序自主录入线上关爱工单，以及线下上门扫码服务，通过老人统计表、达标情况表，多维度监管探访服务质量；助老员采集老人初始画像信息后，系统进行AI自我学习，针对助老员服务过程中的图片留痕，智能识别是否为老人本人画像，从而达到高精准监督服务质量的目的。</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8、进行宣传引导，开展银发顾问培育，提升全区养老服务能力等</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（1）发挥承上启下功能，协助甲方完成省对区、市对区的各项考核指标；</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充分利用栖彩颐养服务平台，拓展媒体宣传渠道。通过栖彩颐养直播间，整合线上线下资源，做好栖霞养老宣传工作。不定期上门探访，关注老人居家安全的同时，宣传养老政策与呼叫中心服务，鼓励老人走出家门，参与社区活动。</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链接</w:t>
      </w:r>
      <w:r>
        <w:rPr>
          <w:rFonts w:hint="eastAsia" w:ascii="宋体" w:hAnsi="宋体"/>
          <w:color w:val="auto"/>
          <w:sz w:val="24"/>
          <w:szCs w:val="24"/>
          <w:highlight w:val="none"/>
        </w:rPr>
        <w:t xml:space="preserve">银发顾问职能，依托呼叫中心，采取线上线下相结合的方式为老年人提供养老政策咨询、办事指南、服务推介，推荐、链接适合的养老服务资源，促进养老服务重心下移并向家庭延伸，让老年人更快捷地掌握养老政策、获取养老资源、获得优质服务，实现养老服务供需精准有效对接。</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9、开设话务坐席</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具备对街道级综合中心进行指导调度，对养老机构、居家养老服务、政府购买服务运营情况进行实时监控和抽查，督促机构及居家中心与平台实时连线。</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（1）设话务坐席，每日来电接听、问题处理与呼叫回访。实行7x24小时全天候工作制，做好主动回访及老人呼叫及时响应，每天主动回访不少于</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人，针对平台可疑工单处理率达100%，每周统计周抽查情况，每月进行汇总，形成工作报告；</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面向本区老年人开展精神关爱、服务转介等服务，定期发布和更新养老服务组织信息，为老年人提供政策咨询、信息查询等线上服务。提升老人居家安全，及时回应老人服务需求，为老人提供政策咨询，紧急救助等服务。 </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10、链接资源</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（1）运营期间需保持与10个以上具有养老服务功能的服务组织签订服务协议，对于无法签订协议的市场资源应收集其服务电话，应当对转介的服务进行跟踪、回访、监督。</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（2）加强养老服务分析研究，协助甲方出台下一阶段养老服务政策和规划，进一步聚焦项目创新。</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合同总价款</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本合同项下服务价款为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元/三年（大写），分项价款在“分项报价表”中有明确规定。</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本合同总价款是完成本项目所发生的所有含税费用、支付给员工的工资和国家强制缴纳的各种社会保障资金，以及乙方认为需要的其他费用等。</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组成本合同的有关文件</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下列关于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号</w:t>
      </w:r>
      <w:r>
        <w:rPr>
          <w:rFonts w:ascii="宋体" w:hAnsi="宋体"/>
          <w:color w:val="auto"/>
          <w:sz w:val="24"/>
          <w:szCs w:val="24"/>
          <w:highlight w:val="none"/>
        </w:rPr>
        <w:t xml:space="preserve">的竞争性磋商文件、</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响应文件，或与本次采购活动方式相适应的文件，以及有关附件是本合同不可分割的组成部分，与本合同具有同等法律效力，这些文件包括但不限于：</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（1）乙方提供的响应文件和报价表；</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（2）技术偏离表；</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（3）磋商承诺/服务承诺；</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（4）成交通知书；</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（5）甲乙双方商定的其他文件等。</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权利</w:t>
      </w:r>
      <w:r>
        <w:rPr>
          <w:rFonts w:hint="eastAsia" w:ascii="宋体" w:hAnsi="宋体"/>
          <w:b/>
          <w:bCs/>
          <w:color w:val="auto"/>
          <w:sz w:val="24"/>
          <w:szCs w:val="24"/>
          <w:highlight w:val="none"/>
        </w:rPr>
        <w:t xml:space="preserve">与义务</w:t>
      </w:r>
      <w:r/>
    </w:p>
    <w:p>
      <w:pPr>
        <w:numPr>
          <w:ilvl w:val="0"/>
          <w:numId w:val="6"/>
        </w:num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甲方权利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1、甲方拥有对乙方开展活动进行业务指导的权利，对乙方管理和服务具有监督、评估和提出建议的权利。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2、甲方有权对该合作项目的运营情况进行检查评估，确保服务对象、服务内容与合作项目一致性。</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3、甲方有权对拨付给乙方的资金使用情况进行监管。</w:t>
      </w:r>
      <w:r/>
    </w:p>
    <w:p>
      <w:pPr>
        <w:ind w:firstLine="48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、甲方拥有信息化平台的使用权及平台内所有数据的归属权，</w:t>
      </w:r>
      <w:r>
        <w:rPr>
          <w:rFonts w:hint="eastAsia" w:ascii="宋体" w:hAnsi="宋体"/>
          <w:color w:val="auto"/>
          <w:sz w:val="24"/>
          <w:szCs w:val="24"/>
          <w:highlight w:val="none"/>
          <w:lang w:val="en-US" w:eastAsia="zh-CN"/>
        </w:rPr>
        <w:t xml:space="preserve">所有基础及服务数据需纳入政务云平台。出现下述合同服务期满、合同因政策调整无法执行、乙方年度考核不合格、乙方无法正常履约导致甲方工作受到严重影响等情形终止服务，乙方需配合并保障所有数据迁移至甲方指定平台。</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（二）甲方义务</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1、甲方有义务为乙方提供办公场所。</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2、甲方有义务按时拨付协议内经费。如甲方未按期拨付经费致使乙方无法开展本合同要求的工作，乙方不承担相关责任。</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3、甲方对乙方工作提供必要的政策、宣传等方面支持，共同推动养老服务在全区有效的开展。</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（三）乙方权利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1、乙方拥有在法律许可和本协议约定范围内相对独立运营的权利。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2、乙方应在甲方合理化建议和指导下，完善工作人员招聘工作，以及对人员的培训及管理工作。</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3、乙方拥信息化平台的知识产权。</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四</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乙方义务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1、用于本次指导中心运营及保障拟投入本次平台运营人员正常开展办公所需的平台硬件设备，办公电脑等硬件由供应商提供并配备，满足工作需要。</w:t>
      </w:r>
      <w:r/>
    </w:p>
    <w:p>
      <w:pPr>
        <w:ind w:firstLine="480"/>
        <w:spacing w:line="560" w:lineRule="exact"/>
        <w:rPr>
          <w:rFonts w:hint="default" w:ascii="宋体" w:hAnsi="宋体"/>
          <w:color w:val="auto"/>
          <w:sz w:val="24"/>
          <w:szCs w:val="24"/>
          <w:highlight w:val="none"/>
          <w:lang w:val="en-US"/>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乙方投入</w:t>
      </w:r>
      <w:r>
        <w:rPr>
          <w:rFonts w:hint="eastAsia" w:ascii="宋体" w:hAnsi="宋体"/>
          <w:color w:val="auto"/>
          <w:sz w:val="24"/>
          <w:szCs w:val="24"/>
          <w:highlight w:val="none"/>
        </w:rPr>
        <w:t xml:space="preserve">本项目运营团队</w:t>
      </w:r>
      <w:r>
        <w:rPr>
          <w:rFonts w:hint="eastAsia" w:ascii="宋体" w:hAnsi="宋体"/>
          <w:color w:val="auto"/>
          <w:sz w:val="24"/>
          <w:szCs w:val="24"/>
          <w:highlight w:val="none"/>
          <w:lang w:val="en-US" w:eastAsia="zh-CN"/>
        </w:rPr>
        <w:t xml:space="preserve">应稳定</w:t>
      </w:r>
      <w:r>
        <w:rPr>
          <w:rFonts w:hint="eastAsia" w:ascii="宋体" w:hAnsi="宋体"/>
          <w:color w:val="auto"/>
          <w:sz w:val="24"/>
          <w:szCs w:val="24"/>
          <w:highlight w:val="none"/>
        </w:rPr>
        <w:t xml:space="preserve">，合同周期内人员</w:t>
      </w:r>
      <w:r>
        <w:rPr>
          <w:rFonts w:hint="eastAsia" w:ascii="宋体" w:hAnsi="宋体"/>
          <w:color w:val="auto"/>
          <w:sz w:val="24"/>
          <w:szCs w:val="24"/>
          <w:highlight w:val="none"/>
          <w:lang w:val="en-US" w:eastAsia="zh-CN"/>
        </w:rPr>
        <w:t xml:space="preserve">不得频繁调整。响应文件中拟投入本项目</w:t>
      </w:r>
      <w:r>
        <w:rPr>
          <w:rFonts w:hint="eastAsia" w:ascii="宋体" w:hAnsi="宋体"/>
          <w:color w:val="auto"/>
          <w:sz w:val="24"/>
          <w:szCs w:val="24"/>
          <w:highlight w:val="none"/>
        </w:rPr>
        <w:t xml:space="preserve">人员原则上应与实际参与人员一致，如遇特殊情况，</w:t>
      </w:r>
      <w:r>
        <w:rPr>
          <w:rFonts w:hint="eastAsia" w:ascii="宋体" w:hAnsi="宋体"/>
          <w:color w:val="auto"/>
          <w:sz w:val="24"/>
          <w:szCs w:val="24"/>
          <w:highlight w:val="none"/>
          <w:lang w:val="en-US" w:eastAsia="zh-CN"/>
        </w:rPr>
        <w:t xml:space="preserve">确需更换，</w:t>
      </w:r>
      <w:r>
        <w:rPr>
          <w:rFonts w:hint="eastAsia" w:ascii="宋体" w:hAnsi="宋体"/>
          <w:color w:val="auto"/>
          <w:sz w:val="24"/>
          <w:szCs w:val="24"/>
          <w:highlight w:val="none"/>
        </w:rPr>
        <w:t xml:space="preserve">须提前</w:t>
      </w:r>
      <w:r>
        <w:rPr>
          <w:rFonts w:hint="eastAsia" w:ascii="宋体" w:hAnsi="宋体"/>
          <w:color w:val="auto"/>
          <w:sz w:val="24"/>
          <w:szCs w:val="24"/>
          <w:highlight w:val="none"/>
          <w:lang w:val="en-US" w:eastAsia="zh-CN"/>
        </w:rPr>
        <w:t xml:space="preserve">30日告知</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并征得采购人同意。擅自更换调整人员的，乙方应向甲方支付5000元/人的违约金，违约金直接在当期付款中扣除。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本项目实施期间，乙方需至少提供4人（项目负责人1名，工作人员1名，话务员2名）驻场服务，驻场人员作息时间按采购人要求执行。如因政策调整等不可抗力，需增加人员的，乙方应配合甲方增加相应人员。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乙方须承担指导中心运营所需要的所有运营费用，包含但不限于指导中心水电费、购买设备、硬件、日常办公耗材、人员工资、税费等一切伴随产生的服务费用，均包含在本次指导中心运营采购经费内，甲方不再另行支付任何费用。</w:t>
      </w:r>
      <w:r/>
    </w:p>
    <w:p>
      <w:pPr>
        <w:ind w:firstLine="480"/>
        <w:spacing w:line="560" w:lineRule="exact"/>
        <w:rPr>
          <w:rFonts w:hint="default" w:ascii="宋体" w:hAnsi="宋体"/>
          <w:color w:val="auto"/>
          <w:sz w:val="24"/>
          <w:szCs w:val="24"/>
          <w:highlight w:val="none"/>
        </w:rPr>
      </w:pPr>
      <w:r>
        <w:rPr>
          <w:rFonts w:hint="default" w:ascii="宋体" w:hAnsi="宋体"/>
          <w:color w:val="auto"/>
          <w:sz w:val="24"/>
          <w:szCs w:val="24"/>
          <w:highlight w:val="none"/>
        </w:rPr>
        <w:t xml:space="preserve">4、乙方应当国家相关法律，对在本协议履行过程中所得知的个人信息、商业秘密等予以保密，否则由此产生的责任由乙方自行承担。</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服务期间，如遇国家、省、市、区养老服务相关政策、法规及职能定位发生调整，甲方可根据最新政策规定，相应调整本项目养老服务指导中心的工作职能、服务内容及工作标准。乙方须主动配合甲方开展各项适应性调整工作，及时优化服务方案、规范工作流程、落实各项新要求，保障项目服务平稳衔接、合规运行，并不得以此为由申请增加服务费用、顺延服务期限或终止服务。</w:t>
      </w:r>
      <w:r/>
    </w:p>
    <w:p>
      <w:pPr>
        <w:ind w:firstLine="480"/>
        <w:rPr>
          <w:rFonts w:hint="default" w:eastAsia="宋体"/>
          <w:color w:val="auto"/>
          <w:highlight w:val="none"/>
          <w:lang w:val="en-US" w:eastAsia="zh-CN"/>
        </w:rPr>
      </w:pPr>
      <w:r>
        <w:rPr>
          <w:rFonts w:hint="default" w:eastAsia="宋体"/>
          <w:color w:val="auto"/>
          <w:highlight w:val="none"/>
          <w:lang w:val="en-US" w:eastAsia="zh-CN"/>
        </w:rPr>
      </w:r>
      <w:r/>
    </w:p>
    <w:p>
      <w:pPr>
        <w:numPr>
          <w:ilvl w:val="0"/>
          <w:numId w:val="5"/>
        </w:numPr>
        <w:spacing w:line="560" w:lineRule="exact"/>
        <w:rPr>
          <w:rFonts w:ascii="宋体" w:hAnsi="宋体"/>
          <w:b/>
          <w:bCs/>
          <w:color w:val="auto"/>
          <w:sz w:val="24"/>
          <w:szCs w:val="24"/>
          <w:highlight w:val="none"/>
          <w:lang w:eastAsia="zh-TW"/>
        </w:rPr>
      </w:pPr>
      <w:r>
        <w:rPr>
          <w:rFonts w:ascii="宋体" w:hAnsi="宋体"/>
          <w:b/>
          <w:bCs/>
          <w:color w:val="auto"/>
          <w:sz w:val="24"/>
          <w:szCs w:val="24"/>
          <w:highlight w:val="none"/>
        </w:rPr>
        <w:t xml:space="preserve">质量保证</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乙方所提供服务的技术规格响应与</w:t>
      </w:r>
      <w:r>
        <w:rPr>
          <w:rFonts w:hint="eastAsia" w:ascii="宋体" w:hAnsi="宋体"/>
          <w:color w:val="auto"/>
          <w:sz w:val="24"/>
          <w:szCs w:val="24"/>
          <w:highlight w:val="none"/>
        </w:rPr>
        <w:t xml:space="preserve">竞争性磋商</w:t>
      </w:r>
      <w:r>
        <w:rPr>
          <w:rFonts w:ascii="宋体" w:hAnsi="宋体"/>
          <w:color w:val="auto"/>
          <w:sz w:val="24"/>
          <w:szCs w:val="24"/>
          <w:highlight w:val="none"/>
        </w:rPr>
        <w:t xml:space="preserve">文件规定的服务要求及所附的“技术条款偏离表”相一致；若技术性能无特殊说明，则按国家有关部门最新颁布的标准及规范为准。</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验收评估</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验收标准：参照竞争性磋商文件第四章采购项目技术、规格和数量要求进行项目验收评估。 </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合同款支付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1、每次付款前，乙方须向甲方提供等额的正式发票，否则甲方有权拒绝付款；</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、因财政审批导致的延迟支付，甲方不承担延迟支付的违约责任。</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3、付款方式</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项目合同签订后半个月内，支付</w:t>
      </w:r>
      <w:r>
        <w:rPr>
          <w:rFonts w:hint="eastAsia" w:ascii="宋体" w:hAnsi="宋体" w:eastAsia="宋体" w:cs="Times New Roman"/>
          <w:color w:val="auto"/>
          <w:sz w:val="24"/>
          <w:szCs w:val="24"/>
          <w:highlight w:val="none"/>
          <w:lang w:val="en-US" w:eastAsia="zh-CN"/>
        </w:rPr>
        <w:t xml:space="preserve">单年合同</w:t>
      </w:r>
      <w:r>
        <w:rPr>
          <w:rFonts w:hint="eastAsia" w:ascii="宋体" w:hAnsi="宋体" w:eastAsia="宋体" w:cs="Times New Roman"/>
          <w:color w:val="auto"/>
          <w:sz w:val="24"/>
          <w:szCs w:val="24"/>
          <w:highlight w:val="none"/>
        </w:rPr>
        <w:t xml:space="preserve">款的10%；正式运营6个月后支付</w:t>
      </w:r>
      <w:r>
        <w:rPr>
          <w:rFonts w:hint="eastAsia" w:ascii="宋体" w:hAnsi="宋体" w:eastAsia="宋体" w:cs="Times New Roman"/>
          <w:color w:val="auto"/>
          <w:sz w:val="24"/>
          <w:szCs w:val="24"/>
          <w:highlight w:val="none"/>
          <w:lang w:val="en-US" w:eastAsia="zh-CN"/>
        </w:rPr>
        <w:t xml:space="preserve">单年</w:t>
      </w:r>
      <w:r>
        <w:rPr>
          <w:rFonts w:hint="eastAsia" w:ascii="宋体" w:hAnsi="宋体" w:eastAsia="宋体" w:cs="Times New Roman"/>
          <w:color w:val="auto"/>
          <w:sz w:val="24"/>
          <w:szCs w:val="24"/>
          <w:highlight w:val="none"/>
        </w:rPr>
        <w:t xml:space="preserve">合同款的</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0%，年末评估后支付</w:t>
      </w:r>
      <w:r>
        <w:rPr>
          <w:rFonts w:hint="eastAsia" w:ascii="宋体" w:hAnsi="宋体" w:eastAsia="宋体" w:cs="Times New Roman"/>
          <w:color w:val="auto"/>
          <w:sz w:val="24"/>
          <w:szCs w:val="24"/>
          <w:highlight w:val="none"/>
          <w:lang w:val="en-US" w:eastAsia="zh-CN"/>
        </w:rPr>
        <w:t xml:space="preserve">单年</w:t>
      </w:r>
      <w:r>
        <w:rPr>
          <w:rFonts w:hint="eastAsia" w:ascii="宋体" w:hAnsi="宋体" w:eastAsia="宋体" w:cs="Times New Roman"/>
          <w:color w:val="auto"/>
          <w:sz w:val="24"/>
          <w:szCs w:val="24"/>
          <w:highlight w:val="none"/>
        </w:rPr>
        <w:t xml:space="preserve">合同款的</w:t>
      </w:r>
      <w:r>
        <w:rPr>
          <w:rFonts w:hint="eastAsia" w:ascii="宋体" w:hAnsi="宋体" w:eastAsia="宋体" w:cs="Times New Roman"/>
          <w:color w:val="auto"/>
          <w:sz w:val="24"/>
          <w:szCs w:val="24"/>
          <w:highlight w:val="none"/>
          <w:lang w:val="en-US" w:eastAsia="zh-CN"/>
        </w:rPr>
        <w:t xml:space="preserve">40</w:t>
      </w:r>
      <w:r>
        <w:rPr>
          <w:rFonts w:hint="eastAsia" w:ascii="宋体" w:hAnsi="宋体" w:eastAsia="宋体" w:cs="Times New Roman"/>
          <w:color w:val="auto"/>
          <w:sz w:val="24"/>
          <w:szCs w:val="24"/>
          <w:highlight w:val="none"/>
        </w:rPr>
        <w:t xml:space="preserve">%。</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违约责任</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1.甲方无正当理由拒绝乙方服务、拒付服务款的，甲方需向乙方偿付合同总价的5%违约金。</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2.甲方未按合同规定向乙方支付运营款的，甲方需向乙方偿付违约金（日标准为</w:t>
      </w:r>
      <w:r>
        <w:rPr>
          <w:rFonts w:hint="eastAsia" w:ascii="宋体" w:hAnsi="宋体"/>
          <w:color w:val="auto"/>
          <w:sz w:val="24"/>
          <w:szCs w:val="24"/>
          <w:highlight w:val="none"/>
        </w:rPr>
        <w:t xml:space="preserve">当年</w:t>
      </w:r>
      <w:r>
        <w:rPr>
          <w:rFonts w:ascii="宋体" w:hAnsi="宋体"/>
          <w:color w:val="auto"/>
          <w:sz w:val="24"/>
          <w:szCs w:val="24"/>
          <w:highlight w:val="none"/>
        </w:rPr>
        <w:t xml:space="preserve">期</w:t>
      </w:r>
      <w:r>
        <w:rPr>
          <w:rFonts w:hint="eastAsia" w:ascii="宋体" w:hAnsi="宋体"/>
          <w:color w:val="auto"/>
          <w:sz w:val="24"/>
          <w:szCs w:val="24"/>
          <w:highlight w:val="none"/>
        </w:rPr>
        <w:t xml:space="preserve">一年期</w:t>
      </w:r>
      <w:r>
        <w:rPr>
          <w:rFonts w:ascii="宋体" w:hAnsi="宋体"/>
          <w:color w:val="auto"/>
          <w:sz w:val="24"/>
          <w:szCs w:val="24"/>
          <w:highlight w:val="none"/>
        </w:rPr>
        <w:t xml:space="preserve">贷款市场报价利率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，但累计违约金总额不超过欠款总额的5% 。</w:t>
      </w:r>
      <w:r/>
    </w:p>
    <w:p>
      <w:pPr>
        <w:ind w:firstLine="480"/>
        <w:spacing w:line="560" w:lineRule="exact"/>
        <w:rPr>
          <w:rFonts w:ascii="宋体" w:hAnsi="宋体"/>
          <w:color w:val="auto"/>
          <w:sz w:val="24"/>
          <w:szCs w:val="24"/>
          <w:highlight w:val="none"/>
          <w:lang w:eastAsia="zh-TW"/>
        </w:rPr>
      </w:pPr>
      <w:r>
        <w:rPr>
          <w:rFonts w:ascii="宋体" w:hAnsi="宋体"/>
          <w:color w:val="auto"/>
          <w:sz w:val="24"/>
          <w:szCs w:val="24"/>
          <w:highlight w:val="none"/>
        </w:rPr>
        <w:t xml:space="preserve">3.乙方无正当理由拒绝提供服务的，乙方需向甲方偿付合同总价的5%违约金。如乙方连续</w:t>
      </w:r>
      <w:r>
        <w:rPr>
          <w:rFonts w:hint="eastAsia" w:ascii="宋体" w:hAnsi="宋体"/>
          <w:color w:val="auto"/>
          <w:sz w:val="24"/>
          <w:szCs w:val="24"/>
          <w:highlight w:val="none"/>
        </w:rPr>
        <w:t xml:space="preserve">15天未进行服</w:t>
      </w:r>
      <w:r>
        <w:rPr>
          <w:rFonts w:ascii="宋体" w:hAnsi="宋体"/>
          <w:color w:val="auto"/>
          <w:sz w:val="24"/>
          <w:szCs w:val="24"/>
          <w:highlight w:val="none"/>
        </w:rPr>
        <w:t xml:space="preserve">务的，甲方有权解除合同，解除合同的通知自到达乙方时生效。</w:t>
      </w:r>
      <w:r/>
    </w:p>
    <w:p>
      <w:pPr>
        <w:ind w:firstLine="480"/>
        <w:spacing w:line="560" w:lineRule="exact"/>
        <w:rPr>
          <w:rFonts w:ascii="宋体" w:hAnsi="宋体"/>
          <w:color w:val="auto"/>
          <w:sz w:val="24"/>
          <w:szCs w:val="24"/>
          <w:highlight w:val="none"/>
          <w:lang w:eastAsia="zh-TW"/>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.乙方的服务不符合合同规定的，甲方有权拒绝乙方服务。甲方拒</w:t>
      </w:r>
      <w:r>
        <w:rPr>
          <w:rFonts w:hint="eastAsia" w:ascii="宋体" w:hAnsi="宋体"/>
          <w:color w:val="auto"/>
          <w:sz w:val="24"/>
          <w:szCs w:val="24"/>
          <w:highlight w:val="none"/>
        </w:rPr>
        <w:t xml:space="preserve">拒绝</w:t>
      </w:r>
      <w:r>
        <w:rPr>
          <w:rFonts w:ascii="宋体" w:hAnsi="宋体"/>
          <w:color w:val="auto"/>
          <w:sz w:val="24"/>
          <w:szCs w:val="24"/>
          <w:highlight w:val="none"/>
        </w:rPr>
        <w:t xml:space="preserve">服务后，乙方应向甲方支付合同总款</w:t>
      </w:r>
      <w:r>
        <w:rPr>
          <w:rFonts w:ascii="宋体" w:hAnsi="宋体"/>
          <w:color w:val="auto"/>
          <w:sz w:val="24"/>
          <w:szCs w:val="24"/>
          <w:highlight w:val="none"/>
          <w:lang w:eastAsia="zh-TW"/>
        </w:rPr>
        <w:t xml:space="preserve">5%</w:t>
      </w:r>
      <w:r>
        <w:rPr>
          <w:rFonts w:ascii="宋体" w:hAnsi="宋体"/>
          <w:color w:val="auto"/>
          <w:sz w:val="24"/>
          <w:szCs w:val="24"/>
          <w:highlight w:val="none"/>
        </w:rPr>
        <w:t xml:space="preserve">的违约金。甲方未拒收的，代理机构发现后将向有关部门反映，并责成乙方按照采购结果提供服务。</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.在乙方承诺的或国家规定的</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保证期内（取两者中最长的期限），如经乙方两次整改仍不能达到合同约定的服务质量标准，乙方应退回全部合同价款，并按第</w:t>
      </w:r>
      <w:r>
        <w:rPr>
          <w:rFonts w:ascii="宋体" w:hAnsi="宋体"/>
          <w:color w:val="auto"/>
          <w:sz w:val="24"/>
          <w:szCs w:val="24"/>
          <w:highlight w:val="none"/>
          <w:lang w:eastAsia="zh-TW"/>
        </w:rPr>
        <w:t xml:space="preserve">3</w:t>
      </w:r>
      <w:r>
        <w:rPr>
          <w:rFonts w:ascii="宋体" w:hAnsi="宋体"/>
          <w:color w:val="auto"/>
          <w:sz w:val="24"/>
          <w:szCs w:val="24"/>
          <w:highlight w:val="none"/>
        </w:rPr>
        <w:t xml:space="preserve">款处理，同时，乙方还须赔偿甲方因此遭受的损失。</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lang w:eastAsia="zh-TW"/>
        </w:rPr>
        <w:t xml:space="preserve">.</w:t>
      </w:r>
      <w:r>
        <w:rPr>
          <w:rFonts w:ascii="宋体" w:hAnsi="宋体"/>
          <w:color w:val="auto"/>
          <w:sz w:val="24"/>
          <w:szCs w:val="24"/>
          <w:highlight w:val="none"/>
        </w:rPr>
        <w:t xml:space="preserve">乙方未按本合同的规定和“服务承诺”提供伴随服务</w:t>
      </w:r>
      <w:r>
        <w:rPr>
          <w:rFonts w:ascii="宋体" w:hAnsi="宋体"/>
          <w:color w:val="auto"/>
          <w:sz w:val="24"/>
          <w:szCs w:val="24"/>
          <w:highlight w:val="none"/>
          <w:lang w:eastAsia="zh-TW"/>
        </w:rPr>
        <w:t xml:space="preserve">/</w:t>
      </w:r>
      <w:r>
        <w:rPr>
          <w:rFonts w:ascii="宋体" w:hAnsi="宋体"/>
          <w:color w:val="auto"/>
          <w:sz w:val="24"/>
          <w:szCs w:val="24"/>
          <w:highlight w:val="none"/>
        </w:rPr>
        <w:t xml:space="preserve">售后服务的，应按合同总价款的</w:t>
      </w:r>
      <w:r>
        <w:rPr>
          <w:rFonts w:ascii="宋体" w:hAnsi="宋体"/>
          <w:color w:val="auto"/>
          <w:sz w:val="24"/>
          <w:szCs w:val="24"/>
          <w:highlight w:val="none"/>
          <w:lang w:eastAsia="zh-TW"/>
        </w:rPr>
        <w:t xml:space="preserve">5 %</w:t>
      </w:r>
      <w:r>
        <w:rPr>
          <w:rFonts w:ascii="宋体" w:hAnsi="宋体"/>
          <w:color w:val="auto"/>
          <w:sz w:val="24"/>
          <w:szCs w:val="24"/>
          <w:highlight w:val="none"/>
        </w:rPr>
        <w:t xml:space="preserve">向甲方承担违约责任。</w:t>
      </w:r>
      <w:r/>
    </w:p>
    <w:p>
      <w:pPr>
        <w:ind w:firstLine="480"/>
        <w:spacing w:line="560" w:lineRule="exact"/>
        <w:rPr>
          <w:rFonts w:ascii="宋体" w:hAnsi="宋体"/>
          <w:color w:val="auto"/>
          <w:sz w:val="24"/>
          <w:szCs w:val="24"/>
          <w:highlight w:val="none"/>
          <w:lang w:eastAsia="zh-TW"/>
        </w:rPr>
      </w:pPr>
      <w:r>
        <w:rPr>
          <w:rFonts w:hint="eastAsia" w:ascii="宋体" w:hAnsi="宋体"/>
          <w:color w:val="auto"/>
          <w:sz w:val="24"/>
          <w:szCs w:val="24"/>
          <w:highlight w:val="none"/>
        </w:rPr>
        <w:t xml:space="preserve">7</w:t>
      </w:r>
      <w:r>
        <w:rPr>
          <w:rFonts w:ascii="宋体" w:hAnsi="宋体"/>
          <w:color w:val="auto"/>
          <w:sz w:val="24"/>
          <w:szCs w:val="24"/>
          <w:highlight w:val="none"/>
          <w:lang w:eastAsia="zh-TW"/>
        </w:rPr>
        <w:t xml:space="preserve">.</w:t>
      </w:r>
      <w:r>
        <w:rPr>
          <w:rFonts w:ascii="宋体" w:hAnsi="宋体"/>
          <w:color w:val="auto"/>
          <w:sz w:val="24"/>
          <w:szCs w:val="24"/>
          <w:highlight w:val="none"/>
        </w:rPr>
        <w:t xml:space="preserve">乙方在承担上述</w:t>
      </w:r>
      <w:r>
        <w:rPr>
          <w:rFonts w:ascii="宋体" w:hAnsi="宋体"/>
          <w:color w:val="auto"/>
          <w:sz w:val="24"/>
          <w:szCs w:val="24"/>
          <w:highlight w:val="none"/>
          <w:lang w:eastAsia="zh-TW"/>
        </w:rPr>
        <w:t xml:space="preserve">4-</w:t>
      </w:r>
      <w:r>
        <w:rPr>
          <w:rFonts w:hint="eastAsia" w:ascii="宋体" w:hAnsi="宋体"/>
          <w:color w:val="auto"/>
          <w:sz w:val="24"/>
          <w:szCs w:val="24"/>
          <w:highlight w:val="none"/>
        </w:rPr>
        <w:t xml:space="preserve">6</w:t>
      </w:r>
      <w:r>
        <w:rPr>
          <w:rFonts w:ascii="宋体" w:hAnsi="宋体"/>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.乙方响应属虚假承诺，或经权威部门监测提供的服务不能满足竞争性磋商文件要求，或是由于乙方的过错造成合同无法继续履行的，乙应向甲方支付不少于合同总价30%赔偿金。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乙方应当对本合同的内容、因履行本合同或在本合同期间获得的或收到的甲方的商务、财务、技术、产品的信息、用户资料或其他标明保密的文件或信息的内容保守秘密。未经甲方书面同意，不得向本合同以外的任何第三方披露。本保密义务应在本合同期满、解除或终止后仍然有效。如乙方违反保密义务，应当按照合同总价款的20%承担违约责任。</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0</w:t>
      </w:r>
      <w:r>
        <w:rPr>
          <w:rFonts w:ascii="宋体" w:hAnsi="宋体"/>
          <w:color w:val="auto"/>
          <w:sz w:val="24"/>
          <w:szCs w:val="24"/>
          <w:highlight w:val="none"/>
        </w:rPr>
        <w:t xml:space="preserve">.本合同约定的“违约、赔偿责任”包括但不限于守约方的实际损失，偿付第三方的违约金以及守约方为实现权利所支出的调查费、诉讼费、鉴定费、保全费、律师费、公证费、公告费等实际支出的一切费用。守约方因违约方违约而获得的权利与救济在本合同被解除、撤销、终止或完成后仍应有效。</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合同的变更和终止</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1.</w:t>
      </w:r>
      <w:r>
        <w:rPr>
          <w:rFonts w:ascii="宋体" w:hAnsi="宋体"/>
          <w:color w:val="auto"/>
          <w:sz w:val="24"/>
          <w:szCs w:val="24"/>
          <w:highlight w:val="none"/>
        </w:rPr>
        <w:t xml:space="preserve">除《政府采购法》第</w:t>
      </w:r>
      <w:r>
        <w:rPr>
          <w:rFonts w:ascii="宋体" w:hAnsi="宋体"/>
          <w:color w:val="auto"/>
          <w:sz w:val="24"/>
          <w:szCs w:val="24"/>
          <w:highlight w:val="none"/>
          <w:lang w:eastAsia="zh-TW"/>
        </w:rPr>
        <w:t xml:space="preserve">50</w:t>
      </w:r>
      <w:r>
        <w:rPr>
          <w:rFonts w:ascii="宋体" w:hAnsi="宋体"/>
          <w:color w:val="auto"/>
          <w:sz w:val="24"/>
          <w:szCs w:val="24"/>
          <w:highlight w:val="none"/>
        </w:rPr>
        <w:t xml:space="preserve">条第二款规定的情形外，本合同一经签订，甲乙双方不得</w:t>
      </w:r>
      <w:r>
        <w:rPr>
          <w:rFonts w:hint="eastAsia" w:ascii="宋体" w:hAnsi="宋体"/>
          <w:color w:val="auto"/>
          <w:sz w:val="24"/>
          <w:szCs w:val="24"/>
          <w:highlight w:val="none"/>
        </w:rPr>
        <w:t xml:space="preserve">无故</w:t>
      </w:r>
      <w:r>
        <w:rPr>
          <w:rFonts w:ascii="宋体" w:hAnsi="宋体"/>
          <w:color w:val="auto"/>
          <w:sz w:val="24"/>
          <w:szCs w:val="24"/>
          <w:highlight w:val="none"/>
        </w:rPr>
        <w:t xml:space="preserve">擅自变更、中止或终止合同。</w:t>
      </w:r>
      <w:r/>
    </w:p>
    <w:p>
      <w:pPr>
        <w:ind w:firstLine="480"/>
        <w:spacing w:line="560" w:lineRule="exact"/>
        <w:rPr>
          <w:rFonts w:ascii="宋体" w:hAnsi="宋体"/>
          <w:color w:val="auto"/>
          <w:sz w:val="24"/>
          <w:szCs w:val="24"/>
          <w:highlight w:val="none"/>
          <w:lang w:eastAsia="zh-TW"/>
        </w:rPr>
      </w:pPr>
      <w:r>
        <w:rPr>
          <w:rFonts w:ascii="宋体" w:hAnsi="宋体"/>
          <w:color w:val="auto"/>
          <w:sz w:val="24"/>
          <w:szCs w:val="24"/>
          <w:highlight w:val="none"/>
          <w:lang w:eastAsia="zh-TW"/>
        </w:rPr>
        <w:t xml:space="preserve">2.</w:t>
      </w:r>
      <w:r>
        <w:rPr>
          <w:rFonts w:ascii="宋体" w:hAnsi="宋体"/>
          <w:color w:val="auto"/>
          <w:sz w:val="24"/>
          <w:szCs w:val="24"/>
          <w:highlight w:val="none"/>
        </w:rPr>
        <w:t xml:space="preserve">除发生法律规定的不能预见、不能避免并不能克服的客观情况外，甲乙双方不得放弃或拒绝履行合同。</w:t>
      </w:r>
      <w:r/>
    </w:p>
    <w:p>
      <w:pPr>
        <w:numPr>
          <w:ilvl w:val="0"/>
          <w:numId w:val="5"/>
        </w:numPr>
        <w:spacing w:line="560" w:lineRule="exact"/>
        <w:rPr>
          <w:rFonts w:ascii="宋体" w:hAnsi="宋体"/>
          <w:b/>
          <w:bCs/>
          <w:color w:val="auto"/>
          <w:sz w:val="24"/>
          <w:szCs w:val="24"/>
          <w:highlight w:val="none"/>
          <w:lang w:eastAsia="zh-TW"/>
        </w:rPr>
      </w:pPr>
      <w:r>
        <w:rPr>
          <w:rFonts w:ascii="宋体" w:hAnsi="宋体"/>
          <w:b/>
          <w:bCs/>
          <w:color w:val="auto"/>
          <w:sz w:val="24"/>
          <w:szCs w:val="24"/>
          <w:highlight w:val="none"/>
        </w:rPr>
        <w:t xml:space="preserve">合同的转让</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未经甲方书面同意，乙方不得将本合同项下的权利义务内容转让给第三方，否则应承担合同总价款20%的违约责任。</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 争议的解决</w:t>
      </w:r>
      <w:r/>
    </w:p>
    <w:p>
      <w:pPr>
        <w:ind w:firstLine="480"/>
        <w:spacing w:line="560" w:lineRule="exact"/>
        <w:rPr>
          <w:rFonts w:ascii="宋体" w:hAnsi="宋体"/>
          <w:color w:val="auto"/>
          <w:sz w:val="24"/>
          <w:szCs w:val="24"/>
          <w:highlight w:val="none"/>
          <w:lang w:eastAsia="zh-TW"/>
        </w:rPr>
      </w:pPr>
      <w:r>
        <w:rPr>
          <w:rFonts w:ascii="宋体" w:hAnsi="宋体"/>
          <w:color w:val="auto"/>
          <w:sz w:val="24"/>
          <w:szCs w:val="24"/>
          <w:highlight w:val="none"/>
          <w:lang w:eastAsia="zh-TW"/>
        </w:rPr>
        <w:t xml:space="preserve">1</w:t>
      </w:r>
      <w:r>
        <w:rPr>
          <w:rFonts w:ascii="宋体" w:hAnsi="宋体"/>
          <w:color w:val="auto"/>
          <w:sz w:val="24"/>
          <w:szCs w:val="24"/>
          <w:highlight w:val="none"/>
        </w:rPr>
        <w:t xml:space="preserve">.因服务的质量问题发生争议的，应当邀请</w:t>
      </w:r>
      <w:r>
        <w:rPr>
          <w:rFonts w:hint="eastAsia" w:ascii="宋体" w:hAnsi="宋体"/>
          <w:color w:val="auto"/>
          <w:sz w:val="24"/>
          <w:szCs w:val="24"/>
          <w:highlight w:val="none"/>
        </w:rPr>
        <w:t xml:space="preserve">市级以上民政部门</w:t>
      </w:r>
      <w:r>
        <w:rPr>
          <w:rFonts w:ascii="宋体" w:hAnsi="宋体"/>
          <w:color w:val="auto"/>
          <w:sz w:val="24"/>
          <w:szCs w:val="24"/>
          <w:highlight w:val="none"/>
        </w:rPr>
        <w:t xml:space="preserve">认可的</w:t>
      </w:r>
      <w:r>
        <w:rPr>
          <w:rFonts w:hint="eastAsia" w:ascii="宋体" w:hAnsi="宋体"/>
          <w:color w:val="auto"/>
          <w:sz w:val="24"/>
          <w:szCs w:val="24"/>
          <w:highlight w:val="none"/>
        </w:rPr>
        <w:t xml:space="preserve">养老服务评估</w:t>
      </w:r>
      <w:r>
        <w:rPr>
          <w:rFonts w:ascii="宋体" w:hAnsi="宋体"/>
          <w:color w:val="auto"/>
          <w:sz w:val="24"/>
          <w:szCs w:val="24"/>
          <w:highlight w:val="none"/>
        </w:rPr>
        <w:t xml:space="preserve">机构对服务质量进行鉴定。符合标准的，鉴定费由甲方承担；不符合质量标准的，鉴定费由乙方承担。</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2</w:t>
      </w:r>
      <w:r>
        <w:rPr>
          <w:rFonts w:ascii="宋体" w:hAnsi="宋体"/>
          <w:color w:val="auto"/>
          <w:sz w:val="24"/>
          <w:szCs w:val="24"/>
          <w:highlight w:val="none"/>
        </w:rPr>
        <w:t xml:space="preserve">.因履行本合同引起的或与本合同有关的争议，甲、乙双方应首先通过友好协商解决，如果协商不能解决争议，则向甲方所在地有管辖权的人民法院提起诉讼方式解决争议：</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3</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诉讼</w:t>
      </w:r>
      <w:r>
        <w:rPr>
          <w:rFonts w:ascii="宋体" w:hAnsi="宋体"/>
          <w:color w:val="auto"/>
          <w:sz w:val="24"/>
          <w:szCs w:val="24"/>
          <w:highlight w:val="none"/>
        </w:rPr>
        <w:t xml:space="preserve">期间，本合同应继续履行。</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 诚实信用</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乙方应诚实信用，严格按照竞争性磋商文件要求和响应承诺履行合同，不向甲方进行商业贿赂或者提供不正当利益，否则应承担合同总价款30%的违约责任。</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 合同生效及其他</w:t>
      </w:r>
      <w:r/>
    </w:p>
    <w:p>
      <w:pPr>
        <w:ind w:firstLine="480"/>
        <w:spacing w:line="560" w:lineRule="exact"/>
        <w:rPr>
          <w:rFonts w:hint="default" w:ascii="宋体" w:hAnsi="宋体" w:eastAsia="宋体"/>
          <w:color w:val="auto"/>
          <w:sz w:val="24"/>
          <w:szCs w:val="24"/>
          <w:highlight w:val="none"/>
          <w:lang w:val="en-US" w:eastAsia="zh-CN"/>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合作期限三年，自202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日至202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本期协议</w:t>
      </w: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日至</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2</w:t>
      </w:r>
      <w:r>
        <w:rPr>
          <w:rFonts w:ascii="宋体" w:hAnsi="宋体"/>
          <w:color w:val="auto"/>
          <w:sz w:val="24"/>
          <w:szCs w:val="24"/>
          <w:highlight w:val="none"/>
        </w:rPr>
        <w:t xml:space="preserve">本合同一式伍份，甲方执贰份，乙方执贰份，壹份交由代理机构存档。</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3</w:t>
      </w:r>
      <w:r>
        <w:rPr>
          <w:rFonts w:ascii="宋体" w:hAnsi="宋体"/>
          <w:color w:val="auto"/>
          <w:sz w:val="24"/>
          <w:szCs w:val="24"/>
          <w:highlight w:val="none"/>
        </w:rPr>
        <w:t xml:space="preserve">本合同应按照中华人民共和国的现行法律进行解释。</w:t>
      </w:r>
      <w:r/>
    </w:p>
    <w:p>
      <w:pPr>
        <w:spacing w:line="560" w:lineRule="exact"/>
        <w:rPr>
          <w:rFonts w:ascii="宋体" w:hAnsi="宋体"/>
          <w:color w:val="auto"/>
          <w:sz w:val="24"/>
          <w:szCs w:val="24"/>
          <w:highlight w:val="none"/>
          <w:lang w:val="zh-CN"/>
        </w:rPr>
      </w:pPr>
      <w:r>
        <w:rPr>
          <w:rFonts w:ascii="宋体" w:hAnsi="宋体"/>
          <w:color w:val="auto"/>
          <w:sz w:val="24"/>
          <w:szCs w:val="24"/>
          <w:highlight w:val="none"/>
          <w:lang w:val="zh-CN"/>
        </w:rPr>
        <w:t xml:space="preserve">（以下无协议正文）</w:t>
      </w:r>
      <w:r/>
    </w:p>
    <w:p>
      <w:pPr>
        <w:rPr>
          <w:color w:val="auto"/>
          <w:highlight w:val="none"/>
        </w:rPr>
      </w:pPr>
      <w:r>
        <w:rPr>
          <w:color w:val="auto"/>
          <w:highlight w:val="none"/>
        </w:rPr>
      </w:r>
      <w:r/>
    </w:p>
    <w:p>
      <w:pPr>
        <w:ind w:left="5280" w:hanging="5280"/>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甲方（采购人）：</w:t>
      </w:r>
      <w:r>
        <w:rPr>
          <w:rFonts w:hint="eastAsia" w:ascii="宋体" w:hAnsi="宋体"/>
          <w:color w:val="auto"/>
          <w:sz w:val="24"/>
          <w:szCs w:val="24"/>
          <w:highlight w:val="none"/>
        </w:rPr>
        <w:t xml:space="preserve">南京市栖霞区民政局</w:t>
      </w:r>
      <w:r>
        <w:rPr>
          <w:rFonts w:ascii="宋体" w:hAnsi="宋体"/>
          <w:color w:val="auto"/>
          <w:sz w:val="24"/>
          <w:szCs w:val="24"/>
          <w:highlight w:val="none"/>
        </w:rPr>
        <w:t xml:space="preserve">（盖章） 乙方（供应商）：</w:t>
      </w:r>
      <w:r/>
    </w:p>
    <w:p>
      <w:pPr>
        <w:spacing w:line="480" w:lineRule="exact"/>
        <w:rPr>
          <w:rFonts w:ascii="宋体" w:hAnsi="宋体"/>
          <w:color w:val="auto"/>
          <w:sz w:val="24"/>
          <w:szCs w:val="24"/>
          <w:highlight w:val="none"/>
        </w:rPr>
      </w:pPr>
      <w:r>
        <w:rPr>
          <w:rFonts w:ascii="宋体" w:hAnsi="宋体"/>
          <w:color w:val="auto"/>
          <w:sz w:val="24"/>
          <w:szCs w:val="24"/>
          <w:highlight w:val="none"/>
        </w:rPr>
        <w:t xml:space="preserve">代表人：                                  代表人：</w:t>
      </w:r>
      <w:r/>
    </w:p>
    <w:p>
      <w:pPr>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电话：                                    电话：</w:t>
      </w:r>
      <w:r/>
    </w:p>
    <w:p>
      <w:pPr>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开户银行：                                开户银行：</w:t>
      </w:r>
      <w:r/>
    </w:p>
    <w:p>
      <w:pPr>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账号：                                    账号：</w:t>
      </w:r>
      <w:r/>
    </w:p>
    <w:p>
      <w:pPr>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                      日期：  年   月   日</w:t>
      </w:r>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代理机构：</w:t>
      </w:r>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磋商文件编制：</w:t>
      </w:r>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响应文件接收及合同签订：</w:t>
      </w:r>
      <w:r/>
    </w:p>
    <w:p>
      <w:pPr>
        <w:spacing w:line="480" w:lineRule="exact"/>
        <w:rPr>
          <w:color w:val="auto"/>
          <w:highlight w:val="none"/>
        </w:rPr>
      </w:pP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20"/>
        <w:jc w:val="right"/>
        <w:spacing w:before="27"/>
        <w:tabs>
          <w:tab w:val="left" w:pos="5280" w:leader="none"/>
        </w:tabs>
        <w:rPr>
          <w:color w:val="auto"/>
          <w:highlight w:val="none"/>
        </w:rPr>
      </w:pPr>
      <w:r>
        <w:rPr>
          <w:color w:val="auto"/>
          <w:highlight w:val="none"/>
        </w:rPr>
      </w:r>
      <w:r/>
    </w:p>
    <w:p>
      <w:pPr>
        <w:pStyle w:val="991"/>
        <w:numPr>
          <w:ilvl w:val="0"/>
          <w:numId w:val="0"/>
        </w:numPr>
        <w:jc w:val="center"/>
        <w:spacing w:before="120"/>
        <w:rPr>
          <w:rFonts w:ascii="Microsoft New Tai Lue" w:hAnsi="Microsoft New Tai Lue" w:cs="Microsoft New Tai Lue"/>
          <w:color w:val="auto"/>
          <w:highlight w:val="none"/>
        </w:rPr>
      </w:pPr>
      <w:r/>
      <w:bookmarkStart w:id="104" w:name="_Toc91836564"/>
      <w:r>
        <w:rPr>
          <w:rFonts w:ascii="Microsoft New Tai Lue" w:hAnsi="Microsoft New Tai Lue" w:cs="Microsoft New Tai Lue"/>
          <w:color w:val="auto"/>
          <w:highlight w:val="none"/>
        </w:rPr>
        <w:br w:type="page" w:clear="all"/>
      </w:r>
      <w:bookmarkStart w:id="105" w:name="_Toc28961"/>
      <w:r>
        <w:rPr>
          <w:rFonts w:hint="eastAsia" w:ascii="Microsoft New Tai Lue" w:hAnsi="Microsoft New Tai Lue" w:cs="Microsoft New Tai Lue"/>
          <w:color w:val="auto"/>
          <w:highlight w:val="none"/>
          <w:lang w:val="en-US" w:eastAsia="zh-CN"/>
        </w:rPr>
        <w:t xml:space="preserve">第四章 </w:t>
      </w:r>
      <w:r>
        <w:rPr>
          <w:rFonts w:ascii="Microsoft New Tai Lue" w:hAnsi="Microsoft New Tai Lue" w:cs="Microsoft New Tai Lue"/>
          <w:color w:val="auto"/>
          <w:highlight w:val="none"/>
        </w:rPr>
        <w:t xml:space="preserve">采购需求</w:t>
      </w:r>
      <w:bookmarkEnd w:id="104"/>
      <w:r/>
      <w:bookmarkEnd w:id="105"/>
      <w:r/>
      <w:r/>
    </w:p>
    <w:p>
      <w:pPr>
        <w:numPr>
          <w:ilvl w:val="0"/>
          <w:numId w:val="0"/>
        </w:numPr>
        <w:jc w:val="both"/>
        <w:widowControl w:val="off"/>
        <w:rPr>
          <w:color w:val="auto"/>
          <w:highlight w:val="none"/>
          <w:lang w:val="zh-CN"/>
        </w:rPr>
      </w:pPr>
      <w:r>
        <w:rPr>
          <w:color w:val="auto"/>
          <w:highlight w:val="none"/>
          <w:lang w:val="zh-CN"/>
        </w:rPr>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一、项目名称：</w:t>
      </w:r>
      <w:r>
        <w:rPr>
          <w:rFonts w:hint="eastAsia" w:ascii="宋体" w:hAnsi="宋体" w:eastAsia="宋体" w:cs="宋体"/>
          <w:color w:val="auto"/>
          <w:sz w:val="21"/>
          <w:szCs w:val="21"/>
          <w:highlight w:val="none"/>
          <w:lang w:val="en-US" w:eastAsia="zh-CN" w:bidi="ar-SA"/>
        </w:rPr>
        <w:t xml:space="preserve">栖霞区民政局2026-2029年度养老服务指导中心运营项目</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二、服务类容：</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（一）全区养老服务业务指导与监督检查</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日常综合监管：</w:t>
      </w:r>
      <w:r>
        <w:rPr>
          <w:rFonts w:hint="eastAsia" w:ascii="宋体" w:hAnsi="宋体" w:eastAsia="宋体" w:cs="宋体"/>
          <w:color w:val="auto"/>
          <w:sz w:val="21"/>
          <w:szCs w:val="21"/>
          <w:highlight w:val="none"/>
        </w:rPr>
        <w:t xml:space="preserve">在区民政局养老服务科指导下，对全区各类养老服务机构开展全流程业务指导、综合监管；依托信息化平台归集、动态更新全区养老机构、服务组织基础信息与人员档案。</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服务真实性核查：</w:t>
      </w:r>
      <w:r>
        <w:rPr>
          <w:rFonts w:hint="eastAsia" w:ascii="宋体" w:hAnsi="宋体" w:eastAsia="宋体" w:cs="宋体"/>
          <w:color w:val="auto"/>
          <w:sz w:val="21"/>
          <w:szCs w:val="21"/>
          <w:highlight w:val="none"/>
        </w:rPr>
        <w:t xml:space="preserve">针对社区居家养老、政府购买养老服务、养老消费券项目数据，执行每日数据核查+随机抽查+不定期上门实地核验，抽查范围、数量遵照民政局文件规定。</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话务工单运营：</w:t>
      </w:r>
      <w:r>
        <w:rPr>
          <w:rFonts w:hint="eastAsia" w:ascii="宋体" w:hAnsi="宋体" w:eastAsia="宋体" w:cs="宋体"/>
          <w:color w:val="auto"/>
          <w:sz w:val="21"/>
          <w:szCs w:val="21"/>
          <w:highlight w:val="none"/>
        </w:rPr>
        <w:t xml:space="preserve">设置专属话务坐席，</w:t>
      </w:r>
      <w:r>
        <w:rPr>
          <w:rFonts w:hint="eastAsia" w:ascii="宋体" w:hAnsi="宋体" w:eastAsia="宋体" w:cs="宋体"/>
          <w:color w:val="auto"/>
          <w:sz w:val="21"/>
          <w:szCs w:val="21"/>
          <w:highlight w:val="none"/>
          <w:lang w:val="en-US" w:eastAsia="zh-CN"/>
        </w:rPr>
        <w:t xml:space="preserve">7×24小时工作制，</w:t>
      </w:r>
      <w:r>
        <w:rPr>
          <w:rFonts w:hint="eastAsia" w:ascii="宋体" w:hAnsi="宋体" w:eastAsia="宋体" w:cs="宋体"/>
          <w:color w:val="auto"/>
          <w:sz w:val="21"/>
          <w:szCs w:val="21"/>
          <w:highlight w:val="none"/>
        </w:rPr>
        <w:t xml:space="preserve">负责日常</w:t>
      </w:r>
      <w:r>
        <w:rPr>
          <w:rFonts w:hint="eastAsia" w:ascii="宋体" w:hAnsi="宋体" w:eastAsia="宋体" w:cs="宋体"/>
          <w:color w:val="auto"/>
          <w:sz w:val="21"/>
          <w:szCs w:val="21"/>
          <w:highlight w:val="none"/>
          <w:lang w:val="en-US" w:eastAsia="zh-CN"/>
        </w:rPr>
        <w:t xml:space="preserve">电话回访、</w:t>
      </w:r>
      <w:r>
        <w:rPr>
          <w:rFonts w:hint="eastAsia" w:ascii="宋体" w:hAnsi="宋体" w:eastAsia="宋体" w:cs="宋体"/>
          <w:color w:val="auto"/>
          <w:sz w:val="21"/>
          <w:szCs w:val="21"/>
          <w:highlight w:val="none"/>
        </w:rPr>
        <w:t xml:space="preserve">来电接听、老人诉求处置、服务工单全流程回访。</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（二）养老信息化平台建设、运维与闭环管理</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区级平台“栖彩颐养”运营</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从业务指导、服务管理、安全监管、品牌管理四大维度提供常态化运营；按要求持续迭代完善系统，全部养老业务数据同步至区大数据中心存储。</w:t>
      </w:r>
      <w:r>
        <w:rPr>
          <w:rFonts w:hint="eastAsia" w:ascii="宋体" w:hAnsi="宋体" w:eastAsia="宋体" w:cs="宋体"/>
          <w:color w:val="auto"/>
          <w:sz w:val="21"/>
          <w:szCs w:val="21"/>
          <w:highlight w:val="none"/>
          <w:lang w:val="en-US" w:eastAsia="zh-CN"/>
        </w:rPr>
        <w:t xml:space="preserve">对养老服务数据进行采集分析，</w:t>
      </w:r>
      <w:r>
        <w:rPr>
          <w:rFonts w:hint="eastAsia" w:ascii="宋体" w:hAnsi="宋体" w:eastAsia="宋体" w:cs="宋体"/>
          <w:color w:val="auto"/>
          <w:sz w:val="21"/>
          <w:szCs w:val="21"/>
          <w:highlight w:val="none"/>
        </w:rPr>
        <w:t xml:space="preserve">搭载关爱巡访线上工单、线下扫码服务功能；运用AI图像智能识别核验助老服务留痕，精准管控服务质量。</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栖彩颐养智慧养老综合平台，围绕老人分级、服务分类、组织分业运行，覆盖五大核心场景：</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1.居家社区养老需求响应场景：系统按照老人身份标签，区分政府购买服务和居家上门服务老人，组织提供相应的助餐、助洁、上门探访等服务。打通栖彩食堂线上订餐，支持饿了么送餐上门，自动识别符合条件老人的助餐补贴。</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2.智慧居家安全监护场景：对接居家智能监测设备（紧急呼叫、烟雾、水位、人体感应等），异常告警实时推送至平台调度中心，实现独居、失能老人线上动态值守，落实紧急处置闭环。</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3.民政数字化监管运营场景：区级后台统一归集全区老年人信息、养老服务站点、服务商工单、服务回访数据。民政部门可实时监控服务履约进度、工单定位、补贴资金使用情况，支撑养老服务绩效考核、民生数据统计分析，实现全流程可追溯监管。</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4.养老资源供需调度场景：平台整合街道养老综合体、社区日间照料中心、养老服务商、志愿者队伍。制定关爱探访、特殊困难老人巡访任务，利用话务平台对工单进行回访和需求转接。</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5.评估分配公平随机原则：针对居家和机构的一些评估任务，系统随机给中标的评估组织分配任务，避免人员的主动干预。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栖彩颐养平台打通居家照料、智慧安防、助餐配送、行业监管、资源调度全链条，构建栖霞区 15 分钟智慧养老服务圈，实现老年人精准分类服务、养老服务数字化闭环管理。</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2.上级及外部平台运维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运维省民政厅、市民政局养老信息化平台，完成数据整理、多维分析、汇总上报；对接市级居家上门服务消费券平台。</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3.智能设备接入监管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统筹全区养老智能设备与信息化系统接入，按流程完成全闭环监管。按照年度指标、数据统计、数据分析、数据呈现的思路进行接入、监管和闭环管理；对已有的基础数据和服务数据进行地区、时间、服务项目等多维度全方面的统计和分析；运营养老机构消防安全管理中心，安排专人值班值守；运营养老服务评估系统，配置评估需求任务。</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（三）从业人员与老年人培训、驻点帮扶</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常态化培训：</w:t>
      </w:r>
      <w:r>
        <w:rPr>
          <w:rFonts w:hint="eastAsia" w:ascii="宋体" w:hAnsi="宋体" w:eastAsia="宋体" w:cs="宋体"/>
          <w:color w:val="auto"/>
          <w:sz w:val="21"/>
          <w:szCs w:val="21"/>
          <w:highlight w:val="none"/>
        </w:rPr>
        <w:t xml:space="preserve">全年组织不少于12场线上线下培训，内容覆盖养老政策解读、项目运营、全品类养老服务（助餐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助急、健康护理、精神慰藉、安全救援）、机构管理、消费券实操、平台使用；同步提供日常线上线下政策、业务答疑，搭建行业交流互助平台。</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资源链接：</w:t>
      </w:r>
      <w:r>
        <w:rPr>
          <w:rFonts w:hint="eastAsia" w:ascii="宋体" w:hAnsi="宋体" w:eastAsia="宋体" w:cs="宋体"/>
          <w:color w:val="auto"/>
          <w:sz w:val="21"/>
          <w:szCs w:val="21"/>
          <w:highlight w:val="none"/>
        </w:rPr>
        <w:t xml:space="preserve">大型行业交流活动每年联动多方资源举办1场全区养老行业大型培训，引进先进服务理念与运营经验。</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专业指导：</w:t>
      </w:r>
      <w:r>
        <w:rPr>
          <w:rFonts w:hint="eastAsia" w:ascii="宋体" w:hAnsi="宋体" w:eastAsia="宋体" w:cs="宋体"/>
          <w:color w:val="auto"/>
          <w:sz w:val="21"/>
          <w:szCs w:val="21"/>
          <w:highlight w:val="none"/>
        </w:rPr>
        <w:t xml:space="preserve">对新成立居家养老服务中心、新入驻消费券商户提供驻点帮扶，协助站点顺利开业运营。</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（四）协助民政局推进养老服务</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行业交流与项目创新：</w:t>
      </w:r>
      <w:r>
        <w:rPr>
          <w:rFonts w:hint="eastAsia" w:ascii="宋体" w:hAnsi="宋体" w:eastAsia="宋体" w:cs="宋体"/>
          <w:color w:val="auto"/>
          <w:sz w:val="21"/>
          <w:szCs w:val="21"/>
          <w:highlight w:val="none"/>
        </w:rPr>
        <w:t xml:space="preserve">组织区域养老行业交流研讨；联动社会资源，协助民政局落地养老服务创新项目，引导市场主体参与辖区养老服务供给。</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考核支撑工作：</w:t>
      </w:r>
      <w:r>
        <w:rPr>
          <w:rFonts w:hint="eastAsia" w:ascii="宋体" w:hAnsi="宋体" w:eastAsia="宋体" w:cs="宋体"/>
          <w:color w:val="auto"/>
          <w:sz w:val="21"/>
          <w:szCs w:val="21"/>
          <w:highlight w:val="none"/>
        </w:rPr>
        <w:t xml:space="preserve">发挥承上启下作用，承接省、市对栖霞区养老工作各类考核指标的资料整理、数据报送、迎检保障。</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特殊老人关爱巡访：</w:t>
      </w:r>
      <w:r>
        <w:rPr>
          <w:rFonts w:hint="eastAsia" w:ascii="宋体" w:hAnsi="宋体" w:eastAsia="宋体" w:cs="宋体"/>
          <w:color w:val="auto"/>
          <w:sz w:val="21"/>
          <w:szCs w:val="21"/>
          <w:highlight w:val="none"/>
        </w:rPr>
        <w:t xml:space="preserve">依托信息化系统落实重点困难老人巡访工作，线上线下双渠道记录巡访信息，监管关爱服务落地成效。</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行业政策研究：</w:t>
      </w:r>
      <w:r>
        <w:rPr>
          <w:rFonts w:hint="eastAsia" w:ascii="宋体" w:hAnsi="宋体" w:eastAsia="宋体" w:cs="宋体"/>
          <w:color w:val="auto"/>
          <w:sz w:val="21"/>
          <w:szCs w:val="21"/>
          <w:highlight w:val="none"/>
        </w:rPr>
        <w:t xml:space="preserve">开展辖区养老服务数据分析研究，为民政局制定下阶段养老政策、发展规划提供数据支撑与建议。</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（五）宣传引导与资源链接服务</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多渠道宣传推广运营“栖彩颐养”线上直播间</w:t>
      </w:r>
      <w:r>
        <w:rPr>
          <w:rFonts w:hint="eastAsia" w:ascii="宋体" w:hAnsi="宋体" w:eastAsia="宋体" w:cs="宋体"/>
          <w:color w:val="auto"/>
          <w:sz w:val="21"/>
          <w:szCs w:val="21"/>
          <w:highlight w:val="none"/>
        </w:rPr>
        <w:t xml:space="preserve">，整合线上线下媒体渠道开展栖霞养老品牌宣传</w:t>
      </w:r>
      <w:r>
        <w:rPr>
          <w:rFonts w:hint="eastAsia" w:ascii="宋体" w:hAnsi="宋体" w:eastAsia="宋体" w:cs="宋体"/>
          <w:color w:val="auto"/>
          <w:sz w:val="21"/>
          <w:szCs w:val="21"/>
          <w:highlight w:val="none"/>
          <w:lang w:eastAsia="zh-CN"/>
        </w:rPr>
        <w:t xml:space="preserve">，同步宣讲养老政策</w:t>
      </w:r>
      <w:r>
        <w:rPr>
          <w:rFonts w:hint="eastAsia" w:ascii="宋体" w:hAnsi="宋体" w:eastAsia="宋体" w:cs="宋体"/>
          <w:color w:val="auto"/>
          <w:sz w:val="21"/>
          <w:szCs w:val="21"/>
          <w:highlight w:val="none"/>
        </w:rPr>
        <w:t xml:space="preserve">；引导老年人参与社区养老活动；承接各级单位养老工作参观接待、现场讲解。</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链接银发顾问资源</w:t>
      </w:r>
      <w:r>
        <w:rPr>
          <w:rFonts w:hint="eastAsia" w:ascii="宋体" w:hAnsi="宋体" w:eastAsia="宋体" w:cs="宋体"/>
          <w:color w:val="auto"/>
          <w:sz w:val="21"/>
          <w:szCs w:val="21"/>
          <w:highlight w:val="none"/>
        </w:rPr>
        <w:t xml:space="preserve">，线上线下结合提供养老政策咨询、办事指引、服务资源匹配推介，打通养老供需精准对接；</w:t>
      </w:r>
      <w:r>
        <w:rPr>
          <w:rFonts w:hint="eastAsia" w:ascii="宋体" w:hAnsi="宋体" w:eastAsia="宋体" w:cs="宋体"/>
          <w:color w:val="auto"/>
          <w:sz w:val="21"/>
          <w:szCs w:val="21"/>
          <w:highlight w:val="none"/>
          <w:lang w:val="en-US" w:eastAsia="zh-CN"/>
        </w:rPr>
        <w:t xml:space="preserve">及时</w:t>
      </w:r>
      <w:r>
        <w:rPr>
          <w:rFonts w:hint="eastAsia" w:ascii="宋体" w:hAnsi="宋体" w:eastAsia="宋体" w:cs="宋体"/>
          <w:color w:val="auto"/>
          <w:sz w:val="21"/>
          <w:szCs w:val="21"/>
          <w:highlight w:val="none"/>
        </w:rPr>
        <w:t xml:space="preserve">响应老人咨询、紧急救助需求，提升居家安全保障。</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养老资源归集转介：</w:t>
      </w:r>
      <w:r>
        <w:rPr>
          <w:rFonts w:hint="eastAsia" w:ascii="宋体" w:hAnsi="宋体" w:eastAsia="宋体" w:cs="宋体"/>
          <w:color w:val="auto"/>
          <w:sz w:val="21"/>
          <w:szCs w:val="21"/>
          <w:highlight w:val="none"/>
        </w:rPr>
        <w:t xml:space="preserve">运营期内签约不少于10家具备养老服务能力的社会组织；对未签约市场养老主体登记联系方式；对所有转介服务建立跟踪、回访、监督机制。</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（六）人员、场地、运营成本与合规硬性要求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主体合规要求：</w:t>
      </w:r>
      <w:r>
        <w:rPr>
          <w:rFonts w:hint="eastAsia" w:ascii="宋体" w:hAnsi="宋体" w:cs="宋体"/>
          <w:b/>
          <w:bCs/>
          <w:color w:val="auto"/>
          <w:sz w:val="21"/>
          <w:szCs w:val="21"/>
          <w:highlight w:val="none"/>
          <w:lang w:val="en-US" w:eastAsia="zh-CN"/>
        </w:rPr>
        <w:t xml:space="preserve">在本项目服务期限内，供应商（含与供应商</w:t>
      </w:r>
      <w:r>
        <w:rPr>
          <w:rFonts w:hint="eastAsia" w:ascii="宋体" w:hAnsi="宋体" w:cs="宋体"/>
          <w:bCs/>
          <w:color w:val="auto"/>
          <w:szCs w:val="21"/>
          <w:highlight w:val="none"/>
        </w:rPr>
        <w:t xml:space="preserve">单位负责人为同一人或者存在直接控股、管理关系的不同供应商</w:t>
      </w:r>
      <w:r>
        <w:rPr>
          <w:rFonts w:hint="eastAsia" w:ascii="宋体" w:hAnsi="宋体" w:cs="宋体"/>
          <w:b/>
          <w:bCs/>
          <w:color w:val="auto"/>
          <w:sz w:val="21"/>
          <w:szCs w:val="21"/>
          <w:highlight w:val="none"/>
          <w:lang w:val="en-US" w:eastAsia="zh-CN"/>
        </w:rPr>
        <w:t xml:space="preserve">）不得在</w:t>
      </w:r>
      <w:r>
        <w:rPr>
          <w:rFonts w:hint="eastAsia"/>
          <w:b/>
          <w:bCs/>
          <w:color w:val="auto"/>
          <w:highlight w:val="none"/>
          <w:lang w:val="en-US" w:eastAsia="zh-CN"/>
        </w:rPr>
        <w:t xml:space="preserve">栖霞区承接社区居家养老服务中心或政府购买养老服务项目</w:t>
      </w:r>
      <w:r>
        <w:rPr>
          <w:rFonts w:hint="eastAsia" w:ascii="宋体" w:hAnsi="宋体" w:eastAsia="宋体" w:cs="宋体"/>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人员专属要求：</w:t>
      </w:r>
      <w:r>
        <w:rPr>
          <w:rFonts w:hint="eastAsia" w:ascii="宋体" w:hAnsi="宋体" w:eastAsia="宋体" w:cs="宋体"/>
          <w:color w:val="auto"/>
          <w:sz w:val="21"/>
          <w:szCs w:val="21"/>
          <w:highlight w:val="none"/>
        </w:rPr>
        <w:t xml:space="preserve">本项目运营团队</w:t>
      </w:r>
      <w:r>
        <w:rPr>
          <w:rFonts w:hint="eastAsia" w:ascii="宋体" w:hAnsi="宋体" w:cs="宋体"/>
          <w:color w:val="auto"/>
          <w:sz w:val="21"/>
          <w:szCs w:val="21"/>
          <w:highlight w:val="none"/>
          <w:lang w:val="en-US" w:eastAsia="zh-CN"/>
        </w:rPr>
        <w:t xml:space="preserve">稳定</w:t>
      </w:r>
      <w:r>
        <w:rPr>
          <w:rFonts w:hint="eastAsia" w:ascii="宋体" w:hAnsi="宋体" w:eastAsia="宋体" w:cs="宋体"/>
          <w:color w:val="auto"/>
          <w:sz w:val="21"/>
          <w:szCs w:val="21"/>
          <w:highlight w:val="none"/>
        </w:rPr>
        <w:t xml:space="preserve">，合同周期内项目工作人员</w:t>
      </w:r>
      <w:r>
        <w:rPr>
          <w:rFonts w:hint="eastAsia" w:ascii="宋体" w:hAnsi="宋体" w:eastAsia="宋体" w:cs="宋体"/>
          <w:color w:val="auto"/>
          <w:sz w:val="21"/>
          <w:szCs w:val="21"/>
          <w:highlight w:val="none"/>
          <w:lang w:val="en-US" w:eastAsia="zh-CN"/>
        </w:rPr>
        <w:t xml:space="preserve">不得频繁调整。</w:t>
      </w:r>
      <w:r>
        <w:rPr>
          <w:rFonts w:hint="eastAsia" w:ascii="宋体" w:hAnsi="宋体" w:cs="宋体"/>
          <w:color w:val="auto"/>
          <w:sz w:val="21"/>
          <w:szCs w:val="21"/>
          <w:highlight w:val="none"/>
          <w:lang w:val="en-US" w:eastAsia="zh-CN"/>
        </w:rPr>
        <w:t xml:space="preserve">响应文件中拟投入本项目</w:t>
      </w:r>
      <w:r>
        <w:rPr>
          <w:rFonts w:hint="eastAsia" w:ascii="宋体" w:hAnsi="宋体" w:eastAsia="宋体" w:cs="宋体"/>
          <w:color w:val="auto"/>
          <w:sz w:val="21"/>
          <w:szCs w:val="21"/>
          <w:highlight w:val="none"/>
        </w:rPr>
        <w:t xml:space="preserve">人员原则上应与实际参与人员一致，如遇特殊情况，</w:t>
      </w:r>
      <w:r>
        <w:rPr>
          <w:rFonts w:hint="eastAsia" w:ascii="宋体" w:hAnsi="宋体" w:cs="宋体"/>
          <w:color w:val="auto"/>
          <w:sz w:val="21"/>
          <w:szCs w:val="21"/>
          <w:highlight w:val="none"/>
          <w:lang w:val="en-US" w:eastAsia="zh-CN"/>
        </w:rPr>
        <w:t xml:space="preserve">确需更换，</w:t>
      </w:r>
      <w:r>
        <w:rPr>
          <w:rFonts w:hint="eastAsia" w:ascii="宋体" w:hAnsi="宋体" w:eastAsia="宋体" w:cs="宋体"/>
          <w:color w:val="auto"/>
          <w:sz w:val="21"/>
          <w:szCs w:val="21"/>
          <w:highlight w:val="none"/>
        </w:rPr>
        <w:t xml:space="preserve">须提前</w:t>
      </w:r>
      <w:r>
        <w:rPr>
          <w:rFonts w:hint="eastAsia" w:ascii="宋体" w:hAnsi="宋体" w:cs="宋体"/>
          <w:color w:val="auto"/>
          <w:sz w:val="21"/>
          <w:szCs w:val="21"/>
          <w:highlight w:val="none"/>
          <w:lang w:val="en-US" w:eastAsia="zh-CN"/>
        </w:rPr>
        <w:t xml:space="preserve">30日告知</w:t>
      </w:r>
      <w:r>
        <w:rPr>
          <w:rFonts w:hint="eastAsia" w:ascii="宋体" w:hAnsi="宋体" w:eastAsia="宋体" w:cs="宋体"/>
          <w:color w:val="auto"/>
          <w:sz w:val="21"/>
          <w:szCs w:val="21"/>
          <w:highlight w:val="none"/>
        </w:rPr>
        <w:t xml:space="preserve">采购人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并征得采购人同意。</w:t>
      </w:r>
      <w:r/>
    </w:p>
    <w:p>
      <w:pPr>
        <w:ind w:left="0" w:firstLine="422"/>
        <w:jc w:val="left"/>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驻场要求：</w:t>
      </w:r>
      <w:r>
        <w:rPr>
          <w:rFonts w:hint="eastAsia" w:ascii="宋体" w:hAnsi="宋体" w:cs="宋体"/>
          <w:color w:val="auto"/>
          <w:sz w:val="21"/>
          <w:szCs w:val="21"/>
          <w:highlight w:val="none"/>
          <w:lang w:val="en-US" w:eastAsia="zh-CN"/>
        </w:rPr>
        <w:t xml:space="preserve">本项目实施期间，供应商需至少提供4人（项目负责人1名，工作人员1名，话务员2名）驻场服务，驻场人员作息时间按采购人要求执行。如因政策调整等不可抗力，需增加人员的，供应商应配合采购人增加相应人员。</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硬件与运营成本承担：</w:t>
      </w:r>
      <w:r>
        <w:rPr>
          <w:rFonts w:hint="eastAsia" w:ascii="宋体" w:hAnsi="宋体" w:eastAsia="宋体" w:cs="宋体"/>
          <w:color w:val="auto"/>
          <w:sz w:val="21"/>
          <w:szCs w:val="21"/>
          <w:highlight w:val="none"/>
          <w:lang w:val="en-US" w:eastAsia="zh-CN"/>
        </w:rPr>
        <w:t xml:space="preserve">承接方</w:t>
      </w:r>
      <w:r>
        <w:rPr>
          <w:rFonts w:hint="eastAsia" w:ascii="宋体" w:hAnsi="宋体" w:eastAsia="宋体" w:cs="宋体"/>
          <w:color w:val="auto"/>
          <w:sz w:val="21"/>
          <w:szCs w:val="21"/>
          <w:highlight w:val="none"/>
        </w:rPr>
        <w:t xml:space="preserve">自行配齐办公电脑、信息化平台配套硬件设备；全额承担中心全部运营开支（每月固定水电费、设备采购、办公耗材、人员薪酬、社保、税费等），全部费用包含在年度合同价款内，不额外付费。</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系统对接要求：</w:t>
      </w:r>
      <w:r>
        <w:rPr>
          <w:rFonts w:hint="eastAsia" w:ascii="宋体" w:hAnsi="宋体" w:eastAsia="宋体" w:cs="宋体"/>
          <w:color w:val="auto"/>
          <w:sz w:val="21"/>
          <w:szCs w:val="21"/>
          <w:highlight w:val="none"/>
          <w:lang w:val="en-US" w:eastAsia="zh-CN"/>
        </w:rPr>
        <w:t xml:space="preserve">供应商需要拿出系统数据衔接迁移方案，</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后不影响后续工作的进行。</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保密义务：</w:t>
      </w:r>
      <w:r>
        <w:rPr>
          <w:rFonts w:hint="eastAsia" w:ascii="宋体" w:hAnsi="宋体" w:eastAsia="宋体" w:cs="宋体"/>
          <w:color w:val="auto"/>
          <w:sz w:val="21"/>
          <w:szCs w:val="21"/>
          <w:highlight w:val="none"/>
        </w:rPr>
        <w:t xml:space="preserve">对服务过程获取的老人个人信息、商务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业务资料全程保密，合同到期、终止后保密责任持续有效，严禁未经许可向第三方泄露。</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（七）动态调整要求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根据国家、省、市各级民政养老工作最新政策、考核要求，及时调整优化中心各项运营服务内容，统筹管理指导中心全板块日常运营。</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服务期间，如</w:t>
      </w:r>
      <w:r>
        <w:rPr>
          <w:rFonts w:hint="eastAsia" w:ascii="宋体" w:hAnsi="宋体" w:cs="宋体"/>
          <w:color w:val="auto"/>
          <w:sz w:val="21"/>
          <w:szCs w:val="21"/>
          <w:highlight w:val="none"/>
          <w:lang w:val="en-US" w:eastAsia="zh-CN" w:bidi="ar"/>
        </w:rPr>
        <w:t xml:space="preserve">遇</w:t>
      </w:r>
      <w:r>
        <w:rPr>
          <w:rFonts w:hint="eastAsia" w:ascii="宋体" w:hAnsi="宋体" w:eastAsia="宋体" w:cs="宋体"/>
          <w:color w:val="auto"/>
          <w:sz w:val="21"/>
          <w:szCs w:val="21"/>
          <w:highlight w:val="none"/>
          <w:lang w:val="en-US" w:eastAsia="zh-CN" w:bidi="ar"/>
        </w:rPr>
        <w:t xml:space="preserve">国家、省、市、区养老服务相关政策、法规及职能定位发生调整，采购人可根据最新政策规定，相应调整本项目养老服务指导中心的工作职能、服务内容及工作标准。供应商须主动配合采购人开展各项适应性调整工作，及时优化服务方案、规范工作流程、落实各项新要求，保障项目服务平稳衔接、合规运行，并不得以此为由申请增加服务费用、顺延服务期限或终止服务。</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三、服务期限及地点</w:t>
      </w:r>
      <w:r/>
    </w:p>
    <w:p>
      <w:pPr>
        <w:pStyle w:val="1011"/>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（一）合同周期：</w:t>
      </w:r>
      <w:r>
        <w:rPr>
          <w:rFonts w:hint="eastAsia" w:ascii="宋体" w:hAnsi="宋体" w:eastAsia="宋体" w:cs="宋体"/>
          <w:color w:val="auto"/>
          <w:sz w:val="21"/>
          <w:szCs w:val="21"/>
          <w:highlight w:val="none"/>
          <w:lang w:val="en-US" w:eastAsia="zh-CN"/>
        </w:rPr>
        <w:t xml:space="preserve">三年</w:t>
      </w:r>
      <w:r>
        <w:rPr>
          <w:rFonts w:hint="eastAsia" w:ascii="宋体" w:hAnsi="宋体" w:eastAsia="宋体" w:cs="宋体"/>
          <w:color w:val="auto"/>
          <w:sz w:val="21"/>
          <w:szCs w:val="21"/>
          <w:highlight w:val="none"/>
        </w:rPr>
        <w:t xml:space="preserve">。合同协议一年一签，合同协议期满后经采购人对其服务进行综合评价，评价合格后方可续签合同，无法通过评价或因政府政策调整不再适宜续签的，终止服务。</w:t>
      </w:r>
      <w:r/>
    </w:p>
    <w:p>
      <w:pPr>
        <w:pStyle w:val="795"/>
        <w:numPr>
          <w:ilvl w:val="0"/>
          <w:numId w:val="0"/>
        </w:numPr>
        <w:ind w:left="0" w:firstLine="422"/>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（二）实施地点：</w:t>
      </w:r>
      <w:r>
        <w:rPr>
          <w:rFonts w:hint="eastAsia" w:ascii="宋体" w:hAnsi="宋体" w:eastAsia="宋体" w:cs="宋体"/>
          <w:color w:val="auto"/>
          <w:sz w:val="21"/>
          <w:szCs w:val="21"/>
          <w:highlight w:val="none"/>
        </w:rPr>
        <w:t xml:space="preserve">南京市栖霞区辖区内</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四、付款方式</w:t>
      </w:r>
      <w:r/>
    </w:p>
    <w:p>
      <w:pPr>
        <w:pStyle w:val="1011"/>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1、项目合同签订后半个月内，支付</w:t>
      </w:r>
      <w:r>
        <w:rPr>
          <w:rFonts w:hint="eastAsia" w:ascii="宋体" w:hAnsi="宋体" w:eastAsia="宋体" w:cs="宋体"/>
          <w:color w:val="auto"/>
          <w:sz w:val="21"/>
          <w:szCs w:val="21"/>
          <w:highlight w:val="none"/>
          <w:lang w:val="en-US" w:eastAsia="zh-CN"/>
        </w:rPr>
        <w:t xml:space="preserve">单年合同</w:t>
      </w:r>
      <w:r>
        <w:rPr>
          <w:rFonts w:hint="eastAsia" w:ascii="宋体" w:hAnsi="宋体" w:eastAsia="宋体" w:cs="宋体"/>
          <w:color w:val="auto"/>
          <w:sz w:val="21"/>
          <w:szCs w:val="21"/>
          <w:highlight w:val="none"/>
        </w:rPr>
        <w:t xml:space="preserve">款的10%；正式运营6个月后支付</w:t>
      </w:r>
      <w:r>
        <w:rPr>
          <w:rFonts w:hint="eastAsia" w:ascii="宋体" w:hAnsi="宋体" w:eastAsia="宋体" w:cs="宋体"/>
          <w:color w:val="auto"/>
          <w:sz w:val="21"/>
          <w:szCs w:val="21"/>
          <w:highlight w:val="none"/>
          <w:lang w:val="en-US" w:eastAsia="zh-CN"/>
        </w:rPr>
        <w:t xml:space="preserve">单年</w:t>
      </w:r>
      <w:r>
        <w:rPr>
          <w:rFonts w:hint="eastAsia" w:ascii="宋体" w:hAnsi="宋体" w:eastAsia="宋体" w:cs="宋体"/>
          <w:color w:val="auto"/>
          <w:sz w:val="21"/>
          <w:szCs w:val="21"/>
          <w:highlight w:val="none"/>
        </w:rPr>
        <w:t xml:space="preserve">合同款的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0%，年末评估后支付</w:t>
      </w:r>
      <w:r>
        <w:rPr>
          <w:rFonts w:hint="eastAsia" w:ascii="宋体" w:hAnsi="宋体" w:eastAsia="宋体" w:cs="宋体"/>
          <w:color w:val="auto"/>
          <w:sz w:val="21"/>
          <w:szCs w:val="21"/>
          <w:highlight w:val="none"/>
          <w:lang w:val="en-US" w:eastAsia="zh-CN"/>
        </w:rPr>
        <w:t xml:space="preserve">单年</w:t>
      </w:r>
      <w:r>
        <w:rPr>
          <w:rFonts w:hint="eastAsia" w:ascii="宋体" w:hAnsi="宋体" w:eastAsia="宋体" w:cs="宋体"/>
          <w:color w:val="auto"/>
          <w:sz w:val="21"/>
          <w:szCs w:val="21"/>
          <w:highlight w:val="none"/>
        </w:rPr>
        <w:t xml:space="preserve">合同款的</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p>
    <w:p>
      <w:pPr>
        <w:pStyle w:val="1011"/>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2、每次付款前成交供应商须提供等额发票，否则采购人有权拒绝付款。</w:t>
      </w:r>
      <w:r/>
    </w:p>
    <w:p>
      <w:pPr>
        <w:ind w:left="0" w:firstLine="420"/>
        <w:jc w:val="left"/>
        <w:keepLines w:val="0"/>
        <w:keepNext w:val="0"/>
        <w:pageBreakBefore w:val="0"/>
        <w:spacing w:line="360" w:lineRule="auto"/>
        <w:widowControl w:val="off"/>
        <w:rPr>
          <w:rFonts w:hint="eastAsia" w:hAnsi="宋体" w:cs="宋体"/>
          <w:b/>
          <w:bCs/>
          <w:color w:val="auto"/>
          <w:sz w:val="24"/>
          <w:highlight w:val="none"/>
          <w:lang w:val="en-US" w:eastAsia="zh-CN"/>
        </w:rPr>
      </w:pPr>
      <w:r>
        <w:rPr>
          <w:rFonts w:hint="eastAsia" w:ascii="宋体" w:hAnsi="宋体" w:eastAsia="宋体" w:cs="宋体"/>
          <w:color w:val="auto"/>
          <w:sz w:val="21"/>
          <w:szCs w:val="21"/>
          <w:highlight w:val="none"/>
        </w:rPr>
        <w:t xml:space="preserve">3、因财政审批导致的迟延支付，采购人不承担迟延支付的违约责任。</w:t>
      </w:r>
      <w:r/>
    </w:p>
    <w:p>
      <w:pPr>
        <w:ind w:firstLine="482"/>
        <w:keepLines w:val="0"/>
        <w:keepNext w:val="0"/>
        <w:pageBreakBefore w:val="0"/>
        <w:spacing w:line="440" w:lineRule="exact"/>
        <w:widowControl w:val="off"/>
        <w:rPr>
          <w:rFonts w:hint="eastAsia" w:ascii="Times New Roman" w:hAnsi="Times New Roman" w:eastAsia="宋体" w:cs="Microsoft New Tai Lue"/>
          <w:b/>
          <w:bCs w:val="0"/>
          <w:color w:val="auto"/>
          <w:sz w:val="21"/>
          <w:highlight w:val="none"/>
          <w:lang w:eastAsia="zh-CN"/>
        </w:rPr>
      </w:pPr>
      <w:r>
        <w:rPr>
          <w:rFonts w:hint="eastAsia" w:hAnsi="宋体" w:cs="宋体"/>
          <w:b/>
          <w:bCs/>
          <w:color w:val="auto"/>
          <w:sz w:val="24"/>
          <w:highlight w:val="none"/>
          <w:lang w:val="en-US" w:eastAsia="zh-CN"/>
        </w:rPr>
        <w:t xml:space="preserve">五</w:t>
      </w:r>
      <w:r>
        <w:rPr>
          <w:rFonts w:hint="eastAsia" w:ascii="宋体" w:hAnsi="宋体" w:cs="宋体"/>
          <w:b/>
          <w:bCs/>
          <w:color w:val="auto"/>
          <w:sz w:val="24"/>
          <w:highlight w:val="none"/>
          <w:lang w:val="en-US" w:eastAsia="zh-CN"/>
        </w:rPr>
        <w:t xml:space="preserve">、</w:t>
      </w:r>
      <w:r>
        <w:rPr>
          <w:rFonts w:hint="eastAsia" w:ascii="Times New Roman" w:hAnsi="Times New Roman" w:eastAsia="宋体" w:cs="Microsoft New Tai Lue"/>
          <w:b/>
          <w:bCs w:val="0"/>
          <w:color w:val="auto"/>
          <w:sz w:val="21"/>
          <w:highlight w:val="none"/>
        </w:rPr>
        <w:t xml:space="preserve">异常低价处理</w:t>
      </w:r>
      <w:r>
        <w:rPr>
          <w:rFonts w:hint="eastAsia" w:ascii="Times New Roman" w:hAnsi="Times New Roman" w:cs="Microsoft New Tai Lue"/>
          <w:b/>
          <w:bCs w:val="0"/>
          <w:color w:val="auto"/>
          <w:sz w:val="21"/>
          <w:highlight w:val="none"/>
          <w:lang w:eastAsia="zh-CN"/>
        </w:rPr>
        <w:t xml:space="preserve">：</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依据财库〔2026〕2号，评审中出现下列情形之一的，评审委员会将启动异常低价投标（响应）审查程序：</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1</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投标（响应）报价低于全部通过符合性审查供应商投标（响应）报价平均值50%的，即投标（响应）报价&lt;全部通过符合性审查供应商投标（响应）报价平均值×50%；</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2</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投标（响应）报价低于通过符合性审查的次低报价供应商投标（响应）报价50%的，即投标（响应）报价&lt;通过符合性审查的次低报价供应商投标（响应）报价×50%；</w:t>
      </w:r>
      <w:r/>
    </w:p>
    <w:p>
      <w:pPr>
        <w:pStyle w:val="972"/>
        <w:ind w:left="42" w:right="42" w:firstLine="420"/>
        <w:keepLines w:val="0"/>
        <w:keepNext w:val="0"/>
        <w:pageBreakBefore w:val="0"/>
        <w:spacing w:before="58" w:after="58" w:line="288" w:lineRule="auto"/>
        <w:widowControl w:val="off"/>
        <w:rPr>
          <w:color w:val="auto"/>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3</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%的，即投标（响应）报价&lt;采购项目最高限价×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4</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评审委员会基于专业判断，认为供应商报价过低，有可能影响产品质量或者不能诚信履约的其他情形。</w:t>
      </w:r>
      <w:r/>
    </w:p>
    <w:p>
      <w:pPr>
        <w:pStyle w:val="9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0"/>
        <w:ind w:left="0" w:right="0" w:firstLine="420"/>
        <w:keepLines w:val="0"/>
        <w:keepNext w:val="0"/>
        <w:pageBreakBefore w:val="0"/>
        <w:spacing w:before="0" w:beforeAutospacing="0" w:after="0" w:afterAutospacing="0" w:line="360" w:lineRule="auto"/>
        <w:shd w:val="clear" w:color="auto" w:fill="ffffff"/>
        <w:widowControl/>
        <w:rPr>
          <w:color w:val="auto"/>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1"/>
        <w:rPr>
          <w:rStyle w:val="1000"/>
          <w:rFonts w:ascii="Microsoft New Tai Lue" w:hAnsi="Microsoft New Tai Lue" w:cs="Microsoft New Tai Lue"/>
          <w:b/>
          <w:bCs/>
          <w:color w:val="auto"/>
          <w:highlight w:val="none"/>
        </w:rPr>
      </w:pPr>
      <w:r>
        <w:rPr>
          <w:rFonts w:ascii="Microsoft New Tai Lue" w:hAnsi="Microsoft New Tai Lue" w:cs="Microsoft New Tai Lue"/>
          <w:color w:val="auto"/>
          <w:highlight w:val="none"/>
        </w:rPr>
        <w:br w:type="page" w:clear="all"/>
      </w:r>
      <w:bookmarkStart w:id="106" w:name="_Toc30484"/>
      <w:r>
        <w:rPr>
          <w:rFonts w:ascii="Microsoft New Tai Lue" w:hAnsi="Microsoft New Tai Lue" w:cs="Microsoft New Tai Lue"/>
          <w:color w:val="auto"/>
          <w:highlight w:val="none"/>
        </w:rPr>
        <w:t xml:space="preserve">第五章 评审方法与评审标准</w:t>
      </w:r>
      <w:bookmarkEnd w:id="106"/>
      <w:r/>
      <w:r/>
    </w:p>
    <w:p>
      <w:pPr>
        <w:ind w:firstLine="460"/>
        <w:rPr>
          <w:rFonts w:hint="eastAsia" w:ascii="宋体" w:hAnsi="宋体" w:cs="仿宋"/>
          <w:color w:val="auto"/>
          <w:spacing w:val="-5"/>
          <w:highlight w:val="none"/>
          <w:lang w:eastAsia="zh-CN"/>
        </w:rPr>
      </w:pPr>
      <w:r/>
      <w:bookmarkStart w:id="107" w:name="_Toc91836565"/>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磋商小组将对确定为实质性响应磋商文件要求的各</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响应文件进行评价和比较，评审采用综合评分法</w:t>
      </w:r>
      <w:r>
        <w:rPr>
          <w:rFonts w:hint="eastAsia" w:ascii="宋体" w:hAnsi="宋体" w:cs="宋体"/>
          <w:bCs/>
          <w:color w:val="auto"/>
          <w:szCs w:val="21"/>
          <w:highlight w:val="none"/>
        </w:rPr>
        <w:t xml:space="preserve">。响应文件满足磋商文件全部实质性要求，</w:t>
      </w:r>
      <w:r>
        <w:rPr>
          <w:rFonts w:hint="eastAsia" w:ascii="宋体" w:hAnsi="宋体" w:cs="宋体"/>
          <w:bCs/>
          <w:color w:val="auto"/>
          <w:szCs w:val="21"/>
          <w:highlight w:val="none"/>
          <w:lang w:bidi="ar"/>
        </w:rPr>
        <w:t xml:space="preserve">且综合得分第一的供应商将推荐作为</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的成交候选人。</w:t>
      </w:r>
      <w:r>
        <w:rPr>
          <w:rFonts w:hint="eastAsia" w:ascii="宋体" w:hAnsi="宋体" w:cs="宋体"/>
          <w:color w:val="auto"/>
          <w:szCs w:val="21"/>
          <w:highlight w:val="none"/>
        </w:rPr>
        <w:t xml:space="preserve">评审得分相同的，按照最终报价由低到高的顺序推荐。评审得分且最终报价相同的，按照技术指标（服务内容）优劣顺序推荐。</w:t>
      </w:r>
      <w:r/>
    </w:p>
    <w:p>
      <w:pPr>
        <w:ind w:firstLine="420"/>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本项目为竞争性磋商采购，磋商供应商将需要进行两轮报价。第一轮报价随响应文件递交。第二轮报价在磋商小组完成响应文件评审、并就相关问题同各磋商供应商磋商结束后，供应商进行报价</w:t>
      </w:r>
      <w:r>
        <w:rPr>
          <w:rFonts w:hint="eastAsia" w:ascii="宋体" w:hAnsi="宋体" w:cs="宋体"/>
          <w:bCs/>
          <w:color w:val="auto"/>
          <w:szCs w:val="21"/>
          <w:highlight w:val="none"/>
          <w:lang w:val="en-US" w:eastAsia="zh-CN"/>
        </w:rPr>
        <w:t xml:space="preserve">并</w:t>
      </w:r>
      <w:r>
        <w:rPr>
          <w:rFonts w:hint="eastAsia" w:ascii="宋体" w:hAnsi="宋体" w:cs="宋体"/>
          <w:bCs/>
          <w:color w:val="auto"/>
          <w:szCs w:val="21"/>
          <w:highlight w:val="none"/>
        </w:rPr>
        <w:t xml:space="preserve">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60"/>
        <w:rPr>
          <w:rFonts w:hint="eastAsia" w:ascii="宋体" w:hAnsi="宋体" w:cs="仿宋"/>
          <w:color w:val="auto"/>
          <w:spacing w:val="-5"/>
          <w:highlight w:val="none"/>
          <w:lang w:eastAsia="zh-CN"/>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p>
    <w:p>
      <w:pPr>
        <w:pStyle w:val="795"/>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tbl>
      <w:tblPr>
        <w:tblStyle w:val="1027"/>
        <w:tblW w:w="98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260"/>
        <w:gridCol w:w="7260"/>
        <w:gridCol w:w="672"/>
      </w:tblGrid>
      <w:tr>
        <w:trPr>
          <w:jc w:val="center"/>
          <w:trHeight w:val="439"/>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2"/>
                <w:sz w:val="21"/>
                <w:szCs w:val="21"/>
                <w:highlight w:val="none"/>
                <w:lang w:val="en-US" w:bidi="ar-SA"/>
              </w:rPr>
              <w:t xml:space="preserve">序号</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1"/>
                <w:sz w:val="21"/>
                <w:szCs w:val="21"/>
                <w:highlight w:val="none"/>
                <w:lang w:val="en-US" w:bidi="ar-SA"/>
              </w:rPr>
              <w:t xml:space="preserve">评分因素</w:t>
            </w:r>
            <w:r/>
          </w:p>
        </w:tc>
        <w:tc>
          <w:tcPr>
            <w:tcW w:w="726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1"/>
                <w:sz w:val="21"/>
                <w:szCs w:val="21"/>
                <w:highlight w:val="none"/>
                <w:lang w:val="en-US" w:bidi="ar-SA"/>
              </w:rPr>
              <w:t xml:space="preserve">评审标准</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3"/>
                <w:sz w:val="21"/>
                <w:szCs w:val="21"/>
                <w:highlight w:val="none"/>
                <w:lang w:val="en-US" w:bidi="ar-SA"/>
              </w:rPr>
              <w:t xml:space="preserve">分值</w:t>
            </w:r>
            <w:r/>
          </w:p>
        </w:tc>
      </w:tr>
      <w:tr>
        <w:trPr>
          <w:jc w:val="center"/>
          <w:trHeight w:val="1036"/>
        </w:trPr>
        <w:tc>
          <w:tcPr>
            <w:tcW w:w="690" w:type="dxa"/>
            <w:vAlign w:val="center"/>
            <w:textDirection w:val="lrTb"/>
            <w:noWrap w:val="false"/>
          </w:tcPr>
          <w:p>
            <w:pPr>
              <w:pStyle w:val="1028"/>
              <w:ind w:left="0" w:right="0" w:firstLine="0"/>
              <w:jc w:val="center"/>
              <w:keepLines w:val="0"/>
              <w:keepNext w:val="0"/>
              <w:pageBreakBefore w:val="0"/>
              <w:spacing w:line="240" w:lineRule="auto"/>
              <w:widowControl w:val="off"/>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t xml:space="preserve">1</w:t>
            </w:r>
            <w:r/>
          </w:p>
        </w:tc>
        <w:tc>
          <w:tcPr>
            <w:tcW w:w="1260" w:type="dxa"/>
            <w:vAlign w:val="center"/>
            <w:textDirection w:val="lrTb"/>
            <w:noWrap w:val="false"/>
          </w:tcPr>
          <w:p>
            <w:pPr>
              <w:pStyle w:val="1028"/>
              <w:ind w:left="0" w:right="0" w:firstLine="0"/>
              <w:jc w:val="center"/>
              <w:keepLines w:val="0"/>
              <w:keepNext w:val="0"/>
              <w:pageBreakBefore w:val="0"/>
              <w:spacing w:line="240" w:lineRule="auto"/>
              <w:widowControl w:val="off"/>
              <w:rPr>
                <w:rFonts w:hint="eastAsia" w:ascii="黑体" w:hAnsi="黑体" w:eastAsia="黑体" w:cs="黑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价格</w:t>
            </w:r>
            <w:r/>
          </w:p>
        </w:tc>
        <w:tc>
          <w:tcPr>
            <w:tcW w:w="7260" w:type="dxa"/>
            <w:vAlign w:val="center"/>
            <w:textDirection w:val="lrTb"/>
            <w:noWrap w:val="false"/>
          </w:tcPr>
          <w:p>
            <w:pPr>
              <w:pStyle w:val="1028"/>
              <w:numPr>
                <w:ilvl w:val="0"/>
                <w:numId w:val="0"/>
              </w:numPr>
              <w:ind w:left="0" w:right="0" w:firstLine="420"/>
              <w:jc w:val="left"/>
              <w:keepLines w:val="0"/>
              <w:keepNext w:val="0"/>
              <w:pageBreakBefore w:val="0"/>
              <w:spacing w:line="360" w:lineRule="auto"/>
              <w:widowControl w:val="off"/>
              <w:rPr>
                <w:rFonts w:hint="eastAsia" w:ascii="黑体" w:hAnsi="黑体" w:eastAsia="黑体" w:cs="黑体"/>
                <w:color w:val="auto"/>
                <w:sz w:val="21"/>
                <w:szCs w:val="21"/>
                <w:highlight w:val="none"/>
                <w:lang w:val="en-US" w:bidi="ar-SA"/>
              </w:rPr>
            </w:pPr>
            <w:r>
              <w:rPr>
                <w:rFonts w:hint="eastAsia" w:ascii="宋体" w:hAnsi="宋体" w:eastAsia="宋体" w:cs="宋体"/>
                <w:color w:val="auto"/>
                <w:sz w:val="21"/>
                <w:szCs w:val="21"/>
                <w:highlight w:val="none"/>
              </w:rPr>
              <w:t xml:space="preserve">价格分采用低价优先法计算，即满足磋商文件要 求且最后报价最低的供应商的价格为磋商基准价，其价格分为满分。其他 供应商的价格分统一按照下列公式计算：磋商报价得分=（磋商基准价/最后磋商报价）×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分值保留小数点后2位。</w:t>
            </w:r>
            <w:r/>
          </w:p>
        </w:tc>
        <w:tc>
          <w:tcPr>
            <w:tcW w:w="672" w:type="dxa"/>
            <w:vAlign w:val="center"/>
            <w:textDirection w:val="lrTb"/>
            <w:noWrap w:val="false"/>
          </w:tcPr>
          <w:p>
            <w:pPr>
              <w:pStyle w:val="1028"/>
              <w:numPr>
                <w:ilvl w:val="0"/>
                <w:numId w:val="0"/>
              </w:numPr>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180"/>
        </w:trPr>
        <w:tc>
          <w:tcPr>
            <w:tcW w:w="690" w:type="dxa"/>
            <w:vAlign w:val="center"/>
            <w:vMerge w:val="restart"/>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w:t>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项目总体实施方案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根据供应商拟针对本项目实际需求提供的总体实施方案（包括但不限于服务体系、组织架构、时效控制措施、信息安全管理措施、文档管理措施、综合协调措施等）进行综合评审：</w:t>
            </w:r>
            <w:r/>
          </w:p>
          <w:p>
            <w:pPr>
              <w:ind w:left="0" w:right="0" w:firstLine="424"/>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（1）</w:t>
            </w:r>
            <w:r>
              <w:rPr>
                <w:rFonts w:hint="eastAsia" w:ascii="宋体" w:hAnsi="宋体" w:eastAsia="宋体" w:cs="宋体"/>
                <w:color w:val="auto"/>
                <w:sz w:val="21"/>
                <w:szCs w:val="21"/>
                <w:highlight w:val="none"/>
              </w:rPr>
              <w:t xml:space="preserve">总体实施方案全面，具有合理完善的服务体系、组织架构，具有完整、明确的时效控制措施、信息安全管理措施、文档管理措施、综合协调措施且可操作性强的，得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0" w:right="0" w:firstLine="424"/>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（2）</w:t>
            </w:r>
            <w:r>
              <w:rPr>
                <w:rFonts w:hint="eastAsia" w:ascii="宋体" w:hAnsi="宋体" w:eastAsia="宋体" w:cs="宋体"/>
                <w:color w:val="auto"/>
                <w:sz w:val="21"/>
                <w:szCs w:val="21"/>
                <w:highlight w:val="none"/>
              </w:rPr>
              <w:t xml:space="preserve">总体实施方案较全面，服务体系、组织架构较合理，具有较完整、明确的时效控制措施、信息安全管理措施、文档管理措施、综合协调措施且可操作性较强的，得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4"/>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（3）总体</w:t>
            </w:r>
            <w:r>
              <w:rPr>
                <w:rFonts w:hint="eastAsia" w:ascii="宋体" w:hAnsi="宋体" w:eastAsia="宋体" w:cs="宋体"/>
                <w:color w:val="auto"/>
                <w:sz w:val="21"/>
                <w:szCs w:val="21"/>
                <w:highlight w:val="none"/>
              </w:rPr>
              <w:t xml:space="preserve">实施方案一般的，服务体系、组织架构一般的，时效控制措施、信息安全管理措施、文档管理措施、综合协调措施且可操作性一般的，得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firstLine="424"/>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pacing w:val="1"/>
                <w:sz w:val="21"/>
                <w:szCs w:val="21"/>
                <w:highlight w:val="none"/>
                <w:lang w:val="en-US" w:eastAsia="zh-CN"/>
              </w:rPr>
              <w:t xml:space="preserve">4</w:t>
            </w: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z w:val="21"/>
                <w:szCs w:val="21"/>
                <w:highlight w:val="none"/>
              </w:rPr>
              <w:t xml:space="preserve">未提供不得分。</w:t>
            </w:r>
            <w:r/>
          </w:p>
        </w:tc>
        <w:tc>
          <w:tcPr>
            <w:shd w:val="clear" w:color="auto" w:fill="auto"/>
            <w:tcW w:w="672" w:type="dxa"/>
            <w:vAlign w:val="center"/>
            <w:textDirection w:val="lrTb"/>
            <w:noWrap w:val="false"/>
          </w:tcPr>
          <w:p>
            <w:pPr>
              <w:pStyle w:val="1028"/>
              <w:ind w:left="0" w:right="0" w:firstLine="0"/>
              <w:jc w:val="center"/>
              <w:keepLines w:val="0"/>
              <w:keepNext w:val="0"/>
              <w:pageBreakBefore w:val="0"/>
              <w:spacing w:line="240" w:lineRule="auto"/>
              <w:widowControl w:val="off"/>
              <w:rPr>
                <w:rFonts w:hint="default"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180"/>
        </w:trPr>
        <w:tc>
          <w:tcPr>
            <w:tcW w:w="690" w:type="dxa"/>
            <w:vAlign w:val="center"/>
            <w:vMerge w:val="continue"/>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pacing w:val="-2"/>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宣传推广服务方案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根据供应商提供的对本项目的宣传推广服务方案进行综合评审：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（1）方案具体内容全面完善、</w:t>
            </w:r>
            <w:r>
              <w:rPr>
                <w:rFonts w:hint="eastAsia" w:ascii="宋体" w:hAnsi="宋体" w:eastAsia="宋体" w:cs="宋体"/>
                <w:color w:val="auto"/>
                <w:sz w:val="21"/>
                <w:szCs w:val="21"/>
                <w:highlight w:val="none"/>
                <w:lang w:val="en-US" w:eastAsia="zh-CN"/>
              </w:rPr>
              <w:t xml:space="preserve">针对性强、</w:t>
            </w:r>
            <w:r>
              <w:rPr>
                <w:rFonts w:hint="eastAsia" w:ascii="宋体" w:hAnsi="宋体" w:eastAsia="宋体" w:cs="宋体"/>
                <w:color w:val="auto"/>
                <w:sz w:val="21"/>
                <w:szCs w:val="21"/>
                <w:highlight w:val="none"/>
              </w:rPr>
              <w:t xml:space="preserve">科学性及操作性强的，得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（2）方案具体内容较全面、</w:t>
            </w:r>
            <w:r>
              <w:rPr>
                <w:rFonts w:hint="eastAsia" w:ascii="宋体" w:hAnsi="宋体" w:eastAsia="宋体" w:cs="宋体"/>
                <w:color w:val="auto"/>
                <w:sz w:val="21"/>
                <w:szCs w:val="21"/>
                <w:highlight w:val="none"/>
                <w:lang w:val="en-US" w:eastAsia="zh-CN"/>
              </w:rPr>
              <w:t xml:space="preserve">针对性较强、</w:t>
            </w:r>
            <w:r>
              <w:rPr>
                <w:rFonts w:hint="eastAsia" w:ascii="宋体" w:hAnsi="宋体" w:eastAsia="宋体" w:cs="宋体"/>
                <w:color w:val="auto"/>
                <w:sz w:val="21"/>
                <w:szCs w:val="21"/>
                <w:highlight w:val="none"/>
              </w:rPr>
              <w:t xml:space="preserve">科学性及操作性较强的，得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（3）方案具体内容一般、</w:t>
            </w:r>
            <w:r>
              <w:rPr>
                <w:rFonts w:hint="eastAsia" w:ascii="宋体" w:hAnsi="宋体" w:eastAsia="宋体" w:cs="宋体"/>
                <w:color w:val="auto"/>
                <w:sz w:val="21"/>
                <w:szCs w:val="21"/>
                <w:highlight w:val="none"/>
                <w:lang w:val="en-US" w:eastAsia="zh-CN"/>
              </w:rPr>
              <w:t xml:space="preserve">针对性一般、</w:t>
            </w:r>
            <w:r>
              <w:rPr>
                <w:rFonts w:hint="eastAsia" w:ascii="宋体" w:hAnsi="宋体" w:eastAsia="宋体" w:cs="宋体"/>
                <w:color w:val="auto"/>
                <w:sz w:val="21"/>
                <w:szCs w:val="21"/>
                <w:highlight w:val="none"/>
              </w:rPr>
              <w:t xml:space="preserve">可操作性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7</w:t>
            </w:r>
            <w:r/>
          </w:p>
        </w:tc>
      </w:tr>
      <w:tr>
        <w:trPr>
          <w:jc w:val="center"/>
          <w:trHeight w:val="590"/>
        </w:trPr>
        <w:tc>
          <w:tcPr>
            <w:tcW w:w="690" w:type="dxa"/>
            <w:vAlign w:val="center"/>
            <w:vMerge w:val="continue"/>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260" w:type="dxa"/>
            <w:vAlign w:val="center"/>
            <w:textDirection w:val="lrTb"/>
            <w:noWrap w:val="false"/>
          </w:tcPr>
          <w:p>
            <w:pPr>
              <w:contextualSpacing/>
              <w:jc w:val="center"/>
              <w:spacing w:after="0" w:line="288" w:lineRule="auto"/>
              <w:rPr>
                <w:rFonts w:hint="eastAsia" w:ascii="黑体" w:hAnsi="黑体" w:eastAsia="黑体" w:cs="黑体"/>
                <w:color w:val="auto"/>
                <w:sz w:val="21"/>
                <w:szCs w:val="21"/>
                <w:highlight w:val="none"/>
                <w:lang w:val="en-US" w:bidi="ar-SA"/>
              </w:rPr>
            </w:pPr>
            <w:r>
              <w:rPr>
                <w:rFonts w:hint="eastAsia" w:ascii="宋体" w:hAnsi="宋体" w:eastAsia="宋体" w:cs="宋体"/>
                <w:color w:val="auto"/>
                <w:sz w:val="21"/>
                <w:szCs w:val="21"/>
                <w:highlight w:val="none"/>
              </w:rPr>
              <w:t xml:space="preserve">服务过程监管方案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根据供应商对养老服务指导中心项目的全过程进行监管，对监管措施的科学性、综合性、合理性进行综合评审：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综合监管内容全面合理，措施切实可行，具有非常强的可行性得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综合监管内容</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全面合理，措施</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可行性较强得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综合监管内容全面合理</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，措施可行</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7</w:t>
            </w:r>
            <w:r/>
          </w:p>
        </w:tc>
      </w:tr>
      <w:tr>
        <w:trPr>
          <w:jc w:val="center"/>
          <w:trHeight w:val="1047"/>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项目培训方案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根据供应商拟针对本项目提供的培训方案（包括但不限于培训计划、培训课程和常见问题处理</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（1）方案具有完善的培训体系和培训计划、培训课程内容完整、培训方式多样化，可操作性强，且优于本项目实际需求的，得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（2）方案具有基本的培训体系和培训计划、培训课程设置基本完整、培训方式</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基本可操作性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基本满足本项目实际需求的，得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（3）方案中的培训体系和培训计划</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、培训课程不</w:t>
            </w:r>
            <w:r>
              <w:rPr>
                <w:rFonts w:hint="eastAsia" w:ascii="宋体" w:hAnsi="宋体" w:eastAsia="宋体" w:cs="宋体"/>
                <w:color w:val="auto"/>
                <w:sz w:val="21"/>
                <w:szCs w:val="21"/>
                <w:highlight w:val="none"/>
                <w:lang w:val="en-US" w:eastAsia="zh-CN"/>
              </w:rPr>
              <w:t xml:space="preserve">够</w:t>
            </w:r>
            <w:r>
              <w:rPr>
                <w:rFonts w:hint="eastAsia" w:ascii="宋体" w:hAnsi="宋体" w:eastAsia="宋体" w:cs="宋体"/>
                <w:color w:val="auto"/>
                <w:sz w:val="21"/>
                <w:szCs w:val="21"/>
                <w:highlight w:val="none"/>
              </w:rPr>
              <w:t xml:space="preserve">完整、培训方式可操作性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347"/>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售后</w:t>
            </w:r>
            <w:r>
              <w:rPr>
                <w:rFonts w:hint="eastAsia" w:ascii="宋体" w:hAnsi="宋体" w:eastAsia="宋体" w:cs="宋体"/>
                <w:color w:val="auto"/>
                <w:sz w:val="21"/>
                <w:szCs w:val="21"/>
                <w:highlight w:val="none"/>
                <w:lang w:val="en-US" w:eastAsia="zh-CN"/>
              </w:rPr>
              <w:t xml:space="preserve">保密</w:t>
            </w:r>
            <w:r>
              <w:rPr>
                <w:rFonts w:hint="eastAsia" w:ascii="宋体" w:hAnsi="宋体" w:eastAsia="宋体" w:cs="宋体"/>
                <w:color w:val="auto"/>
                <w:sz w:val="21"/>
                <w:szCs w:val="21"/>
                <w:highlight w:val="none"/>
              </w:rPr>
              <w:t xml:space="preserve">服务</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根据供应商提供的售后服务</w:t>
            </w:r>
            <w:r>
              <w:rPr>
                <w:rFonts w:hint="eastAsia" w:ascii="宋体" w:hAnsi="宋体" w:eastAsia="宋体" w:cs="宋体"/>
                <w:color w:val="auto"/>
                <w:sz w:val="21"/>
                <w:szCs w:val="21"/>
                <w:highlight w:val="none"/>
                <w:lang w:val="en-US" w:eastAsia="zh-CN"/>
              </w:rPr>
              <w:t xml:space="preserve">及保密</w:t>
            </w:r>
            <w:r>
              <w:rPr>
                <w:rFonts w:hint="eastAsia" w:ascii="宋体" w:hAnsi="宋体" w:eastAsia="宋体" w:cs="宋体"/>
                <w:color w:val="auto"/>
                <w:sz w:val="21"/>
                <w:szCs w:val="21"/>
                <w:highlight w:val="none"/>
              </w:rPr>
              <w:t xml:space="preserve">方案进行综合评审：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rPr>
              <w:t xml:space="preserve">（1）方案对项目认识非常到位、服务定位非常准确、目标和整体设想非常合理且操作性非常强的，得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）方案对项目认识比较到位、服务定位较合理、目标和整体设想较合理且操作性较强的，得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（3）方案对项目认识一般、服务定位一般、目标和整体设想一般且操作性一般的得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7</w:t>
            </w:r>
            <w:r/>
          </w:p>
        </w:tc>
      </w:tr>
      <w:tr>
        <w:trPr>
          <w:jc w:val="center"/>
          <w:trHeight w:val="1072"/>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center"/>
            <w:textDirection w:val="lrTb"/>
            <w:noWrap w:val="false"/>
          </w:tcPr>
          <w:p>
            <w:pPr>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系统对接数据迁移方</w:t>
            </w:r>
            <w:r>
              <w:rPr>
                <w:rFonts w:hint="eastAsia" w:ascii="黑体" w:hAnsi="黑体" w:eastAsia="黑体" w:cs="黑体"/>
                <w:color w:val="auto"/>
                <w:sz w:val="21"/>
                <w:szCs w:val="21"/>
                <w:highlight w:val="none"/>
                <w:lang w:val="en-US" w:eastAsia="zh-CN" w:bidi="ar-SA"/>
              </w:rPr>
              <w:t xml:space="preserve">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w:t>
            </w:r>
            <w:r>
              <w:rPr>
                <w:rFonts w:hint="eastAsia" w:ascii="宋体" w:hAnsi="宋体" w:eastAsia="宋体" w:cs="宋体"/>
                <w:color w:val="auto"/>
                <w:sz w:val="21"/>
                <w:szCs w:val="21"/>
                <w:highlight w:val="none"/>
                <w:lang w:val="en-US" w:eastAsia="zh-CN"/>
              </w:rPr>
              <w:t xml:space="preserve">系统对接数据迁移方案</w:t>
            </w:r>
            <w:r>
              <w:rPr>
                <w:rFonts w:hint="eastAsia" w:ascii="宋体" w:hAnsi="宋体" w:eastAsia="宋体" w:cs="宋体"/>
                <w:color w:val="auto"/>
                <w:sz w:val="21"/>
                <w:szCs w:val="21"/>
                <w:highlight w:val="none"/>
              </w:rPr>
              <w:t xml:space="preserve">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rPr>
              <w:t xml:space="preserve">（1）</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是否充分了解原系统架构、数据库结构及接口现状，提出的对接方案是否详实可行。方案内容完整、技术路径清晰的得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分；方案基本完整但细节不足的得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分；方案简略或可行性差的得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；未提供不得分</w:t>
            </w:r>
            <w:r>
              <w:rPr>
                <w:rFonts w:hint="eastAsia" w:ascii="宋体" w:hAnsi="宋体" w:eastAsia="宋体" w:cs="宋体"/>
                <w:color w:val="auto"/>
                <w:sz w:val="21"/>
                <w:szCs w:val="21"/>
                <w:highlight w:val="none"/>
                <w:lang w:val="en-US" w:eastAsia="zh-CN"/>
              </w:rPr>
              <w:t xml:space="preserve">。</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是否提供完整的历史数据迁移方案，含数据清洗、迁移策略、校验机制、回退预案等。方案详实、保障措施到位的得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分；方案基本可行的得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分；方案简略或可行性差的得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；未提供不得分</w:t>
            </w:r>
            <w:r>
              <w:rPr>
                <w:rFonts w:hint="eastAsia" w:ascii="宋体" w:hAnsi="宋体" w:eastAsia="宋体" w:cs="宋体"/>
                <w:color w:val="auto"/>
                <w:sz w:val="21"/>
                <w:szCs w:val="21"/>
                <w:highlight w:val="none"/>
                <w:lang w:val="en-US" w:eastAsia="zh-CN"/>
              </w:rPr>
              <w:t xml:space="preserve">。</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是否明确过渡期间的系统停机安排、业务连续性保障、应急回退方案、驻场人员安排等。措施全面具体的得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分；措施基本</w:t>
            </w:r>
            <w:r>
              <w:rPr>
                <w:rFonts w:hint="eastAsia" w:ascii="宋体" w:hAnsi="宋体" w:cs="宋体"/>
                <w:color w:val="auto"/>
                <w:sz w:val="21"/>
                <w:szCs w:val="21"/>
                <w:highlight w:val="none"/>
                <w:lang w:val="en-US" w:eastAsia="zh-CN"/>
              </w:rPr>
              <w:t xml:space="preserve">全面</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措施不全面的得2分；未提供不得分</w:t>
            </w:r>
            <w:r>
              <w:rPr>
                <w:rFonts w:hint="eastAsia" w:ascii="宋体" w:hAnsi="宋体" w:eastAsia="宋体" w:cs="宋体"/>
                <w:color w:val="auto"/>
                <w:sz w:val="21"/>
                <w:szCs w:val="21"/>
                <w:highlight w:val="none"/>
                <w:lang w:val="en-US" w:eastAsia="zh-CN"/>
              </w:rPr>
              <w:t xml:space="preserve">。</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16</w:t>
            </w:r>
            <w:r/>
          </w:p>
        </w:tc>
      </w:tr>
      <w:tr>
        <w:trPr>
          <w:jc w:val="center"/>
          <w:trHeight w:val="869"/>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tc>
        <w:tc>
          <w:tcPr>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拟为本次项目配备的项目负责人具有养老服务工作经验，具有</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最多得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提供相关合同证明材料（</w:t>
            </w:r>
            <w:r>
              <w:rPr>
                <w:rFonts w:hint="eastAsia" w:ascii="宋体" w:hAnsi="宋体" w:eastAsia="宋体" w:cs="宋体"/>
                <w:color w:val="auto"/>
                <w:sz w:val="21"/>
                <w:szCs w:val="21"/>
                <w:highlight w:val="none"/>
              </w:rPr>
              <w:t xml:space="preserve">过往养老服务合同</w:t>
            </w:r>
            <w:r>
              <w:rPr>
                <w:rFonts w:hint="eastAsia" w:ascii="宋体" w:hAnsi="宋体" w:eastAsia="宋体" w:cs="宋体"/>
                <w:color w:val="auto"/>
                <w:sz w:val="21"/>
                <w:szCs w:val="21"/>
                <w:highlight w:val="none"/>
                <w:lang w:val="en-US" w:eastAsia="zh-CN"/>
              </w:rPr>
              <w:t xml:space="preserve">中服务人员</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时间以合同签署时间为准），及供应商2026年01月（含）以来内任意1个月为其缴纳的</w:t>
            </w:r>
            <w:r>
              <w:rPr>
                <w:rFonts w:hint="eastAsia" w:ascii="宋体" w:hAnsi="宋体" w:eastAsia="宋体" w:cs="宋体"/>
                <w:color w:val="auto"/>
                <w:sz w:val="21"/>
                <w:szCs w:val="21"/>
                <w:highlight w:val="none"/>
              </w:rPr>
              <w:t xml:space="preserve">社保缴纳证明；如为退休返聘人员应提供</w:t>
            </w:r>
            <w:r>
              <w:rPr>
                <w:rFonts w:hint="eastAsia" w:ascii="宋体" w:hAnsi="宋体" w:eastAsia="宋体" w:cs="宋体"/>
                <w:color w:val="auto"/>
                <w:sz w:val="21"/>
                <w:szCs w:val="21"/>
                <w:highlight w:val="none"/>
                <w:lang w:val="en-US" w:eastAsia="zh-CN"/>
              </w:rPr>
              <w:t xml:space="preserve">退休证明和</w:t>
            </w:r>
            <w:r>
              <w:rPr>
                <w:rFonts w:hint="eastAsia" w:ascii="宋体" w:hAnsi="宋体" w:eastAsia="宋体" w:cs="宋体"/>
                <w:color w:val="auto"/>
                <w:sz w:val="21"/>
                <w:szCs w:val="21"/>
                <w:highlight w:val="none"/>
              </w:rPr>
              <w:t xml:space="preserve">劳务合同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提供的证明材料需能够反映出相关信息，否则不得分。</w:t>
            </w:r>
            <w:r>
              <w:rPr>
                <w:rFonts w:hint="eastAsia" w:ascii="宋体" w:hAnsi="宋体" w:eastAsia="宋体" w:cs="宋体"/>
                <w:color w:val="auto"/>
                <w:sz w:val="21"/>
                <w:szCs w:val="21"/>
                <w:highlight w:val="none"/>
                <w:lang w:eastAsia="zh-CN"/>
              </w:rPr>
              <w:t xml:space="preserve">）</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pacing w:val="-8"/>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6</w:t>
            </w:r>
            <w:r/>
          </w:p>
        </w:tc>
      </w:tr>
      <w:tr>
        <w:trPr>
          <w:jc w:val="center"/>
          <w:trHeight w:val="761"/>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w:t>
            </w:r>
            <w:r/>
          </w:p>
        </w:tc>
        <w:tc>
          <w:tcPr>
            <w:shd w:val="clear" w:color="auto" w:fill="auto"/>
            <w:tcW w:w="1260" w:type="dxa"/>
            <w:vAlign w:val="center"/>
            <w:textDirection w:val="lrTb"/>
            <w:noWrap w:val="false"/>
          </w:tcPr>
          <w:p>
            <w:pPr>
              <w:pStyle w:val="952"/>
              <w:ind w:left="0" w:right="0" w:firstLine="0"/>
              <w:jc w:val="center"/>
              <w:keepLines w:val="0"/>
              <w:keepNext w:val="0"/>
              <w:pageBreakBefore w:val="0"/>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拟为本项目团队配备的人员（项目负责人除外），取得相关证书的（初级及以上养老护理员证书或初级及以上社会工作者证书或计算机技术与软件专业技术资格证书中级证书或计算机技术与软件专业技术资格证书高级证书），每有1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ind w:left="0" w:right="0" w:firstLine="420"/>
              <w:keepLines w:val="0"/>
              <w:keepNext w:val="0"/>
              <w:pageBreakBefore w:val="0"/>
              <w:spacing w:before="0" w:after="0" w:line="360" w:lineRule="auto"/>
              <w:widowControl w:val="off"/>
              <w:rPr>
                <w:rFonts w:hint="default" w:ascii="宋体" w:hAnsi="宋体" w:eastAsia="宋体" w:cs="宋体"/>
                <w:color w:val="auto"/>
                <w:spacing w:val="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注：一人多证不重复得分。以上须提供上述人员相关证书复印件加盖公章，及供应商2026年01月（含）以来任意1个月为其缴纳的社保缴纳证明，如为退休返聘人员应提供退休证明和劳务合同。提供的证明材料需能够反映出相关信息，否则不得分。）</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pacing w:val="-8"/>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12</w:t>
            </w:r>
            <w:r/>
          </w:p>
        </w:tc>
      </w:tr>
      <w:tr>
        <w:trPr>
          <w:jc w:val="center"/>
          <w:trHeight w:val="913"/>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业绩</w:t>
            </w:r>
            <w:r/>
          </w:p>
        </w:tc>
        <w:tc>
          <w:tcPr>
            <w:tcW w:w="7260" w:type="dxa"/>
            <w:vAlign w:val="center"/>
            <w:textDirection w:val="lrTb"/>
            <w:noWrap w:val="false"/>
          </w:tcPr>
          <w:p>
            <w:pPr>
              <w:pStyle w:val="1028"/>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供应商自2023年1月1日以来，供应商承担过类似业绩的，每提供一个得3分，满分9分。</w:t>
            </w:r>
            <w:r/>
          </w:p>
          <w:p>
            <w:pPr>
              <w:pStyle w:val="1028"/>
              <w:ind w:left="0" w:right="0" w:firstLine="420"/>
              <w:jc w:val="left"/>
              <w:keepLines w:val="0"/>
              <w:keepNext w:val="0"/>
              <w:pageBreakBefore w:val="0"/>
              <w:spacing w:line="360" w:lineRule="auto"/>
              <w:widowControl w:val="off"/>
              <w:rPr>
                <w:rFonts w:hint="eastAsia" w:ascii="黑体" w:hAnsi="黑体" w:eastAsia="黑体" w:cs="黑体"/>
                <w:color w:val="auto"/>
                <w:spacing w:val="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（提供合同扫描件并加盖公章，时间以合同签署时间为准，合同应能反映相关评审信息，否则不得分。）</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9</w:t>
            </w:r>
            <w:r/>
          </w:p>
        </w:tc>
      </w:tr>
      <w:tr>
        <w:trPr>
          <w:jc w:val="center"/>
          <w:trHeight w:val="1176"/>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履约能力</w:t>
            </w:r>
            <w:r/>
          </w:p>
        </w:tc>
        <w:tc>
          <w:tcPr>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供应商所提供上述有效业绩中，具备项目业主单位出具的满意率 90% 及以上或年度考核优秀或服务评优等同类正向评价材料的，每提供 1 份有效证明材料得 2 分，本项最高得 6 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（提供业主单位正式出具加盖单位公章的满意度评价或考核评定等有效佐证材料复印件，成交后原件备查；非正式书面说明、口头评价、自行出具材料不予计分。）</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8"/>
                <w:sz w:val="21"/>
                <w:szCs w:val="21"/>
                <w:highlight w:val="none"/>
                <w:lang w:val="en-US" w:eastAsia="zh-CN" w:bidi="ar-SA"/>
              </w:rPr>
              <w:t xml:space="preserve">6</w:t>
            </w:r>
            <w:r/>
          </w:p>
        </w:tc>
      </w:tr>
    </w:tbl>
    <w:p>
      <w:pPr>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p>
    <w:p>
      <w:pPr>
        <w:pStyle w:val="943"/>
        <w:jc w:val="center"/>
        <w:rPr>
          <w:rFonts w:hint="eastAsia" w:ascii="Microsoft New Tai Lue" w:hAnsi="Microsoft New Tai Lue" w:eastAsia="宋体" w:cs="Microsoft New Tai Lue"/>
          <w:b/>
          <w:bCs/>
          <w:color w:val="auto"/>
          <w:sz w:val="32"/>
          <w:szCs w:val="32"/>
          <w:highlight w:val="none"/>
          <w:lang w:val="en-US" w:eastAsia="zh-CN" w:bidi="ar-SA"/>
        </w:rPr>
      </w:pPr>
      <w:r>
        <w:rPr>
          <w:rFonts w:ascii="Microsoft New Tai Lue" w:hAnsi="Microsoft New Tai Lue" w:cs="Microsoft New Tai Lue"/>
          <w:color w:val="auto"/>
          <w:highlight w:val="none"/>
        </w:rPr>
        <w:br w:type="page" w:clear="all"/>
      </w:r>
      <w:bookmarkStart w:id="108" w:name="_Toc18194"/>
      <w:r>
        <w:rPr>
          <w:rFonts w:ascii="Microsoft New Tai Lue" w:hAnsi="Microsoft New Tai Lue" w:eastAsia="宋体" w:cs="Microsoft New Tai Lue"/>
          <w:b/>
          <w:bCs/>
          <w:color w:val="auto"/>
          <w:sz w:val="32"/>
          <w:szCs w:val="32"/>
          <w:highlight w:val="none"/>
          <w:lang w:val="en-US" w:eastAsia="zh-CN" w:bidi="ar-SA"/>
        </w:rPr>
        <w:t xml:space="preserve">第六章 </w:t>
      </w:r>
      <w:bookmarkEnd w:id="107"/>
      <w:r>
        <w:rPr>
          <w:rFonts w:hint="eastAsia" w:ascii="Microsoft New Tai Lue" w:hAnsi="Microsoft New Tai Lue" w:eastAsia="宋体" w:cs="Microsoft New Tai Lue"/>
          <w:b/>
          <w:bCs/>
          <w:color w:val="auto"/>
          <w:sz w:val="32"/>
          <w:szCs w:val="32"/>
          <w:highlight w:val="none"/>
          <w:lang w:val="en-US" w:eastAsia="zh-CN" w:bidi="ar-SA"/>
        </w:rPr>
        <w:t xml:space="preserve">响应文件格式</w:t>
      </w:r>
      <w:bookmarkEnd w:id="10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1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109"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ascii="Microsoft New Tai Lue" w:hAnsi="Microsoft New Tai Lue" w:cs="Microsoft New Tai Lue"/>
          <w:b/>
          <w:color w:val="auto"/>
          <w:sz w:val="60"/>
          <w:szCs w:val="60"/>
          <w:highlight w:val="none"/>
          <w:lang w:eastAsia="zh-CN"/>
        </w:rPr>
        <w:t xml:space="preserve">栖霞区民政局2026-2029年度养老服务指导中心运营项目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972"/>
        <w:jc w:val="center"/>
        <w:rPr>
          <w:rFonts w:ascii="Microsoft New Tai Lue" w:hAnsi="Microsoft New Tai Lue" w:cs="Microsoft New Tai Lue"/>
          <w:b/>
          <w:color w:val="auto"/>
          <w:sz w:val="84"/>
          <w:szCs w:val="84"/>
          <w:highlight w:val="none"/>
        </w:rPr>
      </w:pPr>
      <w:r/>
      <w:bookmarkStart w:id="110"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110"/>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972"/>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972"/>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bookmarkEnd w:id="10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111" w:name="_Toc104560893"/>
      <w:r/>
      <w:r/>
    </w:p>
    <w:p>
      <w:pPr>
        <w:rPr>
          <w:rFonts w:hint="eastAsia"/>
          <w:color w:val="auto"/>
          <w:highlight w:val="none"/>
        </w:rPr>
      </w:pPr>
      <w:r>
        <w:rPr>
          <w:rFonts w:hint="eastAsia"/>
          <w:color w:val="auto"/>
          <w:highlight w:val="none"/>
        </w:rPr>
      </w:r>
      <w:r/>
    </w:p>
    <w:p>
      <w:pPr>
        <w:pStyle w:val="991"/>
        <w:spacing w:before="0" w:line="280" w:lineRule="exact"/>
        <w:rPr>
          <w:rFonts w:ascii="Microsoft New Tai Lue" w:hAnsi="Microsoft New Tai Lue" w:cs="Microsoft New Tai Lue"/>
          <w:color w:val="auto"/>
          <w:sz w:val="28"/>
          <w:szCs w:val="24"/>
          <w:highlight w:val="none"/>
        </w:rPr>
      </w:pPr>
      <w:r/>
      <w:bookmarkStart w:id="112" w:name="_Toc107246275"/>
      <w:r>
        <w:rPr>
          <w:rFonts w:hint="eastAsia" w:ascii="Microsoft New Tai Lue" w:hAnsi="Microsoft New Tai Lue" w:cs="Microsoft New Tai Lue"/>
          <w:b w:val="0"/>
          <w:color w:val="auto"/>
          <w:sz w:val="24"/>
          <w:highlight w:val="none"/>
        </w:rPr>
        <w:br w:type="page" w:clear="all"/>
      </w:r>
      <w:bookmarkStart w:id="113" w:name="_Toc10498"/>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111"/>
      <w:r/>
      <w:bookmarkEnd w:id="112"/>
      <w:r/>
      <w:bookmarkEnd w:id="113"/>
      <w:r/>
      <w:r/>
    </w:p>
    <w:p>
      <w:pPr>
        <w:ind w:firstLine="420"/>
        <w:spacing w:before="156" w:line="360" w:lineRule="exact"/>
        <w:rPr>
          <w:color w:val="auto"/>
          <w:szCs w:val="21"/>
          <w:highlight w:val="none"/>
        </w:rPr>
      </w:pPr>
      <w:r/>
      <w:bookmarkStart w:id="114" w:name="_Toc103848580"/>
      <w:r/>
      <w:bookmarkStart w:id="115"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88"/>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988"/>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988"/>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90 </w:t>
      </w:r>
      <w:r>
        <w:rPr>
          <w:rFonts w:ascii="Times New Roman" w:hAnsi="Times New Roman"/>
          <w:color w:val="auto"/>
          <w:szCs w:val="21"/>
          <w:highlight w:val="none"/>
        </w:rPr>
        <w:t xml:space="preserve">个日历日。</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1"/>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116" w:name="_Toc104560898"/>
      <w:r/>
      <w:bookmarkStart w:id="117" w:name="_Toc103848583"/>
      <w:r/>
      <w:bookmarkStart w:id="118" w:name="_Toc26403"/>
      <w:r/>
      <w:bookmarkStart w:id="119" w:name="_Toc107246276"/>
      <w:r>
        <w:rPr>
          <w:rFonts w:ascii="Microsoft New Tai Lue" w:hAnsi="Microsoft New Tai Lue" w:cs="Microsoft New Tai Lue"/>
          <w:bCs w:val="0"/>
          <w:color w:val="auto"/>
          <w:sz w:val="24"/>
          <w:szCs w:val="24"/>
          <w:highlight w:val="none"/>
        </w:rPr>
        <w:t xml:space="preserve">（2）</w:t>
      </w:r>
      <w:bookmarkEnd w:id="116"/>
      <w:r/>
      <w:bookmarkEnd w:id="117"/>
      <w:r>
        <w:rPr>
          <w:rFonts w:hint="eastAsia" w:ascii="Microsoft New Tai Lue" w:hAnsi="Microsoft New Tai Lue" w:cs="Microsoft New Tai Lue"/>
          <w:bCs w:val="0"/>
          <w:color w:val="auto"/>
          <w:sz w:val="24"/>
          <w:szCs w:val="24"/>
          <w:highlight w:val="none"/>
        </w:rPr>
        <w:t xml:space="preserve">法定代表人（单位负责人）身份证明</w:t>
      </w:r>
      <w:bookmarkEnd w:id="118"/>
      <w:r/>
      <w:bookmarkEnd w:id="119"/>
      <w:r/>
      <w:r/>
    </w:p>
    <w:p>
      <w:pPr>
        <w:pStyle w:val="967"/>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7"/>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7"/>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7"/>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7"/>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67"/>
        <w:ind w:firstLine="420"/>
        <w:spacing w:before="170"/>
        <w:rPr>
          <w:color w:val="auto"/>
          <w:highlight w:val="none"/>
        </w:rPr>
      </w:pPr>
      <w:r>
        <w:rPr>
          <w:color w:val="auto"/>
          <w:highlight w:val="none"/>
        </w:rPr>
        <w:t xml:space="preserve">特此证明。</w:t>
      </w:r>
      <w:r/>
    </w:p>
    <w:p>
      <w:pPr>
        <w:pStyle w:val="967"/>
        <w:ind w:left="1260"/>
        <w:rPr>
          <w:color w:val="auto"/>
          <w:sz w:val="20"/>
          <w:highlight w:val="none"/>
        </w:rPr>
      </w:pPr>
      <w:r>
        <w:rPr>
          <w:color w:val="auto"/>
          <w:sz w:val="20"/>
          <w:highlight w:val="none"/>
        </w:rPr>
      </w:r>
      <w:r/>
    </w:p>
    <w:p>
      <w:pPr>
        <w:pStyle w:val="967"/>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9"/>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7"/>
              <w:jc w:val="center"/>
              <w:rPr>
                <w:i/>
                <w:color w:val="auto"/>
                <w:sz w:val="20"/>
                <w:highlight w:val="none"/>
              </w:rPr>
            </w:pPr>
            <w:r>
              <w:rPr>
                <w:i/>
                <w:color w:val="auto"/>
                <w:sz w:val="24"/>
                <w:highlight w:val="none"/>
              </w:rPr>
              <w:t xml:space="preserve">身份证正面</w:t>
            </w:r>
            <w:r/>
          </w:p>
        </w:tc>
      </w:tr>
    </w:tbl>
    <w:p>
      <w:pPr>
        <w:pStyle w:val="967"/>
        <w:ind w:left="1260"/>
        <w:rPr>
          <w:color w:val="auto"/>
          <w:sz w:val="20"/>
          <w:highlight w:val="none"/>
        </w:rPr>
      </w:pPr>
      <w:r>
        <w:rPr>
          <w:color w:val="auto"/>
          <w:sz w:val="20"/>
          <w:highlight w:val="none"/>
        </w:rPr>
      </w:r>
      <w:r/>
    </w:p>
    <w:tbl>
      <w:tblPr>
        <w:tblStyle w:val="769"/>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7"/>
              <w:jc w:val="center"/>
              <w:rPr>
                <w:color w:val="auto"/>
                <w:sz w:val="20"/>
                <w:highlight w:val="none"/>
              </w:rPr>
            </w:pPr>
            <w:r>
              <w:rPr>
                <w:i/>
                <w:color w:val="auto"/>
                <w:sz w:val="24"/>
                <w:highlight w:val="none"/>
              </w:rPr>
              <w:t xml:space="preserve">身份证反面</w:t>
            </w:r>
            <w:r/>
          </w:p>
        </w:tc>
      </w:tr>
    </w:tbl>
    <w:p>
      <w:pPr>
        <w:pStyle w:val="967"/>
        <w:rPr>
          <w:rFonts w:hint="eastAsia"/>
          <w:color w:val="auto"/>
          <w:sz w:val="20"/>
          <w:highlight w:val="none"/>
        </w:rPr>
      </w:pPr>
      <w:r>
        <w:rPr>
          <w:rFonts w:hint="eastAsia"/>
          <w:color w:val="auto"/>
          <w:sz w:val="20"/>
          <w:highlight w:val="none"/>
        </w:rPr>
      </w:r>
      <w:r/>
    </w:p>
    <w:p>
      <w:pPr>
        <w:pStyle w:val="967"/>
        <w:rPr>
          <w:rFonts w:hint="eastAsia"/>
          <w:color w:val="auto"/>
          <w:sz w:val="20"/>
          <w:highlight w:val="none"/>
        </w:rPr>
      </w:pPr>
      <w:r>
        <w:rPr>
          <w:rFonts w:hint="eastAsia"/>
          <w:color w:val="auto"/>
          <w:sz w:val="20"/>
          <w:highlight w:val="none"/>
        </w:rPr>
      </w:r>
      <w:r/>
    </w:p>
    <w:p>
      <w:pPr>
        <w:pStyle w:val="967"/>
        <w:ind w:left="1260"/>
        <w:rPr>
          <w:color w:val="auto"/>
          <w:sz w:val="20"/>
          <w:highlight w:val="none"/>
        </w:rPr>
      </w:pPr>
      <w:r>
        <w:rPr>
          <w:color w:val="auto"/>
          <w:sz w:val="20"/>
          <w:highlight w:val="none"/>
        </w:rPr>
      </w:r>
      <w:r/>
    </w:p>
    <w:p>
      <w:pPr>
        <w:pStyle w:val="967"/>
        <w:ind w:left="1260"/>
        <w:spacing w:before="1"/>
        <w:rPr>
          <w:color w:val="auto"/>
          <w:sz w:val="22"/>
          <w:highlight w:val="none"/>
        </w:rPr>
      </w:pPr>
      <w:r>
        <w:rPr>
          <w:color w:val="auto"/>
          <w:sz w:val="22"/>
          <w:highlight w:val="none"/>
        </w:rPr>
      </w:r>
      <w:r/>
    </w:p>
    <w:p>
      <w:pPr>
        <w:pStyle w:val="967"/>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1"/>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120" w:name="_Toc107246277"/>
      <w:r/>
      <w:bookmarkStart w:id="121" w:name="_Toc104560899"/>
      <w:r/>
      <w:bookmarkStart w:id="122" w:name="_Toc103848584"/>
      <w:r/>
      <w:bookmarkStart w:id="123" w:name="_Toc13282"/>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120"/>
      <w:r/>
      <w:bookmarkEnd w:id="121"/>
      <w:r/>
      <w:bookmarkEnd w:id="122"/>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123"/>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88"/>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8"/>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88"/>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6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7"/>
              <w:jc w:val="center"/>
              <w:spacing w:line="300" w:lineRule="exact"/>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9"/>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7"/>
              <w:jc w:val="center"/>
              <w:spacing w:line="300" w:lineRule="exact"/>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88"/>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88"/>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88"/>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124" w:name="_Toc107246279"/>
      <w:r/>
      <w:bookmarkStart w:id="125" w:name="_Toc104560895"/>
      <w:r/>
      <w:r/>
    </w:p>
    <w:p>
      <w:pPr>
        <w:rPr>
          <w:rFonts w:ascii="Microsoft New Tai Lue" w:hAnsi="Microsoft New Tai Lue" w:cs="Microsoft New Tai Lue"/>
          <w:bCs w:val="0"/>
          <w:color w:val="auto"/>
          <w:sz w:val="24"/>
          <w:szCs w:val="24"/>
          <w:highlight w:val="none"/>
        </w:rPr>
      </w:pPr>
      <w:r/>
      <w:bookmarkStart w:id="126" w:name="_Toc104560900"/>
      <w:r/>
      <w:bookmarkStart w:id="127" w:name="_Toc107246278"/>
      <w:r/>
      <w:bookmarkStart w:id="128" w:name="_Toc103848585"/>
      <w:r>
        <w:rPr>
          <w:rFonts w:ascii="Microsoft New Tai Lue" w:hAnsi="Microsoft New Tai Lue" w:cs="Microsoft New Tai Lue"/>
          <w:bCs w:val="0"/>
          <w:color w:val="auto"/>
          <w:sz w:val="24"/>
          <w:szCs w:val="24"/>
          <w:highlight w:val="none"/>
        </w:rPr>
        <w:br w:type="page" w:clear="all"/>
      </w:r>
      <w:r/>
    </w:p>
    <w:p>
      <w:pPr>
        <w:pStyle w:val="991"/>
        <w:spacing w:before="0"/>
        <w:rPr>
          <w:rFonts w:ascii="Times New Roman" w:hAnsi="Times New Roman"/>
          <w:bCs w:val="0"/>
          <w:color w:val="auto"/>
          <w:sz w:val="21"/>
          <w:szCs w:val="24"/>
          <w:highlight w:val="none"/>
        </w:rPr>
      </w:pPr>
      <w:r/>
      <w:bookmarkStart w:id="129" w:name="_Toc24436"/>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126"/>
      <w:r/>
      <w:bookmarkEnd w:id="127"/>
      <w:r/>
      <w:bookmarkEnd w:id="128"/>
      <w:r/>
      <w:bookmarkEnd w:id="12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88"/>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8"/>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6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7"/>
              <w:jc w:val="center"/>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8"/>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69"/>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7"/>
              <w:jc w:val="center"/>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8"/>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88"/>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69"/>
        <w:ind w:left="0"/>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91"/>
        <w:rPr>
          <w:rFonts w:ascii="Microsoft New Tai Lue" w:hAnsi="Microsoft New Tai Lue" w:cs="Microsoft New Tai Lue"/>
          <w:color w:val="auto"/>
          <w:sz w:val="28"/>
          <w:szCs w:val="24"/>
          <w:highlight w:val="none"/>
        </w:rPr>
      </w:pPr>
      <w:r/>
      <w:bookmarkStart w:id="130" w:name="_Toc29117"/>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114"/>
      <w:r/>
      <w:bookmarkEnd w:id="124"/>
      <w:r/>
      <w:bookmarkEnd w:id="125"/>
      <w:r/>
      <w:bookmarkEnd w:id="130"/>
      <w:r/>
      <w:r/>
    </w:p>
    <w:p>
      <w:pPr>
        <w:ind w:left="-120" w:firstLine="210"/>
        <w:spacing w:line="360" w:lineRule="auto"/>
        <w:rPr>
          <w:rFonts w:ascii="Microsoft New Tai Lue" w:hAnsi="Microsoft New Tai Lue" w:cs="Microsoft New Tai Lue"/>
          <w:color w:val="auto"/>
          <w:szCs w:val="21"/>
          <w:highlight w:val="none"/>
        </w:rPr>
      </w:pPr>
      <w:r/>
      <w:bookmarkStart w:id="131"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tbl>
      <w:tblPr>
        <w:tblStyle w:val="769"/>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报价</w:t>
            </w:r>
            <w:r>
              <w:rPr>
                <w:rFonts w:hint="eastAsia" w:ascii="宋体" w:hAnsi="宋体" w:cs="宋体"/>
                <w:color w:val="auto"/>
                <w:sz w:val="24"/>
                <w:szCs w:val="24"/>
                <w:highlight w:val="none"/>
                <w:lang w:val="en-US" w:eastAsia="zh-CN" w:bidi="ar-SA"/>
              </w:rPr>
              <w:t xml:space="preserve">（三年）</w:t>
            </w:r>
            <w:r>
              <w:rPr>
                <w:rFonts w:hint="eastAsia" w:ascii="宋体" w:hAnsi="宋体" w:eastAsia="宋体" w:cs="宋体"/>
                <w:color w:val="auto"/>
                <w:sz w:val="24"/>
                <w:szCs w:val="24"/>
                <w:highlight w:val="none"/>
                <w:lang w:val="en-US" w:eastAsia="zh-CN" w:bidi="ar-SA"/>
              </w:rPr>
              <w:t xml:space="preserve">：</w:t>
            </w:r>
            <w:r/>
          </w:p>
        </w:tc>
        <w:tc>
          <w:tcPr>
            <w:tcW w:w="6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付款方式：</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服务地点：</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备注</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35"/>
        <w:ind w:firstLine="426"/>
        <w:jc w:val="center"/>
        <w:spacing w:before="0"/>
        <w:rPr>
          <w:rFonts w:hint="eastAsia" w:ascii="宋体" w:hAnsi="宋体" w:eastAsia="宋体" w:cs="宋体"/>
          <w:color w:val="auto"/>
          <w:sz w:val="24"/>
          <w:szCs w:val="24"/>
          <w:highlight w:val="none"/>
          <w:lang w:eastAsia="zh-CN"/>
        </w:rPr>
      </w:pPr>
      <w:r>
        <w:rPr>
          <w:color w:val="auto"/>
          <w:highlight w:val="none"/>
        </w:rPr>
        <w:br w:type="page" w:clear="all"/>
      </w:r>
      <w:bookmarkStart w:id="132" w:name="_Toc2369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4-2</w:t>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分项报价</w:t>
      </w:r>
      <w:r>
        <w:rPr>
          <w:rFonts w:hint="eastAsia" w:ascii="宋体" w:hAnsi="宋体" w:cs="宋体"/>
          <w:bCs w:val="0"/>
          <w:color w:val="auto"/>
          <w:sz w:val="24"/>
          <w:szCs w:val="24"/>
          <w:highlight w:val="none"/>
        </w:rPr>
        <w:t xml:space="preserve">表</w:t>
      </w:r>
      <w:bookmarkEnd w:id="132"/>
      <w:r/>
      <w:r/>
    </w:p>
    <w:p>
      <w:pPr>
        <w:pStyle w:val="1036"/>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栖霞区民政局2026-2029年度养老服务指导中心运营项目</w:t>
      </w:r>
      <w:r/>
    </w:p>
    <w:p>
      <w:pPr>
        <w:pStyle w:val="1036"/>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JSZC-320113-JITC-C2026-0340 </w:t>
      </w:r>
      <w:r/>
    </w:p>
    <w:p>
      <w:pPr>
        <w:pStyle w:val="1037"/>
        <w:ind w:firstLine="373"/>
        <w:jc w:val="center"/>
        <w:spacing w:line="360" w:lineRule="exact"/>
        <w:rPr>
          <w:rFonts w:ascii="宋体" w:hAnsi="宋体" w:eastAsia="宋体" w:cs="宋体"/>
          <w:b/>
          <w:bCs/>
          <w:color w:val="auto"/>
          <w:highlight w:val="none"/>
          <w:lang w:val="en-US" w:eastAsia="zh-CN"/>
        </w:rPr>
      </w:pPr>
      <w:r>
        <w:rPr>
          <w:rFonts w:ascii="宋体" w:hAnsi="宋体" w:eastAsia="宋体" w:cs="宋体"/>
          <w:b/>
          <w:bCs/>
          <w:color w:val="auto"/>
          <w:highlight w:val="none"/>
          <w:lang w:val="en-US" w:eastAsia="zh-CN"/>
        </w:rPr>
      </w:r>
      <w:r/>
    </w:p>
    <w:tbl>
      <w:tblPr>
        <w:tblStyle w:val="79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2894"/>
        <w:gridCol w:w="2618"/>
        <w:gridCol w:w="2268"/>
      </w:tblGrid>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序号</w:t>
            </w:r>
            <w:r/>
          </w:p>
        </w:tc>
        <w:tc>
          <w:tcPr>
            <w:tcW w:w="2894" w:type="dxa"/>
            <w:vAlign w:val="top"/>
            <w:textDirection w:val="lrTb"/>
            <w:noWrap w:val="false"/>
          </w:tcPr>
          <w:p>
            <w:pPr>
              <w:pStyle w:val="1037"/>
              <w:spacing w:line="360" w:lineRule="exact"/>
              <w:rPr>
                <w:rFonts w:hint="default"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服务内容</w:t>
            </w:r>
            <w:r/>
          </w:p>
        </w:tc>
        <w:tc>
          <w:tcPr>
            <w:tcW w:w="2618"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报价（元/年）</w:t>
            </w:r>
            <w:r/>
          </w:p>
        </w:tc>
        <w:tc>
          <w:tcPr>
            <w:tcW w:w="2268"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备注</w:t>
            </w:r>
            <w:r/>
          </w:p>
        </w:tc>
      </w:tr>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1</w:t>
            </w:r>
            <w:r/>
          </w:p>
        </w:tc>
        <w:tc>
          <w:tcPr>
            <w:tcW w:w="2894"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2</w:t>
            </w:r>
            <w:r/>
          </w:p>
        </w:tc>
        <w:tc>
          <w:tcPr>
            <w:tcW w:w="2894"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w:t>
            </w:r>
            <w:r/>
          </w:p>
        </w:tc>
        <w:tc>
          <w:tcPr>
            <w:tcW w:w="2894"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r>
            <w:r/>
          </w:p>
        </w:tc>
        <w:tc>
          <w:tcPr>
            <w:tcW w:w="2894"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小计（一年）</w:t>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default" w:ascii="宋体" w:hAnsi="宋体" w:cs="宋体"/>
                <w:b/>
                <w:bCs/>
                <w:color w:val="auto"/>
                <w:highlight w:val="none"/>
                <w:vertAlign w:val="baseline"/>
                <w:lang w:val="en-US" w:eastAsia="zh-CN"/>
              </w:rPr>
            </w:pPr>
            <w:r>
              <w:rPr>
                <w:rFonts w:hint="default" w:ascii="宋体" w:hAnsi="宋体" w:cs="宋体"/>
                <w:b/>
                <w:bCs/>
                <w:color w:val="auto"/>
                <w:highlight w:val="none"/>
                <w:vertAlign w:val="baseline"/>
                <w:lang w:val="en-US" w:eastAsia="zh-CN"/>
              </w:rPr>
            </w:r>
            <w:r/>
          </w:p>
        </w:tc>
        <w:tc>
          <w:tcPr>
            <w:tcW w:w="2894" w:type="dxa"/>
            <w:vAlign w:val="top"/>
            <w:textDirection w:val="lrTb"/>
            <w:noWrap w:val="false"/>
          </w:tcPr>
          <w:p>
            <w:pPr>
              <w:pStyle w:val="1037"/>
              <w:spacing w:line="360" w:lineRule="exact"/>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总计（三年）</w:t>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bl>
    <w:p>
      <w:pPr>
        <w:pStyle w:val="1037"/>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1037"/>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1037"/>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ind w:firstLine="372"/>
        <w:jc w:val="center"/>
        <w:spacing w:line="360" w:lineRule="auto"/>
        <w:tabs>
          <w:tab w:val="left" w:pos="6045" w:leader="none"/>
        </w:tabs>
        <w:rPr>
          <w:rFonts w:hint="eastAsia" w:ascii="宋体" w:hAnsi="宋体" w:cs="宋体"/>
          <w:color w:val="auto"/>
          <w:szCs w:val="21"/>
          <w:highlight w:val="none"/>
          <w:u w:val="single"/>
        </w:rPr>
      </w:pPr>
      <w:r>
        <w:rPr>
          <w:rFonts w:hint="eastAsia" w:ascii="宋体" w:hAnsi="宋体" w:cs="宋体"/>
          <w:color w:val="auto"/>
          <w:highlight w:val="none"/>
        </w:rPr>
        <w:t xml:space="preserve"> </w:t>
      </w:r>
      <w:r>
        <w:rPr>
          <w:rFonts w:hint="eastAsia" w:ascii="宋体" w:hAnsi="宋体" w:cs="宋体"/>
          <w:color w:val="auto"/>
          <w:highlight w:val="none"/>
          <w:lang w:eastAsia="zh-CN"/>
        </w:rPr>
        <w:t xml:space="preserve">供应商名称</w:t>
      </w:r>
      <w:r>
        <w:rPr>
          <w:rFonts w:hint="eastAsia" w:ascii="宋体" w:hAnsi="宋体" w:cs="宋体"/>
          <w:color w:val="auto"/>
          <w:highlight w:val="none"/>
        </w:rPr>
        <w:t xml:space="preserve">（公章）：</w:t>
      </w:r>
      <w:r/>
    </w:p>
    <w:p>
      <w:pPr>
        <w:pStyle w:val="1037"/>
        <w:ind w:firstLine="373"/>
        <w:spacing w:line="360" w:lineRule="exact"/>
        <w:rPr>
          <w:rFonts w:hint="eastAsia" w:ascii="宋体" w:hAnsi="宋体" w:cs="宋体"/>
          <w:b/>
          <w:bCs/>
          <w:color w:val="auto"/>
          <w:highlight w:val="none"/>
        </w:rPr>
      </w:pPr>
      <w:r>
        <w:rPr>
          <w:rFonts w:hint="eastAsia" w:ascii="宋体" w:hAnsi="宋体" w:cs="宋体"/>
          <w:bCs/>
          <w:color w:val="auto"/>
          <w:highlight w:val="none"/>
        </w:rPr>
        <w:t xml:space="preserve">                                 日期：______年______月______日</w:t>
      </w:r>
      <w:r/>
    </w:p>
    <w:p>
      <w:pPr>
        <w:pStyle w:val="1037"/>
        <w:ind w:firstLine="0"/>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注：此表中</w:t>
      </w:r>
      <w:r>
        <w:rPr>
          <w:rFonts w:hint="eastAsia" w:ascii="宋体" w:hAnsi="宋体" w:cs="宋体"/>
          <w:b/>
          <w:bCs/>
          <w:color w:val="auto"/>
          <w:highlight w:val="none"/>
          <w:lang w:val="en-US" w:eastAsia="zh-CN"/>
        </w:rPr>
        <w:t xml:space="preserve">三年总</w:t>
      </w:r>
      <w:r>
        <w:rPr>
          <w:rFonts w:hint="eastAsia" w:ascii="宋体" w:hAnsi="宋体" w:cs="宋体"/>
          <w:b/>
          <w:bCs/>
          <w:color w:val="auto"/>
          <w:highlight w:val="none"/>
        </w:rPr>
        <w:t xml:space="preserve">计金额填入初始报价一览表中的</w:t>
      </w:r>
      <w:r>
        <w:rPr>
          <w:rFonts w:hint="eastAsia" w:ascii="宋体" w:hAnsi="宋体" w:cs="宋体"/>
          <w:b/>
          <w:bCs/>
          <w:color w:val="auto"/>
          <w:highlight w:val="none"/>
          <w:lang w:val="en-US" w:eastAsia="zh-CN"/>
        </w:rPr>
        <w:t xml:space="preserve">响应</w:t>
      </w:r>
      <w:r>
        <w:rPr>
          <w:rFonts w:hint="eastAsia" w:ascii="宋体" w:hAnsi="宋体" w:cs="宋体"/>
          <w:b/>
          <w:bCs/>
          <w:color w:val="auto"/>
          <w:highlight w:val="none"/>
        </w:rPr>
        <w:t xml:space="preserve">报价栏。</w:t>
      </w:r>
      <w:r/>
    </w:p>
    <w:p>
      <w:pPr>
        <w:ind w:firstLine="372"/>
        <w:jc w:val="center"/>
        <w:spacing w:line="360" w:lineRule="auto"/>
        <w:tabs>
          <w:tab w:val="left" w:pos="6045"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w:t>
      </w:r>
      <w:r/>
    </w:p>
    <w:p>
      <w:pPr>
        <w:ind w:firstLine="372"/>
        <w:jc w:val="center"/>
        <w:spacing w:line="360" w:lineRule="auto"/>
        <w:tabs>
          <w:tab w:val="left" w:pos="6045" w:leader="none"/>
        </w:tabs>
        <w:rPr>
          <w:rFonts w:hint="eastAsia" w:ascii="宋体" w:hAnsi="宋体" w:cs="宋体"/>
          <w:color w:val="auto"/>
          <w:highlight w:val="none"/>
          <w:u w:val="single"/>
        </w:rPr>
      </w:pPr>
      <w:r>
        <w:rPr>
          <w:rFonts w:hint="eastAsia" w:ascii="宋体" w:hAnsi="宋体" w:cs="宋体"/>
          <w:color w:val="auto"/>
          <w:highlight w:val="none"/>
          <w:u w:val="single"/>
        </w:rPr>
      </w:r>
      <w:r/>
    </w:p>
    <w:p>
      <w:pPr>
        <w:ind w:firstLine="372"/>
        <w:jc w:val="center"/>
        <w:spacing w:line="360" w:lineRule="auto"/>
        <w:tabs>
          <w:tab w:val="left" w:pos="6045"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名称（公章）：</w:t>
      </w:r>
      <w:r/>
    </w:p>
    <w:p>
      <w:pPr>
        <w:pStyle w:val="1037"/>
        <w:ind w:firstLine="373"/>
        <w:spacing w:line="360" w:lineRule="exact"/>
        <w:rPr>
          <w:rFonts w:hint="eastAsia" w:ascii="宋体" w:hAnsi="宋体" w:cs="宋体"/>
          <w:b/>
          <w:bCs/>
          <w:color w:val="auto"/>
          <w:highlight w:val="none"/>
        </w:rPr>
      </w:pPr>
      <w:r>
        <w:rPr>
          <w:rFonts w:hint="eastAsia" w:ascii="宋体" w:hAnsi="宋体" w:cs="宋体"/>
          <w:bCs/>
          <w:color w:val="auto"/>
          <w:highlight w:val="none"/>
        </w:rPr>
        <w:t xml:space="preserve">                                 日期：______年______月______日</w:t>
      </w:r>
      <w:bookmarkEnd w:id="131"/>
      <w:r/>
      <w:r/>
    </w:p>
    <w:p>
      <w:pPr>
        <w:ind w:right="420" w:firstLine="4515"/>
        <w:spacing w:line="360" w:lineRule="auto"/>
        <w:rPr>
          <w:color w:val="auto"/>
          <w:highlight w:val="none"/>
        </w:rPr>
      </w:pPr>
      <w:r>
        <w:rPr>
          <w:color w:val="auto"/>
          <w:highlight w:val="none"/>
        </w:rPr>
      </w:r>
      <w:r/>
    </w:p>
    <w:p>
      <w:pPr>
        <w:pStyle w:val="991"/>
        <w:spacing w:before="0"/>
        <w:rPr>
          <w:rFonts w:ascii="Microsoft New Tai Lue" w:hAnsi="Microsoft New Tai Lue" w:cs="Microsoft New Tai Lue"/>
          <w:color w:val="auto"/>
          <w:sz w:val="24"/>
          <w:szCs w:val="24"/>
          <w:highlight w:val="none"/>
        </w:rPr>
      </w:pPr>
      <w:r/>
      <w:bookmarkStart w:id="133" w:name="_Toc103848586"/>
      <w:r/>
      <w:bookmarkStart w:id="134" w:name="_Toc107246281"/>
      <w:r/>
      <w:bookmarkStart w:id="135" w:name="_Toc104560901"/>
      <w:r/>
      <w:bookmarkStart w:id="136" w:name="_Toc102117319"/>
      <w:r>
        <w:rPr>
          <w:rFonts w:ascii="Microsoft New Tai Lue" w:hAnsi="Microsoft New Tai Lue" w:cs="Microsoft New Tai Lue"/>
          <w:bCs w:val="0"/>
          <w:color w:val="auto"/>
          <w:sz w:val="24"/>
          <w:szCs w:val="24"/>
          <w:highlight w:val="none"/>
        </w:rPr>
        <w:br w:type="page" w:clear="all"/>
      </w:r>
      <w:bookmarkEnd w:id="133"/>
      <w:r/>
      <w:bookmarkEnd w:id="134"/>
      <w:r/>
      <w:bookmarkEnd w:id="135"/>
      <w:r/>
      <w:bookmarkStart w:id="137" w:name="_Toc21752"/>
      <w:r/>
      <w:bookmarkStart w:id="138" w:name="_Toc104560902"/>
      <w:r/>
      <w:bookmarkStart w:id="139" w:name="_Toc103848587"/>
      <w:r>
        <w:rPr>
          <w:rFonts w:ascii="Microsoft New Tai Lue" w:hAnsi="Microsoft New Tai Lue" w:cs="Microsoft New Tai Lue"/>
          <w:bCs w:val="0"/>
          <w:color w:val="auto"/>
          <w:sz w:val="24"/>
          <w:szCs w:val="24"/>
          <w:highlight w:val="none"/>
        </w:rPr>
        <w:t xml:space="preserve">（5）商务条款偏离表</w:t>
      </w:r>
      <w:bookmarkEnd w:id="137"/>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vAlign w:val="top"/>
            <w:textDirection w:val="lrTb"/>
            <w:noWrap w:val="false"/>
          </w:tcPr>
          <w:p>
            <w:pPr>
              <w:pStyle w:val="776"/>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8"/>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1"/>
        <w:spacing w:line="240" w:lineRule="atLeast"/>
        <w:rPr>
          <w:rFonts w:ascii="Microsoft New Tai Lue" w:hAnsi="Microsoft New Tai Lue" w:cs="Microsoft New Tai Lue"/>
          <w:color w:val="auto"/>
          <w:highlight w:val="none"/>
        </w:rPr>
      </w:pPr>
      <w:r/>
      <w:bookmarkStart w:id="140" w:name="_Toc107246282"/>
      <w:r>
        <w:rPr>
          <w:rFonts w:ascii="Microsoft New Tai Lue" w:hAnsi="Microsoft New Tai Lue" w:cs="Microsoft New Tai Lue"/>
          <w:bCs w:val="0"/>
          <w:color w:val="auto"/>
          <w:sz w:val="24"/>
          <w:szCs w:val="24"/>
          <w:highlight w:val="none"/>
        </w:rPr>
        <w:br w:type="page" w:clear="all"/>
      </w:r>
      <w:bookmarkStart w:id="141" w:name="_Toc10057"/>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138"/>
      <w:r/>
      <w:bookmarkEnd w:id="139"/>
      <w:r/>
      <w:bookmarkEnd w:id="140"/>
      <w:r/>
      <w:bookmarkEnd w:id="141"/>
      <w:r/>
      <w:r/>
    </w:p>
    <w:p>
      <w:pPr>
        <w:pStyle w:val="991"/>
        <w:spacing w:line="240" w:lineRule="atLeast"/>
        <w:rPr>
          <w:rFonts w:ascii="Microsoft New Tai Lue" w:hAnsi="Microsoft New Tai Lue" w:cs="Microsoft New Tai Lue"/>
          <w:bCs w:val="0"/>
          <w:color w:val="auto"/>
          <w:sz w:val="24"/>
          <w:szCs w:val="24"/>
          <w:highlight w:val="none"/>
        </w:rPr>
      </w:pPr>
      <w:r/>
      <w:bookmarkStart w:id="142" w:name="_Toc104560903"/>
      <w:r/>
      <w:bookmarkStart w:id="143" w:name="_Toc107246283"/>
      <w:r/>
      <w:bookmarkStart w:id="144" w:name="_Toc103848588"/>
      <w:r/>
      <w:bookmarkStart w:id="145" w:name="_Toc2872"/>
      <w:r>
        <w:rPr>
          <w:rFonts w:ascii="Microsoft New Tai Lue" w:hAnsi="Microsoft New Tai Lue" w:cs="Microsoft New Tai Lue"/>
          <w:bCs w:val="0"/>
          <w:color w:val="auto"/>
          <w:sz w:val="24"/>
          <w:szCs w:val="24"/>
          <w:highlight w:val="none"/>
        </w:rPr>
        <w:t xml:space="preserve">（6-1-1）营业执照复印件</w:t>
      </w:r>
      <w:bookmarkEnd w:id="136"/>
      <w:r>
        <w:rPr>
          <w:rFonts w:ascii="Microsoft New Tai Lue" w:hAnsi="Microsoft New Tai Lue" w:cs="Microsoft New Tai Lue"/>
          <w:bCs w:val="0"/>
          <w:color w:val="auto"/>
          <w:sz w:val="24"/>
          <w:szCs w:val="24"/>
          <w:highlight w:val="none"/>
        </w:rPr>
        <w:t xml:space="preserve">或自然人的身份证明复印件</w:t>
      </w:r>
      <w:bookmarkEnd w:id="142"/>
      <w:r/>
      <w:bookmarkEnd w:id="143"/>
      <w:r/>
      <w:bookmarkEnd w:id="144"/>
      <w:r/>
      <w:bookmarkEnd w:id="145"/>
      <w:r/>
      <w:r/>
    </w:p>
    <w:p>
      <w:pPr>
        <w:spacing w:line="360" w:lineRule="auto"/>
        <w:rPr>
          <w:rFonts w:ascii="Microsoft New Tai Lue" w:hAnsi="Microsoft New Tai Lue" w:cs="Microsoft New Tai Lue"/>
          <w:b/>
          <w:bCs/>
          <w:color w:val="auto"/>
          <w:highlight w:val="none"/>
        </w:rPr>
      </w:pPr>
      <w:r/>
      <w:bookmarkStart w:id="146"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14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1"/>
        <w:spacing w:line="240" w:lineRule="atLeast"/>
        <w:rPr>
          <w:rFonts w:ascii="Microsoft New Tai Lue" w:hAnsi="Microsoft New Tai Lue" w:eastAsia="黑体" w:cs="Microsoft New Tai Lue"/>
          <w:b w:val="0"/>
          <w:color w:val="auto"/>
          <w:highlight w:val="none"/>
        </w:rPr>
      </w:pPr>
      <w:r/>
      <w:bookmarkStart w:id="147" w:name="_Toc102117320"/>
      <w:r/>
      <w:bookmarkStart w:id="148" w:name="_Toc103848589"/>
      <w:r>
        <w:rPr>
          <w:rFonts w:ascii="Microsoft New Tai Lue" w:hAnsi="Microsoft New Tai Lue" w:cs="Microsoft New Tai Lue"/>
          <w:bCs w:val="0"/>
          <w:color w:val="auto"/>
          <w:sz w:val="24"/>
          <w:szCs w:val="24"/>
          <w:highlight w:val="none"/>
        </w:rPr>
        <w:br w:type="page" w:clear="all"/>
      </w:r>
      <w:bookmarkStart w:id="149" w:name="_Toc26229"/>
      <w:r/>
      <w:bookmarkStart w:id="150" w:name="_Toc107246284"/>
      <w:r/>
      <w:bookmarkStart w:id="151" w:name="_Toc104560904"/>
      <w:r>
        <w:rPr>
          <w:rFonts w:ascii="Microsoft New Tai Lue" w:hAnsi="Microsoft New Tai Lue" w:cs="Microsoft New Tai Lue"/>
          <w:bCs w:val="0"/>
          <w:color w:val="auto"/>
          <w:sz w:val="24"/>
          <w:szCs w:val="24"/>
          <w:highlight w:val="none"/>
        </w:rPr>
        <w:t xml:space="preserve">（6-1-2）工商变更登记文件（如需）</w:t>
      </w:r>
      <w:bookmarkEnd w:id="147"/>
      <w:r/>
      <w:bookmarkEnd w:id="148"/>
      <w:r/>
      <w:bookmarkEnd w:id="149"/>
      <w:r/>
      <w:bookmarkEnd w:id="150"/>
      <w:r/>
      <w:bookmarkEnd w:id="15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99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152" w:name="_Toc107246285"/>
      <w:r/>
      <w:bookmarkStart w:id="153" w:name="_Toc104560905"/>
      <w:r/>
      <w:bookmarkStart w:id="154" w:name="_Toc102117321"/>
      <w:r/>
      <w:bookmarkStart w:id="155" w:name="_Toc103848590"/>
      <w:r/>
      <w:bookmarkStart w:id="156" w:name="_Toc14482"/>
      <w:r>
        <w:rPr>
          <w:rFonts w:ascii="Microsoft New Tai Lue" w:hAnsi="Microsoft New Tai Lue" w:cs="Microsoft New Tai Lue"/>
          <w:bCs w:val="0"/>
          <w:color w:val="auto"/>
          <w:sz w:val="24"/>
          <w:szCs w:val="24"/>
          <w:highlight w:val="none"/>
        </w:rPr>
        <w:t xml:space="preserve">（6-2）财务报表</w:t>
      </w:r>
      <w:bookmarkEnd w:id="152"/>
      <w:r/>
      <w:bookmarkEnd w:id="153"/>
      <w:r/>
      <w:bookmarkEnd w:id="154"/>
      <w:r/>
      <w:bookmarkEnd w:id="155"/>
      <w:r/>
      <w:bookmarkEnd w:id="15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1"/>
        <w:jc w:val="left"/>
        <w:spacing w:line="240" w:lineRule="atLeast"/>
        <w:rPr>
          <w:rFonts w:ascii="Microsoft New Tai Lue" w:hAnsi="Microsoft New Tai Lue" w:cs="Microsoft New Tai Lue"/>
          <w:bCs w:val="0"/>
          <w:color w:val="auto"/>
          <w:sz w:val="24"/>
          <w:szCs w:val="24"/>
          <w:highlight w:val="none"/>
        </w:rPr>
      </w:pPr>
      <w:r/>
      <w:bookmarkStart w:id="157" w:name="_Toc103848593"/>
      <w:r/>
      <w:bookmarkStart w:id="158" w:name="_Toc102117322"/>
      <w:r/>
      <w:bookmarkStart w:id="159" w:name="_Toc104560908"/>
      <w:r>
        <w:rPr>
          <w:rFonts w:ascii="Microsoft New Tai Lue" w:hAnsi="Microsoft New Tai Lue" w:cs="Microsoft New Tai Lue"/>
          <w:bCs w:val="0"/>
          <w:color w:val="auto"/>
          <w:sz w:val="24"/>
          <w:szCs w:val="24"/>
          <w:highlight w:val="none"/>
        </w:rPr>
        <w:br w:type="page" w:clear="all"/>
      </w:r>
      <w:bookmarkStart w:id="160" w:name="_Toc27633"/>
      <w:r/>
      <w:bookmarkStart w:id="161" w:name="_Toc107246286"/>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157"/>
      <w:r/>
      <w:bookmarkEnd w:id="158"/>
      <w:r/>
      <w:bookmarkEnd w:id="159"/>
      <w:r/>
      <w:bookmarkEnd w:id="160"/>
      <w:r/>
      <w:bookmarkEnd w:id="16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69"/>
        <w:ind w:left="1260"/>
        <w:rPr>
          <w:color w:val="auto"/>
          <w:highlight w:val="none"/>
        </w:rPr>
      </w:pPr>
      <w:r>
        <w:rPr>
          <w:color w:val="auto"/>
          <w:highlight w:val="none"/>
        </w:rPr>
      </w:r>
      <w:r/>
    </w:p>
    <w:p>
      <w:pPr>
        <w:rPr>
          <w:color w:val="auto"/>
          <w:highlight w:val="none"/>
        </w:rPr>
      </w:pPr>
      <w:r>
        <w:rPr>
          <w:color w:val="auto"/>
          <w:highlight w:val="none"/>
        </w:rPr>
      </w:r>
      <w:r/>
    </w:p>
    <w:p>
      <w:pPr>
        <w:pStyle w:val="969"/>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1"/>
        <w:spacing w:line="240" w:lineRule="atLeast"/>
        <w:rPr>
          <w:rFonts w:hint="eastAsia" w:ascii="Microsoft New Tai Lue" w:hAnsi="Microsoft New Tai Lue" w:eastAsia="黑体" w:cs="Microsoft New Tai Lue"/>
          <w:b w:val="0"/>
          <w:color w:val="auto"/>
          <w:highlight w:val="none"/>
        </w:rPr>
      </w:pPr>
      <w:r/>
      <w:bookmarkStart w:id="162" w:name="_Toc102117323"/>
      <w:r/>
      <w:bookmarkStart w:id="163" w:name="_Toc103848591"/>
      <w:r>
        <w:rPr>
          <w:rFonts w:ascii="Microsoft New Tai Lue" w:hAnsi="Microsoft New Tai Lue" w:cs="Microsoft New Tai Lue"/>
          <w:bCs w:val="0"/>
          <w:color w:val="auto"/>
          <w:sz w:val="24"/>
          <w:szCs w:val="24"/>
          <w:highlight w:val="none"/>
        </w:rPr>
        <w:br w:type="page" w:clear="all"/>
      </w:r>
      <w:bookmarkStart w:id="164" w:name="_Toc5412"/>
      <w:r/>
      <w:bookmarkStart w:id="165" w:name="_Toc107246287"/>
      <w:r/>
      <w:bookmarkStart w:id="166" w:name="_Toc104560906"/>
      <w:r>
        <w:rPr>
          <w:rFonts w:ascii="Microsoft New Tai Lue" w:hAnsi="Microsoft New Tai Lue" w:cs="Microsoft New Tai Lue"/>
          <w:bCs w:val="0"/>
          <w:color w:val="auto"/>
          <w:sz w:val="24"/>
          <w:szCs w:val="24"/>
          <w:highlight w:val="none"/>
        </w:rPr>
        <w:t xml:space="preserve">（6-4）依法缴纳税收的相关材料</w:t>
      </w:r>
      <w:bookmarkEnd w:id="162"/>
      <w:r/>
      <w:bookmarkEnd w:id="163"/>
      <w:r/>
      <w:bookmarkEnd w:id="164"/>
      <w:r/>
      <w:bookmarkEnd w:id="165"/>
      <w:r/>
      <w:bookmarkEnd w:id="166"/>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99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167" w:name="_Toc20042"/>
      <w:r/>
      <w:bookmarkStart w:id="168" w:name="_Toc104560907"/>
      <w:r/>
      <w:bookmarkStart w:id="169" w:name="_Toc107246288"/>
      <w:r/>
      <w:bookmarkStart w:id="170" w:name="_Toc103848592"/>
      <w:r/>
      <w:bookmarkStart w:id="171" w:name="_Toc102117324"/>
      <w:r>
        <w:rPr>
          <w:rFonts w:ascii="Microsoft New Tai Lue" w:hAnsi="Microsoft New Tai Lue" w:cs="Microsoft New Tai Lue"/>
          <w:bCs w:val="0"/>
          <w:color w:val="auto"/>
          <w:sz w:val="24"/>
          <w:szCs w:val="24"/>
          <w:highlight w:val="none"/>
        </w:rPr>
        <w:t xml:space="preserve">（6-5）依法缴纳社会保障资金的相关材料</w:t>
      </w:r>
      <w:bookmarkEnd w:id="167"/>
      <w:r/>
      <w:bookmarkEnd w:id="168"/>
      <w:r/>
      <w:bookmarkEnd w:id="169"/>
      <w:r/>
      <w:bookmarkEnd w:id="170"/>
      <w:r/>
      <w:bookmarkEnd w:id="171"/>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1"/>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172" w:name="_Toc18567"/>
      <w:r/>
      <w:bookmarkStart w:id="173" w:name="_Toc103848594"/>
      <w:r/>
      <w:bookmarkStart w:id="174" w:name="_Toc107246289"/>
      <w:r/>
      <w:bookmarkStart w:id="175" w:name="_Toc102117325"/>
      <w:r/>
      <w:bookmarkStart w:id="176" w:name="_Toc104560909"/>
      <w:r>
        <w:rPr>
          <w:rFonts w:ascii="Microsoft New Tai Lue" w:hAnsi="Microsoft New Tai Lue" w:cs="Microsoft New Tai Lue"/>
          <w:bCs w:val="0"/>
          <w:color w:val="auto"/>
          <w:sz w:val="24"/>
          <w:szCs w:val="24"/>
          <w:highlight w:val="none"/>
        </w:rPr>
        <w:t xml:space="preserve">（6-6）没有重大违法记录的书面声明</w:t>
      </w:r>
      <w:bookmarkEnd w:id="172"/>
      <w:r/>
      <w:bookmarkEnd w:id="173"/>
      <w:r/>
      <w:bookmarkEnd w:id="174"/>
      <w:r/>
      <w:bookmarkEnd w:id="175"/>
      <w:r/>
      <w:bookmarkEnd w:id="176"/>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91"/>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177" w:name="_Toc104560910"/>
      <w:r/>
      <w:bookmarkStart w:id="178" w:name="_Toc107246290"/>
      <w:r/>
      <w:bookmarkStart w:id="179" w:name="_Toc23795"/>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177"/>
      <w:r/>
      <w:bookmarkEnd w:id="178"/>
      <w:r/>
      <w:bookmarkEnd w:id="179"/>
      <w:r/>
      <w:r/>
    </w:p>
    <w:p>
      <w:pPr>
        <w:pStyle w:val="776"/>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76"/>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right="420" w:firstLine="3780"/>
        <w:spacing w:line="360" w:lineRule="auto"/>
        <w:rPr>
          <w:color w:val="auto"/>
          <w:highlight w:val="none"/>
          <w:u w:val="single"/>
        </w:rPr>
      </w:pPr>
      <w:r/>
      <w:bookmarkStart w:id="180" w:name="_Toc102117326"/>
      <w:r/>
      <w:bookmarkStart w:id="181"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82" w:name="_Toc104560911"/>
      <w:r/>
      <w:bookmarkStart w:id="183" w:name="_Toc107246291"/>
      <w:r/>
      <w:bookmarkStart w:id="184" w:name="_Toc31161"/>
      <w:r>
        <w:rPr>
          <w:rFonts w:ascii="Microsoft New Tai Lue" w:hAnsi="Microsoft New Tai Lue" w:cs="Microsoft New Tai Lue"/>
          <w:bCs w:val="0"/>
          <w:color w:val="auto"/>
          <w:sz w:val="24"/>
          <w:szCs w:val="24"/>
          <w:highlight w:val="none"/>
        </w:rPr>
        <w:t xml:space="preserve">（6-8）</w:t>
      </w:r>
      <w:bookmarkEnd w:id="180"/>
      <w:r>
        <w:rPr>
          <w:rFonts w:ascii="Microsoft New Tai Lue" w:hAnsi="Microsoft New Tai Lue" w:cs="Microsoft New Tai Lue"/>
          <w:bCs w:val="0"/>
          <w:color w:val="auto"/>
          <w:sz w:val="24"/>
          <w:szCs w:val="24"/>
          <w:highlight w:val="none"/>
        </w:rPr>
        <w:t xml:space="preserve">磋商文件要求的其它实质性资格资信证明文件</w:t>
      </w:r>
      <w:bookmarkEnd w:id="182"/>
      <w:r/>
      <w:bookmarkEnd w:id="183"/>
      <w:r/>
      <w:bookmarkEnd w:id="184"/>
      <w:r/>
      <w:r/>
    </w:p>
    <w:p>
      <w:pPr>
        <w:pStyle w:val="969"/>
        <w:ind w:left="0"/>
        <w:rPr>
          <w:color w:val="auto"/>
          <w:highlight w:val="none"/>
        </w:rPr>
      </w:pPr>
      <w:r>
        <w:rPr>
          <w:color w:val="auto"/>
          <w:highlight w:val="none"/>
        </w:rPr>
      </w:r>
      <w:r/>
    </w:p>
    <w:p>
      <w:pPr>
        <w:jc w:val="center"/>
        <w:rPr>
          <w:rFonts w:hint="eastAsia" w:ascii="Microsoft New Tai Lue" w:hAnsi="Microsoft New Tai Lue" w:eastAsia="宋体" w:cs="Microsoft New Tai Lue"/>
          <w:b/>
          <w:bCs/>
          <w:color w:val="auto"/>
          <w:sz w:val="24"/>
          <w:szCs w:val="24"/>
          <w:highlight w:val="none"/>
        </w:rPr>
      </w:pPr>
      <w:r/>
      <w:bookmarkStart w:id="185" w:name="_Toc107246292"/>
      <w:r>
        <w:rPr>
          <w:rFonts w:ascii="Microsoft New Tai Lue" w:hAnsi="Microsoft New Tai Lue" w:cs="Microsoft New Tai Lue"/>
          <w:bCs w:val="0"/>
          <w:color w:val="auto"/>
          <w:sz w:val="24"/>
          <w:szCs w:val="24"/>
          <w:highlight w:val="none"/>
        </w:rPr>
        <w:br w:type="page" w:clear="all"/>
      </w:r>
      <w:r>
        <w:rPr>
          <w:rFonts w:hint="eastAsia" w:ascii="Microsoft New Tai Lue" w:hAnsi="Microsoft New Tai Lue" w:eastAsia="宋体" w:cs="Microsoft New Tai Lue"/>
          <w:b/>
          <w:bCs/>
          <w:color w:val="auto"/>
          <w:sz w:val="24"/>
          <w:szCs w:val="24"/>
          <w:highlight w:val="none"/>
        </w:rPr>
        <w:t xml:space="preserve">（</w:t>
      </w:r>
      <w:r>
        <w:rPr>
          <w:rFonts w:ascii="Microsoft New Tai Lue" w:hAnsi="Microsoft New Tai Lue" w:eastAsia="宋体" w:cs="Microsoft New Tai Lue"/>
          <w:b/>
          <w:bCs/>
          <w:color w:val="auto"/>
          <w:sz w:val="24"/>
          <w:szCs w:val="24"/>
          <w:highlight w:val="none"/>
        </w:rPr>
        <w:t xml:space="preserve">7</w:t>
      </w:r>
      <w:r>
        <w:rPr>
          <w:rFonts w:hint="eastAsia" w:ascii="Microsoft New Tai Lue" w:hAnsi="Microsoft New Tai Lue" w:eastAsia="宋体" w:cs="Microsoft New Tai Lue"/>
          <w:b/>
          <w:bCs/>
          <w:color w:val="auto"/>
          <w:sz w:val="24"/>
          <w:szCs w:val="24"/>
          <w:highlight w:val="none"/>
        </w:rPr>
        <w:t xml:space="preserve">）《南京市政府采购供应商信用承诺书》（</w:t>
      </w:r>
      <w:r>
        <w:rPr>
          <w:rFonts w:hint="eastAsia" w:ascii="Microsoft New Tai Lue" w:hAnsi="Microsoft New Tai Lue" w:eastAsia="宋体" w:cs="Microsoft New Tai Lue"/>
          <w:b/>
          <w:bCs/>
          <w:color w:val="auto"/>
          <w:sz w:val="24"/>
          <w:szCs w:val="24"/>
          <w:highlight w:val="none"/>
          <w:lang w:val="en-US" w:eastAsia="zh-CN"/>
        </w:rPr>
        <w:t xml:space="preserve">如需</w:t>
      </w:r>
      <w:r>
        <w:rPr>
          <w:rFonts w:hint="eastAsia" w:ascii="Microsoft New Tai Lue" w:hAnsi="Microsoft New Tai Lue" w:eastAsia="宋体" w:cs="Microsoft New Tai Lue"/>
          <w:b/>
          <w:bCs/>
          <w:color w:val="auto"/>
          <w:sz w:val="24"/>
          <w:szCs w:val="24"/>
          <w:highlight w:val="none"/>
        </w:rPr>
        <w:t xml:space="preserve">）</w:t>
      </w:r>
      <w:bookmarkEnd w:id="181"/>
      <w:r/>
      <w:bookmarkEnd w:id="185"/>
      <w:r/>
      <w:r/>
    </w:p>
    <w:p>
      <w:pPr>
        <w:ind w:firstLine="5040"/>
        <w:jc w:val="left"/>
        <w:spacing w:line="240" w:lineRule="exact"/>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790"/>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rPr>
          <w:rFonts w:hint="eastAsia" w:ascii="宋体" w:hAnsi="宋体" w:cs="宋体"/>
          <w:color w:val="auto"/>
          <w:highlight w:val="none"/>
        </w:rPr>
      </w:pPr>
      <w:r>
        <w:rPr>
          <w:rFonts w:hint="eastAsia" w:ascii="宋体" w:hAnsi="宋体" w:cs="宋体"/>
          <w:color w:val="auto"/>
          <w:highlight w:val="none"/>
        </w:rPr>
      </w:r>
      <w:r/>
    </w:p>
    <w:p>
      <w:pPr>
        <w:pStyle w:val="991"/>
        <w:spacing w:before="0"/>
        <w:rPr>
          <w:rFonts w:ascii="Microsoft New Tai Lue" w:hAnsi="Microsoft New Tai Lue" w:cs="Microsoft New Tai Lue"/>
          <w:bCs w:val="0"/>
          <w:color w:val="auto"/>
          <w:sz w:val="24"/>
          <w:szCs w:val="24"/>
          <w:highlight w:val="none"/>
        </w:rPr>
      </w:pPr>
      <w:r/>
      <w:bookmarkStart w:id="186" w:name="_Toc103848600"/>
      <w:r/>
      <w:bookmarkStart w:id="187" w:name="_Toc104560917"/>
      <w:r/>
      <w:bookmarkStart w:id="188" w:name="_Toc107246300"/>
      <w:r>
        <w:rPr>
          <w:rFonts w:ascii="Microsoft New Tai Lue" w:hAnsi="Microsoft New Tai Lue" w:cs="Microsoft New Tai Lue"/>
          <w:bCs w:val="0"/>
          <w:color w:val="auto"/>
          <w:sz w:val="24"/>
          <w:szCs w:val="24"/>
          <w:highlight w:val="none"/>
        </w:rPr>
        <w:br w:type="page" w:clear="all"/>
      </w:r>
      <w:bookmarkStart w:id="189" w:name="_Toc1100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）服务方案</w:t>
      </w:r>
      <w:bookmarkEnd w:id="186"/>
      <w:r/>
      <w:bookmarkEnd w:id="187"/>
      <w:r/>
      <w:bookmarkEnd w:id="188"/>
      <w:r/>
      <w:bookmarkEnd w:id="189"/>
      <w:r/>
      <w:r/>
    </w:p>
    <w:p>
      <w:pPr>
        <w:rPr>
          <w:color w:val="auto"/>
          <w:highlight w:val="none"/>
        </w:rPr>
      </w:pPr>
      <w:r>
        <w:rPr>
          <w:color w:val="auto"/>
          <w:highlight w:val="none"/>
        </w:rPr>
        <w:t xml:space="preserve"> </w:t>
      </w:r>
      <w:r/>
    </w:p>
    <w:p>
      <w:pPr>
        <w:pStyle w:val="77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color w:val="auto"/>
          <w:sz w:val="24"/>
          <w:highlight w:val="none"/>
        </w:rPr>
        <w:br w:type="page" w:clear="all"/>
      </w:r>
      <w:bookmarkStart w:id="190" w:name="_Toc103848601"/>
      <w:r/>
      <w:bookmarkStart w:id="191" w:name="_Toc32625"/>
      <w:r/>
      <w:bookmarkStart w:id="192" w:name="_Toc107246301"/>
      <w:r/>
      <w:bookmarkStart w:id="193" w:name="_Toc10456091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190"/>
      <w:r/>
      <w:bookmarkEnd w:id="191"/>
      <w:r/>
      <w:bookmarkEnd w:id="192"/>
      <w:r/>
      <w:bookmarkEnd w:id="193"/>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88"/>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top"/>
            <w:textDirection w:val="lrTb"/>
            <w:noWrap w:val="false"/>
          </w:tcPr>
          <w:p>
            <w:pPr>
              <w:pStyle w:val="776"/>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8"/>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88"/>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8"/>
        <w:spacing w:line="360" w:lineRule="exact"/>
        <w:rPr>
          <w:rFonts w:hint="eastAsia" w:ascii="Times New Roman" w:hAnsi="Times New Roman"/>
          <w:b/>
          <w:bCs/>
          <w:color w:val="auto"/>
          <w:highlight w:val="none"/>
        </w:rPr>
      </w:pPr>
      <w:r>
        <w:rPr>
          <w:rFonts w:hint="eastAsia"/>
          <w:b/>
          <w:color w:val="auto"/>
          <w:highlight w:val="none"/>
        </w:rPr>
        <w:t xml:space="preserve">3. 如果行数不够，请自行增加。</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6"/>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7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7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91"/>
        <w:spacing w:before="0"/>
        <w:rPr>
          <w:rFonts w:hint="eastAsia" w:ascii="Microsoft New Tai Lue" w:hAnsi="Microsoft New Tai Lue" w:cs="Microsoft New Tai Lue"/>
          <w:bCs w:val="0"/>
          <w:color w:val="auto"/>
          <w:sz w:val="24"/>
          <w:szCs w:val="24"/>
          <w:highlight w:val="none"/>
          <w:lang w:val="en-US" w:eastAsia="zh-CN"/>
        </w:rPr>
      </w:pPr>
      <w:r>
        <w:rPr>
          <w:rFonts w:ascii="Microsoft New Tai Lue" w:hAnsi="Microsoft New Tai Lue" w:cs="Microsoft New Tai Lue"/>
          <w:color w:val="auto"/>
          <w:highlight w:val="none"/>
        </w:rPr>
        <w:br w:type="page" w:clear="all"/>
      </w:r>
      <w:bookmarkStart w:id="194" w:name="_Toc3220"/>
      <w:r>
        <w:rPr>
          <w:rFonts w:hint="eastAsia" w:ascii="Microsoft New Tai Lue" w:hAnsi="Microsoft New Tai Lue" w:eastAsia="宋体" w:cs="Microsoft New Tai Lue"/>
          <w:bCs w:val="0"/>
          <w:color w:val="auto"/>
          <w:sz w:val="24"/>
          <w:szCs w:val="24"/>
          <w:highlight w:val="none"/>
          <w:lang w:val="en-US" w:eastAsia="zh-CN"/>
        </w:rPr>
        <w:t xml:space="preserve">（10）</w:t>
      </w:r>
      <w:r>
        <w:rPr>
          <w:rFonts w:hint="eastAsia" w:ascii="Microsoft New Tai Lue" w:hAnsi="Microsoft New Tai Lue" w:cs="Microsoft New Tai Lue"/>
          <w:bCs w:val="0"/>
          <w:color w:val="auto"/>
          <w:sz w:val="24"/>
          <w:szCs w:val="24"/>
          <w:highlight w:val="none"/>
          <w:lang w:val="en-US" w:eastAsia="zh-CN"/>
        </w:rPr>
        <w:t xml:space="preserve">采购需求中★号项证明材料（如需）</w:t>
      </w:r>
      <w:bookmarkEnd w:id="194"/>
      <w:r/>
      <w:r/>
    </w:p>
    <w:p>
      <w:pPr>
        <w:pStyle w:val="776"/>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776"/>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776"/>
        <w:ind w:firstLine="0"/>
        <w:jc w:val="center"/>
        <w:rPr>
          <w:rFonts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jc w:val="center"/>
        <w:rPr>
          <w:rFonts w:hint="eastAsia"/>
          <w:color w:val="auto"/>
          <w:highlight w:val="none"/>
          <w:lang w:val="en-US" w:eastAsia="zh-CN"/>
        </w:rPr>
      </w:pPr>
      <w:r>
        <w:rPr>
          <w:rFonts w:hint="eastAsia"/>
          <w:color w:val="auto"/>
          <w:highlight w:val="none"/>
          <w:lang w:val="en-US" w:eastAsia="zh-CN"/>
        </w:rPr>
      </w:r>
      <w:r/>
    </w:p>
    <w:p>
      <w:pPr>
        <w:pStyle w:val="991"/>
        <w:spacing w:before="0"/>
        <w:rPr>
          <w:rFonts w:ascii="Microsoft New Tai Lue" w:hAnsi="Microsoft New Tai Lue" w:eastAsia="宋体" w:cs="Microsoft New Tai Lue"/>
          <w:bCs w:val="0"/>
          <w:color w:val="auto"/>
          <w:sz w:val="24"/>
          <w:szCs w:val="24"/>
          <w:highlight w:val="none"/>
        </w:rPr>
      </w:pPr>
      <w:r>
        <w:rPr>
          <w:rFonts w:hint="eastAsia" w:ascii="宋体" w:hAnsi="宋体" w:eastAsia="宋体" w:cs="宋体"/>
          <w:color w:val="auto"/>
          <w:highlight w:val="none"/>
        </w:rPr>
        <w:br w:type="page" w:clear="all"/>
      </w:r>
      <w:bookmarkStart w:id="195" w:name="_Toc15355"/>
      <w:r>
        <w:rPr>
          <w:rFonts w:hint="eastAsia" w:ascii="Microsoft New Tai Lue" w:hAnsi="Microsoft New Tai Lue" w:eastAsia="宋体" w:cs="Microsoft New Tai Lue"/>
          <w:bCs w:val="0"/>
          <w:color w:val="auto"/>
          <w:sz w:val="24"/>
          <w:szCs w:val="24"/>
          <w:highlight w:val="none"/>
          <w:lang w:val="en-US" w:eastAsia="zh-CN"/>
        </w:rPr>
        <w:t xml:space="preserve">（11）拟参与本项目人员一览表</w:t>
      </w:r>
      <w:bookmarkEnd w:id="195"/>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862"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学历及</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专业</w:t>
            </w:r>
            <w:r/>
          </w:p>
        </w:tc>
        <w:tc>
          <w:tcPr>
            <w:tcW w:w="154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技术</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职称</w:t>
            </w:r>
            <w:r/>
          </w:p>
        </w:tc>
        <w:tc>
          <w:tcPr>
            <w:tcW w:w="1511"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pStyle w:val="77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6"/>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6"/>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96" w:name="_Toc1543"/>
      <w:r/>
      <w:bookmarkStart w:id="197" w:name="_Toc107246304"/>
      <w:r/>
      <w:bookmarkStart w:id="198" w:name="_Toc104560921"/>
      <w:r/>
      <w:bookmarkStart w:id="199" w:name="_Toc10384860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bookmarkEnd w:id="196"/>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69"/>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8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项目负责人</w:t>
            </w:r>
            <w:r/>
          </w:p>
        </w:tc>
        <w:tc>
          <w:tcPr>
            <w:tcW w:w="123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115"/>
      <w:r/>
      <w:bookmarkEnd w:id="197"/>
      <w:r/>
      <w:bookmarkEnd w:id="198"/>
      <w:r/>
      <w:bookmarkEnd w:id="199"/>
      <w:r/>
      <w:r/>
    </w:p>
    <w:p>
      <w:pPr>
        <w:pStyle w:val="776"/>
        <w:ind w:firstLine="0"/>
        <w:rPr>
          <w:color w:val="auto"/>
          <w:highlight w:val="none"/>
        </w:rPr>
      </w:pPr>
      <w:r/>
      <w:bookmarkStart w:id="200" w:name="_Toc96347904"/>
      <w:r/>
      <w:r/>
    </w:p>
    <w:p>
      <w:pPr>
        <w:pStyle w:val="991"/>
        <w:spacing w:before="0"/>
        <w:rPr>
          <w:rFonts w:ascii="Microsoft New Tai Lue" w:hAnsi="Microsoft New Tai Lue" w:eastAsia="宋体" w:cs="Microsoft New Tai Lue"/>
          <w:bCs w:val="0"/>
          <w:color w:val="auto"/>
          <w:sz w:val="24"/>
          <w:szCs w:val="24"/>
          <w:highlight w:val="none"/>
        </w:rPr>
      </w:pPr>
      <w:r/>
      <w:bookmarkStart w:id="201" w:name="_Toc103848606"/>
      <w:r/>
      <w:bookmarkStart w:id="202" w:name="_Toc104560923"/>
      <w:r/>
      <w:bookmarkStart w:id="203" w:name="_Toc107246306"/>
      <w:r/>
      <w:bookmarkStart w:id="204" w:name="_Toc100905289"/>
      <w:r>
        <w:rPr>
          <w:rFonts w:ascii="Microsoft New Tai Lue" w:hAnsi="Microsoft New Tai Lue" w:cs="Microsoft New Tai Lue"/>
          <w:bCs w:val="0"/>
          <w:color w:val="auto"/>
          <w:sz w:val="24"/>
          <w:szCs w:val="24"/>
          <w:highlight w:val="none"/>
        </w:rPr>
        <w:br w:type="page" w:clear="all"/>
      </w:r>
      <w:bookmarkStart w:id="205" w:name="_Toc18702"/>
      <w:r>
        <w:rPr>
          <w:rFonts w:ascii="Microsoft New Tai Lue" w:hAnsi="Microsoft New Tai Lue" w:eastAsia="宋体" w:cs="Microsoft New Tai Lue"/>
          <w:bCs w:val="0"/>
          <w:color w:val="auto"/>
          <w:sz w:val="24"/>
          <w:szCs w:val="24"/>
          <w:highlight w:val="none"/>
        </w:rPr>
        <w:t xml:space="preserve">（1</w:t>
      </w:r>
      <w:r>
        <w:rPr>
          <w:rFonts w:hint="eastAsia" w:ascii="Microsoft New Tai Lue" w:hAnsi="Microsoft New Tai Lue" w:eastAsia="宋体" w:cs="Microsoft New Tai Lue"/>
          <w:bCs w:val="0"/>
          <w:color w:val="auto"/>
          <w:sz w:val="24"/>
          <w:szCs w:val="24"/>
          <w:highlight w:val="none"/>
          <w:lang w:val="en-US" w:eastAsia="zh-CN"/>
        </w:rPr>
        <w:t xml:space="preserve">3</w:t>
      </w:r>
      <w:r>
        <w:rPr>
          <w:rFonts w:ascii="Microsoft New Tai Lue" w:hAnsi="Microsoft New Tai Lue" w:eastAsia="宋体" w:cs="Microsoft New Tai Lue"/>
          <w:bCs w:val="0"/>
          <w:color w:val="auto"/>
          <w:sz w:val="24"/>
          <w:szCs w:val="24"/>
          <w:highlight w:val="none"/>
        </w:rPr>
        <w:t xml:space="preserve">）提供符合政府采购政策的证明材料</w:t>
      </w:r>
      <w:bookmarkEnd w:id="201"/>
      <w:r/>
      <w:bookmarkEnd w:id="202"/>
      <w:r/>
      <w:bookmarkEnd w:id="203"/>
      <w:r/>
      <w:bookmarkEnd w:id="204"/>
      <w:r/>
      <w:bookmarkEnd w:id="205"/>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77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（磋商文件中明确的所属行业）</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（磋商文件中明确的所属行业）</w:t>
      </w:r>
      <w:r>
        <w:rPr>
          <w:rFonts w:ascii="Microsoft New Tai Lue" w:hAnsi="Microsoft New Tai Lue" w:cs="Microsoft New Tai Lue"/>
          <w:color w:val="auto"/>
          <w:spacing w:val="3"/>
          <w:szCs w:val="21"/>
          <w:highlight w:val="none"/>
        </w:rPr>
        <w:t xml:space="preserve">； 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auto"/>
          <w:szCs w:val="21"/>
          <w:highlight w:val="none"/>
        </w:rPr>
        <w:t xml:space="preserve">响应</w:t>
      </w:r>
      <w:r>
        <w:rPr>
          <w:rFonts w:ascii="Microsoft New Tai Lue" w:hAnsi="Microsoft New Tai Lue" w:cs="Microsoft New Tai Lue"/>
          <w:b/>
          <w:color w:val="auto"/>
          <w:szCs w:val="21"/>
          <w:highlight w:val="none"/>
        </w:rPr>
        <w:t xml:space="preserve">专用章的，与公章具有相同法律效力。</w:t>
      </w:r>
      <w:r/>
    </w:p>
    <w:p>
      <w:pPr>
        <w:rPr>
          <w:color w:val="auto"/>
          <w:highlight w:val="none"/>
        </w:rPr>
      </w:pPr>
      <w:r>
        <w:rPr>
          <w:color w:val="auto"/>
          <w:highlight w:val="none"/>
        </w:rPr>
      </w:r>
      <w:r/>
    </w:p>
    <w:p>
      <w:pPr>
        <w:pStyle w:val="77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76"/>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76"/>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200"/>
      <w:r/>
      <w:r/>
    </w:p>
    <w:p>
      <w:pPr>
        <w:pStyle w:val="776"/>
        <w:ind w:firstLine="198"/>
        <w:rPr>
          <w:rFonts w:hint="eastAsia"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rPr>
      </w:r>
      <w:r/>
    </w:p>
    <w:p>
      <w:pPr>
        <w:pStyle w:val="991"/>
        <w:spacing w:before="0"/>
        <w:rPr>
          <w:rFonts w:ascii="Microsoft New Tai Lue" w:hAnsi="Microsoft New Tai Lue" w:cs="Microsoft New Tai Lue"/>
          <w:bCs w:val="0"/>
          <w:color w:val="auto"/>
          <w:sz w:val="24"/>
          <w:szCs w:val="24"/>
          <w:highlight w:val="none"/>
        </w:rPr>
      </w:pPr>
      <w:r/>
      <w:bookmarkStart w:id="206" w:name="_Toc100905295"/>
      <w:r/>
      <w:bookmarkStart w:id="207" w:name="_Toc104560924"/>
      <w:r/>
      <w:bookmarkStart w:id="208" w:name="_Toc103848607"/>
      <w:r/>
      <w:bookmarkStart w:id="209" w:name="_Toc107246307"/>
      <w:r>
        <w:rPr>
          <w:rFonts w:ascii="Microsoft New Tai Lue" w:hAnsi="Microsoft New Tai Lue" w:cs="Microsoft New Tai Lue"/>
          <w:bCs w:val="0"/>
          <w:color w:val="auto"/>
          <w:sz w:val="24"/>
          <w:szCs w:val="24"/>
          <w:highlight w:val="none"/>
        </w:rPr>
        <w:br w:type="page" w:clear="all"/>
      </w:r>
      <w:bookmarkStart w:id="210" w:name="_Toc2423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）供应商认为需提供的其他</w:t>
      </w:r>
      <w:bookmarkEnd w:id="206"/>
      <w:r>
        <w:rPr>
          <w:rFonts w:ascii="Microsoft New Tai Lue" w:hAnsi="Microsoft New Tai Lue" w:cs="Microsoft New Tai Lue"/>
          <w:bCs w:val="0"/>
          <w:color w:val="auto"/>
          <w:sz w:val="24"/>
          <w:szCs w:val="24"/>
          <w:highlight w:val="none"/>
        </w:rPr>
        <w:t xml:space="preserve">文件或证明材料</w:t>
      </w:r>
      <w:bookmarkEnd w:id="207"/>
      <w:r/>
      <w:bookmarkEnd w:id="208"/>
      <w:r/>
      <w:bookmarkEnd w:id="209"/>
      <w:r/>
      <w:bookmarkEnd w:id="210"/>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211" w:name="_Toc104560925"/>
      <w:r/>
      <w:bookmarkStart w:id="212" w:name="_Toc31548"/>
      <w:r/>
      <w:bookmarkStart w:id="213" w:name="_Toc107246308"/>
      <w:r/>
      <w:bookmarkStart w:id="214" w:name="_Toc10384860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5</w:t>
      </w:r>
      <w:r>
        <w:rPr>
          <w:rFonts w:ascii="Microsoft New Tai Lue" w:hAnsi="Microsoft New Tai Lue" w:cs="Microsoft New Tai Lue"/>
          <w:bCs w:val="0"/>
          <w:color w:val="auto"/>
          <w:sz w:val="24"/>
          <w:szCs w:val="24"/>
          <w:highlight w:val="none"/>
        </w:rPr>
        <w:t xml:space="preserve">）要求供应商提交的其他文件材料或证明材料</w:t>
      </w:r>
      <w:bookmarkEnd w:id="211"/>
      <w:r/>
      <w:bookmarkEnd w:id="212"/>
      <w:r/>
      <w:bookmarkEnd w:id="213"/>
      <w:r/>
      <w:bookmarkEnd w:id="214"/>
      <w:r/>
      <w:r/>
    </w:p>
    <w:p>
      <w:pPr>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rPr>
          <w:rFonts w:hint="eastAsia"/>
          <w:color w:val="auto"/>
          <w:highlight w:val="none"/>
          <w:lang w:val="en-US" w:eastAsia="zh-CN"/>
        </w:rPr>
      </w:pPr>
      <w:r>
        <w:rPr>
          <w:rFonts w:hint="eastAsia"/>
          <w:color w:val="auto"/>
          <w:highlight w:val="none"/>
          <w:lang w:val="en-US" w:eastAsia="zh-CN"/>
        </w:rPr>
        <w:t xml:space="preserve">附</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center"/>
        <w:rPr>
          <w:rFonts w:hint="default"/>
          <w:color w:val="auto"/>
          <w:highlight w:val="none"/>
          <w:lang w:val="en-US" w:eastAsia="zh-CN"/>
        </w:rPr>
      </w:pPr>
      <w:r>
        <w:rPr>
          <w:rFonts w:hint="default"/>
          <w:b/>
          <w:bCs/>
          <w:color w:val="auto"/>
          <w:sz w:val="32"/>
          <w:szCs w:val="32"/>
          <w:highlight w:val="none"/>
          <w:lang w:val="en-US" w:eastAsia="zh-CN"/>
        </w:rPr>
        <w:t xml:space="preserve">投标供应商确认函</w:t>
      </w:r>
      <w:r/>
    </w:p>
    <w:p>
      <w:pPr>
        <w:rPr>
          <w:rFonts w:hint="default"/>
          <w:color w:val="auto"/>
          <w:highlight w:val="none"/>
          <w:lang w:val="en-US" w:eastAsia="zh-CN"/>
        </w:rPr>
      </w:pPr>
      <w:r>
        <w:rPr>
          <w:rFonts w:hint="default"/>
          <w:color w:val="auto"/>
          <w:highlight w:val="none"/>
          <w:lang w:val="en-US" w:eastAsia="zh-CN"/>
        </w:rPr>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项目编号:</w:t>
      </w:r>
      <w:r>
        <w:rPr>
          <w:rFonts w:hint="eastAsia"/>
          <w:color w:val="auto"/>
          <w:sz w:val="24"/>
          <w:szCs w:val="24"/>
          <w:highlight w:val="none"/>
          <w:lang w:val="en-US" w:eastAsia="zh-CN"/>
        </w:rPr>
        <w:t xml:space="preserve"> </w:t>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bidi="ar-SA"/>
        </w:rPr>
        <w:t xml:space="preserve">栖霞区民政局2026-2029年度养老服务指导中心运营项目</w:t>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采购人:</w:t>
      </w:r>
      <w:r>
        <w:rPr>
          <w:rFonts w:hint="eastAsia"/>
          <w:color w:val="auto"/>
          <w:sz w:val="24"/>
          <w:szCs w:val="24"/>
          <w:highlight w:val="none"/>
          <w:lang w:val="en-US" w:eastAsia="zh-CN"/>
        </w:rPr>
        <w:t xml:space="preserve">南京市栖霞区民政局</w:t>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代理机构:江苏省招标中心有限公司</w:t>
      </w:r>
      <w:r/>
    </w:p>
    <w:p>
      <w:pP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采购包号：采购包1</w:t>
      </w:r>
      <w:r/>
    </w:p>
    <w:p>
      <w:pPr>
        <w:rPr>
          <w:rFonts w:hint="eastAsia"/>
          <w:color w:val="auto"/>
          <w:highlight w:val="none"/>
          <w:lang w:val="en-US" w:eastAsia="zh-CN"/>
        </w:rPr>
      </w:pPr>
      <w:r>
        <w:rPr>
          <w:rFonts w:hint="eastAsia"/>
          <w:color w:val="auto"/>
          <w:highlight w:val="none"/>
          <w:lang w:val="en-US" w:eastAsia="zh-CN"/>
        </w:rPr>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2236"/>
        <w:gridCol w:w="2237"/>
        <w:gridCol w:w="2237"/>
      </w:tblGrid>
      <w:tr>
        <w:trPr>
          <w:jc w:val="center"/>
          <w:trHeight w:val="995"/>
        </w:trPr>
        <w:tc>
          <w:tcPr>
            <w:tcW w:w="2236"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供应商名称</w:t>
            </w:r>
            <w:r/>
          </w:p>
        </w:tc>
        <w:tc>
          <w:tcPr>
            <w:gridSpan w:val="3"/>
            <w:tcW w:w="6710"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jc w:val="center"/>
          <w:trHeight w:val="1007"/>
        </w:trPr>
        <w:tc>
          <w:tcPr>
            <w:tcW w:w="2236"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详细地址</w:t>
            </w:r>
            <w:r/>
          </w:p>
        </w:tc>
        <w:tc>
          <w:tcPr>
            <w:gridSpan w:val="3"/>
            <w:tcW w:w="6710"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jc w:val="center"/>
          <w:trHeight w:val="760"/>
        </w:trPr>
        <w:tc>
          <w:tcPr>
            <w:tcW w:w="2236" w:type="dxa"/>
            <w:vAlign w:val="center"/>
            <w:vMerge w:val="restart"/>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联系人</w:t>
            </w:r>
            <w:r/>
          </w:p>
        </w:tc>
        <w:tc>
          <w:tcPr>
            <w:tcW w:w="2236" w:type="dxa"/>
            <w:vAlign w:val="center"/>
            <w:vMerge w:val="restart"/>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c>
          <w:tcPr>
            <w:tcW w:w="2237"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固定电话</w:t>
            </w:r>
            <w:r/>
          </w:p>
        </w:tc>
        <w:tc>
          <w:tcPr>
            <w:tcW w:w="2237" w:type="dxa"/>
            <w:vAlign w:val="top"/>
            <w:textDirection w:val="lrTb"/>
            <w:noWrap w:val="false"/>
          </w:tcPr>
          <w:p>
            <w:pP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jc w:val="center"/>
          <w:trHeight w:val="760"/>
        </w:trPr>
        <w:tc>
          <w:tcPr>
            <w:tcW w:w="2236" w:type="dxa"/>
            <w:vAlign w:val="center"/>
            <w:vMerge w:val="continue"/>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2236" w:type="dxa"/>
            <w:vAlign w:val="center"/>
            <w:vMerge w:val="continue"/>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c>
          <w:tcPr>
            <w:tcW w:w="2237"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手机号</w:t>
            </w:r>
            <w:r/>
          </w:p>
        </w:tc>
        <w:tc>
          <w:tcPr>
            <w:tcW w:w="2237" w:type="dxa"/>
            <w:vAlign w:val="top"/>
            <w:textDirection w:val="lrTb"/>
            <w:noWrap w:val="false"/>
          </w:tcPr>
          <w:p>
            <w:pP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bl>
    <w:p>
      <w:pPr>
        <w:rPr>
          <w:rFonts w:hint="default"/>
          <w:color w:val="auto"/>
          <w:highlight w:val="none"/>
          <w:lang w:val="en-US" w:eastAsia="zh-CN"/>
        </w:rPr>
      </w:pPr>
      <w:r>
        <w:rPr>
          <w:rFonts w:hint="default"/>
          <w:color w:val="auto"/>
          <w:highlight w:val="none"/>
          <w:lang w:val="en-US" w:eastAsia="zh-CN"/>
        </w:rPr>
      </w:r>
      <w:r/>
    </w:p>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楷体_GB2312">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1"/>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栖霞区民政局2026-2029年度养老服务指导中心运营项目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1"/>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栖霞区民政局2026-2029年度养老服务指导中心运营项目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116" w:hanging="975"/>
        <w:tabs>
          <w:tab w:val="left" w:pos="-420" w:leader="none"/>
        </w:tabs>
      </w:pPr>
      <w:rPr>
        <w:rFonts w:hint="default"/>
      </w:rPr>
    </w:lvl>
    <w:lvl w:ilvl="1">
      <w:start w:val="1"/>
      <w:numFmt w:val="lowerLetter"/>
      <w:isLgl w:val="false"/>
      <w:suff w:val="tab"/>
      <w:lvlText w:val="%2)"/>
      <w:lvlJc w:val="left"/>
      <w:pPr>
        <w:ind w:left="981" w:hanging="420"/>
        <w:tabs>
          <w:tab w:val="left" w:pos="-420" w:leader="none"/>
        </w:tabs>
      </w:pPr>
    </w:lvl>
    <w:lvl w:ilvl="2">
      <w:start w:val="1"/>
      <w:numFmt w:val="lowerRoman"/>
      <w:isLgl w:val="false"/>
      <w:suff w:val="tab"/>
      <w:lvlText w:val="%3."/>
      <w:lvlJc w:val="right"/>
      <w:pPr>
        <w:ind w:left="1401" w:hanging="420"/>
        <w:tabs>
          <w:tab w:val="left" w:pos="-420" w:leader="none"/>
        </w:tabs>
      </w:pPr>
    </w:lvl>
    <w:lvl w:ilvl="3">
      <w:start w:val="1"/>
      <w:numFmt w:val="decimal"/>
      <w:isLgl w:val="false"/>
      <w:suff w:val="tab"/>
      <w:lvlText w:val="%4."/>
      <w:lvlJc w:val="left"/>
      <w:pPr>
        <w:ind w:left="1821" w:hanging="420"/>
        <w:tabs>
          <w:tab w:val="left" w:pos="-420" w:leader="none"/>
        </w:tabs>
      </w:pPr>
    </w:lvl>
    <w:lvl w:ilvl="4">
      <w:start w:val="1"/>
      <w:numFmt w:val="lowerLetter"/>
      <w:isLgl w:val="false"/>
      <w:suff w:val="tab"/>
      <w:lvlText w:val="%5)"/>
      <w:lvlJc w:val="left"/>
      <w:pPr>
        <w:ind w:left="2241" w:hanging="420"/>
        <w:tabs>
          <w:tab w:val="left" w:pos="-420" w:leader="none"/>
        </w:tabs>
      </w:pPr>
    </w:lvl>
    <w:lvl w:ilvl="5">
      <w:start w:val="1"/>
      <w:numFmt w:val="lowerRoman"/>
      <w:isLgl w:val="false"/>
      <w:suff w:val="tab"/>
      <w:lvlText w:val="%6."/>
      <w:lvlJc w:val="right"/>
      <w:pPr>
        <w:ind w:left="2661" w:hanging="420"/>
        <w:tabs>
          <w:tab w:val="left" w:pos="-420" w:leader="none"/>
        </w:tabs>
      </w:pPr>
    </w:lvl>
    <w:lvl w:ilvl="6">
      <w:start w:val="1"/>
      <w:numFmt w:val="decimal"/>
      <w:isLgl w:val="false"/>
      <w:suff w:val="tab"/>
      <w:lvlText w:val="%7."/>
      <w:lvlJc w:val="left"/>
      <w:pPr>
        <w:ind w:left="3081" w:hanging="420"/>
        <w:tabs>
          <w:tab w:val="left" w:pos="-420" w:leader="none"/>
        </w:tabs>
      </w:pPr>
    </w:lvl>
    <w:lvl w:ilvl="7">
      <w:start w:val="1"/>
      <w:numFmt w:val="lowerLetter"/>
      <w:isLgl w:val="false"/>
      <w:suff w:val="tab"/>
      <w:lvlText w:val="%8)"/>
      <w:lvlJc w:val="left"/>
      <w:pPr>
        <w:ind w:left="3501" w:hanging="420"/>
        <w:tabs>
          <w:tab w:val="left" w:pos="-420" w:leader="none"/>
        </w:tabs>
      </w:pPr>
    </w:lvl>
    <w:lvl w:ilvl="8">
      <w:start w:val="1"/>
      <w:numFmt w:val="lowerRoman"/>
      <w:isLgl w:val="false"/>
      <w:suff w:val="tab"/>
      <w:lvlText w:val="%9."/>
      <w:lvlJc w:val="right"/>
      <w:pPr>
        <w:ind w:left="3921" w:hanging="420"/>
        <w:tabs>
          <w:tab w:val="left" w:pos="-420" w:leader="none"/>
        </w:tabs>
      </w:p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23"/>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796"/>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7"/>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799"/>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0"/>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1"/>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3"/>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4"/>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8"/>
    <w:uiPriority w:val="99"/>
    <w:semiHidden/>
    <w:unhideWhenUsed/>
    <w:qFormat/>
    <w:pPr>
      <w:jc w:val="left"/>
    </w:pPr>
  </w:style>
  <w:style w:type="paragraph" w:styleId="773">
    <w:name w:val="Body Text"/>
    <w:basedOn w:val="758"/>
    <w:uiPriority w:val="0"/>
    <w:qFormat/>
    <w:rPr>
      <w:rFonts w:ascii="楷体_GB2312" w:hAnsi="Arial" w:eastAsia="楷体_GB2312"/>
      <w:sz w:val="28"/>
    </w:rPr>
  </w:style>
  <w:style w:type="paragraph" w:styleId="774">
    <w:name w:val="toc 5"/>
    <w:basedOn w:val="758"/>
    <w:next w:val="758"/>
    <w:uiPriority w:val="39"/>
    <w:unhideWhenUsed/>
    <w:qFormat/>
    <w:pPr>
      <w:ind w:left="1134" w:right="0" w:firstLine="0"/>
      <w:spacing w:after="57"/>
    </w:pPr>
  </w:style>
  <w:style w:type="paragraph" w:styleId="775">
    <w:name w:val="toc 3"/>
    <w:basedOn w:val="758"/>
    <w:next w:val="758"/>
    <w:uiPriority w:val="39"/>
    <w:unhideWhenUsed/>
    <w:qFormat/>
    <w:pPr>
      <w:ind w:left="567" w:right="0" w:firstLine="0"/>
      <w:spacing w:after="57"/>
    </w:pPr>
  </w:style>
  <w:style w:type="paragraph" w:styleId="776">
    <w:name w:val="Plain Text"/>
    <w:basedOn w:val="758"/>
    <w:link w:val="1018"/>
    <w:uiPriority w:val="0"/>
    <w:qFormat/>
    <w:pPr>
      <w:ind w:firstLine="200"/>
      <w:spacing w:line="360" w:lineRule="auto"/>
    </w:pPr>
    <w:rPr>
      <w:rFonts w:ascii="宋体" w:hAnsi="Courier New"/>
      <w:sz w:val="20"/>
      <w:szCs w:val="20"/>
    </w:rPr>
  </w:style>
  <w:style w:type="paragraph" w:styleId="777">
    <w:name w:val="toc 8"/>
    <w:basedOn w:val="758"/>
    <w:next w:val="758"/>
    <w:uiPriority w:val="39"/>
    <w:unhideWhenUsed/>
    <w:qFormat/>
    <w:pPr>
      <w:ind w:left="1984" w:right="0" w:firstLine="0"/>
      <w:spacing w:after="57"/>
    </w:pPr>
  </w:style>
  <w:style w:type="paragraph" w:styleId="778">
    <w:name w:val="endnote text"/>
    <w:basedOn w:val="758"/>
    <w:link w:val="941"/>
    <w:uiPriority w:val="99"/>
    <w:semiHidden/>
    <w:unhideWhenUsed/>
    <w:qFormat/>
    <w:pPr>
      <w:spacing w:after="0" w:line="240" w:lineRule="auto"/>
    </w:pPr>
    <w:rPr>
      <w:sz w:val="20"/>
    </w:rPr>
  </w:style>
  <w:style w:type="paragraph" w:styleId="779">
    <w:name w:val="Footer"/>
    <w:basedOn w:val="758"/>
    <w:link w:val="814"/>
    <w:uiPriority w:val="99"/>
    <w:unhideWhenUsed/>
    <w:qFormat/>
    <w:pPr>
      <w:spacing w:after="0" w:line="240" w:lineRule="auto"/>
      <w:tabs>
        <w:tab w:val="center" w:pos="7143" w:leader="none"/>
        <w:tab w:val="right" w:pos="14287" w:leader="none"/>
      </w:tabs>
    </w:pPr>
  </w:style>
  <w:style w:type="paragraph" w:styleId="780">
    <w:name w:val="Header"/>
    <w:basedOn w:val="758"/>
    <w:link w:val="812"/>
    <w:uiPriority w:val="99"/>
    <w:unhideWhenUsed/>
    <w:qFormat/>
    <w:pPr>
      <w:spacing w:after="0" w:line="240" w:lineRule="auto"/>
      <w:tabs>
        <w:tab w:val="center" w:pos="7143" w:leader="none"/>
        <w:tab w:val="right" w:pos="14287" w:leader="none"/>
      </w:tabs>
    </w:pPr>
  </w:style>
  <w:style w:type="paragraph" w:styleId="781">
    <w:name w:val="toc 1"/>
    <w:basedOn w:val="758"/>
    <w:next w:val="758"/>
    <w:uiPriority w:val="39"/>
    <w:unhideWhenUsed/>
    <w:qFormat/>
    <w:pPr>
      <w:ind w:left="0" w:right="0" w:firstLine="0"/>
      <w:spacing w:after="57"/>
    </w:pPr>
  </w:style>
  <w:style w:type="paragraph" w:styleId="782">
    <w:name w:val="toc 4"/>
    <w:basedOn w:val="758"/>
    <w:next w:val="758"/>
    <w:uiPriority w:val="39"/>
    <w:unhideWhenUsed/>
    <w:qFormat/>
    <w:pPr>
      <w:ind w:left="850" w:right="0" w:firstLine="0"/>
      <w:spacing w:after="57"/>
    </w:pPr>
  </w:style>
  <w:style w:type="paragraph" w:styleId="783">
    <w:name w:val="Subtitle"/>
    <w:basedOn w:val="758"/>
    <w:next w:val="758"/>
    <w:link w:val="807"/>
    <w:uiPriority w:val="11"/>
    <w:qFormat/>
    <w:pPr>
      <w:spacing w:before="200" w:after="200"/>
    </w:pPr>
    <w:rPr>
      <w:sz w:val="24"/>
      <w:szCs w:val="24"/>
    </w:rPr>
  </w:style>
  <w:style w:type="paragraph" w:styleId="784">
    <w:name w:val="footnote text"/>
    <w:basedOn w:val="758"/>
    <w:link w:val="940"/>
    <w:uiPriority w:val="99"/>
    <w:semiHidden/>
    <w:unhideWhenUsed/>
    <w:qFormat/>
    <w:pPr>
      <w:spacing w:after="40" w:line="240" w:lineRule="auto"/>
    </w:pPr>
    <w:rPr>
      <w:sz w:val="18"/>
    </w:rPr>
  </w:style>
  <w:style w:type="paragraph" w:styleId="785">
    <w:name w:val="toc 6"/>
    <w:basedOn w:val="758"/>
    <w:next w:val="758"/>
    <w:uiPriority w:val="39"/>
    <w:unhideWhenUsed/>
    <w:qFormat/>
    <w:pPr>
      <w:ind w:left="1417" w:right="0" w:firstLine="0"/>
      <w:spacing w:after="57"/>
    </w:pPr>
  </w:style>
  <w:style w:type="paragraph" w:styleId="786">
    <w:name w:val="table of figures"/>
    <w:basedOn w:val="758"/>
    <w:next w:val="758"/>
    <w:uiPriority w:val="99"/>
    <w:unhideWhenUsed/>
    <w:qFormat/>
    <w:pPr>
      <w:spacing w:after="0" w:afterAutospacing="0"/>
    </w:pPr>
  </w:style>
  <w:style w:type="paragraph" w:styleId="787">
    <w:name w:val="toc 2"/>
    <w:basedOn w:val="758"/>
    <w:next w:val="758"/>
    <w:uiPriority w:val="39"/>
    <w:unhideWhenUsed/>
    <w:qFormat/>
    <w:pPr>
      <w:ind w:left="283" w:right="0" w:firstLine="0"/>
      <w:spacing w:after="57"/>
    </w:pPr>
  </w:style>
  <w:style w:type="paragraph" w:styleId="788">
    <w:name w:val="toc 9"/>
    <w:basedOn w:val="758"/>
    <w:next w:val="758"/>
    <w:uiPriority w:val="39"/>
    <w:unhideWhenUsed/>
    <w:qFormat/>
    <w:pPr>
      <w:ind w:left="2268" w:right="0" w:firstLine="0"/>
      <w:spacing w:after="57"/>
    </w:pPr>
  </w:style>
  <w:style w:type="paragraph" w:styleId="789">
    <w:name w:val="Title"/>
    <w:basedOn w:val="758"/>
    <w:next w:val="758"/>
    <w:link w:val="806"/>
    <w:uiPriority w:val="10"/>
    <w:qFormat/>
    <w:pPr>
      <w:contextualSpacing/>
      <w:spacing w:before="300" w:after="200"/>
    </w:pPr>
    <w:rPr>
      <w:sz w:val="48"/>
      <w:szCs w:val="48"/>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索引 41"/>
    <w:basedOn w:val="758"/>
    <w:next w:val="758"/>
    <w:uiPriority w:val="99"/>
    <w:unhideWhenUsed/>
    <w:qFormat/>
    <w:pPr>
      <w:ind w:left="600"/>
    </w:pPr>
    <w:rPr>
      <w:rFonts w:ascii="宋体"/>
      <w:b/>
      <w:position w:val="-10"/>
      <w:sz w:val="24"/>
      <w:szCs w:val="20"/>
    </w:rPr>
  </w:style>
  <w:style w:type="paragraph" w:styleId="795" w:customStyle="1">
    <w:name w:val="正文文本111"/>
    <w:basedOn w:val="758"/>
    <w:uiPriority w:val="1"/>
    <w:qFormat/>
    <w:pPr>
      <w:spacing w:after="120"/>
    </w:pPr>
  </w:style>
  <w:style w:type="character" w:styleId="796" w:customStyle="1">
    <w:name w:val="Heading 1 Char"/>
    <w:link w:val="759"/>
    <w:uiPriority w:val="9"/>
    <w:qFormat/>
    <w:rPr>
      <w:rFonts w:ascii="Arial" w:hAnsi="Arial" w:eastAsia="Arial" w:cs="Arial"/>
      <w:sz w:val="40"/>
      <w:szCs w:val="40"/>
    </w:rPr>
  </w:style>
  <w:style w:type="character" w:styleId="797" w:customStyle="1">
    <w:name w:val="Heading 2 Char"/>
    <w:link w:val="760"/>
    <w:uiPriority w:val="9"/>
    <w:qFormat/>
    <w:rPr>
      <w:rFonts w:ascii="Arial" w:hAnsi="Arial" w:eastAsia="Arial" w:cs="Arial"/>
      <w:sz w:val="34"/>
    </w:rPr>
  </w:style>
  <w:style w:type="character" w:styleId="798" w:customStyle="1">
    <w:name w:val="Heading 3 Char"/>
    <w:link w:val="761"/>
    <w:uiPriority w:val="9"/>
    <w:qFormat/>
    <w:rPr>
      <w:rFonts w:ascii="Arial" w:hAnsi="Arial" w:eastAsia="Arial" w:cs="Arial"/>
      <w:sz w:val="30"/>
      <w:szCs w:val="30"/>
    </w:rPr>
  </w:style>
  <w:style w:type="character" w:styleId="799" w:customStyle="1">
    <w:name w:val="Heading 4 Char"/>
    <w:link w:val="762"/>
    <w:uiPriority w:val="9"/>
    <w:qFormat/>
    <w:rPr>
      <w:rFonts w:ascii="Arial" w:hAnsi="Arial" w:eastAsia="Arial" w:cs="Arial"/>
      <w:b/>
      <w:bCs/>
      <w:sz w:val="26"/>
      <w:szCs w:val="26"/>
    </w:rPr>
  </w:style>
  <w:style w:type="character" w:styleId="800" w:customStyle="1">
    <w:name w:val="Heading 5 Char"/>
    <w:link w:val="763"/>
    <w:uiPriority w:val="9"/>
    <w:qFormat/>
    <w:rPr>
      <w:rFonts w:ascii="Arial" w:hAnsi="Arial" w:eastAsia="Arial" w:cs="Arial"/>
      <w:b/>
      <w:bCs/>
      <w:sz w:val="24"/>
      <w:szCs w:val="24"/>
    </w:rPr>
  </w:style>
  <w:style w:type="character" w:styleId="801" w:customStyle="1">
    <w:name w:val="Heading 6 Char"/>
    <w:link w:val="764"/>
    <w:uiPriority w:val="9"/>
    <w:qFormat/>
    <w:rPr>
      <w:rFonts w:ascii="Arial" w:hAnsi="Arial" w:eastAsia="Arial" w:cs="Arial"/>
      <w:b/>
      <w:bCs/>
      <w:sz w:val="22"/>
      <w:szCs w:val="22"/>
    </w:rPr>
  </w:style>
  <w:style w:type="character" w:styleId="802" w:customStyle="1">
    <w:name w:val="Heading 7 Char"/>
    <w:link w:val="765"/>
    <w:uiPriority w:val="9"/>
    <w:qFormat/>
    <w:rPr>
      <w:rFonts w:ascii="Arial" w:hAnsi="Arial" w:eastAsia="Arial" w:cs="Arial"/>
      <w:b/>
      <w:bCs/>
      <w:i/>
      <w:iCs/>
      <w:sz w:val="22"/>
      <w:szCs w:val="22"/>
    </w:rPr>
  </w:style>
  <w:style w:type="character" w:styleId="803" w:customStyle="1">
    <w:name w:val="Heading 8 Char"/>
    <w:link w:val="766"/>
    <w:uiPriority w:val="9"/>
    <w:qFormat/>
    <w:rPr>
      <w:rFonts w:ascii="Arial" w:hAnsi="Arial" w:eastAsia="Arial" w:cs="Arial"/>
      <w:i/>
      <w:iCs/>
      <w:sz w:val="22"/>
      <w:szCs w:val="22"/>
    </w:rPr>
  </w:style>
  <w:style w:type="character" w:styleId="804" w:customStyle="1">
    <w:name w:val="Heading 9 Char"/>
    <w:link w:val="767"/>
    <w:uiPriority w:val="9"/>
    <w:qFormat/>
    <w:rPr>
      <w:rFonts w:ascii="Arial" w:hAnsi="Arial" w:eastAsia="Arial" w:cs="Arial"/>
      <w:i/>
      <w:iCs/>
      <w:sz w:val="21"/>
      <w:szCs w:val="21"/>
    </w:r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link w:val="789"/>
    <w:uiPriority w:val="10"/>
    <w:qFormat/>
    <w:rPr>
      <w:sz w:val="48"/>
      <w:szCs w:val="48"/>
    </w:rPr>
  </w:style>
  <w:style w:type="character" w:styleId="807" w:customStyle="1">
    <w:name w:val="Subtitle Char"/>
    <w:link w:val="783"/>
    <w:uiPriority w:val="11"/>
    <w:qFormat/>
    <w:rPr>
      <w:sz w:val="24"/>
      <w:szCs w:val="24"/>
    </w:rPr>
  </w:style>
  <w:style w:type="paragraph" w:styleId="808">
    <w:name w:val="Quote"/>
    <w:basedOn w:val="758"/>
    <w:next w:val="758"/>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58"/>
    <w:next w:val="758"/>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link w:val="780"/>
    <w:uiPriority w:val="99"/>
    <w:qFormat/>
  </w:style>
  <w:style w:type="character" w:styleId="813" w:customStyle="1">
    <w:name w:val="Footer Char"/>
    <w:link w:val="779"/>
    <w:uiPriority w:val="99"/>
    <w:qFormat/>
  </w:style>
  <w:style w:type="character" w:styleId="814" w:customStyle="1">
    <w:name w:val="Caption Char"/>
    <w:link w:val="779"/>
    <w:uiPriority w:val="99"/>
    <w:qFormat/>
  </w:style>
  <w:style w:type="table" w:styleId="8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link w:val="784"/>
    <w:uiPriority w:val="99"/>
    <w:qFormat/>
    <w:rPr>
      <w:sz w:val="18"/>
    </w:rPr>
  </w:style>
  <w:style w:type="character" w:styleId="941" w:customStyle="1">
    <w:name w:val="Endnote Text Char"/>
    <w:link w:val="778"/>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标题 11"/>
    <w:basedOn w:val="758"/>
    <w:next w:val="758"/>
    <w:link w:val="953"/>
    <w:uiPriority w:val="0"/>
    <w:qFormat/>
    <w:pPr>
      <w:ind w:left="100" w:right="100"/>
      <w:keepLines/>
      <w:keepNext/>
      <w:spacing w:before="120" w:after="120"/>
      <w:outlineLvl w:val="0"/>
    </w:pPr>
    <w:rPr>
      <w:b/>
      <w:bCs/>
      <w:szCs w:val="44"/>
    </w:rPr>
  </w:style>
  <w:style w:type="paragraph" w:styleId="944" w:customStyle="1">
    <w:name w:val="标题 211"/>
    <w:basedOn w:val="758"/>
    <w:next w:val="758"/>
    <w:link w:val="954"/>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5" w:customStyle="1">
    <w:name w:val="标题 31"/>
    <w:basedOn w:val="758"/>
    <w:next w:val="758"/>
    <w:link w:val="955"/>
    <w:uiPriority w:val="9"/>
    <w:qFormat/>
    <w:pPr>
      <w:keepLines/>
      <w:keepNext/>
      <w:spacing w:before="260" w:after="260" w:line="416" w:lineRule="auto"/>
      <w:outlineLvl w:val="2"/>
    </w:pPr>
    <w:rPr>
      <w:b/>
      <w:bCs/>
      <w:sz w:val="32"/>
      <w:szCs w:val="32"/>
    </w:rPr>
  </w:style>
  <w:style w:type="paragraph" w:styleId="946" w:customStyle="1">
    <w:name w:val="标题 41"/>
    <w:basedOn w:val="758"/>
    <w:next w:val="758"/>
    <w:link w:val="956"/>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7" w:customStyle="1">
    <w:name w:val="标题 61"/>
    <w:basedOn w:val="758"/>
    <w:next w:val="758"/>
    <w:link w:val="957"/>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48" w:customStyle="1">
    <w:name w:val="标题 81"/>
    <w:basedOn w:val="758"/>
    <w:next w:val="758"/>
    <w:link w:val="958"/>
    <w:uiPriority w:val="0"/>
    <w:qFormat/>
    <w:pPr>
      <w:keepLines/>
      <w:keepNext/>
      <w:spacing w:before="240" w:after="64" w:line="320" w:lineRule="auto"/>
      <w:outlineLvl w:val="7"/>
    </w:pPr>
    <w:rPr>
      <w:rFonts w:ascii="等线 Light" w:hAnsi="等线 Light" w:eastAsia="等线 Light" w:cs="Times New Roman"/>
      <w:sz w:val="24"/>
    </w:rPr>
  </w:style>
  <w:style w:type="character" w:styleId="949" w:customStyle="1">
    <w:name w:val="默认段落字体1"/>
    <w:link w:val="758"/>
    <w:uiPriority w:val="0"/>
    <w:semiHidden/>
    <w:qFormat/>
  </w:style>
  <w:style w:type="table" w:styleId="950"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1" w:customStyle="1">
    <w:name w:val="正文首行缩进 21"/>
    <w:basedOn w:val="952"/>
    <w:uiPriority w:val="0"/>
    <w:qFormat/>
    <w:pPr>
      <w:ind w:firstLine="420"/>
      <w:spacing w:line="360" w:lineRule="auto"/>
    </w:pPr>
    <w:rPr>
      <w:rFonts w:ascii="宋体" w:hAnsi="宋体" w:eastAsia="宋体"/>
      <w:sz w:val="21"/>
      <w:szCs w:val="20"/>
    </w:rPr>
  </w:style>
  <w:style w:type="paragraph" w:styleId="952" w:customStyle="1">
    <w:name w:val="正文文本缩进1"/>
    <w:basedOn w:val="758"/>
    <w:next w:val="951"/>
    <w:uiPriority w:val="0"/>
    <w:qFormat/>
    <w:pPr>
      <w:ind w:left="420"/>
      <w:spacing w:after="120"/>
    </w:pPr>
  </w:style>
  <w:style w:type="character" w:styleId="953" w:customStyle="1">
    <w:name w:val="标题 1 字符"/>
    <w:link w:val="943"/>
    <w:uiPriority w:val="0"/>
    <w:qFormat/>
    <w:rPr>
      <w:b/>
      <w:bCs/>
      <w:sz w:val="21"/>
      <w:szCs w:val="44"/>
    </w:rPr>
  </w:style>
  <w:style w:type="character" w:styleId="954" w:customStyle="1">
    <w:name w:val="标题 2 字符"/>
    <w:link w:val="944"/>
    <w:uiPriority w:val="0"/>
    <w:semiHidden/>
    <w:qFormat/>
    <w:rPr>
      <w:rFonts w:ascii="等线 Light" w:hAnsi="等线 Light" w:eastAsia="等线 Light" w:cs="Times New Roman"/>
      <w:b/>
      <w:bCs/>
      <w:sz w:val="32"/>
      <w:szCs w:val="32"/>
    </w:rPr>
  </w:style>
  <w:style w:type="character" w:styleId="955" w:customStyle="1">
    <w:name w:val="标题 3 字符"/>
    <w:link w:val="945"/>
    <w:uiPriority w:val="9"/>
    <w:qFormat/>
    <w:rPr>
      <w:rFonts w:eastAsia="宋体"/>
      <w:b/>
      <w:bCs/>
      <w:sz w:val="32"/>
      <w:szCs w:val="32"/>
      <w:lang w:val="en-US" w:eastAsia="zh-CN" w:bidi="ar-SA"/>
    </w:rPr>
  </w:style>
  <w:style w:type="character" w:styleId="956" w:customStyle="1">
    <w:name w:val="标题 4 字符"/>
    <w:link w:val="946"/>
    <w:uiPriority w:val="0"/>
    <w:semiHidden/>
    <w:qFormat/>
    <w:rPr>
      <w:rFonts w:ascii="等线 Light" w:hAnsi="等线 Light" w:eastAsia="等线 Light" w:cs="Times New Roman"/>
      <w:b/>
      <w:bCs/>
      <w:sz w:val="28"/>
      <w:szCs w:val="28"/>
    </w:rPr>
  </w:style>
  <w:style w:type="character" w:styleId="957" w:customStyle="1">
    <w:name w:val="标题 6 字符"/>
    <w:link w:val="947"/>
    <w:uiPriority w:val="0"/>
    <w:qFormat/>
    <w:rPr>
      <w:rFonts w:ascii="等线 Light" w:hAnsi="等线 Light" w:eastAsia="等线 Light" w:cs="Times New Roman"/>
      <w:b/>
      <w:bCs/>
      <w:sz w:val="24"/>
      <w:szCs w:val="24"/>
    </w:rPr>
  </w:style>
  <w:style w:type="character" w:styleId="958" w:customStyle="1">
    <w:name w:val="标题 8 字符"/>
    <w:link w:val="948"/>
    <w:uiPriority w:val="0"/>
    <w:semiHidden/>
    <w:qFormat/>
    <w:rPr>
      <w:rFonts w:ascii="等线 Light" w:hAnsi="等线 Light" w:eastAsia="等线 Light" w:cs="Times New Roman"/>
      <w:sz w:val="24"/>
      <w:szCs w:val="24"/>
    </w:rPr>
  </w:style>
  <w:style w:type="paragraph" w:styleId="959" w:customStyle="1">
    <w:name w:val="列表 31"/>
    <w:basedOn w:val="758"/>
    <w:uiPriority w:val="0"/>
    <w:qFormat/>
    <w:pPr>
      <w:contextualSpacing/>
      <w:ind w:left="100" w:hanging="200"/>
      <w:jc w:val="left"/>
      <w:widowControl/>
    </w:pPr>
    <w:rPr>
      <w:sz w:val="20"/>
      <w:szCs w:val="20"/>
    </w:rPr>
  </w:style>
  <w:style w:type="paragraph" w:styleId="960" w:customStyle="1">
    <w:name w:val="目录 71"/>
    <w:basedOn w:val="758"/>
    <w:next w:val="758"/>
    <w:uiPriority w:val="39"/>
    <w:unhideWhenUsed/>
    <w:qFormat/>
    <w:pPr>
      <w:ind w:left="2520"/>
    </w:pPr>
    <w:rPr>
      <w:rFonts w:ascii="等线" w:hAnsi="等线" w:eastAsia="等线" w:cs="Times New Roman"/>
      <w:szCs w:val="22"/>
    </w:rPr>
  </w:style>
  <w:style w:type="paragraph" w:styleId="961" w:customStyle="1">
    <w:name w:val="正文缩进111"/>
    <w:basedOn w:val="758"/>
    <w:link w:val="962"/>
    <w:uiPriority w:val="99"/>
    <w:qFormat/>
    <w:pPr>
      <w:ind w:firstLine="420"/>
    </w:pPr>
    <w:rPr>
      <w:szCs w:val="20"/>
    </w:rPr>
  </w:style>
  <w:style w:type="character" w:styleId="962" w:customStyle="1">
    <w:name w:val="正文缩进 字符"/>
    <w:link w:val="961"/>
    <w:uiPriority w:val="0"/>
    <w:qFormat/>
    <w:rPr>
      <w:sz w:val="21"/>
    </w:rPr>
  </w:style>
  <w:style w:type="paragraph" w:styleId="963" w:customStyle="1">
    <w:name w:val="文档结构图1"/>
    <w:basedOn w:val="758"/>
    <w:link w:val="964"/>
    <w:uiPriority w:val="0"/>
    <w:qFormat/>
    <w:pPr>
      <w:shd w:val="clear" w:color="auto" w:fill="000080"/>
    </w:pPr>
  </w:style>
  <w:style w:type="character" w:styleId="964" w:customStyle="1">
    <w:name w:val="文档结构图 字符"/>
    <w:link w:val="963"/>
    <w:uiPriority w:val="0"/>
    <w:qFormat/>
    <w:rPr>
      <w:sz w:val="21"/>
      <w:szCs w:val="24"/>
      <w:shd w:val="clear" w:color="auto" w:fill="000080"/>
    </w:rPr>
  </w:style>
  <w:style w:type="paragraph" w:styleId="965" w:customStyle="1">
    <w:name w:val="批注文字1"/>
    <w:basedOn w:val="758"/>
    <w:link w:val="966"/>
    <w:uiPriority w:val="0"/>
    <w:qFormat/>
    <w:pPr>
      <w:jc w:val="left"/>
    </w:pPr>
  </w:style>
  <w:style w:type="character" w:styleId="966" w:customStyle="1">
    <w:name w:val="批注文字 字符"/>
    <w:link w:val="965"/>
    <w:uiPriority w:val="0"/>
    <w:qFormat/>
    <w:rPr>
      <w:sz w:val="21"/>
      <w:szCs w:val="24"/>
    </w:rPr>
  </w:style>
  <w:style w:type="paragraph" w:styleId="967" w:customStyle="1">
    <w:name w:val="正文文本1"/>
    <w:basedOn w:val="758"/>
    <w:link w:val="968"/>
    <w:uiPriority w:val="1"/>
    <w:qFormat/>
    <w:pPr>
      <w:spacing w:after="120"/>
    </w:pPr>
  </w:style>
  <w:style w:type="character" w:styleId="968" w:customStyle="1">
    <w:name w:val="正文文本 字符"/>
    <w:link w:val="967"/>
    <w:uiPriority w:val="1"/>
    <w:qFormat/>
    <w:rPr>
      <w:sz w:val="21"/>
      <w:szCs w:val="24"/>
    </w:rPr>
  </w:style>
  <w:style w:type="paragraph" w:styleId="969" w:customStyle="1">
    <w:name w:val="索引 411"/>
    <w:basedOn w:val="758"/>
    <w:next w:val="758"/>
    <w:uiPriority w:val="99"/>
    <w:unhideWhenUsed/>
    <w:qFormat/>
    <w:pPr>
      <w:ind w:left="600"/>
    </w:pPr>
    <w:rPr>
      <w:rFonts w:ascii="宋体"/>
      <w:b/>
      <w:position w:val="-10"/>
      <w:sz w:val="24"/>
      <w:szCs w:val="20"/>
    </w:rPr>
  </w:style>
  <w:style w:type="paragraph" w:styleId="970" w:customStyle="1">
    <w:name w:val="目录 51"/>
    <w:basedOn w:val="758"/>
    <w:next w:val="758"/>
    <w:uiPriority w:val="39"/>
    <w:unhideWhenUsed/>
    <w:qFormat/>
    <w:pPr>
      <w:ind w:left="1680"/>
    </w:pPr>
    <w:rPr>
      <w:rFonts w:ascii="等线" w:hAnsi="等线" w:eastAsia="等线" w:cs="Times New Roman"/>
      <w:szCs w:val="22"/>
    </w:rPr>
  </w:style>
  <w:style w:type="paragraph" w:styleId="971" w:customStyle="1">
    <w:name w:val="目录 31"/>
    <w:basedOn w:val="758"/>
    <w:next w:val="758"/>
    <w:uiPriority w:val="39"/>
    <w:unhideWhenUsed/>
    <w:qFormat/>
    <w:pPr>
      <w:ind w:left="440"/>
      <w:jc w:val="left"/>
      <w:spacing w:after="100" w:line="259" w:lineRule="auto"/>
      <w:widowControl/>
    </w:pPr>
    <w:rPr>
      <w:rFonts w:ascii="等线" w:hAnsi="等线" w:eastAsia="等线"/>
      <w:sz w:val="22"/>
      <w:szCs w:val="22"/>
    </w:rPr>
  </w:style>
  <w:style w:type="paragraph" w:styleId="972" w:customStyle="1">
    <w:name w:val="纯文本11"/>
    <w:basedOn w:val="758"/>
    <w:next w:val="758"/>
    <w:link w:val="973"/>
    <w:uiPriority w:val="0"/>
    <w:qFormat/>
    <w:rPr>
      <w:rFonts w:ascii="宋体" w:hAnsi="Courier New" w:cs="Courier New"/>
      <w:szCs w:val="21"/>
    </w:rPr>
  </w:style>
  <w:style w:type="character" w:styleId="973" w:customStyle="1">
    <w:name w:val="纯文本 字符"/>
    <w:link w:val="972"/>
    <w:uiPriority w:val="0"/>
    <w:qFormat/>
    <w:rPr>
      <w:rFonts w:ascii="宋体" w:hAnsi="Courier New" w:cs="Courier New"/>
      <w:sz w:val="21"/>
      <w:szCs w:val="21"/>
    </w:rPr>
  </w:style>
  <w:style w:type="paragraph" w:styleId="974" w:customStyle="1">
    <w:name w:val="目录 81"/>
    <w:basedOn w:val="758"/>
    <w:next w:val="758"/>
    <w:uiPriority w:val="39"/>
    <w:unhideWhenUsed/>
    <w:qFormat/>
    <w:pPr>
      <w:ind w:left="2940"/>
    </w:pPr>
    <w:rPr>
      <w:rFonts w:ascii="等线" w:hAnsi="等线" w:eastAsia="等线" w:cs="Times New Roman"/>
      <w:szCs w:val="22"/>
    </w:rPr>
  </w:style>
  <w:style w:type="paragraph" w:styleId="975" w:customStyle="1">
    <w:name w:val="日期1"/>
    <w:basedOn w:val="758"/>
    <w:next w:val="758"/>
    <w:link w:val="976"/>
    <w:uiPriority w:val="0"/>
    <w:qFormat/>
    <w:rPr>
      <w:sz w:val="24"/>
      <w:szCs w:val="20"/>
    </w:rPr>
  </w:style>
  <w:style w:type="character" w:styleId="976" w:customStyle="1">
    <w:name w:val="日期 字符"/>
    <w:link w:val="975"/>
    <w:uiPriority w:val="0"/>
    <w:qFormat/>
    <w:rPr>
      <w:sz w:val="24"/>
    </w:rPr>
  </w:style>
  <w:style w:type="paragraph" w:styleId="977" w:customStyle="1">
    <w:name w:val="批注框文本1"/>
    <w:basedOn w:val="758"/>
    <w:link w:val="978"/>
    <w:uiPriority w:val="0"/>
    <w:qFormat/>
    <w:rPr>
      <w:sz w:val="18"/>
      <w:szCs w:val="18"/>
    </w:rPr>
  </w:style>
  <w:style w:type="character" w:styleId="978" w:customStyle="1">
    <w:name w:val="批注框文本 字符"/>
    <w:link w:val="977"/>
    <w:uiPriority w:val="0"/>
    <w:qFormat/>
    <w:rPr>
      <w:sz w:val="18"/>
      <w:szCs w:val="18"/>
    </w:rPr>
  </w:style>
  <w:style w:type="paragraph" w:styleId="979" w:customStyle="1">
    <w:name w:val="页脚1"/>
    <w:basedOn w:val="758"/>
    <w:link w:val="980"/>
    <w:uiPriority w:val="0"/>
    <w:qFormat/>
    <w:pPr>
      <w:jc w:val="left"/>
      <w:tabs>
        <w:tab w:val="center" w:pos="4153" w:leader="none"/>
        <w:tab w:val="right" w:pos="8306" w:leader="none"/>
      </w:tabs>
    </w:pPr>
    <w:rPr>
      <w:sz w:val="18"/>
      <w:szCs w:val="18"/>
    </w:rPr>
  </w:style>
  <w:style w:type="character" w:styleId="980" w:customStyle="1">
    <w:name w:val="页脚 字符"/>
    <w:link w:val="979"/>
    <w:uiPriority w:val="99"/>
    <w:qFormat/>
    <w:rPr>
      <w:sz w:val="18"/>
      <w:szCs w:val="18"/>
    </w:rPr>
  </w:style>
  <w:style w:type="paragraph" w:styleId="981" w:customStyle="1">
    <w:name w:val="页眉1"/>
    <w:basedOn w:val="758"/>
    <w:link w:val="982"/>
    <w:uiPriority w:val="99"/>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字符"/>
    <w:link w:val="981"/>
    <w:uiPriority w:val="99"/>
    <w:qFormat/>
    <w:rPr>
      <w:sz w:val="18"/>
      <w:szCs w:val="18"/>
    </w:rPr>
  </w:style>
  <w:style w:type="paragraph" w:styleId="983" w:customStyle="1">
    <w:name w:val="目录 11"/>
    <w:basedOn w:val="758"/>
    <w:next w:val="758"/>
    <w:uiPriority w:val="39"/>
    <w:qFormat/>
    <w:rPr>
      <w:rFonts w:ascii="仿宋_GB2312" w:eastAsia="仿宋_GB2312"/>
      <w:sz w:val="24"/>
    </w:rPr>
  </w:style>
  <w:style w:type="paragraph" w:styleId="984" w:customStyle="1">
    <w:name w:val="目录 41"/>
    <w:basedOn w:val="758"/>
    <w:next w:val="758"/>
    <w:uiPriority w:val="39"/>
    <w:unhideWhenUsed/>
    <w:qFormat/>
    <w:pPr>
      <w:ind w:left="1260"/>
    </w:pPr>
    <w:rPr>
      <w:rFonts w:ascii="等线" w:hAnsi="等线" w:eastAsia="等线" w:cs="Times New Roman"/>
      <w:szCs w:val="22"/>
    </w:rPr>
  </w:style>
  <w:style w:type="paragraph" w:styleId="985" w:customStyle="1">
    <w:name w:val="目录 61"/>
    <w:basedOn w:val="758"/>
    <w:next w:val="758"/>
    <w:uiPriority w:val="39"/>
    <w:unhideWhenUsed/>
    <w:qFormat/>
    <w:pPr>
      <w:ind w:left="2100"/>
    </w:pPr>
    <w:rPr>
      <w:rFonts w:ascii="等线" w:hAnsi="等线" w:eastAsia="等线" w:cs="Times New Roman"/>
      <w:szCs w:val="22"/>
    </w:rPr>
  </w:style>
  <w:style w:type="paragraph" w:styleId="986" w:customStyle="1">
    <w:name w:val="目录 21"/>
    <w:basedOn w:val="758"/>
    <w:next w:val="758"/>
    <w:uiPriority w:val="39"/>
    <w:unhideWhenUsed/>
    <w:qFormat/>
    <w:pPr>
      <w:ind w:left="220"/>
      <w:jc w:val="left"/>
      <w:spacing w:after="100" w:line="259" w:lineRule="auto"/>
      <w:widowControl/>
    </w:pPr>
    <w:rPr>
      <w:rFonts w:ascii="等线" w:hAnsi="等线" w:eastAsia="等线"/>
      <w:sz w:val="22"/>
      <w:szCs w:val="22"/>
    </w:rPr>
  </w:style>
  <w:style w:type="paragraph" w:styleId="987" w:customStyle="1">
    <w:name w:val="目录 91"/>
    <w:basedOn w:val="758"/>
    <w:next w:val="758"/>
    <w:uiPriority w:val="39"/>
    <w:unhideWhenUsed/>
    <w:qFormat/>
    <w:pPr>
      <w:ind w:left="3360"/>
    </w:pPr>
    <w:rPr>
      <w:rFonts w:ascii="等线" w:hAnsi="等线" w:eastAsia="等线" w:cs="Times New Roman"/>
      <w:szCs w:val="22"/>
    </w:rPr>
  </w:style>
  <w:style w:type="paragraph" w:styleId="988" w:customStyle="1">
    <w:name w:val="正文文本 211"/>
    <w:basedOn w:val="758"/>
    <w:link w:val="989"/>
    <w:uiPriority w:val="0"/>
    <w:qFormat/>
    <w:pPr>
      <w:spacing w:after="120" w:line="480" w:lineRule="auto"/>
    </w:pPr>
    <w:rPr>
      <w:rFonts w:ascii="Calibri" w:hAnsi="Calibri" w:eastAsia="宋体" w:cs="Times New Roman"/>
    </w:rPr>
  </w:style>
  <w:style w:type="character" w:styleId="989" w:customStyle="1">
    <w:name w:val="正文文本 2 字符"/>
    <w:link w:val="988"/>
    <w:uiPriority w:val="0"/>
    <w:qFormat/>
    <w:rPr>
      <w:rFonts w:ascii="Calibri" w:hAnsi="Calibri"/>
      <w:sz w:val="21"/>
      <w:szCs w:val="24"/>
    </w:rPr>
  </w:style>
  <w:style w:type="paragraph" w:styleId="990" w:customStyle="1">
    <w:name w:val="普通(网站)1"/>
    <w:basedOn w:val="758"/>
    <w:uiPriority w:val="99"/>
    <w:qFormat/>
    <w:pPr>
      <w:jc w:val="left"/>
      <w:spacing w:before="100" w:beforeAutospacing="1" w:after="100" w:afterAutospacing="1"/>
      <w:widowControl/>
    </w:pPr>
    <w:rPr>
      <w:sz w:val="24"/>
    </w:rPr>
  </w:style>
  <w:style w:type="paragraph" w:styleId="991" w:customStyle="1">
    <w:name w:val="标题11"/>
    <w:basedOn w:val="758"/>
    <w:next w:val="758"/>
    <w:link w:val="992"/>
    <w:uiPriority w:val="0"/>
    <w:qFormat/>
    <w:pPr>
      <w:jc w:val="center"/>
      <w:spacing w:before="240" w:after="60"/>
      <w:outlineLvl w:val="0"/>
    </w:pPr>
    <w:rPr>
      <w:rFonts w:ascii="等线 Light" w:hAnsi="等线 Light" w:cs="Times New Roman"/>
      <w:b/>
      <w:bCs/>
      <w:sz w:val="32"/>
      <w:szCs w:val="32"/>
    </w:rPr>
  </w:style>
  <w:style w:type="character" w:styleId="992" w:customStyle="1">
    <w:name w:val="标题 字符"/>
    <w:link w:val="991"/>
    <w:uiPriority w:val="0"/>
    <w:qFormat/>
    <w:rPr>
      <w:rFonts w:ascii="等线 Light" w:hAnsi="等线 Light" w:cs="Times New Roman"/>
      <w:b/>
      <w:bCs/>
      <w:sz w:val="32"/>
      <w:szCs w:val="32"/>
    </w:rPr>
  </w:style>
  <w:style w:type="paragraph" w:styleId="993" w:customStyle="1">
    <w:name w:val="批注主题1"/>
    <w:basedOn w:val="965"/>
    <w:next w:val="965"/>
    <w:link w:val="994"/>
    <w:uiPriority w:val="0"/>
    <w:qFormat/>
    <w:rPr>
      <w:b/>
      <w:bCs/>
    </w:rPr>
  </w:style>
  <w:style w:type="character" w:styleId="994" w:customStyle="1">
    <w:name w:val="批注主题 字符"/>
    <w:link w:val="993"/>
    <w:uiPriority w:val="0"/>
    <w:qFormat/>
    <w:rPr>
      <w:b/>
      <w:bCs/>
      <w:sz w:val="21"/>
      <w:szCs w:val="24"/>
    </w:rPr>
  </w:style>
  <w:style w:type="table" w:styleId="995" w:customStyle="1">
    <w:name w:val="网格型1"/>
    <w:basedOn w:val="950"/>
    <w:uiPriority w:val="0"/>
    <w:qFormat/>
    <w:pPr>
      <w:jc w:val="both"/>
      <w:widowControl w:val="off"/>
    </w:pPr>
    <w:tblPr/>
  </w:style>
  <w:style w:type="character" w:styleId="996" w:customStyle="1">
    <w:name w:val="要点1"/>
    <w:link w:val="758"/>
    <w:uiPriority w:val="0"/>
    <w:qFormat/>
    <w:rPr>
      <w:b/>
      <w:bCs/>
    </w:rPr>
  </w:style>
  <w:style w:type="character" w:styleId="997" w:customStyle="1">
    <w:name w:val="页码1"/>
    <w:link w:val="758"/>
    <w:uiPriority w:val="0"/>
    <w:qFormat/>
  </w:style>
  <w:style w:type="character" w:styleId="998" w:customStyle="1">
    <w:name w:val="强调1"/>
    <w:link w:val="758"/>
    <w:uiPriority w:val="0"/>
    <w:qFormat/>
    <w:rPr>
      <w:i/>
      <w:iCs/>
    </w:rPr>
  </w:style>
  <w:style w:type="character" w:styleId="999" w:customStyle="1">
    <w:name w:val="超链接1"/>
    <w:link w:val="758"/>
    <w:uiPriority w:val="99"/>
    <w:qFormat/>
    <w:rPr>
      <w:color w:val="000000"/>
      <w:u w:val="none"/>
    </w:rPr>
  </w:style>
  <w:style w:type="character" w:styleId="1000" w:customStyle="1">
    <w:name w:val="批注引用1"/>
    <w:link w:val="758"/>
    <w:uiPriority w:val="0"/>
    <w:qFormat/>
    <w:rPr>
      <w:sz w:val="21"/>
      <w:szCs w:val="21"/>
    </w:rPr>
  </w:style>
  <w:style w:type="character" w:styleId="1001" w:customStyle="1">
    <w:name w:val="p0 Char"/>
    <w:link w:val="1002"/>
    <w:uiPriority w:val="0"/>
    <w:qFormat/>
    <w:rPr>
      <w:rFonts w:eastAsia="宋体"/>
      <w:sz w:val="21"/>
      <w:szCs w:val="21"/>
      <w:lang w:val="en-US" w:eastAsia="zh-CN" w:bidi="ar-SA"/>
    </w:rPr>
  </w:style>
  <w:style w:type="paragraph" w:styleId="1002" w:customStyle="1">
    <w:name w:val="p0"/>
    <w:basedOn w:val="758"/>
    <w:link w:val="1001"/>
    <w:uiPriority w:val="0"/>
    <w:qFormat/>
    <w:pPr>
      <w:widowControl/>
    </w:pPr>
    <w:rPr>
      <w:szCs w:val="21"/>
    </w:rPr>
  </w:style>
  <w:style w:type="character" w:styleId="1003" w:customStyle="1">
    <w:name w:val="标题 2 Char Char Char"/>
    <w:link w:val="758"/>
    <w:uiPriority w:val="0"/>
    <w:qFormat/>
    <w:rPr>
      <w:rFonts w:ascii="Arial" w:hAnsi="Arial" w:eastAsia="黑体"/>
      <w:b/>
      <w:bCs/>
      <w:sz w:val="32"/>
      <w:szCs w:val="32"/>
      <w:lang w:val="en-US" w:eastAsia="zh-CN" w:bidi="ar-SA"/>
    </w:rPr>
  </w:style>
  <w:style w:type="character" w:styleId="1004" w:customStyle="1">
    <w:name w:val="NormalCharacter1"/>
    <w:link w:val="758"/>
    <w:uiPriority w:val="0"/>
    <w:semiHidden/>
    <w:qFormat/>
  </w:style>
  <w:style w:type="paragraph" w:styleId="1005" w:customStyle="1">
    <w:name w:val="Heading21"/>
    <w:basedOn w:val="758"/>
    <w:next w:val="758"/>
    <w:uiPriority w:val="0"/>
    <w:qFormat/>
    <w:pPr>
      <w:jc w:val="center"/>
      <w:keepNext/>
      <w:widowControl/>
    </w:pPr>
    <w:rPr>
      <w:rFonts w:ascii="楷体_GB2312" w:eastAsia="楷体_GB2312"/>
      <w:sz w:val="18"/>
      <w:szCs w:val="20"/>
    </w:rPr>
  </w:style>
  <w:style w:type="paragraph" w:styleId="1006" w:customStyle="1">
    <w:name w:val="TOC 标题"/>
    <w:basedOn w:val="943"/>
    <w:next w:val="758"/>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7"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样式1"/>
    <w:basedOn w:val="943"/>
    <w:link w:val="1009"/>
    <w:uiPriority w:val="0"/>
    <w:qFormat/>
    <w:pPr>
      <w:ind w:left="210" w:right="210"/>
    </w:pPr>
  </w:style>
  <w:style w:type="character" w:styleId="1009" w:customStyle="1">
    <w:name w:val="样式1 字符"/>
    <w:link w:val="1008"/>
    <w:uiPriority w:val="0"/>
    <w:qFormat/>
  </w:style>
  <w:style w:type="paragraph" w:styleId="1010" w:customStyle="1">
    <w:name w:val="标题 21"/>
    <w:basedOn w:val="75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1" w:customStyle="1">
    <w:name w:val="列表段落"/>
    <w:basedOn w:val="758"/>
    <w:uiPriority w:val="1"/>
    <w:qFormat/>
    <w:pPr>
      <w:ind w:left="400" w:firstLine="420"/>
      <w:jc w:val="left"/>
    </w:pPr>
    <w:rPr>
      <w:rFonts w:ascii="宋体" w:hAnsi="宋体" w:cs="宋体"/>
      <w:sz w:val="22"/>
      <w:szCs w:val="22"/>
      <w:lang w:val="zh-CN" w:bidi="zh-CN"/>
    </w:rPr>
  </w:style>
  <w:style w:type="paragraph" w:styleId="1012" w:customStyle="1">
    <w:name w:val="Table Paragraph"/>
    <w:basedOn w:val="758"/>
    <w:uiPriority w:val="1"/>
    <w:qFormat/>
    <w:pPr>
      <w:jc w:val="left"/>
    </w:pPr>
    <w:rPr>
      <w:rFonts w:ascii="宋体" w:hAnsi="宋体" w:cs="宋体"/>
      <w:sz w:val="22"/>
      <w:szCs w:val="22"/>
      <w:lang w:val="zh-CN" w:bidi="zh-CN"/>
    </w:rPr>
  </w:style>
  <w:style w:type="character" w:styleId="1013" w:customStyle="1">
    <w:name w:val="ask-title2"/>
    <w:link w:val="758"/>
    <w:uiPriority w:val="0"/>
    <w:qFormat/>
  </w:style>
  <w:style w:type="paragraph" w:styleId="1014" w:customStyle="1">
    <w:name w:val="列出段落2"/>
    <w:basedOn w:val="758"/>
    <w:uiPriority w:val="99"/>
    <w:unhideWhenUsed/>
    <w:qFormat/>
    <w:pPr>
      <w:ind w:firstLine="420"/>
      <w:jc w:val="left"/>
    </w:pPr>
    <w:rPr>
      <w:rFonts w:ascii="宋体"/>
      <w:sz w:val="20"/>
      <w:szCs w:val="20"/>
    </w:rPr>
  </w:style>
  <w:style w:type="paragraph" w:styleId="1015" w:customStyle="1">
    <w:name w:val="纯文本1"/>
    <w:basedOn w:val="758"/>
    <w:uiPriority w:val="0"/>
    <w:qFormat/>
    <w:rPr>
      <w:rFonts w:ascii="宋体" w:hAnsi="Courier New"/>
      <w:sz w:val="20"/>
      <w:szCs w:val="21"/>
    </w:rPr>
  </w:style>
  <w:style w:type="character" w:styleId="1016" w:customStyle="1">
    <w:name w:val="纯文本 Char2"/>
    <w:link w:val="758"/>
    <w:uiPriority w:val="0"/>
    <w:qFormat/>
    <w:rPr>
      <w:rFonts w:ascii="宋体" w:hAnsi="Courier New"/>
      <w:sz w:val="21"/>
    </w:rPr>
  </w:style>
  <w:style w:type="paragraph" w:styleId="1017" w:customStyle="1">
    <w:name w:val="列出段落1"/>
    <w:basedOn w:val="758"/>
    <w:uiPriority w:val="0"/>
    <w:qFormat/>
    <w:pPr>
      <w:ind w:firstLine="420"/>
      <w:spacing w:line="0" w:lineRule="atLeast"/>
    </w:pPr>
    <w:rPr>
      <w:rFonts w:eastAsia="微软雅黑"/>
      <w:sz w:val="20"/>
      <w:szCs w:val="20"/>
    </w:rPr>
  </w:style>
  <w:style w:type="character" w:styleId="1018" w:customStyle="1">
    <w:name w:val="纯文本 Char"/>
    <w:link w:val="776"/>
    <w:uiPriority w:val="0"/>
    <w:qFormat/>
    <w:rPr>
      <w:rFonts w:ascii="宋体" w:hAnsi="Courier New"/>
    </w:rPr>
  </w:style>
  <w:style w:type="character" w:styleId="1019" w:customStyle="1">
    <w:name w:val="页脚 Char"/>
    <w:link w:val="758"/>
    <w:uiPriority w:val="0"/>
    <w:qFormat/>
    <w:rPr>
      <w:sz w:val="18"/>
      <w:szCs w:val="18"/>
    </w:rPr>
  </w:style>
  <w:style w:type="paragraph" w:styleId="1020" w:customStyle="1">
    <w:name w:val="_Style 83"/>
    <w:basedOn w:val="758"/>
    <w:next w:val="1011"/>
    <w:uiPriority w:val="99"/>
    <w:qFormat/>
    <w:pPr>
      <w:ind w:firstLine="420"/>
    </w:pPr>
  </w:style>
  <w:style w:type="character" w:styleId="1021" w:customStyle="1">
    <w:name w:val="正文2 Char Char"/>
    <w:link w:val="1022"/>
    <w:uiPriority w:val="0"/>
    <w:qFormat/>
    <w:rPr>
      <w:sz w:val="24"/>
    </w:rPr>
  </w:style>
  <w:style w:type="paragraph" w:styleId="1022" w:customStyle="1">
    <w:name w:val="正文2"/>
    <w:basedOn w:val="758"/>
    <w:link w:val="1021"/>
    <w:uiPriority w:val="0"/>
    <w:qFormat/>
    <w:pPr>
      <w:ind w:firstLine="510"/>
      <w:spacing w:before="156" w:line="360" w:lineRule="auto"/>
    </w:pPr>
    <w:rPr>
      <w:sz w:val="24"/>
      <w:szCs w:val="20"/>
    </w:rPr>
  </w:style>
  <w:style w:type="paragraph" w:styleId="1023" w:customStyle="1">
    <w:name w:val="标题 5（有编号）（绿盟科技）"/>
    <w:basedOn w:val="758"/>
    <w:next w:val="1024"/>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2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25" w:customStyle="1">
    <w:name w:val="0正文"/>
    <w:basedOn w:val="758"/>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26" w:customStyle="1">
    <w:name w:val="msolistparagraph"/>
    <w:basedOn w:val="758"/>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27" w:customStyle="1">
    <w:name w:val="Table Normal"/>
    <w:uiPriority w:val="0"/>
    <w:unhideWhenUsed/>
    <w:qFormat/>
    <w:rPr>
      <w:lang w:val="en-US" w:eastAsia="zh-CN" w:bidi="ar-SA"/>
    </w:rPr>
    <w:tblPr/>
  </w:style>
  <w:style w:type="paragraph" w:styleId="1028" w:customStyle="1">
    <w:name w:val="Table Text"/>
    <w:basedOn w:val="758"/>
    <w:uiPriority w:val="0"/>
    <w:semiHidden/>
    <w:qFormat/>
    <w:rPr>
      <w:rFonts w:ascii="Arial" w:hAnsi="Arial" w:eastAsia="Arial" w:cs="Arial"/>
      <w:sz w:val="21"/>
      <w:szCs w:val="21"/>
      <w:lang w:val="en-US" w:eastAsia="en-US" w:bidi="ar-SA"/>
    </w:rPr>
  </w:style>
  <w:style w:type="paragraph" w:styleId="1029" w:customStyle="1">
    <w:name w:val="样式4"/>
    <w:basedOn w:val="944"/>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3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31">
    <w:name w:val="List Paragraph"/>
    <w:basedOn w:val="758"/>
    <w:next w:val="758"/>
    <w:uiPriority w:val="0"/>
    <w:qFormat/>
    <w:pPr>
      <w:ind w:firstLine="420"/>
    </w:pPr>
    <w:rPr>
      <w:rFonts w:ascii="Times New Roman" w:hAnsi="Times New Roman"/>
      <w:szCs w:val="21"/>
    </w:rPr>
  </w:style>
  <w:style w:type="paragraph" w:styleId="1032" w:customStyle="1">
    <w:name w:val="首行缩进"/>
    <w:basedOn w:val="1033"/>
    <w:uiPriority w:val="0"/>
    <w:qFormat/>
    <w:pPr>
      <w:ind w:firstLine="480"/>
      <w:jc w:val="left"/>
      <w:spacing w:line="360" w:lineRule="auto"/>
    </w:pPr>
    <w:rPr>
      <w:rFonts w:ascii="宋体" w:hAnsi="宋体" w:eastAsia="仿宋" w:cs="仿宋"/>
      <w:sz w:val="24"/>
      <w:lang w:val="zh-CN" w:bidi="zh-CN"/>
    </w:rPr>
  </w:style>
  <w:style w:type="paragraph" w:styleId="1033" w:customStyle="1">
    <w:name w:val="正文1"/>
    <w:next w:val="1032"/>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34" w:customStyle="1">
    <w:name w:val="正文缩进1"/>
    <w:basedOn w:val="758"/>
    <w:uiPriority w:val="0"/>
    <w:qFormat/>
    <w:pPr>
      <w:ind w:firstLine="420"/>
    </w:pPr>
    <w:rPr>
      <w:szCs w:val="20"/>
      <w:lang w:val="en-US"/>
    </w:rPr>
  </w:style>
  <w:style w:type="paragraph" w:styleId="1035" w:customStyle="1">
    <w:name w:val="标题1"/>
    <w:basedOn w:val="758"/>
    <w:next w:val="758"/>
    <w:uiPriority w:val="0"/>
    <w:qFormat/>
    <w:pPr>
      <w:jc w:val="center"/>
      <w:spacing w:before="240" w:after="60" w:line="360" w:lineRule="auto"/>
      <w:outlineLvl w:val="0"/>
    </w:pPr>
    <w:rPr>
      <w:rFonts w:ascii="等线 Light" w:hAnsi="等线 Light"/>
      <w:b/>
      <w:bCs/>
      <w:sz w:val="32"/>
      <w:szCs w:val="32"/>
    </w:rPr>
  </w:style>
  <w:style w:type="paragraph" w:styleId="1036" w:customStyle="1">
    <w:name w:val="纯文本2"/>
    <w:basedOn w:val="758"/>
    <w:uiPriority w:val="0"/>
    <w:qFormat/>
    <w:pPr>
      <w:ind w:firstLine="200"/>
      <w:spacing w:line="360" w:lineRule="auto"/>
    </w:pPr>
    <w:rPr>
      <w:rFonts w:ascii="宋体" w:hAnsi="Courier New"/>
      <w:sz w:val="20"/>
      <w:szCs w:val="20"/>
    </w:rPr>
  </w:style>
  <w:style w:type="paragraph" w:styleId="1037" w:customStyle="1">
    <w:name w:val="正文文本 21"/>
    <w:basedOn w:val="758"/>
    <w:uiPriority w:val="0"/>
    <w:qFormat/>
    <w:pPr>
      <w:spacing w:after="120" w:line="480" w:lineRule="auto"/>
    </w:pPr>
    <w:rPr>
      <w:rFonts w:ascii="Calibri" w:hAnsi="Calibri"/>
    </w:rPr>
  </w:style>
  <w:style w:type="paragraph" w:styleId="1038" w:customStyle="1">
    <w:name w:val="正文缩进11"/>
    <w:basedOn w:val="758"/>
    <w:next w:val="758"/>
    <w:uiPriority w:val="99"/>
    <w:qFormat/>
    <w:pPr>
      <w:ind w:firstLine="420"/>
    </w:pPr>
    <w:rPr>
      <w:szCs w:val="20"/>
    </w:rPr>
  </w:style>
  <w:style w:type="paragraph" w:styleId="1039" w:customStyle="1">
    <w:name w:val="null3"/>
    <w:uiPriority w:val="0"/>
    <w:qFormat/>
    <w:rPr>
      <w:rFonts w:hint="eastAsia" w:ascii="Calibri" w:hAnsi="Calibri" w:eastAsia="宋体" w:cs="Times New Roman"/>
      <w:lang w:val="en-US" w:eastAsia="en-US"/>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13</cp:revision>
  <dcterms:created xsi:type="dcterms:W3CDTF">2024-06-18T06:04:00Z</dcterms:created>
  <dcterms:modified xsi:type="dcterms:W3CDTF">2026-09-17T08:50:46Z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eyJoZGlkIjoiN2YwOTFjOTI3YTAxNGZlNDZiMjBiOGFkMjZmMTRlMzAiLCJ1c2VySWQiOiIxMjE0MDc0NTk5In0=</vt:lpwstr>
  </property>
  <property fmtid="{D5CDD505-2E9C-101B-9397-08002B2CF9AE}" pid="3" name="KSOProductBuildVer">
    <vt:lpwstr>2052-12.1.0.28488</vt:lpwstr>
  </property>
  <property fmtid="{D5CDD505-2E9C-101B-9397-08002B2CF9AE}" pid="4" name="ICV">
    <vt:lpwstr>20F05F9F2EF843F0814CE4BD25197C5D_13</vt:lpwstr>
  </property>
</Properties>
</file>