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83"/>
        <w:rPr>
          <w:rFonts w:hint="eastAsia"/>
        </w:rPr>
      </w:pPr>
      <w:r>
        <w:rPr>
          <w:rFonts w:hint="eastAsia"/>
        </w:rPr>
      </w:r>
      <w:r/>
    </w:p>
    <w:p>
      <w:pPr>
        <w:pStyle w:val="883"/>
        <w:rPr>
          <w:rFonts w:hint="eastAsia"/>
          <w:highlight w:val="none"/>
        </w:rPr>
      </w:pPr>
      <w:r>
        <w:rPr>
          <w:rFonts w:hint="eastAsia"/>
          <w:highlight w:val="none"/>
        </w:rPr>
      </w:r>
      <w:r/>
    </w:p>
    <w:p>
      <w:pPr>
        <w:pStyle w:val="961"/>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金陵小学（广志路校区）加装电梯项目</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JSZC-320100-JZCG-G2026-0278</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b/>
          <w:bCs/>
          <w:sz w:val="32"/>
          <w:highlight w:val="none"/>
          <w:lang w:eastAsia="zh-CN"/>
        </w:rPr>
        <w:outlineLvl w:val="0"/>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outlineLvl w:val="0"/>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29</w:t>
      </w:r>
      <w:r>
        <w:rPr>
          <w:rFonts w:hint="eastAsia" w:ascii="黑体" w:hAnsi="宋体" w:eastAsia="黑体" w:cs="Times New Roman"/>
          <w:color w:val="000000"/>
          <w:sz w:val="36"/>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bookmarkEnd w:id="11"/>
      <w:r/>
      <w:bookmarkStart w:id="12" w:name="_Toc35393622"/>
      <w:r/>
      <w:bookmarkStart w:id="13" w:name="_Toc38985264"/>
      <w:r/>
      <w:bookmarkStart w:id="14" w:name="_Toc35393791"/>
      <w:r/>
      <w:bookmarkStart w:id="15" w:name="_Toc28359003"/>
      <w:r/>
      <w:bookmarkStart w:id="16" w:name="_Toc28359080"/>
      <w:r>
        <w:rPr>
          <w:rFonts w:hint="eastAsia" w:ascii="宋体" w:hAnsi="宋体" w:eastAsia="宋体" w:cs="Times New Roman"/>
          <w:color w:val="000000"/>
          <w:sz w:val="24"/>
          <w:szCs w:val="24"/>
          <w:highlight w:val="none"/>
          <w:lang w:val="en-US" w:eastAsia="zh-CN"/>
        </w:rPr>
        <w:t xml:space="preserve">1.项目编号：JSZC-320100-JZCG-G2026-0278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2.项目名称：金陵小学（广志路校区）加装电梯项目</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3.预算金额：25万元</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4.最高限价：25万元</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5.采购需求（简介）：南京市金陵小学（广志路校区）加装一台电梯，包括供货及安装。（详细内容见本招标文件第四章）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6.合同履行期限：合同签订后60天内交付并完成安装调试及验收等相关工作。</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7.本项目不接受联合体投标。</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8.本项目不接受进口产品投标。</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highlight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outlineLvl w:val="2"/>
      </w:pPr>
      <w:r/>
      <w:bookmarkStart w:id="17" w:name="_Toc35393792"/>
      <w:r/>
      <w:bookmarkStart w:id="18" w:name="_Toc28359004"/>
      <w:r/>
      <w:bookmarkStart w:id="19" w:name="_Toc28359081"/>
      <w:r/>
      <w:bookmarkStart w:id="20" w:name="_Toc38985265"/>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52" w:lineRule="auto"/>
        <w:widowControl w:val="off"/>
        <w:rPr>
          <w:rFonts w:hint="eastAsia" w:ascii="宋体" w:hAnsi="宋体"/>
          <w:color w:val="000000"/>
          <w:sz w:val="24"/>
          <w:szCs w:val="24"/>
          <w:highlight w:val="none"/>
          <w:lang w:val="zh-CN"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en-US" w:eastAsia="zh-CN" w:bidi="ar-SA"/>
        </w:rPr>
        <w:outlineLvl w:val="2"/>
      </w:pPr>
      <w:r>
        <w:rPr>
          <w:rFonts w:hint="eastAsia" w:ascii="宋体" w:hAnsi="宋体" w:eastAsia="宋体" w:cs="Times New Roman"/>
          <w:b w:val="0"/>
          <w:bCs w:val="0"/>
          <w:color w:val="000000"/>
          <w:sz w:val="24"/>
          <w:szCs w:val="24"/>
          <w:highlight w:val="none"/>
          <w:lang w:val="en-US" w:eastAsia="zh-CN" w:bidi="ar-SA"/>
        </w:rPr>
        <w:t xml:space="preserve">1.供应商所投电梯的制造单位须具有有效期内的《中华人民共和国特种设备生产许可证》许可项目电梯制造（含安装、修理、改造；许可子项目曳引驱动乘客电梯）（提供证书或证明文件扫描件）。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b w:val="0"/>
          <w:bCs w:val="0"/>
          <w:color w:val="000000"/>
          <w:sz w:val="24"/>
          <w:szCs w:val="24"/>
          <w:highlight w:val="none"/>
          <w:lang w:val="en-US" w:eastAsia="zh-CN" w:bidi="ar-SA"/>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en-US" w:eastAsia="zh-CN" w:bidi="ar-SA"/>
        </w:rPr>
        <w:outlineLvl w:val="2"/>
      </w:pPr>
      <w:r>
        <w:rPr>
          <w:rFonts w:hint="eastAsia" w:ascii="宋体" w:hAnsi="宋体" w:eastAsia="宋体" w:cs="Times New Roman"/>
          <w:b w:val="0"/>
          <w:bCs w:val="0"/>
          <w:color w:val="000000"/>
          <w:sz w:val="24"/>
          <w:szCs w:val="24"/>
          <w:highlight w:val="none"/>
          <w:lang w:val="en-US" w:eastAsia="zh-CN" w:bidi="ar-SA"/>
        </w:rPr>
        <w:t xml:space="preserve">2.供应商所投电梯的安装单位须具有有效期内的《中华人民共和国特种设备生产许可证》许可项目电梯安装（含修理；许可子项目曳引驱动乘客电梯）（提供证书或证明文件扫描件）。</w:t>
      </w:r>
      <w:r>
        <w:rPr>
          <w:rFonts w:hint="eastAsia" w:ascii="宋体" w:hAnsi="宋体" w:eastAsia="宋体" w:cs="Times New Roman"/>
          <w:b w:val="0"/>
          <w:bCs w:val="0"/>
          <w:color w:val="000000"/>
          <w:sz w:val="24"/>
          <w:szCs w:val="24"/>
          <w:highlight w:val="none"/>
          <w:lang w:val="en-US" w:eastAsia="zh-CN" w:bidi="ar-SA"/>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1"/>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5393625"/>
      <w:r/>
      <w:bookmarkStart w:id="28" w:name="_Toc28359007"/>
      <w:r/>
      <w:bookmarkStart w:id="29" w:name="_Toc28359084"/>
      <w:r/>
      <w:bookmarkStart w:id="30" w:name="_Toc35393794"/>
      <w:r/>
      <w:bookmarkStart w:id="31" w:name="_Toc3898526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1"/>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627"/>
      <w:r/>
      <w:bookmarkStart w:id="36" w:name="_Toc28359085"/>
      <w:r/>
      <w:bookmarkStart w:id="37" w:name="_Toc38985269"/>
      <w:r/>
      <w:bookmarkStart w:id="38" w:name="_Toc35393796"/>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采购人《质疑函》收件人：施涛，收件地址：南京市栖霞区广志路20号，联系电话：13915986002。</w:t>
      </w:r>
      <w:r>
        <w:rPr>
          <w:rFonts w:hint="eastAsia" w:ascii="宋体" w:hAnsi="宋体" w:eastAsia="宋体" w:cs="Times New Roman"/>
          <w:b w:val="0"/>
          <w:bCs w:val="0"/>
          <w:color w:val="000000"/>
          <w:sz w:val="24"/>
          <w:highlight w:val="none"/>
          <w:lang w:val="en-US" w:eastAsia="zh-CN"/>
        </w:rPr>
      </w:r>
      <w:r/>
    </w:p>
    <w:p>
      <w:pPr>
        <w:pStyle w:val="871"/>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bookmarkStart w:id="40" w:name="_Toc28359009"/>
      <w:r/>
      <w:bookmarkStart w:id="41" w:name="_Toc28359086"/>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名  称：南京市金陵小学          </w:t>
      </w:r>
      <w:r>
        <w:rPr>
          <w:rFonts w:hint="eastAsia" w:ascii="宋体" w:hAnsi="宋体" w:eastAsia="宋体" w:cs="Times New Roman"/>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地  址：江苏省南京市栖霞区广志路20号   </w:t>
      </w:r>
      <w:r>
        <w:rPr>
          <w:rFonts w:hint="eastAsia" w:ascii="宋体" w:hAnsi="宋体" w:eastAsia="宋体" w:cs="Times New Roman"/>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联系人：施涛 </w:t>
      </w:r>
      <w:r>
        <w:rPr>
          <w:rFonts w:hint="eastAsia" w:ascii="宋体" w:hAnsi="宋体" w:eastAsia="宋体" w:cs="Times New Roman"/>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联系电话：13915986002 </w:t>
      </w:r>
      <w:r>
        <w:rPr>
          <w:rFonts w:hint="eastAsia" w:ascii="宋体" w:hAnsi="宋体" w:eastAsia="宋体" w:cs="Times New Roman"/>
          <w:sz w:val="24"/>
          <w:szCs w:val="24"/>
          <w:highlight w:val="none"/>
          <w:lang w:val="en-US" w:eastAsia="zh-CN"/>
        </w:rPr>
      </w:r>
      <w:r/>
    </w:p>
    <w:p>
      <w:pPr>
        <w:pStyle w:val="871"/>
        <w:ind w:firstLine="480"/>
        <w:pageBreakBefore w:val="0"/>
        <w:spacing w:line="252"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2.交易中心</w:t>
      </w:r>
      <w:bookmarkEnd w:id="40"/>
      <w:r/>
      <w:bookmarkEnd w:id="41"/>
      <w:r>
        <w:rPr>
          <w:rFonts w:hint="eastAsia" w:ascii="宋体" w:hAnsi="宋体" w:eastAsia="宋体" w:cs="Times New Roman"/>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w:t>
      </w:r>
      <w:r>
        <w:rPr>
          <w:rFonts w:hint="eastAsia" w:ascii="宋体" w:hAnsi="宋体" w:eastAsia="宋体" w:cs="Times New Roman"/>
          <w:color w:val="000000"/>
          <w:sz w:val="24"/>
          <w:szCs w:val="24"/>
          <w:highlight w:val="none"/>
          <w:u w:val="none"/>
          <w:lang w:val="en-US" w:eastAsia="zh-CN"/>
        </w:rPr>
        <w:t xml:space="preserve">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联系人：杨先生 </w:t>
      </w:r>
      <w:r>
        <w:rPr>
          <w:rFonts w:hint="eastAsia" w:ascii="宋体" w:hAnsi="宋体" w:eastAsia="宋体" w:cs="Times New Roman"/>
          <w:color w:val="000000"/>
          <w:sz w:val="24"/>
          <w:szCs w:val="24"/>
          <w:highlight w:val="none"/>
          <w:u w:val="none"/>
          <w:lang w:val="en-US" w:eastAsia="zh-CN"/>
        </w:rPr>
      </w:r>
      <w:r/>
    </w:p>
    <w:p>
      <w:pPr>
        <w:pStyle w:val="871"/>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联系电话：025-68505993 </w:t>
      </w:r>
      <w:r>
        <w:rPr>
          <w:rFonts w:hint="eastAsia" w:ascii="宋体" w:hAnsi="宋体" w:eastAsia="宋体" w:cs="Times New Roman"/>
          <w:color w:val="000000"/>
          <w:sz w:val="24"/>
          <w:szCs w:val="24"/>
          <w:highlight w:val="none"/>
          <w:u w:val="none"/>
          <w:lang w:val="en-US" w:eastAsia="zh-CN"/>
        </w:rPr>
      </w:r>
      <w:r/>
    </w:p>
    <w:p>
      <w:pPr>
        <w:pStyle w:val="88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1"/>
        <w:ind w:firstLine="492"/>
        <w:spacing w:line="240" w:lineRule="auto"/>
        <w:rPr>
          <w:rFonts w:hint="eastAsia"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lang w:val="en-US" w:eastAsia="zh-CN"/>
        </w:rPr>
        <w:t xml:space="preserve">18.</w:t>
      </w:r>
      <w:r>
        <w:rPr>
          <w:rFonts w:hint="eastAsia" w:ascii="方正楷体_GBK" w:hAnsi="方正楷体_GBK" w:eastAsia="方正楷体_GBK" w:cs="方正楷体_GBK"/>
          <w:b/>
          <w:bCs/>
          <w:sz w:val="28"/>
          <w:szCs w:val="28"/>
          <w:highlight w:val="none"/>
          <w:lang w:val="en-US"/>
        </w:rPr>
        <w:t xml:space="preserve">评标</w:t>
      </w:r>
      <w:r>
        <w:rPr>
          <w:rFonts w:hint="eastAsia" w:ascii="方正楷体_GBK" w:hAnsi="方正楷体_GBK" w:eastAsia="方正楷体_GBK" w:cs="方正楷体_GBK"/>
          <w:b/>
          <w:bCs/>
          <w:sz w:val="28"/>
          <w:szCs w:val="28"/>
          <w:highlight w:val="none"/>
          <w:lang w:val="en-US"/>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outlineLvl w:val="2"/>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479757207"/>
      <w:r/>
      <w:bookmarkStart w:id="45" w:name="_Toc513029242"/>
      <w:r/>
      <w:bookmarkStart w:id="46" w:name="_Toc16938558"/>
      <w:r/>
      <w:bookmarkStart w:id="47" w:name="_Toc20823314"/>
      <w:r>
        <w:rPr>
          <w:rFonts w:hint="eastAsia" w:ascii="宋体" w:hAnsi="宋体" w:eastAsia="宋体" w:cs="Times New Roman"/>
          <w:color w:val="000000"/>
          <w:sz w:val="24"/>
          <w:highlight w:val="none"/>
          <w:lang w:val="zh-CN" w:eastAsia="zh-CN"/>
        </w:rPr>
      </w:r>
      <w:r/>
    </w:p>
    <w:p>
      <w:pPr>
        <w:pStyle w:val="88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83"/>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1"/>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16938559"/>
      <w:r/>
      <w:bookmarkStart w:id="49" w:name="_Toc20823315"/>
      <w:r/>
      <w:bookmarkStart w:id="50" w:name="_Toc513029243"/>
      <w:r/>
      <w:bookmarkStart w:id="51" w:name="_Hlt16619350"/>
      <w:r/>
      <w:bookmarkStart w:id="52" w:name="_Toc16938590"/>
      <w:r/>
      <w:bookmarkStart w:id="53" w:name="_Toc120614244"/>
      <w:r/>
      <w:bookmarkStart w:id="54" w:name="_Toc20823346"/>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w:t>
      </w:r>
      <w:r>
        <w:rPr>
          <w:rFonts w:hint="eastAsia" w:ascii="宋体" w:hAnsi="宋体" w:eastAsia="宋体" w:cs="Courier New"/>
          <w:color w:val="000000"/>
          <w:sz w:val="24"/>
          <w:szCs w:val="24"/>
          <w:highlight w:val="none"/>
        </w:rPr>
        <w:t xml:space="preserve"> 标的名称：</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w:t>
      </w:r>
      <w:r>
        <w:rPr>
          <w:rFonts w:hint="eastAsia" w:ascii="宋体" w:hAnsi="宋体" w:eastAsia="宋体" w:cs="Courier New"/>
          <w:sz w:val="24"/>
          <w:szCs w:val="24"/>
          <w:highlight w:val="none"/>
          <w:lang w:val="en-US" w:eastAsia="zh-CN"/>
        </w:rPr>
        <w:t xml:space="preserve">定的乙方账户。 </w:t>
      </w:r>
      <w:r>
        <w:rPr>
          <w:rFonts w:hint="eastAsia" w:ascii="宋体" w:hAnsi="宋体" w:eastAsia="宋体" w:cs="Courier New"/>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spacing w:line="264" w:lineRule="auto"/>
        <w:rPr>
          <w:rFonts w:eastAsia="宋体"/>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highlight w:val="none"/>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0.5‰</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30</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0.5‰</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outlineLvl w:val="1"/>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sz w:val="24"/>
          <w:szCs w:val="24"/>
          <w:highlight w:val="none"/>
        </w:rPr>
      </w:pPr>
      <w:r/>
      <w:bookmarkEnd w:id="48"/>
      <w:r/>
      <w:bookmarkEnd w:id="49"/>
      <w:r/>
      <w:bookmarkEnd w:id="50"/>
      <w:r/>
      <w:bookmarkStart w:id="57" w:name="_Hlt16619369"/>
      <w:r/>
      <w:bookmarkEnd w:id="57"/>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1"/>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outlineLvl w:val="2"/>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本项目计划在南京市金陵小学（广志路校区）加装一台电梯，包括供货及安装。</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所投产品满足招标文件产品标准和规范要求及《特种设备安全监察条例》、《电梯检验规则》等最新的要求，同时应达到下列标准和规范最新版本的要求：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（1）GB/T7588《电梯制造与安装安全规范》</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（2）GB/T10058《电梯技术条件》</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（3）GB/T10059《电梯试验方法》</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（4）GB/T10060《电梯安装验收规范》</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（5）其他与电梯相关的国家、行业和地方的法律法规、规范规程、标准、图集。</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招标文件涉及标准中未标年号的一律采用最新的标准；随着标准的修订，以修订后的最新标准为依据。除上述列举标准外，还应遵循国家、行业及地方现行的其他规范和标准。</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987"/>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871"/>
              <w:jc w:val="center"/>
              <w:spacing w:line="288"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611"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2"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942" w:type="dxa"/>
            <w:vAlign w:val="center"/>
            <w:textDirection w:val="lrTb"/>
            <w:noWrap w:val="false"/>
          </w:tcPr>
          <w:p>
            <w:pPr>
              <w:pStyle w:val="871"/>
              <w:jc w:val="center"/>
              <w:rPr>
                <w:rFonts w:hint="eastAsia" w:ascii="宋体" w:hAnsi="宋体" w:eastAsia="宋体" w:cs="Times New Roman"/>
                <w:bCs w:val="0"/>
                <w:color w:val="000000"/>
                <w:sz w:val="24"/>
                <w:szCs w:val="24"/>
                <w:highlight w:val="none"/>
                <w:lang w:val="zh-CN"/>
              </w:rPr>
            </w:pPr>
            <w:r>
              <w:rPr>
                <w:rFonts w:hint="eastAsia" w:ascii="宋体" w:hAnsi="宋体" w:eastAsia="宋体" w:cs="Times New Roman"/>
                <w:color w:val="000000"/>
                <w:sz w:val="24"/>
                <w:szCs w:val="24"/>
                <w:lang w:val="zh-CN"/>
              </w:rPr>
              <w:t xml:space="preserve">无机房客梯</w:t>
            </w:r>
            <w:r>
              <w:rPr>
                <w:rFonts w:hint="eastAsia" w:ascii="宋体" w:hAnsi="宋体" w:eastAsia="宋体" w:cs="Times New Roman"/>
                <w:bCs w:val="0"/>
                <w:color w:val="000000"/>
                <w:sz w:val="24"/>
                <w:szCs w:val="24"/>
                <w:highlight w:val="none"/>
                <w:lang w:val="zh-CN"/>
              </w:rPr>
            </w:r>
            <w:r/>
          </w:p>
        </w:tc>
        <w:tc>
          <w:tcPr>
            <w:tcW w:w="724" w:type="dxa"/>
            <w:vAlign w:val="center"/>
            <w:textDirection w:val="lrTb"/>
            <w:noWrap w:val="false"/>
          </w:tcPr>
          <w:p>
            <w:pPr>
              <w:pStyle w:val="871"/>
              <w:jc w:val="center"/>
              <w:rPr>
                <w:rFonts w:hint="eastAsia" w:ascii="宋体" w:hAnsi="宋体" w:eastAsia="宋体" w:cs="Times New Roman"/>
                <w:bCs w:val="0"/>
                <w:color w:val="000000"/>
                <w:sz w:val="24"/>
                <w:szCs w:val="24"/>
                <w:highlight w:val="none"/>
                <w:lang w:val="zh-CN"/>
              </w:rPr>
            </w:pPr>
            <w:r>
              <w:rPr>
                <w:rFonts w:hint="eastAsia" w:ascii="宋体" w:hAnsi="宋体" w:eastAsia="宋体" w:cs="Times New Roman"/>
                <w:color w:val="000000"/>
                <w:sz w:val="24"/>
                <w:szCs w:val="24"/>
                <w:lang w:val="zh-CN"/>
              </w:rPr>
              <w:t xml:space="preserve">1</w:t>
            </w:r>
            <w:r>
              <w:rPr>
                <w:rFonts w:hint="eastAsia" w:ascii="宋体" w:hAnsi="宋体" w:eastAsia="宋体" w:cs="Times New Roman"/>
                <w:bCs w:val="0"/>
                <w:color w:val="000000"/>
                <w:sz w:val="24"/>
                <w:szCs w:val="24"/>
                <w:highlight w:val="none"/>
                <w:lang w:val="zh-CN"/>
              </w:rPr>
            </w:r>
            <w:r/>
          </w:p>
        </w:tc>
        <w:tc>
          <w:tcPr>
            <w:tcW w:w="693" w:type="dxa"/>
            <w:vAlign w:val="center"/>
            <w:textDirection w:val="lrTb"/>
            <w:noWrap w:val="false"/>
          </w:tcPr>
          <w:p>
            <w:pPr>
              <w:pStyle w:val="871"/>
              <w:jc w:val="center"/>
              <w:rPr>
                <w:rFonts w:hint="eastAsia" w:ascii="宋体" w:hAnsi="宋体" w:eastAsia="宋体" w:cs="Times New Roman"/>
                <w:bCs w:val="0"/>
                <w:color w:val="000000"/>
                <w:sz w:val="24"/>
                <w:szCs w:val="24"/>
                <w:highlight w:val="none"/>
                <w:lang w:val="zh-CN" w:eastAsia="zh-CN" w:bidi="ar-SA"/>
              </w:rPr>
            </w:pPr>
            <w:r>
              <w:rPr>
                <w:rFonts w:hint="eastAsia" w:ascii="宋体" w:hAnsi="宋体" w:eastAsia="宋体" w:cs="Times New Roman"/>
                <w:color w:val="000000"/>
                <w:sz w:val="24"/>
                <w:szCs w:val="24"/>
                <w:lang w:val="zh-CN"/>
              </w:rPr>
              <w:t xml:space="preserve">台</w:t>
            </w:r>
            <w:r>
              <w:rPr>
                <w:rFonts w:hint="eastAsia" w:ascii="宋体" w:hAnsi="宋体" w:eastAsia="宋体" w:cs="Times New Roman"/>
                <w:bCs w:val="0"/>
                <w:color w:val="000000"/>
                <w:sz w:val="24"/>
                <w:szCs w:val="24"/>
                <w:highlight w:val="none"/>
                <w:lang w:val="zh-CN" w:eastAsia="zh-CN" w:bidi="ar-SA"/>
              </w:rPr>
            </w:r>
            <w:r/>
          </w:p>
        </w:tc>
        <w:tc>
          <w:tcPr>
            <w:tcW w:w="1054" w:type="dxa"/>
            <w:vAlign w:val="center"/>
            <w:textDirection w:val="lrTb"/>
            <w:noWrap w:val="false"/>
          </w:tcPr>
          <w:p>
            <w:pPr>
              <w:pStyle w:val="871"/>
              <w:jc w:val="center"/>
              <w:rPr>
                <w:rFonts w:hint="eastAsia" w:ascii="宋体" w:hAnsi="宋体" w:eastAsia="宋体" w:cs="Times New Roman"/>
                <w:bCs w:val="0"/>
                <w:color w:val="000000"/>
                <w:sz w:val="24"/>
                <w:szCs w:val="24"/>
                <w:highlight w:val="none"/>
                <w:lang w:val="zh-CN" w:eastAsia="zh-CN"/>
              </w:rPr>
            </w:pPr>
            <w:r>
              <w:rPr>
                <w:rFonts w:hint="eastAsia" w:ascii="宋体" w:hAnsi="宋体" w:eastAsia="宋体" w:cs="Times New Roman"/>
                <w:color w:val="000000"/>
                <w:sz w:val="24"/>
                <w:szCs w:val="24"/>
                <w:lang w:val="zh-CN"/>
              </w:rPr>
              <w:t xml:space="preserve">250000</w:t>
            </w:r>
            <w:r>
              <w:rPr>
                <w:rFonts w:hint="eastAsia" w:ascii="宋体" w:hAnsi="宋体" w:eastAsia="宋体" w:cs="Times New Roman"/>
                <w:bCs w:val="0"/>
                <w:color w:val="000000"/>
                <w:sz w:val="24"/>
                <w:szCs w:val="24"/>
                <w:highlight w:val="none"/>
                <w:lang w:val="zh-CN" w:eastAsia="zh-CN"/>
              </w:rPr>
            </w:r>
            <w:r/>
          </w:p>
        </w:tc>
        <w:tc>
          <w:tcPr>
            <w:tcW w:w="1193" w:type="dxa"/>
            <w:vAlign w:val="center"/>
            <w:textDirection w:val="lrTb"/>
            <w:noWrap w:val="false"/>
          </w:tcPr>
          <w:p>
            <w:pPr>
              <w:pStyle w:val="871"/>
              <w:jc w:val="center"/>
              <w:rPr>
                <w:rFonts w:hint="eastAsia" w:ascii="宋体" w:hAnsi="宋体" w:eastAsia="宋体" w:cs="Times New Roman"/>
                <w:bCs w:val="0"/>
                <w:color w:val="000000"/>
                <w:sz w:val="24"/>
                <w:szCs w:val="24"/>
                <w:highlight w:val="none"/>
                <w:lang w:val="zh-CN" w:eastAsia="zh-CN" w:bidi="ar-SA"/>
              </w:rPr>
            </w:pPr>
            <w:r>
              <w:rPr>
                <w:rFonts w:hint="eastAsia" w:ascii="宋体" w:hAnsi="宋体" w:eastAsia="宋体" w:cs="Times New Roman"/>
                <w:color w:val="000000"/>
                <w:sz w:val="24"/>
                <w:szCs w:val="24"/>
                <w:lang w:val="zh-CN"/>
              </w:rPr>
              <w:t xml:space="preserve">核心产品</w:t>
            </w:r>
            <w:r>
              <w:rPr>
                <w:rFonts w:hint="eastAsia" w:ascii="宋体" w:hAnsi="宋体" w:eastAsia="宋体" w:cs="Times New Roman"/>
                <w:bCs w:val="0"/>
                <w:color w:val="000000"/>
                <w:sz w:val="24"/>
                <w:szCs w:val="24"/>
                <w:highlight w:val="none"/>
                <w:lang w:val="zh-CN" w:eastAsia="zh-CN" w:bidi="ar-SA"/>
              </w:rPr>
            </w:r>
            <w:r/>
          </w:p>
        </w:tc>
        <w:tc>
          <w:tcPr>
            <w:tcW w:w="1029" w:type="dxa"/>
            <w:vAlign w:val="center"/>
            <w:textDirection w:val="lrTb"/>
            <w:noWrap w:val="false"/>
          </w:tcPr>
          <w:p>
            <w:pPr>
              <w:pStyle w:val="871"/>
              <w:jc w:val="center"/>
              <w:rPr>
                <w:rFonts w:hint="eastAsia" w:ascii="宋体" w:hAnsi="宋体" w:eastAsia="宋体" w:cs="Times New Roman"/>
                <w:bCs w:val="0"/>
                <w:color w:val="000000"/>
                <w:sz w:val="24"/>
                <w:szCs w:val="24"/>
                <w:highlight w:val="none"/>
                <w:lang w:val="zh-CN" w:eastAsia="zh-CN"/>
              </w:rPr>
            </w:pPr>
            <w:r>
              <w:rPr>
                <w:rFonts w:hint="eastAsia" w:ascii="宋体" w:hAnsi="宋体" w:eastAsia="宋体" w:cs="Times New Roman"/>
                <w:color w:val="000000"/>
                <w:sz w:val="24"/>
                <w:szCs w:val="24"/>
                <w:lang w:val="zh-CN"/>
              </w:rPr>
              <w:t xml:space="preserve">工业</w:t>
            </w:r>
            <w:r>
              <w:rPr>
                <w:rFonts w:hint="eastAsia" w:ascii="宋体" w:hAnsi="宋体" w:eastAsia="宋体" w:cs="Times New Roman"/>
                <w:bCs w:val="0"/>
                <w:color w:val="000000"/>
                <w:sz w:val="24"/>
                <w:szCs w:val="24"/>
                <w:highlight w:val="none"/>
                <w:lang w:val="zh-CN" w:eastAsia="zh-CN"/>
              </w:rPr>
            </w:r>
            <w:r/>
          </w:p>
        </w:tc>
        <w:tc>
          <w:tcPr>
            <w:tcW w:w="1197" w:type="dxa"/>
            <w:vAlign w:val="center"/>
            <w:textDirection w:val="lrTb"/>
            <w:noWrap w:val="false"/>
          </w:tcPr>
          <w:p>
            <w:pPr>
              <w:pStyle w:val="871"/>
              <w:jc w:val="center"/>
              <w:rPr>
                <w:rFonts w:hint="eastAsia" w:ascii="宋体" w:hAnsi="宋体" w:eastAsia="宋体" w:cs="Times New Roman"/>
                <w:bCs w:val="0"/>
                <w:color w:val="000000"/>
                <w:sz w:val="24"/>
                <w:szCs w:val="24"/>
                <w:highlight w:val="none"/>
                <w:lang w:val="zh-CN" w:eastAsia="zh-CN"/>
              </w:rPr>
            </w:pPr>
            <w:r>
              <w:rPr>
                <w:rFonts w:hint="eastAsia" w:ascii="宋体" w:hAnsi="宋体" w:eastAsia="宋体" w:cs="Times New Roman"/>
                <w:color w:val="000000"/>
                <w:sz w:val="24"/>
                <w:szCs w:val="24"/>
                <w:lang w:val="zh-CN"/>
              </w:rPr>
              <w:t xml:space="preserve">货物</w:t>
            </w:r>
            <w:r>
              <w:rPr>
                <w:rFonts w:hint="eastAsia" w:ascii="宋体" w:hAnsi="宋体" w:eastAsia="宋体" w:cs="Times New Roman"/>
                <w:bCs w:val="0"/>
                <w:color w:val="000000"/>
                <w:sz w:val="24"/>
                <w:szCs w:val="24"/>
                <w:highlight w:val="none"/>
                <w:lang w:val="zh-CN" w:eastAsia="zh-CN"/>
              </w:rPr>
            </w:r>
            <w:r/>
          </w:p>
        </w:tc>
        <w:tc>
          <w:tcPr>
            <w:tcW w:w="1273" w:type="dxa"/>
            <w:vAlign w:val="center"/>
            <w:textDirection w:val="lrTb"/>
            <w:noWrap w:val="false"/>
          </w:tcPr>
          <w:p>
            <w:pPr>
              <w:pStyle w:val="871"/>
              <w:jc w:val="center"/>
              <w:widowControl/>
              <w:rPr>
                <w:rFonts w:hint="eastAsia" w:ascii="宋体" w:hAnsi="宋体" w:eastAsia="宋体" w:cs="Times New Roman"/>
                <w:bCs w:val="0"/>
                <w:color w:val="000000"/>
                <w:sz w:val="24"/>
                <w:szCs w:val="24"/>
                <w:highlight w:val="none"/>
                <w:lang w:val="zh-CN" w:eastAsia="zh-CN" w:bidi="ar-SA"/>
              </w:rPr>
            </w:pPr>
            <w:r>
              <w:rPr>
                <w:rFonts w:hint="eastAsia" w:ascii="宋体" w:hAnsi="宋体" w:eastAsia="宋体" w:cs="Times New Roman"/>
                <w:color w:val="000000"/>
                <w:sz w:val="24"/>
                <w:szCs w:val="24"/>
                <w:lang w:val="zh-CN"/>
              </w:rPr>
              <w:t xml:space="preserve">否</w:t>
            </w:r>
            <w:r>
              <w:rPr>
                <w:rFonts w:hint="eastAsia" w:ascii="宋体" w:hAnsi="宋体" w:eastAsia="宋体" w:cs="Times New Roman"/>
                <w:bCs w:val="0"/>
                <w:color w:val="000000"/>
                <w:sz w:val="24"/>
                <w:szCs w:val="24"/>
                <w:highlight w:val="none"/>
                <w:lang w:val="zh-CN"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99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530"/>
        <w:gridCol w:w="784"/>
        <w:gridCol w:w="1098"/>
        <w:gridCol w:w="1473"/>
        <w:gridCol w:w="3820"/>
      </w:tblGrid>
      <w:tr>
        <w:trPr>
          <w:trHeight w:val="90"/>
        </w:trPr>
        <w:tc>
          <w:tcPr>
            <w:tcW w:w="123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highlight w:val="none"/>
                <w:lang w:val="zh-CN" w:eastAsia="zh-CN"/>
              </w:rPr>
            </w:pPr>
            <w:r>
              <w:rPr>
                <w:rFonts w:hint="eastAsia" w:ascii="宋体" w:hAnsi="宋体" w:eastAsia="宋体" w:cs="宋体"/>
                <w:b/>
                <w:bCs w:val="0"/>
                <w:sz w:val="24"/>
                <w:szCs w:val="24"/>
                <w:highlight w:val="none"/>
                <w:lang w:val="zh-CN" w:eastAsia="zh-CN"/>
              </w:rPr>
              <w:t xml:space="preserve">产品名称</w:t>
            </w:r>
            <w:r>
              <w:rPr>
                <w:rFonts w:hint="eastAsia" w:ascii="宋体" w:hAnsi="宋体" w:eastAsia="宋体" w:cs="宋体"/>
                <w:b/>
                <w:bCs w:val="0"/>
                <w:sz w:val="24"/>
                <w:szCs w:val="24"/>
                <w:highlight w:val="none"/>
                <w:lang w:val="zh-CN" w:eastAsia="zh-CN"/>
              </w:rPr>
            </w:r>
            <w:r/>
          </w:p>
        </w:tc>
        <w:tc>
          <w:tcPr>
            <w:tcW w:w="153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highlight w:val="none"/>
                <w:lang w:val="zh-CN" w:eastAsia="zh-CN"/>
              </w:rPr>
            </w:pPr>
            <w:r>
              <w:rPr>
                <w:rFonts w:hint="eastAsia" w:ascii="宋体" w:hAnsi="宋体" w:eastAsia="宋体" w:cs="宋体"/>
                <w:b/>
                <w:bCs w:val="0"/>
                <w:sz w:val="24"/>
                <w:szCs w:val="24"/>
                <w:highlight w:val="none"/>
                <w:lang w:val="zh-CN" w:eastAsia="zh-CN"/>
              </w:rPr>
              <w:t xml:space="preserve">技术品目</w:t>
            </w:r>
            <w:r>
              <w:rPr>
                <w:rFonts w:hint="eastAsia" w:ascii="宋体" w:hAnsi="宋体" w:eastAsia="宋体" w:cs="宋体"/>
                <w:b/>
                <w:bCs w:val="0"/>
                <w:sz w:val="24"/>
                <w:szCs w:val="24"/>
                <w:highlight w:val="none"/>
                <w:lang w:val="zh-CN" w:eastAsia="zh-CN"/>
              </w:rPr>
            </w:r>
            <w:r/>
          </w:p>
        </w:tc>
        <w:tc>
          <w:tcPr>
            <w:gridSpan w:val="4"/>
            <w:tcW w:w="71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highlight w:val="none"/>
                <w:lang w:val="zh-CN" w:eastAsia="zh-CN"/>
              </w:rPr>
            </w:pPr>
            <w:r>
              <w:rPr>
                <w:rFonts w:hint="eastAsia" w:ascii="宋体" w:hAnsi="宋体" w:eastAsia="宋体" w:cs="宋体"/>
                <w:b/>
                <w:bCs w:val="0"/>
                <w:sz w:val="24"/>
                <w:szCs w:val="24"/>
                <w:highlight w:val="none"/>
                <w:lang w:val="zh-CN" w:eastAsia="zh-CN"/>
              </w:rPr>
              <w:t xml:space="preserve">功能、性能、配置要求不低于以下要求</w:t>
            </w:r>
            <w:r>
              <w:rPr>
                <w:rFonts w:hint="eastAsia" w:ascii="宋体" w:hAnsi="宋体" w:eastAsia="宋体" w:cs="宋体"/>
                <w:b/>
                <w:bCs w:val="0"/>
                <w:sz w:val="24"/>
                <w:szCs w:val="24"/>
                <w:highlight w:val="none"/>
                <w:lang w:val="zh-CN" w:eastAsia="zh-CN"/>
              </w:rPr>
            </w:r>
            <w:r/>
          </w:p>
        </w:tc>
      </w:tr>
      <w:tr>
        <w:trPr>
          <w:cantSplit/>
          <w:trHeight w:val="1"/>
        </w:trPr>
        <w:tc>
          <w:tcPr>
            <w:tcW w:w="1236" w:type="dxa"/>
            <w:vAlign w:val="center"/>
            <w:vMerge w:val="restart"/>
            <w:textDirection w:val="lrTb"/>
            <w:noWrap w:val="false"/>
          </w:tcPr>
          <w:p>
            <w:pPr>
              <w:pStyle w:val="871"/>
              <w:jc w:val="center"/>
              <w:rPr>
                <w:rFonts w:hint="eastAsia" w:ascii="宋体" w:hAnsi="宋体" w:eastAsia="宋体" w:cs="Times New Roman"/>
                <w:sz w:val="22"/>
                <w:szCs w:val="24"/>
                <w:highlight w:val="none"/>
              </w:rPr>
            </w:pPr>
            <w:r>
              <w:rPr>
                <w:rFonts w:ascii="宋体" w:hAnsi="宋体" w:eastAsia="宋体" w:cs="Times New Roman"/>
                <w:szCs w:val="24"/>
                <w:highlight w:val="none"/>
              </w:rPr>
              <w:t xml:space="preserve">电梯</w:t>
            </w:r>
            <w:r>
              <w:rPr>
                <w:rFonts w:hint="eastAsia" w:ascii="宋体" w:hAnsi="宋体" w:eastAsia="宋体" w:cs="Times New Roman"/>
                <w:sz w:val="22"/>
                <w:szCs w:val="24"/>
                <w:highlight w:val="none"/>
              </w:rPr>
            </w:r>
            <w:r/>
          </w:p>
        </w:tc>
        <w:tc>
          <w:tcPr>
            <w:tcW w:w="1530" w:type="dxa"/>
            <w:vAlign w:val="center"/>
            <w:vMerge w:val="restart"/>
            <w:textDirection w:val="lrTb"/>
            <w:noWrap w:val="false"/>
          </w:tcPr>
          <w:p>
            <w:pPr>
              <w:pStyle w:val="871"/>
              <w:jc w:val="center"/>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建筑尺寸（尺寸仅供参考，待中标后勘察现场</w:t>
            </w:r>
            <w:r>
              <w:rPr>
                <w:rFonts w:ascii="宋体" w:hAnsi="宋体" w:eastAsia="宋体" w:cs="Times New Roman"/>
                <w:szCs w:val="24"/>
                <w:highlight w:val="none"/>
              </w:rPr>
              <w:t xml:space="preserve">确认最终尺寸</w:t>
            </w:r>
            <w:r>
              <w:rPr>
                <w:rFonts w:ascii="宋体" w:hAnsi="宋体" w:eastAsia="宋体" w:cs="Times New Roman"/>
                <w:szCs w:val="24"/>
                <w:highlight w:val="none"/>
                <w:lang w:val="zh-CN"/>
              </w:rPr>
              <w:t xml:space="preserve">）</w:t>
            </w: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井道尺寸（宽*深mm）</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rPr>
            </w:pPr>
            <w:r>
              <w:rPr>
                <w:rFonts w:hint="eastAsia" w:ascii="宋体" w:hAnsi="宋体" w:eastAsia="宋体" w:cs="宋体"/>
                <w:color w:val="000000"/>
                <w:szCs w:val="21"/>
                <w:highlight w:val="none"/>
                <w:lang w:bidi="ar"/>
              </w:rPr>
              <w:t xml:space="preserve">2200*2200</w:t>
            </w:r>
            <w:r>
              <w:rPr>
                <w:rFonts w:hint="eastAsia" w:ascii="宋体" w:hAnsi="宋体" w:eastAsia="宋体" w:cs="Times New Roman"/>
                <w:sz w:val="22"/>
                <w:szCs w:val="24"/>
                <w:highlight w:val="none"/>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widowControl/>
              <w:rPr>
                <w:rFonts w:hint="eastAsia" w:ascii="宋体" w:hAnsi="宋体" w:eastAsia="宋体" w:cs="Times New Roman"/>
                <w:sz w:val="22"/>
                <w:szCs w:val="24"/>
                <w:highlight w:val="none"/>
                <w:lang w:val="zh-CN"/>
              </w:rPr>
            </w:pPr>
            <w:r>
              <w:rPr>
                <w:rFonts w:ascii="宋体" w:hAnsi="宋体" w:eastAsia="宋体" w:cs="宋体"/>
                <w:szCs w:val="21"/>
                <w:highlight w:val="none"/>
                <w:lang w:bidi="ar"/>
              </w:rPr>
              <w:t xml:space="preserve">厅门尺寸（宽*高mm）</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widowControl/>
              <w:rPr>
                <w:rFonts w:hint="eastAsia" w:ascii="宋体" w:hAnsi="宋体" w:eastAsia="宋体" w:cs="Times New Roman"/>
                <w:sz w:val="22"/>
                <w:szCs w:val="24"/>
                <w:highlight w:val="none"/>
                <w:lang w:val="zh-CN"/>
              </w:rPr>
            </w:pPr>
            <w:r>
              <w:rPr>
                <w:rFonts w:ascii="宋体" w:hAnsi="宋体" w:eastAsia="宋体" w:cs="宋体"/>
                <w:szCs w:val="21"/>
                <w:highlight w:val="none"/>
                <w:lang w:bidi="ar"/>
              </w:rPr>
              <w:t xml:space="preserve">900*2100</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轿厢尺寸（宽*深*高mm）</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hint="eastAsia" w:ascii="宋体" w:hAnsi="宋体" w:eastAsia="宋体" w:cs="Times New Roman"/>
                <w:color w:val="000000"/>
                <w:szCs w:val="24"/>
                <w:highlight w:val="none"/>
                <w:lang w:val="zh-CN"/>
              </w:rPr>
              <w:t xml:space="preserve">1</w:t>
            </w:r>
            <w:r>
              <w:rPr>
                <w:rFonts w:hint="eastAsia" w:ascii="宋体" w:hAnsi="宋体" w:eastAsia="宋体" w:cs="Times New Roman"/>
                <w:color w:val="000000"/>
                <w:szCs w:val="24"/>
                <w:highlight w:val="none"/>
              </w:rPr>
              <w:t xml:space="preserve">5</w:t>
            </w:r>
            <w:r>
              <w:rPr>
                <w:rFonts w:hint="eastAsia" w:ascii="宋体" w:hAnsi="宋体" w:eastAsia="宋体" w:cs="Times New Roman"/>
                <w:color w:val="000000"/>
                <w:szCs w:val="24"/>
                <w:highlight w:val="none"/>
                <w:lang w:val="zh-CN"/>
              </w:rPr>
              <w:t xml:space="preserve">00*1</w:t>
            </w:r>
            <w:r>
              <w:rPr>
                <w:rFonts w:hint="eastAsia" w:ascii="宋体" w:hAnsi="宋体" w:eastAsia="宋体" w:cs="Times New Roman"/>
                <w:color w:val="000000"/>
                <w:szCs w:val="24"/>
                <w:highlight w:val="none"/>
              </w:rPr>
              <w:t xml:space="preserve">6</w:t>
            </w:r>
            <w:r>
              <w:rPr>
                <w:rFonts w:hint="eastAsia" w:ascii="宋体" w:hAnsi="宋体" w:eastAsia="宋体" w:cs="Times New Roman"/>
                <w:color w:val="000000"/>
                <w:szCs w:val="24"/>
                <w:highlight w:val="none"/>
                <w:lang w:val="zh-CN"/>
              </w:rPr>
              <w:t xml:space="preserve">00*2</w:t>
            </w:r>
            <w:r>
              <w:rPr>
                <w:rFonts w:hint="eastAsia" w:ascii="宋体" w:hAnsi="宋体" w:eastAsia="宋体" w:cs="Times New Roman"/>
                <w:color w:val="000000"/>
                <w:szCs w:val="24"/>
                <w:highlight w:val="none"/>
              </w:rPr>
              <w:t xml:space="preserve">4</w:t>
            </w:r>
            <w:r>
              <w:rPr>
                <w:rFonts w:hint="eastAsia" w:ascii="宋体" w:hAnsi="宋体" w:eastAsia="宋体" w:cs="Times New Roman"/>
                <w:color w:val="000000"/>
                <w:szCs w:val="24"/>
                <w:highlight w:val="none"/>
                <w:lang w:val="zh-CN"/>
              </w:rPr>
              <w:t xml:space="preserve">00</w:t>
            </w:r>
            <w:r>
              <w:rPr>
                <w:rFonts w:hint="eastAsia" w:ascii="宋体" w:hAnsi="宋体" w:eastAsia="宋体" w:cs="Times New Roman"/>
                <w:sz w:val="22"/>
                <w:szCs w:val="24"/>
                <w:highlight w:val="none"/>
                <w:lang w:val="zh-CN"/>
              </w:rPr>
            </w:r>
            <w:r/>
          </w:p>
        </w:tc>
      </w:tr>
      <w:tr>
        <w:trPr>
          <w:cantSplit/>
          <w:trHeight w:val="244"/>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顶层高度（mm）</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rPr>
                <w:rFonts w:hint="eastAsia" w:ascii="宋体" w:hAnsi="宋体" w:eastAsia="宋体" w:cs="Times New Roman"/>
                <w:sz w:val="22"/>
                <w:szCs w:val="24"/>
                <w:highlight w:val="none"/>
                <w:lang w:val="zh-CN"/>
              </w:rPr>
            </w:pPr>
            <w:r>
              <w:rPr>
                <w:rFonts w:hint="eastAsia" w:ascii="宋体" w:hAnsi="宋体" w:eastAsia="宋体" w:cs="Times New Roman"/>
                <w:color w:val="000000"/>
                <w:szCs w:val="24"/>
                <w:highlight w:val="none"/>
                <w:lang w:val="zh-CN"/>
              </w:rPr>
              <w:t xml:space="preserve">4300</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底坑深度（mm）</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hint="eastAsia" w:ascii="宋体" w:hAnsi="宋体" w:eastAsia="宋体" w:cs="Times New Roman"/>
                <w:color w:val="000000"/>
                <w:szCs w:val="24"/>
                <w:highlight w:val="none"/>
                <w:lang w:val="zh-CN"/>
              </w:rPr>
              <w:t xml:space="preserve">1</w:t>
            </w:r>
            <w:r>
              <w:rPr>
                <w:rFonts w:hint="eastAsia" w:ascii="宋体" w:hAnsi="宋体" w:eastAsia="宋体" w:cs="Times New Roman"/>
                <w:color w:val="000000"/>
                <w:szCs w:val="24"/>
                <w:highlight w:val="none"/>
              </w:rPr>
              <w:t xml:space="preserve">6</w:t>
            </w:r>
            <w:r>
              <w:rPr>
                <w:rFonts w:hint="eastAsia" w:ascii="宋体" w:hAnsi="宋体" w:eastAsia="宋体" w:cs="Times New Roman"/>
                <w:color w:val="000000"/>
                <w:szCs w:val="24"/>
                <w:highlight w:val="none"/>
                <w:lang w:val="zh-CN"/>
              </w:rPr>
              <w:t xml:space="preserve">00</w:t>
            </w:r>
            <w:r>
              <w:rPr>
                <w:rFonts w:hint="eastAsia" w:ascii="宋体" w:hAnsi="宋体" w:eastAsia="宋体" w:cs="Times New Roman"/>
                <w:sz w:val="22"/>
                <w:szCs w:val="24"/>
                <w:highlight w:val="none"/>
                <w:lang w:val="zh-CN"/>
              </w:rPr>
            </w:r>
            <w:r/>
          </w:p>
        </w:tc>
      </w:tr>
      <w:tr>
        <w:trPr>
          <w:cantSplit/>
          <w:trHeight w:val="366"/>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提升高度（m）</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rPr>
            </w:pPr>
            <w:r>
              <w:rPr>
                <w:rFonts w:ascii="宋体" w:hAnsi="宋体" w:eastAsia="宋体" w:cs="Times New Roman"/>
                <w:sz w:val="22"/>
                <w:szCs w:val="24"/>
                <w:highlight w:val="none"/>
              </w:rPr>
              <w:t xml:space="preserve">根据实际现场尺寸</w:t>
            </w:r>
            <w:r>
              <w:rPr>
                <w:rFonts w:hint="eastAsia" w:ascii="宋体" w:hAnsi="宋体" w:eastAsia="宋体" w:cs="Times New Roman"/>
                <w:sz w:val="22"/>
                <w:szCs w:val="24"/>
                <w:highlight w:val="none"/>
              </w:rPr>
            </w:r>
            <w:r/>
          </w:p>
        </w:tc>
      </w:tr>
      <w:tr>
        <w:trPr>
          <w:cantSplit/>
          <w:trHeight w:val="285"/>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restart"/>
            <w:textDirection w:val="lrTb"/>
            <w:noWrap w:val="false"/>
          </w:tcPr>
          <w:p>
            <w:pPr>
              <w:pStyle w:val="871"/>
              <w:jc w:val="center"/>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★配置要求</w:t>
            </w: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载重（kg）</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rPr>
            </w:pPr>
            <w:r>
              <w:rPr>
                <w:rFonts w:ascii="宋体" w:hAnsi="宋体" w:eastAsia="宋体" w:cs="Times New Roman"/>
                <w:szCs w:val="24"/>
                <w:highlight w:val="none"/>
              </w:rPr>
              <w:t xml:space="preserve">1000</w:t>
            </w:r>
            <w:r>
              <w:rPr>
                <w:rFonts w:hint="eastAsia" w:ascii="宋体" w:hAnsi="宋体" w:eastAsia="宋体" w:cs="Times New Roman"/>
                <w:sz w:val="22"/>
                <w:szCs w:val="24"/>
                <w:highlight w:val="none"/>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速度（m/s）</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1.0</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层站门</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4/4/4</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驱动方式</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变频驱动</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传动方式</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永磁同步无齿轮曳引机</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门机系统</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highlight w:val="none"/>
              </w:rPr>
              <w:t xml:space="preserve">变频变压调速（VVVF）</w:t>
            </w:r>
            <w:r>
              <w:rPr>
                <w:rFonts w:hint="eastAsia" w:ascii="宋体" w:hAnsi="宋体" w:eastAsia="宋体" w:cs="Times New Roman"/>
                <w:highlight w:val="none"/>
                <w:lang w:eastAsia="zh-CN"/>
              </w:rPr>
              <w:t xml:space="preserve">，</w:t>
            </w:r>
            <w:r>
              <w:rPr>
                <w:rFonts w:ascii="宋体" w:hAnsi="宋体" w:eastAsia="宋体" w:cs="Times New Roman"/>
                <w:highlight w:val="none"/>
              </w:rPr>
              <w:t xml:space="preserve">要求调速平滑，运行可靠</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开门方式</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双扇自动中分门</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门保护装置</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光幕，不小于128束</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电源适应</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拖动电源：交流三相五线380V</w:t>
            </w:r>
            <w:r>
              <w:rPr>
                <w:rFonts w:ascii="宋体" w:hAnsi="宋体" w:eastAsia="宋体" w:cs="Times New Roman"/>
                <w:szCs w:val="24"/>
                <w:highlight w:val="none"/>
              </w:rPr>
              <w:t xml:space="preserve">±7%、50Hz；照明电源：交流单相220V±7%、50Hz</w:t>
            </w:r>
            <w:r>
              <w:rPr>
                <w:rFonts w:hint="eastAsia" w:ascii="宋体" w:hAnsi="宋体" w:eastAsia="宋体" w:cs="Times New Roman"/>
                <w:sz w:val="22"/>
                <w:szCs w:val="24"/>
                <w:highlight w:val="none"/>
                <w:lang w:val="zh-CN"/>
              </w:rPr>
            </w:r>
            <w:r/>
          </w:p>
        </w:tc>
      </w:tr>
      <w:tr>
        <w:trPr>
          <w:cantSplit/>
          <w:trHeight w:val="285"/>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restart"/>
            <w:textDirection w:val="lrTb"/>
            <w:noWrap w:val="false"/>
          </w:tcPr>
          <w:p>
            <w:pPr>
              <w:pStyle w:val="871"/>
              <w:jc w:val="center"/>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性能要求</w:t>
            </w: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额定速度允许误差</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符合国标</w:t>
            </w:r>
            <w:r>
              <w:rPr>
                <w:rFonts w:hint="eastAsia" w:ascii="宋体" w:hAnsi="宋体" w:eastAsia="宋体" w:cs="Times New Roman"/>
                <w:sz w:val="22"/>
                <w:szCs w:val="24"/>
                <w:highlight w:val="none"/>
                <w:lang w:val="zh-CN"/>
              </w:rPr>
            </w:r>
            <w:r/>
          </w:p>
        </w:tc>
      </w:tr>
      <w:tr>
        <w:trPr>
          <w:cantSplit/>
          <w:trHeight w:val="9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乘客电梯轿厢运行时垂直方向和水平方向的振动加速度</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符合国标</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平层准确度</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w:t>
            </w:r>
            <w:r>
              <w:rPr>
                <w:rFonts w:ascii="宋体" w:hAnsi="宋体" w:eastAsia="宋体" w:cs="Times New Roman"/>
                <w:szCs w:val="24"/>
                <w:highlight w:val="none"/>
              </w:rPr>
              <w:t xml:space="preserve">±5mm</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3"/>
            <w:tcW w:w="335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噪声</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符合国标</w:t>
            </w:r>
            <w:r>
              <w:rPr>
                <w:rFonts w:hint="eastAsia" w:ascii="宋体" w:hAnsi="宋体" w:eastAsia="宋体" w:cs="Times New Roman"/>
                <w:sz w:val="22"/>
                <w:szCs w:val="24"/>
                <w:highlight w:val="none"/>
                <w:lang w:val="zh-CN"/>
              </w:rPr>
            </w:r>
            <w:r/>
          </w:p>
        </w:tc>
      </w:tr>
      <w:tr>
        <w:trPr>
          <w:cantSplit/>
          <w:trHeight w:val="362"/>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restart"/>
            <w:textDirection w:val="lrTb"/>
            <w:noWrap w:val="false"/>
          </w:tcPr>
          <w:p>
            <w:pPr>
              <w:pStyle w:val="871"/>
              <w:jc w:val="center"/>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内外装饰要求</w:t>
            </w:r>
            <w:r>
              <w:rPr>
                <w:rFonts w:hint="eastAsia" w:ascii="宋体" w:hAnsi="宋体" w:eastAsia="宋体" w:cs="Times New Roman"/>
                <w:szCs w:val="24"/>
                <w:highlight w:val="none"/>
                <w:lang w:val="zh-CN"/>
              </w:rPr>
            </w:r>
            <w:r/>
          </w:p>
        </w:tc>
        <w:tc>
          <w:tcPr>
            <w:tcW w:w="784" w:type="dxa"/>
            <w:vAlign w:val="center"/>
            <w:vMerge w:val="restart"/>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轿厢</w:t>
            </w:r>
            <w:r>
              <w:rPr>
                <w:rFonts w:hint="eastAsia" w:ascii="宋体" w:hAnsi="宋体" w:eastAsia="宋体" w:cs="Times New Roman"/>
                <w:szCs w:val="24"/>
                <w:highlight w:val="none"/>
                <w:lang w:val="zh-CN"/>
              </w:rPr>
            </w:r>
            <w:r/>
          </w:p>
        </w:tc>
        <w:tc>
          <w:tcPr>
            <w:gridSpan w:val="2"/>
            <w:tcW w:w="2571"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轿厢顶</w:t>
            </w:r>
            <w:r>
              <w:rPr>
                <w:rFonts w:hint="eastAsia" w:ascii="宋体" w:hAnsi="宋体" w:eastAsia="宋体" w:cs="Times New Roman"/>
                <w:szCs w:val="24"/>
                <w:highlight w:val="none"/>
                <w:lang w:val="zh-CN"/>
              </w:rPr>
            </w:r>
            <w:r/>
          </w:p>
        </w:tc>
        <w:tc>
          <w:tcPr>
            <w:tcW w:w="3820" w:type="dxa"/>
            <w:vAlign w:val="center"/>
            <w:textDirection w:val="lrTb"/>
            <w:noWrap w:val="false"/>
          </w:tcPr>
          <w:p>
            <w:pPr>
              <w:pStyle w:val="871"/>
              <w:jc w:val="left"/>
              <w:tabs>
                <w:tab w:val="left" w:pos="736" w:leader="none"/>
              </w:tabs>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发纹不锈钢，LED照明，简洁大气</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gridSpan w:val="2"/>
            <w:tcW w:w="2571"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★轿厢壁</w:t>
            </w:r>
            <w:r>
              <w:rPr>
                <w:rFonts w:hint="eastAsia" w:ascii="宋体" w:hAnsi="宋体" w:eastAsia="宋体" w:cs="Times New Roman"/>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发纹不锈钢材质</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gridSpan w:val="2"/>
            <w:tcW w:w="2571"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★厚度</w:t>
            </w:r>
            <w:r>
              <w:rPr>
                <w:rFonts w:hint="eastAsia" w:ascii="宋体" w:hAnsi="宋体" w:eastAsia="宋体" w:cs="Times New Roman"/>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Cs w:val="24"/>
                <w:highlight w:val="none"/>
              </w:rPr>
            </w:pPr>
            <w:r>
              <w:rPr>
                <w:rFonts w:ascii="Arial" w:hAnsi="Arial" w:eastAsia="宋体" w:cs="Arial"/>
                <w:szCs w:val="24"/>
                <w:highlight w:val="none"/>
                <w:lang w:val="zh-CN"/>
              </w:rPr>
              <w:t xml:space="preserve">≥</w:t>
            </w:r>
            <w:r>
              <w:rPr>
                <w:rFonts w:ascii="宋体" w:hAnsi="宋体" w:eastAsia="宋体" w:cs="Times New Roman"/>
                <w:szCs w:val="24"/>
                <w:highlight w:val="none"/>
              </w:rPr>
              <w:t xml:space="preserve">1mm</w:t>
            </w:r>
            <w:r>
              <w:rPr>
                <w:rFonts w:hint="eastAsia" w:ascii="宋体" w:hAnsi="宋体" w:eastAsia="宋体" w:cs="Times New Roman"/>
                <w:szCs w:val="24"/>
                <w:highlight w:val="none"/>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gridSpan w:val="2"/>
            <w:tcW w:w="2571"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★轿厢门</w:t>
            </w:r>
            <w:r>
              <w:rPr>
                <w:rFonts w:hint="eastAsia" w:ascii="宋体" w:hAnsi="宋体" w:eastAsia="宋体" w:cs="Times New Roman"/>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发纹不锈钢材质</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gridSpan w:val="2"/>
            <w:tcW w:w="2571"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★厚度</w:t>
            </w:r>
            <w:r>
              <w:rPr>
                <w:rFonts w:hint="eastAsia" w:ascii="宋体" w:hAnsi="宋体" w:eastAsia="宋体" w:cs="Times New Roman"/>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≥1mm</w:t>
            </w:r>
            <w:r>
              <w:rPr>
                <w:rFonts w:hint="eastAsia" w:ascii="宋体" w:hAnsi="宋体" w:eastAsia="宋体" w:cs="Times New Roman"/>
                <w:szCs w:val="24"/>
                <w:highlight w:val="none"/>
                <w:lang w:val="zh-CN"/>
              </w:rPr>
            </w:r>
            <w:r/>
          </w:p>
        </w:tc>
      </w:tr>
      <w:tr>
        <w:trPr>
          <w:cantSplit/>
          <w:trHeight w:val="34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gridSpan w:val="2"/>
            <w:tcW w:w="2571"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轿厢地面</w:t>
            </w:r>
            <w:r>
              <w:rPr>
                <w:rFonts w:hint="eastAsia" w:ascii="宋体" w:hAnsi="宋体" w:eastAsia="宋体" w:cs="Times New Roman"/>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PVC地板</w:t>
            </w:r>
            <w:r>
              <w:rPr>
                <w:rFonts w:hint="eastAsia" w:ascii="宋体" w:hAnsi="宋体" w:eastAsia="宋体" w:cs="Times New Roman"/>
                <w:sz w:val="22"/>
                <w:szCs w:val="24"/>
                <w:highlight w:val="none"/>
                <w:lang w:val="zh-CN"/>
              </w:rPr>
            </w:r>
            <w:r/>
          </w:p>
        </w:tc>
      </w:tr>
      <w:tr>
        <w:trPr>
          <w:cantSplit/>
          <w:trHeight w:val="285"/>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restart"/>
            <w:textDirection w:val="lrTb"/>
            <w:noWrap w:val="false"/>
          </w:tcPr>
          <w:p>
            <w:pPr>
              <w:pStyle w:val="871"/>
              <w:jc w:val="center"/>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操作盘</w:t>
            </w:r>
            <w:r>
              <w:rPr>
                <w:rFonts w:hint="eastAsia" w:ascii="宋体" w:hAnsi="宋体" w:eastAsia="宋体" w:cs="Times New Roman"/>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★面板材质</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发纹不锈钢材质</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显示器显示内容</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液晶显示电梯运行状态</w:t>
            </w:r>
            <w:r>
              <w:rPr>
                <w:rFonts w:hint="eastAsia" w:ascii="宋体" w:hAnsi="宋体" w:eastAsia="宋体" w:cs="Times New Roman"/>
                <w:sz w:val="22"/>
                <w:szCs w:val="24"/>
                <w:highlight w:val="none"/>
                <w:lang w:val="zh-CN"/>
              </w:rPr>
            </w:r>
            <w:r/>
          </w:p>
        </w:tc>
      </w:tr>
      <w:tr>
        <w:trPr>
          <w:cantSplit/>
          <w:trHeight w:val="9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操作功能</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紧急对讲按钮及隐藏式对讲机，开关门按钮，风扇及照明自动控制</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标示要求</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品牌商标，禁烟标记，速度，载重量</w:t>
            </w:r>
            <w:r>
              <w:rPr>
                <w:rFonts w:hint="eastAsia" w:ascii="宋体" w:hAnsi="宋体" w:eastAsia="宋体" w:cs="Times New Roman"/>
                <w:sz w:val="22"/>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按钮要求</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圆</w:t>
            </w:r>
            <w:r>
              <w:rPr>
                <w:rFonts w:hint="eastAsia" w:ascii="宋体" w:hAnsi="宋体" w:eastAsia="宋体" w:cs="Times New Roman"/>
                <w:szCs w:val="24"/>
                <w:highlight w:val="none"/>
                <w:lang w:val="en-US" w:eastAsia="zh-CN"/>
              </w:rPr>
              <w:t xml:space="preserve">形</w:t>
            </w:r>
            <w:r>
              <w:rPr>
                <w:rFonts w:ascii="宋体" w:hAnsi="宋体" w:eastAsia="宋体" w:cs="Times New Roman"/>
                <w:szCs w:val="24"/>
                <w:highlight w:val="none"/>
                <w:lang w:val="zh-CN"/>
              </w:rPr>
              <w:t xml:space="preserve">不锈钢按钮</w:t>
            </w:r>
            <w:r>
              <w:rPr>
                <w:rFonts w:hint="eastAsia" w:ascii="宋体" w:hAnsi="宋体" w:eastAsia="宋体" w:cs="Times New Roman"/>
                <w:sz w:val="22"/>
                <w:szCs w:val="24"/>
                <w:highlight w:val="none"/>
                <w:lang w:val="zh-CN"/>
              </w:rPr>
            </w:r>
            <w:r/>
          </w:p>
        </w:tc>
      </w:tr>
      <w:tr>
        <w:trPr>
          <w:cantSplit/>
          <w:trHeight w:val="285"/>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restart"/>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厅门及门套</w:t>
            </w:r>
            <w:r>
              <w:rPr>
                <w:rFonts w:hint="eastAsia" w:ascii="宋体" w:hAnsi="宋体" w:eastAsia="宋体" w:cs="Times New Roman"/>
                <w:szCs w:val="24"/>
                <w:highlight w:val="none"/>
                <w:lang w:val="zh-CN"/>
              </w:rPr>
            </w:r>
            <w:r/>
          </w:p>
        </w:tc>
        <w:tc>
          <w:tcPr>
            <w:tcW w:w="1098" w:type="dxa"/>
            <w:vAlign w:val="center"/>
            <w:vMerge w:val="restart"/>
            <w:textDirection w:val="lrTb"/>
            <w:noWrap w:val="false"/>
          </w:tcPr>
          <w:p>
            <w:pPr>
              <w:pStyle w:val="871"/>
              <w:jc w:val="center"/>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厅门</w:t>
            </w:r>
            <w:r>
              <w:rPr>
                <w:rFonts w:hint="eastAsia" w:ascii="宋体" w:hAnsi="宋体" w:eastAsia="宋体" w:cs="Times New Roman"/>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材质</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发纹不锈钢材质</w:t>
            </w:r>
            <w:r>
              <w:rPr>
                <w:rFonts w:hint="eastAsia" w:ascii="宋体" w:hAnsi="宋体" w:eastAsia="宋体" w:cs="Times New Roman"/>
                <w:sz w:val="22"/>
                <w:szCs w:val="24"/>
                <w:highlight w:val="none"/>
                <w:lang w:val="zh-CN"/>
              </w:rPr>
            </w:r>
            <w:r/>
          </w:p>
        </w:tc>
      </w:tr>
      <w:tr>
        <w:trPr>
          <w:cantSplit/>
          <w:trHeight w:val="285"/>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continue"/>
            <w:textDirection w:val="lrTb"/>
            <w:noWrap w:val="false"/>
          </w:tcPr>
          <w:p>
            <w:pPr>
              <w:pStyle w:val="871"/>
              <w:rPr>
                <w:rFonts w:ascii="Times New Roman" w:hAnsi="Times New Roman" w:eastAsia="宋体" w:cs="Times New Roman"/>
                <w:highlight w:val="none"/>
              </w:rPr>
            </w:pPr>
            <w:r>
              <w:rPr>
                <w:rFonts w:ascii="Times New Roman" w:hAnsi="Times New Roman" w:eastAsia="宋体" w:cs="Times New Roman"/>
                <w:highlight w:val="none"/>
              </w:rPr>
            </w:r>
            <w:r/>
          </w:p>
        </w:tc>
        <w:tc>
          <w:tcPr>
            <w:tcW w:w="1473" w:type="dxa"/>
            <w:vAlign w:val="center"/>
            <w:textDirection w:val="lrTb"/>
            <w:noWrap w:val="false"/>
          </w:tcPr>
          <w:p>
            <w:pPr>
              <w:pStyle w:val="871"/>
              <w:jc w:val="left"/>
              <w:rPr>
                <w:rFonts w:hint="eastAsia" w:ascii="宋体" w:hAnsi="宋体" w:eastAsia="宋体" w:cs="Times New Roman"/>
                <w:highlight w:val="none"/>
                <w:lang w:val="zh-CN"/>
              </w:rPr>
            </w:pPr>
            <w:r>
              <w:rPr>
                <w:rFonts w:ascii="宋体" w:hAnsi="宋体" w:eastAsia="宋体" w:cs="Times New Roman"/>
                <w:szCs w:val="24"/>
                <w:highlight w:val="none"/>
                <w:lang w:val="zh-CN"/>
              </w:rPr>
              <w:t xml:space="preserve">▲厚度</w:t>
            </w:r>
            <w:r>
              <w:rPr>
                <w:rFonts w:hint="eastAsia" w:ascii="宋体" w:hAnsi="宋体" w:eastAsia="宋体" w:cs="Times New Roman"/>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≥1mm</w:t>
            </w:r>
            <w:r>
              <w:rPr>
                <w:rFonts w:hint="eastAsia" w:ascii="宋体" w:hAnsi="宋体" w:eastAsia="宋体" w:cs="Times New Roman"/>
                <w:szCs w:val="24"/>
                <w:highlight w:val="none"/>
                <w:lang w:val="zh-CN"/>
              </w:rPr>
            </w:r>
            <w:r/>
          </w:p>
        </w:tc>
      </w:tr>
      <w:tr>
        <w:trPr>
          <w:cantSplit/>
          <w:trHeight w:val="272"/>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restart"/>
            <w:textDirection w:val="lrTb"/>
            <w:noWrap w:val="false"/>
          </w:tcPr>
          <w:p>
            <w:pPr>
              <w:pStyle w:val="871"/>
              <w:jc w:val="center"/>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小门套</w:t>
            </w:r>
            <w:r>
              <w:rPr>
                <w:rFonts w:hint="eastAsia" w:ascii="宋体" w:hAnsi="宋体" w:eastAsia="宋体" w:cs="Times New Roman"/>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材质</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发纹不锈钢材质</w:t>
            </w:r>
            <w:r>
              <w:rPr>
                <w:rFonts w:hint="eastAsia" w:ascii="宋体" w:hAnsi="宋体" w:eastAsia="宋体" w:cs="Times New Roman"/>
                <w:szCs w:val="24"/>
                <w:highlight w:val="none"/>
                <w:lang w:val="zh-CN"/>
              </w:rPr>
            </w:r>
            <w:r/>
          </w:p>
        </w:tc>
      </w:tr>
      <w:tr>
        <w:trPr>
          <w:cantSplit/>
          <w:trHeight w:val="1"/>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continue"/>
            <w:textDirection w:val="lrTb"/>
            <w:noWrap w:val="false"/>
          </w:tcPr>
          <w:p>
            <w:pPr>
              <w:pStyle w:val="871"/>
              <w:rPr>
                <w:rFonts w:ascii="Times New Roman" w:hAnsi="Times New Roman" w:eastAsia="宋体" w:cs="Times New Roman"/>
                <w:highlight w:val="none"/>
              </w:rPr>
            </w:pPr>
            <w:r>
              <w:rPr>
                <w:rFonts w:ascii="Times New Roman" w:hAnsi="Times New Roman" w:eastAsia="宋体" w:cs="Times New Roman"/>
                <w:highlight w:val="none"/>
              </w:rPr>
            </w:r>
            <w:r/>
          </w:p>
        </w:tc>
        <w:tc>
          <w:tcPr>
            <w:tcW w:w="1473"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▲厚度</w:t>
            </w:r>
            <w:r>
              <w:rPr>
                <w:rFonts w:hint="eastAsia" w:ascii="宋体" w:hAnsi="宋体" w:eastAsia="宋体" w:cs="Times New Roman"/>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≥1mm</w:t>
            </w:r>
            <w:r>
              <w:rPr>
                <w:rFonts w:hint="eastAsia" w:ascii="宋体" w:hAnsi="宋体" w:eastAsia="宋体" w:cs="Times New Roman"/>
                <w:szCs w:val="24"/>
                <w:highlight w:val="none"/>
                <w:lang w:val="zh-CN"/>
              </w:rPr>
            </w:r>
            <w:r/>
          </w:p>
        </w:tc>
      </w:tr>
      <w:tr>
        <w:trPr>
          <w:cantSplit/>
          <w:trHeight w:val="285"/>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restart"/>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楼层召唤</w:t>
            </w:r>
            <w:r>
              <w:rPr>
                <w:rFonts w:hint="eastAsia" w:ascii="宋体" w:hAnsi="宋体" w:eastAsia="宋体" w:cs="Times New Roman"/>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显示内容</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液晶显示，显示楼层及运行方向，驻停，检修</w:t>
            </w:r>
            <w:r>
              <w:rPr>
                <w:rFonts w:hint="eastAsia" w:ascii="宋体" w:hAnsi="宋体" w:eastAsia="宋体" w:cs="Times New Roman"/>
                <w:sz w:val="22"/>
                <w:szCs w:val="24"/>
                <w:highlight w:val="none"/>
                <w:lang w:val="zh-CN"/>
              </w:rPr>
            </w:r>
            <w:r/>
          </w:p>
        </w:tc>
      </w:tr>
      <w:tr>
        <w:trPr>
          <w:cantSplit/>
          <w:trHeight w:val="335"/>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1098"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473"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面板材质</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发纹不锈钢材质</w:t>
            </w:r>
            <w:r>
              <w:rPr>
                <w:rFonts w:hint="eastAsia" w:ascii="宋体" w:hAnsi="宋体" w:eastAsia="宋体" w:cs="Times New Roman"/>
                <w:sz w:val="22"/>
                <w:szCs w:val="24"/>
                <w:highlight w:val="none"/>
                <w:lang w:val="zh-CN"/>
              </w:rPr>
            </w:r>
            <w:r/>
          </w:p>
        </w:tc>
      </w:tr>
      <w:tr>
        <w:trPr>
          <w:cantSplit/>
          <w:trHeight w:val="9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tcW w:w="784" w:type="dxa"/>
            <w:vAlign w:val="center"/>
            <w:vMerge w:val="continue"/>
            <w:textDirection w:val="lrTb"/>
            <w:noWrap w:val="false"/>
          </w:tcPr>
          <w:p>
            <w:pPr>
              <w:pStyle w:val="871"/>
              <w:jc w:val="left"/>
              <w:spacing w:line="246" w:lineRule="atLeast"/>
              <w:rPr>
                <w:rFonts w:hint="eastAsia" w:ascii="宋体" w:hAnsi="宋体" w:eastAsia="宋体" w:cs="Times New Roman"/>
                <w:szCs w:val="24"/>
                <w:highlight w:val="none"/>
                <w:lang w:val="zh-CN"/>
              </w:rPr>
            </w:pPr>
            <w:r>
              <w:rPr>
                <w:rFonts w:hint="eastAsia" w:ascii="宋体" w:hAnsi="宋体" w:eastAsia="宋体" w:cs="Times New Roman"/>
                <w:szCs w:val="24"/>
                <w:highlight w:val="none"/>
                <w:lang w:val="zh-CN"/>
              </w:rPr>
            </w:r>
            <w:r/>
          </w:p>
        </w:tc>
        <w:tc>
          <w:tcPr>
            <w:gridSpan w:val="2"/>
            <w:tcW w:w="2571"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地坎</w:t>
            </w:r>
            <w:r>
              <w:rPr>
                <w:rFonts w:hint="eastAsia" w:ascii="宋体" w:hAnsi="宋体" w:eastAsia="宋体" w:cs="Times New Roman"/>
                <w:sz w:val="22"/>
                <w:szCs w:val="24"/>
                <w:highlight w:val="none"/>
                <w:lang w:val="zh-CN"/>
              </w:rPr>
            </w:r>
            <w:r/>
          </w:p>
        </w:tc>
        <w:tc>
          <w:tcPr>
            <w:tcW w:w="3820"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硬质铝合金</w:t>
            </w:r>
            <w:r>
              <w:rPr>
                <w:rFonts w:hint="eastAsia" w:ascii="宋体" w:hAnsi="宋体" w:eastAsia="宋体" w:cs="Times New Roman"/>
                <w:sz w:val="22"/>
                <w:szCs w:val="24"/>
                <w:highlight w:val="none"/>
                <w:lang w:val="zh-CN"/>
              </w:rPr>
            </w:r>
            <w:r/>
          </w:p>
        </w:tc>
      </w:tr>
      <w:tr>
        <w:trPr>
          <w:cantSplit/>
          <w:trHeight w:val="9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textDirection w:val="lrTb"/>
            <w:noWrap w:val="false"/>
          </w:tcPr>
          <w:p>
            <w:pPr>
              <w:pStyle w:val="871"/>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▲刷卡功能</w:t>
            </w:r>
            <w:r>
              <w:rPr>
                <w:rFonts w:hint="eastAsia" w:ascii="宋体" w:hAnsi="宋体" w:eastAsia="宋体" w:cs="Times New Roman"/>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有（</w:t>
            </w:r>
            <w:r>
              <w:rPr>
                <w:rFonts w:hint="eastAsia" w:ascii="宋体" w:hAnsi="宋体" w:eastAsia="宋体" w:cs="Times New Roman"/>
                <w:szCs w:val="24"/>
                <w:highlight w:val="none"/>
                <w:lang w:val="en-US" w:eastAsia="zh-CN"/>
              </w:rPr>
              <w:t xml:space="preserve">包含</w:t>
            </w:r>
            <w:r>
              <w:rPr>
                <w:rFonts w:ascii="宋体" w:hAnsi="宋体" w:eastAsia="宋体" w:cs="Times New Roman"/>
                <w:szCs w:val="24"/>
                <w:highlight w:val="none"/>
              </w:rPr>
              <w:t xml:space="preserve">人脸识别</w:t>
            </w:r>
            <w:r>
              <w:rPr>
                <w:rFonts w:hint="eastAsia" w:ascii="宋体" w:hAnsi="宋体" w:eastAsia="宋体" w:cs="Times New Roman"/>
                <w:szCs w:val="24"/>
                <w:highlight w:val="none"/>
                <w:lang w:val="en-US" w:eastAsia="zh-CN"/>
              </w:rPr>
              <w:t xml:space="preserve">功能</w:t>
            </w:r>
            <w:r>
              <w:rPr>
                <w:rFonts w:ascii="宋体" w:hAnsi="宋体" w:eastAsia="宋体" w:cs="Times New Roman"/>
                <w:szCs w:val="24"/>
                <w:highlight w:val="none"/>
                <w:lang w:val="zh-CN"/>
              </w:rPr>
              <w:t xml:space="preserve">）</w:t>
            </w:r>
            <w:r>
              <w:rPr>
                <w:rFonts w:hint="eastAsia" w:ascii="宋体" w:hAnsi="宋体" w:eastAsia="宋体" w:cs="Times New Roman"/>
                <w:szCs w:val="24"/>
                <w:highlight w:val="none"/>
                <w:lang w:val="zh-CN"/>
              </w:rPr>
            </w:r>
            <w:r/>
          </w:p>
        </w:tc>
      </w:tr>
      <w:tr>
        <w:trPr>
          <w:cantSplit/>
          <w:trHeight w:val="9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其他要求</w:t>
            </w:r>
            <w:r>
              <w:rPr>
                <w:rFonts w:hint="eastAsia" w:ascii="宋体" w:hAnsi="宋体" w:eastAsia="宋体" w:cs="Times New Roman"/>
                <w:szCs w:val="24"/>
                <w:highlight w:val="none"/>
                <w:lang w:val="zh-CN"/>
              </w:rPr>
            </w:r>
            <w:r/>
          </w:p>
        </w:tc>
        <w:tc>
          <w:tcPr>
            <w:gridSpan w:val="4"/>
            <w:tcW w:w="7175" w:type="dxa"/>
            <w:vAlign w:val="center"/>
            <w:textDirection w:val="lrTb"/>
            <w:noWrap w:val="false"/>
          </w:tcPr>
          <w:p>
            <w:pPr>
              <w:pStyle w:val="871"/>
              <w:jc w:val="left"/>
              <w:spacing w:line="246" w:lineRule="atLeast"/>
              <w:rPr>
                <w:rFonts w:hint="eastAsia" w:ascii="宋体" w:hAnsi="宋体" w:eastAsia="宋体" w:cs="Times New Roman"/>
                <w:szCs w:val="24"/>
                <w:highlight w:val="none"/>
              </w:rPr>
            </w:pPr>
            <w:r>
              <w:rPr>
                <w:rFonts w:ascii="宋体" w:hAnsi="宋体" w:eastAsia="宋体" w:cs="Times New Roman"/>
                <w:szCs w:val="24"/>
                <w:highlight w:val="none"/>
              </w:rPr>
              <w:t xml:space="preserve">配置轿顶排风扇2个</w:t>
            </w:r>
            <w:r>
              <w:rPr>
                <w:rFonts w:hint="eastAsia" w:ascii="宋体" w:hAnsi="宋体" w:eastAsia="宋体" w:cs="Times New Roman"/>
                <w:szCs w:val="24"/>
                <w:highlight w:val="none"/>
              </w:rPr>
            </w:r>
            <w:r/>
          </w:p>
        </w:tc>
      </w:tr>
      <w:tr>
        <w:trPr>
          <w:cantSplit/>
          <w:trHeight w:val="214"/>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restart"/>
            <w:textDirection w:val="lrTb"/>
            <w:noWrap w:val="false"/>
          </w:tcPr>
          <w:p>
            <w:pPr>
              <w:pStyle w:val="871"/>
              <w:jc w:val="center"/>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功能要求</w:t>
            </w:r>
            <w:r>
              <w:rPr>
                <w:rFonts w:hint="eastAsia" w:ascii="宋体" w:hAnsi="宋体" w:eastAsia="宋体" w:cs="Times New Roman"/>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集选控制</w:t>
            </w:r>
            <w:r>
              <w:rPr>
                <w:rFonts w:hint="eastAsia" w:ascii="宋体" w:hAnsi="宋体" w:eastAsia="宋体" w:cs="Times New Roman"/>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自动返基站</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满载直驶</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反向指令自动消除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重新初始化运行</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故障自诊断</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井道楼层间距自学习</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eastAsia="zh-CN"/>
              </w:rPr>
            </w:pPr>
            <w:r>
              <w:rPr>
                <w:rFonts w:hint="eastAsia" w:ascii="宋体" w:hAnsi="宋体" w:eastAsia="宋体" w:cs="Times New Roman"/>
                <w:sz w:val="22"/>
                <w:szCs w:val="24"/>
                <w:highlight w:val="none"/>
                <w:lang w:val="en-US" w:eastAsia="zh-CN"/>
              </w:rPr>
              <w:t xml:space="preserve">办事</w:t>
            </w:r>
            <w:r>
              <w:rPr>
                <w:rFonts w:hint="eastAsia" w:ascii="宋体" w:hAnsi="宋体" w:eastAsia="宋体" w:cs="Times New Roman"/>
                <w:sz w:val="22"/>
                <w:szCs w:val="24"/>
                <w:highlight w:val="none"/>
                <w:lang w:val="zh-CN" w:eastAsia="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端站保护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超载保护</w:t>
            </w:r>
            <w:r>
              <w:rPr>
                <w:rFonts w:hint="eastAsia" w:ascii="宋体" w:hAnsi="宋体" w:eastAsia="宋体" w:cs="Times New Roman"/>
                <w:sz w:val="22"/>
                <w:szCs w:val="24"/>
                <w:highlight w:val="none"/>
                <w:lang w:val="zh-CN"/>
              </w:rPr>
            </w:r>
            <w:r/>
          </w:p>
        </w:tc>
      </w:tr>
      <w:tr>
        <w:trPr>
          <w:cantSplit/>
          <w:trHeight w:val="2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驱动设备过热保护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电网异常检测功能</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速度异常检测功能</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接触器异常检测功能</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抱闸异常检测功能</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轿顶检修</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紧急电动运行</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自动泊梯</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锁梯开关</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自动返回</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开关门按钮</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光幕门保护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关门力矩保护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轿厢开门保护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轿厢关门保护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厅外重开门</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轿厢关门延时保护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内部通话装置</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轿厢到站钟</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轿厢警铃</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轿厢内应急照明</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轿内照明风扇自动控制</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轿内楼层及方向显示</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厅外楼层及方向显示</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司机直驶</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司机操作</w:t>
            </w:r>
            <w:r>
              <w:rPr>
                <w:rFonts w:hint="eastAsia" w:ascii="宋体" w:hAnsi="宋体" w:eastAsia="宋体" w:cs="Times New Roman"/>
                <w:sz w:val="22"/>
                <w:szCs w:val="24"/>
                <w:highlight w:val="none"/>
                <w:lang w:val="zh-CN"/>
              </w:rPr>
            </w:r>
            <w:r/>
          </w:p>
        </w:tc>
      </w:tr>
      <w:tr>
        <w:trPr>
          <w:cantSplit/>
          <w:trHeight w:val="326"/>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独立操作</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防捣乱保护</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Times New Roman"/>
                <w:szCs w:val="24"/>
                <w:highlight w:val="none"/>
                <w:lang w:val="zh-CN"/>
              </w:rPr>
              <w:t xml:space="preserve">消防紧急迫降功能</w:t>
            </w:r>
            <w:r>
              <w:rPr>
                <w:rFonts w:hint="eastAsia" w:ascii="宋体" w:hAnsi="宋体" w:eastAsia="宋体" w:cs="Times New Roman"/>
                <w:sz w:val="22"/>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rPr>
                <w:rFonts w:hint="eastAsia" w:ascii="宋体" w:hAnsi="宋体" w:eastAsia="宋体" w:cs="Times New Roman"/>
                <w:szCs w:val="24"/>
                <w:highlight w:val="none"/>
                <w:lang w:val="zh-CN"/>
              </w:rPr>
            </w:pPr>
            <w:r>
              <w:rPr>
                <w:rFonts w:ascii="宋体" w:hAnsi="宋体" w:eastAsia="宋体" w:cs="Times New Roman"/>
                <w:szCs w:val="24"/>
                <w:highlight w:val="none"/>
                <w:lang w:val="zh-CN"/>
              </w:rPr>
              <w:t xml:space="preserve">▲停电应急平层</w:t>
            </w:r>
            <w:r>
              <w:rPr>
                <w:rFonts w:hint="eastAsia" w:ascii="宋体" w:hAnsi="宋体" w:eastAsia="宋体" w:cs="Times New Roman"/>
                <w:szCs w:val="24"/>
                <w:highlight w:val="none"/>
                <w:lang w:val="zh-CN"/>
              </w:rPr>
            </w:r>
            <w:r/>
          </w:p>
        </w:tc>
      </w:tr>
      <w:tr>
        <w:trPr>
          <w:cantSplit/>
          <w:trHeight w:val="180"/>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rPr>
                <w:rFonts w:hint="eastAsia" w:ascii="Times New Roman" w:hAnsi="Times New Roman" w:eastAsia="宋体" w:cs="Times New Roman"/>
                <w:lang w:val="zh-CN"/>
              </w:rPr>
            </w:pPr>
            <w:r>
              <w:rPr>
                <w:rFonts w:ascii="宋体" w:hAnsi="宋体" w:eastAsia="宋体" w:cs="Times New Roman"/>
                <w:szCs w:val="24"/>
                <w:highlight w:val="none"/>
                <w:lang w:val="zh-CN"/>
              </w:rPr>
              <w:t xml:space="preserve">▲控制柜抗雷击浪涌电压</w:t>
            </w:r>
            <w:bookmarkStart w:id="60" w:name="OLE_LINK24"/>
            <w:r/>
            <w:bookmarkStart w:id="61" w:name="OLE_LINK20"/>
            <w:r>
              <w:rPr>
                <w:rFonts w:ascii="宋体" w:hAnsi="宋体" w:eastAsia="宋体" w:cs="Times New Roman"/>
                <w:szCs w:val="24"/>
                <w:highlight w:val="none"/>
                <w:lang w:val="zh-CN"/>
              </w:rPr>
              <w:t xml:space="preserve">达到25kv</w:t>
            </w:r>
            <w:bookmarkEnd w:id="60"/>
            <w:r/>
            <w:bookmarkEnd w:id="61"/>
            <w:r>
              <w:rPr>
                <w:rFonts w:ascii="宋体" w:hAnsi="宋体" w:eastAsia="宋体" w:cs="Times New Roman"/>
                <w:szCs w:val="24"/>
                <w:highlight w:val="none"/>
                <w:lang w:val="zh-CN"/>
              </w:rPr>
              <w:t xml:space="preserve">及以上。</w:t>
            </w:r>
            <w:bookmarkStart w:id="62" w:name="OLE_LINK25"/>
            <w:r>
              <w:rPr>
                <w:rFonts w:ascii="宋体" w:hAnsi="宋体" w:eastAsia="宋体" w:cs="Times New Roman"/>
                <w:szCs w:val="24"/>
                <w:highlight w:val="none"/>
                <w:lang w:val="zh-CN"/>
              </w:rPr>
              <w:t xml:space="preserve">（签订合同时提供</w:t>
            </w:r>
            <w:bookmarkStart w:id="63" w:name="OLE_LINK26"/>
            <w:r>
              <w:rPr>
                <w:rFonts w:ascii="宋体" w:hAnsi="宋体" w:eastAsia="宋体" w:cs="Times New Roman"/>
                <w:szCs w:val="24"/>
                <w:highlight w:val="none"/>
                <w:lang w:val="zh-CN"/>
              </w:rPr>
              <w:t xml:space="preserve">第三方检测机构</w:t>
            </w:r>
            <w:bookmarkEnd w:id="63"/>
            <w:r>
              <w:rPr>
                <w:rFonts w:hint="eastAsia" w:ascii="宋体" w:hAnsi="宋体" w:eastAsia="宋体" w:cs="Times New Roman"/>
                <w:szCs w:val="24"/>
                <w:highlight w:val="none"/>
                <w:lang w:val="zh-CN"/>
              </w:rPr>
              <w:t xml:space="preserve">依据TSG T7007-2022</w:t>
            </w:r>
            <w:r>
              <w:rPr>
                <w:rFonts w:ascii="宋体" w:hAnsi="宋体" w:eastAsia="宋体" w:cs="Times New Roman"/>
                <w:szCs w:val="24"/>
                <w:highlight w:val="none"/>
                <w:lang w:val="zh-CN"/>
              </w:rPr>
              <w:t xml:space="preserve">出具的抗雷击测试报告</w:t>
            </w:r>
            <w:r>
              <w:rPr>
                <w:rFonts w:hint="eastAsia" w:ascii="宋体" w:hAnsi="宋体" w:eastAsia="宋体" w:cs="Times New Roman"/>
                <w:szCs w:val="24"/>
                <w:highlight w:val="none"/>
                <w:lang w:val="zh-CN"/>
              </w:rPr>
              <w:t xml:space="preserve">，</w:t>
            </w:r>
            <w:r>
              <w:rPr>
                <w:rFonts w:ascii="宋体" w:hAnsi="宋体" w:eastAsia="宋体" w:cs="Times New Roman"/>
                <w:szCs w:val="24"/>
                <w:highlight w:val="none"/>
                <w:lang w:val="zh-CN"/>
              </w:rPr>
              <w:t xml:space="preserve">检测方法及标准：</w:t>
            </w:r>
            <w:r>
              <w:rPr>
                <w:rFonts w:hint="eastAsia" w:ascii="宋体" w:hAnsi="宋体" w:eastAsia="宋体" w:cs="Times New Roman"/>
                <w:szCs w:val="24"/>
                <w:highlight w:val="none"/>
                <w:lang w:val="en-US" w:eastAsia="zh-CN"/>
              </w:rPr>
              <w:t xml:space="preserve">1.</w:t>
            </w:r>
            <w:r>
              <w:rPr>
                <w:rFonts w:hint="eastAsia" w:ascii="宋体" w:hAnsi="宋体" w:eastAsia="宋体" w:cs="Times New Roman"/>
                <w:szCs w:val="24"/>
                <w:highlight w:val="none"/>
                <w:lang w:val="zh-CN"/>
              </w:rPr>
              <w:t xml:space="preserve">GB/T 17626.5—2019《电磁兼容—试验和测量技术—浪涌（冲击）抗扰度试验》；</w:t>
            </w:r>
            <w:r>
              <w:rPr>
                <w:rFonts w:hint="eastAsia" w:ascii="Times New Roman" w:hAnsi="Times New Roman" w:eastAsia="宋体" w:cs="Times New Roman"/>
                <w:lang w:val="zh-CN"/>
              </w:rPr>
            </w:r>
            <w:r/>
          </w:p>
          <w:p>
            <w:pPr>
              <w:pStyle w:val="871"/>
              <w:rPr>
                <w:rFonts w:hint="eastAsia" w:ascii="宋体" w:hAnsi="宋体" w:eastAsia="宋体" w:cs="Times New Roman"/>
                <w:sz w:val="22"/>
                <w:szCs w:val="24"/>
                <w:highlight w:val="none"/>
                <w:lang w:val="zh-CN"/>
              </w:rPr>
            </w:pPr>
            <w:r>
              <w:rPr>
                <w:rFonts w:hint="eastAsia" w:ascii="宋体" w:hAnsi="宋体" w:eastAsia="宋体" w:cs="Times New Roman"/>
                <w:szCs w:val="24"/>
                <w:highlight w:val="none"/>
                <w:lang w:val="en-US" w:eastAsia="zh-CN"/>
              </w:rPr>
              <w:t xml:space="preserve">2.</w:t>
            </w:r>
            <w:r>
              <w:rPr>
                <w:rFonts w:hint="eastAsia" w:ascii="宋体" w:hAnsi="宋体" w:eastAsia="宋体" w:cs="Times New Roman"/>
                <w:szCs w:val="24"/>
                <w:highlight w:val="none"/>
                <w:lang w:val="zh-CN"/>
              </w:rPr>
              <w:t xml:space="preserve">GB/T 18802.11—2020《低压电涌保护器(SPD)第11部分：低压电源系统的电涌保护器性能要求和试验方法》</w:t>
            </w:r>
            <w:bookmarkEnd w:id="62"/>
            <w:r>
              <w:rPr>
                <w:rFonts w:hint="eastAsia" w:ascii="宋体" w:hAnsi="宋体" w:eastAsia="宋体" w:cs="Times New Roman"/>
                <w:szCs w:val="24"/>
                <w:highlight w:val="none"/>
                <w:lang w:val="zh-CN"/>
              </w:rPr>
              <w:t xml:space="preserve">。</w:t>
            </w:r>
            <w:r>
              <w:rPr>
                <w:rFonts w:hint="eastAsia" w:ascii="宋体" w:hAnsi="宋体" w:eastAsia="宋体" w:cs="Times New Roman"/>
                <w:sz w:val="22"/>
                <w:szCs w:val="24"/>
                <w:highlight w:val="none"/>
                <w:lang w:val="zh-CN"/>
              </w:rPr>
            </w:r>
            <w:r/>
          </w:p>
        </w:tc>
      </w:tr>
      <w:tr>
        <w:trPr>
          <w:cantSplit/>
        </w:trPr>
        <w:tc>
          <w:tcPr>
            <w:tcW w:w="1236"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tcW w:w="1530" w:type="dxa"/>
            <w:vAlign w:val="center"/>
            <w:vMerge w:val="continue"/>
            <w:textDirection w:val="lrTb"/>
            <w:noWrap w:val="false"/>
          </w:tcPr>
          <w:p>
            <w:pPr>
              <w:pStyle w:val="871"/>
              <w:jc w:val="left"/>
              <w:spacing w:line="246" w:lineRule="atLeast"/>
              <w:rPr>
                <w:rFonts w:hint="eastAsia" w:ascii="宋体" w:hAnsi="宋体" w:eastAsia="宋体" w:cs="Times New Roman"/>
                <w:sz w:val="22"/>
                <w:szCs w:val="24"/>
                <w:highlight w:val="none"/>
                <w:lang w:val="zh-CN"/>
              </w:rPr>
            </w:pPr>
            <w:r>
              <w:rPr>
                <w:rFonts w:hint="eastAsia" w:ascii="宋体" w:hAnsi="宋体" w:eastAsia="宋体" w:cs="Times New Roman"/>
                <w:sz w:val="22"/>
                <w:szCs w:val="24"/>
                <w:highlight w:val="none"/>
                <w:lang w:val="zh-CN"/>
              </w:rPr>
            </w:r>
            <w:r/>
          </w:p>
        </w:tc>
        <w:tc>
          <w:tcPr>
            <w:gridSpan w:val="4"/>
            <w:tcW w:w="7175" w:type="dxa"/>
            <w:vAlign w:val="center"/>
            <w:textDirection w:val="lrTb"/>
            <w:noWrap w:val="false"/>
          </w:tcPr>
          <w:p>
            <w:pPr>
              <w:pStyle w:val="871"/>
              <w:jc w:val="left"/>
              <w:rPr>
                <w:rFonts w:hint="eastAsia" w:ascii="宋体" w:hAnsi="宋体" w:eastAsia="宋体" w:cs="Times New Roman"/>
                <w:sz w:val="22"/>
                <w:szCs w:val="24"/>
                <w:highlight w:val="none"/>
                <w:lang w:val="zh-CN"/>
              </w:rPr>
            </w:pPr>
            <w:r>
              <w:rPr>
                <w:rFonts w:ascii="宋体" w:hAnsi="宋体" w:eastAsia="宋体" w:cs="宋体"/>
                <w:szCs w:val="21"/>
                <w:highlight w:val="none"/>
                <w:lang w:val="zh-CN" w:bidi="ar"/>
              </w:rPr>
              <w:t xml:space="preserve">▲按钮使用次数达到2000万次使用寿命。（签订合同时提供第三方检测机构</w:t>
            </w:r>
            <w:r>
              <w:rPr>
                <w:rFonts w:hint="eastAsia" w:ascii="宋体" w:hAnsi="宋体" w:eastAsia="宋体" w:cs="宋体"/>
                <w:szCs w:val="21"/>
                <w:highlight w:val="none"/>
                <w:lang w:val="zh-CN" w:bidi="ar"/>
              </w:rPr>
              <w:t xml:space="preserve">依据TSG T7007-2022</w:t>
            </w:r>
            <w:r>
              <w:rPr>
                <w:rFonts w:ascii="宋体" w:hAnsi="宋体" w:eastAsia="宋体" w:cs="宋体"/>
                <w:szCs w:val="21"/>
                <w:highlight w:val="none"/>
                <w:lang w:val="zh-CN" w:bidi="ar"/>
              </w:rPr>
              <w:t xml:space="preserve">出具的测试报告</w:t>
            </w:r>
            <w:r>
              <w:rPr>
                <w:rFonts w:hint="eastAsia" w:ascii="宋体" w:hAnsi="宋体" w:eastAsia="宋体" w:cs="宋体"/>
                <w:szCs w:val="21"/>
                <w:highlight w:val="none"/>
                <w:lang w:val="zh-CN" w:bidi="ar"/>
              </w:rPr>
              <w:t xml:space="preserve">，</w:t>
            </w:r>
            <w:r>
              <w:rPr>
                <w:rFonts w:ascii="宋体" w:hAnsi="宋体" w:eastAsia="宋体" w:cs="宋体"/>
                <w:szCs w:val="21"/>
                <w:highlight w:val="none"/>
                <w:lang w:val="zh-CN" w:bidi="ar"/>
              </w:rPr>
              <w:t xml:space="preserve">检测方法和标准：《按钮疲劳测试要求与方法》</w:t>
            </w:r>
            <w:r>
              <w:rPr>
                <w:rFonts w:hint="eastAsia" w:ascii="宋体" w:hAnsi="宋体" w:eastAsia="宋体" w:cs="宋体"/>
                <w:szCs w:val="21"/>
                <w:highlight w:val="none"/>
                <w:lang w:val="zh-CN" w:bidi="ar"/>
              </w:rPr>
              <w:t xml:space="preserve">。</w:t>
            </w:r>
            <w:r>
              <w:rPr>
                <w:rFonts w:hint="eastAsia" w:ascii="宋体" w:hAnsi="宋体" w:eastAsia="宋体" w:cs="Times New Roman"/>
                <w:sz w:val="22"/>
                <w:szCs w:val="24"/>
                <w:highlight w:val="none"/>
                <w:lang w:val="zh-CN"/>
              </w:rPr>
            </w:r>
            <w:r/>
          </w:p>
        </w:tc>
      </w:tr>
    </w:tbl>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（4）若合同履行期间国家税收政策发生调整，自新政生效之日起按最新法定税率执行，并据此重新计算含税总价(以原不含税金额为基准）。</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2.电梯安装要求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投标人中标后提供施工进度计划和各阶段进度的保证措施；安装的质量保证措施；安全文明施工、电梯安装的安全保证措施及环境保护措施；包含但不限于以下要求：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1）施工组织机构：须成立健全的施工组织机构，包含项目经理、施工人员；现场安装负责人、安装班组等相关组织机构和人员。</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2）具体的项目实施方案应符合本项目实际需要，确保在规定的时间内完成。</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①投标人接到中标通知后一周内提交详细的施工图等。</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设备订货合同签订后，由投标人工程师到现场勘察设计，所有尺寸以现场勘测的实际尺寸为准；若在安装过程中，由于投标人在安装过程中的责任导致建筑结构或其他设备被损坏，投标人需负责修理或赔偿损失。安装与调试中涉及的所有费用均应列入投标总价，而不能在执行中要求另外付费。</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3）安全保证措施 </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①电梯安装现场必须有技术、安全人员监护；</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②电梯安装区域设置警戒线，有明显标志，并要有专人监护，安装期间现场严禁闲杂人员进出；</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③电梯安装前工作人员应对工具、附件等仔细检查，不合格者立即更换，确保正常使用；</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④电梯安装过程中，所有工作人员必须听从指挥人员的统一指挥和信号；</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⑤电梯安装过程中须有专人照看电源；</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⑥电梯安装过程中所有工作人员必须戴好安全帽，上高人员必须穿防滑鞋，高空作业必须系好安全带，配挂工具包；</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⑦电梯安装过程中严禁由高空向下抛投物品；</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⑧电梯安装过程中注意建筑物周边的障碍物，若有障碍物必须排除后方可作业，防止发生意外事故；</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⑨电梯安装过程中吊笼运动时，人体及装运的物件绝对不准超出吊笼护</w:t>
      </w:r>
      <w:r>
        <w:rPr>
          <w:rFonts w:hint="eastAsia"/>
          <w:lang w:val="en-US" w:eastAsia="zh-CN"/>
        </w:rPr>
        <w:t xml:space="preserve">栏</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⑩电梯安装过程中每道工序完成后经专人检查认可方能进行下一道安装工序；</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⑪电梯安装过程中发现异常，应立即停止安装工作，排除故障后才能继续安装；</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⑫电梯安装过程中吊笼载荷不允许超过额定安装载重量；</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⑬电梯安装过程中吊杆进行安装工作时，吊杆的最大起重量为200kg，不允许超载，吊杆有悬挂物时，不准开动吊笼；</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⑭电梯安装期间绝对不允许非安装人员使用施工升降机；</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⑮安装期间严禁饮酒、打闹；</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⑯电梯安装完成后应仔细检查施工升降机的各机构，各部位是否处于良好状态，发现问题及时处理。</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4）质量保证措施</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①严格按国家颁布的电梯安装施工工艺标准执行，并派电梯安全质量检验员进行监督，每道工序完工后由质检员检查合格后，方能进行下一道工序。</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②为保证工程顺利无事故进行，安装队必须定期组织召开安全会，检查各种安全防护用品是否牢固。要求操作者严格遵守现场的安全管理规定，确保现场安全。</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③为保证在合同期内完成电梯的安装工作量，要求安装队制定详细的施工进度表，并严格按进度表完成当日的工作量。</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④在安装过程中，要求各班组必须加强自检、互检工作，并严格填写自检记录，各项数据必须真实可靠，并有填写人签名，以便日后查找。</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⑤施工中文明施工，严格遵守国家法规，遵守工地规章制度，配备安全检查专职人员。</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5）其他要求及说明</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①电梯的电源总柜内，应有安装电源电缆的足够空间与配套紧固件。</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②电梯变频调速系统应设置必要的防干扰措施，防止电梯干扰信号通过双电源线路向外传导，避免对其他用电设备造成影响。</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④须配置井道爬梯、井道永久照明和井道间防护网并符合国标要求。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⑤相关尺寸、参数以现场勘查并经采购人确认的实际数据为准。</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投标人负责提供电梯安装所需全部零部件、管线（含电管、走线槽、电线、电缆等）、配件及构件，承担全部施工人员、施工设施投入，包含井道外与电梯相关的全部设备及管线施工；如建筑现有共用总接地点接地电阻不满足电梯安装要求，由投标人负责解决；因电梯安装产生的各类土建整改工作及全部费用均由投标人承担，采购人不承担任何新增费用。</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⑦投标人应当服从采购人属地的市场监管部门的管理与督查，并按规定缴纳相关检测费用。</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6）施工具体要求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投标人应编制包含工程承包总体设想、组织形式、各项管理目标及控制措施、设计与施工实施计划、设计与施工协调措施，同时具备全过程防护及安装分项方案的完整技术方案。</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搭建临时安全通道，保证人员的正常出行。</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对关键施工技术、工艺及工程项目的重点、难点提出合理解决方案。</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明确现场服务人员组织架构、人员数量及年龄架构。至少包含项目负责人与安全员。（签订合同时提供相关人员信息）</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制定施工期间的相关保护措施，施工时不得影响大楼正常使用，不得破坏原有装修、设备等。保证大楼的用电、环保、卫生、安全、防疫等方面要求。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负责保管、看护更换的电梯及附属配件。应对电梯、电梯附属配件、安装设备（工具）等进行适当的保护、包装或覆盖等处理，避免受损。</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安装调试人员应注意保护电梯邻近的设备、管线等，如造成损坏，中标投标人应负责修复及承担一切相关费用。</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应及时清理安装调试期间产生的垃圾。</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在更换工作完成后须通知采购人，并将电梯更换中的有关技术资料移交给电梯维保单位及采购人。</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应积极配合政府部门的检测验收，如因投标人的原因未能通过相关政府部门的检测验收，应无偿整改，且相关责任及产生的费用均由投标人承担，直至验收合格为止。</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7）质量要求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①投标人保证货物是全新、未使用过的原装合格正品。</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②投标人保证提供的产品不得侵犯第三方专利权、商标权和工业设计权、版权等。否则投标人应负全部责任，并承担由此引起的一切后果。</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③投标人提供的货物符合国家有关质量技术标准及相关法律、法规规定的要求。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④投标人保证其货物在正常使用时，其使用寿命期内应具有良好的性能。货物最终验收后，投标人对由于设计、工艺或材料的缺陷而发生的任何不足或质量问题负责，并承担由此引起的一切后果。</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8）验收要求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①验收标准：投标人提供的设备必须符合我国最新颁布的与之相关的技术规范与标准。</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②投标人负责电梯制作、运输、现场安装调试、向政府相关部门报验并承担相关费用。最终得到政府相关部门验收合格、取得新电梯特种设备注册登记证为止，且为交钥匙工程。</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验收包括：数量、外观、质量、性能、随机备品备件、产品合格证、电梯特种设备注册登记证、装箱单、随机资料及包装。所有设备和附配件应符合其规定的性能，无瑕疵和缺陷，质量为合格品，同时有明确的制造厂商。投标人对质量问题负责包退、包换和包修，因此发生的费用由投标人负责。</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④所供货物因质量或安装不当导致验收不合格，应及时处理直至验收合格，期间产生的一切费用由投标人承担；若二次验收不合格，采购人有权退货。采购人在此期间保留对投标人的索赔权利。</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⑤投标人授权的技术人员在最终采购人指定地点开箱、安装、调试，协同采购人一起进行验收，直至设备技术指标经验收合格，出具验收报告，经采购人同意签字才能正式交付使用。</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⑥产品配置符合投标文件承诺。</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⑦项目验收时间：向政府相关部门报验，最终得到政府相关部门验收合格、取得新电梯特种设备注册登记证后七个工作日内。</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9）质保（维保）、售后及培训要求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质保要求：投标人须提供电梯质保（维保）（签订合同时提供加盖投标人公章的质量与售后服务承诺书），本项目整体质保2年，质保期自经政府部门验收合格、并取得南京市质监部门出具的验收报告和颁发的安全验收合格运行许可证之日起算。（质保期内投标人负责电梯年检，费用包含在投标报价中；投标人不得转包本项目，未经采购人书面同意不得分包项目主体及关键维保工作。）</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2）售后服务要求：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①按照《电梯使用管理与维护保养规则》（TSGT5002-2017）的规定完成半月、季度、半年、年度维保项目，并做好维护保养记录。</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投标人所提供的设备发生故障后，一经采购人通知后应做到快速响应：电梯困人的救援时间不应超过30分钟；故障反应时间小于30分钟；一般故障修复时间小于60分钟；较大故障修复时间小于36小时。质保期内，投标人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10）培训要求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应负责对采购人相关人员进行全面培训，使受训者能够独立、熟练地完成各项操作，实现系统的目标和功能。培训应达到以下目标：操作人员能熟练使用各项电梯功能，完成日常工作；能全面了解各系统运行模式，熟知业务流程，能判断一般故障；全面掌握系统安装、设置和使用。</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11）人员要求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本项目实施人员不少于5人，其中项目经理1人。</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（1）交付时间：合同签订后60天内交付并完成安装调试及验收等相关工作。</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4"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4"/>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65"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w:t>
      </w:r>
      <w:r>
        <w:rPr>
          <w:rFonts w:hint="eastAsia" w:ascii="宋体" w:hAnsi="宋体" w:eastAsia="宋体" w:cs="宋体"/>
          <w:color w:val="000000"/>
          <w:sz w:val="24"/>
          <w:szCs w:val="24"/>
          <w:highlight w:val="none"/>
        </w:rPr>
        <w:t xml:space="preserve">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spacing w:line="264" w:lineRule="auto"/>
        <w:widowControl w:val="off"/>
        <w:rPr>
          <w:rFonts w:hint="eastAsia" w:ascii="黑体" w:hAnsi="黑体" w:eastAsia="黑体" w:cs="黑体"/>
          <w:color w:val="000000"/>
          <w:sz w:val="24"/>
          <w:szCs w:val="24"/>
          <w:highlight w:val="none"/>
          <w:lang w:val="en-US"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    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w:t>
      </w:r>
      <w:r>
        <w:rPr>
          <w:rFonts w:hint="eastAsia" w:ascii="宋体" w:hAnsi="宋体" w:eastAsia="宋体" w:cs="宋体"/>
          <w:sz w:val="24"/>
          <w:szCs w:val="24"/>
          <w:highlight w:val="none"/>
        </w:rPr>
        <w:t xml:space="preserve">后的价格参与评审。</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1"/>
        <w:ind w:firstLine="480"/>
        <w:keepLines w:val="0"/>
        <w:keepNext w:val="0"/>
        <w:pageBreakBefore w:val="0"/>
        <w:spacing w:line="264" w:lineRule="auto"/>
        <w:widowControl w:val="off"/>
        <w:rPr>
          <w:rFonts w:hint="eastAsia"/>
          <w:sz w:val="24"/>
          <w:szCs w:val="24"/>
          <w:highlight w:val="none"/>
          <w:lang w:eastAsia="zh-CN"/>
        </w:rPr>
        <w:outlineLvl w:val="1"/>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highlight w:val="none"/>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hint="eastAsia" w:ascii="宋体" w:hAnsi="宋体" w:eastAsia="宋体" w:cs="宋体"/>
                <w:b/>
                <w:bCs/>
                <w:color w:val="000000"/>
                <w:spacing w:val="-3"/>
                <w:sz w:val="21"/>
                <w:szCs w:val="21"/>
                <w:highlight w:val="none"/>
              </w:rPr>
              <w:t xml:space="preserve">价</w:t>
            </w:r>
            <w:r>
              <w:rPr>
                <w:rFonts w:hint="eastAsia" w:ascii="宋体" w:hAnsi="宋体" w:eastAsia="宋体" w:cs="宋体"/>
                <w:b/>
                <w:bCs/>
                <w:color w:val="000000"/>
                <w:spacing w:val="-2"/>
                <w:sz w:val="21"/>
                <w:szCs w:val="21"/>
                <w:highlight w:val="none"/>
              </w:rPr>
              <w:t xml:space="preserve">格</w:t>
            </w:r>
            <w:r>
              <w:rPr>
                <w:rFonts w:hint="eastAsia" w:ascii="宋体" w:hAnsi="宋体" w:eastAsia="宋体" w:cs="宋体"/>
                <w:color w:val="000000"/>
                <w:sz w:val="21"/>
                <w:szCs w:val="21"/>
                <w:highlight w:val="none"/>
              </w:rPr>
            </w:r>
            <w:r/>
          </w:p>
        </w:tc>
      </w:tr>
      <w:tr>
        <w:trPr>
          <w:trHeight w:val="625"/>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价格分</w:t>
            </w:r>
            <w:r>
              <w:rPr>
                <w:rFonts w:hint="eastAsia" w:ascii="宋体" w:hAnsi="宋体" w:eastAsia="宋体" w:cs="宋体"/>
                <w:color w:val="000000"/>
                <w:sz w:val="21"/>
                <w:szCs w:val="21"/>
                <w:highlight w:val="none"/>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采用低价优先</w:t>
            </w:r>
            <w:r>
              <w:rPr>
                <w:rFonts w:ascii="宋体" w:hAnsi="宋体" w:cs="宋体"/>
                <w:color w:val="000000"/>
                <w:sz w:val="21"/>
                <w:szCs w:val="21"/>
                <w:lang w:bidi="zh-CN"/>
              </w:rPr>
              <w:t xml:space="preserve">法计算</w:t>
            </w:r>
            <w:r>
              <w:rPr>
                <w:rFonts w:ascii="宋体" w:hAnsi="宋体" w:cs="宋体"/>
                <w:color w:val="000000"/>
                <w:sz w:val="21"/>
                <w:szCs w:val="21"/>
                <w:lang w:eastAsia="zh-CN" w:bidi="zh-CN"/>
              </w:rPr>
              <w:t xml:space="preserve">，</w:t>
            </w:r>
            <w:r>
              <w:rPr>
                <w:rFonts w:ascii="宋体" w:hAnsi="宋体" w:cs="宋体"/>
                <w:color w:val="000000"/>
                <w:sz w:val="21"/>
                <w:szCs w:val="21"/>
                <w:lang w:bidi="zh-CN"/>
              </w:rPr>
              <w:t xml:space="preserve">即满足招标文件要求且投标价格最低的投标</w:t>
            </w:r>
            <w:r>
              <w:rPr>
                <w:rFonts w:ascii="宋体" w:hAnsi="宋体" w:cs="宋体"/>
                <w:color w:val="000000"/>
                <w:sz w:val="21"/>
                <w:szCs w:val="21"/>
                <w:lang w:bidi="zh-CN"/>
              </w:rPr>
              <w:t xml:space="preserve">报价为评标基准</w:t>
            </w:r>
            <w:r>
              <w:rPr>
                <w:rFonts w:ascii="宋体" w:hAnsi="宋体" w:cs="宋体"/>
                <w:color w:val="000000"/>
                <w:sz w:val="21"/>
                <w:szCs w:val="21"/>
                <w:lang w:bidi="zh-CN"/>
              </w:rPr>
              <w:t xml:space="preserve">价</w:t>
            </w:r>
            <w:r>
              <w:rPr>
                <w:rFonts w:ascii="宋体" w:hAnsi="宋体" w:cs="宋体"/>
                <w:color w:val="000000"/>
                <w:sz w:val="21"/>
                <w:szCs w:val="21"/>
                <w:lang w:eastAsia="zh-CN" w:bidi="zh-CN"/>
              </w:rPr>
              <w:t xml:space="preserve">，</w:t>
            </w:r>
            <w:r>
              <w:rPr>
                <w:rFonts w:ascii="宋体" w:hAnsi="宋体" w:cs="宋体"/>
                <w:color w:val="000000"/>
                <w:sz w:val="21"/>
                <w:szCs w:val="21"/>
                <w:lang w:bidi="zh-CN"/>
              </w:rPr>
              <w:t xml:space="preserve">其价格分为满分。其他投标人的价格分统一按</w:t>
            </w:r>
            <w:r>
              <w:rPr>
                <w:rFonts w:ascii="宋体" w:hAnsi="宋体" w:cs="宋体"/>
                <w:color w:val="000000"/>
                <w:sz w:val="21"/>
                <w:szCs w:val="21"/>
                <w:lang w:bidi="zh-CN"/>
              </w:rPr>
              <w:t xml:space="preserve">照下列公</w:t>
            </w:r>
            <w:r>
              <w:rPr>
                <w:rFonts w:ascii="宋体" w:hAnsi="宋体" w:cs="宋体"/>
                <w:color w:val="000000"/>
                <w:sz w:val="21"/>
                <w:szCs w:val="21"/>
                <w:lang w:bidi="zh-CN"/>
              </w:rPr>
              <w:t xml:space="preserve">式计算：投标报价得分=</w:t>
            </w:r>
            <w:r>
              <w:rPr>
                <w:rFonts w:ascii="宋体" w:hAnsi="宋体" w:cs="宋体"/>
                <w:color w:val="000000"/>
                <w:sz w:val="21"/>
                <w:szCs w:val="21"/>
                <w:lang w:eastAsia="zh-CN" w:bidi="zh-CN"/>
              </w:rPr>
              <w:t xml:space="preserve">（</w:t>
            </w:r>
            <w:r>
              <w:rPr>
                <w:rFonts w:ascii="宋体" w:hAnsi="宋体" w:cs="宋体"/>
                <w:color w:val="000000"/>
                <w:sz w:val="21"/>
                <w:szCs w:val="21"/>
                <w:lang w:bidi="zh-CN"/>
              </w:rPr>
              <w:t xml:space="preserve">评标基准价/投标报价</w:t>
            </w:r>
            <w:r>
              <w:rPr>
                <w:rFonts w:ascii="宋体" w:hAnsi="宋体" w:cs="宋体"/>
                <w:color w:val="000000"/>
                <w:sz w:val="21"/>
                <w:szCs w:val="21"/>
                <w:lang w:eastAsia="zh-CN" w:bidi="zh-CN"/>
              </w:rPr>
              <w:t xml:space="preserve">）</w:t>
            </w:r>
            <w:r>
              <w:rPr>
                <w:rFonts w:ascii="宋体" w:hAnsi="宋体" w:cs="宋体"/>
                <w:color w:val="000000"/>
                <w:sz w:val="21"/>
                <w:szCs w:val="21"/>
                <w:lang w:bidi="zh-CN"/>
              </w:rPr>
              <w:t xml:space="preserve">×</w:t>
            </w:r>
            <w:r>
              <w:rPr>
                <w:rFonts w:ascii="宋体" w:hAnsi="宋体" w:cs="宋体"/>
                <w:color w:val="000000"/>
                <w:sz w:val="21"/>
                <w:szCs w:val="21"/>
                <w:lang w:val="en-US" w:eastAsia="zh-CN" w:bidi="zh-CN"/>
              </w:rPr>
              <w:t xml:space="preserve">价格分值（小数点保留两位）</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val="en-US" w:eastAsia="zh-CN" w:bidi="zh-CN"/>
              </w:rPr>
              <w:t xml:space="preserve">因落实政府采购政策进行价格调整的，以调整后的价格计算评标基准价和投标报价。</w:t>
            </w:r>
            <w:r>
              <w:rPr>
                <w:rFonts w:ascii="宋体" w:hAnsi="宋体" w:cs="宋体"/>
                <w:color w:val="000000"/>
                <w:sz w:val="21"/>
                <w:szCs w:val="21"/>
                <w:lang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hint="eastAsia" w:ascii="宋体" w:hAnsi="宋体" w:eastAsia="宋体" w:cs="宋体"/>
                <w:color w:val="000000"/>
                <w:sz w:val="21"/>
                <w:szCs w:val="21"/>
                <w:highlight w:val="none"/>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产品技术参数全部满足招标要求的得满分，打★指标为必须满足项，如有负偏离将作为无效投标，打▲指标为重要指标，有1项负偏离扣1分，其余指标有1项负偏离扣0.15分。</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15</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eastAsia="zh-CN"/>
              </w:rPr>
            </w:pPr>
            <w:r>
              <w:rPr>
                <w:rFonts w:ascii="宋体" w:hAnsi="宋体" w:cs="宋体"/>
                <w:color w:val="000000"/>
                <w:spacing w:val="-6"/>
                <w:sz w:val="21"/>
                <w:szCs w:val="21"/>
              </w:rPr>
              <w:t xml:space="preserve">客</w:t>
            </w:r>
            <w:r>
              <w:rPr>
                <w:rFonts w:ascii="宋体" w:hAnsi="宋体" w:cs="宋体"/>
                <w:color w:val="000000"/>
                <w:spacing w:val="-4"/>
                <w:sz w:val="21"/>
                <w:szCs w:val="21"/>
              </w:rPr>
              <w:t xml:space="preserve">观分</w:t>
            </w:r>
            <w:r>
              <w:rPr>
                <w:rFonts w:hint="eastAsia" w:ascii="宋体" w:hAnsi="宋体" w:eastAsia="宋体" w:cs="宋体"/>
                <w:color w:val="000000"/>
                <w:sz w:val="21"/>
                <w:szCs w:val="21"/>
                <w:highlight w:val="none"/>
                <w:lang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 w:val="21"/>
                <w:szCs w:val="21"/>
                <w:highlight w:val="none"/>
                <w:lang w:val="en-US" w:eastAsia="zh-CN"/>
              </w:rPr>
            </w:pPr>
            <w:r>
              <w:rPr>
                <w:rFonts w:ascii="宋体" w:hAnsi="宋体" w:cs="宋体"/>
                <w:color w:val="000000"/>
                <w:sz w:val="21"/>
                <w:szCs w:val="21"/>
              </w:rPr>
              <w:t xml:space="preserve">曳引媒介耐用性</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投标人提供第三方检测机构依据GB/T39172-2020</w:t>
            </w:r>
            <w:r>
              <w:rPr>
                <w:rFonts w:ascii="宋体" w:hAnsi="宋体" w:cs="宋体"/>
                <w:color w:val="000000"/>
                <w:sz w:val="21"/>
                <w:szCs w:val="21"/>
                <w:lang w:val="en-US" w:eastAsia="zh-CN" w:bidi="zh-CN"/>
              </w:rPr>
              <w:t xml:space="preserve">或</w:t>
            </w:r>
            <w:r>
              <w:rPr>
                <w:rFonts w:ascii="宋体" w:hAnsi="宋体" w:cs="宋体"/>
                <w:color w:val="000000"/>
                <w:sz w:val="21"/>
                <w:szCs w:val="21"/>
                <w:lang w:bidi="zh-CN"/>
              </w:rPr>
              <w:t xml:space="preserve">GB 8903-2024</w:t>
            </w:r>
            <w:r>
              <w:rPr>
                <w:rFonts w:ascii="宋体" w:hAnsi="宋体" w:cs="宋体"/>
                <w:color w:val="000000"/>
                <w:sz w:val="21"/>
                <w:szCs w:val="21"/>
                <w:lang w:bidi="zh-CN"/>
              </w:rPr>
              <w:t xml:space="preserve">出具的试验或检测报告，检测内容如下：曳引媒介（钢丝绳或钢带）疲劳测试折弯次数进行打分，测试次数≥2500万次的得3分，2500万次＞测试次数≥2000万次的得2分，2000万次＞测试次数≥1500万次的得1分，其他不得分。</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 所提供型式试验报告一律采用最新的标准；随着标准的修订，以修订后的最新标准为依据。</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rPr>
            </w:pPr>
            <w:r>
              <w:rPr>
                <w:rFonts w:ascii="宋体" w:hAnsi="宋体" w:cs="宋体"/>
                <w:color w:val="000000"/>
                <w:sz w:val="21"/>
                <w:szCs w:val="21"/>
              </w:rPr>
              <w:t xml:space="preserve">3</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 w:val="21"/>
                <w:szCs w:val="21"/>
                <w:highlight w:val="none"/>
                <w:lang w:val="en-US" w:eastAsia="zh-CN"/>
              </w:rPr>
            </w:pPr>
            <w:r>
              <w:rPr>
                <w:rFonts w:ascii="宋体" w:hAnsi="宋体" w:cs="宋体"/>
                <w:color w:val="000000"/>
                <w:sz w:val="21"/>
                <w:szCs w:val="21"/>
              </w:rPr>
              <w:t xml:space="preserve">安全部件稳定性</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投标人提供第三方检测机构依据</w:t>
            </w:r>
            <w:r>
              <w:rPr>
                <w:rFonts w:ascii="宋体" w:hAnsi="宋体" w:cs="宋体"/>
                <w:color w:val="000000"/>
                <w:sz w:val="21"/>
                <w:szCs w:val="21"/>
                <w:lang w:bidi="zh-CN"/>
              </w:rPr>
              <w:t xml:space="preserve">TSG T7007-2022</w:t>
            </w:r>
            <w:r>
              <w:rPr>
                <w:rFonts w:ascii="宋体" w:hAnsi="宋体" w:cs="宋体"/>
                <w:color w:val="000000"/>
                <w:sz w:val="21"/>
                <w:szCs w:val="21"/>
                <w:lang w:bidi="zh-CN"/>
              </w:rPr>
              <w:t xml:space="preserve">出具的试验或检测报告，检测内容如下：1.安全钳模拟试验寿命（A值）进行评定：A＞40年，得3分；40年≥A＞35年，得2分；35年≥A＞30年，得1分；其余不得分。</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2.限速器模拟试验寿命（A值）进行评定：A＞40年，得3分；40年≥A＞35年，得2分；35年≥A＞30年，得1分；其余不得分。</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3.缓冲器模拟试验寿命（A值）进行评定：A＞40年，得3分；40年≥A＞35年，得2分；35年≥A＞30年，得1分；其余不得分。</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 所提供型式试验报告一律采用最新的标准；随着标准的修订，以修订后的最新标准为依据。</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ascii="宋体" w:hAnsi="宋体" w:cs="宋体"/>
                <w:color w:val="000000"/>
                <w:sz w:val="21"/>
                <w:szCs w:val="21"/>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ascii="宋体" w:hAnsi="宋体" w:cs="宋体"/>
                <w:color w:val="000000"/>
                <w:spacing w:val="-6"/>
                <w:sz w:val="21"/>
                <w:szCs w:val="21"/>
              </w:rPr>
              <w:t xml:space="preserve">客</w:t>
            </w:r>
            <w:r>
              <w:rPr>
                <w:rFonts w:ascii="宋体" w:hAnsi="宋体" w:cs="宋体"/>
                <w:color w:val="000000"/>
                <w:spacing w:val="-4"/>
                <w:sz w:val="21"/>
                <w:szCs w:val="21"/>
              </w:rPr>
              <w:t xml:space="preserve">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79" w:type="dxa"/>
            <w:vAlign w:val="center"/>
            <w:textDirection w:val="lrTb"/>
            <w:noWrap w:val="false"/>
          </w:tcPr>
          <w:p>
            <w:pPr>
              <w:pStyle w:val="871"/>
              <w:jc w:val="left"/>
              <w:spacing w:before="68" w:line="264" w:lineRule="auto"/>
              <w:rPr>
                <w:rFonts w:ascii="宋体" w:hAnsi="宋体" w:eastAsia="宋体" w:cs="宋体"/>
                <w:color w:val="000000"/>
                <w:spacing w:val="0"/>
                <w:sz w:val="21"/>
                <w:szCs w:val="21"/>
                <w:highlight w:val="none"/>
                <w:lang w:val="en-US" w:eastAsia="zh-CN"/>
              </w:rPr>
            </w:pPr>
            <w:r>
              <w:rPr>
                <w:rFonts w:ascii="宋体" w:hAnsi="宋体" w:cs="宋体"/>
                <w:color w:val="000000"/>
                <w:sz w:val="21"/>
                <w:szCs w:val="21"/>
              </w:rPr>
              <w:t xml:space="preserve">制动器稳定性</w:t>
            </w:r>
            <w:r>
              <w:rPr>
                <w:rFonts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投标人提供第三方检测机构依据</w:t>
            </w:r>
            <w:r>
              <w:rPr>
                <w:rFonts w:ascii="宋体" w:hAnsi="宋体" w:cs="宋体"/>
                <w:color w:val="000000"/>
                <w:sz w:val="21"/>
                <w:szCs w:val="21"/>
                <w:lang w:bidi="zh-CN"/>
              </w:rPr>
              <w:t xml:space="preserve">TSG T7007-2022</w:t>
            </w:r>
            <w:r>
              <w:rPr>
                <w:rFonts w:ascii="宋体" w:hAnsi="宋体" w:cs="宋体"/>
                <w:color w:val="000000"/>
                <w:sz w:val="21"/>
                <w:szCs w:val="21"/>
                <w:lang w:bidi="zh-CN"/>
              </w:rPr>
              <w:t xml:space="preserve">出具的试验或检测报告，检测内容如下：制动器无故障运行寿命打分，无故障运行次数为A值：A＞2300万，得5分；2300万≥A＞2000万，得3分；2000万≥A＞1500万，得1分；其余不得分。</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 所提供型式试验报告一律采用最新的标准；随着标准的修订，以修订后的最新标准为依据。</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line="264" w:lineRule="auto"/>
              <w:rPr>
                <w:rFonts w:hint="eastAsia" w:ascii="宋体" w:hAnsi="宋体" w:eastAsia="宋体" w:cs="宋体"/>
                <w:color w:val="000000"/>
                <w:sz w:val="21"/>
                <w:szCs w:val="21"/>
                <w:highlight w:val="none"/>
                <w:lang w:val="en-US" w:eastAsia="zh-CN" w:bidi="ar-SA"/>
              </w:rPr>
            </w:pPr>
            <w:r>
              <w:rPr>
                <w:rFonts w:ascii="宋体" w:hAnsi="宋体" w:cs="宋体"/>
                <w:color w:val="000000"/>
                <w:sz w:val="21"/>
                <w:szCs w:val="21"/>
              </w:rPr>
              <w:t xml:space="preserve">5</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line="264" w:lineRule="auto"/>
              <w:rPr>
                <w:rFonts w:hint="eastAsia" w:ascii="宋体" w:hAnsi="宋体" w:eastAsia="宋体" w:cs="宋体"/>
                <w:color w:val="000000"/>
                <w:sz w:val="21"/>
                <w:szCs w:val="21"/>
                <w:highlight w:val="none"/>
                <w:lang w:val="en-US" w:eastAsia="zh-CN" w:bidi="ar-SA"/>
              </w:rPr>
            </w:pPr>
            <w:r>
              <w:rPr>
                <w:rFonts w:ascii="宋体" w:hAnsi="宋体" w:cs="宋体"/>
                <w:color w:val="000000"/>
                <w:spacing w:val="-6"/>
                <w:sz w:val="21"/>
                <w:szCs w:val="21"/>
              </w:rPr>
              <w:t xml:space="preserve">客</w:t>
            </w:r>
            <w:r>
              <w:rPr>
                <w:rFonts w:ascii="宋体" w:hAnsi="宋体" w:cs="宋体"/>
                <w:color w:val="000000"/>
                <w:spacing w:val="-4"/>
                <w:sz w:val="21"/>
                <w:szCs w:val="21"/>
              </w:rPr>
              <w:t xml:space="preserve">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2.5</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2"/>
                <w:sz w:val="21"/>
                <w:szCs w:val="21"/>
                <w:highlight w:val="none"/>
                <w:lang w:val="en-US" w:eastAsia="zh-CN" w:bidi="ar-SA"/>
              </w:rPr>
            </w:pPr>
            <w:r>
              <w:rPr>
                <w:rFonts w:hint="eastAsia" w:ascii="宋体" w:hAnsi="宋体" w:cs="宋体"/>
                <w:szCs w:val="21"/>
                <w:highlight w:val="none"/>
              </w:rPr>
              <w:t xml:space="preserve">电梯控制柜稳定</w:t>
            </w:r>
            <w:r>
              <w:rPr>
                <w:rFonts w:ascii="宋体" w:hAnsi="宋体" w:cs="宋体"/>
                <w:szCs w:val="21"/>
                <w:highlight w:val="none"/>
              </w:rPr>
              <w:t xml:space="preserve">性</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投标人提供第三方检测机构依</w:t>
            </w:r>
            <w:r>
              <w:rPr>
                <w:rFonts w:ascii="宋体" w:hAnsi="宋体" w:cs="宋体"/>
                <w:color w:val="000000"/>
                <w:sz w:val="21"/>
                <w:szCs w:val="21"/>
                <w:lang w:val="en-US" w:eastAsia="zh-CN" w:bidi="zh-CN"/>
              </w:rPr>
              <w:t xml:space="preserve">据</w:t>
            </w:r>
            <w:r>
              <w:rPr>
                <w:rFonts w:ascii="宋体" w:hAnsi="宋体" w:cs="宋体"/>
                <w:color w:val="000000"/>
                <w:sz w:val="21"/>
                <w:szCs w:val="21"/>
                <w:lang w:bidi="zh-CN"/>
              </w:rPr>
              <w:t xml:space="preserve">GB/T</w:t>
            </w:r>
            <w:r>
              <w:rPr>
                <w:rFonts w:ascii="宋体" w:hAnsi="宋体" w:cs="宋体"/>
                <w:color w:val="000000"/>
                <w:sz w:val="21"/>
                <w:szCs w:val="21"/>
                <w:lang w:bidi="zh-CN"/>
              </w:rPr>
              <w:t xml:space="preserve"> </w:t>
            </w:r>
            <w:r>
              <w:rPr>
                <w:rFonts w:ascii="宋体" w:hAnsi="宋体" w:cs="宋体"/>
                <w:color w:val="000000"/>
                <w:sz w:val="21"/>
                <w:szCs w:val="21"/>
                <w:lang w:bidi="zh-CN"/>
              </w:rPr>
              <w:t xml:space="preserve">24478出具的试验或检测报告，检测内容如下：电梯控制柜满足32位全电脑交流变频变压控制（VVVF），电梯控制柜控制驱动主机无负载连续运行</w:t>
            </w:r>
            <w:r>
              <w:rPr>
                <w:rFonts w:ascii="宋体" w:hAnsi="宋体" w:cs="宋体"/>
                <w:color w:val="000000"/>
                <w:sz w:val="21"/>
                <w:szCs w:val="21"/>
                <w:lang w:bidi="zh-CN"/>
              </w:rPr>
              <w:t xml:space="preserve">，</w:t>
            </w:r>
            <w:r>
              <w:rPr>
                <w:rFonts w:ascii="宋体" w:hAnsi="宋体" w:cs="宋体"/>
                <w:color w:val="000000"/>
                <w:sz w:val="21"/>
                <w:szCs w:val="21"/>
                <w:lang w:bidi="zh-CN"/>
              </w:rPr>
              <w:t xml:space="preserve">记录其稳定运行次数不低于1200万次得3分</w:t>
            </w:r>
            <w:r>
              <w:rPr>
                <w:rFonts w:ascii="宋体" w:hAnsi="宋体" w:cs="宋体"/>
                <w:color w:val="000000"/>
                <w:sz w:val="21"/>
                <w:szCs w:val="21"/>
                <w:lang w:bidi="zh-CN"/>
              </w:rPr>
              <w:t xml:space="preserve">，</w:t>
            </w:r>
            <w:r>
              <w:rPr>
                <w:rFonts w:ascii="宋体" w:hAnsi="宋体" w:cs="宋体"/>
                <w:color w:val="000000"/>
                <w:sz w:val="21"/>
                <w:szCs w:val="21"/>
                <w:lang w:bidi="zh-CN"/>
              </w:rPr>
              <w:t xml:space="preserve">不低于1100万次得2分</w:t>
            </w:r>
            <w:r>
              <w:rPr>
                <w:rFonts w:ascii="宋体" w:hAnsi="宋体" w:cs="宋体"/>
                <w:color w:val="000000"/>
                <w:sz w:val="21"/>
                <w:szCs w:val="21"/>
                <w:lang w:bidi="zh-CN"/>
              </w:rPr>
              <w:t xml:space="preserve">，</w:t>
            </w:r>
            <w:r>
              <w:rPr>
                <w:rFonts w:ascii="宋体" w:hAnsi="宋体" w:cs="宋体"/>
                <w:color w:val="000000"/>
                <w:sz w:val="21"/>
                <w:szCs w:val="21"/>
                <w:lang w:bidi="zh-CN"/>
              </w:rPr>
              <w:t xml:space="preserve">不低于1000万次得1分，其余不得分。</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所提供型式试验报告一律采用最新的标准；随着标准的修订，以修订后的最新标准为依据。</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pacing w:val="-6"/>
                <w:sz w:val="21"/>
                <w:szCs w:val="21"/>
                <w:highlight w:val="none"/>
                <w:lang w:val="en-US" w:eastAsia="zh-CN" w:bidi="ar-SA"/>
              </w:rPr>
            </w:pPr>
            <w:r>
              <w:rPr>
                <w:rFonts w:ascii="宋体" w:hAnsi="宋体" w:cs="宋体"/>
                <w:color w:val="000000"/>
                <w:spacing w:val="-6"/>
                <w:sz w:val="21"/>
                <w:szCs w:val="21"/>
              </w:rPr>
              <w:t xml:space="preserve">客</w:t>
            </w:r>
            <w:r>
              <w:rPr>
                <w:rFonts w:ascii="宋体" w:hAnsi="宋体" w:cs="宋体"/>
                <w:color w:val="000000"/>
                <w:spacing w:val="-4"/>
                <w:sz w:val="21"/>
                <w:szCs w:val="21"/>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653"/>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 w:val="21"/>
                <w:szCs w:val="21"/>
                <w:lang w:val="en-US" w:eastAsia="zh-CN" w:bidi="ar-SA"/>
              </w:rPr>
            </w:pPr>
            <w:r>
              <w:rPr>
                <w:rFonts w:ascii="宋体" w:hAnsi="宋体" w:cs="宋体"/>
                <w:color w:val="000000"/>
                <w:spacing w:val="-2"/>
                <w:sz w:val="21"/>
                <w:szCs w:val="21"/>
              </w:rPr>
              <w:t xml:space="preserve">2.6</w:t>
            </w:r>
            <w:r>
              <w:rPr>
                <w:rFonts w:hint="eastAsia" w:ascii="宋体" w:hAnsi="宋体" w:cs="宋体"/>
                <w:color w:val="000000"/>
                <w:spacing w:val="-2"/>
                <w:sz w:val="21"/>
                <w:szCs w:val="21"/>
                <w:lang w:val="en-US" w:eastAsia="zh-CN" w:bidi="ar-SA"/>
              </w:rPr>
            </w:r>
            <w:r/>
          </w:p>
        </w:tc>
        <w:tc>
          <w:tcPr>
            <w:tcW w:w="1179" w:type="dxa"/>
            <w:vAlign w:val="center"/>
            <w:textDirection w:val="lrTb"/>
            <w:noWrap w:val="false"/>
          </w:tcPr>
          <w:p>
            <w:pPr>
              <w:pStyle w:val="871"/>
              <w:jc w:val="left"/>
              <w:spacing w:before="68" w:line="264" w:lineRule="auto"/>
              <w:rPr>
                <w:rFonts w:hint="eastAsia" w:ascii="宋体" w:hAnsi="宋体" w:cs="宋体"/>
                <w:color w:val="000000"/>
                <w:sz w:val="21"/>
                <w:szCs w:val="21"/>
                <w:lang w:val="en-US" w:eastAsia="zh-CN" w:bidi="ar-SA"/>
              </w:rPr>
            </w:pPr>
            <w:r>
              <w:rPr>
                <w:rFonts w:ascii="宋体" w:hAnsi="宋体" w:cs="宋体"/>
                <w:color w:val="000000"/>
                <w:sz w:val="21"/>
                <w:szCs w:val="21"/>
              </w:rPr>
              <w:t xml:space="preserve">产品兼容</w:t>
            </w:r>
            <w:r>
              <w:rPr>
                <w:rFonts w:hint="eastAsia" w:ascii="宋体" w:hAnsi="宋体" w:cs="宋体"/>
                <w:color w:val="000000"/>
                <w:sz w:val="21"/>
                <w:szCs w:val="21"/>
                <w:lang w:val="en-US" w:eastAsia="zh-CN" w:bidi="ar-SA"/>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所投电梯光幕与所投电梯为同一品牌，得</w:t>
            </w:r>
            <w:r>
              <w:rPr>
                <w:rFonts w:ascii="宋体" w:hAnsi="宋体" w:cs="宋体"/>
                <w:color w:val="000000"/>
                <w:sz w:val="21"/>
                <w:szCs w:val="21"/>
                <w:lang w:val="en-US" w:eastAsia="zh-CN" w:bidi="zh-CN"/>
              </w:rPr>
              <w:t xml:space="preserve">1</w:t>
            </w:r>
            <w:r>
              <w:rPr>
                <w:rFonts w:ascii="宋体" w:hAnsi="宋体" w:cs="宋体"/>
                <w:color w:val="000000"/>
                <w:sz w:val="21"/>
                <w:szCs w:val="21"/>
                <w:lang w:bidi="zh-CN"/>
              </w:rPr>
              <w:t xml:space="preserve">分（提供承诺或相关证明材料，承诺书格式自拟）。</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pacing w:val="-6"/>
                <w:sz w:val="21"/>
                <w:szCs w:val="21"/>
                <w:lang w:val="en-US" w:eastAsia="zh-CN" w:bidi="ar-SA"/>
              </w:rPr>
            </w:pPr>
            <w:r>
              <w:rPr>
                <w:rFonts w:ascii="宋体" w:hAnsi="宋体" w:cs="宋体"/>
                <w:color w:val="000000"/>
                <w:spacing w:val="-6"/>
                <w:sz w:val="21"/>
                <w:szCs w:val="21"/>
              </w:rPr>
              <w:t xml:space="preserve">客观分</w:t>
            </w:r>
            <w:r>
              <w:rPr>
                <w:rFonts w:hint="eastAsia" w:ascii="宋体" w:hAnsi="宋体" w:cs="宋体"/>
                <w:color w:val="000000"/>
                <w:spacing w:val="-6"/>
                <w:sz w:val="21"/>
                <w:szCs w:val="21"/>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 w:val="21"/>
                <w:szCs w:val="21"/>
                <w:highlight w:val="none"/>
                <w:lang w:val="en-US" w:eastAsia="zh-CN"/>
              </w:rPr>
            </w:pPr>
            <w:r>
              <w:rPr>
                <w:rFonts w:ascii="宋体" w:hAnsi="宋体" w:cs="宋体"/>
                <w:color w:val="000000"/>
                <w:spacing w:val="-2"/>
                <w:sz w:val="21"/>
                <w:szCs w:val="21"/>
              </w:rPr>
              <w:t xml:space="preserve">3.1</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 w:val="21"/>
                <w:szCs w:val="21"/>
                <w:highlight w:val="none"/>
                <w:lang w:val="en-US" w:eastAsia="zh-CN"/>
              </w:rPr>
            </w:pPr>
            <w:r>
              <w:rPr>
                <w:rFonts w:ascii="宋体" w:hAnsi="宋体" w:cs="宋体"/>
                <w:color w:val="000000"/>
                <w:sz w:val="21"/>
                <w:szCs w:val="21"/>
              </w:rPr>
              <w:t xml:space="preserve">安装方案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根据本项目采购需求及相关要求编制方案，内容包含：</w:t>
            </w:r>
            <w:r>
              <w:rPr>
                <w:rFonts w:ascii="宋体" w:hAnsi="宋体" w:cs="宋体"/>
                <w:color w:val="000000"/>
                <w:sz w:val="21"/>
                <w:szCs w:val="21"/>
                <w:lang w:bidi="zh-CN"/>
              </w:rPr>
              <w:t xml:space="preserve">1.安装人员的配置；2安装计划流程；3.安装的进度保证措施；4.安装现场安全措施。</w:t>
            </w:r>
            <w:r>
              <w:rPr>
                <w:rFonts w:ascii="宋体" w:hAnsi="宋体" w:cs="宋体"/>
                <w:color w:val="000000"/>
                <w:sz w:val="21"/>
                <w:szCs w:val="21"/>
                <w:lang w:bidi="zh-CN"/>
              </w:rPr>
              <w:t xml:space="preserve">以上每项内容逐条阐述。</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上述每项内容符合得2分；部分符合得1分；不符合或不提供不得分。</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pacing w:val="-6"/>
                <w:sz w:val="21"/>
                <w:szCs w:val="21"/>
                <w:highlight w:val="none"/>
                <w:lang w:val="en-US" w:eastAsia="zh-CN"/>
              </w:rPr>
            </w:pPr>
            <w:r>
              <w:rPr>
                <w:rFonts w:ascii="宋体" w:hAnsi="宋体" w:cs="宋体"/>
                <w:color w:val="000000"/>
                <w:spacing w:val="-6"/>
                <w:sz w:val="21"/>
                <w:szCs w:val="21"/>
              </w:rPr>
              <w:t xml:space="preserve">主观分</w:t>
            </w:r>
            <w:r>
              <w:rPr>
                <w:rFonts w:hint="eastAsia"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 w:val="21"/>
                <w:szCs w:val="21"/>
                <w:highlight w:val="none"/>
                <w:lang w:val="en-US" w:eastAsia="zh-CN"/>
              </w:rPr>
            </w:pPr>
            <w:r>
              <w:rPr>
                <w:rFonts w:ascii="宋体" w:hAnsi="宋体" w:cs="宋体"/>
                <w:color w:val="000000"/>
                <w:spacing w:val="-2"/>
                <w:sz w:val="21"/>
                <w:szCs w:val="21"/>
              </w:rPr>
              <w:t xml:space="preserve">3.2</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 w:val="21"/>
                <w:szCs w:val="21"/>
                <w:highlight w:val="none"/>
                <w:lang w:val="en-US" w:eastAsia="zh-CN"/>
              </w:rPr>
            </w:pPr>
            <w:r>
              <w:rPr>
                <w:rFonts w:ascii="宋体" w:hAnsi="宋体" w:cs="宋体"/>
                <w:color w:val="000000"/>
                <w:sz w:val="21"/>
                <w:szCs w:val="21"/>
              </w:rPr>
              <w:t xml:space="preserve">售后服务方案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根据本项目采购需求及相关要求编制方案，内容包括：1.售后服务内容及流程；2.服务保障体系（含专业人员保障）。以上每项内容逐条阐述。 </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方案内容</w:t>
            </w:r>
            <w:r>
              <w:rPr>
                <w:rFonts w:ascii="宋体" w:hAnsi="宋体" w:cs="宋体"/>
                <w:color w:val="000000"/>
                <w:sz w:val="21"/>
                <w:szCs w:val="21"/>
                <w:lang w:bidi="zh-CN"/>
              </w:rPr>
              <w:t xml:space="preserve">质量标准高、时间计划、工作流程具体、可操作性强</w:t>
            </w:r>
            <w:r>
              <w:rPr>
                <w:rFonts w:ascii="宋体" w:hAnsi="宋体" w:cs="宋体"/>
                <w:color w:val="000000"/>
                <w:sz w:val="21"/>
                <w:szCs w:val="21"/>
                <w:lang w:bidi="zh-CN"/>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上述每项内容符合得2分；部分符合得1分；不符合或不提供不得分。</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rPr>
            </w:pPr>
            <w:r>
              <w:rPr>
                <w:rFonts w:ascii="宋体" w:hAnsi="宋体" w:cs="宋体"/>
                <w:color w:val="000000"/>
                <w:sz w:val="21"/>
                <w:szCs w:val="21"/>
              </w:rPr>
              <w:t xml:space="preserve">4</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pacing w:val="-6"/>
                <w:sz w:val="21"/>
                <w:szCs w:val="21"/>
                <w:highlight w:val="none"/>
                <w:lang w:val="en-US" w:eastAsia="zh-CN"/>
              </w:rPr>
            </w:pPr>
            <w:r>
              <w:rPr>
                <w:rFonts w:ascii="宋体" w:hAnsi="宋体" w:cs="宋体"/>
                <w:color w:val="000000"/>
                <w:spacing w:val="-6"/>
                <w:sz w:val="21"/>
                <w:szCs w:val="21"/>
              </w:rPr>
              <w:t xml:space="preserve">主观分</w:t>
            </w:r>
            <w:r>
              <w:rPr>
                <w:rFonts w:hint="eastAsia"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 w:val="21"/>
                <w:szCs w:val="21"/>
                <w:highlight w:val="none"/>
                <w:lang w:val="en-US" w:eastAsia="zh-CN"/>
              </w:rPr>
            </w:pPr>
            <w:r>
              <w:rPr>
                <w:rFonts w:ascii="宋体" w:hAnsi="宋体" w:cs="宋体"/>
                <w:color w:val="000000"/>
                <w:spacing w:val="-2"/>
                <w:sz w:val="21"/>
                <w:szCs w:val="21"/>
              </w:rPr>
              <w:t xml:space="preserve">3.3</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 w:val="21"/>
                <w:szCs w:val="21"/>
                <w:highlight w:val="none"/>
                <w:lang w:val="en-US" w:eastAsia="zh-CN"/>
              </w:rPr>
            </w:pPr>
            <w:r>
              <w:rPr>
                <w:rFonts w:ascii="宋体" w:hAnsi="宋体" w:cs="宋体"/>
                <w:color w:val="000000"/>
                <w:sz w:val="21"/>
                <w:szCs w:val="21"/>
              </w:rPr>
              <w:t xml:space="preserve">故障处理及应急措施方案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根据本项目采购需求及相关要求编制方案，内容包含：1.组织指挥体系及职责；2.故障处理措施计划；3.应急措施计划。以上每项内容逐条阐述。</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上述每项内容符合得2分；部分符合得1分；不符合或不提供不得分。</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rPr>
            </w:pPr>
            <w:r>
              <w:rPr>
                <w:rFonts w:ascii="宋体" w:hAnsi="宋体" w:cs="宋体"/>
                <w:color w:val="000000"/>
                <w:sz w:val="21"/>
                <w:szCs w:val="21"/>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pacing w:val="-6"/>
                <w:sz w:val="21"/>
                <w:szCs w:val="21"/>
                <w:highlight w:val="none"/>
                <w:lang w:val="en-US" w:eastAsia="zh-CN"/>
              </w:rPr>
            </w:pPr>
            <w:r>
              <w:rPr>
                <w:rFonts w:ascii="宋体" w:hAnsi="宋体" w:cs="宋体"/>
                <w:color w:val="000000"/>
                <w:spacing w:val="-6"/>
                <w:sz w:val="21"/>
                <w:szCs w:val="21"/>
              </w:rPr>
              <w:t xml:space="preserve">主观分</w:t>
            </w:r>
            <w:r>
              <w:rPr>
                <w:rFonts w:hint="eastAsia"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sz w:val="21"/>
                <w:szCs w:val="21"/>
                <w:highlight w:val="none"/>
                <w:lang w:val="en-US" w:eastAsia="zh-CN"/>
              </w:rPr>
            </w:pPr>
            <w:r>
              <w:rPr>
                <w:rFonts w:ascii="宋体" w:hAnsi="宋体" w:cs="宋体"/>
                <w:color w:val="000000"/>
                <w:spacing w:val="-2"/>
                <w:sz w:val="21"/>
                <w:szCs w:val="21"/>
              </w:rPr>
              <w:t xml:space="preserve">3.4</w:t>
            </w:r>
            <w:r>
              <w:rPr>
                <w:rFonts w:hint="eastAsia"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 w:val="21"/>
                <w:szCs w:val="21"/>
                <w:highlight w:val="none"/>
                <w:lang w:val="en-US" w:eastAsia="zh-CN"/>
              </w:rPr>
            </w:pPr>
            <w:r>
              <w:rPr>
                <w:rFonts w:ascii="宋体" w:hAnsi="宋体" w:cs="宋体"/>
                <w:color w:val="000000"/>
                <w:sz w:val="21"/>
                <w:szCs w:val="21"/>
              </w:rPr>
              <w:t xml:space="preserve">培训方案</w:t>
            </w:r>
            <w:r>
              <w:rPr>
                <w:rFonts w:hint="eastAsia" w:ascii="宋体" w:hAnsi="宋体" w:eastAsia="宋体" w:cs="宋体"/>
                <w:color w:val="000000"/>
                <w:spacing w:val="0"/>
                <w:sz w:val="21"/>
                <w:szCs w:val="21"/>
                <w:highlight w:val="none"/>
                <w:lang w:val="en-US" w:eastAsia="zh-CN"/>
              </w:rPr>
            </w:r>
            <w:r/>
          </w:p>
        </w:tc>
        <w:tc>
          <w:tcPr>
            <w:tcW w:w="6330" w:type="dxa"/>
            <w:vAlign w:val="center"/>
            <w:textDirection w:val="lrTb"/>
            <w:noWrap w:val="false"/>
          </w:tcPr>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根据本项目采购需求及相关要求编制方案，内容包括：1.培训内容、培训时长、培训日程安排；2.培训质量保障措施。以上每项内容逐条阐述。 </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bidi="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z w:val="21"/>
                <w:szCs w:val="21"/>
                <w:lang w:bidi="zh-CN"/>
              </w:rPr>
            </w:r>
            <w:r/>
          </w:p>
          <w:p>
            <w:pPr>
              <w:spacing w:line="264" w:lineRule="auto"/>
              <w:rPr>
                <w:rFonts w:ascii="宋体" w:hAnsi="宋体" w:cs="宋体"/>
                <w:color w:val="000000"/>
                <w:sz w:val="21"/>
                <w:szCs w:val="21"/>
                <w:lang w:bidi="zh-CN"/>
                <w14:ligatures w14:val="none"/>
              </w:rPr>
            </w:pPr>
            <w:r>
              <w:rPr>
                <w:rFonts w:ascii="宋体" w:hAnsi="宋体" w:cs="宋体"/>
                <w:color w:val="000000"/>
                <w:sz w:val="21"/>
                <w:szCs w:val="21"/>
                <w:lang w:val="zh-CN" w:bidi="zh-CN"/>
              </w:rPr>
              <w:t xml:space="preserve">上述每项内容符合得2分；部分符合得1分；不符合或不提供不得分。</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rPr>
            </w:pPr>
            <w:r>
              <w:rPr>
                <w:rFonts w:ascii="宋体" w:hAnsi="宋体" w:cs="宋体"/>
                <w:color w:val="000000"/>
                <w:sz w:val="21"/>
                <w:szCs w:val="21"/>
              </w:rPr>
              <w:t xml:space="preserve">4</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pacing w:val="-6"/>
                <w:sz w:val="21"/>
                <w:szCs w:val="21"/>
                <w:highlight w:val="none"/>
                <w:lang w:val="en-US" w:eastAsia="zh-CN"/>
              </w:rPr>
            </w:pPr>
            <w:r>
              <w:rPr>
                <w:rFonts w:ascii="宋体" w:hAnsi="宋体" w:cs="宋体"/>
                <w:color w:val="000000"/>
                <w:spacing w:val="-6"/>
                <w:sz w:val="21"/>
                <w:szCs w:val="21"/>
              </w:rPr>
              <w:t xml:space="preserve">主观分</w:t>
            </w:r>
            <w:r>
              <w:rPr>
                <w:rFonts w:hint="eastAsia"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hint="eastAsia" w:ascii="宋体" w:hAnsi="宋体" w:eastAsia="宋体" w:cs="宋体"/>
                <w:color w:val="000000"/>
                <w:sz w:val="21"/>
                <w:szCs w:val="21"/>
                <w:highlight w:val="none"/>
              </w:rPr>
            </w:r>
            <w:r/>
          </w:p>
        </w:tc>
      </w:tr>
      <w:tr>
        <w:trPr>
          <w:trHeight w:val="2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1"/>
              <w:spacing w:before="69" w:line="264" w:lineRule="auto"/>
              <w:rPr>
                <w:rFonts w:hint="eastAsia" w:eastAsia="宋体"/>
                <w:color w:val="000000"/>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投标人</w:t>
            </w:r>
            <w:r>
              <w:rPr>
                <w:rFonts w:hint="eastAsia" w:ascii="宋体" w:hAnsi="宋体" w:eastAsia="宋体" w:cs="宋体"/>
                <w:color w:val="000000"/>
                <w:spacing w:val="-1"/>
                <w:sz w:val="21"/>
                <w:szCs w:val="21"/>
                <w:highlight w:val="none"/>
              </w:rPr>
              <w:t xml:space="preserve">业绩</w:t>
            </w:r>
            <w:r>
              <w:rPr>
                <w:rFonts w:hint="eastAsia" w:eastAsia="宋体"/>
                <w:color w:val="000000"/>
                <w:sz w:val="21"/>
                <w:szCs w:val="21"/>
                <w:highlight w:val="none"/>
                <w:lang w:val="en-US" w:eastAsia="zh-CN"/>
              </w:rPr>
            </w:r>
            <w:r/>
          </w:p>
        </w:tc>
        <w:tc>
          <w:tcPr>
            <w:tcW w:w="6330" w:type="dxa"/>
            <w:vAlign w:val="center"/>
            <w:textDirection w:val="lrTb"/>
            <w:noWrap w:val="false"/>
          </w:tcPr>
          <w:p>
            <w:pPr>
              <w:spacing w:line="264" w:lineRule="auto"/>
              <w:rPr>
                <w:rFonts w:ascii="宋体" w:hAnsi="宋体" w:cs="宋体"/>
                <w:color w:val="000000"/>
                <w:sz w:val="21"/>
                <w:szCs w:val="21"/>
                <w14:ligatures w14:val="none"/>
              </w:rPr>
            </w:pPr>
            <w:r>
              <w:rPr>
                <w:rFonts w:ascii="宋体" w:hAnsi="宋体" w:cs="宋体"/>
                <w:color w:val="000000"/>
                <w:sz w:val="21"/>
                <w:szCs w:val="21"/>
                <w:lang w:bidi="zh-CN"/>
              </w:rPr>
              <w:t xml:space="preserve">投标人提供2023年1月1日（含）以来</w:t>
            </w:r>
            <w:r>
              <w:rPr>
                <w:rFonts w:ascii="宋体" w:hAnsi="宋体" w:cs="宋体"/>
                <w:color w:val="000000"/>
                <w:sz w:val="21"/>
                <w:szCs w:val="21"/>
                <w:lang w:val="zh-CN" w:bidi="zh-CN"/>
              </w:rPr>
              <w:t xml:space="preserve">承担过所投同品牌电梯项目业绩</w:t>
            </w:r>
            <w:r>
              <w:rPr>
                <w:rFonts w:ascii="宋体" w:hAnsi="宋体" w:cs="宋体"/>
                <w:color w:val="000000"/>
                <w:sz w:val="21"/>
                <w:szCs w:val="21"/>
                <w:lang w:bidi="zh-CN"/>
              </w:rPr>
              <w:t xml:space="preserve">，每提供1个得3分，最多得9分。（时间以合同签订时间为准，</w:t>
            </w:r>
            <w:r>
              <w:rPr>
                <w:rFonts w:ascii="宋体" w:hAnsi="宋体" w:cs="宋体"/>
                <w:color w:val="000000"/>
                <w:sz w:val="21"/>
                <w:szCs w:val="21"/>
                <w:lang w:val="zh-CN" w:bidi="zh-CN"/>
              </w:rPr>
              <w:t xml:space="preserve">提供合同</w:t>
            </w:r>
            <w:r>
              <w:rPr>
                <w:rFonts w:ascii="宋体" w:hAnsi="宋体" w:cs="宋体"/>
                <w:color w:val="000000"/>
                <w:sz w:val="21"/>
                <w:szCs w:val="21"/>
                <w:lang w:bidi="zh-CN"/>
              </w:rPr>
              <w:t xml:space="preserve">和</w:t>
            </w:r>
            <w:r>
              <w:rPr>
                <w:rFonts w:ascii="宋体" w:hAnsi="宋体" w:cs="宋体"/>
                <w:color w:val="000000"/>
                <w:sz w:val="21"/>
                <w:szCs w:val="21"/>
                <w:lang w:val="zh-CN" w:bidi="zh-CN"/>
              </w:rPr>
              <w:t xml:space="preserve">竣工验收证明（或电梯监督检验报告），电梯监督检验报告中的电梯制造商必须与本次</w:t>
            </w:r>
            <w:r>
              <w:rPr>
                <w:rFonts w:ascii="宋体" w:hAnsi="宋体" w:cs="宋体"/>
                <w:color w:val="000000"/>
                <w:sz w:val="21"/>
                <w:szCs w:val="21"/>
                <w:lang w:bidi="zh-CN"/>
              </w:rPr>
              <w:t xml:space="preserve">所投</w:t>
            </w:r>
            <w:r>
              <w:rPr>
                <w:rFonts w:ascii="宋体" w:hAnsi="宋体" w:cs="宋体"/>
                <w:color w:val="000000"/>
                <w:sz w:val="21"/>
                <w:szCs w:val="21"/>
                <w:lang w:val="zh-CN" w:bidi="zh-CN"/>
              </w:rPr>
              <w:t xml:space="preserve">电梯制造商一致，电梯监督检验报告中的施工单位</w:t>
            </w:r>
            <w:r>
              <w:rPr>
                <w:rFonts w:ascii="宋体" w:hAnsi="宋体" w:cs="宋体"/>
                <w:color w:val="000000"/>
                <w:sz w:val="21"/>
                <w:szCs w:val="21"/>
                <w:lang w:val="zh-CN" w:bidi="zh-CN"/>
              </w:rPr>
              <w:t xml:space="preserve">（</w:t>
            </w:r>
            <w:r>
              <w:rPr>
                <w:rFonts w:ascii="宋体" w:hAnsi="宋体" w:cs="宋体"/>
                <w:color w:val="000000"/>
                <w:sz w:val="21"/>
                <w:szCs w:val="21"/>
                <w:lang w:val="zh-CN" w:eastAsia="zh-CN" w:bidi="zh-CN"/>
              </w:rPr>
              <w:t xml:space="preserve">或安装单位</w:t>
            </w:r>
            <w:r>
              <w:rPr>
                <w:rFonts w:ascii="宋体" w:hAnsi="宋体" w:cs="宋体"/>
                <w:color w:val="000000"/>
                <w:sz w:val="21"/>
                <w:szCs w:val="21"/>
                <w:lang w:val="zh-CN" w:bidi="zh-CN"/>
              </w:rPr>
              <w:t xml:space="preserve">）</w:t>
            </w:r>
            <w:r>
              <w:rPr>
                <w:rFonts w:ascii="宋体" w:hAnsi="宋体" w:cs="宋体"/>
                <w:color w:val="000000"/>
                <w:sz w:val="21"/>
                <w:szCs w:val="21"/>
                <w:lang w:val="zh-CN" w:bidi="zh-CN"/>
              </w:rPr>
              <w:t xml:space="preserve">必须为投标人，</w:t>
            </w:r>
            <w:r>
              <w:rPr>
                <w:rFonts w:ascii="宋体" w:hAnsi="宋体" w:cs="宋体"/>
                <w:color w:val="000000"/>
                <w:sz w:val="21"/>
                <w:szCs w:val="21"/>
                <w:lang w:bidi="zh-CN"/>
              </w:rPr>
              <w:t xml:space="preserve">证明材料缺项或未提供不得分）</w:t>
            </w:r>
            <w:r>
              <w:rPr>
                <w:rFonts w:ascii="宋体" w:hAnsi="宋体" w:cs="宋体"/>
                <w:color w:val="000000"/>
                <w:sz w:val="21"/>
                <w:szCs w:val="21"/>
                <w:lang w:bidi="zh-CN"/>
              </w:rPr>
            </w:r>
            <w:r/>
          </w:p>
        </w:tc>
        <w:tc>
          <w:tcPr>
            <w:tcW w:w="647" w:type="dxa"/>
            <w:vAlign w:val="center"/>
            <w:textDirection w:val="lrTb"/>
            <w:noWrap w:val="false"/>
          </w:tcPr>
          <w:p>
            <w:pPr>
              <w:pStyle w:val="871"/>
              <w:jc w:val="center"/>
              <w:spacing w:line="264" w:lineRule="auto"/>
              <w:rPr>
                <w:rFonts w:hint="eastAsia" w:ascii="宋体" w:hAnsi="宋体" w:eastAsia="宋体" w:cs="宋体"/>
                <w:color w:val="000000"/>
                <w:sz w:val="21"/>
                <w:szCs w:val="21"/>
                <w:highlight w:val="none"/>
                <w:lang w:val="en-US" w:eastAsia="zh-CN" w:bidi="ar-SA"/>
              </w:rPr>
            </w:pPr>
            <w:r>
              <w:rPr>
                <w:rFonts w:ascii="宋体" w:hAnsi="宋体" w:cs="宋体"/>
                <w:color w:val="000000"/>
                <w:sz w:val="21"/>
                <w:szCs w:val="21"/>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eastAsia="zh-CN"/>
              </w:rPr>
            </w:pPr>
            <w:r>
              <w:rPr>
                <w:rFonts w:ascii="宋体" w:hAnsi="宋体" w:cs="宋体"/>
                <w:color w:val="000000"/>
                <w:spacing w:val="-6"/>
                <w:sz w:val="21"/>
                <w:szCs w:val="21"/>
              </w:rPr>
              <w:t xml:space="preserve">客</w:t>
            </w:r>
            <w:r>
              <w:rPr>
                <w:rFonts w:ascii="宋体" w:hAnsi="宋体" w:cs="宋体"/>
                <w:color w:val="000000"/>
                <w:spacing w:val="-4"/>
                <w:sz w:val="21"/>
                <w:szCs w:val="21"/>
              </w:rPr>
              <w:t xml:space="preserve">观分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hint="eastAsia"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hint="eastAsia" w:ascii="宋体" w:hAnsi="宋体" w:eastAsia="宋体" w:cs="宋体"/>
                <w:color w:val="000000"/>
                <w:spacing w:val="-2"/>
                <w:sz w:val="21"/>
                <w:szCs w:val="21"/>
                <w:highlight w:val="none"/>
              </w:rPr>
              <w:t xml:space="preserve">.1</w:t>
            </w:r>
            <w:r>
              <w:rPr>
                <w:rFonts w:hint="eastAsia"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履约能力</w:t>
            </w:r>
            <w:r>
              <w:rPr>
                <w:rFonts w:hint="eastAsia" w:ascii="宋体" w:hAnsi="宋体" w:eastAsia="宋体" w:cs="宋体"/>
                <w:color w:val="000000"/>
                <w:spacing w:val="-1"/>
                <w:sz w:val="21"/>
                <w:szCs w:val="21"/>
                <w:highlight w:val="none"/>
                <w:lang w:val="en-US" w:eastAsia="zh-CN"/>
              </w:rPr>
            </w:r>
            <w:r/>
          </w:p>
        </w:tc>
        <w:tc>
          <w:tcPr>
            <w:tcW w:w="6330" w:type="dxa"/>
            <w:vAlign w:val="center"/>
            <w:textDirection w:val="lrTb"/>
            <w:noWrap w:val="false"/>
          </w:tcPr>
          <w:p>
            <w:pPr>
              <w:pStyle w:val="871"/>
              <w:spacing w:line="264" w:lineRule="auto"/>
              <w:rPr>
                <w:rFonts w:hint="eastAsia" w:ascii="宋体" w:hAnsi="宋体" w:eastAsia="宋体" w:cs="宋体"/>
                <w:color w:val="000000"/>
                <w:sz w:val="21"/>
                <w:szCs w:val="21"/>
                <w:highlight w:val="none"/>
                <w:lang w:val="en-US" w:eastAsia="zh-CN" w:bidi="ar-SA"/>
              </w:rPr>
            </w:pPr>
            <w:r>
              <w:rPr>
                <w:rFonts w:ascii="宋体" w:hAnsi="宋体" w:cs="宋体"/>
                <w:color w:val="000000"/>
                <w:sz w:val="21"/>
                <w:szCs w:val="21"/>
              </w:rPr>
              <w:t xml:space="preserve">投标人或所投产品制造商提供购买的有效期内的《公众责任保险》累计赔偿金额≥1.2亿元得3分；1亿元≤累计赔偿金额＜1.2亿元得2分；其他得1分。（提供在有效期限内保险凭证或承诺函，承诺函格式自拟）。</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ascii="宋体" w:hAnsi="宋体" w:cs="宋体"/>
                <w:color w:val="000000"/>
                <w:sz w:val="21"/>
                <w:szCs w:val="21"/>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rPr>
            </w:pPr>
            <w:r>
              <w:rPr>
                <w:rFonts w:ascii="宋体" w:hAnsi="宋体" w:cs="宋体"/>
                <w:color w:val="000000"/>
                <w:spacing w:val="-6"/>
                <w:sz w:val="21"/>
                <w:szCs w:val="21"/>
              </w:rPr>
              <w:t xml:space="preserve">客</w:t>
            </w:r>
            <w:r>
              <w:rPr>
                <w:rFonts w:ascii="宋体" w:hAnsi="宋体" w:cs="宋体"/>
                <w:color w:val="000000"/>
                <w:spacing w:val="-4"/>
                <w:sz w:val="21"/>
                <w:szCs w:val="21"/>
              </w:rPr>
              <w:t xml:space="preserve">观分</w:t>
            </w:r>
            <w:r>
              <w:rPr>
                <w:rFonts w:hint="eastAsia" w:ascii="宋体" w:hAnsi="宋体" w:eastAsia="宋体" w:cs="宋体"/>
                <w:color w:val="000000"/>
                <w:sz w:val="21"/>
                <w:szCs w:val="21"/>
                <w:highlight w:val="none"/>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合</w:t>
            </w:r>
            <w:r>
              <w:rPr>
                <w:rFonts w:hint="eastAsia" w:ascii="宋体" w:hAnsi="宋体" w:eastAsia="宋体" w:cs="宋体"/>
                <w:color w:val="000000"/>
                <w:spacing w:val="-2"/>
                <w:sz w:val="21"/>
                <w:szCs w:val="21"/>
                <w:highlight w:val="none"/>
              </w:rPr>
              <w:t xml:space="preserve">计</w:t>
            </w:r>
            <w:r>
              <w:rPr>
                <w:rFonts w:hint="eastAsia" w:ascii="宋体" w:hAnsi="宋体" w:eastAsia="宋体" w:cs="宋体"/>
                <w:color w:val="000000"/>
                <w:sz w:val="21"/>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100分</w:t>
            </w:r>
            <w:r>
              <w:rPr>
                <w:rFonts w:hint="eastAsia" w:ascii="宋体" w:hAnsi="宋体" w:eastAsia="宋体" w:cs="宋体"/>
                <w:color w:val="000000"/>
                <w:sz w:val="21"/>
                <w:szCs w:val="21"/>
                <w:highlight w:val="none"/>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5"/>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szCs w:val="21"/>
          <w:highlight w:val="none"/>
        </w:rPr>
      </w:pPr>
      <w:r/>
      <w:bookmarkStart w:id="66" w:name="_Hlt26671244"/>
      <w:r/>
      <w:bookmarkEnd w:id="66"/>
      <w:r/>
      <w:bookmarkStart w:id="67" w:name="_Hlt26955039"/>
      <w:r/>
      <w:bookmarkEnd w:id="67"/>
      <w:r/>
      <w:bookmarkStart w:id="68" w:name="_Toc120614282"/>
      <w:r/>
      <w:bookmarkStart w:id="69" w:name="_Toc49090576"/>
      <w:r/>
      <w:bookmarkStart w:id="70" w:name="_Toc26554094"/>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outlineLvl w:val="0"/>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eastAsia="宋体"/>
          <w:b/>
          <w:color w:val="000000"/>
          <w:sz w:val="36"/>
          <w:szCs w:val="21"/>
          <w:highlight w:val="none"/>
          <w:lang w:val="en-US" w:eastAsia="zh-CN"/>
        </w:rPr>
        <w:outlineLvl w:val="0"/>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8"/>
      <w:r/>
      <w:bookmarkEnd w:id="69"/>
      <w:r/>
      <w:bookmarkEnd w:id="70"/>
      <w:r>
        <w:rPr>
          <w:rFonts w:hint="eastAsia" w:ascii="方正黑体_GBK" w:hAnsi="方正黑体_GBK" w:eastAsia="方正黑体_GBK" w:cs="方正黑体_GBK"/>
          <w:b w:val="0"/>
          <w:bCs w:val="0"/>
          <w:color w:val="000000"/>
          <w:sz w:val="32"/>
          <w:szCs w:val="32"/>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1"/>
        <w:ind w:firstLine="560"/>
        <w:spacing w:line="600" w:lineRule="exact"/>
        <w:rPr>
          <w:rFonts w:hint="eastAsia" w:ascii="宋体" w:hAnsi="宋体" w:eastAsia="宋体" w:cs="宋体"/>
          <w:sz w:val="28"/>
          <w:szCs w:val="28"/>
          <w:highlight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1"/>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871"/>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1"/>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5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7"/>
        <w:ind w:firstLine="0"/>
        <w:rPr>
          <w:rFonts w:hint="eastAsia"/>
          <w:highlight w:val="none"/>
        </w:rPr>
      </w:pPr>
      <w:r>
        <w:rPr>
          <w:rFonts w:hint="eastAsia"/>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1"/>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1"/>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1"/>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1"/>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1"/>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rPr>
          <w:rFonts w:ascii="宋体" w:hAnsi="宋体"/>
          <w:sz w:val="24"/>
          <w:szCs w:val="24"/>
          <w:highlight w:val="none"/>
        </w:rPr>
      </w:pPr>
      <w:r>
        <w:rPr>
          <w:rFonts w:ascii="宋体" w:hAnsi="宋体"/>
          <w:sz w:val="24"/>
          <w:szCs w:val="24"/>
          <w:highlight w:val="none"/>
        </w:rPr>
      </w:r>
      <w:r/>
    </w:p>
    <w:p>
      <w:pPr>
        <w:pStyle w:val="871"/>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83"/>
        <w:rPr>
          <w:rFonts w:hint="eastAsia"/>
          <w:highlight w:val="none"/>
        </w:rPr>
      </w:pPr>
      <w:r>
        <w:rPr>
          <w:rFonts w:hint="eastAsia"/>
          <w:highlight w:val="none"/>
        </w:rPr>
      </w:r>
      <w:r/>
    </w:p>
    <w:p>
      <w:pPr>
        <w:pStyle w:val="883"/>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94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1"/>
        <w:rPr>
          <w:rFonts w:hint="eastAsia"/>
          <w:highlight w:val="none"/>
          <w:lang w:val="en-US" w:eastAsia="zh-CN"/>
        </w:rPr>
      </w:pPr>
      <w:r>
        <w:rPr>
          <w:rFonts w:hint="eastAsia"/>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1"/>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10659" w:type="dxa"/>
        <w:tblInd w:w="-8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240"/>
        <w:gridCol w:w="970"/>
        <w:gridCol w:w="1790"/>
        <w:gridCol w:w="1470"/>
        <w:gridCol w:w="830"/>
        <w:gridCol w:w="820"/>
        <w:gridCol w:w="826"/>
        <w:gridCol w:w="1434"/>
      </w:tblGrid>
      <w:tr>
        <w:trPr>
          <w:cantSplit/>
          <w:trHeight w:val="544"/>
        </w:trPr>
        <w:tc>
          <w:tcPr>
            <w:tcW w:w="1279" w:type="dxa"/>
            <w:vAlign w:val="center"/>
            <w:vMerge w:val="restart"/>
            <w:textDirection w:val="lrTb"/>
            <w:noWrap w:val="false"/>
          </w:tcPr>
          <w:p>
            <w:pPr>
              <w:pStyle w:val="871"/>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1279"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1279"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279"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279"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279"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71"/>
        <w:ind w:firstLine="480"/>
        <w:rPr>
          <w:rFonts w:hint="eastAsia" w:ascii="宋体" w:hAnsi="宋体"/>
          <w:sz w:val="24"/>
          <w:szCs w:val="24"/>
          <w:highlight w:val="none"/>
        </w:rPr>
      </w:pPr>
      <w:r>
        <w:rPr>
          <w:rFonts w:hint="eastAsia" w:ascii="宋体" w:hAnsi="宋体"/>
          <w:sz w:val="24"/>
          <w:szCs w:val="24"/>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5"/>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5"/>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883"/>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outlineLvl w:val="0"/>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1"/>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883"/>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588" w:lineRule="exact"/>
        <w:rPr>
          <w:rFonts w:hint="eastAsia" w:ascii="宋体" w:hAnsi="宋体"/>
          <w:sz w:val="24"/>
          <w:highlight w:val="none"/>
        </w:rPr>
      </w:pPr>
      <w:r>
        <w:rPr>
          <w:rFonts w:hint="eastAsia" w:ascii="宋体" w:hAnsi="宋体"/>
          <w:sz w:val="24"/>
          <w:highlight w:val="none"/>
        </w:rPr>
      </w:r>
      <w:r/>
    </w:p>
    <w:p>
      <w:pPr>
        <w:pStyle w:val="871"/>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1"/>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41"/>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871"/>
        <w:ind w:firstLine="645"/>
        <w:spacing w:line="560" w:lineRule="exact"/>
        <w:rPr>
          <w:rFonts w:ascii="宋体" w:hAnsi="宋体"/>
          <w:sz w:val="24"/>
          <w:highlight w:val="none"/>
        </w:rPr>
      </w:pPr>
      <w:r>
        <w:rPr>
          <w:rFonts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outlineLvl w:val="0"/>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5"/>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5"/>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1.</w:t>
      </w:r>
      <w:r>
        <w:rPr>
          <w:rStyle w:val="947"/>
          <w:rFonts w:hint="eastAsia"/>
          <w:i w:val="0"/>
          <w:highlight w:val="none"/>
          <w:u w:val="single"/>
          <w:shd w:val="clear" w:color="auto" w:fill="ffffff"/>
        </w:rPr>
        <w:t xml:space="preserve">（产品名称1）</w:t>
      </w:r>
      <w:r>
        <w:rPr>
          <w:rStyle w:val="947"/>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7"/>
          <w:rFonts w:hint="eastAsia"/>
          <w:i w:val="0"/>
          <w:highlight w:val="none"/>
          <w:u w:val="single"/>
          <w:shd w:val="clear" w:color="auto" w:fill="ffffff"/>
        </w:rPr>
        <w:t xml:space="preserve">（厂名）</w:t>
      </w:r>
      <w:r>
        <w:rPr>
          <w:rStyle w:val="947"/>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Style w:val="947"/>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Style w:val="947"/>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Style w:val="947"/>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5"/>
        <w:ind w:firstLine="420"/>
        <w:spacing w:before="24" w:beforeAutospacing="0" w:after="24" w:afterAutospacing="0" w:line="360" w:lineRule="auto"/>
        <w:shd w:val="clear" w:color="auto" w:fill="auto"/>
        <w:rPr>
          <w:rFonts w:hint="eastAsia"/>
          <w:strike w:val="0"/>
          <w:highlight w:val="none"/>
        </w:rPr>
      </w:pPr>
      <w:r>
        <w:rPr>
          <w:rFonts w:hint="eastAsia"/>
          <w:highlight w:val="none"/>
          <w:shd w:val="clear" w:color="auto" w:fill="ffffff"/>
        </w:rPr>
        <w:t xml:space="preserve">2.</w:t>
      </w:r>
      <w:r>
        <w:rPr>
          <w:rStyle w:val="947"/>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7"/>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5"/>
        <w:ind w:firstLine="420"/>
        <w:spacing w:before="24" w:beforeAutospacing="0" w:after="24" w:afterAutospacing="0" w:line="360" w:lineRule="auto"/>
        <w:shd w:val="clear" w:color="auto" w:fill="auto"/>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5"/>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5"/>
        <w:jc w:val="right"/>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5"/>
        <w:jc w:val="right"/>
        <w:spacing w:before="24" w:beforeAutospacing="0" w:after="24" w:afterAutospacing="0" w:line="360" w:lineRule="auto"/>
        <w:shd w:val="clear" w:color="auto" w:fill="auto"/>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5"/>
        <w:spacing w:before="24" w:beforeAutospacing="0" w:after="24" w:afterAutospacing="0" w:line="360" w:lineRule="auto"/>
        <w:shd w:val="clear" w:color="auto" w:fill="auto"/>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5"/>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5"/>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5"/>
        <w:ind w:firstLine="420"/>
        <w:spacing w:before="24" w:beforeAutospacing="0" w:after="24" w:afterAutospacing="0" w:line="360" w:lineRule="auto"/>
        <w:shd w:val="clear" w:color="auto" w:fill="auto"/>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5"/>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5"/>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2" w:name="OLE_LINK8"/>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0"/>
      </w:pPr>
      <w:r/>
      <w:bookmarkEnd w:id="72"/>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1"/>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35"/>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1"/>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４２</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7"/>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7"/>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7"/>
    <w:link w:val="890"/>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索引 41"/>
    <w:basedOn w:val="871"/>
    <w:next w:val="871"/>
    <w:link w:val="871"/>
    <w:semiHidden/>
    <w:qFormat/>
    <w:pPr>
      <w:ind w:left="1260"/>
    </w:pPr>
    <w:rPr>
      <w:rFonts w:ascii="Calibri" w:hAnsi="Calibri" w:eastAsia="Calibri" w:cs="宋体"/>
      <w:sz w:val="20"/>
      <w:lang w:val="zh-CN"/>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character" w:styleId="886">
    <w:name w:val="标题 3 Char"/>
    <w:next w:val="886"/>
    <w:link w:val="874"/>
    <w:rPr>
      <w:rFonts w:ascii="Times New Roman" w:hAnsi="Times New Roman" w:eastAsia="宋体" w:cs="Times New Roman"/>
      <w:b/>
      <w:bCs/>
      <w:sz w:val="32"/>
      <w:szCs w:val="32"/>
    </w:rPr>
  </w:style>
  <w:style w:type="paragraph" w:styleId="887">
    <w:name w:val="正文缩进"/>
    <w:basedOn w:val="871"/>
    <w:next w:val="887"/>
    <w:link w:val="888"/>
    <w:pPr>
      <w:ind w:firstLine="420"/>
    </w:pPr>
    <w:rPr>
      <w:szCs w:val="21"/>
    </w:rPr>
  </w:style>
  <w:style w:type="character" w:styleId="888">
    <w:name w:val="正文缩进 Char"/>
    <w:next w:val="888"/>
    <w:link w:val="887"/>
    <w:rPr>
      <w:szCs w:val="21"/>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rPr>
      <w:rFonts w:ascii="Times New Roman" w:hAnsi="Times New Roman" w:eastAsia="宋体" w:cs="Times New Roman"/>
      <w:szCs w:val="21"/>
    </w:rPr>
  </w:style>
  <w:style w:type="paragraph" w:styleId="896">
    <w:name w:val="目录 7"/>
    <w:basedOn w:val="871"/>
    <w:next w:val="871"/>
    <w:link w:val="871"/>
    <w:semiHidden/>
    <w:pPr>
      <w:ind w:left="1260"/>
      <w:jc w:val="left"/>
    </w:pPr>
    <w:rPr>
      <w:rFonts w:ascii="Times New Roman" w:hAnsi="Times New Roman" w:eastAsia="宋体" w:cs="Times New Roman"/>
      <w:szCs w:val="21"/>
    </w:rPr>
  </w:style>
  <w:style w:type="paragraph" w:styleId="897">
    <w:name w:val="文档结构图"/>
    <w:basedOn w:val="871"/>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0">
    <w:name w:val="批注文字 Char"/>
    <w:basedOn w:val="881"/>
    <w:next w:val="900"/>
    <w:link w:val="899"/>
    <w:uiPriority w:val="99"/>
    <w:semiHidden/>
  </w:style>
  <w:style w:type="paragraph" w:styleId="901">
    <w:name w:val="正文文本 3"/>
    <w:basedOn w:val="871"/>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unhideWhenUsed/>
    <w:pPr>
      <w:ind w:left="420"/>
      <w:spacing w:after="120"/>
    </w:pPr>
  </w:style>
  <w:style w:type="character" w:styleId="906">
    <w:name w:val="正文文本缩进 Char"/>
    <w:basedOn w:val="881"/>
    <w:next w:val="906"/>
    <w:link w:val="905"/>
    <w:uiPriority w:val="99"/>
    <w:semiHidden/>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pPr>
      <w:ind w:left="100" w:hanging="200"/>
    </w:pPr>
    <w:rPr>
      <w:rFonts w:ascii="Times New Roman" w:hAnsi="Times New Roman" w:eastAsia="宋体" w:cs="Times New Roman"/>
      <w:szCs w:val="21"/>
    </w:rPr>
  </w:style>
  <w:style w:type="paragraph" w:styleId="909">
    <w:name w:val="目录 5"/>
    <w:basedOn w:val="871"/>
    <w:next w:val="871"/>
    <w:link w:val="871"/>
    <w:semiHidden/>
    <w:pPr>
      <w:ind w:left="840"/>
      <w:jc w:val="left"/>
    </w:pPr>
    <w:rPr>
      <w:rFonts w:ascii="Times New Roman" w:hAnsi="Times New Roman" w:eastAsia="宋体" w:cs="Times New Roman"/>
      <w:szCs w:val="21"/>
    </w:rPr>
  </w:style>
  <w:style w:type="paragraph" w:styleId="910">
    <w:name w:val="目录 3"/>
    <w:basedOn w:val="871"/>
    <w:next w:val="871"/>
    <w:link w:val="871"/>
    <w:semiHidden/>
    <w:pPr>
      <w:ind w:left="420"/>
      <w:jc w:val="left"/>
    </w:pPr>
    <w:rPr>
      <w:rFonts w:ascii="Times New Roman" w:hAnsi="Times New Roman" w:eastAsia="宋体" w:cs="Times New Roman"/>
      <w:i/>
      <w:iCs/>
      <w:szCs w:val="24"/>
    </w:rPr>
  </w:style>
  <w:style w:type="paragraph" w:styleId="911">
    <w:name w:val="纯文本"/>
    <w:basedOn w:val="871"/>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rPr>
      <w:rFonts w:ascii="Times New Roman" w:hAnsi="Times New Roman" w:eastAsia="宋体" w:cs="Times New Roman"/>
      <w:szCs w:val="21"/>
    </w:rPr>
  </w:style>
  <w:style w:type="paragraph" w:styleId="914">
    <w:name w:val="日期"/>
    <w:basedOn w:val="871"/>
    <w:next w:val="871"/>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1"/>
    <w:next w:val="871"/>
    <w:link w:val="871"/>
    <w:semiHidden/>
    <w:pPr>
      <w:ind w:left="630"/>
      <w:jc w:val="left"/>
    </w:pPr>
    <w:rPr>
      <w:rFonts w:ascii="Times New Roman" w:hAnsi="Times New Roman" w:eastAsia="宋体" w:cs="Times New Roman"/>
      <w:szCs w:val="21"/>
    </w:rPr>
  </w:style>
  <w:style w:type="paragraph" w:styleId="926">
    <w:name w:val="列表"/>
    <w:basedOn w:val="871"/>
    <w:next w:val="926"/>
    <w:link w:val="871"/>
    <w:pPr>
      <w:ind w:left="200" w:hanging="200"/>
    </w:pPr>
    <w:rPr>
      <w:rFonts w:ascii="Times New Roman" w:hAnsi="Times New Roman" w:eastAsia="宋体" w:cs="Times New Roman"/>
      <w:szCs w:val="21"/>
    </w:rPr>
  </w:style>
  <w:style w:type="paragraph" w:styleId="927">
    <w:name w:val="目录 6"/>
    <w:basedOn w:val="871"/>
    <w:next w:val="871"/>
    <w:link w:val="871"/>
    <w:semiHidden/>
    <w:pPr>
      <w:ind w:left="1050"/>
      <w:jc w:val="left"/>
    </w:pPr>
    <w:rPr>
      <w:rFonts w:ascii="Times New Roman" w:hAnsi="Times New Roman" w:eastAsia="宋体" w:cs="Times New Roman"/>
      <w:szCs w:val="21"/>
    </w:r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rPr>
      <w:rFonts w:ascii="Times New Roman" w:hAnsi="Times New Roman" w:eastAsia="宋体" w:cs="Times New Roman"/>
      <w:szCs w:val="21"/>
    </w:rPr>
  </w:style>
  <w:style w:type="paragraph" w:styleId="931">
    <w:name w:val="目录 2"/>
    <w:basedOn w:val="871"/>
    <w:next w:val="871"/>
    <w:link w:val="871"/>
    <w:semiHidden/>
    <w:pPr>
      <w:ind w:left="210"/>
      <w:jc w:val="left"/>
    </w:pPr>
    <w:rPr>
      <w:rFonts w:ascii="Times New Roman" w:hAnsi="Times New Roman" w:eastAsia="宋体" w:cs="Times New Roman"/>
      <w:smallCaps/>
      <w:szCs w:val="24"/>
    </w:rPr>
  </w:style>
  <w:style w:type="paragraph" w:styleId="932">
    <w:name w:val="目录 9"/>
    <w:basedOn w:val="871"/>
    <w:next w:val="871"/>
    <w:link w:val="871"/>
    <w:semiHidden/>
    <w:pPr>
      <w:ind w:left="1680"/>
      <w:jc w:val="left"/>
    </w:pPr>
    <w:rPr>
      <w:rFonts w:ascii="Times New Roman" w:hAnsi="Times New Roman" w:eastAsia="宋体" w:cs="Times New Roman"/>
      <w:szCs w:val="21"/>
    </w:rPr>
  </w:style>
  <w:style w:type="paragraph" w:styleId="933">
    <w:name w:val="正文文本 2"/>
    <w:basedOn w:val="871"/>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1"/>
    <w:next w:val="871"/>
    <w:link w:val="871"/>
    <w:semiHidden/>
    <w:pPr>
      <w:spacing w:line="240" w:lineRule="atLeast"/>
    </w:pPr>
    <w:rPr>
      <w:rFonts w:ascii="Times New Roman" w:hAnsi="Times New Roman" w:eastAsia="宋体" w:cs="Times New Roman"/>
      <w:b/>
      <w:bCs/>
      <w:szCs w:val="21"/>
    </w:rPr>
  </w:style>
  <w:style w:type="paragraph" w:styleId="937">
    <w:name w:val="批注主题"/>
    <w:basedOn w:val="899"/>
    <w:next w:val="899"/>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1"/>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71"/>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强调"/>
    <w:next w:val="947"/>
    <w:link w:val="871"/>
    <w:qFormat/>
    <w:rPr>
      <w:i/>
    </w:rPr>
  </w:style>
  <w:style w:type="character" w:styleId="948">
    <w:name w:val="超链接"/>
    <w:next w:val="948"/>
    <w:link w:val="871"/>
    <w:rPr>
      <w:color w:val="0000ff"/>
      <w:u w:val="single"/>
    </w:rPr>
  </w:style>
  <w:style w:type="character" w:styleId="949">
    <w:name w:val="批注引用"/>
    <w:next w:val="949"/>
    <w:link w:val="871"/>
    <w:semiHidden/>
    <w:rPr>
      <w:sz w:val="21"/>
      <w:szCs w:val="21"/>
    </w:rPr>
  </w:style>
  <w:style w:type="character" w:styleId="950">
    <w:name w:val="批注文字 字符"/>
    <w:basedOn w:val="881"/>
    <w:next w:val="950"/>
    <w:link w:val="899"/>
    <w:rPr>
      <w:rFonts w:ascii="Calibri" w:hAnsi="Calibri" w:eastAsia="宋体" w:cs="Times New Roman"/>
      <w:sz w:val="21"/>
      <w:szCs w:val="24"/>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3"/>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7"/>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7"/>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8"/>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7"/>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文本首行缩进 2"/>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paragraph" w:styleId="1000">
    <w:name w:val="正文1"/>
    <w:basedOn w:val="871"/>
    <w:next w:val="1000"/>
    <w:link w:val="871"/>
    <w:qFormat/>
    <w:pPr>
      <w:ind w:left="350" w:firstLine="0"/>
    </w:pPr>
    <w:rPr>
      <w:rFonts w:cs="Times New Roman"/>
      <w:sz w:val="20"/>
      <w:szCs w:val="24"/>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4</cp:revision>
  <dcterms:created xsi:type="dcterms:W3CDTF">2023-03-16T02:13:00Z</dcterms:created>
  <dcterms:modified xsi:type="dcterms:W3CDTF">2026-08-13T05:19:00Z</dcterms:modified>
</cp:coreProperties>
</file>