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10233">
      <w:pPr>
        <w:tabs>
          <w:tab w:val="left" w:pos="4830"/>
        </w:tabs>
        <w:adjustRightInd w:val="0"/>
        <w:spacing w:before="120" w:after="120" w:line="360" w:lineRule="auto"/>
        <w:jc w:val="left"/>
        <w:textAlignment w:val="baseline"/>
        <w:rPr>
          <w:rFonts w:ascii="仿宋" w:hAnsi="仿宋" w:eastAsia="仿宋" w:cs="仿宋"/>
          <w:b/>
          <w:bCs/>
          <w:kern w:val="0"/>
          <w:sz w:val="84"/>
          <w:szCs w:val="24"/>
        </w:rPr>
      </w:pPr>
    </w:p>
    <w:p w14:paraId="64D31906">
      <w:pPr>
        <w:adjustRightInd w:val="0"/>
        <w:spacing w:before="120" w:after="120" w:line="360" w:lineRule="auto"/>
        <w:jc w:val="center"/>
        <w:textAlignment w:val="baseline"/>
        <w:outlineLvl w:val="0"/>
        <w:rPr>
          <w:rFonts w:ascii="仿宋" w:hAnsi="仿宋" w:eastAsia="仿宋" w:cs="仿宋"/>
          <w:b/>
          <w:bCs/>
          <w:kern w:val="0"/>
          <w:sz w:val="84"/>
          <w:szCs w:val="24"/>
        </w:rPr>
      </w:pPr>
      <w:bookmarkStart w:id="0" w:name="_Toc10112"/>
      <w:bookmarkStart w:id="1" w:name="_Toc15109"/>
      <w:bookmarkStart w:id="2" w:name="_Toc28998"/>
      <w:r>
        <w:rPr>
          <w:rFonts w:hint="eastAsia" w:ascii="仿宋" w:hAnsi="仿宋" w:eastAsia="仿宋" w:cs="仿宋"/>
          <w:b/>
          <w:bCs/>
          <w:kern w:val="0"/>
          <w:sz w:val="84"/>
          <w:szCs w:val="24"/>
        </w:rPr>
        <w:t>竞争性磋商文件</w:t>
      </w:r>
      <w:bookmarkEnd w:id="0"/>
      <w:bookmarkEnd w:id="1"/>
      <w:bookmarkEnd w:id="2"/>
    </w:p>
    <w:p w14:paraId="1715690A">
      <w:pPr>
        <w:adjustRightInd w:val="0"/>
        <w:spacing w:before="120" w:after="120" w:line="360" w:lineRule="auto"/>
        <w:jc w:val="center"/>
        <w:textAlignment w:val="baseline"/>
        <w:rPr>
          <w:rFonts w:hint="eastAsia" w:ascii="仿宋" w:hAnsi="仿宋" w:eastAsia="仿宋" w:cs="仿宋"/>
          <w:b/>
          <w:bCs/>
          <w:kern w:val="0"/>
          <w:sz w:val="28"/>
          <w:szCs w:val="24"/>
          <w:u w:val="single"/>
          <w:lang w:eastAsia="zh-CN"/>
        </w:rPr>
      </w:pPr>
      <w:r>
        <w:rPr>
          <w:rFonts w:hint="eastAsia" w:ascii="仿宋" w:hAnsi="仿宋" w:eastAsia="仿宋" w:cs="仿宋"/>
          <w:b/>
          <w:bCs/>
          <w:kern w:val="0"/>
          <w:sz w:val="32"/>
          <w:szCs w:val="24"/>
        </w:rPr>
        <w:t>项目名称：</w:t>
      </w:r>
      <w:r>
        <w:rPr>
          <w:rFonts w:hint="eastAsia" w:ascii="仿宋" w:hAnsi="仿宋" w:eastAsia="仿宋" w:cs="仿宋"/>
          <w:b/>
          <w:bCs/>
          <w:kern w:val="0"/>
          <w:sz w:val="28"/>
          <w:szCs w:val="24"/>
        </w:rPr>
        <w:t>如东县掘港高级中学新建微格教室项目</w:t>
      </w:r>
      <w:r>
        <w:rPr>
          <w:rFonts w:hint="eastAsia" w:ascii="仿宋" w:hAnsi="仿宋" w:eastAsia="仿宋" w:cs="仿宋"/>
          <w:b/>
          <w:bCs/>
          <w:kern w:val="0"/>
          <w:sz w:val="28"/>
          <w:szCs w:val="24"/>
          <w:lang w:eastAsia="zh-CN"/>
        </w:rPr>
        <w:t>（第二次）</w:t>
      </w:r>
    </w:p>
    <w:p w14:paraId="2F9CD0D9">
      <w:pPr>
        <w:adjustRightInd w:val="0"/>
        <w:spacing w:before="120" w:after="120" w:line="360" w:lineRule="auto"/>
        <w:jc w:val="center"/>
        <w:textAlignment w:val="baseline"/>
        <w:outlineLvl w:val="0"/>
        <w:rPr>
          <w:rFonts w:hint="eastAsia" w:ascii="仿宋" w:hAnsi="仿宋" w:eastAsia="仿宋" w:cs="仿宋"/>
          <w:b/>
          <w:bCs/>
          <w:kern w:val="0"/>
          <w:sz w:val="32"/>
          <w:szCs w:val="24"/>
          <w:lang w:val="en-US" w:eastAsia="zh-CN"/>
        </w:rPr>
      </w:pPr>
      <w:bookmarkStart w:id="3" w:name="_Toc9771"/>
      <w:bookmarkStart w:id="4" w:name="_Toc11109"/>
      <w:bookmarkStart w:id="5" w:name="_Toc15853"/>
      <w:r>
        <w:rPr>
          <w:rFonts w:hint="eastAsia" w:ascii="仿宋" w:hAnsi="仿宋" w:eastAsia="仿宋" w:cs="仿宋"/>
          <w:b/>
          <w:bCs/>
          <w:kern w:val="0"/>
          <w:sz w:val="32"/>
          <w:szCs w:val="24"/>
        </w:rPr>
        <w:t>项目编号：</w:t>
      </w:r>
      <w:bookmarkEnd w:id="3"/>
      <w:bookmarkEnd w:id="4"/>
      <w:bookmarkEnd w:id="5"/>
      <w:r>
        <w:rPr>
          <w:rFonts w:hint="eastAsia" w:ascii="仿宋" w:hAnsi="仿宋" w:eastAsia="仿宋" w:cs="仿宋"/>
          <w:b/>
          <w:bCs/>
          <w:kern w:val="0"/>
          <w:sz w:val="32"/>
          <w:szCs w:val="24"/>
        </w:rPr>
        <w:t>JSZC-320623-JZCG-C2026-003</w:t>
      </w:r>
      <w:r>
        <w:rPr>
          <w:rFonts w:hint="eastAsia" w:ascii="仿宋" w:hAnsi="仿宋" w:eastAsia="仿宋" w:cs="仿宋"/>
          <w:b/>
          <w:bCs/>
          <w:kern w:val="0"/>
          <w:sz w:val="32"/>
          <w:szCs w:val="24"/>
          <w:lang w:val="en-US" w:eastAsia="zh-CN"/>
        </w:rPr>
        <w:t>3</w:t>
      </w:r>
    </w:p>
    <w:p w14:paraId="091B3EA7">
      <w:pPr>
        <w:ind w:left="2811" w:hanging="2811" w:hangingChars="1000"/>
        <w:jc w:val="center"/>
        <w:outlineLvl w:val="0"/>
        <w:rPr>
          <w:rFonts w:ascii="仿宋" w:hAnsi="仿宋" w:eastAsia="仿宋" w:cs="仿宋"/>
          <w:b/>
          <w:sz w:val="28"/>
          <w:szCs w:val="28"/>
        </w:rPr>
      </w:pPr>
      <w:bookmarkStart w:id="6" w:name="_Toc24406"/>
      <w:bookmarkStart w:id="7" w:name="_Toc2726"/>
      <w:bookmarkStart w:id="8" w:name="_Toc31007"/>
      <w:r>
        <w:rPr>
          <w:rFonts w:hint="eastAsia" w:ascii="仿宋" w:hAnsi="仿宋" w:eastAsia="仿宋" w:cs="仿宋"/>
          <w:b/>
          <w:sz w:val="28"/>
          <w:szCs w:val="28"/>
        </w:rPr>
        <w:t>（全流程电子化，适用苏采云系统）</w:t>
      </w:r>
      <w:bookmarkEnd w:id="6"/>
      <w:bookmarkEnd w:id="7"/>
      <w:bookmarkEnd w:id="8"/>
    </w:p>
    <w:p w14:paraId="36BEF694">
      <w:pPr>
        <w:adjustRightInd w:val="0"/>
        <w:spacing w:before="120" w:after="120" w:line="360" w:lineRule="auto"/>
        <w:ind w:firstLine="1470" w:firstLineChars="700"/>
        <w:jc w:val="left"/>
        <w:textAlignment w:val="baseline"/>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p>
    <w:p w14:paraId="6EAC8C1E">
      <w:pPr>
        <w:adjustRightInd w:val="0"/>
        <w:spacing w:line="360" w:lineRule="auto"/>
        <w:jc w:val="left"/>
        <w:textAlignment w:val="baseline"/>
        <w:rPr>
          <w:rFonts w:ascii="仿宋" w:hAnsi="仿宋" w:eastAsia="仿宋" w:cs="仿宋"/>
          <w:kern w:val="0"/>
          <w:sz w:val="24"/>
          <w:szCs w:val="24"/>
        </w:rPr>
      </w:pPr>
    </w:p>
    <w:p w14:paraId="7223439F">
      <w:pPr>
        <w:adjustRightInd w:val="0"/>
        <w:spacing w:line="360" w:lineRule="auto"/>
        <w:jc w:val="left"/>
        <w:textAlignment w:val="baseline"/>
        <w:rPr>
          <w:rFonts w:ascii="仿宋" w:hAnsi="仿宋" w:eastAsia="仿宋" w:cs="仿宋"/>
          <w:kern w:val="0"/>
          <w:sz w:val="24"/>
          <w:szCs w:val="24"/>
        </w:rPr>
      </w:pPr>
    </w:p>
    <w:p w14:paraId="2368D5A1">
      <w:pPr>
        <w:adjustRightInd w:val="0"/>
        <w:spacing w:line="360" w:lineRule="auto"/>
        <w:jc w:val="left"/>
        <w:textAlignment w:val="baseline"/>
        <w:rPr>
          <w:rFonts w:ascii="仿宋" w:hAnsi="仿宋" w:eastAsia="仿宋" w:cs="仿宋"/>
          <w:kern w:val="0"/>
          <w:sz w:val="24"/>
          <w:szCs w:val="24"/>
        </w:rPr>
      </w:pPr>
    </w:p>
    <w:p w14:paraId="7462164B">
      <w:pPr>
        <w:adjustRightInd w:val="0"/>
        <w:spacing w:line="360" w:lineRule="auto"/>
        <w:jc w:val="left"/>
        <w:textAlignment w:val="baseline"/>
        <w:rPr>
          <w:rFonts w:ascii="仿宋" w:hAnsi="仿宋" w:eastAsia="仿宋" w:cs="仿宋"/>
          <w:kern w:val="0"/>
          <w:sz w:val="24"/>
          <w:szCs w:val="24"/>
        </w:rPr>
      </w:pPr>
    </w:p>
    <w:p w14:paraId="3C72B438">
      <w:pPr>
        <w:adjustRightInd w:val="0"/>
        <w:spacing w:line="360" w:lineRule="auto"/>
        <w:jc w:val="left"/>
        <w:textAlignment w:val="baseline"/>
        <w:rPr>
          <w:rFonts w:ascii="仿宋" w:hAnsi="仿宋" w:eastAsia="仿宋" w:cs="仿宋"/>
          <w:kern w:val="0"/>
          <w:sz w:val="24"/>
          <w:szCs w:val="24"/>
        </w:rPr>
      </w:pPr>
    </w:p>
    <w:p w14:paraId="498CCEEC">
      <w:pPr>
        <w:adjustRightInd w:val="0"/>
        <w:spacing w:line="360" w:lineRule="auto"/>
        <w:jc w:val="left"/>
        <w:textAlignment w:val="baseline"/>
        <w:rPr>
          <w:rFonts w:ascii="仿宋" w:hAnsi="仿宋" w:eastAsia="仿宋" w:cs="仿宋"/>
          <w:kern w:val="0"/>
          <w:sz w:val="24"/>
          <w:szCs w:val="24"/>
        </w:rPr>
      </w:pPr>
    </w:p>
    <w:p w14:paraId="269D3ABF">
      <w:pPr>
        <w:adjustRightInd w:val="0"/>
        <w:spacing w:line="360" w:lineRule="auto"/>
        <w:jc w:val="left"/>
        <w:textAlignment w:val="baseline"/>
        <w:rPr>
          <w:rFonts w:ascii="仿宋" w:hAnsi="仿宋" w:eastAsia="仿宋" w:cs="仿宋"/>
          <w:kern w:val="0"/>
          <w:sz w:val="24"/>
          <w:szCs w:val="24"/>
        </w:rPr>
      </w:pPr>
    </w:p>
    <w:p w14:paraId="2228CCA7">
      <w:pPr>
        <w:adjustRightInd w:val="0"/>
        <w:spacing w:before="120" w:after="120" w:line="360" w:lineRule="auto"/>
        <w:jc w:val="center"/>
        <w:textAlignment w:val="baseline"/>
        <w:outlineLvl w:val="0"/>
        <w:rPr>
          <w:rFonts w:ascii="仿宋" w:hAnsi="仿宋" w:eastAsia="仿宋" w:cs="仿宋"/>
          <w:b/>
          <w:bCs/>
          <w:kern w:val="0"/>
          <w:sz w:val="32"/>
          <w:szCs w:val="24"/>
        </w:rPr>
      </w:pPr>
      <w:bookmarkStart w:id="9" w:name="_Toc17627"/>
      <w:bookmarkStart w:id="10" w:name="_Toc1606"/>
      <w:bookmarkStart w:id="11" w:name="_Toc29464"/>
      <w:r>
        <w:rPr>
          <w:rFonts w:hint="eastAsia" w:ascii="仿宋" w:hAnsi="仿宋" w:eastAsia="仿宋" w:cs="仿宋"/>
          <w:b/>
          <w:bCs/>
          <w:kern w:val="0"/>
          <w:sz w:val="32"/>
          <w:szCs w:val="24"/>
        </w:rPr>
        <w:t>如东县公共资源交易中心</w:t>
      </w:r>
      <w:bookmarkEnd w:id="9"/>
      <w:bookmarkEnd w:id="10"/>
      <w:bookmarkEnd w:id="11"/>
    </w:p>
    <w:p w14:paraId="5E1E054D">
      <w:pPr>
        <w:adjustRightInd w:val="0"/>
        <w:spacing w:before="120" w:after="120" w:line="360" w:lineRule="auto"/>
        <w:jc w:val="center"/>
        <w:textAlignment w:val="baseline"/>
        <w:rPr>
          <w:rFonts w:ascii="仿宋" w:hAnsi="仿宋" w:eastAsia="仿宋" w:cs="仿宋"/>
          <w:b/>
          <w:bCs/>
          <w:kern w:val="0"/>
          <w:sz w:val="32"/>
          <w:szCs w:val="24"/>
        </w:rPr>
      </w:pPr>
      <w:r>
        <w:rPr>
          <w:rFonts w:hint="eastAsia" w:ascii="仿宋" w:hAnsi="仿宋" w:eastAsia="仿宋" w:cs="仿宋"/>
          <w:b/>
          <w:bCs/>
          <w:kern w:val="0"/>
          <w:sz w:val="32"/>
          <w:szCs w:val="24"/>
        </w:rPr>
        <w:t>2026年</w:t>
      </w:r>
      <w:r>
        <w:rPr>
          <w:rFonts w:hint="eastAsia" w:ascii="仿宋" w:hAnsi="仿宋" w:eastAsia="仿宋" w:cs="仿宋"/>
          <w:b/>
          <w:bCs/>
          <w:kern w:val="0"/>
          <w:sz w:val="32"/>
          <w:szCs w:val="24"/>
          <w:lang w:val="en-US" w:eastAsia="zh-CN"/>
        </w:rPr>
        <w:t>9</w:t>
      </w:r>
      <w:r>
        <w:rPr>
          <w:rFonts w:hint="eastAsia" w:ascii="仿宋" w:hAnsi="仿宋" w:eastAsia="仿宋" w:cs="仿宋"/>
          <w:b/>
          <w:bCs/>
          <w:kern w:val="0"/>
          <w:sz w:val="32"/>
          <w:szCs w:val="24"/>
        </w:rPr>
        <w:t>月</w:t>
      </w:r>
    </w:p>
    <w:p w14:paraId="3A8B0B33">
      <w:pPr>
        <w:adjustRightInd w:val="0"/>
        <w:spacing w:before="120" w:after="120" w:line="360" w:lineRule="auto"/>
        <w:jc w:val="left"/>
        <w:textAlignment w:val="baseline"/>
        <w:rPr>
          <w:rFonts w:ascii="仿宋" w:hAnsi="仿宋" w:eastAsia="仿宋" w:cs="仿宋"/>
          <w:kern w:val="0"/>
          <w:sz w:val="24"/>
          <w:szCs w:val="24"/>
          <w:u w:val="single"/>
        </w:rPr>
      </w:pPr>
      <w:r>
        <w:rPr>
          <w:rFonts w:hint="eastAsia" w:ascii="仿宋" w:hAnsi="仿宋" w:eastAsia="仿宋" w:cs="仿宋"/>
          <w:kern w:val="0"/>
          <w:sz w:val="24"/>
          <w:szCs w:val="24"/>
        </w:rPr>
        <w:t xml:space="preserve">                        </w:t>
      </w:r>
    </w:p>
    <w:p w14:paraId="7320ED66">
      <w:pPr>
        <w:adjustRightInd w:val="0"/>
        <w:spacing w:before="120" w:after="120" w:line="360" w:lineRule="auto"/>
        <w:jc w:val="center"/>
        <w:textAlignment w:val="baseline"/>
        <w:rPr>
          <w:rFonts w:ascii="仿宋" w:hAnsi="仿宋" w:eastAsia="仿宋" w:cs="仿宋"/>
          <w:kern w:val="0"/>
          <w:sz w:val="24"/>
          <w:szCs w:val="24"/>
        </w:rPr>
      </w:pPr>
    </w:p>
    <w:p w14:paraId="292F6FBB">
      <w:pPr>
        <w:numPr>
          <w:ilvl w:val="0"/>
          <w:numId w:val="1"/>
        </w:numPr>
        <w:spacing w:line="480" w:lineRule="auto"/>
        <w:outlineLvl w:val="0"/>
        <w:rPr>
          <w:rFonts w:ascii="仿宋" w:hAnsi="仿宋" w:eastAsia="仿宋" w:cs="仿宋"/>
          <w:sz w:val="36"/>
          <w:szCs w:val="21"/>
        </w:rPr>
      </w:pPr>
      <w:r>
        <w:rPr>
          <w:rFonts w:hint="eastAsia" w:ascii="仿宋" w:hAnsi="仿宋" w:eastAsia="仿宋" w:cs="仿宋"/>
          <w:szCs w:val="21"/>
        </w:rPr>
        <w:br w:type="page"/>
      </w:r>
      <w:bookmarkStart w:id="12" w:name="_Toc120614210"/>
      <w:bookmarkStart w:id="13" w:name="_Toc16938516"/>
      <w:bookmarkStart w:id="14" w:name="_Toc479757206"/>
      <w:bookmarkStart w:id="15" w:name="_Toc20823272"/>
      <w:bookmarkStart w:id="16" w:name="_Toc523127445"/>
      <w:bookmarkStart w:id="17" w:name="_Toc513029200"/>
    </w:p>
    <w:p w14:paraId="0FAC884F">
      <w:pPr>
        <w:rPr>
          <w:rFonts w:ascii="仿宋" w:hAnsi="仿宋" w:eastAsia="仿宋" w:cs="仿宋"/>
          <w:szCs w:val="21"/>
        </w:rPr>
      </w:pPr>
    </w:p>
    <w:p w14:paraId="78F168E1">
      <w:pPr>
        <w:rPr>
          <w:rFonts w:ascii="仿宋" w:hAnsi="仿宋" w:eastAsia="仿宋" w:cs="仿宋"/>
          <w:szCs w:val="21"/>
        </w:rPr>
      </w:pPr>
    </w:p>
    <w:p w14:paraId="605B044C">
      <w:pPr>
        <w:rPr>
          <w:rFonts w:ascii="仿宋" w:hAnsi="仿宋" w:eastAsia="仿宋" w:cs="仿宋"/>
          <w:szCs w:val="21"/>
        </w:rPr>
      </w:pPr>
    </w:p>
    <w:p w14:paraId="680D21B8">
      <w:pPr>
        <w:rPr>
          <w:rFonts w:ascii="仿宋" w:hAnsi="仿宋" w:eastAsia="仿宋" w:cs="仿宋"/>
          <w:sz w:val="36"/>
          <w:szCs w:val="36"/>
        </w:rPr>
      </w:pPr>
    </w:p>
    <w:sdt>
      <w:sdtPr>
        <w:rPr>
          <w:rFonts w:hint="eastAsia" w:ascii="仿宋" w:hAnsi="仿宋" w:eastAsia="仿宋" w:cs="仿宋"/>
          <w:sz w:val="44"/>
          <w:szCs w:val="44"/>
        </w:rPr>
        <w:id w:val="147461818"/>
        <w15:color w:val="DBDBDB"/>
        <w:docPartObj>
          <w:docPartGallery w:val="Table of Contents"/>
          <w:docPartUnique/>
        </w:docPartObj>
      </w:sdtPr>
      <w:sdtEndPr>
        <w:rPr>
          <w:rFonts w:hint="eastAsia" w:ascii="仿宋" w:hAnsi="仿宋" w:eastAsia="仿宋" w:cs="仿宋"/>
          <w:sz w:val="21"/>
          <w:szCs w:val="21"/>
        </w:rPr>
      </w:sdtEndPr>
      <w:sdtContent>
        <w:p w14:paraId="697D9910">
          <w:pPr>
            <w:jc w:val="center"/>
            <w:rPr>
              <w:rFonts w:ascii="仿宋" w:hAnsi="仿宋" w:eastAsia="仿宋" w:cs="仿宋"/>
              <w:b/>
              <w:bCs/>
              <w:sz w:val="36"/>
              <w:szCs w:val="36"/>
            </w:rPr>
          </w:pPr>
          <w:r>
            <w:rPr>
              <w:rFonts w:hint="eastAsia" w:ascii="仿宋" w:hAnsi="仿宋" w:eastAsia="仿宋" w:cs="仿宋"/>
              <w:b/>
              <w:bCs/>
              <w:sz w:val="44"/>
              <w:szCs w:val="44"/>
            </w:rPr>
            <w:t>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sdt>
          <w:sdtPr>
            <w:rPr>
              <w:rFonts w:hint="eastAsia" w:ascii="仿宋" w:hAnsi="仿宋" w:eastAsia="仿宋" w:cs="仿宋"/>
              <w:sz w:val="36"/>
              <w:szCs w:val="36"/>
            </w:rPr>
            <w:id w:val="147468029"/>
            <w15:color w:val="DBDBDB"/>
            <w:docPartObj>
              <w:docPartGallery w:val="Table of Contents"/>
              <w:docPartUnique/>
            </w:docPartObj>
          </w:sdtPr>
          <w:sdtEndPr>
            <w:rPr>
              <w:rFonts w:hint="eastAsia" w:ascii="仿宋" w:hAnsi="仿宋" w:eastAsia="仿宋" w:cs="仿宋"/>
              <w:sz w:val="21"/>
              <w:szCs w:val="21"/>
            </w:rPr>
          </w:sdtEndPr>
          <w:sdtContent>
            <w:p w14:paraId="40D4FE07">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78AB175F">
              <w:pPr>
                <w:pStyle w:val="10"/>
                <w:tabs>
                  <w:tab w:val="right" w:leader="dot" w:pos="8953"/>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２</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0B59FD8F">
              <w:pPr>
                <w:pStyle w:val="10"/>
                <w:tabs>
                  <w:tab w:val="right" w:leader="dot" w:pos="8953"/>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_Toc16207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６</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1341A40C">
              <w:pPr>
                <w:pStyle w:val="10"/>
                <w:tabs>
                  <w:tab w:val="right" w:leader="dot" w:pos="8953"/>
                </w:tabs>
                <w:rPr>
                  <w:rFonts w:ascii="Times New Roman" w:hAnsi="Times New Roman" w:eastAsia="仿宋"/>
                  <w:b/>
                  <w:bCs/>
                  <w:sz w:val="36"/>
                  <w:szCs w:val="36"/>
                </w:rPr>
              </w:pPr>
              <w:r>
                <w:fldChar w:fldCharType="begin"/>
              </w:r>
              <w:r>
                <w:instrText xml:space="preserve"> HYPERLINK \l "_Toc20527" </w:instrText>
              </w:r>
              <w:r>
                <w:fldChar w:fldCharType="separate"/>
              </w:r>
              <w:r>
                <w:rPr>
                  <w:rFonts w:ascii="Times New Roman" w:hAnsi="Times New Roman" w:eastAsia="黑体"/>
                  <w:b/>
                  <w:bCs/>
                  <w:sz w:val="36"/>
                  <w:szCs w:val="36"/>
                </w:rPr>
                <w:t>第三章</w:t>
              </w:r>
              <w:r>
                <w:rPr>
                  <w:rFonts w:ascii="Times New Roman" w:hAnsi="Times New Roman" w:eastAsia="仿宋"/>
                  <w:b/>
                  <w:bCs/>
                  <w:sz w:val="36"/>
                  <w:szCs w:val="36"/>
                </w:rPr>
                <w:t xml:space="preserve">  合同文本</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_Toc20527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２１</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6959D2BB">
              <w:pPr>
                <w:pStyle w:val="10"/>
                <w:tabs>
                  <w:tab w:val="right" w:leader="dot" w:pos="8953"/>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第四章</w:t>
              </w:r>
              <w:r>
                <w:rPr>
                  <w:rFonts w:ascii="Times New Roman" w:hAnsi="Times New Roman" w:eastAsia="仿宋"/>
                  <w:b/>
                  <w:bCs/>
                  <w:sz w:val="36"/>
                  <w:szCs w:val="36"/>
                </w:rPr>
                <w:t xml:space="preserve"> </w:t>
              </w:r>
              <w:r>
                <w:rPr>
                  <w:rFonts w:hint="eastAsia" w:ascii="Times New Roman" w:hAnsi="Times New Roman" w:eastAsia="仿宋"/>
                  <w:b/>
                  <w:bCs/>
                  <w:sz w:val="36"/>
                  <w:szCs w:val="36"/>
                </w:rPr>
                <w:t xml:space="preserve"> </w:t>
              </w:r>
              <w:r>
                <w:rPr>
                  <w:rFonts w:ascii="Times New Roman" w:hAnsi="Times New Roman" w:eastAsia="仿宋"/>
                  <w:b/>
                  <w:bCs/>
                  <w:sz w:val="36"/>
                  <w:szCs w:val="36"/>
                </w:rPr>
                <w:t>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２６</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4D87ACF4">
              <w:pPr>
                <w:pStyle w:val="10"/>
                <w:tabs>
                  <w:tab w:val="right" w:leader="dot" w:pos="8953"/>
                </w:tabs>
                <w:rPr>
                  <w:rFonts w:ascii="Times New Roman" w:hAnsi="Times New Roman" w:eastAsia="仿宋"/>
                  <w:b/>
                  <w:bCs/>
                  <w:sz w:val="36"/>
                  <w:szCs w:val="36"/>
                </w:rPr>
              </w:pPr>
              <w:r>
                <w:fldChar w:fldCharType="begin"/>
              </w:r>
              <w:r>
                <w:instrText xml:space="preserve"> HYPERLINK \l "_Toc88" </w:instrText>
              </w:r>
              <w:r>
                <w:fldChar w:fldCharType="separate"/>
              </w:r>
              <w:r>
                <w:rPr>
                  <w:rFonts w:ascii="Times New Roman" w:hAnsi="Times New Roman" w:eastAsia="黑体"/>
                  <w:b/>
                  <w:bCs/>
                  <w:sz w:val="36"/>
                  <w:szCs w:val="36"/>
                </w:rPr>
                <w:t>第五章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_Toc88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５８</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2FBCE801">
              <w:pPr>
                <w:pStyle w:val="10"/>
                <w:tabs>
                  <w:tab w:val="right" w:leader="dot" w:pos="8953"/>
                </w:tabs>
                <w:rPr>
                  <w:rFonts w:ascii="仿宋" w:hAnsi="仿宋" w:eastAsia="仿宋" w:cs="仿宋"/>
                  <w:b/>
                  <w:bCs/>
                  <w:sz w:val="36"/>
                  <w:szCs w:val="36"/>
                </w:rPr>
              </w:pPr>
              <w:r>
                <w:fldChar w:fldCharType="begin"/>
              </w:r>
              <w:r>
                <w:instrText xml:space="preserve"> HYPERLINK \l "_Toc806" </w:instrText>
              </w:r>
              <w:r>
                <w:fldChar w:fldCharType="separate"/>
              </w:r>
              <w:r>
                <w:rPr>
                  <w:rFonts w:ascii="Times New Roman" w:hAnsi="Times New Roman" w:eastAsia="黑体"/>
                  <w:b/>
                  <w:bCs/>
                  <w:sz w:val="36"/>
                  <w:szCs w:val="36"/>
                </w:rPr>
                <w:t>第六章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_Toc806 \h </w:instrText>
              </w:r>
              <w:r>
                <w:rPr>
                  <w:rFonts w:ascii="Times New Roman" w:hAnsi="Times New Roman" w:eastAsia="仿宋"/>
                  <w:b/>
                  <w:bCs/>
                  <w:sz w:val="36"/>
                  <w:szCs w:val="36"/>
                </w:rPr>
                <w:fldChar w:fldCharType="separate"/>
              </w:r>
              <w:r>
                <w:rPr>
                  <w:rFonts w:ascii="Times New Roman" w:hAnsi="Times New Roman" w:eastAsia="仿宋"/>
                  <w:b/>
                  <w:bCs/>
                  <w:sz w:val="36"/>
                  <w:szCs w:val="36"/>
                </w:rPr>
                <w:t>６４</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p>
            <w:p w14:paraId="67CBB3BF">
              <w:pPr>
                <w:pStyle w:val="10"/>
                <w:tabs>
                  <w:tab w:val="right" w:leader="dot" w:pos="8953"/>
                </w:tabs>
                <w:rPr>
                  <w:rFonts w:ascii="仿宋" w:hAnsi="仿宋" w:eastAsia="仿宋" w:cs="仿宋"/>
                  <w:b/>
                  <w:bCs/>
                  <w:sz w:val="36"/>
                  <w:szCs w:val="36"/>
                </w:rPr>
              </w:pPr>
            </w:p>
            <w:p w14:paraId="42457D5F">
              <w:pPr>
                <w:pStyle w:val="10"/>
                <w:tabs>
                  <w:tab w:val="right" w:leader="dot" w:pos="8953"/>
                </w:tabs>
                <w:rPr>
                  <w:rFonts w:ascii="仿宋" w:hAnsi="仿宋" w:eastAsia="仿宋" w:cs="仿宋"/>
                  <w:b/>
                  <w:bCs/>
                  <w:sz w:val="36"/>
                  <w:szCs w:val="36"/>
                </w:rPr>
              </w:pPr>
              <w:r>
                <w:rPr>
                  <w:rFonts w:hint="eastAsia" w:ascii="仿宋" w:hAnsi="仿宋" w:eastAsia="仿宋" w:cs="仿宋"/>
                  <w:b/>
                  <w:bCs/>
                  <w:sz w:val="36"/>
                  <w:szCs w:val="36"/>
                </w:rPr>
                <w:fldChar w:fldCharType="end"/>
              </w:r>
            </w:p>
          </w:sdtContent>
        </w:sdt>
        <w:p w14:paraId="49BD7C0F">
          <w:pPr>
            <w:pStyle w:val="10"/>
            <w:tabs>
              <w:tab w:val="right" w:leader="dot" w:pos="8953"/>
            </w:tabs>
            <w:rPr>
              <w:rFonts w:ascii="仿宋" w:hAnsi="仿宋" w:eastAsia="仿宋" w:cs="仿宋"/>
              <w:b/>
              <w:bCs/>
              <w:sz w:val="36"/>
              <w:szCs w:val="36"/>
            </w:rPr>
          </w:pPr>
        </w:p>
        <w:p w14:paraId="103BAE61">
          <w:pPr>
            <w:rPr>
              <w:rFonts w:ascii="仿宋" w:hAnsi="仿宋" w:eastAsia="仿宋" w:cs="仿宋"/>
              <w:szCs w:val="21"/>
            </w:rPr>
          </w:pPr>
          <w:r>
            <w:rPr>
              <w:rFonts w:hint="eastAsia" w:ascii="仿宋" w:hAnsi="仿宋" w:eastAsia="仿宋" w:cs="仿宋"/>
              <w:b/>
              <w:bCs/>
              <w:sz w:val="36"/>
              <w:szCs w:val="36"/>
            </w:rPr>
            <w:fldChar w:fldCharType="end"/>
          </w:r>
        </w:p>
      </w:sdtContent>
    </w:sdt>
    <w:p w14:paraId="7A018EB0">
      <w:pPr>
        <w:rPr>
          <w:rFonts w:ascii="仿宋" w:hAnsi="仿宋" w:eastAsia="仿宋" w:cs="仿宋"/>
          <w:szCs w:val="21"/>
        </w:rPr>
      </w:pPr>
    </w:p>
    <w:p w14:paraId="7AA06457">
      <w:pPr>
        <w:rPr>
          <w:rFonts w:ascii="仿宋" w:hAnsi="仿宋" w:eastAsia="仿宋" w:cs="仿宋"/>
          <w:szCs w:val="21"/>
        </w:rPr>
      </w:pPr>
    </w:p>
    <w:p w14:paraId="181EF92A">
      <w:pPr>
        <w:rPr>
          <w:rFonts w:ascii="仿宋" w:hAnsi="仿宋" w:eastAsia="仿宋" w:cs="仿宋"/>
          <w:szCs w:val="21"/>
        </w:rPr>
      </w:pPr>
    </w:p>
    <w:p w14:paraId="354E0F09">
      <w:pPr>
        <w:rPr>
          <w:rFonts w:ascii="仿宋" w:hAnsi="仿宋" w:eastAsia="仿宋" w:cs="仿宋"/>
          <w:szCs w:val="21"/>
        </w:rPr>
      </w:pPr>
    </w:p>
    <w:p w14:paraId="374CAFC7">
      <w:pPr>
        <w:rPr>
          <w:rFonts w:ascii="仿宋" w:hAnsi="仿宋" w:eastAsia="仿宋" w:cs="仿宋"/>
          <w:sz w:val="28"/>
          <w:szCs w:val="28"/>
        </w:rPr>
      </w:pPr>
    </w:p>
    <w:p w14:paraId="2DA33526">
      <w:pPr>
        <w:rPr>
          <w:rFonts w:ascii="仿宋" w:hAnsi="仿宋" w:eastAsia="仿宋" w:cs="仿宋"/>
          <w:szCs w:val="21"/>
        </w:rPr>
      </w:pPr>
    </w:p>
    <w:p w14:paraId="5E94198E">
      <w:pPr>
        <w:rPr>
          <w:rFonts w:ascii="仿宋" w:hAnsi="仿宋" w:eastAsia="仿宋" w:cs="仿宋"/>
          <w:szCs w:val="21"/>
        </w:rPr>
      </w:pPr>
    </w:p>
    <w:p w14:paraId="3278591C">
      <w:pPr>
        <w:rPr>
          <w:rFonts w:ascii="仿宋" w:hAnsi="仿宋" w:eastAsia="仿宋" w:cs="仿宋"/>
          <w:szCs w:val="21"/>
        </w:rPr>
      </w:pPr>
    </w:p>
    <w:p w14:paraId="4F54FAC4">
      <w:pPr>
        <w:rPr>
          <w:rFonts w:ascii="仿宋" w:hAnsi="仿宋" w:eastAsia="仿宋" w:cs="仿宋"/>
          <w:szCs w:val="21"/>
        </w:rPr>
      </w:pPr>
    </w:p>
    <w:p w14:paraId="204C68CA">
      <w:pPr>
        <w:rPr>
          <w:rFonts w:ascii="仿宋" w:hAnsi="仿宋" w:eastAsia="仿宋" w:cs="仿宋"/>
          <w:szCs w:val="21"/>
        </w:rPr>
      </w:pPr>
    </w:p>
    <w:p w14:paraId="4B990C63">
      <w:pPr>
        <w:rPr>
          <w:rFonts w:ascii="仿宋" w:hAnsi="仿宋" w:eastAsia="仿宋" w:cs="仿宋"/>
          <w:szCs w:val="21"/>
        </w:rPr>
      </w:pPr>
    </w:p>
    <w:p w14:paraId="7565D36B">
      <w:pPr>
        <w:rPr>
          <w:rFonts w:ascii="仿宋" w:hAnsi="仿宋" w:eastAsia="仿宋" w:cs="仿宋"/>
          <w:szCs w:val="21"/>
        </w:rPr>
      </w:pPr>
    </w:p>
    <w:p w14:paraId="5B78F081">
      <w:pPr>
        <w:rPr>
          <w:rFonts w:ascii="仿宋" w:hAnsi="仿宋" w:eastAsia="仿宋" w:cs="仿宋"/>
          <w:szCs w:val="21"/>
        </w:rPr>
      </w:pPr>
    </w:p>
    <w:p w14:paraId="678F7521">
      <w:pPr>
        <w:rPr>
          <w:rFonts w:ascii="仿宋" w:hAnsi="仿宋" w:eastAsia="仿宋" w:cs="仿宋"/>
          <w:szCs w:val="21"/>
        </w:rPr>
      </w:pPr>
    </w:p>
    <w:p w14:paraId="047E789D">
      <w:pPr>
        <w:rPr>
          <w:rFonts w:ascii="仿宋" w:hAnsi="仿宋" w:eastAsia="仿宋" w:cs="仿宋"/>
          <w:szCs w:val="21"/>
        </w:rPr>
      </w:pPr>
    </w:p>
    <w:p w14:paraId="229E1603">
      <w:pPr>
        <w:keepNext/>
        <w:outlineLvl w:val="0"/>
        <w:rPr>
          <w:rFonts w:ascii="仿宋" w:hAnsi="仿宋" w:eastAsia="仿宋" w:cs="仿宋"/>
          <w:sz w:val="44"/>
          <w:szCs w:val="44"/>
        </w:rPr>
      </w:pPr>
      <w:bookmarkStart w:id="18" w:name="_Toc5588"/>
      <w:bookmarkStart w:id="19" w:name="_Toc28664"/>
      <w:bookmarkStart w:id="20" w:name="_Toc31671"/>
    </w:p>
    <w:p w14:paraId="51B77DE7">
      <w:pPr>
        <w:keepNext/>
        <w:jc w:val="center"/>
        <w:outlineLvl w:val="0"/>
        <w:rPr>
          <w:rFonts w:ascii="仿宋" w:hAnsi="仿宋" w:eastAsia="仿宋" w:cs="仿宋"/>
          <w:b/>
          <w:bCs/>
          <w:sz w:val="44"/>
          <w:szCs w:val="44"/>
        </w:rPr>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磋商邀请</w:t>
      </w:r>
      <w:bookmarkEnd w:id="18"/>
      <w:bookmarkEnd w:id="19"/>
      <w:bookmarkEnd w:id="20"/>
    </w:p>
    <w:p w14:paraId="27658EE3">
      <w:pPr>
        <w:ind w:firstLine="480" w:firstLineChars="200"/>
        <w:rPr>
          <w:rFonts w:ascii="仿宋" w:hAnsi="仿宋" w:eastAsia="仿宋" w:cs="仿宋"/>
          <w:sz w:val="24"/>
          <w:szCs w:val="24"/>
        </w:rPr>
      </w:pPr>
      <w:r>
        <w:rPr>
          <w:rFonts w:hint="eastAsia" w:ascii="仿宋" w:hAnsi="仿宋" w:eastAsia="仿宋" w:cs="仿宋"/>
          <w:sz w:val="24"/>
          <w:szCs w:val="24"/>
        </w:rPr>
        <w:t>受如东县掘港高级中学的委托，如东县公共资源交易中心就</w:t>
      </w:r>
      <w:r>
        <w:rPr>
          <w:rFonts w:hint="eastAsia" w:ascii="仿宋" w:hAnsi="仿宋" w:eastAsia="仿宋" w:cs="仿宋"/>
          <w:sz w:val="24"/>
          <w:szCs w:val="24"/>
          <w:u w:val="single"/>
        </w:rPr>
        <w:t>如东县掘港高级中学新建微格教室项目</w:t>
      </w:r>
      <w:r>
        <w:rPr>
          <w:rFonts w:hint="eastAsia" w:ascii="仿宋" w:hAnsi="仿宋" w:eastAsia="仿宋" w:cs="仿宋"/>
          <w:sz w:val="24"/>
          <w:szCs w:val="24"/>
          <w:u w:val="single"/>
          <w:lang w:eastAsia="zh-CN"/>
        </w:rPr>
        <w:t>（第二次）</w:t>
      </w:r>
      <w:r>
        <w:rPr>
          <w:rFonts w:hint="eastAsia" w:ascii="仿宋" w:hAnsi="仿宋" w:eastAsia="仿宋" w:cs="仿宋"/>
          <w:sz w:val="24"/>
          <w:szCs w:val="24"/>
        </w:rPr>
        <w:t>(JSZC-320623-JZCG-C2026-003</w:t>
      </w:r>
      <w:r>
        <w:rPr>
          <w:rFonts w:hint="eastAsia" w:ascii="仿宋" w:hAnsi="仿宋" w:eastAsia="仿宋" w:cs="仿宋"/>
          <w:sz w:val="24"/>
          <w:szCs w:val="24"/>
          <w:lang w:val="en-US" w:eastAsia="zh-CN"/>
        </w:rPr>
        <w:t>3</w:t>
      </w:r>
      <w:r>
        <w:rPr>
          <w:rFonts w:hint="eastAsia" w:ascii="仿宋" w:hAnsi="仿宋" w:eastAsia="仿宋" w:cs="仿宋"/>
          <w:sz w:val="24"/>
          <w:szCs w:val="24"/>
        </w:rPr>
        <w:t>)进行竞争性磋商采购，欢迎符合条件的供应商参加磋商。</w:t>
      </w:r>
    </w:p>
    <w:p w14:paraId="53BAF564">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rPr>
        <w:t>项目概况</w:t>
      </w:r>
    </w:p>
    <w:p w14:paraId="750B62AE">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u w:val="single"/>
        </w:rPr>
        <w:t xml:space="preserve"> 如东县掘港高级中学新建微格教室项目</w:t>
      </w:r>
      <w:r>
        <w:rPr>
          <w:rFonts w:hint="eastAsia" w:ascii="仿宋" w:hAnsi="仿宋" w:eastAsia="仿宋" w:cs="仿宋"/>
          <w:sz w:val="24"/>
          <w:szCs w:val="24"/>
          <w:u w:val="single"/>
          <w:lang w:eastAsia="zh-CN"/>
        </w:rPr>
        <w:t>（第二次）</w:t>
      </w:r>
      <w:r>
        <w:rPr>
          <w:rFonts w:hint="eastAsia" w:ascii="仿宋" w:hAnsi="仿宋" w:eastAsia="仿宋" w:cs="仿宋"/>
          <w:sz w:val="24"/>
          <w:szCs w:val="24"/>
        </w:rPr>
        <w:t>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sz w:val="24"/>
          <w:szCs w:val="24"/>
          <w:u w:val="single"/>
          <w:lang w:val="en-US" w:eastAsia="zh-CN"/>
        </w:rPr>
        <w:t>2026</w:t>
      </w:r>
      <w:r>
        <w:rPr>
          <w:rFonts w:hint="eastAsia" w:ascii="仿宋" w:hAnsi="仿宋" w:eastAsia="仿宋" w:cs="仿宋"/>
          <w:bCs/>
          <w:sz w:val="24"/>
          <w:szCs w:val="24"/>
          <w:u w:val="single"/>
        </w:rPr>
        <w:t>年</w:t>
      </w:r>
      <w:r>
        <w:rPr>
          <w:rFonts w:hint="eastAsia" w:ascii="仿宋" w:hAnsi="仿宋" w:eastAsia="仿宋" w:cs="仿宋"/>
          <w:bCs/>
          <w:sz w:val="24"/>
          <w:szCs w:val="24"/>
          <w:u w:val="single"/>
          <w:lang w:val="en-US" w:eastAsia="zh-CN"/>
        </w:rPr>
        <w:t>9</w:t>
      </w:r>
      <w:r>
        <w:rPr>
          <w:rFonts w:hint="eastAsia" w:ascii="仿宋" w:hAnsi="仿宋" w:eastAsia="仿宋" w:cs="仿宋"/>
          <w:bCs/>
          <w:sz w:val="24"/>
          <w:szCs w:val="24"/>
          <w:u w:val="single"/>
        </w:rPr>
        <w:t>月</w:t>
      </w:r>
      <w:r>
        <w:rPr>
          <w:rFonts w:hint="eastAsia" w:ascii="仿宋" w:hAnsi="仿宋" w:eastAsia="仿宋" w:cs="仿宋"/>
          <w:bCs/>
          <w:sz w:val="24"/>
          <w:szCs w:val="24"/>
          <w:u w:val="single"/>
          <w:lang w:val="en-US" w:eastAsia="zh-CN"/>
        </w:rPr>
        <w:t>14</w:t>
      </w:r>
      <w:r>
        <w:rPr>
          <w:rFonts w:hint="eastAsia" w:ascii="仿宋" w:hAnsi="仿宋" w:eastAsia="仿宋" w:cs="仿宋"/>
          <w:bCs/>
          <w:sz w:val="24"/>
          <w:szCs w:val="24"/>
          <w:u w:val="single"/>
        </w:rPr>
        <w:t>日 8 点30分（</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50390C72">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21" w:name="_Toc28359002"/>
      <w:bookmarkStart w:id="22" w:name="_Toc28359079"/>
      <w:bookmarkStart w:id="23" w:name="_Toc35393621"/>
      <w:bookmarkStart w:id="24" w:name="_Toc35393790"/>
      <w:bookmarkStart w:id="25" w:name="_Toc38985263"/>
      <w:bookmarkStart w:id="26" w:name="_Hlk24379207"/>
      <w:r>
        <w:rPr>
          <w:rFonts w:hint="eastAsia" w:ascii="仿宋" w:hAnsi="仿宋" w:eastAsia="仿宋" w:cs="仿宋"/>
          <w:b/>
          <w:bCs/>
          <w:sz w:val="32"/>
          <w:szCs w:val="32"/>
        </w:rPr>
        <w:t>一、项目基本情况</w:t>
      </w:r>
      <w:bookmarkEnd w:id="21"/>
      <w:bookmarkEnd w:id="22"/>
      <w:bookmarkEnd w:id="23"/>
      <w:bookmarkEnd w:id="24"/>
      <w:bookmarkEnd w:id="25"/>
    </w:p>
    <w:p w14:paraId="2DBBC1FB">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1.项目编号：JSZC-320623-JZCG-C2026-003</w:t>
      </w:r>
      <w:r>
        <w:rPr>
          <w:rFonts w:hint="eastAsia" w:ascii="仿宋" w:hAnsi="仿宋" w:eastAsia="仿宋" w:cs="仿宋"/>
          <w:sz w:val="24"/>
          <w:szCs w:val="24"/>
          <w:lang w:val="en-US" w:eastAsia="zh-CN"/>
        </w:rPr>
        <w:t>3</w:t>
      </w:r>
    </w:p>
    <w:p w14:paraId="4BF15C1B">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2.项目名称：如东县掘港高级中学新建微格教室项目</w:t>
      </w:r>
      <w:r>
        <w:rPr>
          <w:rFonts w:hint="eastAsia" w:ascii="仿宋" w:hAnsi="仿宋" w:eastAsia="仿宋" w:cs="仿宋"/>
          <w:sz w:val="24"/>
          <w:szCs w:val="24"/>
          <w:lang w:eastAsia="zh-CN"/>
        </w:rPr>
        <w:t>（第二次）</w:t>
      </w:r>
    </w:p>
    <w:p w14:paraId="68974E96">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3.采购方式：竞争性磋商</w:t>
      </w:r>
    </w:p>
    <w:p w14:paraId="3394D07C">
      <w:pPr>
        <w:ind w:firstLine="480" w:firstLineChars="200"/>
        <w:rPr>
          <w:rFonts w:ascii="仿宋" w:hAnsi="仿宋" w:eastAsia="仿宋" w:cs="仿宋"/>
          <w:color w:val="000000" w:themeColor="text1"/>
          <w:kern w:val="0"/>
          <w:sz w:val="24"/>
          <w:szCs w:val="24"/>
          <w:highlight w:val="gre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4.项目类型：</w:t>
      </w:r>
      <w:r>
        <w:rPr>
          <w:rFonts w:hint="eastAsia" w:ascii="仿宋" w:hAnsi="仿宋" w:eastAsia="仿宋" w:cs="仿宋"/>
          <w:color w:val="000000" w:themeColor="text1"/>
          <w:kern w:val="0"/>
          <w:sz w:val="24"/>
          <w:szCs w:val="24"/>
          <w14:textFill>
            <w14:solidFill>
              <w14:schemeClr w14:val="tx1"/>
            </w14:solidFill>
          </w14:textFill>
        </w:rPr>
        <w:t>货物</w:t>
      </w:r>
    </w:p>
    <w:p w14:paraId="3AB2CE6B">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5.所属行业：工业</w:t>
      </w:r>
    </w:p>
    <w:bookmarkEnd w:id="26"/>
    <w:p w14:paraId="34CA5330">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6.预算金额：</w:t>
      </w:r>
      <w:r>
        <w:rPr>
          <w:rFonts w:ascii="仿宋" w:hAnsi="仿宋" w:eastAsia="仿宋" w:cs="仿宋"/>
          <w:sz w:val="24"/>
          <w:szCs w:val="24"/>
        </w:rPr>
        <w:t>97</w:t>
      </w:r>
      <w:r>
        <w:rPr>
          <w:rFonts w:hint="eastAsia" w:ascii="仿宋" w:hAnsi="仿宋" w:eastAsia="仿宋" w:cs="仿宋"/>
          <w:sz w:val="24"/>
          <w:szCs w:val="24"/>
        </w:rPr>
        <w:t>万元</w:t>
      </w:r>
    </w:p>
    <w:p w14:paraId="4984BF27">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最高限价（如有）：</w:t>
      </w:r>
      <w:r>
        <w:rPr>
          <w:rFonts w:ascii="仿宋" w:hAnsi="仿宋" w:eastAsia="仿宋" w:cs="仿宋"/>
          <w:sz w:val="24"/>
          <w:szCs w:val="24"/>
        </w:rPr>
        <w:t>97</w:t>
      </w:r>
      <w:r>
        <w:rPr>
          <w:rFonts w:hint="eastAsia" w:ascii="仿宋" w:hAnsi="仿宋" w:eastAsia="仿宋" w:cs="仿宋"/>
          <w:sz w:val="24"/>
          <w:szCs w:val="24"/>
        </w:rPr>
        <w:t>万元</w:t>
      </w:r>
    </w:p>
    <w:p w14:paraId="3FDE3F41">
      <w:pPr>
        <w:ind w:firstLine="480" w:firstLineChars="200"/>
        <w:rPr>
          <w:rFonts w:ascii="仿宋" w:hAnsi="仿宋" w:eastAsia="仿宋" w:cs="仿宋"/>
          <w:sz w:val="24"/>
          <w:szCs w:val="24"/>
          <w:u w:val="single"/>
        </w:rPr>
      </w:pPr>
      <w:r>
        <w:rPr>
          <w:rFonts w:hint="eastAsia" w:ascii="仿宋" w:hAnsi="仿宋" w:eastAsia="仿宋" w:cs="仿宋"/>
          <w:sz w:val="24"/>
          <w:szCs w:val="24"/>
        </w:rPr>
        <w:t>7.采购需求（简介）：新建一间精品录播教室、一间智慧教室，包括用于录播教室和智慧教室正常运行的所有设施设备以及用于课堂教学评价相关软硬件。每间教室配备5</w:t>
      </w:r>
      <w:r>
        <w:rPr>
          <w:rFonts w:ascii="仿宋" w:hAnsi="仿宋" w:eastAsia="仿宋" w:cs="仿宋"/>
          <w:sz w:val="24"/>
          <w:szCs w:val="24"/>
        </w:rPr>
        <w:t>6</w:t>
      </w:r>
      <w:r>
        <w:rPr>
          <w:rFonts w:hint="eastAsia" w:ascii="仿宋" w:hAnsi="仿宋" w:eastAsia="仿宋" w:cs="仿宋"/>
          <w:sz w:val="24"/>
          <w:szCs w:val="24"/>
        </w:rPr>
        <w:t>套学生课桌椅、3</w:t>
      </w:r>
      <w:r>
        <w:rPr>
          <w:rFonts w:ascii="仿宋" w:hAnsi="仿宋" w:eastAsia="仿宋" w:cs="仿宋"/>
          <w:sz w:val="24"/>
          <w:szCs w:val="24"/>
        </w:rPr>
        <w:t>0</w:t>
      </w:r>
      <w:r>
        <w:rPr>
          <w:rFonts w:hint="eastAsia" w:ascii="仿宋" w:hAnsi="仿宋" w:eastAsia="仿宋" w:cs="仿宋"/>
          <w:sz w:val="24"/>
          <w:szCs w:val="24"/>
        </w:rPr>
        <w:t>套教研椅，</w:t>
      </w:r>
      <w:r>
        <w:rPr>
          <w:rFonts w:hint="eastAsia" w:ascii="仿宋" w:hAnsi="仿宋" w:eastAsia="仿宋" w:cs="仿宋"/>
          <w:kern w:val="0"/>
          <w:sz w:val="24"/>
          <w:szCs w:val="24"/>
        </w:rPr>
        <w:t>详细内容见本磋商文件第四章。</w:t>
      </w:r>
    </w:p>
    <w:p w14:paraId="63D9E7FF">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8.合同履行期限：</w:t>
      </w:r>
      <w:r>
        <w:rPr>
          <w:rFonts w:hint="eastAsia" w:ascii="仿宋" w:hAnsi="仿宋" w:eastAsia="仿宋" w:cs="仿宋"/>
          <w:sz w:val="24"/>
          <w:szCs w:val="24"/>
        </w:rPr>
        <w:t>自合同签订之日起30日内完工。</w:t>
      </w:r>
    </w:p>
    <w:p w14:paraId="099515ED">
      <w:p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w:t>
      </w:r>
      <w:bookmarkStart w:id="27" w:name="_Toc28359080"/>
      <w:bookmarkStart w:id="28" w:name="_Toc28359003"/>
      <w:bookmarkStart w:id="29" w:name="_Toc38985264"/>
      <w:bookmarkStart w:id="30" w:name="_Toc35393622"/>
      <w:bookmarkStart w:id="31" w:name="_Toc35393791"/>
      <w:r>
        <w:rPr>
          <w:rFonts w:hint="eastAsia" w:ascii="仿宋" w:hAnsi="仿宋" w:eastAsia="仿宋" w:cs="仿宋"/>
          <w:color w:val="000000" w:themeColor="text1"/>
          <w:sz w:val="24"/>
          <w:szCs w:val="24"/>
          <w14:textFill>
            <w14:solidFill>
              <w14:schemeClr w14:val="tx1"/>
            </w14:solidFill>
          </w14:textFill>
        </w:rPr>
        <w:t>本项目是否接受联合体投标：否。</w:t>
      </w:r>
    </w:p>
    <w:p w14:paraId="0DFA8130">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10.本项目是否接受分包：否。</w:t>
      </w:r>
    </w:p>
    <w:p w14:paraId="1B9BA7D5">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二、申请人的资格要求：</w:t>
      </w:r>
      <w:bookmarkEnd w:id="27"/>
      <w:bookmarkEnd w:id="28"/>
      <w:bookmarkEnd w:id="29"/>
      <w:bookmarkEnd w:id="30"/>
      <w:bookmarkEnd w:id="31"/>
    </w:p>
    <w:p w14:paraId="3638A07A">
      <w:pPr>
        <w:ind w:firstLine="480" w:firstLineChars="200"/>
        <w:rPr>
          <w:rFonts w:ascii="仿宋" w:hAnsi="仿宋" w:eastAsia="仿宋" w:cs="仿宋"/>
          <w:sz w:val="24"/>
          <w:szCs w:val="24"/>
        </w:rPr>
      </w:pPr>
      <w:bookmarkStart w:id="32" w:name="_Toc28359081"/>
      <w:bookmarkStart w:id="33" w:name="_Toc35393623"/>
      <w:bookmarkStart w:id="34" w:name="_Toc35393792"/>
      <w:bookmarkStart w:id="35" w:name="_Toc38985265"/>
      <w:bookmarkStart w:id="36" w:name="_Toc28359004"/>
      <w:r>
        <w:rPr>
          <w:rFonts w:hint="eastAsia" w:ascii="仿宋" w:hAnsi="仿宋" w:eastAsia="仿宋" w:cs="仿宋"/>
          <w:sz w:val="24"/>
          <w:szCs w:val="24"/>
        </w:rPr>
        <w:t>（一）通用资格要求</w:t>
      </w:r>
    </w:p>
    <w:p w14:paraId="51F39A8A">
      <w:pPr>
        <w:ind w:firstLine="480" w:firstLineChars="200"/>
        <w:rPr>
          <w:rFonts w:ascii="仿宋" w:hAnsi="仿宋" w:eastAsia="仿宋" w:cs="仿宋"/>
          <w:b/>
          <w:bCs/>
          <w:color w:val="FF0000"/>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（按附件2格式进行声明，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sz w:val="24"/>
          <w:szCs w:val="24"/>
        </w:rPr>
        <w:t>；</w:t>
      </w:r>
    </w:p>
    <w:p w14:paraId="01BEC99D">
      <w:pPr>
        <w:ind w:firstLine="480" w:firstLineChars="200"/>
        <w:rPr>
          <w:rFonts w:ascii="仿宋" w:hAnsi="仿宋" w:eastAsia="仿宋" w:cs="仿宋"/>
          <w:b/>
          <w:bCs/>
          <w:sz w:val="36"/>
          <w:szCs w:val="36"/>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w:t>
      </w:r>
    </w:p>
    <w:p w14:paraId="7CE42A7C">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3.落实政府采购政策需满足的资格要求：无。</w:t>
      </w:r>
    </w:p>
    <w:p w14:paraId="2FEACD3F">
      <w:pPr>
        <w:adjustRightInd w:val="0"/>
        <w:snapToGrid w:val="0"/>
        <w:spacing w:line="500" w:lineRule="exact"/>
        <w:ind w:firstLine="240" w:firstLineChars="100"/>
        <w:rPr>
          <w:rFonts w:ascii="仿宋" w:hAnsi="仿宋" w:eastAsia="仿宋" w:cs="仿宋"/>
          <w:sz w:val="24"/>
          <w:szCs w:val="24"/>
          <w:highlight w:val="cyan"/>
        </w:rPr>
      </w:pPr>
      <w:r>
        <w:rPr>
          <w:rFonts w:hint="eastAsia" w:ascii="仿宋" w:hAnsi="仿宋" w:eastAsia="仿宋" w:cs="仿宋"/>
          <w:sz w:val="24"/>
          <w:szCs w:val="24"/>
        </w:rPr>
        <w:t>（二）本项目的特定资格要求：无</w:t>
      </w:r>
    </w:p>
    <w:p w14:paraId="1F100D46">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三、获取</w:t>
      </w:r>
      <w:bookmarkEnd w:id="32"/>
      <w:bookmarkEnd w:id="33"/>
      <w:bookmarkEnd w:id="34"/>
      <w:bookmarkEnd w:id="35"/>
      <w:bookmarkEnd w:id="36"/>
      <w:r>
        <w:rPr>
          <w:rFonts w:hint="eastAsia" w:ascii="仿宋" w:hAnsi="仿宋" w:eastAsia="仿宋" w:cs="仿宋"/>
          <w:b/>
          <w:bCs/>
          <w:sz w:val="32"/>
          <w:szCs w:val="32"/>
        </w:rPr>
        <w:t>磋商文件</w:t>
      </w:r>
    </w:p>
    <w:p w14:paraId="5D8202D5">
      <w:pPr>
        <w:spacing w:line="360" w:lineRule="auto"/>
        <w:ind w:firstLine="540"/>
        <w:rPr>
          <w:rFonts w:ascii="仿宋" w:hAnsi="仿宋" w:eastAsia="仿宋" w:cs="仿宋"/>
          <w:sz w:val="24"/>
          <w:szCs w:val="24"/>
        </w:rPr>
      </w:pPr>
      <w:bookmarkStart w:id="37" w:name="_Toc28359082"/>
      <w:bookmarkStart w:id="38" w:name="_Toc28359005"/>
      <w:bookmarkStart w:id="39" w:name="_Toc35393793"/>
      <w:bookmarkStart w:id="40" w:name="_Toc38985266"/>
      <w:bookmarkStart w:id="41" w:name="_Toc35393624"/>
      <w:r>
        <w:rPr>
          <w:rFonts w:hint="eastAsia" w:ascii="仿宋" w:hAnsi="仿宋" w:eastAsia="仿宋" w:cs="仿宋"/>
          <w:sz w:val="24"/>
          <w:szCs w:val="24"/>
        </w:rPr>
        <w:t>1.时间：自本公告发布之日起5个工作日。</w:t>
      </w:r>
    </w:p>
    <w:p w14:paraId="5F792F3E">
      <w:pPr>
        <w:spacing w:line="360" w:lineRule="auto"/>
        <w:ind w:firstLine="540"/>
        <w:rPr>
          <w:rFonts w:ascii="仿宋" w:hAnsi="仿宋" w:eastAsia="仿宋" w:cs="仿宋"/>
          <w:sz w:val="24"/>
          <w:szCs w:val="24"/>
        </w:rPr>
      </w:pPr>
      <w:r>
        <w:rPr>
          <w:rFonts w:hint="eastAsia" w:ascii="仿宋" w:hAnsi="仿宋" w:eastAsia="仿宋" w:cs="仿宋"/>
          <w:sz w:val="24"/>
          <w:szCs w:val="24"/>
        </w:rPr>
        <w:t>2.地点：“江苏政府采购网”</w:t>
      </w:r>
    </w:p>
    <w:p w14:paraId="31C688C9">
      <w:pPr>
        <w:spacing w:line="360" w:lineRule="auto"/>
        <w:ind w:firstLine="540"/>
        <w:rPr>
          <w:rFonts w:ascii="仿宋" w:hAnsi="仿宋" w:eastAsia="仿宋" w:cs="仿宋"/>
          <w:sz w:val="24"/>
          <w:szCs w:val="24"/>
        </w:rPr>
      </w:pPr>
      <w:r>
        <w:rPr>
          <w:rFonts w:hint="eastAsia" w:ascii="仿宋" w:hAnsi="仿宋" w:eastAsia="仿宋" w:cs="仿宋"/>
          <w:sz w:val="24"/>
          <w:szCs w:val="24"/>
        </w:rPr>
        <w:t>3.方式：凡有意参与投标的供应商须登录江苏政府采购网首页点击“苏采云”→通过CA锁进行响应确认，并自行在磋商文件有效获取期内及时下载获取。</w:t>
      </w:r>
    </w:p>
    <w:p w14:paraId="7CBAE6D9">
      <w:pPr>
        <w:spacing w:line="360" w:lineRule="auto"/>
        <w:ind w:firstLine="540"/>
        <w:rPr>
          <w:rFonts w:ascii="仿宋" w:hAnsi="仿宋" w:eastAsia="仿宋" w:cs="仿宋"/>
          <w:sz w:val="24"/>
          <w:szCs w:val="24"/>
        </w:rPr>
      </w:pPr>
      <w:r>
        <w:rPr>
          <w:rFonts w:hint="eastAsia" w:ascii="仿宋" w:hAnsi="仿宋" w:eastAsia="仿宋" w:cs="仿宋"/>
          <w:sz w:val="24"/>
          <w:szCs w:val="24"/>
        </w:rPr>
        <w:t>4.售价：免费</w:t>
      </w:r>
    </w:p>
    <w:p w14:paraId="7D9547A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w:t>
      </w:r>
      <w:bookmarkEnd w:id="37"/>
      <w:bookmarkEnd w:id="38"/>
      <w:bookmarkEnd w:id="39"/>
      <w:bookmarkEnd w:id="40"/>
      <w:bookmarkEnd w:id="41"/>
      <w:r>
        <w:rPr>
          <w:rFonts w:hint="eastAsia" w:ascii="仿宋" w:hAnsi="仿宋" w:eastAsia="仿宋" w:cs="仿宋"/>
          <w:b/>
          <w:bCs/>
          <w:sz w:val="32"/>
          <w:szCs w:val="32"/>
        </w:rPr>
        <w:t>响应文件提交</w:t>
      </w:r>
    </w:p>
    <w:p w14:paraId="39FCB844">
      <w:pPr>
        <w:adjustRightInd w:val="0"/>
        <w:snapToGrid w:val="0"/>
        <w:spacing w:line="500" w:lineRule="exact"/>
        <w:ind w:firstLine="480" w:firstLineChars="200"/>
        <w:rPr>
          <w:rFonts w:ascii="仿宋" w:hAnsi="仿宋" w:eastAsia="仿宋" w:cs="仿宋"/>
          <w:kern w:val="0"/>
          <w:sz w:val="24"/>
          <w:szCs w:val="24"/>
          <w:highlight w:val="cyan"/>
        </w:rPr>
      </w:pPr>
      <w:r>
        <w:rPr>
          <w:rFonts w:hint="eastAsia" w:ascii="仿宋" w:hAnsi="仿宋" w:eastAsia="仿宋" w:cs="仿宋"/>
          <w:bCs/>
          <w:color w:val="000000" w:themeColor="text1"/>
          <w:sz w:val="24"/>
          <w:szCs w:val="24"/>
          <w14:textFill>
            <w14:solidFill>
              <w14:schemeClr w14:val="tx1"/>
            </w14:solidFill>
          </w14:textFill>
        </w:rPr>
        <w:t>1.截止时间：</w:t>
      </w:r>
      <w:r>
        <w:rPr>
          <w:rFonts w:hint="eastAsia" w:ascii="仿宋" w:hAnsi="仿宋" w:eastAsia="仿宋" w:cs="仿宋"/>
          <w:sz w:val="24"/>
          <w:szCs w:val="24"/>
          <w:lang w:val="en-US" w:eastAsia="zh-CN"/>
        </w:rPr>
        <w:t>2026</w:t>
      </w:r>
      <w:r>
        <w:rPr>
          <w:rFonts w:hint="eastAsia" w:ascii="仿宋" w:hAnsi="仿宋" w:eastAsia="仿宋" w:cs="仿宋"/>
          <w:sz w:val="24"/>
          <w:szCs w:val="24"/>
        </w:rPr>
        <w:t>年</w:t>
      </w:r>
      <w:r>
        <w:rPr>
          <w:rFonts w:hint="eastAsia" w:ascii="仿宋" w:hAnsi="仿宋" w:eastAsia="仿宋" w:cs="仿宋"/>
          <w:sz w:val="24"/>
          <w:szCs w:val="24"/>
          <w:lang w:val="en-US" w:eastAsia="zh-CN"/>
        </w:rPr>
        <w:t>9</w:t>
      </w:r>
      <w:r>
        <w:rPr>
          <w:rFonts w:hint="eastAsia" w:ascii="仿宋" w:hAnsi="仿宋" w:eastAsia="仿宋" w:cs="仿宋"/>
          <w:sz w:val="24"/>
          <w:szCs w:val="24"/>
        </w:rPr>
        <w:t>月</w:t>
      </w:r>
      <w:r>
        <w:rPr>
          <w:rFonts w:hint="eastAsia" w:ascii="仿宋" w:hAnsi="仿宋" w:eastAsia="仿宋" w:cs="仿宋"/>
          <w:sz w:val="24"/>
          <w:szCs w:val="24"/>
          <w:lang w:val="en-US" w:eastAsia="zh-CN"/>
        </w:rPr>
        <w:t>14</w:t>
      </w:r>
      <w:r>
        <w:rPr>
          <w:rFonts w:hint="eastAsia" w:ascii="仿宋" w:hAnsi="仿宋" w:eastAsia="仿宋" w:cs="仿宋"/>
          <w:sz w:val="24"/>
          <w:szCs w:val="24"/>
        </w:rPr>
        <w:t>日</w:t>
      </w:r>
      <w:r>
        <w:rPr>
          <w:rFonts w:hint="eastAsia" w:ascii="仿宋" w:hAnsi="仿宋" w:eastAsia="仿宋" w:cs="仿宋"/>
          <w:bCs/>
          <w:sz w:val="24"/>
          <w:szCs w:val="24"/>
          <w:u w:val="single"/>
        </w:rPr>
        <w:t>8</w:t>
      </w:r>
      <w:r>
        <w:rPr>
          <w:rFonts w:hint="eastAsia" w:ascii="仿宋" w:hAnsi="仿宋" w:eastAsia="仿宋" w:cs="仿宋"/>
          <w:bCs/>
          <w:sz w:val="24"/>
          <w:szCs w:val="24"/>
        </w:rPr>
        <w:t>点</w:t>
      </w:r>
      <w:r>
        <w:rPr>
          <w:rFonts w:hint="eastAsia" w:ascii="仿宋" w:hAnsi="仿宋" w:eastAsia="仿宋" w:cs="仿宋"/>
          <w:bCs/>
          <w:sz w:val="24"/>
          <w:szCs w:val="24"/>
          <w:u w:val="single"/>
        </w:rPr>
        <w:t>30</w:t>
      </w:r>
      <w:r>
        <w:rPr>
          <w:rFonts w:hint="eastAsia" w:ascii="仿宋" w:hAnsi="仿宋" w:eastAsia="仿宋" w:cs="仿宋"/>
          <w:bCs/>
          <w:sz w:val="24"/>
          <w:szCs w:val="24"/>
        </w:rPr>
        <w:t>分（北京时间）。</w:t>
      </w:r>
      <w:r>
        <w:rPr>
          <w:rFonts w:hint="eastAsia" w:ascii="仿宋" w:hAnsi="仿宋" w:eastAsia="仿宋" w:cs="仿宋"/>
          <w:bCs/>
          <w:color w:val="000000" w:themeColor="text1"/>
          <w:sz w:val="24"/>
          <w:szCs w:val="24"/>
          <w14:textFill>
            <w14:solidFill>
              <w14:schemeClr w14:val="tx1"/>
            </w14:solidFill>
          </w14:textFill>
        </w:rPr>
        <w:t>逾时，系统将拒绝接受上传响应文件电子文档。</w:t>
      </w:r>
    </w:p>
    <w:p w14:paraId="341CE657">
      <w:pPr>
        <w:adjustRightInd w:val="0"/>
        <w:snapToGrid w:val="0"/>
        <w:spacing w:line="50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2.地点：“苏采云”政府采购一体化平台。</w:t>
      </w:r>
    </w:p>
    <w:p w14:paraId="338A019A">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42" w:name="_Toc28359007"/>
      <w:bookmarkStart w:id="43" w:name="_Toc35393625"/>
      <w:bookmarkStart w:id="44" w:name="_Toc35393794"/>
      <w:bookmarkStart w:id="45" w:name="_Toc28359084"/>
      <w:bookmarkStart w:id="46" w:name="_Toc38985267"/>
      <w:r>
        <w:rPr>
          <w:rFonts w:hint="eastAsia" w:ascii="仿宋" w:hAnsi="仿宋" w:eastAsia="仿宋" w:cs="仿宋"/>
          <w:b/>
          <w:bCs/>
          <w:sz w:val="32"/>
          <w:szCs w:val="32"/>
        </w:rPr>
        <w:t>五、公告期限</w:t>
      </w:r>
      <w:bookmarkEnd w:id="42"/>
      <w:bookmarkEnd w:id="43"/>
      <w:bookmarkEnd w:id="44"/>
      <w:bookmarkEnd w:id="45"/>
      <w:bookmarkEnd w:id="46"/>
    </w:p>
    <w:p w14:paraId="1C138269">
      <w:pPr>
        <w:adjustRightInd w:val="0"/>
        <w:snapToGrid w:val="0"/>
        <w:spacing w:line="500" w:lineRule="exact"/>
        <w:ind w:firstLine="480" w:firstLineChars="200"/>
        <w:rPr>
          <w:rFonts w:ascii="仿宋" w:hAnsi="仿宋" w:eastAsia="仿宋" w:cs="仿宋"/>
          <w:color w:val="000000" w:themeColor="text1"/>
          <w:sz w:val="24"/>
          <w:szCs w:val="24"/>
          <w14:textFill>
            <w14:solidFill>
              <w14:schemeClr w14:val="tx1"/>
            </w14:solidFill>
          </w14:textFill>
        </w:rPr>
      </w:pPr>
      <w:bookmarkStart w:id="47" w:name="_Toc38985268"/>
      <w:bookmarkStart w:id="48" w:name="_Toc35393626"/>
      <w:bookmarkStart w:id="49" w:name="_Toc35393795"/>
      <w:r>
        <w:rPr>
          <w:rFonts w:hint="eastAsia" w:ascii="仿宋" w:hAnsi="仿宋" w:eastAsia="仿宋" w:cs="仿宋"/>
          <w:color w:val="000000" w:themeColor="text1"/>
          <w:sz w:val="24"/>
          <w:szCs w:val="24"/>
          <w14:textFill>
            <w14:solidFill>
              <w14:schemeClr w14:val="tx1"/>
            </w14:solidFill>
          </w14:textFill>
        </w:rPr>
        <w:t>自本公告发布之日起3个工作日。</w:t>
      </w:r>
    </w:p>
    <w:p w14:paraId="0EE7B4B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六、其他补充事宜</w:t>
      </w:r>
      <w:bookmarkEnd w:id="47"/>
      <w:bookmarkEnd w:id="48"/>
      <w:bookmarkEnd w:id="49"/>
    </w:p>
    <w:p w14:paraId="5604C24B">
      <w:pPr>
        <w:spacing w:line="360" w:lineRule="auto"/>
        <w:ind w:firstLine="540"/>
        <w:rPr>
          <w:rFonts w:ascii="仿宋" w:hAnsi="仿宋" w:eastAsia="仿宋" w:cs="仿宋"/>
          <w:sz w:val="24"/>
          <w:szCs w:val="24"/>
        </w:rPr>
      </w:pPr>
      <w:bookmarkStart w:id="50" w:name="_Toc28359085"/>
      <w:bookmarkStart w:id="51" w:name="_Toc38985269"/>
      <w:bookmarkStart w:id="52" w:name="_Toc28359008"/>
      <w:bookmarkStart w:id="53" w:name="_Toc35393627"/>
      <w:bookmarkStart w:id="54" w:name="_Toc35393796"/>
      <w:r>
        <w:rPr>
          <w:rFonts w:hint="eastAsia" w:ascii="仿宋" w:hAnsi="仿宋" w:eastAsia="仿宋" w:cs="仿宋"/>
          <w:sz w:val="24"/>
          <w:szCs w:val="24"/>
        </w:rPr>
        <w:t>1.项目磋商活动模式：不见面远程磋商模式。</w:t>
      </w:r>
    </w:p>
    <w:p w14:paraId="5B90C326">
      <w:pPr>
        <w:spacing w:line="360" w:lineRule="auto"/>
        <w:ind w:firstLine="540"/>
        <w:rPr>
          <w:rFonts w:ascii="仿宋" w:hAnsi="仿宋" w:eastAsia="仿宋" w:cs="仿宋"/>
          <w:sz w:val="24"/>
          <w:szCs w:val="24"/>
        </w:rPr>
      </w:pPr>
      <w:r>
        <w:rPr>
          <w:rFonts w:hint="eastAsia" w:ascii="仿宋" w:hAnsi="仿宋" w:eastAsia="仿宋" w:cs="仿宋"/>
          <w:sz w:val="24"/>
          <w:szCs w:val="24"/>
        </w:rPr>
        <w:t>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p>
    <w:p w14:paraId="44672B8B">
      <w:pPr>
        <w:spacing w:line="360" w:lineRule="auto"/>
        <w:ind w:firstLine="540"/>
        <w:rPr>
          <w:rFonts w:ascii="仿宋" w:hAnsi="仿宋" w:eastAsia="仿宋" w:cs="仿宋"/>
          <w:sz w:val="24"/>
          <w:szCs w:val="24"/>
        </w:rPr>
      </w:pPr>
      <w:r>
        <w:rPr>
          <w:rFonts w:hint="eastAsia" w:ascii="仿宋" w:hAnsi="仿宋" w:eastAsia="仿宋" w:cs="仿宋"/>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2AF81CA">
      <w:pPr>
        <w:spacing w:line="360" w:lineRule="auto"/>
        <w:ind w:firstLine="540"/>
        <w:rPr>
          <w:rFonts w:ascii="仿宋" w:hAnsi="仿宋" w:eastAsia="仿宋" w:cs="仿宋"/>
          <w:sz w:val="24"/>
          <w:szCs w:val="24"/>
        </w:rPr>
      </w:pPr>
      <w:r>
        <w:rPr>
          <w:rFonts w:hint="eastAsia" w:ascii="仿宋" w:hAnsi="仿宋" w:eastAsia="仿宋" w:cs="仿宋"/>
          <w:sz w:val="24"/>
          <w:szCs w:val="24"/>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50"/>
    <w:bookmarkEnd w:id="51"/>
    <w:bookmarkEnd w:id="52"/>
    <w:bookmarkEnd w:id="53"/>
    <w:bookmarkEnd w:id="54"/>
    <w:p w14:paraId="777B5AC9">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55" w:name="_Toc28359010"/>
      <w:bookmarkStart w:id="56" w:name="_Toc28359087"/>
      <w:r>
        <w:rPr>
          <w:rFonts w:hint="eastAsia" w:ascii="仿宋" w:hAnsi="仿宋" w:eastAsia="仿宋" w:cs="仿宋"/>
          <w:b/>
          <w:bCs/>
          <w:sz w:val="32"/>
          <w:szCs w:val="32"/>
        </w:rPr>
        <w:t>七、凡对本次采购提出询问，请按以下方式联系</w:t>
      </w:r>
    </w:p>
    <w:p w14:paraId="4D4C6C82">
      <w:pPr>
        <w:widowControl/>
        <w:jc w:val="left"/>
        <w:rPr>
          <w:rFonts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p>
    <w:p w14:paraId="6553724C">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名 称：</w:t>
      </w:r>
      <w:r>
        <w:rPr>
          <w:rFonts w:hint="eastAsia" w:ascii="仿宋" w:hAnsi="仿宋" w:eastAsia="仿宋" w:cs="仿宋"/>
          <w:sz w:val="24"/>
          <w:szCs w:val="24"/>
          <w:u w:val="single"/>
        </w:rPr>
        <w:t>　如东县掘港高级中学　</w:t>
      </w:r>
    </w:p>
    <w:p w14:paraId="75912246">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地址：</w:t>
      </w:r>
      <w:r>
        <w:rPr>
          <w:rFonts w:hint="eastAsia" w:ascii="仿宋" w:hAnsi="仿宋" w:eastAsia="仿宋" w:cs="仿宋"/>
          <w:sz w:val="24"/>
          <w:szCs w:val="24"/>
          <w:u w:val="single"/>
        </w:rPr>
        <w:t>　江苏省如东县掘港镇东环路168号　</w:t>
      </w:r>
    </w:p>
    <w:p w14:paraId="4966CFB9">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联系人：</w:t>
      </w:r>
      <w:r>
        <w:rPr>
          <w:rFonts w:hint="eastAsia" w:ascii="仿宋" w:hAnsi="仿宋" w:eastAsia="仿宋" w:cs="仿宋"/>
          <w:sz w:val="24"/>
          <w:szCs w:val="24"/>
          <w:u w:val="single"/>
        </w:rPr>
        <w:t xml:space="preserve"> 缪老师          </w:t>
      </w:r>
    </w:p>
    <w:p w14:paraId="096596A8">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联系方式：</w:t>
      </w:r>
      <w:bookmarkStart w:id="57" w:name="_Toc28359009"/>
      <w:bookmarkStart w:id="58" w:name="_Toc28359086"/>
      <w:r>
        <w:rPr>
          <w:rFonts w:hint="eastAsia" w:ascii="仿宋" w:hAnsi="仿宋" w:eastAsia="仿宋" w:cs="仿宋"/>
          <w:sz w:val="24"/>
          <w:szCs w:val="24"/>
          <w:u w:val="single"/>
        </w:rPr>
        <w:t>　13962710652　　　　</w:t>
      </w:r>
    </w:p>
    <w:p w14:paraId="017B8B3B">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2.</w:t>
      </w:r>
      <w:bookmarkEnd w:id="57"/>
      <w:bookmarkEnd w:id="58"/>
      <w:r>
        <w:rPr>
          <w:rFonts w:hint="eastAsia" w:ascii="仿宋" w:hAnsi="仿宋" w:eastAsia="仿宋" w:cs="仿宋"/>
          <w:sz w:val="24"/>
          <w:szCs w:val="24"/>
        </w:rPr>
        <w:t>如东县公共资源交易中心</w:t>
      </w:r>
    </w:p>
    <w:p w14:paraId="1318C4D2">
      <w:pPr>
        <w:spacing w:line="360" w:lineRule="auto"/>
        <w:ind w:firstLine="720" w:firstLineChars="300"/>
        <w:rPr>
          <w:rFonts w:ascii="仿宋" w:hAnsi="仿宋" w:eastAsia="仿宋" w:cs="仿宋"/>
          <w:sz w:val="24"/>
          <w:szCs w:val="24"/>
        </w:rPr>
      </w:pPr>
      <w:r>
        <w:rPr>
          <w:rFonts w:hint="eastAsia" w:ascii="仿宋" w:hAnsi="仿宋" w:eastAsia="仿宋" w:cs="仿宋"/>
          <w:sz w:val="24"/>
          <w:szCs w:val="24"/>
        </w:rPr>
        <w:t>地　址：</w:t>
      </w:r>
      <w:r>
        <w:rPr>
          <w:rFonts w:hint="eastAsia" w:ascii="仿宋" w:hAnsi="仿宋" w:eastAsia="仿宋" w:cs="仿宋"/>
          <w:sz w:val="24"/>
          <w:szCs w:val="24"/>
          <w:u w:val="single"/>
        </w:rPr>
        <w:t>如东县城中街道泰山路东侧建设大厦一楼</w:t>
      </w:r>
    </w:p>
    <w:p w14:paraId="4BB5B927">
      <w:pPr>
        <w:spacing w:line="360" w:lineRule="auto"/>
        <w:ind w:firstLine="720" w:firstLineChars="30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u w:val="single"/>
          <w14:textFill>
            <w14:solidFill>
              <w14:schemeClr w14:val="tx1"/>
            </w14:solidFill>
          </w14:textFill>
        </w:rPr>
        <w:t>见项目联系方式</w:t>
      </w:r>
    </w:p>
    <w:p w14:paraId="6912D88F">
      <w:pPr>
        <w:spacing w:line="360" w:lineRule="auto"/>
        <w:ind w:firstLine="720" w:firstLineChars="3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3.项目联系方式</w:t>
      </w:r>
    </w:p>
    <w:p w14:paraId="227C0F20">
      <w:pPr>
        <w:spacing w:line="360" w:lineRule="auto"/>
        <w:ind w:firstLine="720" w:firstLineChars="30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项目联系人：</w:t>
      </w:r>
      <w:r>
        <w:rPr>
          <w:rFonts w:hint="eastAsia" w:ascii="仿宋" w:hAnsi="仿宋" w:eastAsia="仿宋" w:cs="仿宋"/>
          <w:color w:val="000000" w:themeColor="text1"/>
          <w:sz w:val="24"/>
          <w:szCs w:val="24"/>
          <w:u w:val="single"/>
          <w14:textFill>
            <w14:solidFill>
              <w14:schemeClr w14:val="tx1"/>
            </w14:solidFill>
          </w14:textFill>
        </w:rPr>
        <w:t>杨女士</w:t>
      </w:r>
    </w:p>
    <w:p w14:paraId="114045CC">
      <w:pPr>
        <w:spacing w:line="360" w:lineRule="auto"/>
        <w:ind w:firstLine="638" w:firstLineChars="266"/>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电    话：</w:t>
      </w:r>
      <w:r>
        <w:rPr>
          <w:rFonts w:hint="eastAsia" w:ascii="仿宋" w:hAnsi="仿宋" w:eastAsia="仿宋" w:cs="仿宋"/>
          <w:color w:val="000000" w:themeColor="text1"/>
          <w:sz w:val="24"/>
          <w:szCs w:val="24"/>
          <w:u w:val="single"/>
          <w14:textFill>
            <w14:solidFill>
              <w14:schemeClr w14:val="tx1"/>
            </w14:solidFill>
          </w14:textFill>
        </w:rPr>
        <w:t xml:space="preserve">0513-68508522   </w:t>
      </w:r>
    </w:p>
    <w:p w14:paraId="225B5E8A">
      <w:pPr>
        <w:spacing w:line="360" w:lineRule="auto"/>
        <w:ind w:firstLine="720" w:firstLineChars="3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4.软件维护人员</w:t>
      </w:r>
    </w:p>
    <w:p w14:paraId="6B4699FA">
      <w:pPr>
        <w:spacing w:line="360" w:lineRule="auto"/>
        <w:ind w:firstLine="720" w:firstLineChars="30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u w:val="single"/>
          <w14:textFill>
            <w14:solidFill>
              <w14:schemeClr w14:val="tx1"/>
            </w14:solidFill>
          </w14:textFill>
        </w:rPr>
        <w:t xml:space="preserve">0519-86722801、0519-86722806  </w:t>
      </w:r>
    </w:p>
    <w:bookmarkEnd w:id="55"/>
    <w:bookmarkEnd w:id="56"/>
    <w:p w14:paraId="55794840">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八、其他</w:t>
      </w:r>
    </w:p>
    <w:p w14:paraId="77B21525">
      <w:pPr>
        <w:tabs>
          <w:tab w:val="left" w:pos="900"/>
        </w:tabs>
        <w:spacing w:line="560" w:lineRule="exact"/>
        <w:ind w:firstLine="480" w:firstLineChars="200"/>
        <w:jc w:val="left"/>
        <w:rPr>
          <w:rFonts w:ascii="仿宋" w:hAnsi="仿宋" w:eastAsia="仿宋" w:cs="仿宋"/>
          <w:bCs/>
          <w:sz w:val="24"/>
          <w:szCs w:val="24"/>
        </w:rPr>
      </w:pPr>
      <w:r>
        <w:rPr>
          <w:rFonts w:hint="eastAsia" w:ascii="仿宋" w:hAnsi="仿宋" w:eastAsia="仿宋" w:cs="仿宋"/>
          <w:sz w:val="24"/>
          <w:szCs w:val="21"/>
        </w:rPr>
        <w:t>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“苏采云”政府采购交易系统（以下简称苏采云系统）</w:t>
      </w:r>
      <w:r>
        <w:rPr>
          <w:rFonts w:hint="eastAsia" w:ascii="仿宋" w:hAnsi="仿宋" w:eastAsia="仿宋" w:cs="仿宋"/>
          <w:bCs/>
          <w:sz w:val="24"/>
          <w:szCs w:val="24"/>
        </w:rPr>
        <w:t>的CA数字证书、电子签章已更换为江苏省电子政务证书认证中心C A和方正国际软件（北京）有限公司电子签章。 如果供应商通过</w:t>
      </w:r>
      <w:r>
        <w:rPr>
          <w:rFonts w:hint="eastAsia" w:ascii="仿宋" w:hAnsi="仿宋" w:eastAsia="仿宋" w:cs="仿宋"/>
          <w:sz w:val="24"/>
          <w:szCs w:val="24"/>
        </w:rPr>
        <w:t>苏采云系统</w:t>
      </w:r>
      <w:r>
        <w:rPr>
          <w:rFonts w:hint="eastAsia" w:ascii="仿宋" w:hAnsi="仿宋" w:eastAsia="仿宋" w:cs="仿宋"/>
          <w:bCs/>
          <w:sz w:val="24"/>
          <w:szCs w:val="24"/>
        </w:rPr>
        <w:t>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7D65E808">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6C677348">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2. 有关本次磋商的事项若存在变动或修改，敬请及时关注如东县公共资源交易中心在“江苏政府采购网”发布的更正公告。</w:t>
      </w:r>
    </w:p>
    <w:p w14:paraId="1329D7FA">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3. 本次磋商不收取磋商保证金。</w:t>
      </w:r>
    </w:p>
    <w:p w14:paraId="1201070C">
      <w:pPr>
        <w:snapToGrid w:val="0"/>
        <w:spacing w:before="120" w:after="120"/>
        <w:rPr>
          <w:rFonts w:ascii="仿宋" w:hAnsi="仿宋" w:eastAsia="仿宋" w:cs="仿宋"/>
          <w:color w:val="000000" w:themeColor="text1"/>
          <w:sz w:val="24"/>
          <w:szCs w:val="24"/>
          <w14:textFill>
            <w14:solidFill>
              <w14:schemeClr w14:val="tx1"/>
            </w14:solidFill>
          </w14:textFill>
        </w:rPr>
      </w:pPr>
    </w:p>
    <w:p w14:paraId="4BD45582">
      <w:pPr>
        <w:keepNext/>
        <w:keepLines/>
        <w:spacing w:before="145" w:beforeLines="50" w:after="145" w:afterLines="50" w:line="360" w:lineRule="auto"/>
        <w:jc w:val="center"/>
        <w:outlineLvl w:val="0"/>
        <w:rPr>
          <w:rFonts w:ascii="黑体" w:hAnsi="黑体" w:eastAsia="黑体" w:cs="黑体"/>
          <w:b/>
          <w:bCs/>
          <w:sz w:val="32"/>
          <w:szCs w:val="32"/>
        </w:rPr>
      </w:pPr>
      <w:bookmarkStart w:id="59" w:name="_Toc120614211"/>
      <w:r>
        <w:rPr>
          <w:rFonts w:hint="eastAsia" w:ascii="仿宋" w:hAnsi="仿宋" w:eastAsia="仿宋" w:cs="仿宋"/>
          <w:b/>
          <w:sz w:val="28"/>
          <w:szCs w:val="28"/>
        </w:rPr>
        <w:br w:type="page"/>
      </w:r>
      <w:bookmarkStart w:id="60" w:name="_Toc16207"/>
      <w:bookmarkStart w:id="61" w:name="_Toc5341"/>
      <w:bookmarkStart w:id="62" w:name="_Toc5468"/>
      <w:r>
        <w:rPr>
          <w:rFonts w:hint="eastAsia" w:ascii="仿宋" w:hAnsi="仿宋" w:eastAsia="仿宋" w:cs="仿宋"/>
          <w:b/>
          <w:bCs/>
          <w:sz w:val="44"/>
          <w:szCs w:val="44"/>
        </w:rPr>
        <w:t xml:space="preserve">第二章  </w:t>
      </w:r>
      <w:bookmarkEnd w:id="13"/>
      <w:bookmarkEnd w:id="14"/>
      <w:bookmarkEnd w:id="15"/>
      <w:bookmarkEnd w:id="16"/>
      <w:bookmarkEnd w:id="17"/>
      <w:bookmarkEnd w:id="59"/>
      <w:r>
        <w:rPr>
          <w:rFonts w:hint="eastAsia" w:ascii="仿宋" w:hAnsi="仿宋" w:eastAsia="仿宋" w:cs="仿宋"/>
          <w:b/>
          <w:bCs/>
          <w:sz w:val="44"/>
          <w:szCs w:val="44"/>
        </w:rPr>
        <w:t>供应商须知</w:t>
      </w:r>
      <w:bookmarkEnd w:id="60"/>
      <w:bookmarkEnd w:id="61"/>
      <w:bookmarkEnd w:id="62"/>
    </w:p>
    <w:p w14:paraId="1487FB40">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63" w:name="_Toc513029203"/>
      <w:bookmarkStart w:id="64" w:name="_Toc20823275"/>
      <w:bookmarkStart w:id="65" w:name="_Toc16938519"/>
      <w:bookmarkStart w:id="66" w:name="_Toc120614214"/>
      <w:r>
        <w:rPr>
          <w:rFonts w:hint="eastAsia" w:ascii="仿宋" w:hAnsi="仿宋" w:eastAsia="仿宋" w:cs="仿宋"/>
          <w:b/>
          <w:bCs/>
          <w:sz w:val="32"/>
          <w:szCs w:val="32"/>
        </w:rPr>
        <w:t>一、总则</w:t>
      </w:r>
      <w:bookmarkEnd w:id="63"/>
      <w:bookmarkEnd w:id="64"/>
      <w:bookmarkEnd w:id="65"/>
      <w:bookmarkEnd w:id="66"/>
    </w:p>
    <w:p w14:paraId="67A31CF4">
      <w:pPr>
        <w:spacing w:line="500" w:lineRule="exact"/>
        <w:ind w:left="480"/>
        <w:rPr>
          <w:rFonts w:ascii="仿宋" w:hAnsi="仿宋" w:eastAsia="仿宋" w:cs="仿宋"/>
          <w:b/>
          <w:bCs/>
          <w:sz w:val="28"/>
          <w:szCs w:val="28"/>
        </w:rPr>
      </w:pPr>
      <w:bookmarkStart w:id="67" w:name="_Hlt16619475"/>
      <w:bookmarkEnd w:id="67"/>
      <w:bookmarkStart w:id="68" w:name="_Toc458694821"/>
      <w:bookmarkStart w:id="69" w:name="_Toc16938520"/>
      <w:bookmarkStart w:id="70" w:name="_Toc20823276"/>
      <w:bookmarkStart w:id="71" w:name="_Toc513029204"/>
      <w:r>
        <w:rPr>
          <w:rFonts w:hint="eastAsia" w:ascii="仿宋" w:hAnsi="仿宋" w:eastAsia="仿宋" w:cs="仿宋"/>
          <w:b/>
          <w:bCs/>
          <w:sz w:val="28"/>
          <w:szCs w:val="28"/>
        </w:rPr>
        <w:t>1</w:t>
      </w:r>
      <w:bookmarkEnd w:id="68"/>
      <w:r>
        <w:rPr>
          <w:rFonts w:hint="eastAsia" w:ascii="仿宋" w:hAnsi="仿宋" w:eastAsia="仿宋" w:cs="仿宋"/>
          <w:b/>
          <w:bCs/>
          <w:sz w:val="28"/>
          <w:szCs w:val="28"/>
        </w:rPr>
        <w:t>、采购方式</w:t>
      </w:r>
      <w:bookmarkEnd w:id="69"/>
      <w:bookmarkEnd w:id="70"/>
      <w:bookmarkEnd w:id="71"/>
    </w:p>
    <w:p w14:paraId="3D41C56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1.1 本次政府采购活动采取竞争性磋商(以下简称磋商)方式，本磋商文件仅适用于磋商公告中所述项目。</w:t>
      </w:r>
    </w:p>
    <w:p w14:paraId="77C8EE93">
      <w:pPr>
        <w:keepNext/>
        <w:keepLines/>
        <w:ind w:firstLine="422" w:firstLineChars="150"/>
        <w:outlineLvl w:val="3"/>
        <w:rPr>
          <w:rFonts w:ascii="仿宋" w:hAnsi="仿宋" w:eastAsia="仿宋" w:cs="仿宋"/>
          <w:b/>
          <w:bCs/>
          <w:sz w:val="28"/>
          <w:szCs w:val="28"/>
        </w:rPr>
      </w:pPr>
      <w:bookmarkStart w:id="72" w:name="_Toc20823277"/>
      <w:bookmarkStart w:id="73" w:name="_Toc513029205"/>
      <w:bookmarkStart w:id="74" w:name="_Toc16938521"/>
      <w:r>
        <w:rPr>
          <w:rFonts w:hint="eastAsia" w:ascii="仿宋" w:hAnsi="仿宋" w:eastAsia="仿宋" w:cs="仿宋"/>
          <w:b/>
          <w:bCs/>
          <w:sz w:val="28"/>
          <w:szCs w:val="28"/>
        </w:rPr>
        <w:t>2、合格的</w:t>
      </w:r>
      <w:bookmarkEnd w:id="72"/>
      <w:bookmarkEnd w:id="73"/>
      <w:bookmarkEnd w:id="74"/>
      <w:r>
        <w:rPr>
          <w:rFonts w:hint="eastAsia" w:ascii="仿宋" w:hAnsi="仿宋" w:eastAsia="仿宋" w:cs="仿宋"/>
          <w:b/>
          <w:bCs/>
          <w:sz w:val="28"/>
          <w:szCs w:val="28"/>
        </w:rPr>
        <w:t>供应商</w:t>
      </w:r>
    </w:p>
    <w:p w14:paraId="699894BE">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2.1满足磋商公告中供应商资格要求的规定。</w:t>
      </w:r>
    </w:p>
    <w:p w14:paraId="30DC2973">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2.2 满足本磋商文件实质性要求的规定。</w:t>
      </w:r>
    </w:p>
    <w:p w14:paraId="1E29E9B4">
      <w:pPr>
        <w:keepNext/>
        <w:keepLines/>
        <w:ind w:firstLine="422" w:firstLineChars="150"/>
        <w:outlineLvl w:val="3"/>
        <w:rPr>
          <w:rFonts w:ascii="仿宋" w:hAnsi="仿宋" w:eastAsia="仿宋" w:cs="仿宋"/>
          <w:b/>
          <w:bCs/>
          <w:sz w:val="28"/>
          <w:szCs w:val="28"/>
        </w:rPr>
      </w:pPr>
      <w:bookmarkStart w:id="75" w:name="_Toc16938522"/>
      <w:bookmarkStart w:id="76" w:name="_Toc20823278"/>
      <w:bookmarkStart w:id="77" w:name="_Toc513029206"/>
      <w:r>
        <w:rPr>
          <w:rFonts w:hint="eastAsia" w:ascii="仿宋" w:hAnsi="仿宋" w:eastAsia="仿宋" w:cs="仿宋"/>
          <w:b/>
          <w:bCs/>
          <w:sz w:val="28"/>
          <w:szCs w:val="28"/>
        </w:rPr>
        <w:t>3、适用法律</w:t>
      </w:r>
      <w:bookmarkEnd w:id="75"/>
      <w:bookmarkEnd w:id="76"/>
      <w:bookmarkEnd w:id="77"/>
      <w:r>
        <w:rPr>
          <w:rFonts w:hint="eastAsia" w:ascii="仿宋" w:hAnsi="仿宋" w:eastAsia="仿宋" w:cs="仿宋"/>
          <w:b/>
          <w:bCs/>
          <w:sz w:val="28"/>
          <w:szCs w:val="28"/>
        </w:rPr>
        <w:t>和标准</w:t>
      </w:r>
    </w:p>
    <w:p w14:paraId="2B2BE1B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3.1 本次招标及由此产生的合同受中华人民共和国有关的法律法规制约和保护。</w:t>
      </w:r>
    </w:p>
    <w:p w14:paraId="273B455F">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rPr>
        <w:t>3.2 在本项目政府采购活动过程中，如果所执行的标准有更新的，按照最新标准执行。</w:t>
      </w:r>
    </w:p>
    <w:p w14:paraId="32F4C770">
      <w:pPr>
        <w:keepNext/>
        <w:keepLines/>
        <w:ind w:firstLine="422" w:firstLineChars="150"/>
        <w:outlineLvl w:val="3"/>
        <w:rPr>
          <w:rFonts w:ascii="仿宋" w:hAnsi="仿宋" w:eastAsia="仿宋" w:cs="仿宋"/>
          <w:b/>
          <w:bCs/>
          <w:sz w:val="28"/>
          <w:szCs w:val="28"/>
        </w:rPr>
      </w:pPr>
      <w:bookmarkStart w:id="78" w:name="_Toc462564067"/>
      <w:bookmarkStart w:id="79" w:name="_Toc513029207"/>
      <w:bookmarkStart w:id="80" w:name="_Toc20823279"/>
      <w:bookmarkStart w:id="81" w:name="_Toc16938523"/>
      <w:r>
        <w:rPr>
          <w:rFonts w:hint="eastAsia" w:ascii="仿宋" w:hAnsi="仿宋" w:eastAsia="仿宋" w:cs="仿宋"/>
          <w:b/>
          <w:bCs/>
          <w:sz w:val="28"/>
          <w:szCs w:val="28"/>
        </w:rPr>
        <w:t>4、磋商费用</w:t>
      </w:r>
      <w:bookmarkEnd w:id="78"/>
      <w:bookmarkEnd w:id="79"/>
      <w:bookmarkEnd w:id="80"/>
      <w:bookmarkEnd w:id="81"/>
    </w:p>
    <w:p w14:paraId="06410C2C">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4.1</w:t>
      </w:r>
      <w:r>
        <w:rPr>
          <w:rFonts w:hint="eastAsia" w:ascii="仿宋" w:hAnsi="仿宋" w:eastAsia="仿宋" w:cs="仿宋"/>
          <w:sz w:val="24"/>
          <w:szCs w:val="21"/>
        </w:rPr>
        <w:t>供应商应自行承担所有与参加本次磋商有关的费用，无论磋商过程中的做法和结果如何，如东县公共资源交易中心（以下简称交易中心）在任何情况下均无义务和责任承担这些费用。</w:t>
      </w:r>
    </w:p>
    <w:p w14:paraId="271A29A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4.2本次磋商交易中心和采购人不收取标书工本费与成交服务费。</w:t>
      </w:r>
    </w:p>
    <w:p w14:paraId="4C78630F">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5、磋商文件的约束力</w:t>
      </w:r>
    </w:p>
    <w:p w14:paraId="33DC28A5">
      <w:pPr>
        <w:spacing w:line="480" w:lineRule="exact"/>
        <w:ind w:firstLine="480" w:firstLineChars="200"/>
        <w:rPr>
          <w:rFonts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供应商一旦参加本项目采购活动，即被认为接受了本磋商文件的规定和约束。</w:t>
      </w:r>
    </w:p>
    <w:p w14:paraId="39270EA1">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82" w:name="_Toc120614215"/>
      <w:bookmarkStart w:id="83" w:name="_Toc16938525"/>
      <w:bookmarkStart w:id="84" w:name="_Toc513029209"/>
      <w:bookmarkStart w:id="85" w:name="_Toc20823281"/>
      <w:r>
        <w:rPr>
          <w:rFonts w:hint="eastAsia" w:ascii="仿宋" w:hAnsi="仿宋" w:eastAsia="仿宋" w:cs="仿宋"/>
          <w:b/>
          <w:bCs/>
          <w:sz w:val="32"/>
          <w:szCs w:val="32"/>
        </w:rPr>
        <w:t>二、</w:t>
      </w:r>
      <w:bookmarkEnd w:id="82"/>
      <w:bookmarkEnd w:id="83"/>
      <w:bookmarkEnd w:id="84"/>
      <w:bookmarkEnd w:id="85"/>
      <w:r>
        <w:rPr>
          <w:rFonts w:hint="eastAsia" w:ascii="仿宋" w:hAnsi="仿宋" w:eastAsia="仿宋" w:cs="仿宋"/>
          <w:b/>
          <w:bCs/>
          <w:sz w:val="32"/>
          <w:szCs w:val="32"/>
        </w:rPr>
        <w:t>磋商文件</w:t>
      </w:r>
    </w:p>
    <w:p w14:paraId="3E119AB7">
      <w:pPr>
        <w:keepNext/>
        <w:keepLines/>
        <w:ind w:firstLine="422" w:firstLineChars="150"/>
        <w:outlineLvl w:val="3"/>
        <w:rPr>
          <w:rFonts w:ascii="仿宋" w:hAnsi="仿宋" w:eastAsia="仿宋" w:cs="仿宋"/>
          <w:b/>
          <w:bCs/>
          <w:sz w:val="28"/>
          <w:szCs w:val="28"/>
        </w:rPr>
      </w:pPr>
      <w:bookmarkStart w:id="86" w:name="_Toc16938526"/>
      <w:bookmarkStart w:id="87" w:name="_Toc20823282"/>
      <w:bookmarkStart w:id="88" w:name="_Toc513029210"/>
      <w:r>
        <w:rPr>
          <w:rFonts w:hint="eastAsia" w:ascii="仿宋" w:hAnsi="仿宋" w:eastAsia="仿宋" w:cs="仿宋"/>
          <w:b/>
          <w:bCs/>
          <w:sz w:val="28"/>
          <w:szCs w:val="28"/>
        </w:rPr>
        <w:t>6、磋商文件构成</w:t>
      </w:r>
      <w:bookmarkEnd w:id="86"/>
      <w:bookmarkEnd w:id="87"/>
      <w:bookmarkEnd w:id="88"/>
    </w:p>
    <w:p w14:paraId="4B3B5D2A">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rPr>
        <w:t>磋商文件由以下部分组成：</w:t>
      </w:r>
    </w:p>
    <w:p w14:paraId="0F2F11AA">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（1）磋商邀请</w:t>
      </w:r>
    </w:p>
    <w:p w14:paraId="56051F98">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（2）供应商须知</w:t>
      </w:r>
    </w:p>
    <w:p w14:paraId="55D08180">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（3）合同文本</w:t>
      </w:r>
    </w:p>
    <w:p w14:paraId="51EAD7F7">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（4）采购需求</w:t>
      </w:r>
    </w:p>
    <w:p w14:paraId="7E915F20">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（5）评审方法与评审标准</w:t>
      </w:r>
    </w:p>
    <w:p w14:paraId="647C9D72">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（6）响应文件格式</w:t>
      </w:r>
    </w:p>
    <w:p w14:paraId="19A69A1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请仔细检查磋商文件是否齐全，如有缺漏请立即与交易中心联系解决。</w:t>
      </w:r>
    </w:p>
    <w:p w14:paraId="4BCA4077">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878437E">
      <w:pPr>
        <w:keepNext/>
        <w:keepLines/>
        <w:ind w:firstLine="422" w:firstLineChars="150"/>
        <w:outlineLvl w:val="3"/>
        <w:rPr>
          <w:rFonts w:ascii="仿宋" w:hAnsi="仿宋" w:eastAsia="仿宋" w:cs="仿宋"/>
          <w:b/>
          <w:bCs/>
          <w:sz w:val="28"/>
          <w:szCs w:val="28"/>
        </w:rPr>
      </w:pPr>
      <w:bookmarkStart w:id="89" w:name="_Toc16938527"/>
      <w:bookmarkStart w:id="90" w:name="_Toc513029211"/>
      <w:bookmarkStart w:id="91" w:name="_Toc462564070"/>
      <w:bookmarkStart w:id="92" w:name="_Toc20823283"/>
      <w:r>
        <w:rPr>
          <w:rFonts w:hint="eastAsia" w:ascii="仿宋" w:hAnsi="仿宋" w:eastAsia="仿宋" w:cs="仿宋"/>
          <w:b/>
          <w:bCs/>
          <w:sz w:val="28"/>
          <w:szCs w:val="28"/>
        </w:rPr>
        <w:t>7、磋商文件的澄清</w:t>
      </w:r>
      <w:bookmarkEnd w:id="89"/>
      <w:bookmarkEnd w:id="90"/>
      <w:bookmarkEnd w:id="91"/>
      <w:bookmarkEnd w:id="92"/>
    </w:p>
    <w:p w14:paraId="55DCA3AD">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7.1 任何要求对磋商文件进行澄清的供应商，应在磋商截止期5日前按磋商公告中的通讯地址，以书面形式通知采购人。采购人有权对发出的磋商文件进行必要的澄清或修改。</w:t>
      </w:r>
    </w:p>
    <w:p w14:paraId="5D835DD6">
      <w:pPr>
        <w:keepNext/>
        <w:keepLines/>
        <w:ind w:firstLine="422" w:firstLineChars="150"/>
        <w:outlineLvl w:val="3"/>
        <w:rPr>
          <w:rFonts w:ascii="仿宋" w:hAnsi="仿宋" w:eastAsia="仿宋" w:cs="仿宋"/>
          <w:b/>
          <w:bCs/>
          <w:sz w:val="28"/>
          <w:szCs w:val="28"/>
        </w:rPr>
      </w:pPr>
      <w:bookmarkStart w:id="93" w:name="_Toc20823284"/>
      <w:bookmarkStart w:id="94" w:name="_Toc16938528"/>
      <w:bookmarkStart w:id="95" w:name="_Toc462564071"/>
      <w:bookmarkStart w:id="96" w:name="_Toc513029212"/>
      <w:r>
        <w:rPr>
          <w:rFonts w:hint="eastAsia" w:ascii="仿宋" w:hAnsi="仿宋" w:eastAsia="仿宋" w:cs="仿宋"/>
          <w:b/>
          <w:bCs/>
          <w:sz w:val="28"/>
          <w:szCs w:val="28"/>
        </w:rPr>
        <w:t>8、磋商文件的澄清和修改</w:t>
      </w:r>
      <w:bookmarkEnd w:id="93"/>
      <w:bookmarkEnd w:id="94"/>
      <w:bookmarkEnd w:id="95"/>
      <w:bookmarkEnd w:id="96"/>
    </w:p>
    <w:p w14:paraId="31A24728">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p>
    <w:p w14:paraId="7F1C8AB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8.2采购人可以视采购项目的具体情况，组织供应商进行现场考察或召开磋商前答疑会，但不单独或分别组织只有一个供应商参加的现场考察和答疑会。</w:t>
      </w:r>
    </w:p>
    <w:p w14:paraId="2616C357">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97" w:name="_Toc513029213"/>
      <w:bookmarkStart w:id="98" w:name="_Toc120614216"/>
      <w:bookmarkStart w:id="99" w:name="_Toc20823285"/>
      <w:bookmarkStart w:id="100" w:name="_Toc462564072"/>
      <w:bookmarkStart w:id="101" w:name="_Toc16938529"/>
      <w:r>
        <w:rPr>
          <w:rFonts w:hint="eastAsia" w:ascii="仿宋" w:hAnsi="仿宋" w:eastAsia="仿宋" w:cs="仿宋"/>
          <w:b/>
          <w:bCs/>
          <w:sz w:val="32"/>
          <w:szCs w:val="32"/>
        </w:rPr>
        <w:t>三、响应文件的编制</w:t>
      </w:r>
      <w:bookmarkEnd w:id="97"/>
      <w:bookmarkEnd w:id="98"/>
      <w:bookmarkEnd w:id="99"/>
      <w:bookmarkEnd w:id="100"/>
      <w:bookmarkEnd w:id="101"/>
    </w:p>
    <w:p w14:paraId="6274297C">
      <w:pPr>
        <w:keepNext/>
        <w:keepLines/>
        <w:ind w:firstLine="422" w:firstLineChars="150"/>
        <w:outlineLvl w:val="3"/>
        <w:rPr>
          <w:rFonts w:ascii="仿宋" w:hAnsi="仿宋" w:eastAsia="仿宋" w:cs="仿宋"/>
          <w:b/>
          <w:bCs/>
          <w:sz w:val="28"/>
          <w:szCs w:val="28"/>
        </w:rPr>
      </w:pPr>
      <w:bookmarkStart w:id="102" w:name="_Toc16938530"/>
      <w:bookmarkStart w:id="103" w:name="_Toc513029214"/>
      <w:bookmarkStart w:id="104" w:name="_Toc462564073"/>
      <w:bookmarkStart w:id="105" w:name="_Toc20823286"/>
      <w:r>
        <w:rPr>
          <w:rFonts w:hint="eastAsia" w:ascii="仿宋" w:hAnsi="仿宋" w:eastAsia="仿宋" w:cs="仿宋"/>
          <w:b/>
          <w:bCs/>
          <w:sz w:val="28"/>
          <w:szCs w:val="28"/>
        </w:rPr>
        <w:t>9、响应文件的语言及度量衡单位</w:t>
      </w:r>
      <w:bookmarkEnd w:id="102"/>
      <w:bookmarkEnd w:id="103"/>
      <w:bookmarkEnd w:id="104"/>
      <w:bookmarkEnd w:id="105"/>
    </w:p>
    <w:p w14:paraId="41C73B5F">
      <w:pPr>
        <w:spacing w:line="500" w:lineRule="exact"/>
        <w:ind w:firstLine="480" w:firstLineChars="200"/>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供应商提交的响应文件以及供应商与交易中心及采购人就有关磋商的所有来往通知、函件和文件均应使用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67A20049">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7E8CE4F6">
      <w:pPr>
        <w:keepNext/>
        <w:keepLines/>
        <w:ind w:firstLine="422" w:firstLineChars="150"/>
        <w:outlineLvl w:val="3"/>
        <w:rPr>
          <w:rFonts w:ascii="仿宋" w:hAnsi="仿宋" w:eastAsia="仿宋" w:cs="仿宋"/>
          <w:b/>
          <w:bCs/>
          <w:sz w:val="28"/>
          <w:szCs w:val="28"/>
        </w:rPr>
      </w:pPr>
      <w:bookmarkStart w:id="106" w:name="_Toc513029215"/>
      <w:bookmarkStart w:id="107" w:name="_Toc20823287"/>
      <w:bookmarkStart w:id="108" w:name="_Toc462564074"/>
      <w:bookmarkStart w:id="109" w:name="_Toc16938531"/>
      <w:r>
        <w:rPr>
          <w:rFonts w:hint="eastAsia" w:ascii="仿宋" w:hAnsi="仿宋" w:eastAsia="仿宋" w:cs="仿宋"/>
          <w:b/>
          <w:bCs/>
          <w:sz w:val="28"/>
          <w:szCs w:val="28"/>
        </w:rPr>
        <w:t>10、响应文件构成</w:t>
      </w:r>
      <w:bookmarkEnd w:id="106"/>
      <w:bookmarkEnd w:id="107"/>
      <w:bookmarkEnd w:id="108"/>
      <w:bookmarkEnd w:id="109"/>
    </w:p>
    <w:p w14:paraId="08016EBB">
      <w:pPr>
        <w:pStyle w:val="3"/>
        <w:ind w:firstLine="480" w:firstLineChars="200"/>
        <w:rPr>
          <w:rFonts w:ascii="仿宋" w:hAnsi="仿宋" w:eastAsia="仿宋" w:cs="仿宋"/>
          <w:sz w:val="24"/>
          <w:szCs w:val="21"/>
        </w:rPr>
      </w:pPr>
      <w:r>
        <w:rPr>
          <w:rFonts w:hint="eastAsia" w:ascii="仿宋" w:hAnsi="仿宋" w:eastAsia="仿宋" w:cs="仿宋"/>
          <w:bCs/>
          <w:sz w:val="24"/>
          <w:szCs w:val="21"/>
        </w:rPr>
        <w:t>10.1供应商编写的响应文件应包括资格证明文件、实质性要求响应及偏离表、分项报价表、技术要</w:t>
      </w:r>
      <w:r>
        <w:rPr>
          <w:rFonts w:hint="eastAsia" w:ascii="仿宋" w:hAnsi="仿宋" w:eastAsia="仿宋" w:cs="仿宋"/>
          <w:sz w:val="24"/>
          <w:szCs w:val="21"/>
        </w:rPr>
        <w:t>求响应及偏离表、商务要求响应及偏离表、其他证明文件、磋商响应函等部分。供应商按“第六章  响应文件格式”要求编写响应文件。</w:t>
      </w:r>
    </w:p>
    <w:p w14:paraId="470A955B">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10.2 如标书制作工具中格式和内容与“江苏政府采购网”发布的磋商文件不一致，请以“江苏政府采购网”发布的磋商文件为准。</w:t>
      </w:r>
    </w:p>
    <w:p w14:paraId="4EF39B18">
      <w:pPr>
        <w:keepNext/>
        <w:keepLines/>
        <w:spacing w:line="500" w:lineRule="exact"/>
        <w:ind w:firstLine="422" w:firstLineChars="150"/>
        <w:outlineLvl w:val="3"/>
        <w:rPr>
          <w:rFonts w:ascii="仿宋" w:hAnsi="仿宋" w:eastAsia="仿宋" w:cs="仿宋"/>
          <w:b/>
          <w:bCs/>
          <w:sz w:val="28"/>
          <w:szCs w:val="28"/>
        </w:rPr>
      </w:pPr>
      <w:bookmarkStart w:id="110" w:name="_Hlt26668975"/>
      <w:bookmarkEnd w:id="110"/>
      <w:bookmarkStart w:id="111" w:name="_Hlt26954838"/>
      <w:bookmarkEnd w:id="111"/>
      <w:bookmarkStart w:id="112" w:name="_Hlt26670360"/>
      <w:bookmarkEnd w:id="112"/>
      <w:bookmarkStart w:id="113" w:name="_Toc14577357"/>
      <w:bookmarkStart w:id="114" w:name="_Toc49090509"/>
      <w:bookmarkStart w:id="115" w:name="_Toc513029219"/>
      <w:bookmarkStart w:id="116" w:name="_Toc513029216"/>
      <w:bookmarkStart w:id="117" w:name="_Toc49090507"/>
      <w:bookmarkStart w:id="118" w:name="_Toc14577354"/>
      <w:bookmarkStart w:id="119" w:name="_Toc49090508"/>
      <w:bookmarkStart w:id="120" w:name="_Toc14577355"/>
      <w:r>
        <w:rPr>
          <w:rFonts w:hint="eastAsia" w:ascii="仿宋" w:hAnsi="仿宋" w:eastAsia="仿宋" w:cs="仿宋"/>
          <w:b/>
          <w:bCs/>
          <w:sz w:val="28"/>
          <w:szCs w:val="28"/>
        </w:rPr>
        <w:t>11、证明磋商响应标的符合磋商文件规定的文件</w:t>
      </w:r>
      <w:bookmarkEnd w:id="113"/>
      <w:bookmarkEnd w:id="114"/>
      <w:bookmarkEnd w:id="115"/>
    </w:p>
    <w:bookmarkEnd w:id="116"/>
    <w:bookmarkEnd w:id="117"/>
    <w:bookmarkEnd w:id="118"/>
    <w:p w14:paraId="33F4479E">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p>
    <w:p w14:paraId="3C01DFD4">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p>
    <w:bookmarkEnd w:id="119"/>
    <w:bookmarkEnd w:id="120"/>
    <w:p w14:paraId="04E6AA6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12、分项报价表</w:t>
      </w:r>
    </w:p>
    <w:p w14:paraId="4635AFF9">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供应商应按照磋商文件规定格式填报分项报价表。</w:t>
      </w:r>
    </w:p>
    <w:p w14:paraId="57CC9B82">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rPr>
        <w:t>磋商货币。响应文件中的单价和总价无特殊规定的采用人民币报价，以元为单位标注。</w:t>
      </w:r>
      <w:r>
        <w:rPr>
          <w:rFonts w:hint="eastAsia" w:ascii="仿宋" w:hAnsi="仿宋" w:eastAsia="仿宋" w:cs="仿宋"/>
          <w:sz w:val="24"/>
          <w:szCs w:val="21"/>
        </w:rPr>
        <w:t>磋商文件中另有规定的按规定执行。</w:t>
      </w:r>
    </w:p>
    <w:p w14:paraId="37D4E884">
      <w:pPr>
        <w:keepNext/>
        <w:keepLines/>
        <w:spacing w:line="500" w:lineRule="exact"/>
        <w:ind w:firstLine="422" w:firstLineChars="150"/>
        <w:outlineLvl w:val="3"/>
        <w:rPr>
          <w:rFonts w:ascii="仿宋" w:hAnsi="仿宋" w:eastAsia="仿宋" w:cs="仿宋"/>
          <w:b/>
          <w:bCs/>
          <w:sz w:val="28"/>
          <w:szCs w:val="28"/>
        </w:rPr>
      </w:pPr>
      <w:bookmarkStart w:id="121" w:name="_Hlt26954731"/>
      <w:bookmarkEnd w:id="121"/>
      <w:bookmarkStart w:id="122" w:name="_Hlt26670486"/>
      <w:bookmarkEnd w:id="122"/>
      <w:bookmarkStart w:id="123" w:name="_Hlt26954848"/>
      <w:bookmarkEnd w:id="123"/>
      <w:bookmarkStart w:id="124" w:name="_Hlt26954846"/>
      <w:bookmarkEnd w:id="124"/>
      <w:bookmarkStart w:id="125" w:name="_Hlt26670482"/>
      <w:bookmarkEnd w:id="125"/>
      <w:r>
        <w:rPr>
          <w:rFonts w:hint="eastAsia" w:ascii="仿宋" w:hAnsi="仿宋" w:eastAsia="仿宋" w:cs="仿宋"/>
          <w:b/>
          <w:bCs/>
          <w:sz w:val="28"/>
          <w:szCs w:val="28"/>
        </w:rPr>
        <w:t>13、技术要求响应及偏离表、商务要求响应及偏离表</w:t>
      </w:r>
    </w:p>
    <w:p w14:paraId="2ACF0450">
      <w:pPr>
        <w:spacing w:line="500" w:lineRule="exact"/>
        <w:ind w:firstLine="480" w:firstLineChars="200"/>
        <w:rPr>
          <w:rFonts w:ascii="仿宋" w:hAnsi="仿宋" w:eastAsia="仿宋" w:cs="仿宋"/>
          <w:color w:val="FF0000"/>
          <w:highlight w:val="yellow"/>
        </w:rPr>
      </w:pPr>
      <w:r>
        <w:rPr>
          <w:rFonts w:hint="eastAsia" w:ascii="仿宋" w:hAnsi="仿宋" w:eastAsia="仿宋" w:cs="仿宋"/>
          <w:sz w:val="24"/>
          <w:szCs w:val="21"/>
          <w:lang w:val="zh-CN"/>
        </w:rPr>
        <w:t>13.1</w:t>
      </w:r>
      <w:r>
        <w:rPr>
          <w:rFonts w:hint="eastAsia" w:ascii="仿宋" w:hAnsi="仿宋" w:eastAsia="仿宋" w:cs="仿宋"/>
          <w:sz w:val="24"/>
          <w:szCs w:val="21"/>
        </w:rPr>
        <w:t>供应商须</w:t>
      </w:r>
      <w:r>
        <w:rPr>
          <w:rFonts w:hint="eastAsia" w:ascii="仿宋" w:hAnsi="仿宋" w:eastAsia="仿宋" w:cs="仿宋"/>
          <w:sz w:val="24"/>
          <w:szCs w:val="21"/>
          <w:lang w:val="zh-CN"/>
        </w:rPr>
        <w:t>对磋商文件中的技术要求与商务要求作出响应，</w:t>
      </w:r>
      <w:r>
        <w:rPr>
          <w:rFonts w:hint="eastAsia" w:ascii="仿宋" w:hAnsi="仿宋" w:eastAsia="仿宋" w:cs="仿宋"/>
          <w:sz w:val="24"/>
          <w:szCs w:val="21"/>
        </w:rPr>
        <w:t>如有偏离的，应逐条填列在偏离表中，</w:t>
      </w:r>
      <w:r>
        <w:rPr>
          <w:rFonts w:hint="eastAsia" w:ascii="仿宋" w:hAnsi="仿宋" w:eastAsia="仿宋" w:cs="仿宋"/>
          <w:sz w:val="24"/>
          <w:szCs w:val="24"/>
        </w:rPr>
        <w:t>并说明偏离情况。</w:t>
      </w:r>
    </w:p>
    <w:p w14:paraId="49E363F4">
      <w:pPr>
        <w:autoSpaceDE w:val="0"/>
        <w:autoSpaceDN w:val="0"/>
        <w:adjustRightInd w:val="0"/>
        <w:spacing w:line="500" w:lineRule="exact"/>
        <w:ind w:firstLine="480"/>
        <w:rPr>
          <w:rFonts w:ascii="仿宋" w:hAnsi="仿宋" w:eastAsia="仿宋" w:cs="仿宋"/>
          <w:sz w:val="24"/>
          <w:szCs w:val="24"/>
          <w:lang w:val="zh-CN"/>
        </w:rPr>
      </w:pPr>
      <w:r>
        <w:rPr>
          <w:rFonts w:hint="eastAsia" w:ascii="仿宋" w:hAnsi="仿宋" w:eastAsia="仿宋" w:cs="仿宋"/>
          <w:sz w:val="24"/>
          <w:szCs w:val="21"/>
          <w:lang w:val="zh-CN"/>
        </w:rPr>
        <w:t>13.2供应</w:t>
      </w:r>
      <w:r>
        <w:rPr>
          <w:rFonts w:hint="eastAsia" w:ascii="仿宋" w:hAnsi="仿宋" w:eastAsia="仿宋" w:cs="仿宋"/>
          <w:sz w:val="24"/>
          <w:szCs w:val="24"/>
          <w:lang w:val="zh-CN"/>
        </w:rPr>
        <w:t>商</w:t>
      </w:r>
      <w:r>
        <w:rPr>
          <w:rFonts w:hint="eastAsia" w:ascii="仿宋" w:hAnsi="仿宋" w:eastAsia="仿宋" w:cs="仿宋"/>
          <w:sz w:val="24"/>
          <w:szCs w:val="24"/>
        </w:rPr>
        <w:t>须</w:t>
      </w:r>
      <w:r>
        <w:rPr>
          <w:rFonts w:hint="eastAsia" w:ascii="仿宋" w:hAnsi="仿宋" w:eastAsia="仿宋" w:cs="仿宋"/>
          <w:sz w:val="24"/>
          <w:szCs w:val="24"/>
          <w:lang w:val="zh-CN"/>
        </w:rPr>
        <w:t>按照磋商文件要求，在响应文件中提供与技术要求和商务要求相关的证明材料。</w:t>
      </w:r>
    </w:p>
    <w:p w14:paraId="03D8B4D0">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14、服务承诺、培训计划、人员安排及其他</w:t>
      </w:r>
    </w:p>
    <w:p w14:paraId="352BF762">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14.1供应商须根据磋商文件要求提供有关售后服务的管理制度，售后服务机构的分布情况，售后服务人员的数量、素质、技术水平及售后服务的反应能力等。</w:t>
      </w:r>
    </w:p>
    <w:p w14:paraId="3A2C9B0C">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14.2供应商须根据磋商文件要求提供培训计划。</w:t>
      </w:r>
    </w:p>
    <w:p w14:paraId="7ABAD70E">
      <w:pPr>
        <w:spacing w:line="480" w:lineRule="exact"/>
        <w:ind w:firstLine="480"/>
        <w:rPr>
          <w:rFonts w:ascii="仿宋" w:hAnsi="仿宋" w:eastAsia="仿宋" w:cs="仿宋"/>
          <w:sz w:val="24"/>
          <w:szCs w:val="24"/>
        </w:rPr>
      </w:pPr>
      <w:r>
        <w:rPr>
          <w:rFonts w:hint="eastAsia" w:ascii="仿宋" w:hAnsi="仿宋" w:eastAsia="仿宋" w:cs="仿宋"/>
          <w:bCs/>
          <w:sz w:val="24"/>
          <w:szCs w:val="24"/>
        </w:rPr>
        <w:t>14.3供应商须根据磋</w:t>
      </w:r>
      <w:r>
        <w:rPr>
          <w:rFonts w:hint="eastAsia" w:ascii="仿宋" w:hAnsi="仿宋" w:eastAsia="仿宋" w:cs="仿宋"/>
          <w:sz w:val="24"/>
          <w:szCs w:val="24"/>
        </w:rPr>
        <w:t>商文件要求提供</w:t>
      </w:r>
      <w:r>
        <w:rPr>
          <w:rFonts w:hint="eastAsia" w:ascii="仿宋" w:hAnsi="仿宋" w:eastAsia="仿宋" w:cs="仿宋"/>
          <w:sz w:val="24"/>
          <w:szCs w:val="21"/>
          <w:lang w:val="zh-CN"/>
        </w:rPr>
        <w:t>磋商响应标的的主要组成部分、功能设计、实现思路及关键技术等。</w:t>
      </w:r>
    </w:p>
    <w:p w14:paraId="5C991354">
      <w:pPr>
        <w:keepNext/>
        <w:keepLines/>
        <w:spacing w:line="500" w:lineRule="exact"/>
        <w:ind w:firstLine="422" w:firstLineChars="150"/>
        <w:outlineLvl w:val="3"/>
        <w:rPr>
          <w:rFonts w:ascii="仿宋" w:hAnsi="仿宋" w:eastAsia="仿宋" w:cs="仿宋"/>
          <w:b/>
          <w:bCs/>
          <w:sz w:val="28"/>
          <w:szCs w:val="28"/>
        </w:rPr>
      </w:pPr>
      <w:bookmarkStart w:id="126" w:name="_Toc49090510"/>
      <w:bookmarkStart w:id="127" w:name="_Toc14577359"/>
      <w:r>
        <w:rPr>
          <w:rFonts w:hint="eastAsia" w:ascii="仿宋" w:hAnsi="仿宋" w:eastAsia="仿宋" w:cs="仿宋"/>
          <w:b/>
          <w:bCs/>
          <w:sz w:val="28"/>
          <w:szCs w:val="28"/>
        </w:rPr>
        <w:t>15、磋商响应函</w:t>
      </w:r>
    </w:p>
    <w:p w14:paraId="60BAA901">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供应商应按照磋商文件中提供的格式完整、正确填写磋商响应函。</w:t>
      </w:r>
    </w:p>
    <w:bookmarkEnd w:id="126"/>
    <w:bookmarkEnd w:id="127"/>
    <w:p w14:paraId="44B447B4">
      <w:pPr>
        <w:keepNext/>
        <w:keepLines/>
        <w:spacing w:line="500" w:lineRule="exact"/>
        <w:ind w:firstLine="422" w:firstLineChars="150"/>
        <w:outlineLvl w:val="3"/>
        <w:rPr>
          <w:rFonts w:ascii="仿宋" w:hAnsi="仿宋" w:eastAsia="仿宋" w:cs="仿宋"/>
          <w:b/>
          <w:bCs/>
          <w:sz w:val="28"/>
          <w:szCs w:val="28"/>
        </w:rPr>
      </w:pPr>
      <w:bookmarkStart w:id="128" w:name="_Toc14577360"/>
      <w:bookmarkStart w:id="129" w:name="_Toc49090511"/>
      <w:r>
        <w:rPr>
          <w:rFonts w:hint="eastAsia" w:ascii="仿宋" w:hAnsi="仿宋" w:eastAsia="仿宋" w:cs="仿宋"/>
          <w:b/>
          <w:bCs/>
          <w:sz w:val="28"/>
          <w:szCs w:val="28"/>
        </w:rPr>
        <w:t>16、磋商有效期</w:t>
      </w:r>
      <w:bookmarkEnd w:id="128"/>
      <w:bookmarkEnd w:id="129"/>
    </w:p>
    <w:p w14:paraId="47486553">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16.1磋商有效期为交易中心规定的提交响应文件截止之日后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089B7230">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17、磋商有效期的延长</w:t>
      </w:r>
    </w:p>
    <w:p w14:paraId="4B48C52F">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受磋商有效期约束的所有权利与义务均延长至新的有效期</w:t>
      </w:r>
      <w:r>
        <w:rPr>
          <w:rFonts w:hint="eastAsia" w:ascii="仿宋" w:hAnsi="仿宋" w:eastAsia="仿宋" w:cs="仿宋"/>
          <w:bCs/>
          <w:sz w:val="24"/>
          <w:szCs w:val="21"/>
        </w:rPr>
        <w:t>。</w:t>
      </w:r>
    </w:p>
    <w:p w14:paraId="26DBCFF2">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30" w:name="_Hlt26954852"/>
      <w:bookmarkEnd w:id="130"/>
      <w:bookmarkStart w:id="131" w:name="_Hlt26954739"/>
      <w:bookmarkEnd w:id="131"/>
      <w:bookmarkStart w:id="132" w:name="_Toc20823296"/>
      <w:bookmarkStart w:id="133" w:name="_Toc120614217"/>
      <w:bookmarkStart w:id="134" w:name="_Toc513029224"/>
      <w:bookmarkStart w:id="135" w:name="_Toc16938540"/>
      <w:r>
        <w:rPr>
          <w:rFonts w:hint="eastAsia" w:ascii="仿宋" w:hAnsi="仿宋" w:eastAsia="仿宋" w:cs="仿宋"/>
          <w:b/>
          <w:bCs/>
          <w:sz w:val="32"/>
          <w:szCs w:val="32"/>
        </w:rPr>
        <w:t>四、响应文件的递交</w:t>
      </w:r>
      <w:bookmarkEnd w:id="132"/>
      <w:bookmarkEnd w:id="133"/>
      <w:bookmarkEnd w:id="134"/>
      <w:bookmarkEnd w:id="135"/>
    </w:p>
    <w:p w14:paraId="7F5F23EA">
      <w:pPr>
        <w:keepNext/>
        <w:keepLines/>
        <w:spacing w:line="500" w:lineRule="exact"/>
        <w:ind w:firstLine="422" w:firstLineChars="150"/>
        <w:outlineLvl w:val="3"/>
        <w:rPr>
          <w:rFonts w:ascii="仿宋" w:hAnsi="仿宋" w:eastAsia="仿宋" w:cs="仿宋"/>
          <w:b/>
          <w:bCs/>
          <w:sz w:val="28"/>
          <w:szCs w:val="28"/>
        </w:rPr>
      </w:pPr>
      <w:bookmarkStart w:id="136" w:name="_Toc16938541"/>
      <w:bookmarkStart w:id="137" w:name="_Toc462564084"/>
      <w:bookmarkStart w:id="138" w:name="_Toc513029225"/>
      <w:bookmarkStart w:id="139" w:name="_Toc20823297"/>
      <w:r>
        <w:rPr>
          <w:rFonts w:hint="eastAsia" w:ascii="仿宋" w:hAnsi="仿宋" w:eastAsia="仿宋" w:cs="仿宋"/>
          <w:b/>
          <w:bCs/>
          <w:sz w:val="28"/>
          <w:szCs w:val="28"/>
        </w:rPr>
        <w:t>18、电子磋商</w:t>
      </w:r>
      <w:bookmarkEnd w:id="136"/>
      <w:bookmarkEnd w:id="137"/>
      <w:bookmarkEnd w:id="138"/>
      <w:bookmarkEnd w:id="139"/>
      <w:r>
        <w:rPr>
          <w:rFonts w:hint="eastAsia" w:ascii="仿宋" w:hAnsi="仿宋" w:eastAsia="仿宋" w:cs="仿宋"/>
          <w:b/>
          <w:bCs/>
          <w:sz w:val="28"/>
          <w:szCs w:val="28"/>
        </w:rPr>
        <w:t>响应文件的递交</w:t>
      </w:r>
    </w:p>
    <w:p w14:paraId="02699521">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18.1供应商应当按照《操作指南》规定，在提交响应文件截止时间前制作并上传电子响应文件。</w:t>
      </w:r>
      <w:bookmarkStart w:id="140" w:name="_Toc513029226"/>
      <w:bookmarkStart w:id="141" w:name="_Toc20823298"/>
      <w:bookmarkStart w:id="142" w:name="_Toc16938542"/>
    </w:p>
    <w:p w14:paraId="06A6F40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19、提交响应文件截止时间</w:t>
      </w:r>
      <w:bookmarkEnd w:id="140"/>
      <w:bookmarkEnd w:id="141"/>
      <w:bookmarkEnd w:id="142"/>
    </w:p>
    <w:p w14:paraId="7D1C403E">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供应商上传电子响应文件的时间不得迟于磋商公告中规定的提交响应文件截止时间。</w:t>
      </w:r>
    </w:p>
    <w:p w14:paraId="30D70E8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供应商应充分考虑到网络环境、网络带宽等风险因素，如因供应商自身原因造成的电子响应文件上传不成功的按照本磋商文件第二章第26.8.2条规定做无效响应处理。</w:t>
      </w:r>
    </w:p>
    <w:p w14:paraId="5AC609BB">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p>
    <w:p w14:paraId="44102028">
      <w:pPr>
        <w:keepNext/>
        <w:keepLines/>
        <w:spacing w:line="500" w:lineRule="exact"/>
        <w:ind w:firstLine="422" w:firstLineChars="150"/>
        <w:outlineLvl w:val="3"/>
        <w:rPr>
          <w:rFonts w:ascii="仿宋" w:hAnsi="仿宋" w:eastAsia="仿宋" w:cs="仿宋"/>
          <w:b/>
          <w:bCs/>
          <w:sz w:val="28"/>
          <w:szCs w:val="28"/>
        </w:rPr>
      </w:pPr>
      <w:bookmarkStart w:id="143" w:name="_Toc513029227"/>
      <w:bookmarkStart w:id="144" w:name="_Toc16938543"/>
      <w:bookmarkStart w:id="145" w:name="_Toc20823299"/>
      <w:r>
        <w:rPr>
          <w:rFonts w:hint="eastAsia" w:ascii="仿宋" w:hAnsi="仿宋" w:eastAsia="仿宋" w:cs="仿宋"/>
          <w:b/>
          <w:bCs/>
          <w:sz w:val="28"/>
          <w:szCs w:val="28"/>
        </w:rPr>
        <w:t>20、响应文件</w:t>
      </w:r>
      <w:bookmarkEnd w:id="143"/>
      <w:bookmarkEnd w:id="144"/>
      <w:bookmarkEnd w:id="145"/>
      <w:r>
        <w:rPr>
          <w:rFonts w:hint="eastAsia" w:ascii="仿宋" w:hAnsi="仿宋" w:eastAsia="仿宋" w:cs="仿宋"/>
          <w:b/>
          <w:bCs/>
          <w:sz w:val="28"/>
          <w:szCs w:val="28"/>
        </w:rPr>
        <w:t>的拒收</w:t>
      </w:r>
    </w:p>
    <w:p w14:paraId="7E1C2E24">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20.1 交易中心拒绝接收在其规定的提交响应文件截止时间后上传的任何电子响应文件。</w:t>
      </w:r>
    </w:p>
    <w:p w14:paraId="1154F6BF">
      <w:pPr>
        <w:keepNext/>
        <w:keepLines/>
        <w:spacing w:line="500" w:lineRule="exact"/>
        <w:ind w:firstLine="422" w:firstLineChars="150"/>
        <w:outlineLvl w:val="3"/>
        <w:rPr>
          <w:rFonts w:ascii="仿宋" w:hAnsi="仿宋" w:eastAsia="仿宋" w:cs="仿宋"/>
          <w:b/>
          <w:bCs/>
          <w:sz w:val="28"/>
          <w:szCs w:val="28"/>
        </w:rPr>
      </w:pPr>
      <w:bookmarkStart w:id="146" w:name="_Toc16938544"/>
      <w:bookmarkStart w:id="147" w:name="_Toc20823300"/>
      <w:bookmarkStart w:id="148" w:name="_Toc513029228"/>
      <w:r>
        <w:rPr>
          <w:rFonts w:hint="eastAsia" w:ascii="仿宋" w:hAnsi="仿宋" w:eastAsia="仿宋" w:cs="仿宋"/>
          <w:b/>
          <w:bCs/>
          <w:sz w:val="28"/>
          <w:szCs w:val="28"/>
        </w:rPr>
        <w:t>21、响应文件的撤回和修改</w:t>
      </w:r>
      <w:bookmarkEnd w:id="146"/>
      <w:bookmarkEnd w:id="147"/>
      <w:bookmarkEnd w:id="148"/>
    </w:p>
    <w:p w14:paraId="0B151B0D">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21.1响应文件的撤回</w:t>
      </w:r>
    </w:p>
    <w:p w14:paraId="631839D6">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21.1.1 电子响应文件的撤回</w:t>
      </w:r>
    </w:p>
    <w:p w14:paraId="76128780">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截止时间前，撤回其电子响应文件，具体操作方法见《操作指南》。</w:t>
      </w:r>
    </w:p>
    <w:p w14:paraId="6D6853C7">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21.1.2供应商撤回电子响应文件，则认为其不再参与本项目磋商活动。</w:t>
      </w:r>
    </w:p>
    <w:p w14:paraId="1B3E9D02">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21.2响应文件的修改</w:t>
      </w:r>
    </w:p>
    <w:p w14:paraId="2EA6FC8E">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截止时间前，对其电子响应文件进行修改，具体操作方法见《操作指南》。</w:t>
      </w:r>
    </w:p>
    <w:p w14:paraId="0625A0E8">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21.3</w:t>
      </w:r>
      <w:r>
        <w:rPr>
          <w:rFonts w:hint="eastAsia" w:ascii="仿宋" w:hAnsi="仿宋" w:eastAsia="仿宋" w:cs="仿宋"/>
          <w:bCs/>
          <w:sz w:val="24"/>
          <w:szCs w:val="21"/>
        </w:rPr>
        <w:t xml:space="preserve"> 在提交响应文件截止时间之后，供应商不得对其电子响应文件作任何修改。</w:t>
      </w:r>
    </w:p>
    <w:p w14:paraId="16F66809">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p>
    <w:p w14:paraId="789AB191">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49" w:name="_Toc20823301"/>
      <w:bookmarkStart w:id="150" w:name="_Toc16938545"/>
      <w:bookmarkStart w:id="151" w:name="_Toc120614218"/>
      <w:bookmarkStart w:id="152" w:name="_Toc513029229"/>
      <w:r>
        <w:rPr>
          <w:rFonts w:hint="eastAsia" w:ascii="仿宋" w:hAnsi="仿宋" w:eastAsia="仿宋" w:cs="仿宋"/>
          <w:b/>
          <w:bCs/>
          <w:sz w:val="32"/>
          <w:szCs w:val="32"/>
        </w:rPr>
        <w:t>五、响应文件的解密与评审</w:t>
      </w:r>
      <w:bookmarkEnd w:id="149"/>
      <w:bookmarkEnd w:id="150"/>
      <w:bookmarkEnd w:id="151"/>
      <w:bookmarkEnd w:id="152"/>
    </w:p>
    <w:p w14:paraId="535625F8">
      <w:pPr>
        <w:keepNext/>
        <w:keepLines/>
        <w:spacing w:line="500" w:lineRule="exact"/>
        <w:ind w:firstLine="422" w:firstLineChars="150"/>
        <w:outlineLvl w:val="3"/>
        <w:rPr>
          <w:rFonts w:ascii="仿宋" w:hAnsi="仿宋" w:eastAsia="仿宋" w:cs="仿宋"/>
          <w:b/>
          <w:bCs/>
          <w:sz w:val="28"/>
          <w:szCs w:val="28"/>
        </w:rPr>
      </w:pPr>
      <w:bookmarkStart w:id="153" w:name="_Toc513029230"/>
      <w:bookmarkStart w:id="154" w:name="_Toc16938546"/>
      <w:bookmarkStart w:id="155" w:name="_Toc20823302"/>
      <w:r>
        <w:rPr>
          <w:rFonts w:hint="eastAsia" w:ascii="仿宋" w:hAnsi="仿宋" w:eastAsia="仿宋" w:cs="仿宋"/>
          <w:b/>
          <w:bCs/>
          <w:sz w:val="28"/>
          <w:szCs w:val="28"/>
        </w:rPr>
        <w:t>22、</w:t>
      </w:r>
      <w:bookmarkEnd w:id="153"/>
      <w:bookmarkEnd w:id="154"/>
      <w:bookmarkEnd w:id="155"/>
      <w:r>
        <w:rPr>
          <w:rFonts w:hint="eastAsia" w:ascii="仿宋" w:hAnsi="仿宋" w:eastAsia="仿宋" w:cs="仿宋"/>
          <w:b/>
          <w:bCs/>
          <w:sz w:val="28"/>
          <w:szCs w:val="28"/>
        </w:rPr>
        <w:t>响应文件解密</w:t>
      </w:r>
    </w:p>
    <w:p w14:paraId="3A7E053E">
      <w:pPr>
        <w:spacing w:line="500" w:lineRule="exact"/>
        <w:ind w:firstLine="360" w:firstLineChars="150"/>
        <w:rPr>
          <w:rFonts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供应商应当按照《操作指南》规定，在苏采云系统规定的时间内对磋商响应文件进行解密。</w:t>
      </w:r>
    </w:p>
    <w:p w14:paraId="14AC089E">
      <w:pPr>
        <w:keepNext/>
        <w:keepLines/>
        <w:spacing w:line="500" w:lineRule="exact"/>
        <w:ind w:firstLine="422" w:firstLineChars="150"/>
        <w:outlineLvl w:val="3"/>
        <w:rPr>
          <w:rFonts w:ascii="仿宋" w:hAnsi="仿宋" w:eastAsia="仿宋" w:cs="仿宋"/>
          <w:b/>
          <w:bCs/>
          <w:sz w:val="28"/>
          <w:szCs w:val="28"/>
        </w:rPr>
      </w:pPr>
      <w:bookmarkStart w:id="156" w:name="_Toc16938547"/>
      <w:bookmarkStart w:id="157" w:name="_Toc513029231"/>
      <w:bookmarkStart w:id="158" w:name="_Toc20823303"/>
      <w:r>
        <w:rPr>
          <w:rFonts w:hint="eastAsia" w:ascii="仿宋" w:hAnsi="仿宋" w:eastAsia="仿宋" w:cs="仿宋"/>
          <w:b/>
          <w:bCs/>
          <w:sz w:val="28"/>
          <w:szCs w:val="28"/>
        </w:rPr>
        <w:t>23、磋商小组</w:t>
      </w:r>
    </w:p>
    <w:p w14:paraId="408FD53D">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p>
    <w:p w14:paraId="557CDC5A">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p>
    <w:p w14:paraId="0AF3AE2B">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24、评审过程的保密与公正</w:t>
      </w:r>
    </w:p>
    <w:bookmarkEnd w:id="156"/>
    <w:bookmarkEnd w:id="157"/>
    <w:bookmarkEnd w:id="158"/>
    <w:p w14:paraId="525210C1">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rPr>
        <w:t>磋商小组、采购人和交易中心工作人员、相关监督人员等与评审工作有关的人员，对评审情况以及在评审过程中获悉的国家秘密、商业秘密负有保密责任。</w:t>
      </w:r>
    </w:p>
    <w:p w14:paraId="08DD843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在评审过程中，供应商不得以任何行为影响磋商评审过程，否则其响应文件将被作为无效响应文件。</w:t>
      </w:r>
    </w:p>
    <w:p w14:paraId="75DC538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在项目评审期间，交易中心将设专门人员与供应商联系。</w:t>
      </w:r>
    </w:p>
    <w:p w14:paraId="43AD9F6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24.4 交易中心和磋商小组不向未成交的供应商解释未成交原因，也不公布评审过程中的相关细节。</w:t>
      </w:r>
    </w:p>
    <w:p w14:paraId="6C0F27A4">
      <w:pPr>
        <w:keepNext/>
        <w:keepLines/>
        <w:spacing w:line="500" w:lineRule="exact"/>
        <w:ind w:firstLine="422" w:firstLineChars="150"/>
        <w:outlineLvl w:val="3"/>
        <w:rPr>
          <w:rFonts w:ascii="仿宋" w:hAnsi="仿宋" w:eastAsia="仿宋" w:cs="仿宋"/>
          <w:b/>
          <w:bCs/>
          <w:sz w:val="28"/>
          <w:szCs w:val="28"/>
        </w:rPr>
      </w:pPr>
      <w:bookmarkStart w:id="159" w:name="_Toc20823304"/>
      <w:bookmarkStart w:id="160" w:name="_Toc16938548"/>
      <w:bookmarkStart w:id="161" w:name="_Toc513029232"/>
      <w:r>
        <w:rPr>
          <w:rFonts w:hint="eastAsia" w:ascii="仿宋" w:hAnsi="仿宋" w:eastAsia="仿宋" w:cs="仿宋"/>
          <w:b/>
          <w:bCs/>
          <w:sz w:val="28"/>
          <w:szCs w:val="28"/>
        </w:rPr>
        <w:t>25、评审过程中的澄清</w:t>
      </w:r>
      <w:bookmarkEnd w:id="159"/>
      <w:bookmarkEnd w:id="160"/>
      <w:bookmarkEnd w:id="161"/>
    </w:p>
    <w:p w14:paraId="2F652DE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CF2D9B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磋商小组并非对每个供应商都作澄清要求。</w:t>
      </w:r>
    </w:p>
    <w:p w14:paraId="3D923F1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0BE6FE9B">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p>
    <w:p w14:paraId="2074726E">
      <w:pPr>
        <w:keepNext/>
        <w:keepLines/>
        <w:spacing w:line="500" w:lineRule="exact"/>
        <w:ind w:firstLine="422" w:firstLineChars="150"/>
        <w:outlineLvl w:val="3"/>
        <w:rPr>
          <w:rFonts w:ascii="仿宋" w:hAnsi="仿宋" w:eastAsia="仿宋" w:cs="仿宋"/>
          <w:b/>
          <w:bCs/>
          <w:sz w:val="28"/>
          <w:szCs w:val="28"/>
        </w:rPr>
      </w:pPr>
      <w:bookmarkStart w:id="162" w:name="_Toc513029233"/>
      <w:bookmarkStart w:id="163" w:name="_Toc20823305"/>
      <w:bookmarkStart w:id="164" w:name="_Toc16938549"/>
      <w:r>
        <w:rPr>
          <w:rFonts w:hint="eastAsia" w:ascii="仿宋" w:hAnsi="仿宋" w:eastAsia="仿宋" w:cs="仿宋"/>
          <w:b/>
          <w:bCs/>
          <w:sz w:val="28"/>
          <w:szCs w:val="28"/>
        </w:rPr>
        <w:t>26、对响应文件的审</w:t>
      </w:r>
      <w:bookmarkEnd w:id="162"/>
      <w:bookmarkEnd w:id="163"/>
      <w:bookmarkEnd w:id="164"/>
      <w:r>
        <w:rPr>
          <w:rFonts w:hint="eastAsia" w:ascii="仿宋" w:hAnsi="仿宋" w:eastAsia="仿宋" w:cs="仿宋"/>
          <w:b/>
          <w:bCs/>
          <w:sz w:val="28"/>
          <w:szCs w:val="28"/>
        </w:rPr>
        <w:t>查</w:t>
      </w:r>
    </w:p>
    <w:p w14:paraId="57C0956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26.1</w:t>
      </w:r>
      <w:r>
        <w:rPr>
          <w:rFonts w:hint="eastAsia" w:ascii="仿宋" w:hAnsi="仿宋" w:eastAsia="仿宋" w:cs="仿宋"/>
          <w:bCs/>
          <w:sz w:val="24"/>
          <w:szCs w:val="21"/>
        </w:rPr>
        <w:t>响应文件审查分为资格审查和符合性审查。</w:t>
      </w:r>
    </w:p>
    <w:p w14:paraId="2B78DC2A">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26.1.1 资格审查：由磋商小组依据法律法规和磋商文件的规定，对响应文件中的资格证明文件进行审查，以确定供应商是否具备参加磋商的资格。</w:t>
      </w:r>
    </w:p>
    <w:p w14:paraId="6AE5090D">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磋商小组在进行资格审查的同时，将在“信用中国”网站（www.creditchina.gov.cn）查询供应商的信用记录，以确定供应商是否具备磋商资格,查询结果留存并归档。</w:t>
      </w:r>
    </w:p>
    <w:p w14:paraId="7399461B">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46CDD994">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26.1.2 符合性审查：依据磋商文件的规定，由磋商小组从响应文件的有效性、完整性和对磋商文件的响应程度进行审查，以确定是否对磋商文件的实质性要求作出响应。</w:t>
      </w:r>
    </w:p>
    <w:p w14:paraId="39F5E438">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023F1FF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17D226B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D9AB0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26.3如果响应文件实质上没有响应磋商文件的要求，磋商小组将按无效响应处理，供应商不得通过修改或撤销不合要求的偏离或保留而使其成为实质性响应的文件。</w:t>
      </w:r>
    </w:p>
    <w:p w14:paraId="63661C4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26.4磋商小组将对确定为实质性响应的文件进行进一步审核，看其是否有计算上或累加上的算术错误，修正错误的原则如下：</w:t>
      </w:r>
    </w:p>
    <w:p w14:paraId="5F90F09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（1）响应文件中磋商报价表内容与响应文件中相应内容不一致的，以磋商报价表为准。</w:t>
      </w:r>
    </w:p>
    <w:p w14:paraId="2871B0C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5C711D4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（3）单价金额小数点或者百分比有明显错位的，以磋商报价表的总价为准，并修改单价。</w:t>
      </w:r>
    </w:p>
    <w:p w14:paraId="420ACEC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40A0FEE2">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7EB003C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56AD36F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26.6磋商小组将允许修正响应文件中不构成重大偏离的、微小的、非正规的、不一致的或不规则的地方，但这些修改不能影响任何供应商相应的名次排列。</w:t>
      </w:r>
    </w:p>
    <w:p w14:paraId="02A52A3C">
      <w:pPr>
        <w:spacing w:line="400" w:lineRule="exact"/>
        <w:ind w:firstLine="420"/>
        <w:rPr>
          <w:rFonts w:ascii="仿宋" w:hAnsi="仿宋" w:eastAsia="仿宋" w:cs="仿宋"/>
          <w:b/>
          <w:bCs/>
          <w:color w:val="000000"/>
          <w:sz w:val="24"/>
          <w:szCs w:val="21"/>
        </w:rPr>
      </w:pPr>
      <w:r>
        <w:rPr>
          <w:rFonts w:hint="eastAsia" w:ascii="仿宋" w:hAnsi="仿宋" w:eastAsia="仿宋" w:cs="仿宋"/>
          <w:b/>
          <w:bCs/>
          <w:color w:val="000000"/>
          <w:sz w:val="24"/>
          <w:szCs w:val="21"/>
        </w:rPr>
        <w:t>26.7.异常低价审查</w:t>
      </w:r>
    </w:p>
    <w:p w14:paraId="1CA259B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26.7.1评标过程中出现下列情形之一的，磋商小组应当启动异常低价投标审查程序：</w:t>
      </w:r>
    </w:p>
    <w:p w14:paraId="517846C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（1）投标（响应）报价低于全部通过符合性审查供应商投标（响应）报价平均值50%的，即投标（响应）报价&lt;全部通过符合性审查供应商投标（响应）报价平均值×50%；</w:t>
      </w:r>
    </w:p>
    <w:p w14:paraId="45B96E7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（2）投标（响应）报价低于通过符合性审查的次低报价供应商投标（响应）报价50%的，即投标（响应）报价&lt;通过符合性审查的次低报价供应商投标（响应）报价×50%；</w:t>
      </w:r>
    </w:p>
    <w:p w14:paraId="59F9DB4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（3）投标（响应）报价低于采购项目最高限价45%的，即投标（响应）报价&lt;采购项目最高限价×45%；</w:t>
      </w:r>
    </w:p>
    <w:p w14:paraId="58FC6E84">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（4）磋商小组基于专业判断，认为供应商报价过低，有可能影响产品质量或者不能诚信履约的其他情形。</w:t>
      </w:r>
    </w:p>
    <w:p w14:paraId="409977D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9614B4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磋商小组依据专业经验，参考同类项目中标（成交）价格、类似产品市场价格水平、行业人工费用标准、国家有关部门指导行业协会    发布的行业平均成本等情况，对报价合理性进行判断。投标（响应）供应商不能提供书面说明、证明材料，或者提供的书面说明、证明材料不能证明其报价合理性的，磋商小组应当将其作为无效投标（响应）处理。</w:t>
      </w:r>
    </w:p>
    <w:p w14:paraId="53A2B4D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CB4882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异常低价投标（响应）审查的启动原因、审查意见和审查结果应当在评审报告中记录，并随供应商提供的相关书面说明及证明材料，以及磋商小组有关互联网浏览、查询历史一并归档。</w:t>
      </w:r>
    </w:p>
    <w:p w14:paraId="73A9EDCA">
      <w:pPr>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26.8出现下列情形之一的，作无效响应处理。</w:t>
      </w:r>
    </w:p>
    <w:p w14:paraId="7708A82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26.8.1供应商在“苏采云系统”规定的时间内未成功解密电子响应文件的。</w:t>
      </w:r>
    </w:p>
    <w:p w14:paraId="22805E7F">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26.8.2供应商未按照磋商文件要求上传电子响应文件的,或上传的文件打不开的。</w:t>
      </w:r>
    </w:p>
    <w:p w14:paraId="628F135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26.8.3</w:t>
      </w:r>
      <w:r>
        <w:rPr>
          <w:rFonts w:hint="eastAsia" w:ascii="仿宋" w:hAnsi="仿宋" w:eastAsia="仿宋" w:cs="仿宋"/>
          <w:bCs/>
          <w:sz w:val="24"/>
          <w:szCs w:val="21"/>
        </w:rPr>
        <w:t>供应商同一分包提交两个（含两个）以上不同的响应文件或者响应报价的。</w:t>
      </w:r>
    </w:p>
    <w:p w14:paraId="2CAB759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p>
    <w:p w14:paraId="1FB6E6F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p>
    <w:p w14:paraId="0FDED9A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26.8.6未通过符合性审查的。</w:t>
      </w:r>
    </w:p>
    <w:p w14:paraId="39754831">
      <w:pPr>
        <w:spacing w:line="500" w:lineRule="exact"/>
        <w:ind w:firstLine="480" w:firstLineChars="200"/>
        <w:rPr>
          <w:rFonts w:ascii="仿宋" w:hAnsi="仿宋" w:eastAsia="仿宋" w:cs="仿宋"/>
          <w:i/>
          <w:iCs/>
          <w:sz w:val="24"/>
          <w:szCs w:val="24"/>
          <w:u w:val="single"/>
        </w:rPr>
      </w:pPr>
      <w:r>
        <w:rPr>
          <w:rFonts w:hint="eastAsia" w:ascii="仿宋" w:hAnsi="仿宋" w:eastAsia="仿宋" w:cs="仿宋"/>
          <w:sz w:val="24"/>
          <w:szCs w:val="24"/>
        </w:rPr>
        <w:t>26.8.7不符合法律、法规和磋商文件中规定的实质性要求的</w:t>
      </w:r>
      <w:r>
        <w:rPr>
          <w:rFonts w:hint="eastAsia" w:ascii="仿宋" w:hAnsi="仿宋" w:eastAsia="仿宋" w:cs="仿宋"/>
          <w:i/>
          <w:iCs/>
          <w:sz w:val="24"/>
          <w:szCs w:val="24"/>
          <w:u w:val="single"/>
        </w:rPr>
        <w:t>（本磋商文件中斜体且有下划线部分为实质性要求）。</w:t>
      </w:r>
    </w:p>
    <w:p w14:paraId="0FE5642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1AE4BC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26.8.9响应文件含有采购人不能接受的附加条件的。</w:t>
      </w:r>
    </w:p>
    <w:p w14:paraId="1153978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508829F9">
      <w:pPr>
        <w:spacing w:line="500" w:lineRule="exact"/>
        <w:ind w:firstLine="480" w:firstLineChars="200"/>
        <w:rPr>
          <w:rFonts w:ascii="方正魏碑_GBK" w:hAnsi="方正魏碑_GBK" w:eastAsia="方正魏碑_GBK" w:cs="方正魏碑_GBK"/>
          <w:bCs/>
          <w:sz w:val="28"/>
          <w:szCs w:val="28"/>
        </w:rPr>
      </w:pPr>
      <w:r>
        <w:rPr>
          <w:rFonts w:hint="eastAsia" w:ascii="仿宋" w:hAnsi="仿宋" w:eastAsia="仿宋" w:cs="仿宋"/>
          <w:sz w:val="24"/>
          <w:szCs w:val="21"/>
        </w:rPr>
        <w:t>26.8.11如本项目采购产品被财政部、国家发改委列入“节能产品品目清单”强制采购范围，而供应商所投标产品不在强制采购范围内的。（响应产品如属于政府强制采购节能产品品目清单范围内，采购文件中必须提供国家确定的认证机构出具的、处于有效期之内的该节能产品认证证书图片）</w:t>
      </w:r>
    </w:p>
    <w:p w14:paraId="52AD776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26.8.12 采购文件未按照采购文件要求加盖CA电子公章的。</w:t>
      </w:r>
    </w:p>
    <w:p w14:paraId="3B7A01D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26.8.13 供应商所投标产品不符合采购文件中所列国家强制性标准的。</w:t>
      </w:r>
    </w:p>
    <w:p w14:paraId="5B02412F">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26.8.14未在规定时间内提交最后报价的，视作无效响应处理。</w:t>
      </w:r>
    </w:p>
    <w:p w14:paraId="64E638EC">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26.8.15不同供应商的响应文件经系统查询Mac地址或标书制作工具客户端标识码一致的（并移送政府采购监管部门进行处理）。</w:t>
      </w:r>
    </w:p>
    <w:p w14:paraId="770153D8">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4"/>
        </w:rPr>
        <w:t>26.8.16其他法律、法规及本采购文件规定的属无效响应的情形。</w:t>
      </w:r>
    </w:p>
    <w:p w14:paraId="4EEF4844">
      <w:pPr>
        <w:spacing w:line="500" w:lineRule="exact"/>
        <w:ind w:firstLine="480" w:firstLineChars="200"/>
        <w:rPr>
          <w:rFonts w:ascii="仿宋" w:hAnsi="仿宋" w:eastAsia="仿宋" w:cs="仿宋"/>
          <w:sz w:val="24"/>
          <w:szCs w:val="21"/>
        </w:rPr>
      </w:pPr>
      <w:bookmarkStart w:id="165" w:name="_Toc513029234"/>
      <w:bookmarkStart w:id="166" w:name="_Toc16938550"/>
      <w:bookmarkStart w:id="167" w:name="_Toc20823306"/>
      <w:r>
        <w:rPr>
          <w:rFonts w:hint="eastAsia" w:ascii="仿宋" w:hAnsi="仿宋" w:eastAsia="仿宋" w:cs="仿宋"/>
          <w:sz w:val="24"/>
          <w:szCs w:val="21"/>
        </w:rPr>
        <w:t>26.9供应商在项目评审全过程中应保持通讯畅通，并安排专人与交易中心及磋商小组联系。</w:t>
      </w:r>
    </w:p>
    <w:p w14:paraId="525908E2">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27、</w:t>
      </w:r>
      <w:bookmarkEnd w:id="165"/>
      <w:bookmarkEnd w:id="166"/>
      <w:bookmarkEnd w:id="167"/>
      <w:r>
        <w:rPr>
          <w:rFonts w:hint="eastAsia" w:ascii="仿宋" w:hAnsi="仿宋" w:eastAsia="仿宋" w:cs="仿宋"/>
          <w:b/>
          <w:bCs/>
          <w:sz w:val="28"/>
          <w:szCs w:val="28"/>
        </w:rPr>
        <w:t>磋商程序及评审方法和评审标准</w:t>
      </w:r>
    </w:p>
    <w:p w14:paraId="73BFD27F">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27.1磋商程序</w:t>
      </w:r>
    </w:p>
    <w:p w14:paraId="03F58051">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879EDF3">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D6CFC8B">
      <w:pPr>
        <w:tabs>
          <w:tab w:val="left" w:pos="900"/>
        </w:tabs>
        <w:spacing w:after="145"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p>
    <w:p w14:paraId="04C06D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D150C5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0BCBA7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6FE899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 评审方法和评审标准</w:t>
      </w:r>
    </w:p>
    <w:p w14:paraId="1B9FCCD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2ABB468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7E6C7F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27.2.2评审标准</w:t>
      </w:r>
    </w:p>
    <w:p w14:paraId="58DAA75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见本磋商文件第五章规定。</w:t>
      </w:r>
    </w:p>
    <w:p w14:paraId="5974E8B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27.3采购活动终止的情况</w:t>
      </w:r>
    </w:p>
    <w:p w14:paraId="32C9BB9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4FF5461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413ABD1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27.3.2出现影响采购公正的违法、违规行为的。</w:t>
      </w:r>
    </w:p>
    <w:p w14:paraId="011BE00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30E99D7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68" w:name="_Toc16938551"/>
      <w:bookmarkStart w:id="169" w:name="_Toc20823307"/>
      <w:bookmarkStart w:id="170" w:name="_Toc120614219"/>
      <w:bookmarkStart w:id="171" w:name="_Toc513029235"/>
    </w:p>
    <w:p w14:paraId="54A7B60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27.3.5因重大变故，采购任务取消的。</w:t>
      </w:r>
    </w:p>
    <w:p w14:paraId="7449CE5F">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27.3.6磋商小组认定磋商文件存在歧义、重大缺陷导致评审工作无法进行。</w:t>
      </w:r>
    </w:p>
    <w:p w14:paraId="080EAFE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27.3.7因系统故障原因造成磋商无法继续进行的。</w:t>
      </w:r>
    </w:p>
    <w:p w14:paraId="28EA455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27.4响应文件提交截止时间结束后参加磋商的供应商不足三家的处理：</w:t>
      </w:r>
    </w:p>
    <w:p w14:paraId="3DC40ED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27.4.1如出现响应文件提交截止时间结束后参加磋商的供应商或者在评审期间对磋商文件做出实质响应的供应商不足三家情况，按政府采购相关规定执行。</w:t>
      </w:r>
    </w:p>
    <w:p w14:paraId="0900FE03">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w:t>
      </w:r>
      <w:bookmarkEnd w:id="168"/>
      <w:bookmarkEnd w:id="169"/>
      <w:bookmarkEnd w:id="170"/>
      <w:bookmarkEnd w:id="171"/>
      <w:r>
        <w:rPr>
          <w:rFonts w:hint="eastAsia" w:ascii="仿宋" w:hAnsi="仿宋" w:eastAsia="仿宋" w:cs="仿宋"/>
          <w:b/>
          <w:bCs/>
          <w:sz w:val="32"/>
          <w:szCs w:val="32"/>
        </w:rPr>
        <w:t>成交</w:t>
      </w:r>
    </w:p>
    <w:p w14:paraId="372D392D">
      <w:pPr>
        <w:keepNext/>
        <w:keepLines/>
        <w:ind w:firstLine="422" w:firstLineChars="150"/>
        <w:outlineLvl w:val="3"/>
        <w:rPr>
          <w:rFonts w:ascii="仿宋" w:hAnsi="仿宋" w:eastAsia="仿宋" w:cs="仿宋"/>
          <w:b/>
          <w:bCs/>
          <w:sz w:val="28"/>
          <w:szCs w:val="28"/>
        </w:rPr>
      </w:pPr>
      <w:bookmarkStart w:id="172" w:name="_Toc513029238"/>
      <w:bookmarkStart w:id="173" w:name="_Toc20823310"/>
      <w:bookmarkStart w:id="174" w:name="_Toc16938554"/>
      <w:r>
        <w:rPr>
          <w:rFonts w:hint="eastAsia" w:ascii="仿宋" w:hAnsi="仿宋" w:eastAsia="仿宋" w:cs="仿宋"/>
          <w:b/>
          <w:bCs/>
          <w:sz w:val="28"/>
          <w:szCs w:val="28"/>
        </w:rPr>
        <w:t>28、</w:t>
      </w:r>
      <w:bookmarkEnd w:id="172"/>
      <w:r>
        <w:rPr>
          <w:rFonts w:hint="eastAsia" w:ascii="仿宋" w:hAnsi="仿宋" w:eastAsia="仿宋" w:cs="仿宋"/>
          <w:b/>
          <w:bCs/>
          <w:sz w:val="28"/>
          <w:szCs w:val="28"/>
        </w:rPr>
        <w:t>确定</w:t>
      </w:r>
      <w:bookmarkEnd w:id="173"/>
      <w:bookmarkEnd w:id="174"/>
      <w:r>
        <w:rPr>
          <w:rFonts w:hint="eastAsia" w:ascii="仿宋" w:hAnsi="仿宋" w:eastAsia="仿宋" w:cs="仿宋"/>
          <w:b/>
          <w:bCs/>
          <w:sz w:val="28"/>
          <w:szCs w:val="28"/>
        </w:rPr>
        <w:t>成交单位</w:t>
      </w:r>
    </w:p>
    <w:p w14:paraId="68F46614">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AD92D8A">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EE8BF01">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非单一产品采购项目，磋商文件中将载明其中的核心产品。多家供应商提供的核心产品品牌型号相同的，按前款规定处理。</w:t>
      </w:r>
    </w:p>
    <w:p w14:paraId="2CF62A4D">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28.2采购人在评标报告确定的成交候选人名单中按顺序确定成交供应商。确定成交供应商之日起2个工作日内，交易中心将在“江苏政府采购网”发布成交结果公告，公告期限为1个工作日。</w:t>
      </w:r>
    </w:p>
    <w:p w14:paraId="776E31D9">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1E1050CA">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28.3.1提供虚假材料谋取成交的。</w:t>
      </w:r>
    </w:p>
    <w:p w14:paraId="48620F8A">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28.3.2与评审专家、采购人、其他供应商或者交易中心工作人员恶意串通的。</w:t>
      </w:r>
    </w:p>
    <w:p w14:paraId="68C65A06">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28.3.3向评审专家、采购人或交易中心工作人员行贿或者提供其他不正当利益的。</w:t>
      </w:r>
    </w:p>
    <w:p w14:paraId="1AC66C53">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409CD7FC">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4F363409">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28.3.6将政府采购合同转包的。</w:t>
      </w:r>
    </w:p>
    <w:p w14:paraId="3B059701">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28.4有下列情形之一的，视为供应商串通参与磋商，响应无效：</w:t>
      </w:r>
    </w:p>
    <w:p w14:paraId="22CA9422">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28.4.1不同供应商的响应文件由同一单位或者个人编制；</w:t>
      </w:r>
    </w:p>
    <w:p w14:paraId="6F1F9E26">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28.4.2不同供应商委托同一单位或者个人办理磋商事宜；</w:t>
      </w:r>
    </w:p>
    <w:p w14:paraId="4B6F806A">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28.4.3不同供应商的响应文件载明的项目管理成员或者联系人员为同一人；</w:t>
      </w:r>
    </w:p>
    <w:p w14:paraId="2F9FC9AC">
      <w:pPr>
        <w:spacing w:line="440" w:lineRule="exact"/>
        <w:ind w:firstLine="480" w:firstLineChars="200"/>
        <w:jc w:val="left"/>
        <w:rPr>
          <w:rFonts w:ascii="仿宋" w:hAnsi="仿宋" w:eastAsia="仿宋" w:cs="仿宋"/>
          <w:bCs/>
          <w:sz w:val="24"/>
          <w:szCs w:val="21"/>
        </w:rPr>
      </w:pPr>
      <w:r>
        <w:rPr>
          <w:rFonts w:hint="eastAsia" w:ascii="仿宋" w:hAnsi="仿宋" w:eastAsia="仿宋" w:cs="仿宋"/>
          <w:sz w:val="24"/>
          <w:szCs w:val="24"/>
        </w:rPr>
        <w:t>28.4.4不同供应商的响应文件异常一</w:t>
      </w:r>
      <w:r>
        <w:rPr>
          <w:rFonts w:hint="eastAsia" w:ascii="仿宋" w:hAnsi="仿宋" w:eastAsia="仿宋" w:cs="仿宋"/>
          <w:bCs/>
          <w:sz w:val="24"/>
          <w:szCs w:val="21"/>
        </w:rPr>
        <w:t>致或者响应报价呈规律性差异。</w:t>
      </w:r>
    </w:p>
    <w:p w14:paraId="5387C9D6">
      <w:pPr>
        <w:keepNext/>
        <w:keepLines/>
        <w:ind w:firstLine="422" w:firstLineChars="150"/>
        <w:outlineLvl w:val="3"/>
        <w:rPr>
          <w:rFonts w:ascii="仿宋" w:hAnsi="仿宋" w:eastAsia="仿宋" w:cs="仿宋"/>
          <w:b/>
          <w:bCs/>
          <w:sz w:val="28"/>
          <w:szCs w:val="28"/>
        </w:rPr>
      </w:pPr>
      <w:bookmarkStart w:id="175" w:name="_Toc200451960"/>
      <w:r>
        <w:rPr>
          <w:rFonts w:hint="eastAsia" w:ascii="仿宋" w:hAnsi="仿宋" w:eastAsia="仿宋" w:cs="仿宋"/>
          <w:b/>
          <w:bCs/>
          <w:sz w:val="28"/>
          <w:szCs w:val="28"/>
        </w:rPr>
        <w:t>29、质疑处理</w:t>
      </w:r>
      <w:bookmarkEnd w:id="175"/>
    </w:p>
    <w:p w14:paraId="58C956E4">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3DF674D6">
      <w:pPr>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p>
    <w:p w14:paraId="6B788178">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29.2.1</w:t>
      </w:r>
      <w:r>
        <w:rPr>
          <w:rFonts w:hint="eastAsia" w:ascii="仿宋" w:hAnsi="仿宋" w:eastAsia="仿宋" w:cs="仿宋"/>
          <w:kern w:val="0"/>
          <w:sz w:val="24"/>
          <w:szCs w:val="24"/>
        </w:rPr>
        <w:t>对可以质疑的采购文件提出质疑的，为收到采购文件之日或者采购文件公告期限届满之日。</w:t>
      </w:r>
    </w:p>
    <w:p w14:paraId="499F53D2">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29.2.2</w:t>
      </w:r>
      <w:r>
        <w:rPr>
          <w:rFonts w:hint="eastAsia" w:ascii="仿宋" w:hAnsi="仿宋" w:eastAsia="仿宋" w:cs="仿宋"/>
          <w:kern w:val="0"/>
          <w:sz w:val="24"/>
          <w:szCs w:val="24"/>
        </w:rPr>
        <w:t>对采购过程提出质疑的，为各采购程序环节结束之日。</w:t>
      </w:r>
    </w:p>
    <w:p w14:paraId="62C26A9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29.2.3</w:t>
      </w:r>
      <w:r>
        <w:rPr>
          <w:rFonts w:hint="eastAsia" w:ascii="仿宋" w:hAnsi="仿宋" w:eastAsia="仿宋" w:cs="仿宋"/>
          <w:kern w:val="0"/>
          <w:sz w:val="24"/>
          <w:szCs w:val="24"/>
        </w:rPr>
        <w:t>对成交结果提出质疑的，为成交结果公告期限届满之日。</w:t>
      </w:r>
    </w:p>
    <w:p w14:paraId="0C618A02">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kern w:val="0"/>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5B4AD516">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29.3质疑函必须按照本磋商文件中《质疑函范本》（附件13）要求的格式和内容进行填写。供应商如组成联合体参加磋商，则《质疑函范本》中要求签字、盖章、加盖公章之处，联合体各方均须按要求签字、盖章、加盖公章。</w:t>
      </w:r>
    </w:p>
    <w:p w14:paraId="3BE04B8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p>
    <w:p w14:paraId="0D48B4D4">
      <w:pPr>
        <w:snapToGrid w:val="0"/>
        <w:spacing w:line="480" w:lineRule="exact"/>
        <w:ind w:firstLine="482" w:firstLineChars="200"/>
        <w:rPr>
          <w:rFonts w:ascii="仿宋" w:hAnsi="仿宋" w:eastAsia="仿宋" w:cs="仿宋"/>
          <w:sz w:val="24"/>
          <w:szCs w:val="24"/>
        </w:rPr>
      </w:pPr>
      <w:r>
        <w:rPr>
          <w:rFonts w:hint="eastAsia" w:ascii="仿宋" w:hAnsi="仿宋" w:eastAsia="仿宋" w:cs="仿宋"/>
          <w:b/>
          <w:bCs/>
          <w:sz w:val="24"/>
          <w:szCs w:val="24"/>
        </w:rPr>
        <w:t>采购人及交易中心只接收以纸质原件形式送达的质疑</w:t>
      </w:r>
      <w:r>
        <w:rPr>
          <w:rFonts w:hint="eastAsia" w:ascii="仿宋" w:hAnsi="仿宋" w:eastAsia="仿宋" w:cs="仿宋"/>
          <w:sz w:val="24"/>
          <w:szCs w:val="24"/>
        </w:rPr>
        <w:t>,建议供应商尽量通过邮寄方式提交质疑（</w:t>
      </w:r>
      <w:r>
        <w:rPr>
          <w:rFonts w:hint="eastAsia" w:ascii="仿宋" w:hAnsi="仿宋" w:eastAsia="仿宋" w:cs="仿宋"/>
          <w:b/>
          <w:bCs/>
          <w:color w:val="FF0000"/>
          <w:sz w:val="24"/>
          <w:szCs w:val="24"/>
        </w:rPr>
        <w:t>采购人和交易中心不接受无快递运单号的快递</w:t>
      </w:r>
      <w:r>
        <w:rPr>
          <w:rFonts w:hint="eastAsia" w:ascii="仿宋" w:hAnsi="仿宋" w:eastAsia="仿宋" w:cs="仿宋"/>
          <w:sz w:val="24"/>
          <w:szCs w:val="24"/>
        </w:rPr>
        <w:t>）。</w:t>
      </w:r>
    </w:p>
    <w:p w14:paraId="2C028729">
      <w:pPr>
        <w:snapToGrid w:val="0"/>
        <w:spacing w:line="480" w:lineRule="exact"/>
        <w:ind w:firstLine="480" w:firstLineChars="200"/>
      </w:pPr>
      <w:r>
        <w:rPr>
          <w:rFonts w:hint="eastAsia" w:ascii="仿宋" w:hAnsi="仿宋" w:eastAsia="仿宋" w:cs="仿宋"/>
          <w:sz w:val="24"/>
          <w:szCs w:val="24"/>
        </w:rPr>
        <w:t>采购人质疑接收人及联系方式，见本磋商文件第一章。</w:t>
      </w:r>
    </w:p>
    <w:p w14:paraId="70AEC79E">
      <w:pPr>
        <w:snapToGrid w:val="0"/>
        <w:spacing w:line="480" w:lineRule="exact"/>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交易中心质疑受理部门及联系方式，见本磋商文件第一章。</w:t>
      </w:r>
    </w:p>
    <w:p w14:paraId="2271787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 以下情形的质疑不予受理</w:t>
      </w:r>
    </w:p>
    <w:p w14:paraId="56A0BBAC">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61FC6FE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29.5.2 超出政府采购法定期限的质疑。</w:t>
      </w:r>
    </w:p>
    <w:p w14:paraId="31E18EBB">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2E2BE3C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277E8FFB">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11C2454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p>
    <w:p w14:paraId="0535CF5E">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30、成交通知书</w:t>
      </w:r>
    </w:p>
    <w:p w14:paraId="1BC03A7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9F1C7E9">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3B62D2E6">
      <w:pPr>
        <w:keepNext/>
        <w:keepLines/>
        <w:spacing w:before="145" w:beforeLines="50" w:after="145" w:afterLines="50" w:line="360" w:lineRule="auto"/>
        <w:ind w:firstLine="498" w:firstLineChars="155"/>
        <w:outlineLvl w:val="2"/>
        <w:rPr>
          <w:rFonts w:ascii="仿宋" w:hAnsi="仿宋" w:eastAsia="仿宋" w:cs="仿宋"/>
          <w:b/>
          <w:bCs/>
          <w:sz w:val="32"/>
          <w:szCs w:val="32"/>
        </w:rPr>
      </w:pPr>
      <w:bookmarkStart w:id="176" w:name="_Toc120614220"/>
      <w:bookmarkStart w:id="177" w:name="_Toc20823308"/>
      <w:bookmarkStart w:id="178" w:name="_Toc16938552"/>
      <w:bookmarkStart w:id="179" w:name="_Toc513029236"/>
      <w:r>
        <w:rPr>
          <w:rFonts w:hint="eastAsia" w:ascii="仿宋" w:hAnsi="仿宋" w:eastAsia="仿宋" w:cs="仿宋"/>
          <w:b/>
          <w:bCs/>
          <w:sz w:val="32"/>
          <w:szCs w:val="32"/>
        </w:rPr>
        <w:t>七、授予合同</w:t>
      </w:r>
      <w:bookmarkEnd w:id="176"/>
    </w:p>
    <w:bookmarkEnd w:id="177"/>
    <w:bookmarkEnd w:id="178"/>
    <w:bookmarkEnd w:id="179"/>
    <w:p w14:paraId="78900D6A">
      <w:pPr>
        <w:keepNext/>
        <w:keepLines/>
        <w:ind w:firstLine="562" w:firstLineChars="200"/>
        <w:outlineLvl w:val="3"/>
        <w:rPr>
          <w:rFonts w:ascii="仿宋" w:hAnsi="仿宋" w:eastAsia="仿宋" w:cs="仿宋"/>
          <w:b/>
          <w:bCs/>
          <w:sz w:val="28"/>
          <w:szCs w:val="28"/>
        </w:rPr>
      </w:pPr>
      <w:bookmarkStart w:id="180" w:name="_Toc20823309"/>
      <w:bookmarkStart w:id="181" w:name="_Toc513029237"/>
      <w:bookmarkStart w:id="182" w:name="_Toc16938553"/>
      <w:r>
        <w:rPr>
          <w:rFonts w:hint="eastAsia" w:ascii="仿宋" w:hAnsi="仿宋" w:eastAsia="仿宋" w:cs="仿宋"/>
          <w:b/>
          <w:bCs/>
          <w:sz w:val="28"/>
          <w:szCs w:val="28"/>
        </w:rPr>
        <w:t>31. 签订合同</w:t>
      </w:r>
    </w:p>
    <w:p w14:paraId="5E9F7440">
      <w:pPr>
        <w:snapToGrid w:val="0"/>
        <w:spacing w:line="480" w:lineRule="exact"/>
        <w:ind w:firstLine="600" w:firstLineChars="250"/>
        <w:rPr>
          <w:rFonts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b/>
          <w:bCs/>
          <w:sz w:val="24"/>
          <w:szCs w:val="24"/>
        </w:rPr>
        <w:t>交易中心和采购人各提供一份纸质版响应文件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w:t>
      </w:r>
    </w:p>
    <w:p w14:paraId="6A003533">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19F703AC">
      <w:pPr>
        <w:snapToGrid w:val="0"/>
        <w:spacing w:line="500" w:lineRule="exact"/>
        <w:ind w:firstLine="600" w:firstLineChars="250"/>
        <w:rPr>
          <w:rFonts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3808CBA3">
      <w:pPr>
        <w:keepNext/>
        <w:keepLines/>
        <w:spacing w:line="500" w:lineRule="exact"/>
        <w:ind w:firstLine="562" w:firstLineChars="200"/>
        <w:outlineLvl w:val="3"/>
        <w:rPr>
          <w:rFonts w:ascii="仿宋" w:hAnsi="仿宋" w:eastAsia="仿宋" w:cs="仿宋"/>
          <w:b/>
          <w:bCs/>
          <w:sz w:val="28"/>
          <w:szCs w:val="28"/>
        </w:rPr>
      </w:pPr>
      <w:r>
        <w:rPr>
          <w:rFonts w:hint="eastAsia" w:ascii="仿宋" w:hAnsi="仿宋" w:eastAsia="仿宋" w:cs="仿宋"/>
          <w:b/>
          <w:bCs/>
          <w:sz w:val="28"/>
          <w:szCs w:val="28"/>
        </w:rPr>
        <w:t>32、货物和服务的追加、减少和添购。</w:t>
      </w:r>
    </w:p>
    <w:bookmarkEnd w:id="180"/>
    <w:bookmarkEnd w:id="181"/>
    <w:bookmarkEnd w:id="182"/>
    <w:p w14:paraId="63054234">
      <w:pPr>
        <w:snapToGrid w:val="0"/>
        <w:spacing w:line="500" w:lineRule="exact"/>
        <w:ind w:firstLine="480" w:firstLineChars="200"/>
        <w:rPr>
          <w:rFonts w:ascii="仿宋" w:hAnsi="仿宋" w:eastAsia="仿宋" w:cs="仿宋"/>
          <w:sz w:val="24"/>
          <w:szCs w:val="24"/>
        </w:rPr>
      </w:pPr>
      <w:bookmarkStart w:id="183" w:name="_Toc16938558"/>
      <w:bookmarkStart w:id="184" w:name="_Toc513029242"/>
      <w:bookmarkStart w:id="185" w:name="_Toc479757207"/>
      <w:bookmarkStart w:id="186" w:name="_Toc120614221"/>
      <w:bookmarkStart w:id="187" w:name="_Toc20823314"/>
      <w:r>
        <w:rPr>
          <w:rFonts w:hint="eastAsia" w:ascii="仿宋" w:hAnsi="仿宋" w:eastAsia="仿宋" w:cs="仿宋"/>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00975F83">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61162C39">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rPr>
        <w:t>33、政府采购履约资金扶持政策</w:t>
      </w:r>
    </w:p>
    <w:p w14:paraId="587F1F72">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78ED3CAA">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1BD89329">
      <w:pPr>
        <w:spacing w:line="480" w:lineRule="exact"/>
        <w:ind w:firstLine="480" w:firstLineChars="200"/>
        <w:rPr>
          <w:rFonts w:ascii="仿宋" w:hAnsi="仿宋" w:eastAsia="仿宋" w:cs="仿宋"/>
          <w:sz w:val="24"/>
          <w:szCs w:val="24"/>
          <w:highlight w:val="yellow"/>
        </w:rPr>
      </w:pPr>
    </w:p>
    <w:p w14:paraId="1BFDE472">
      <w:pPr>
        <w:spacing w:line="480" w:lineRule="exact"/>
        <w:ind w:firstLine="480" w:firstLineChars="200"/>
        <w:rPr>
          <w:rFonts w:ascii="仿宋" w:hAnsi="仿宋" w:eastAsia="仿宋" w:cs="仿宋"/>
          <w:sz w:val="24"/>
          <w:szCs w:val="24"/>
          <w:highlight w:val="yellow"/>
        </w:rPr>
      </w:pPr>
    </w:p>
    <w:p w14:paraId="0A64C383">
      <w:pPr>
        <w:spacing w:line="480" w:lineRule="exact"/>
        <w:ind w:firstLine="480" w:firstLineChars="200"/>
        <w:rPr>
          <w:rFonts w:ascii="仿宋" w:hAnsi="仿宋" w:eastAsia="仿宋" w:cs="仿宋"/>
          <w:sz w:val="24"/>
          <w:szCs w:val="24"/>
        </w:rPr>
      </w:pPr>
    </w:p>
    <w:p w14:paraId="5CF2E77D">
      <w:pPr>
        <w:keepNext/>
        <w:ind w:firstLine="2640" w:firstLineChars="600"/>
        <w:outlineLvl w:val="0"/>
        <w:rPr>
          <w:rFonts w:ascii="仿宋" w:hAnsi="仿宋" w:eastAsia="仿宋" w:cs="仿宋"/>
          <w:bCs/>
          <w:sz w:val="44"/>
          <w:szCs w:val="28"/>
        </w:rPr>
      </w:pPr>
      <w:r>
        <w:rPr>
          <w:rFonts w:hint="eastAsia" w:ascii="仿宋" w:hAnsi="仿宋" w:eastAsia="仿宋" w:cs="仿宋"/>
          <w:bCs/>
          <w:sz w:val="44"/>
          <w:szCs w:val="28"/>
        </w:rPr>
        <w:br w:type="page"/>
      </w:r>
      <w:bookmarkStart w:id="188" w:name="_Toc9490"/>
      <w:bookmarkStart w:id="189" w:name="_Toc20527"/>
      <w:bookmarkStart w:id="190" w:name="_Toc23575"/>
      <w:r>
        <w:rPr>
          <w:rFonts w:hint="eastAsia" w:ascii="仿宋" w:hAnsi="仿宋" w:eastAsia="仿宋" w:cs="仿宋"/>
          <w:b/>
          <w:sz w:val="44"/>
          <w:szCs w:val="28"/>
        </w:rPr>
        <w:t>第三章  合同</w:t>
      </w:r>
      <w:bookmarkEnd w:id="183"/>
      <w:bookmarkEnd w:id="184"/>
      <w:bookmarkEnd w:id="185"/>
      <w:bookmarkEnd w:id="186"/>
      <w:bookmarkEnd w:id="187"/>
      <w:r>
        <w:rPr>
          <w:rFonts w:hint="eastAsia" w:ascii="仿宋" w:hAnsi="仿宋" w:eastAsia="仿宋" w:cs="仿宋"/>
          <w:b/>
          <w:sz w:val="44"/>
          <w:szCs w:val="28"/>
        </w:rPr>
        <w:t>文本</w:t>
      </w:r>
      <w:bookmarkEnd w:id="188"/>
      <w:bookmarkEnd w:id="189"/>
      <w:bookmarkEnd w:id="190"/>
    </w:p>
    <w:p w14:paraId="46E3A8EA">
      <w:pPr>
        <w:spacing w:line="500" w:lineRule="exact"/>
        <w:ind w:firstLine="480" w:firstLineChars="200"/>
        <w:rPr>
          <w:rFonts w:ascii="仿宋" w:hAnsi="仿宋" w:eastAsia="仿宋" w:cs="仿宋"/>
          <w:b/>
          <w:sz w:val="24"/>
          <w:szCs w:val="21"/>
          <w:highlight w:val="cyan"/>
        </w:rPr>
      </w:pPr>
      <w:bookmarkStart w:id="191" w:name="_Toc20823315"/>
      <w:bookmarkStart w:id="192" w:name="_Toc513029243"/>
      <w:bookmarkStart w:id="193" w:name="_Toc16938559"/>
      <w:r>
        <w:rPr>
          <w:rFonts w:hint="eastAsia" w:ascii="仿宋" w:hAnsi="仿宋" w:eastAsia="仿宋" w:cs="仿宋"/>
          <w:bCs/>
          <w:sz w:val="24"/>
          <w:szCs w:val="21"/>
        </w:rPr>
        <w:t>以下为成交后签定本项目合同的通用条款，成交供应商不得提出实质性的修改。</w:t>
      </w:r>
    </w:p>
    <w:p w14:paraId="2847F9B8">
      <w:pPr>
        <w:spacing w:line="500" w:lineRule="exact"/>
        <w:ind w:firstLine="480" w:firstLineChars="200"/>
        <w:rPr>
          <w:rFonts w:ascii="仿宋" w:hAnsi="仿宋" w:eastAsia="仿宋" w:cs="仿宋"/>
          <w:bCs/>
          <w:sz w:val="24"/>
          <w:szCs w:val="21"/>
        </w:rPr>
      </w:pPr>
    </w:p>
    <w:p w14:paraId="367F2E8B">
      <w:pPr>
        <w:snapToGrid w:val="0"/>
        <w:spacing w:before="145" w:beforeLines="50" w:after="145" w:afterLines="50" w:line="500" w:lineRule="exact"/>
        <w:jc w:val="center"/>
        <w:outlineLvl w:val="0"/>
        <w:rPr>
          <w:rFonts w:ascii="黑体" w:hAnsi="黑体" w:eastAsia="黑体" w:cs="黑体"/>
          <w:b/>
          <w:bCs/>
          <w:sz w:val="32"/>
          <w:szCs w:val="32"/>
        </w:rPr>
      </w:pPr>
      <w:bookmarkStart w:id="194" w:name="_Toc22069"/>
      <w:bookmarkStart w:id="195" w:name="_Toc6917"/>
      <w:bookmarkStart w:id="196" w:name="_Toc23391"/>
      <w:r>
        <w:rPr>
          <w:rFonts w:hint="eastAsia" w:ascii="仿宋" w:hAnsi="仿宋" w:eastAsia="仿宋" w:cs="仿宋"/>
          <w:b/>
          <w:bCs/>
          <w:sz w:val="32"/>
          <w:szCs w:val="32"/>
        </w:rPr>
        <w:t>江苏省政府采购合同（合同编号）</w:t>
      </w:r>
      <w:bookmarkEnd w:id="194"/>
      <w:bookmarkEnd w:id="195"/>
      <w:bookmarkEnd w:id="196"/>
    </w:p>
    <w:p w14:paraId="26567818">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如东县掘港高级中学新建微格教室项目</w:t>
      </w:r>
      <w:r>
        <w:rPr>
          <w:rFonts w:hint="eastAsia" w:ascii="仿宋" w:hAnsi="仿宋" w:eastAsia="仿宋" w:cs="仿宋"/>
          <w:sz w:val="24"/>
          <w:szCs w:val="24"/>
          <w:u w:val="single"/>
          <w:lang w:eastAsia="zh-CN"/>
        </w:rPr>
        <w:t>（第二次）</w:t>
      </w:r>
      <w:r>
        <w:rPr>
          <w:rFonts w:hint="eastAsia" w:ascii="仿宋" w:hAnsi="仿宋" w:eastAsia="仿宋" w:cs="仿宋"/>
          <w:sz w:val="24"/>
          <w:szCs w:val="24"/>
        </w:rPr>
        <w:t xml:space="preserve">                                </w:t>
      </w:r>
    </w:p>
    <w:p w14:paraId="63FD477D">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05C8FE7C">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甲方：（买方）</w:t>
      </w:r>
      <w:r>
        <w:rPr>
          <w:rFonts w:hint="eastAsia" w:ascii="仿宋" w:hAnsi="仿宋" w:eastAsia="仿宋" w:cs="仿宋"/>
          <w:sz w:val="24"/>
          <w:szCs w:val="24"/>
          <w:u w:val="single"/>
        </w:rPr>
        <w:t>如东县掘港高级中学</w:t>
      </w:r>
    </w:p>
    <w:p w14:paraId="3B1DE401">
      <w:pPr>
        <w:snapToGrid w:val="0"/>
        <w:spacing w:before="120" w:after="120" w:line="500" w:lineRule="exact"/>
        <w:rPr>
          <w:rFonts w:ascii="仿宋" w:hAnsi="仿宋" w:eastAsia="仿宋" w:cs="仿宋"/>
          <w:sz w:val="24"/>
          <w:szCs w:val="24"/>
        </w:rPr>
      </w:pPr>
      <w:r>
        <w:rPr>
          <w:rFonts w:hint="eastAsia" w:ascii="仿宋" w:hAnsi="仿宋" w:eastAsia="仿宋" w:cs="仿宋"/>
          <w:sz w:val="24"/>
          <w:szCs w:val="24"/>
        </w:rPr>
        <w:t>乙方：（卖方）</w:t>
      </w:r>
      <w:r>
        <w:rPr>
          <w:rFonts w:hint="eastAsia" w:ascii="仿宋" w:hAnsi="仿宋" w:eastAsia="仿宋" w:cs="仿宋"/>
          <w:sz w:val="24"/>
          <w:szCs w:val="24"/>
          <w:u w:val="single"/>
        </w:rPr>
        <w:t>****</w:t>
      </w:r>
    </w:p>
    <w:p w14:paraId="45EF770D">
      <w:pPr>
        <w:snapToGrid w:val="0"/>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p>
    <w:p w14:paraId="1084C4B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一、合同内容</w:t>
      </w:r>
    </w:p>
    <w:p w14:paraId="02A97CA7">
      <w:pPr>
        <w:snapToGrid w:val="0"/>
        <w:spacing w:before="120" w:after="120" w:line="5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1.1 标的名称：</w:t>
      </w:r>
      <w:r>
        <w:rPr>
          <w:rFonts w:hint="eastAsia" w:ascii="仿宋" w:hAnsi="仿宋" w:eastAsia="仿宋" w:cs="仿宋"/>
          <w:sz w:val="24"/>
          <w:szCs w:val="24"/>
          <w:u w:val="single"/>
        </w:rPr>
        <w:t>如东县掘港高级中学新建微格教室项目</w:t>
      </w:r>
      <w:r>
        <w:rPr>
          <w:rFonts w:hint="eastAsia" w:ascii="仿宋" w:hAnsi="仿宋" w:eastAsia="仿宋" w:cs="仿宋"/>
          <w:sz w:val="24"/>
          <w:szCs w:val="24"/>
          <w:u w:val="single"/>
          <w:lang w:eastAsia="zh-CN"/>
        </w:rPr>
        <w:t>（第二次）</w:t>
      </w:r>
    </w:p>
    <w:p w14:paraId="41956020">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达到采购文件要求</w:t>
      </w:r>
      <w:bookmarkStart w:id="229" w:name="_GoBack"/>
      <w:bookmarkEnd w:id="229"/>
    </w:p>
    <w:p w14:paraId="5500E7E0">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详见采购文件需求清单</w:t>
      </w:r>
    </w:p>
    <w:p w14:paraId="5C8943E9">
      <w:pPr>
        <w:snapToGrid w:val="0"/>
        <w:spacing w:before="120" w:after="120" w:line="500" w:lineRule="exact"/>
        <w:ind w:firstLine="480" w:firstLineChars="200"/>
        <w:rPr>
          <w:rFonts w:ascii="仿宋" w:hAnsi="仿宋" w:eastAsia="仿宋" w:cs="仿宋"/>
          <w:sz w:val="24"/>
          <w:szCs w:val="24"/>
          <w:highlight w:val="red"/>
        </w:rPr>
      </w:pPr>
      <w:r>
        <w:rPr>
          <w:rFonts w:hint="eastAsia" w:ascii="仿宋" w:hAnsi="仿宋" w:eastAsia="仿宋" w:cs="仿宋"/>
          <w:sz w:val="24"/>
          <w:szCs w:val="24"/>
        </w:rPr>
        <w:t>1.4 履行时间（期限）：</w:t>
      </w:r>
      <w:r>
        <w:rPr>
          <w:rFonts w:hint="eastAsia" w:ascii="仿宋" w:hAnsi="仿宋" w:eastAsia="仿宋" w:cs="仿宋"/>
          <w:sz w:val="24"/>
          <w:szCs w:val="24"/>
          <w:u w:val="single"/>
        </w:rPr>
        <w:t>自合同签订之日起30日内完工</w:t>
      </w:r>
    </w:p>
    <w:p w14:paraId="53664E5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rPr>
        <w:t>如东县掘港高级中学</w:t>
      </w:r>
    </w:p>
    <w:p w14:paraId="14EB2CF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1.6 履行方式：</w:t>
      </w:r>
      <w:r>
        <w:rPr>
          <w:rFonts w:hint="eastAsia" w:ascii="仿宋" w:hAnsi="仿宋" w:eastAsia="仿宋" w:cs="仿宋"/>
          <w:sz w:val="24"/>
          <w:szCs w:val="24"/>
          <w:u w:val="single"/>
        </w:rPr>
        <w:t>按采购文件执行</w:t>
      </w:r>
    </w:p>
    <w:p w14:paraId="3633E989">
      <w:pPr>
        <w:snapToGrid w:val="0"/>
        <w:spacing w:before="120" w:after="120" w:line="500" w:lineRule="exact"/>
        <w:ind w:firstLine="480" w:firstLineChars="200"/>
        <w:rPr>
          <w:rFonts w:ascii="仿宋" w:hAnsi="仿宋" w:eastAsia="仿宋" w:cs="仿宋"/>
          <w:sz w:val="24"/>
          <w:szCs w:val="24"/>
          <w:highlight w:val="cyan"/>
        </w:rPr>
      </w:pPr>
      <w:r>
        <w:rPr>
          <w:rFonts w:hint="eastAsia" w:ascii="仿宋" w:hAnsi="仿宋" w:eastAsia="仿宋" w:cs="仿宋"/>
          <w:sz w:val="24"/>
          <w:szCs w:val="24"/>
        </w:rPr>
        <w:t>1.7 包装方式：</w:t>
      </w:r>
      <w:r>
        <w:rPr>
          <w:rFonts w:hint="eastAsia" w:ascii="仿宋" w:hAnsi="仿宋" w:eastAsia="仿宋" w:cs="仿宋"/>
          <w:sz w:val="24"/>
          <w:szCs w:val="24"/>
          <w:u w:val="single"/>
        </w:rPr>
        <w:t>原厂全新未拆封包装</w:t>
      </w:r>
    </w:p>
    <w:p w14:paraId="47E16430">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二、合同金额</w:t>
      </w:r>
    </w:p>
    <w:p w14:paraId="470D1DF3">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2.1 本合同金额为（大写）：</w:t>
      </w:r>
      <w:r>
        <w:rPr>
          <w:rFonts w:hint="eastAsia" w:ascii="仿宋" w:hAnsi="仿宋" w:eastAsia="仿宋" w:cs="仿宋"/>
          <w:sz w:val="24"/>
          <w:szCs w:val="24"/>
          <w:u w:val="single"/>
        </w:rPr>
        <w:t>****</w:t>
      </w:r>
      <w:r>
        <w:rPr>
          <w:rFonts w:hint="eastAsia" w:ascii="仿宋" w:hAnsi="仿宋" w:eastAsia="仿宋" w:cs="仿宋"/>
          <w:sz w:val="24"/>
          <w:szCs w:val="24"/>
        </w:rPr>
        <w:t>元（</w:t>
      </w:r>
      <w:r>
        <w:rPr>
          <w:rFonts w:hint="eastAsia" w:ascii="仿宋" w:hAnsi="仿宋" w:eastAsia="仿宋" w:cs="仿宋"/>
          <w:sz w:val="24"/>
          <w:szCs w:val="24"/>
          <w:u w:val="single"/>
        </w:rPr>
        <w:t>****</w:t>
      </w:r>
      <w:r>
        <w:rPr>
          <w:rFonts w:hint="eastAsia" w:ascii="仿宋" w:hAnsi="仿宋" w:eastAsia="仿宋" w:cs="仿宋"/>
          <w:sz w:val="24"/>
          <w:szCs w:val="24"/>
        </w:rPr>
        <w:t>元）人民币。</w:t>
      </w:r>
    </w:p>
    <w:p w14:paraId="206AA79A">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三、技术资料</w:t>
      </w:r>
    </w:p>
    <w:p w14:paraId="6B1593B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3.1乙方应按磋商文件规定的时间向甲方提供与合同标的有关的技术资料。</w:t>
      </w:r>
    </w:p>
    <w:p w14:paraId="6ECB3568">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257BC5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四、知识产权</w:t>
      </w:r>
    </w:p>
    <w:p w14:paraId="58DA4BC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4.1乙方应保证甲方在使用、接受本合同标的或其任何一部分时不受第三方提出侵犯其专利权、版权、商标权和工业设计权等知识产权的起诉。一旦出现侵权，由乙方负全部责任。</w:t>
      </w:r>
    </w:p>
    <w:p w14:paraId="61FFF882">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五、产权担保</w:t>
      </w:r>
    </w:p>
    <w:p w14:paraId="7BEB6FE1">
      <w:pPr>
        <w:snapToGrid w:val="0"/>
        <w:spacing w:before="120" w:after="120" w:line="500" w:lineRule="exact"/>
        <w:ind w:left="239" w:leftChars="114" w:firstLine="480" w:firstLineChars="200"/>
        <w:rPr>
          <w:rFonts w:ascii="仿宋" w:hAnsi="仿宋" w:eastAsia="仿宋" w:cs="仿宋"/>
          <w:sz w:val="24"/>
          <w:szCs w:val="24"/>
        </w:rPr>
      </w:pPr>
      <w:r>
        <w:rPr>
          <w:rFonts w:hint="eastAsia" w:ascii="仿宋" w:hAnsi="仿宋" w:eastAsia="仿宋" w:cs="仿宋"/>
          <w:sz w:val="24"/>
          <w:szCs w:val="24"/>
        </w:rPr>
        <w:t>5.1 乙方保证所交付的合同标的的所有权完全属于乙方且无任何抵押、查封等产权瑕疵。</w:t>
      </w:r>
    </w:p>
    <w:p w14:paraId="5E60F586">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六、履约保证金</w:t>
      </w:r>
    </w:p>
    <w:p w14:paraId="1131FD8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6.1 乙方交纳人民币</w:t>
      </w:r>
      <w:r>
        <w:rPr>
          <w:rFonts w:hint="eastAsia" w:ascii="仿宋" w:hAnsi="仿宋" w:eastAsia="仿宋" w:cs="仿宋"/>
          <w:sz w:val="24"/>
          <w:szCs w:val="24"/>
          <w:u w:val="single"/>
        </w:rPr>
        <w:t>项目成交价的5%</w:t>
      </w:r>
      <w:r>
        <w:rPr>
          <w:rFonts w:hint="eastAsia" w:ascii="仿宋" w:hAnsi="仿宋" w:eastAsia="仿宋" w:cs="仿宋"/>
          <w:sz w:val="24"/>
          <w:szCs w:val="24"/>
        </w:rPr>
        <w:t>元作为本合同的履约保证金。</w:t>
      </w:r>
    </w:p>
    <w:p w14:paraId="5AAA5D7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6861E26A">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6.2.1履约保证金退还方式：</w:t>
      </w:r>
      <w:r>
        <w:rPr>
          <w:rFonts w:hint="eastAsia" w:ascii="仿宋" w:hAnsi="仿宋" w:eastAsia="仿宋" w:cs="仿宋"/>
          <w:sz w:val="24"/>
          <w:szCs w:val="24"/>
          <w:u w:val="single"/>
        </w:rPr>
        <w:t xml:space="preserve">按缴纳方式退还  </w:t>
      </w:r>
      <w:r>
        <w:rPr>
          <w:rFonts w:hint="eastAsia" w:ascii="仿宋" w:hAnsi="仿宋" w:eastAsia="仿宋" w:cs="仿宋"/>
          <w:sz w:val="24"/>
          <w:szCs w:val="24"/>
        </w:rPr>
        <w:t xml:space="preserve">    </w:t>
      </w:r>
    </w:p>
    <w:p w14:paraId="0C238F1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验收合格后一次性退还</w:t>
      </w:r>
      <w:r>
        <w:rPr>
          <w:rFonts w:hint="eastAsia" w:ascii="仿宋" w:hAnsi="仿宋" w:eastAsia="仿宋" w:cs="仿宋"/>
          <w:sz w:val="24"/>
          <w:szCs w:val="24"/>
        </w:rPr>
        <w:t xml:space="preserve">。  </w:t>
      </w:r>
    </w:p>
    <w:p w14:paraId="1F12F13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6.2.3履约保证金退还条件：乙方全部履约合同义务，经甲方验收合格无质量、进度等问题的，甲方一次性退还履约保证金，甲方若逾期退还履约保证金的，按照逾期部分的每日0.05%支付违约金。  </w:t>
      </w:r>
    </w:p>
    <w:p w14:paraId="48FAADA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6.2.4发生以下情况的，履约保证金不予退还或部分退还：</w:t>
      </w:r>
    </w:p>
    <w:p w14:paraId="7AC5304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6.2.4.1 签订合同后，乙方不履行合同义务的，甲方有权全额扣除履约保证金，全额不予退还，同时甲方亦有权终止合同，乙方还须承担相应的法律赔偿责任。</w:t>
      </w:r>
    </w:p>
    <w:p w14:paraId="1BF6DBB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6.2.4.2 乙方在履约过程中发生违约行为，给甲方造成损失的，甲方有权在乙方缴纳的履约保证金中予以扣款，以弥补甲方经济损失，不足的部分乙方另外补齐。</w:t>
      </w:r>
    </w:p>
    <w:p w14:paraId="34810C3C">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七、合同转包或分包</w:t>
      </w:r>
    </w:p>
    <w:p w14:paraId="487184EF">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7.1乙方不得将合同标的转包给他人履行。</w:t>
      </w:r>
    </w:p>
    <w:p w14:paraId="6BC4725B">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7.2乙方不得将合同标的分包给他人履行。</w:t>
      </w:r>
    </w:p>
    <w:p w14:paraId="68A20E6D">
      <w:pPr>
        <w:snapToGrid w:val="0"/>
        <w:spacing w:before="145" w:beforeLines="50" w:after="145"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6C5EE76F">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八、合同款项支付</w:t>
      </w:r>
    </w:p>
    <w:p w14:paraId="4D92B569">
      <w:pPr>
        <w:snapToGrid w:val="0"/>
        <w:spacing w:before="120" w:after="120"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8.1合同款项的支付方式及进度安排</w:t>
      </w:r>
    </w:p>
    <w:p w14:paraId="6DEADD0B">
      <w:pPr>
        <w:snapToGrid w:val="0"/>
        <w:spacing w:line="500" w:lineRule="exact"/>
        <w:ind w:firstLine="480" w:firstLineChars="200"/>
        <w:rPr>
          <w:rFonts w:ascii="仿宋" w:hAnsi="仿宋" w:eastAsia="仿宋" w:cs="仿宋"/>
          <w:sz w:val="24"/>
          <w:szCs w:val="24"/>
        </w:rPr>
      </w:pPr>
      <w:r>
        <w:rPr>
          <w:rFonts w:hint="eastAsia" w:ascii="仿宋" w:hAnsi="仿宋" w:eastAsia="仿宋" w:cs="仿宋"/>
          <w:bCs/>
          <w:sz w:val="24"/>
          <w:szCs w:val="24"/>
          <w:lang w:bidi="ar"/>
        </w:rPr>
        <w:t>8</w:t>
      </w:r>
      <w:r>
        <w:rPr>
          <w:rFonts w:ascii="仿宋" w:hAnsi="仿宋" w:eastAsia="仿宋" w:cs="仿宋"/>
          <w:bCs/>
          <w:sz w:val="24"/>
          <w:szCs w:val="24"/>
          <w:lang w:bidi="ar"/>
        </w:rPr>
        <w:t>.1.1</w:t>
      </w:r>
      <w:r>
        <w:rPr>
          <w:rFonts w:hint="eastAsia" w:ascii="仿宋" w:hAnsi="仿宋" w:eastAsia="仿宋" w:cs="仿宋"/>
          <w:bCs/>
          <w:sz w:val="24"/>
          <w:szCs w:val="24"/>
          <w:lang w:bidi="ar"/>
        </w:rPr>
        <w:t>项目完成且验收合格后支付至合同价款的100%，</w:t>
      </w:r>
      <w:r>
        <w:rPr>
          <w:rFonts w:hint="eastAsia" w:ascii="仿宋" w:hAnsi="仿宋" w:eastAsia="仿宋" w:cs="仿宋"/>
          <w:b/>
          <w:bCs/>
          <w:kern w:val="0"/>
          <w:sz w:val="24"/>
          <w:szCs w:val="24"/>
          <w:lang w:val="zh-CN"/>
        </w:rPr>
        <w:t>采购人应在验收合格收到发票后</w:t>
      </w:r>
      <w:r>
        <w:rPr>
          <w:rFonts w:hint="eastAsia" w:ascii="仿宋" w:hAnsi="仿宋" w:eastAsia="仿宋" w:cs="仿宋"/>
          <w:b/>
          <w:bCs/>
          <w:kern w:val="0"/>
          <w:sz w:val="24"/>
          <w:szCs w:val="24"/>
        </w:rPr>
        <w:t>10个工作日内将资金支付到成交供应商账户。</w:t>
      </w:r>
    </w:p>
    <w:p w14:paraId="304C9E72">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九、税费</w:t>
      </w:r>
    </w:p>
    <w:p w14:paraId="54EBD41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16D1D76C">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十、项目验收</w:t>
      </w:r>
    </w:p>
    <w:p w14:paraId="56AA3EA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10.1 甲方依法组织履约验收工作。</w:t>
      </w:r>
    </w:p>
    <w:p w14:paraId="71B2304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0472B4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10.3 对于实际使用人和甲方分离的项目，甲方邀请实际使用人参与验收。</w:t>
      </w:r>
    </w:p>
    <w:p w14:paraId="26E37F2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10.4 如有必要，甲方邀请参加本项目的其他供应商或第三方专业机构及专家参与验收，相关意见将作为验收书的参考资料。</w:t>
      </w:r>
    </w:p>
    <w:p w14:paraId="6131707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F1E58B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27EB390">
      <w:pPr>
        <w:snapToGrid w:val="0"/>
        <w:spacing w:before="120" w:after="120" w:line="500" w:lineRule="exact"/>
        <w:rPr>
          <w:rFonts w:ascii="仿宋" w:hAnsi="仿宋" w:eastAsia="仿宋" w:cs="仿宋"/>
          <w:sz w:val="24"/>
          <w:szCs w:val="24"/>
          <w:highlight w:val="cyan"/>
        </w:rPr>
      </w:pPr>
      <w:r>
        <w:rPr>
          <w:rFonts w:hint="eastAsia" w:ascii="仿宋" w:hAnsi="仿宋" w:eastAsia="仿宋" w:cs="仿宋"/>
          <w:b/>
          <w:bCs/>
          <w:sz w:val="32"/>
          <w:szCs w:val="32"/>
        </w:rPr>
        <w:t>十一、货物的包装、发运及运输</w:t>
      </w:r>
    </w:p>
    <w:p w14:paraId="233DD025">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2451B28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11.2 使用说明书、质量检验证明书、随配附件和工具以及清单一并附于货物内。</w:t>
      </w:r>
    </w:p>
    <w:p w14:paraId="340AE27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11.3 乙方在货物发运手续办理完毕后</w:t>
      </w:r>
      <w:r>
        <w:rPr>
          <w:rFonts w:hint="eastAsia" w:ascii="仿宋" w:hAnsi="仿宋" w:eastAsia="仿宋" w:cs="仿宋"/>
          <w:sz w:val="24"/>
          <w:szCs w:val="24"/>
          <w:u w:val="single"/>
        </w:rPr>
        <w:t>24</w:t>
      </w:r>
      <w:r>
        <w:rPr>
          <w:rFonts w:hint="eastAsia" w:ascii="仿宋" w:hAnsi="仿宋" w:eastAsia="仿宋" w:cs="仿宋"/>
          <w:sz w:val="24"/>
          <w:szCs w:val="24"/>
        </w:rPr>
        <w:t>小时内或货到甲方</w:t>
      </w:r>
      <w:r>
        <w:rPr>
          <w:rFonts w:hint="eastAsia" w:ascii="仿宋" w:hAnsi="仿宋" w:eastAsia="仿宋" w:cs="仿宋"/>
          <w:sz w:val="24"/>
          <w:szCs w:val="24"/>
          <w:u w:val="single"/>
        </w:rPr>
        <w:t>24</w:t>
      </w:r>
      <w:r>
        <w:rPr>
          <w:rFonts w:hint="eastAsia" w:ascii="仿宋" w:hAnsi="仿宋" w:eastAsia="仿宋" w:cs="仿宋"/>
          <w:sz w:val="24"/>
          <w:szCs w:val="24"/>
        </w:rPr>
        <w:t>小时前通知甲方，以准备接货。</w:t>
      </w:r>
    </w:p>
    <w:p w14:paraId="633941C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11.4 货物在交付甲方前发生的风险均由乙方负责。</w:t>
      </w:r>
    </w:p>
    <w:p w14:paraId="4C6B6109">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11.5 货物在规定的交付期限内由乙方送达甲方指定的地点视为交付，乙方同时需通知甲方货物已送达。</w:t>
      </w:r>
    </w:p>
    <w:p w14:paraId="11AA60E9">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十二、违约责任</w:t>
      </w:r>
    </w:p>
    <w:p w14:paraId="410C010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12.1甲方无正当理由拒绝接受乙方提供的合同标的的，甲方向乙方偿付拒绝接受合同价款总值</w:t>
      </w:r>
      <w:r>
        <w:rPr>
          <w:rFonts w:hint="eastAsia" w:ascii="仿宋" w:hAnsi="仿宋" w:eastAsia="仿宋" w:cs="仿宋"/>
          <w:sz w:val="24"/>
          <w:szCs w:val="24"/>
          <w:u w:val="single"/>
        </w:rPr>
        <w:t>5%</w:t>
      </w:r>
      <w:r>
        <w:rPr>
          <w:rFonts w:hint="eastAsia" w:ascii="仿宋" w:hAnsi="仿宋" w:eastAsia="仿宋" w:cs="仿宋"/>
          <w:sz w:val="24"/>
          <w:szCs w:val="24"/>
        </w:rPr>
        <w:t>的违约金。</w:t>
      </w:r>
    </w:p>
    <w:p w14:paraId="65D0387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12.2 甲方无故逾期验收和办理合同款项支付手续的,甲方应按逾期付款总额</w:t>
      </w:r>
      <w:r>
        <w:rPr>
          <w:rFonts w:hint="eastAsia" w:ascii="仿宋" w:hAnsi="仿宋" w:eastAsia="仿宋" w:cs="仿宋"/>
          <w:sz w:val="24"/>
          <w:szCs w:val="24"/>
          <w:u w:val="single"/>
        </w:rPr>
        <w:t xml:space="preserve">3‰    </w:t>
      </w:r>
      <w:r>
        <w:rPr>
          <w:rFonts w:hint="eastAsia" w:ascii="仿宋" w:hAnsi="仿宋" w:eastAsia="仿宋" w:cs="仿宋"/>
          <w:sz w:val="24"/>
          <w:szCs w:val="24"/>
        </w:rPr>
        <w:t>每日向乙方支付违约金。</w:t>
      </w:r>
    </w:p>
    <w:p w14:paraId="367D3A9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12.3 未能在规定的工期内完成施工任务的，每推迟一天采购人有权以每天扣除履约保证金总额的1%进行处罚 ；超过规定的工期5天的，采购人有权与成交供应商解除合同关系，并按照施工量及集成施工进度与成交供应商按实结算，并按照规定处以罚金，直至履约保证金扣除完毕。，如造成甲方损失超过违约金的，超出部分由乙方继续承担赔偿责任。 </w:t>
      </w:r>
    </w:p>
    <w:p w14:paraId="6FC665D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12.4 乙方交付合同标的的标准不符合合同规定及磋商文件规定标准的，甲方有权拒绝接受合同标的，并可单方面解除合同。</w:t>
      </w:r>
    </w:p>
    <w:p w14:paraId="748E4696">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十三、不可抗力事件处理</w:t>
      </w:r>
    </w:p>
    <w:p w14:paraId="216CEA8B">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13.1 在合同有效期内，任何一方因不可抗力事件导致不能履行合同，则合同履行期可延长，其延长期与不可抗力影响期相同。</w:t>
      </w:r>
    </w:p>
    <w:p w14:paraId="368B332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13.2 不可抗力事件发生后，应立即通知对方，并寄送有关权威机构出具的证明。</w:t>
      </w:r>
    </w:p>
    <w:p w14:paraId="12C9619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13.3 不可抗力事件延续</w:t>
      </w:r>
      <w:r>
        <w:rPr>
          <w:rFonts w:hint="eastAsia" w:ascii="仿宋" w:hAnsi="仿宋" w:eastAsia="仿宋" w:cs="仿宋"/>
          <w:sz w:val="24"/>
          <w:szCs w:val="24"/>
          <w:u w:val="single"/>
        </w:rPr>
        <w:t>120</w:t>
      </w:r>
      <w:r>
        <w:rPr>
          <w:rFonts w:hint="eastAsia" w:ascii="仿宋" w:hAnsi="仿宋" w:eastAsia="仿宋" w:cs="仿宋"/>
          <w:sz w:val="24"/>
          <w:szCs w:val="24"/>
        </w:rPr>
        <w:t>天以上，双方应通过友好协商，确定是否继续履行合同。</w:t>
      </w:r>
    </w:p>
    <w:p w14:paraId="1CBF3C8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十四、解决争议的方法</w:t>
      </w:r>
    </w:p>
    <w:p w14:paraId="54C8C63C">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14.1双方在签订、履行合同中所发生的一切争议，应通过友好协商解决。如协商不成，由甲方住所地人民法院管辖。</w:t>
      </w:r>
    </w:p>
    <w:p w14:paraId="5F74F0FF">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十五、合同生效及其它</w:t>
      </w:r>
    </w:p>
    <w:p w14:paraId="2235D31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15.1 合同经双方法定代表人或授权委托代表人签字并加盖单位公章后生效。</w:t>
      </w:r>
    </w:p>
    <w:p w14:paraId="77351EF5">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15.2本合同未尽事宜，遵照中华人民共和国现行法律法规有关条文执行。</w:t>
      </w:r>
    </w:p>
    <w:p w14:paraId="18BE17E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15.3 本合同正本一式</w:t>
      </w:r>
      <w:r>
        <w:rPr>
          <w:rFonts w:hint="eastAsia" w:ascii="仿宋" w:hAnsi="仿宋" w:eastAsia="仿宋" w:cs="仿宋"/>
          <w:sz w:val="24"/>
          <w:szCs w:val="24"/>
          <w:u w:val="single"/>
        </w:rPr>
        <w:t>八</w:t>
      </w:r>
      <w:r>
        <w:rPr>
          <w:rFonts w:hint="eastAsia" w:ascii="仿宋" w:hAnsi="仿宋" w:eastAsia="仿宋" w:cs="仿宋"/>
          <w:sz w:val="24"/>
          <w:szCs w:val="24"/>
        </w:rPr>
        <w:t>份，具有同等法律效力。</w:t>
      </w:r>
    </w:p>
    <w:p w14:paraId="594ECF7A">
      <w:pPr>
        <w:snapToGrid w:val="0"/>
        <w:spacing w:before="120" w:after="120" w:line="500" w:lineRule="exact"/>
        <w:ind w:left="480" w:hanging="480" w:hangingChars="200"/>
        <w:rPr>
          <w:rFonts w:ascii="仿宋" w:hAnsi="仿宋" w:eastAsia="仿宋" w:cs="仿宋"/>
          <w:sz w:val="24"/>
          <w:szCs w:val="24"/>
        </w:rPr>
      </w:pPr>
      <w:r>
        <w:rPr>
          <w:rFonts w:hint="eastAsia" w:ascii="仿宋" w:hAnsi="仿宋" w:eastAsia="仿宋" w:cs="仿宋"/>
          <w:sz w:val="24"/>
          <w:szCs w:val="24"/>
        </w:rPr>
        <w:t xml:space="preserve">  </w:t>
      </w:r>
    </w:p>
    <w:p w14:paraId="72D12BAE">
      <w:pPr>
        <w:snapToGrid w:val="0"/>
        <w:spacing w:before="120" w:after="120" w:line="500" w:lineRule="exact"/>
        <w:ind w:left="480" w:hanging="480" w:hangingChars="200"/>
        <w:rPr>
          <w:rFonts w:ascii="仿宋" w:hAnsi="仿宋" w:eastAsia="仿宋" w:cs="仿宋"/>
          <w:sz w:val="24"/>
          <w:szCs w:val="24"/>
        </w:rPr>
      </w:pPr>
    </w:p>
    <w:p w14:paraId="0137EC48">
      <w:pPr>
        <w:snapToGrid w:val="0"/>
        <w:spacing w:before="120" w:after="120" w:line="0" w:lineRule="atLeast"/>
        <w:rPr>
          <w:rFonts w:ascii="仿宋" w:hAnsi="仿宋" w:eastAsia="仿宋" w:cs="仿宋"/>
          <w:sz w:val="24"/>
          <w:szCs w:val="24"/>
        </w:rPr>
      </w:pPr>
    </w:p>
    <w:p w14:paraId="44E3FA75">
      <w:pPr>
        <w:snapToGrid w:val="0"/>
        <w:spacing w:before="120" w:after="120" w:line="0" w:lineRule="atLeast"/>
        <w:ind w:left="479" w:leftChars="114" w:hanging="240" w:hangingChars="100"/>
        <w:rPr>
          <w:rFonts w:ascii="仿宋" w:hAnsi="仿宋" w:eastAsia="仿宋" w:cs="仿宋"/>
          <w:sz w:val="24"/>
          <w:szCs w:val="24"/>
        </w:rPr>
      </w:pPr>
      <w:r>
        <w:rPr>
          <w:rFonts w:hint="eastAsia" w:ascii="仿宋" w:hAnsi="仿宋" w:eastAsia="仿宋" w:cs="仿宋"/>
          <w:sz w:val="24"/>
          <w:szCs w:val="24"/>
        </w:rPr>
        <w:t xml:space="preserve"> 甲方：                        乙方： </w:t>
      </w:r>
    </w:p>
    <w:p w14:paraId="36DE8BA3">
      <w:pPr>
        <w:snapToGrid w:val="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p>
    <w:p w14:paraId="7C08B591">
      <w:pPr>
        <w:snapToGrid w:val="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798D5E80">
      <w:pPr>
        <w:snapToGrid w:val="0"/>
        <w:spacing w:before="120" w:after="120" w:line="0" w:lineRule="atLeast"/>
        <w:ind w:firstLine="240" w:firstLineChars="100"/>
        <w:rPr>
          <w:rFonts w:ascii="仿宋" w:hAnsi="仿宋" w:eastAsia="仿宋" w:cs="仿宋"/>
          <w:szCs w:val="21"/>
        </w:rPr>
      </w:pPr>
      <w:r>
        <w:rPr>
          <w:rFonts w:hint="eastAsia" w:ascii="仿宋" w:hAnsi="仿宋" w:eastAsia="仿宋" w:cs="仿宋"/>
          <w:sz w:val="24"/>
          <w:szCs w:val="24"/>
        </w:rPr>
        <w:t xml:space="preserve">联系电话：                    联系电话：          </w:t>
      </w:r>
    </w:p>
    <w:p w14:paraId="68CD9118">
      <w:pPr>
        <w:spacing w:line="500" w:lineRule="exact"/>
        <w:ind w:firstLine="420" w:firstLineChars="200"/>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p>
    <w:bookmarkEnd w:id="191"/>
    <w:bookmarkEnd w:id="192"/>
    <w:bookmarkEnd w:id="193"/>
    <w:p w14:paraId="7F535DAF">
      <w:pPr>
        <w:snapToGrid w:val="0"/>
        <w:spacing w:before="120" w:after="120" w:line="0" w:lineRule="atLeast"/>
        <w:jc w:val="center"/>
        <w:outlineLvl w:val="0"/>
        <w:rPr>
          <w:rFonts w:ascii="仿宋" w:hAnsi="仿宋" w:eastAsia="仿宋" w:cs="仿宋"/>
          <w:b/>
          <w:sz w:val="44"/>
          <w:szCs w:val="21"/>
        </w:rPr>
      </w:pPr>
      <w:bookmarkStart w:id="197" w:name="_Hlt16619369"/>
      <w:bookmarkEnd w:id="197"/>
      <w:bookmarkStart w:id="198" w:name="_Hlt16619350"/>
      <w:bookmarkStart w:id="199" w:name="_Toc120614244"/>
      <w:bookmarkStart w:id="200" w:name="_Toc16938590"/>
      <w:bookmarkStart w:id="201" w:name="_Toc20823346"/>
      <w:bookmarkStart w:id="202" w:name="_Toc479757211"/>
      <w:bookmarkStart w:id="203" w:name="_Toc462564139"/>
      <w:r>
        <w:rPr>
          <w:rFonts w:hint="eastAsia" w:ascii="仿宋" w:hAnsi="仿宋" w:eastAsia="仿宋" w:cs="仿宋"/>
          <w:bCs/>
          <w:sz w:val="24"/>
          <w:szCs w:val="24"/>
        </w:rPr>
        <w:br w:type="page"/>
      </w:r>
      <w:bookmarkStart w:id="204" w:name="_Toc14539"/>
      <w:bookmarkStart w:id="205" w:name="_Toc20693"/>
      <w:bookmarkStart w:id="206" w:name="_Toc16952"/>
      <w:r>
        <w:rPr>
          <w:rFonts w:hint="eastAsia" w:ascii="仿宋" w:hAnsi="仿宋" w:eastAsia="仿宋" w:cs="仿宋"/>
          <w:b/>
          <w:sz w:val="44"/>
          <w:szCs w:val="21"/>
        </w:rPr>
        <w:t>第</w:t>
      </w:r>
      <w:bookmarkEnd w:id="198"/>
      <w:r>
        <w:rPr>
          <w:rFonts w:hint="eastAsia" w:ascii="仿宋" w:hAnsi="仿宋" w:eastAsia="仿宋" w:cs="仿宋"/>
          <w:b/>
          <w:sz w:val="44"/>
          <w:szCs w:val="21"/>
        </w:rPr>
        <w:t>四章 采购需求</w:t>
      </w:r>
      <w:bookmarkEnd w:id="199"/>
      <w:bookmarkEnd w:id="200"/>
      <w:bookmarkEnd w:id="201"/>
      <w:bookmarkEnd w:id="204"/>
      <w:bookmarkEnd w:id="205"/>
      <w:bookmarkEnd w:id="206"/>
      <w:bookmarkStart w:id="207" w:name="_Toc26554093"/>
      <w:bookmarkStart w:id="208" w:name="_Toc49090575"/>
    </w:p>
    <w:p w14:paraId="4B198635">
      <w:pPr>
        <w:spacing w:line="500" w:lineRule="exact"/>
        <w:ind w:firstLine="560" w:firstLineChars="200"/>
        <w:rPr>
          <w:rFonts w:ascii="仿宋" w:hAnsi="仿宋" w:eastAsia="仿宋" w:cs="仿宋"/>
          <w:bCs/>
          <w:sz w:val="28"/>
          <w:szCs w:val="28"/>
        </w:rPr>
      </w:pPr>
      <w:r>
        <w:rPr>
          <w:rFonts w:hint="eastAsia" w:ascii="仿宋" w:hAnsi="仿宋" w:eastAsia="仿宋" w:cs="仿宋"/>
          <w:bCs/>
          <w:sz w:val="28"/>
          <w:szCs w:val="28"/>
        </w:rPr>
        <w:t>供应商在制作响应文件时仔细研究项目需求说明。项目需求包括技术要求和商务要求:</w:t>
      </w:r>
    </w:p>
    <w:p w14:paraId="00014BC0">
      <w:pPr>
        <w:spacing w:line="500" w:lineRule="exact"/>
        <w:ind w:firstLine="560" w:firstLineChars="200"/>
        <w:rPr>
          <w:rFonts w:ascii="仿宋" w:hAnsi="仿宋" w:eastAsia="仿宋" w:cs="仿宋"/>
          <w:bCs/>
          <w:sz w:val="28"/>
          <w:szCs w:val="28"/>
        </w:rPr>
      </w:pPr>
      <w:r>
        <w:rPr>
          <w:rFonts w:hint="eastAsia" w:ascii="仿宋" w:hAnsi="仿宋" w:eastAsia="仿宋" w:cs="仿宋"/>
          <w:bCs/>
          <w:sz w:val="28"/>
          <w:szCs w:val="28"/>
        </w:rPr>
        <w:t>技术要求是指对采购标的功能和质量要求，包括性能、材料、结构、外观、安全，或者服务内容和标准等,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Cs/>
          <w:sz w:val="28"/>
          <w:szCs w:val="28"/>
        </w:rPr>
        <w:t>。</w:t>
      </w:r>
    </w:p>
    <w:p w14:paraId="0E7638F5">
      <w:pPr>
        <w:spacing w:line="500" w:lineRule="exact"/>
        <w:ind w:firstLine="560" w:firstLineChars="200"/>
        <w:rPr>
          <w:rFonts w:ascii="仿宋" w:hAnsi="仿宋" w:eastAsia="仿宋" w:cs="仿宋"/>
          <w:bCs/>
          <w:sz w:val="28"/>
          <w:szCs w:val="28"/>
        </w:rPr>
      </w:pPr>
    </w:p>
    <w:p w14:paraId="4ABD19FE">
      <w:pPr>
        <w:spacing w:line="500" w:lineRule="exact"/>
        <w:ind w:firstLine="560" w:firstLineChars="200"/>
        <w:rPr>
          <w:rFonts w:ascii="仿宋" w:hAnsi="仿宋" w:eastAsia="仿宋" w:cs="仿宋"/>
          <w:b/>
          <w:i/>
          <w:iCs/>
          <w:sz w:val="28"/>
          <w:szCs w:val="28"/>
        </w:rPr>
      </w:pPr>
      <w:r>
        <w:rPr>
          <w:rFonts w:hint="eastAsia" w:ascii="仿宋" w:hAnsi="仿宋" w:eastAsia="仿宋" w:cs="仿宋"/>
          <w:bCs/>
          <w:sz w:val="28"/>
          <w:szCs w:val="28"/>
        </w:rPr>
        <w:t>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
          <w:i/>
          <w:iCs/>
          <w:sz w:val="28"/>
          <w:szCs w:val="28"/>
        </w:rPr>
        <w:t>。</w:t>
      </w:r>
    </w:p>
    <w:p w14:paraId="25E8915A">
      <w:pPr>
        <w:pStyle w:val="26"/>
        <w:numPr>
          <w:ilvl w:val="0"/>
          <w:numId w:val="2"/>
        </w:numPr>
        <w:adjustRightInd w:val="0"/>
        <w:snapToGrid w:val="0"/>
        <w:spacing w:line="500" w:lineRule="exact"/>
        <w:ind w:firstLineChars="0"/>
        <w:rPr>
          <w:rFonts w:ascii="黑体" w:hAnsi="黑体" w:eastAsia="黑体" w:cs="黑体"/>
          <w:b/>
          <w:bCs/>
          <w:sz w:val="28"/>
          <w:szCs w:val="28"/>
        </w:rPr>
      </w:pPr>
      <w:r>
        <w:rPr>
          <w:rFonts w:hint="eastAsia" w:ascii="仿宋" w:hAnsi="仿宋" w:eastAsia="仿宋" w:cs="仿宋"/>
          <w:b/>
          <w:bCs/>
          <w:sz w:val="32"/>
          <w:szCs w:val="32"/>
        </w:rPr>
        <w:t>其内容包含：</w:t>
      </w:r>
    </w:p>
    <w:p w14:paraId="67B16CB3">
      <w:pPr>
        <w:numPr>
          <w:ilvl w:val="0"/>
          <w:numId w:val="3"/>
        </w:num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采购标的需实现的功能或者目标，以及为落实政府采购政策需满足的要求；</w:t>
      </w:r>
    </w:p>
    <w:p w14:paraId="59419BA6">
      <w:pPr>
        <w:spacing w:line="440" w:lineRule="exact"/>
        <w:ind w:firstLine="480" w:firstLineChars="200"/>
        <w:rPr>
          <w:rFonts w:ascii="仿宋" w:hAnsi="仿宋" w:eastAsia="仿宋" w:cs="仿宋"/>
          <w:b/>
          <w:bCs/>
          <w:sz w:val="24"/>
          <w:szCs w:val="24"/>
        </w:rPr>
      </w:pPr>
      <w:r>
        <w:rPr>
          <w:rFonts w:hint="eastAsia" w:ascii="仿宋" w:hAnsi="仿宋" w:eastAsia="仿宋" w:cs="仿宋"/>
          <w:kern w:val="0"/>
          <w:sz w:val="24"/>
          <w:szCs w:val="24"/>
          <w:lang w:bidi="ar"/>
        </w:rPr>
        <w:t>新建一间技术先进、功能完备、支撑线上线下混合式教学模式改革的智慧教室，一间精品录播教室，实现教学内容数字化、教学互动精准化、教学管理智能化。本部分严格依据《中华人民共和国政府采购法》及最新政策要求，明确供应商及产品需满足的政策性条件，确保政府采购政策落地见效。</w:t>
      </w:r>
      <w:r>
        <w:rPr>
          <w:rFonts w:hint="eastAsia" w:ascii="仿宋" w:hAnsi="仿宋" w:eastAsia="仿宋" w:cs="仿宋"/>
          <w:b/>
          <w:bCs/>
          <w:color w:val="FF0000"/>
          <w:sz w:val="24"/>
          <w:szCs w:val="24"/>
        </w:rPr>
        <w:t>项目采购的计算机终端、服务器、操作系统及数据库须为信创产品，符合中国信息安全测评中心相关测评公告要求（见https://www.itsec.gov.cn/aqkkcp/cpgg/）； 项目中建设的信息系统，须符合信创要求，满足龙芯、C86、ARM三条路线要求。</w:t>
      </w:r>
    </w:p>
    <w:p w14:paraId="21967D44">
      <w:pPr>
        <w:numPr>
          <w:ilvl w:val="0"/>
          <w:numId w:val="3"/>
        </w:num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采购标的需执行的国家相关标准、行业标准、地方标准或者其他标准、规范；</w:t>
      </w:r>
    </w:p>
    <w:p w14:paraId="703E6FF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GB/T36447-2018《多媒体教学环境设计要求》</w:t>
      </w:r>
    </w:p>
    <w:p w14:paraId="62C97E4F">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w:t>
      </w:r>
      <w:r>
        <w:rPr>
          <w:rFonts w:ascii="仿宋" w:hAnsi="仿宋" w:eastAsia="仿宋" w:cs="仿宋"/>
          <w:kern w:val="0"/>
          <w:sz w:val="24"/>
          <w:szCs w:val="24"/>
          <w:lang w:bidi="ar"/>
        </w:rPr>
        <w:t>/T</w:t>
      </w:r>
      <w:r>
        <w:rPr>
          <w:rFonts w:hint="eastAsia" w:ascii="仿宋" w:hAnsi="仿宋" w:eastAsia="仿宋" w:cs="仿宋"/>
          <w:kern w:val="0"/>
          <w:sz w:val="24"/>
          <w:szCs w:val="24"/>
          <w:lang w:bidi="ar"/>
        </w:rPr>
        <w:t>4706.1-20</w:t>
      </w:r>
      <w:r>
        <w:rPr>
          <w:rFonts w:ascii="仿宋" w:hAnsi="仿宋" w:eastAsia="仿宋" w:cs="仿宋"/>
          <w:kern w:val="0"/>
          <w:sz w:val="24"/>
          <w:szCs w:val="24"/>
          <w:lang w:bidi="ar"/>
        </w:rPr>
        <w:t>24</w:t>
      </w:r>
      <w:r>
        <w:rPr>
          <w:rFonts w:hint="eastAsia" w:ascii="仿宋" w:hAnsi="仿宋" w:eastAsia="仿宋" w:cs="仿宋"/>
          <w:kern w:val="0"/>
          <w:sz w:val="24"/>
          <w:szCs w:val="24"/>
          <w:lang w:bidi="ar"/>
        </w:rPr>
        <w:t>《家用和类似用途电器的安全第1部分通用要求》</w:t>
      </w:r>
    </w:p>
    <w:p w14:paraId="364FE5C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GB/T9813-20</w:t>
      </w:r>
      <w:r>
        <w:rPr>
          <w:rFonts w:ascii="仿宋" w:hAnsi="仿宋" w:eastAsia="仿宋" w:cs="仿宋"/>
          <w:kern w:val="0"/>
          <w:sz w:val="24"/>
          <w:szCs w:val="24"/>
          <w:lang w:bidi="ar"/>
        </w:rPr>
        <w:t>16</w:t>
      </w:r>
      <w:r>
        <w:rPr>
          <w:rFonts w:hint="eastAsia" w:ascii="仿宋" w:hAnsi="仿宋" w:eastAsia="仿宋" w:cs="仿宋"/>
          <w:kern w:val="0"/>
          <w:sz w:val="24"/>
          <w:szCs w:val="24"/>
          <w:lang w:bidi="ar"/>
        </w:rPr>
        <w:t>《计算机通用规范》</w:t>
      </w:r>
    </w:p>
    <w:p w14:paraId="54EDEC3F">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GB4943.1-2022《音视频、信息技术和通信技术设备 第1部分：安全要求》</w:t>
      </w:r>
    </w:p>
    <w:p w14:paraId="65D38D7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T/JYBZ 002-2018 《教育用音视频录播系统》</w:t>
      </w:r>
    </w:p>
    <w:p w14:paraId="76A331C0">
      <w:pPr>
        <w:widowControl/>
        <w:ind w:firstLine="480"/>
        <w:jc w:val="left"/>
        <w:rPr>
          <w:rFonts w:ascii="仿宋" w:hAnsi="仿宋" w:eastAsia="仿宋" w:cs="仿宋"/>
          <w:sz w:val="24"/>
          <w:szCs w:val="24"/>
        </w:rPr>
      </w:pPr>
      <w:r>
        <w:rPr>
          <w:rFonts w:hint="eastAsia" w:ascii="仿宋" w:hAnsi="仿宋" w:eastAsia="仿宋" w:cs="仿宋"/>
          <w:kern w:val="0"/>
          <w:sz w:val="24"/>
          <w:szCs w:val="24"/>
          <w:lang w:bidi="ar"/>
        </w:rPr>
        <w:t>GYJ26-86《有线广播录、播音室声学设计规范和技术用房技术要求》</w:t>
      </w:r>
    </w:p>
    <w:p w14:paraId="35ED60B2">
      <w:pPr>
        <w:widowControl/>
        <w:ind w:firstLine="480"/>
        <w:jc w:val="left"/>
        <w:rPr>
          <w:rFonts w:ascii="仿宋" w:hAnsi="仿宋" w:eastAsia="仿宋" w:cs="仿宋"/>
          <w:sz w:val="24"/>
          <w:szCs w:val="24"/>
        </w:rPr>
      </w:pPr>
      <w:r>
        <w:rPr>
          <w:rFonts w:ascii="仿宋" w:hAnsi="仿宋" w:eastAsia="仿宋" w:cs="仿宋"/>
          <w:kern w:val="0"/>
          <w:sz w:val="24"/>
          <w:szCs w:val="24"/>
          <w:lang w:bidi="ar"/>
        </w:rPr>
        <w:t>DB32/T 5016-2025</w:t>
      </w:r>
      <w:r>
        <w:rPr>
          <w:rFonts w:hint="eastAsia" w:ascii="仿宋" w:hAnsi="仿宋" w:eastAsia="仿宋" w:cs="仿宋"/>
          <w:kern w:val="0"/>
          <w:sz w:val="24"/>
          <w:szCs w:val="24"/>
          <w:lang w:bidi="ar"/>
        </w:rPr>
        <w:t>《中小学智慧校园建设规范》</w:t>
      </w:r>
    </w:p>
    <w:p w14:paraId="5F9FBA30">
      <w:pPr>
        <w:spacing w:line="500" w:lineRule="exact"/>
        <w:ind w:firstLine="480"/>
        <w:rPr>
          <w:rFonts w:ascii="仿宋" w:hAnsi="仿宋" w:eastAsia="仿宋" w:cs="仿宋"/>
          <w:b/>
          <w:bCs/>
          <w:sz w:val="24"/>
          <w:szCs w:val="24"/>
        </w:rPr>
      </w:pPr>
      <w:r>
        <w:rPr>
          <w:rFonts w:hint="eastAsia" w:ascii="仿宋" w:hAnsi="仿宋" w:eastAsia="仿宋" w:cs="仿宋"/>
          <w:kern w:val="0"/>
          <w:sz w:val="24"/>
          <w:szCs w:val="24"/>
          <w:lang w:bidi="ar"/>
        </w:rPr>
        <w:t>如上述规范及规定不能覆盖全部的工作内容，则应遵循国家相关的最新规范及规定。如现行标准有变化，以现行最新标准为准。</w:t>
      </w:r>
    </w:p>
    <w:p w14:paraId="292FD475">
      <w:pPr>
        <w:adjustRightInd w:val="0"/>
        <w:snapToGrid w:val="0"/>
        <w:spacing w:line="500" w:lineRule="exact"/>
        <w:rPr>
          <w:rFonts w:ascii="黑体" w:hAnsi="黑体" w:eastAsia="黑体" w:cs="黑体"/>
          <w:sz w:val="28"/>
          <w:szCs w:val="28"/>
        </w:rPr>
      </w:pPr>
      <w:r>
        <w:rPr>
          <w:rFonts w:hint="eastAsia" w:ascii="仿宋" w:hAnsi="仿宋" w:eastAsia="仿宋" w:cs="仿宋"/>
          <w:b/>
          <w:bCs/>
          <w:sz w:val="24"/>
          <w:szCs w:val="24"/>
        </w:rPr>
        <w:t>（三）采购标的需满足的质量、安全、技术规格、物理特性等要求；</w:t>
      </w:r>
    </w:p>
    <w:tbl>
      <w:tblPr>
        <w:tblStyle w:val="14"/>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654"/>
      </w:tblGrid>
      <w:tr w14:paraId="3A6F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413" w:type="dxa"/>
            <w:tcBorders>
              <w:tl2br w:val="nil"/>
              <w:tr2bl w:val="nil"/>
            </w:tcBorders>
            <w:shd w:val="clear" w:color="auto" w:fill="auto"/>
            <w:vAlign w:val="center"/>
          </w:tcPr>
          <w:p w14:paraId="59CC700A">
            <w:pPr>
              <w:widowControl/>
              <w:jc w:val="center"/>
              <w:rPr>
                <w:rFonts w:ascii="宋体" w:hAnsi="宋体" w:cs="宋体"/>
                <w:b/>
                <w:bCs/>
                <w:kern w:val="0"/>
                <w:sz w:val="22"/>
              </w:rPr>
            </w:pPr>
            <w:r>
              <w:rPr>
                <w:rFonts w:hint="eastAsia" w:ascii="宋体" w:hAnsi="宋体" w:cs="宋体"/>
                <w:b/>
                <w:bCs/>
                <w:kern w:val="0"/>
                <w:sz w:val="22"/>
              </w:rPr>
              <w:t>名称</w:t>
            </w:r>
          </w:p>
        </w:tc>
        <w:tc>
          <w:tcPr>
            <w:tcW w:w="7654" w:type="dxa"/>
            <w:tcBorders>
              <w:tl2br w:val="nil"/>
              <w:tr2bl w:val="nil"/>
            </w:tcBorders>
            <w:shd w:val="clear" w:color="auto" w:fill="auto"/>
            <w:vAlign w:val="center"/>
          </w:tcPr>
          <w:p w14:paraId="16CDE591">
            <w:pPr>
              <w:widowControl/>
              <w:jc w:val="center"/>
              <w:rPr>
                <w:rFonts w:ascii="宋体" w:hAnsi="宋体" w:cs="宋体"/>
                <w:b/>
                <w:bCs/>
                <w:kern w:val="0"/>
                <w:sz w:val="22"/>
              </w:rPr>
            </w:pPr>
            <w:r>
              <w:rPr>
                <w:rFonts w:hint="eastAsia" w:ascii="宋体" w:hAnsi="宋体" w:cs="宋体"/>
                <w:b/>
                <w:bCs/>
                <w:kern w:val="0"/>
                <w:sz w:val="22"/>
              </w:rPr>
              <w:t>技术参数要求</w:t>
            </w:r>
          </w:p>
        </w:tc>
      </w:tr>
      <w:tr w14:paraId="6AF49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F8716CD">
            <w:pPr>
              <w:widowControl/>
              <w:jc w:val="center"/>
              <w:rPr>
                <w:rFonts w:ascii="宋体" w:hAnsi="宋体" w:cs="宋体"/>
                <w:kern w:val="0"/>
                <w:sz w:val="22"/>
              </w:rPr>
            </w:pPr>
            <w:r>
              <w:rPr>
                <w:rFonts w:hint="eastAsia" w:ascii="宋体" w:hAnsi="宋体" w:cs="宋体"/>
                <w:kern w:val="0"/>
                <w:sz w:val="22"/>
              </w:rPr>
              <w:t>4K录播一体机</w:t>
            </w:r>
          </w:p>
        </w:tc>
        <w:tc>
          <w:tcPr>
            <w:tcW w:w="7654" w:type="dxa"/>
            <w:tcBorders>
              <w:tl2br w:val="nil"/>
              <w:tr2bl w:val="nil"/>
            </w:tcBorders>
            <w:shd w:val="clear" w:color="000000" w:fill="FFFFFF"/>
            <w:vAlign w:val="center"/>
          </w:tcPr>
          <w:p w14:paraId="2D510821">
            <w:pPr>
              <w:widowControl/>
              <w:jc w:val="left"/>
              <w:rPr>
                <w:rFonts w:ascii="宋体" w:hAnsi="宋体" w:cs="宋体"/>
                <w:kern w:val="0"/>
                <w:sz w:val="22"/>
              </w:rPr>
            </w:pPr>
            <w:r>
              <w:rPr>
                <w:rFonts w:hint="eastAsia" w:ascii="宋体" w:hAnsi="宋体" w:cs="宋体"/>
                <w:kern w:val="0"/>
                <w:sz w:val="22"/>
              </w:rPr>
              <w:t>1.为保证师生画面及电脑画面采集与呈现，需具备≥6路视频采集（包括至少4路SDI，2路HDMI）和≥2路视频输出（包括至少2路HDMI）接口；</w:t>
            </w:r>
            <w:r>
              <w:rPr>
                <w:rFonts w:hint="eastAsia" w:ascii="宋体" w:hAnsi="宋体" w:cs="宋体"/>
                <w:kern w:val="0"/>
                <w:sz w:val="22"/>
              </w:rPr>
              <w:br w:type="textWrapping"/>
            </w:r>
            <w:r>
              <w:rPr>
                <w:rFonts w:hint="eastAsia" w:ascii="宋体" w:hAnsi="宋体" w:cs="宋体"/>
                <w:kern w:val="0"/>
                <w:sz w:val="22"/>
              </w:rPr>
              <w:t>2.为保证教室内教师与学生声音采集与扩声，需具备≥6路音频独立采集和≥2路音频独立输出接口；</w:t>
            </w:r>
            <w:r>
              <w:rPr>
                <w:rFonts w:hint="eastAsia" w:ascii="宋体" w:hAnsi="宋体" w:cs="宋体"/>
                <w:kern w:val="0"/>
                <w:sz w:val="22"/>
              </w:rPr>
              <w:br w:type="textWrapping"/>
            </w:r>
            <w:r>
              <w:rPr>
                <w:rFonts w:hint="eastAsia" w:ascii="宋体" w:hAnsi="宋体" w:cs="宋体"/>
                <w:kern w:val="0"/>
                <w:sz w:val="22"/>
              </w:rPr>
              <w:t>3.▲为保证设备连通性，需具备≥4路RJ45网口且支持POE，保证设备能够接入网络，并预留≥1路独立网络调试口；</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4.▲为保证对教室内现有设备及新建设备的控制，需具备≥6路控制接口，实现对教室内中控面板、摄像机、投影、幕布、灯光等进行控制，实现统一集中管控；</w:t>
            </w:r>
            <w:r>
              <w:rPr>
                <w:rFonts w:hint="eastAsia" w:ascii="宋体" w:hAnsi="宋体" w:cs="宋体"/>
                <w:b/>
                <w:bCs/>
                <w:kern w:val="0"/>
                <w:sz w:val="22"/>
              </w:rPr>
              <w:t>（响应时提供权威机构检测报告扫描件佐证）</w:t>
            </w:r>
            <w:r>
              <w:rPr>
                <w:rFonts w:hint="eastAsia" w:ascii="宋体" w:hAnsi="宋体" w:cs="宋体"/>
                <w:kern w:val="0"/>
                <w:sz w:val="22"/>
              </w:rPr>
              <w:br w:type="textWrapping"/>
            </w:r>
            <w:r>
              <w:rPr>
                <w:rFonts w:hint="eastAsia" w:ascii="宋体" w:hAnsi="宋体" w:cs="宋体"/>
                <w:kern w:val="0"/>
                <w:sz w:val="22"/>
              </w:rPr>
              <w:t>5.为保证设备使用的灵活性，接入键盘鼠标等，即可实现对主机的控制，需具备≥2路USB接口，同时支持U盘进行存储拷贝；</w:t>
            </w:r>
            <w:r>
              <w:rPr>
                <w:rFonts w:hint="eastAsia" w:ascii="宋体" w:hAnsi="宋体" w:cs="宋体"/>
                <w:kern w:val="0"/>
                <w:sz w:val="22"/>
              </w:rPr>
              <w:br w:type="textWrapping"/>
            </w:r>
            <w:r>
              <w:rPr>
                <w:rFonts w:hint="eastAsia" w:ascii="宋体" w:hAnsi="宋体" w:cs="宋体"/>
                <w:kern w:val="0"/>
                <w:sz w:val="22"/>
              </w:rPr>
              <w:t>6.支持控制录播开始、暂停、停止，支持显示录制时间；</w:t>
            </w:r>
            <w:r>
              <w:rPr>
                <w:rFonts w:hint="eastAsia" w:ascii="宋体" w:hAnsi="宋体" w:cs="宋体"/>
                <w:kern w:val="0"/>
                <w:sz w:val="22"/>
              </w:rPr>
              <w:br w:type="textWrapping"/>
            </w:r>
            <w:r>
              <w:rPr>
                <w:rFonts w:hint="eastAsia" w:ascii="宋体" w:hAnsi="宋体" w:cs="宋体"/>
                <w:kern w:val="0"/>
                <w:sz w:val="22"/>
              </w:rPr>
              <w:t>7.支持显示教室基本信息，包括主题、主讲、教室、课程、存储总量及剩余存储量；</w:t>
            </w:r>
            <w:r>
              <w:rPr>
                <w:rFonts w:hint="eastAsia" w:ascii="宋体" w:hAnsi="宋体" w:cs="宋体"/>
                <w:kern w:val="0"/>
                <w:sz w:val="22"/>
              </w:rPr>
              <w:br w:type="textWrapping"/>
            </w:r>
            <w:r>
              <w:rPr>
                <w:rFonts w:hint="eastAsia" w:ascii="宋体" w:hAnsi="宋体" w:cs="宋体"/>
                <w:kern w:val="0"/>
                <w:sz w:val="22"/>
              </w:rPr>
              <w:t>8.▲支持≥11路导播通道显示，显示画面包括教师全景、学生全景、教师特写、学生特写、教学电脑画面、远程互动画面、板书画面等其他素材；</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9.支持手动导播自动导播切换，支持资源模式电影模式切换，支持≥5路资源模式及≥1路电影模式同时录制；</w:t>
            </w:r>
            <w:r>
              <w:rPr>
                <w:rFonts w:hint="eastAsia" w:ascii="宋体" w:hAnsi="宋体" w:cs="宋体"/>
                <w:kern w:val="0"/>
                <w:sz w:val="22"/>
              </w:rPr>
              <w:br w:type="textWrapping"/>
            </w:r>
            <w:r>
              <w:rPr>
                <w:rFonts w:hint="eastAsia" w:ascii="宋体" w:hAnsi="宋体" w:cs="宋体"/>
                <w:kern w:val="0"/>
                <w:sz w:val="22"/>
              </w:rPr>
              <w:t>10.支持对摄像机云台控制，至少包括推拉焦、上下左右转动，控制速度可以进行设置快、中、慢。</w:t>
            </w:r>
          </w:p>
        </w:tc>
      </w:tr>
      <w:tr w14:paraId="6BFA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075DB42">
            <w:pPr>
              <w:widowControl/>
              <w:jc w:val="center"/>
              <w:rPr>
                <w:rFonts w:ascii="宋体" w:hAnsi="宋体" w:cs="宋体"/>
                <w:kern w:val="0"/>
                <w:sz w:val="22"/>
              </w:rPr>
            </w:pPr>
            <w:r>
              <w:rPr>
                <w:rFonts w:hint="eastAsia" w:ascii="宋体" w:hAnsi="宋体" w:cs="宋体"/>
                <w:kern w:val="0"/>
                <w:sz w:val="22"/>
              </w:rPr>
              <w:t>4K高清录播系统</w:t>
            </w:r>
          </w:p>
        </w:tc>
        <w:tc>
          <w:tcPr>
            <w:tcW w:w="7654" w:type="dxa"/>
            <w:tcBorders>
              <w:tl2br w:val="nil"/>
              <w:tr2bl w:val="nil"/>
            </w:tcBorders>
            <w:shd w:val="clear" w:color="000000" w:fill="FFFFFF"/>
            <w:vAlign w:val="center"/>
          </w:tcPr>
          <w:p w14:paraId="37984659">
            <w:pPr>
              <w:widowControl/>
              <w:jc w:val="left"/>
              <w:rPr>
                <w:rFonts w:ascii="宋体" w:hAnsi="宋体" w:cs="宋体"/>
                <w:kern w:val="0"/>
                <w:sz w:val="22"/>
              </w:rPr>
            </w:pPr>
            <w:r>
              <w:rPr>
                <w:rFonts w:hint="eastAsia" w:ascii="宋体" w:hAnsi="宋体" w:cs="宋体"/>
                <w:kern w:val="0"/>
                <w:sz w:val="22"/>
              </w:rPr>
              <w:t>1.支持预置位控制，快速调用预置位、设置预置位。</w:t>
            </w:r>
            <w:r>
              <w:rPr>
                <w:rFonts w:hint="eastAsia" w:ascii="宋体" w:hAnsi="宋体" w:cs="宋体"/>
                <w:kern w:val="0"/>
                <w:sz w:val="22"/>
              </w:rPr>
              <w:br w:type="textWrapping"/>
            </w:r>
            <w:r>
              <w:rPr>
                <w:rFonts w:hint="eastAsia" w:ascii="宋体" w:hAnsi="宋体" w:cs="宋体"/>
                <w:kern w:val="0"/>
                <w:sz w:val="22"/>
              </w:rPr>
              <w:t>2.支持视频模版配置，至少包括画中画、二分屏、三分屏、四分屏、画旁画，每路视频均可选择配置某一路通道的画面，其中画中画可以配置画面位置及画面大小。</w:t>
            </w:r>
            <w:r>
              <w:rPr>
                <w:rFonts w:hint="eastAsia" w:ascii="宋体" w:hAnsi="宋体" w:cs="宋体"/>
                <w:kern w:val="0"/>
                <w:sz w:val="22"/>
              </w:rPr>
              <w:br w:type="textWrapping"/>
            </w:r>
            <w:r>
              <w:rPr>
                <w:rFonts w:hint="eastAsia" w:ascii="宋体" w:hAnsi="宋体" w:cs="宋体"/>
                <w:kern w:val="0"/>
                <w:sz w:val="22"/>
              </w:rPr>
              <w:t>3.支持呼叫功能，支持互动协议H.323、SIP，支持添加呼叫地址、速率，支持推流、断开及呼叫、挂断。支持选择接听方式，自动接听、自动挂断、手动接听。</w:t>
            </w:r>
            <w:r>
              <w:rPr>
                <w:rFonts w:hint="eastAsia" w:ascii="宋体" w:hAnsi="宋体" w:cs="宋体"/>
                <w:kern w:val="0"/>
                <w:sz w:val="22"/>
              </w:rPr>
              <w:br w:type="textWrapping"/>
            </w:r>
            <w:r>
              <w:rPr>
                <w:rFonts w:hint="eastAsia" w:ascii="宋体" w:hAnsi="宋体" w:cs="宋体"/>
                <w:kern w:val="0"/>
                <w:sz w:val="22"/>
              </w:rPr>
              <w:t>4.▲支持在远程互动课堂过程中突然发生意外断电时，待电源恢复后，无需任何操作即可自动回到原来的互动课堂中。</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5.支持查看主机录制文件，点击文件即可播放课程视频，支持对文件手动上传、下载、重命名、删除等操作。支持对录制文件进行搜索，查看文件上传状态。</w:t>
            </w:r>
            <w:r>
              <w:rPr>
                <w:rFonts w:hint="eastAsia" w:ascii="宋体" w:hAnsi="宋体" w:cs="宋体"/>
                <w:kern w:val="0"/>
                <w:sz w:val="22"/>
              </w:rPr>
              <w:br w:type="textWrapping"/>
            </w:r>
            <w:r>
              <w:rPr>
                <w:rFonts w:hint="eastAsia" w:ascii="宋体" w:hAnsi="宋体" w:cs="宋体"/>
                <w:kern w:val="0"/>
                <w:sz w:val="22"/>
              </w:rPr>
              <w:t>6.▲支持智能中控设置，支持添加智能设备；支持物联外设设置，支持配置录播控制、音量控制、物联控制、视频信号、教学画面。</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7.支持片段录制，录制时长支持设置0.5h，1h，2h，4h。</w:t>
            </w:r>
            <w:r>
              <w:rPr>
                <w:rFonts w:hint="eastAsia" w:ascii="宋体" w:hAnsi="宋体" w:cs="宋体"/>
                <w:kern w:val="0"/>
                <w:sz w:val="22"/>
              </w:rPr>
              <w:br w:type="textWrapping"/>
            </w:r>
            <w:r>
              <w:rPr>
                <w:rFonts w:hint="eastAsia" w:ascii="宋体" w:hAnsi="宋体" w:cs="宋体"/>
                <w:kern w:val="0"/>
                <w:sz w:val="22"/>
              </w:rPr>
              <w:t>8.为保证课件上传的自主性及安全性，支持FTP及SFTP上传协议，填写上传地址、路径。支持选择上传方式，包括手动上传、立即上传、定时上传，支持上传资源模式。</w:t>
            </w:r>
            <w:r>
              <w:rPr>
                <w:rFonts w:hint="eastAsia" w:ascii="宋体" w:hAnsi="宋体" w:cs="宋体"/>
                <w:kern w:val="0"/>
                <w:sz w:val="22"/>
              </w:rPr>
              <w:br w:type="textWrapping"/>
            </w:r>
            <w:r>
              <w:rPr>
                <w:rFonts w:hint="eastAsia" w:ascii="宋体" w:hAnsi="宋体" w:cs="宋体"/>
                <w:kern w:val="0"/>
                <w:sz w:val="22"/>
              </w:rPr>
              <w:t>9.支持设备重启后继续录制。</w:t>
            </w:r>
            <w:r>
              <w:rPr>
                <w:rFonts w:hint="eastAsia" w:ascii="宋体" w:hAnsi="宋体" w:cs="宋体"/>
                <w:kern w:val="0"/>
                <w:sz w:val="22"/>
              </w:rPr>
              <w:br w:type="textWrapping"/>
            </w:r>
            <w:r>
              <w:rPr>
                <w:rFonts w:hint="eastAsia" w:ascii="宋体" w:hAnsi="宋体" w:cs="宋体"/>
                <w:kern w:val="0"/>
                <w:sz w:val="22"/>
              </w:rPr>
              <w:t>10.▲音频处理设置，支持对主机音频通道进行音频处理，包括ANR语音降噪、EQ 均衡、AGC自动增益、AEC回声抑制、HPF高通滤波。</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11.教师跟踪需与导播联动，可基于预设规则，根据教师所处讲台、学生区域及师生互动状态，自动切换教师特写、学生全景或特写画面，实现跟踪与画面切换的无缝协同。</w:t>
            </w:r>
            <w:r>
              <w:rPr>
                <w:rFonts w:hint="eastAsia" w:ascii="宋体" w:hAnsi="宋体" w:cs="宋体"/>
                <w:kern w:val="0"/>
                <w:sz w:val="22"/>
              </w:rPr>
              <w:br w:type="textWrapping"/>
            </w:r>
            <w:r>
              <w:rPr>
                <w:rFonts w:hint="eastAsia" w:ascii="宋体" w:hAnsi="宋体" w:cs="宋体"/>
                <w:kern w:val="0"/>
                <w:sz w:val="22"/>
              </w:rPr>
              <w:t>12.学生跟踪需与导播适配，能识别学生起立状态，单生起立自动切换至该生特写，多生同时起立优先切换学生全景后按发言顺序切换单生特写，学生坐下后可根据教师位置及教学状态回切至教师跟踪画面或电脑画面；</w:t>
            </w:r>
            <w:r>
              <w:rPr>
                <w:rFonts w:hint="eastAsia" w:ascii="宋体" w:hAnsi="宋体" w:cs="宋体"/>
                <w:kern w:val="0"/>
                <w:sz w:val="22"/>
              </w:rPr>
              <w:br w:type="textWrapping"/>
            </w:r>
            <w:r>
              <w:rPr>
                <w:rFonts w:hint="eastAsia" w:ascii="宋体" w:hAnsi="宋体" w:cs="宋体"/>
                <w:kern w:val="0"/>
                <w:sz w:val="22"/>
              </w:rPr>
              <w:t>13.需支持自定义导播规则与模板，可自主设定画面切换触发条件、优先级规则、画面停留时长及切换频率等参数，适配不同教学场景及管理需求。</w:t>
            </w:r>
          </w:p>
        </w:tc>
      </w:tr>
      <w:tr w14:paraId="0C57C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E78BCDE">
            <w:pPr>
              <w:widowControl/>
              <w:jc w:val="center"/>
              <w:rPr>
                <w:rFonts w:ascii="宋体" w:hAnsi="宋体" w:cs="宋体"/>
                <w:kern w:val="0"/>
                <w:sz w:val="22"/>
              </w:rPr>
            </w:pPr>
            <w:r>
              <w:rPr>
                <w:rFonts w:hint="eastAsia" w:ascii="宋体" w:hAnsi="宋体" w:cs="宋体"/>
                <w:kern w:val="0"/>
                <w:sz w:val="22"/>
              </w:rPr>
              <w:t>行为分析语音识别</w:t>
            </w:r>
          </w:p>
        </w:tc>
        <w:tc>
          <w:tcPr>
            <w:tcW w:w="7654" w:type="dxa"/>
            <w:tcBorders>
              <w:tl2br w:val="nil"/>
              <w:tr2bl w:val="nil"/>
            </w:tcBorders>
            <w:shd w:val="clear" w:color="000000" w:fill="FFFFFF"/>
            <w:vAlign w:val="center"/>
          </w:tcPr>
          <w:p w14:paraId="003260DF">
            <w:pPr>
              <w:widowControl/>
              <w:jc w:val="left"/>
              <w:rPr>
                <w:rFonts w:ascii="宋体" w:hAnsi="宋体" w:cs="宋体"/>
                <w:kern w:val="0"/>
                <w:sz w:val="22"/>
              </w:rPr>
            </w:pPr>
            <w:r>
              <w:rPr>
                <w:rFonts w:hint="eastAsia" w:ascii="宋体" w:hAnsi="宋体" w:cs="宋体"/>
                <w:kern w:val="0"/>
                <w:sz w:val="22"/>
              </w:rPr>
              <w:t>1.语音转写：要求基于语音语义识别完成课堂音频的文字转换，实现课堂教学过程语音全纪录，要求平台上可输出整节课的文字字幕。实现字幕与视频进度关联，通过点击字幕同步播放对应进度的视频；</w:t>
            </w:r>
            <w:r>
              <w:rPr>
                <w:rFonts w:hint="eastAsia" w:ascii="宋体" w:hAnsi="宋体" w:cs="宋体"/>
                <w:kern w:val="0"/>
                <w:sz w:val="22"/>
              </w:rPr>
              <w:br w:type="textWrapping"/>
            </w:r>
            <w:r>
              <w:rPr>
                <w:rFonts w:hint="eastAsia" w:ascii="宋体" w:hAnsi="宋体" w:cs="宋体"/>
                <w:kern w:val="0"/>
                <w:sz w:val="22"/>
              </w:rPr>
              <w:t>2.中英互译：支持视频课件的中英文翻译，支持中英文字幕实时切换；</w:t>
            </w:r>
            <w:r>
              <w:rPr>
                <w:rFonts w:hint="eastAsia" w:ascii="宋体" w:hAnsi="宋体" w:cs="宋体"/>
                <w:kern w:val="0"/>
                <w:sz w:val="22"/>
              </w:rPr>
              <w:br w:type="textWrapping"/>
            </w:r>
            <w:r>
              <w:rPr>
                <w:rFonts w:hint="eastAsia" w:ascii="宋体" w:hAnsi="宋体" w:cs="宋体"/>
                <w:kern w:val="0"/>
                <w:sz w:val="22"/>
              </w:rPr>
              <w:t>3.字幕设置：支持调整字幕字号大小，字号支持12px～60px可调；支持字幕颜色、位置、透明度设置；</w:t>
            </w:r>
            <w:r>
              <w:rPr>
                <w:rFonts w:hint="eastAsia" w:ascii="宋体" w:hAnsi="宋体" w:cs="宋体"/>
                <w:kern w:val="0"/>
                <w:sz w:val="22"/>
              </w:rPr>
              <w:br w:type="textWrapping"/>
            </w:r>
            <w:r>
              <w:rPr>
                <w:rFonts w:hint="eastAsia" w:ascii="宋体" w:hAnsi="宋体" w:cs="宋体"/>
                <w:kern w:val="0"/>
                <w:sz w:val="22"/>
              </w:rPr>
              <w:t>4.字幕管理：支持字幕文档管理，能够手动矫正所识别的字幕，支持再次识别字幕；</w:t>
            </w:r>
            <w:r>
              <w:rPr>
                <w:rFonts w:hint="eastAsia" w:ascii="宋体" w:hAnsi="宋体" w:cs="宋体"/>
                <w:kern w:val="0"/>
                <w:sz w:val="22"/>
              </w:rPr>
              <w:br w:type="textWrapping"/>
            </w:r>
            <w:r>
              <w:rPr>
                <w:rFonts w:hint="eastAsia" w:ascii="宋体" w:hAnsi="宋体" w:cs="宋体"/>
                <w:kern w:val="0"/>
                <w:sz w:val="22"/>
              </w:rPr>
              <w:t>5.敏感词管理：支持设置敏感词功能，支持自定义敏感词，支持根据需求实时添加、删除敏感词，支持设置敏感词属性，支持敏感词索引；</w:t>
            </w:r>
            <w:r>
              <w:rPr>
                <w:rFonts w:hint="eastAsia" w:ascii="宋体" w:hAnsi="宋体" w:cs="宋体"/>
                <w:kern w:val="0"/>
                <w:sz w:val="22"/>
              </w:rPr>
              <w:br w:type="textWrapping"/>
            </w:r>
            <w:r>
              <w:rPr>
                <w:rFonts w:hint="eastAsia" w:ascii="宋体" w:hAnsi="宋体" w:cs="宋体"/>
                <w:kern w:val="0"/>
                <w:sz w:val="22"/>
              </w:rPr>
              <w:t>6.敏感词屏蔽：支持敏感词屏蔽功能，语音转写时可自动屏蔽设置好的敏感词。</w:t>
            </w:r>
          </w:p>
        </w:tc>
      </w:tr>
      <w:tr w14:paraId="7429A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E00BB95">
            <w:pPr>
              <w:widowControl/>
              <w:jc w:val="center"/>
              <w:rPr>
                <w:rFonts w:ascii="宋体" w:hAnsi="宋体" w:cs="宋体"/>
                <w:kern w:val="0"/>
                <w:sz w:val="22"/>
              </w:rPr>
            </w:pPr>
            <w:r>
              <w:rPr>
                <w:rFonts w:hint="eastAsia" w:ascii="宋体" w:hAnsi="宋体" w:cs="宋体"/>
                <w:kern w:val="0"/>
                <w:sz w:val="22"/>
              </w:rPr>
              <w:t>4K超高清摄像机</w:t>
            </w:r>
          </w:p>
        </w:tc>
        <w:tc>
          <w:tcPr>
            <w:tcW w:w="7654" w:type="dxa"/>
            <w:tcBorders>
              <w:tl2br w:val="nil"/>
              <w:tr2bl w:val="nil"/>
            </w:tcBorders>
            <w:shd w:val="clear" w:color="000000" w:fill="FFFFFF"/>
            <w:vAlign w:val="center"/>
          </w:tcPr>
          <w:p w14:paraId="784DA189">
            <w:pPr>
              <w:widowControl/>
              <w:jc w:val="left"/>
              <w:rPr>
                <w:rFonts w:ascii="宋体" w:hAnsi="宋体" w:cs="宋体"/>
                <w:kern w:val="0"/>
                <w:sz w:val="22"/>
              </w:rPr>
            </w:pPr>
            <w:r>
              <w:rPr>
                <w:rFonts w:hint="eastAsia" w:ascii="宋体" w:hAnsi="宋体" w:cs="宋体"/>
                <w:kern w:val="0"/>
                <w:sz w:val="22"/>
              </w:rPr>
              <w:t>1.需支持≥1/2.8英寸CMOS图像传感器；有效像素需支持≥800万像素；</w:t>
            </w:r>
            <w:r>
              <w:rPr>
                <w:rFonts w:hint="eastAsia" w:ascii="宋体" w:hAnsi="宋体" w:cs="宋体"/>
                <w:kern w:val="0"/>
                <w:sz w:val="22"/>
              </w:rPr>
              <w:br w:type="textWrapping"/>
            </w:r>
            <w:r>
              <w:rPr>
                <w:rFonts w:hint="eastAsia" w:ascii="宋体" w:hAnsi="宋体" w:cs="宋体"/>
                <w:kern w:val="0"/>
                <w:sz w:val="22"/>
              </w:rPr>
              <w:t>2.光学变焦需支持≥20倍、需支持≥15倍数字变焦；</w:t>
            </w:r>
            <w:r>
              <w:rPr>
                <w:rFonts w:hint="eastAsia" w:ascii="宋体" w:hAnsi="宋体" w:cs="宋体"/>
                <w:kern w:val="0"/>
                <w:sz w:val="22"/>
              </w:rPr>
              <w:br w:type="textWrapping"/>
            </w:r>
            <w:r>
              <w:rPr>
                <w:rFonts w:hint="eastAsia" w:ascii="宋体" w:hAnsi="宋体" w:cs="宋体"/>
                <w:kern w:val="0"/>
                <w:sz w:val="22"/>
              </w:rPr>
              <w:t>3.视场角：≥6.5°～≥70°；需支持≥255个预置位；</w:t>
            </w:r>
            <w:r>
              <w:rPr>
                <w:rFonts w:hint="eastAsia" w:ascii="宋体" w:hAnsi="宋体" w:cs="宋体"/>
                <w:kern w:val="0"/>
                <w:sz w:val="22"/>
              </w:rPr>
              <w:br w:type="textWrapping"/>
            </w:r>
            <w:r>
              <w:rPr>
                <w:rFonts w:hint="eastAsia" w:ascii="宋体" w:hAnsi="宋体" w:cs="宋体"/>
                <w:kern w:val="0"/>
                <w:sz w:val="22"/>
              </w:rPr>
              <w:t>4.高清视频输出帧率：4KP30及向下兼容；</w:t>
            </w:r>
            <w:r>
              <w:rPr>
                <w:rFonts w:hint="eastAsia" w:ascii="宋体" w:hAnsi="宋体" w:cs="宋体"/>
                <w:kern w:val="0"/>
                <w:sz w:val="22"/>
              </w:rPr>
              <w:br w:type="textWrapping"/>
            </w:r>
            <w:r>
              <w:rPr>
                <w:rFonts w:hint="eastAsia" w:ascii="宋体" w:hAnsi="宋体" w:cs="宋体"/>
                <w:kern w:val="0"/>
                <w:sz w:val="22"/>
              </w:rPr>
              <w:t>5.支持网络输出，网络视频压缩：H.265、H.264，音频压缩：AAC；</w:t>
            </w:r>
            <w:r>
              <w:rPr>
                <w:rFonts w:hint="eastAsia" w:ascii="宋体" w:hAnsi="宋体" w:cs="宋体"/>
                <w:kern w:val="0"/>
                <w:sz w:val="22"/>
              </w:rPr>
              <w:br w:type="textWrapping"/>
            </w:r>
            <w:r>
              <w:rPr>
                <w:rFonts w:hint="eastAsia" w:ascii="宋体" w:hAnsi="宋体" w:cs="宋体"/>
                <w:kern w:val="0"/>
                <w:sz w:val="22"/>
              </w:rPr>
              <w:t>6.支持双码流视频输出，支持多级别视频质量配置；</w:t>
            </w:r>
            <w:r>
              <w:rPr>
                <w:rFonts w:hint="eastAsia" w:ascii="宋体" w:hAnsi="宋体" w:cs="宋体"/>
                <w:kern w:val="0"/>
                <w:sz w:val="22"/>
              </w:rPr>
              <w:br w:type="textWrapping"/>
            </w:r>
            <w:r>
              <w:rPr>
                <w:rFonts w:hint="eastAsia" w:ascii="宋体" w:hAnsi="宋体" w:cs="宋体"/>
                <w:kern w:val="0"/>
                <w:sz w:val="22"/>
              </w:rPr>
              <w:t>7.支持多种视频输出方式，包括但不限于3G-SDI、HDMI、网络、USB3.0视频输出；</w:t>
            </w:r>
            <w:r>
              <w:rPr>
                <w:rFonts w:hint="eastAsia" w:ascii="宋体" w:hAnsi="宋体" w:cs="宋体"/>
                <w:kern w:val="0"/>
                <w:sz w:val="22"/>
              </w:rPr>
              <w:br w:type="textWrapping"/>
            </w:r>
            <w:r>
              <w:rPr>
                <w:rFonts w:hint="eastAsia" w:ascii="宋体" w:hAnsi="宋体" w:cs="宋体"/>
                <w:kern w:val="0"/>
                <w:sz w:val="22"/>
              </w:rPr>
              <w:t>8.音频输出：需支持HDMI、SDI、LAN、USB3.0音频输出，需支持AAC、MP3、G.711A音频压缩格式；</w:t>
            </w:r>
            <w:r>
              <w:rPr>
                <w:rFonts w:hint="eastAsia" w:ascii="宋体" w:hAnsi="宋体" w:cs="宋体"/>
                <w:kern w:val="0"/>
                <w:sz w:val="22"/>
              </w:rPr>
              <w:br w:type="textWrapping"/>
            </w:r>
            <w:r>
              <w:rPr>
                <w:rFonts w:hint="eastAsia" w:ascii="宋体" w:hAnsi="宋体" w:cs="宋体"/>
                <w:kern w:val="0"/>
                <w:sz w:val="22"/>
              </w:rPr>
              <w:t>9.音视频接口：支持≥1路HDMI，≥1路SDI；支持≥1路双声道3.5mm的音频采集接口；</w:t>
            </w:r>
            <w:r>
              <w:rPr>
                <w:rFonts w:hint="eastAsia" w:ascii="宋体" w:hAnsi="宋体" w:cs="宋体"/>
                <w:kern w:val="0"/>
                <w:sz w:val="22"/>
              </w:rPr>
              <w:br w:type="textWrapping"/>
            </w:r>
            <w:r>
              <w:rPr>
                <w:rFonts w:hint="eastAsia" w:ascii="宋体" w:hAnsi="宋体" w:cs="宋体"/>
                <w:kern w:val="0"/>
                <w:sz w:val="22"/>
              </w:rPr>
              <w:t>10.网络接口：支持≥1路RJ45网口，10/100M自适应以太网口，支持POE供电；</w:t>
            </w:r>
            <w:r>
              <w:rPr>
                <w:rFonts w:hint="eastAsia" w:ascii="宋体" w:hAnsi="宋体" w:cs="宋体"/>
                <w:kern w:val="0"/>
                <w:sz w:val="22"/>
              </w:rPr>
              <w:br w:type="textWrapping"/>
            </w:r>
            <w:r>
              <w:rPr>
                <w:rFonts w:hint="eastAsia" w:ascii="宋体" w:hAnsi="宋体" w:cs="宋体"/>
                <w:kern w:val="0"/>
                <w:sz w:val="22"/>
              </w:rPr>
              <w:t>11.USB接口：支持≥1路USB3.0接口，需同时支持UVC（视频通讯协议）及UAC（音频通讯协议）；</w:t>
            </w:r>
            <w:r>
              <w:rPr>
                <w:rFonts w:hint="eastAsia" w:ascii="宋体" w:hAnsi="宋体" w:cs="宋体"/>
                <w:kern w:val="0"/>
                <w:sz w:val="22"/>
              </w:rPr>
              <w:br w:type="textWrapping"/>
            </w:r>
            <w:r>
              <w:rPr>
                <w:rFonts w:hint="eastAsia" w:ascii="宋体" w:hAnsi="宋体" w:cs="宋体"/>
                <w:kern w:val="0"/>
                <w:sz w:val="22"/>
              </w:rPr>
              <w:t>12.通讯接口：支持≥1路RS232IN，≥1路RS232OUT，≥1路RS422需兼容RS485；</w:t>
            </w:r>
          </w:p>
        </w:tc>
      </w:tr>
      <w:tr w14:paraId="0728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E68B367">
            <w:pPr>
              <w:widowControl/>
              <w:jc w:val="center"/>
              <w:rPr>
                <w:rFonts w:ascii="宋体" w:hAnsi="宋体" w:cs="宋体"/>
                <w:kern w:val="0"/>
                <w:sz w:val="22"/>
              </w:rPr>
            </w:pPr>
            <w:r>
              <w:rPr>
                <w:rFonts w:hint="eastAsia" w:ascii="宋体" w:hAnsi="宋体" w:cs="宋体"/>
                <w:kern w:val="0"/>
                <w:sz w:val="22"/>
              </w:rPr>
              <w:t>智能分析主机</w:t>
            </w:r>
          </w:p>
        </w:tc>
        <w:tc>
          <w:tcPr>
            <w:tcW w:w="7654" w:type="dxa"/>
            <w:tcBorders>
              <w:tl2br w:val="nil"/>
              <w:tr2bl w:val="nil"/>
            </w:tcBorders>
            <w:shd w:val="clear" w:color="000000" w:fill="FFFFFF"/>
            <w:vAlign w:val="center"/>
          </w:tcPr>
          <w:p w14:paraId="3B962266">
            <w:pPr>
              <w:widowControl/>
              <w:jc w:val="left"/>
              <w:rPr>
                <w:rFonts w:ascii="宋体" w:hAnsi="宋体" w:cs="宋体"/>
                <w:kern w:val="0"/>
                <w:sz w:val="22"/>
              </w:rPr>
            </w:pPr>
            <w:r>
              <w:rPr>
                <w:rFonts w:hint="eastAsia" w:ascii="宋体" w:hAnsi="宋体" w:cs="宋体"/>
                <w:kern w:val="0"/>
                <w:sz w:val="22"/>
              </w:rPr>
              <w:t>1.支持全自动智能拟人化拍摄，教师、学生无需佩戴任何跟踪设备，无需安装外接元器件、感应设备，跟踪拍摄全程无需人工干涉；采用内置图像定位算法，减少教室布线及设备连接故障点；</w:t>
            </w:r>
            <w:r>
              <w:rPr>
                <w:rFonts w:hint="eastAsia" w:ascii="宋体" w:hAnsi="宋体" w:cs="宋体"/>
                <w:kern w:val="0"/>
                <w:sz w:val="22"/>
              </w:rPr>
              <w:br w:type="textWrapping"/>
            </w:r>
            <w:r>
              <w:rPr>
                <w:rFonts w:hint="eastAsia" w:ascii="宋体" w:hAnsi="宋体" w:cs="宋体"/>
                <w:kern w:val="0"/>
                <w:sz w:val="22"/>
              </w:rPr>
              <w:t>2.设备采用嵌入式1U标准设计，内置Linux 操作系统，非PC架构；支持 7*24 小时工作；需配备千兆RJ45网络接口，支持Web页面管理，可通过网络远程管理设备；</w:t>
            </w:r>
            <w:r>
              <w:rPr>
                <w:rFonts w:hint="eastAsia" w:ascii="宋体" w:hAnsi="宋体" w:cs="宋体"/>
                <w:kern w:val="0"/>
                <w:sz w:val="22"/>
              </w:rPr>
              <w:br w:type="textWrapping"/>
            </w:r>
            <w:r>
              <w:rPr>
                <w:rFonts w:hint="eastAsia" w:ascii="宋体" w:hAnsi="宋体" w:cs="宋体"/>
                <w:kern w:val="0"/>
                <w:sz w:val="22"/>
              </w:rPr>
              <w:t>3.支持通过标准RTSP协议从网络摄像机获取视频信号，用于教师跟踪、学生定位算法分析；</w:t>
            </w:r>
            <w:r>
              <w:rPr>
                <w:rFonts w:hint="eastAsia" w:ascii="宋体" w:hAnsi="宋体" w:cs="宋体"/>
                <w:kern w:val="0"/>
                <w:sz w:val="22"/>
              </w:rPr>
              <w:br w:type="textWrapping"/>
            </w:r>
            <w:r>
              <w:rPr>
                <w:rFonts w:hint="eastAsia" w:ascii="宋体" w:hAnsi="宋体" w:cs="宋体"/>
                <w:kern w:val="0"/>
                <w:sz w:val="22"/>
              </w:rPr>
              <w:t>4.支持教师区、学生区、板书区多应用场景模块化智能分析，联动多机位云台摄像机实现自动化拟人摄像；</w:t>
            </w:r>
          </w:p>
        </w:tc>
      </w:tr>
      <w:tr w14:paraId="24F2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E0CB332">
            <w:pPr>
              <w:widowControl/>
              <w:jc w:val="center"/>
              <w:rPr>
                <w:rFonts w:ascii="宋体" w:hAnsi="宋体" w:cs="宋体"/>
                <w:kern w:val="0"/>
                <w:sz w:val="22"/>
              </w:rPr>
            </w:pPr>
            <w:r>
              <w:rPr>
                <w:rFonts w:hint="eastAsia" w:ascii="宋体" w:hAnsi="宋体" w:cs="宋体"/>
                <w:kern w:val="0"/>
                <w:sz w:val="22"/>
              </w:rPr>
              <w:t>图像跟踪系统</w:t>
            </w:r>
          </w:p>
        </w:tc>
        <w:tc>
          <w:tcPr>
            <w:tcW w:w="7654" w:type="dxa"/>
            <w:tcBorders>
              <w:tl2br w:val="nil"/>
              <w:tr2bl w:val="nil"/>
            </w:tcBorders>
            <w:shd w:val="clear" w:color="000000" w:fill="FFFFFF"/>
            <w:vAlign w:val="center"/>
          </w:tcPr>
          <w:p w14:paraId="69F4199B">
            <w:pPr>
              <w:widowControl/>
              <w:jc w:val="left"/>
              <w:rPr>
                <w:rFonts w:ascii="宋体" w:hAnsi="宋体" w:cs="宋体"/>
                <w:kern w:val="0"/>
                <w:sz w:val="22"/>
              </w:rPr>
            </w:pPr>
            <w:r>
              <w:rPr>
                <w:rFonts w:hint="eastAsia" w:ascii="宋体" w:hAnsi="宋体" w:cs="宋体"/>
                <w:kern w:val="0"/>
                <w:sz w:val="22"/>
              </w:rPr>
              <w:t>1.支持教师人脸识别开启SOT伴随式跟踪模式，锁定教师目标后伴随移动跟踪，保持目标画面最佳比例，适配讲台内/走下讲台场景；具备抗干扰能力，多目标环境下不丢失已锁定目标；</w:t>
            </w:r>
            <w:r>
              <w:rPr>
                <w:rFonts w:hint="eastAsia" w:ascii="宋体" w:hAnsi="宋体" w:cs="宋体"/>
                <w:kern w:val="0"/>
                <w:sz w:val="22"/>
              </w:rPr>
              <w:br w:type="textWrapping"/>
            </w:r>
            <w:r>
              <w:rPr>
                <w:rFonts w:hint="eastAsia" w:ascii="宋体" w:hAnsi="宋体" w:cs="宋体"/>
                <w:kern w:val="0"/>
                <w:sz w:val="22"/>
              </w:rPr>
              <w:t>2.需支持学生AI跟踪定位，可根据站立学生数量自动调整跟踪策略；</w:t>
            </w:r>
            <w:r>
              <w:rPr>
                <w:rFonts w:hint="eastAsia" w:ascii="宋体" w:hAnsi="宋体" w:cs="宋体"/>
                <w:kern w:val="0"/>
                <w:sz w:val="22"/>
              </w:rPr>
              <w:br w:type="textWrapping"/>
            </w:r>
            <w:r>
              <w:rPr>
                <w:rFonts w:hint="eastAsia" w:ascii="宋体" w:hAnsi="宋体" w:cs="宋体"/>
                <w:kern w:val="0"/>
                <w:sz w:val="22"/>
              </w:rPr>
              <w:t>3.需支持教师站立、走动、巡视、板书、互动行为统计，按时间节点在Web端实时呈现行为时序图表；</w:t>
            </w:r>
            <w:r>
              <w:rPr>
                <w:rFonts w:hint="eastAsia" w:ascii="宋体" w:hAnsi="宋体" w:cs="宋体"/>
                <w:kern w:val="0"/>
                <w:sz w:val="22"/>
              </w:rPr>
              <w:br w:type="textWrapping"/>
            </w:r>
            <w:r>
              <w:rPr>
                <w:rFonts w:hint="eastAsia" w:ascii="宋体" w:hAnsi="宋体" w:cs="宋体"/>
                <w:kern w:val="0"/>
                <w:sz w:val="22"/>
              </w:rPr>
              <w:t>4.▲支持学生、教师AI人脸识别考勤，支持手动开启/停止识别，可配置人脸识别阈值、动态特征分数等参数；</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5.配合管理平台支持考勤时长自定义，可设定课前提前、课后延后考勤时间；支持按课表时间自动考勤，按课程记录与显示考勤数据；</w:t>
            </w:r>
            <w:r>
              <w:rPr>
                <w:rFonts w:hint="eastAsia" w:ascii="宋体" w:hAnsi="宋体" w:cs="宋体"/>
                <w:kern w:val="0"/>
                <w:sz w:val="22"/>
              </w:rPr>
              <w:br w:type="textWrapping"/>
            </w:r>
            <w:r>
              <w:rPr>
                <w:rFonts w:hint="eastAsia" w:ascii="宋体" w:hAnsi="宋体" w:cs="宋体"/>
                <w:kern w:val="0"/>
                <w:sz w:val="22"/>
              </w:rPr>
              <w:t>6.任课教师可查看授课期间、每日学生考勤记录；考勤统计（包括但不限于签到、迟到、早退等）支持Web端、移动端呈现；</w:t>
            </w:r>
            <w:r>
              <w:rPr>
                <w:rFonts w:hint="eastAsia" w:ascii="宋体" w:hAnsi="宋体" w:cs="宋体"/>
                <w:kern w:val="0"/>
                <w:sz w:val="22"/>
              </w:rPr>
              <w:br w:type="textWrapping"/>
            </w:r>
            <w:r>
              <w:rPr>
                <w:rFonts w:hint="eastAsia" w:ascii="宋体" w:hAnsi="宋体" w:cs="宋体"/>
                <w:kern w:val="0"/>
                <w:sz w:val="22"/>
              </w:rPr>
              <w:t>7.支持单个学生考勤维度查询（包括但不限于考勤次数、出勤次数、缺勤次数、出勤率），通过Web端可查看单个学生每课堂考勤详情；</w:t>
            </w:r>
            <w:r>
              <w:rPr>
                <w:rFonts w:hint="eastAsia" w:ascii="宋体" w:hAnsi="宋体" w:cs="宋体"/>
                <w:kern w:val="0"/>
                <w:sz w:val="22"/>
              </w:rPr>
              <w:br w:type="textWrapping"/>
            </w:r>
            <w:r>
              <w:rPr>
                <w:rFonts w:hint="eastAsia" w:ascii="宋体" w:hAnsi="宋体" w:cs="宋体"/>
                <w:kern w:val="0"/>
                <w:sz w:val="22"/>
              </w:rPr>
              <w:t>8.▲支持对课堂上学生举手、站立、趴桌子、向后看等行为识别；支持对课堂中出现的异常行为进行实时统计，支持在Web端呈现异常行为统计详情；</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9.支持课堂学情分析功能，维度包括前排就坐率、抬头率、空座率；</w:t>
            </w:r>
            <w:r>
              <w:rPr>
                <w:rFonts w:hint="eastAsia" w:ascii="宋体" w:hAnsi="宋体" w:cs="宋体"/>
                <w:kern w:val="0"/>
                <w:sz w:val="22"/>
              </w:rPr>
              <w:br w:type="textWrapping"/>
            </w:r>
            <w:r>
              <w:rPr>
                <w:rFonts w:hint="eastAsia" w:ascii="宋体" w:hAnsi="宋体" w:cs="宋体"/>
                <w:kern w:val="0"/>
                <w:sz w:val="22"/>
              </w:rPr>
              <w:t>10.Web端支持呈现单课程数据：应到人数、实到人数、到课率、前排就座率、课堂抓拍；11.学情分析结果在web端支持多种展示方式，包括曲线图形式显示，曲线高低节点实现抬头率数据对比，形成教室数据分析与学生数据分析；</w:t>
            </w:r>
            <w:r>
              <w:rPr>
                <w:rFonts w:hint="eastAsia" w:ascii="宋体" w:hAnsi="宋体" w:cs="宋体"/>
                <w:kern w:val="0"/>
                <w:sz w:val="22"/>
              </w:rPr>
              <w:br w:type="textWrapping"/>
            </w:r>
            <w:r>
              <w:rPr>
                <w:rFonts w:hint="eastAsia" w:ascii="宋体" w:hAnsi="宋体" w:cs="宋体"/>
                <w:kern w:val="0"/>
                <w:sz w:val="22"/>
              </w:rPr>
              <w:t>12.支持视频预监，可预览教师、学生景别；支持景别切换功能；</w:t>
            </w:r>
            <w:r>
              <w:rPr>
                <w:rFonts w:hint="eastAsia" w:ascii="宋体" w:hAnsi="宋体" w:cs="宋体"/>
                <w:kern w:val="0"/>
                <w:sz w:val="22"/>
              </w:rPr>
              <w:br w:type="textWrapping"/>
            </w:r>
            <w:r>
              <w:rPr>
                <w:rFonts w:hint="eastAsia" w:ascii="宋体" w:hAnsi="宋体" w:cs="宋体"/>
                <w:kern w:val="0"/>
                <w:sz w:val="22"/>
              </w:rPr>
              <w:t>13.配合导播规则，实现教学过程全自动4—5机位画面切换，教师全景1路、教师特写1路、学生全景1路、学生特写1路、板书画面1路；</w:t>
            </w:r>
            <w:r>
              <w:rPr>
                <w:rFonts w:hint="eastAsia" w:ascii="宋体" w:hAnsi="宋体" w:cs="宋体"/>
                <w:kern w:val="0"/>
                <w:sz w:val="22"/>
              </w:rPr>
              <w:br w:type="textWrapping"/>
            </w:r>
            <w:r>
              <w:rPr>
                <w:rFonts w:hint="eastAsia" w:ascii="宋体" w:hAnsi="宋体" w:cs="宋体"/>
                <w:kern w:val="0"/>
                <w:sz w:val="22"/>
              </w:rPr>
              <w:t>14.需支持有课表模式：教师进入教室，人脸识别启动跟踪，切换教师特写；教师离开教室切换教师全景。学生站立先切换学生全景，特写到位后切换学生特写；学生坐下后切换回教师特写；</w:t>
            </w:r>
          </w:p>
        </w:tc>
      </w:tr>
      <w:tr w14:paraId="29B5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B06B3C3">
            <w:pPr>
              <w:widowControl/>
              <w:jc w:val="center"/>
              <w:rPr>
                <w:rFonts w:ascii="宋体" w:hAnsi="宋体" w:cs="宋体"/>
                <w:kern w:val="0"/>
                <w:sz w:val="22"/>
              </w:rPr>
            </w:pPr>
            <w:r>
              <w:rPr>
                <w:rFonts w:hint="eastAsia" w:ascii="宋体" w:hAnsi="宋体" w:cs="宋体"/>
                <w:kern w:val="0"/>
                <w:sz w:val="22"/>
              </w:rPr>
              <w:t>屏幕采集系统</w:t>
            </w:r>
          </w:p>
        </w:tc>
        <w:tc>
          <w:tcPr>
            <w:tcW w:w="7654" w:type="dxa"/>
            <w:tcBorders>
              <w:tl2br w:val="nil"/>
              <w:tr2bl w:val="nil"/>
            </w:tcBorders>
            <w:shd w:val="clear" w:color="000000" w:fill="FFFFFF"/>
            <w:vAlign w:val="center"/>
          </w:tcPr>
          <w:p w14:paraId="5AAEF702">
            <w:pPr>
              <w:widowControl/>
              <w:jc w:val="left"/>
              <w:rPr>
                <w:rFonts w:ascii="宋体" w:hAnsi="宋体" w:cs="宋体"/>
                <w:kern w:val="0"/>
                <w:sz w:val="22"/>
              </w:rPr>
            </w:pPr>
            <w:r>
              <w:rPr>
                <w:rFonts w:hint="eastAsia" w:ascii="宋体" w:hAnsi="宋体" w:cs="宋体"/>
                <w:kern w:val="0"/>
                <w:sz w:val="22"/>
              </w:rPr>
              <w:t>1.▲屏幕采集系统要能够实现对教师授课电脑的单屏幕采集，双屏幕采集和双屏分开同时采集功能。</w:t>
            </w:r>
            <w:r>
              <w:rPr>
                <w:rFonts w:hint="eastAsia" w:ascii="宋体" w:hAnsi="宋体" w:cs="宋体"/>
                <w:b/>
                <w:bCs/>
                <w:kern w:val="0"/>
                <w:sz w:val="22"/>
              </w:rPr>
              <w:t>（响应时提供软件界面截图佐证）</w:t>
            </w:r>
          </w:p>
          <w:p w14:paraId="2C7A49C4">
            <w:pPr>
              <w:widowControl/>
              <w:jc w:val="left"/>
              <w:rPr>
                <w:rFonts w:ascii="宋体" w:hAnsi="宋体" w:cs="宋体"/>
                <w:kern w:val="0"/>
                <w:sz w:val="22"/>
              </w:rPr>
            </w:pPr>
            <w:r>
              <w:rPr>
                <w:rFonts w:hint="eastAsia" w:ascii="宋体" w:hAnsi="宋体" w:cs="宋体"/>
                <w:kern w:val="0"/>
                <w:sz w:val="22"/>
              </w:rPr>
              <w:t>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p>
          <w:p w14:paraId="1F14DBCD">
            <w:pPr>
              <w:widowControl/>
              <w:jc w:val="left"/>
              <w:rPr>
                <w:rFonts w:ascii="宋体" w:hAnsi="宋体" w:cs="宋体"/>
                <w:kern w:val="0"/>
                <w:sz w:val="22"/>
              </w:rPr>
            </w:pPr>
            <w:r>
              <w:rPr>
                <w:rFonts w:hint="eastAsia" w:ascii="宋体" w:hAnsi="宋体" w:cs="宋体"/>
                <w:kern w:val="0"/>
                <w:sz w:val="22"/>
              </w:rPr>
              <w:t>3.支持软件采集老师计算机屏幕内容，采集方式支持支持1920x1080分辨率及以上，最大支持3840x1200分辨率，采集帧率达到30帧每秒，最终生成课件老师计算机屏幕部分达到高清，无失真现象。</w:t>
            </w:r>
          </w:p>
          <w:p w14:paraId="77226E06">
            <w:pPr>
              <w:widowControl/>
              <w:jc w:val="left"/>
              <w:rPr>
                <w:rFonts w:ascii="宋体" w:hAnsi="宋体" w:cs="宋体"/>
                <w:kern w:val="0"/>
                <w:sz w:val="22"/>
              </w:rPr>
            </w:pPr>
            <w:r>
              <w:rPr>
                <w:rFonts w:hint="eastAsia" w:ascii="宋体" w:hAnsi="宋体" w:cs="宋体"/>
                <w:kern w:val="0"/>
                <w:sz w:val="22"/>
              </w:rPr>
              <w:t>4.支持设置观看采集的子码流的分辨率、码流和帧率。</w:t>
            </w:r>
          </w:p>
        </w:tc>
      </w:tr>
      <w:tr w14:paraId="7390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1D9053E">
            <w:pPr>
              <w:widowControl/>
              <w:jc w:val="center"/>
              <w:rPr>
                <w:rFonts w:ascii="宋体" w:hAnsi="宋体" w:cs="宋体"/>
                <w:kern w:val="0"/>
                <w:sz w:val="22"/>
              </w:rPr>
            </w:pPr>
            <w:r>
              <w:rPr>
                <w:rFonts w:hint="eastAsia" w:ascii="宋体" w:hAnsi="宋体" w:cs="宋体"/>
                <w:kern w:val="0"/>
                <w:sz w:val="22"/>
              </w:rPr>
              <w:t>小组讨论终端</w:t>
            </w:r>
          </w:p>
        </w:tc>
        <w:tc>
          <w:tcPr>
            <w:tcW w:w="7654" w:type="dxa"/>
            <w:tcBorders>
              <w:tl2br w:val="nil"/>
              <w:tr2bl w:val="nil"/>
            </w:tcBorders>
            <w:shd w:val="clear" w:color="000000" w:fill="FFFFFF"/>
            <w:vAlign w:val="center"/>
          </w:tcPr>
          <w:p w14:paraId="359B5A80">
            <w:pPr>
              <w:widowControl/>
              <w:jc w:val="left"/>
              <w:rPr>
                <w:rFonts w:ascii="宋体" w:hAnsi="宋体"/>
                <w:kern w:val="0"/>
                <w:sz w:val="22"/>
              </w:rPr>
            </w:pPr>
            <w:r>
              <w:rPr>
                <w:rFonts w:hint="eastAsia" w:ascii="宋体" w:hAnsi="宋体"/>
                <w:kern w:val="0"/>
                <w:sz w:val="22"/>
              </w:rPr>
              <w:t>一、整体设计</w:t>
            </w:r>
          </w:p>
          <w:p w14:paraId="7ECC77A9">
            <w:pPr>
              <w:widowControl/>
              <w:jc w:val="left"/>
              <w:rPr>
                <w:rFonts w:ascii="宋体" w:hAnsi="宋体"/>
                <w:kern w:val="0"/>
                <w:sz w:val="22"/>
              </w:rPr>
            </w:pPr>
            <w:r>
              <w:rPr>
                <w:rFonts w:hint="eastAsia" w:ascii="宋体" w:hAnsi="宋体"/>
                <w:kern w:val="0"/>
                <w:sz w:val="22"/>
              </w:rPr>
              <w:t>1.整机采用边框与背板一体化冲压成型结构，上左右三边边框与背板非拼接组装结构，连接处无拼缝。整机左、右、下三边框皆具备磁吸功能，边框任意位置可吸附具备磁吸功能的书写笔。</w:t>
            </w:r>
          </w:p>
          <w:p w14:paraId="2C5EAD07">
            <w:pPr>
              <w:widowControl/>
              <w:jc w:val="left"/>
              <w:rPr>
                <w:rFonts w:ascii="宋体" w:hAnsi="宋体"/>
                <w:kern w:val="0"/>
                <w:sz w:val="22"/>
              </w:rPr>
            </w:pPr>
            <w:r>
              <w:rPr>
                <w:rFonts w:hint="eastAsia" w:ascii="宋体" w:hAnsi="宋体"/>
                <w:kern w:val="0"/>
                <w:sz w:val="22"/>
              </w:rPr>
              <w:t>2.屏幕采用≥75英寸液晶显示器，采</w:t>
            </w:r>
            <w:r>
              <w:rPr>
                <w:rFonts w:hint="eastAsia" w:ascii="微软雅黑" w:hAnsi="微软雅黑" w:eastAsia="微软雅黑" w:cs="微软雅黑"/>
                <w:kern w:val="0"/>
                <w:sz w:val="22"/>
              </w:rPr>
              <w:t>⽤</w:t>
            </w:r>
            <w:r>
              <w:rPr>
                <w:rFonts w:hint="eastAsia" w:ascii="宋体" w:hAnsi="宋体"/>
                <w:kern w:val="0"/>
                <w:sz w:val="22"/>
              </w:rPr>
              <w:t>LED液晶A规屏，显示</w:t>
            </w:r>
            <w:r>
              <w:rPr>
                <w:rFonts w:hint="eastAsia" w:ascii="微软雅黑" w:hAnsi="微软雅黑" w:eastAsia="微软雅黑" w:cs="微软雅黑"/>
                <w:kern w:val="0"/>
                <w:sz w:val="22"/>
              </w:rPr>
              <w:t>⽐</w:t>
            </w:r>
            <w:r>
              <w:rPr>
                <w:rFonts w:hint="eastAsia" w:ascii="宋体" w:hAnsi="宋体" w:cs="宋体"/>
                <w:kern w:val="0"/>
                <w:sz w:val="22"/>
              </w:rPr>
              <w:t>例</w:t>
            </w:r>
            <w:r>
              <w:rPr>
                <w:rFonts w:hint="eastAsia" w:ascii="宋体" w:hAnsi="宋体"/>
                <w:kern w:val="0"/>
                <w:sz w:val="22"/>
              </w:rPr>
              <w:t>16:9。显示分辨率3840*2160，可视</w:t>
            </w:r>
            <w:r>
              <w:rPr>
                <w:rFonts w:hint="eastAsia" w:ascii="微软雅黑" w:hAnsi="微软雅黑" w:eastAsia="微软雅黑" w:cs="微软雅黑"/>
                <w:kern w:val="0"/>
                <w:sz w:val="22"/>
              </w:rPr>
              <w:t>⻆</w:t>
            </w:r>
            <w:r>
              <w:rPr>
                <w:rFonts w:hint="eastAsia" w:ascii="宋体" w:hAnsi="宋体" w:cs="宋体"/>
                <w:kern w:val="0"/>
                <w:sz w:val="22"/>
              </w:rPr>
              <w:t>度≥</w:t>
            </w:r>
            <w:r>
              <w:rPr>
                <w:rFonts w:hint="eastAsia" w:ascii="宋体" w:hAnsi="宋体"/>
                <w:kern w:val="0"/>
                <w:sz w:val="22"/>
              </w:rPr>
              <w:t>178°。</w:t>
            </w:r>
          </w:p>
          <w:p w14:paraId="1C797FA5">
            <w:pPr>
              <w:widowControl/>
              <w:jc w:val="left"/>
              <w:rPr>
                <w:rFonts w:ascii="宋体" w:hAnsi="宋体"/>
                <w:kern w:val="0"/>
                <w:sz w:val="22"/>
              </w:rPr>
            </w:pPr>
            <w:r>
              <w:rPr>
                <w:rFonts w:hint="eastAsia" w:ascii="宋体" w:hAnsi="宋体"/>
                <w:kern w:val="0"/>
                <w:sz w:val="22"/>
              </w:rPr>
              <w:t>3.侧置输入接口具备≥2路HDMI、1路RS232（RJ45形态）、1路USB接口，1路音频输出、1路触控USB输出；前置输入接口≥3路USB接口（包含1路Type-C、2路USB）。</w:t>
            </w:r>
          </w:p>
          <w:p w14:paraId="1331EBBE">
            <w:pPr>
              <w:widowControl/>
              <w:jc w:val="left"/>
              <w:rPr>
                <w:rFonts w:ascii="宋体" w:hAnsi="宋体"/>
                <w:kern w:val="0"/>
                <w:sz w:val="22"/>
              </w:rPr>
            </w:pPr>
            <w:r>
              <w:rPr>
                <w:rFonts w:hint="eastAsia" w:ascii="宋体" w:hAnsi="宋体"/>
                <w:kern w:val="0"/>
                <w:sz w:val="22"/>
              </w:rPr>
              <w:t>4.整机采用红外触控技术，Windows系统和Android系统均支持≥50点触控及书写划线。</w:t>
            </w:r>
          </w:p>
          <w:p w14:paraId="2B222A58">
            <w:pPr>
              <w:widowControl/>
              <w:jc w:val="left"/>
              <w:rPr>
                <w:rFonts w:ascii="宋体" w:hAnsi="宋体"/>
                <w:kern w:val="0"/>
                <w:sz w:val="22"/>
              </w:rPr>
            </w:pPr>
            <w:r>
              <w:rPr>
                <w:rFonts w:hint="eastAsia" w:ascii="宋体" w:hAnsi="宋体"/>
                <w:kern w:val="0"/>
                <w:sz w:val="22"/>
              </w:rPr>
              <w:t>5.整机嵌入式系统版本≥Android 15，主频≥1.6GHz。</w:t>
            </w:r>
          </w:p>
          <w:p w14:paraId="0AC1779A">
            <w:pPr>
              <w:widowControl/>
              <w:jc w:val="left"/>
              <w:rPr>
                <w:rFonts w:ascii="宋体" w:hAnsi="宋体"/>
                <w:kern w:val="0"/>
                <w:sz w:val="22"/>
              </w:rPr>
            </w:pPr>
            <w:r>
              <w:rPr>
                <w:rFonts w:hint="eastAsia" w:ascii="宋体" w:hAnsi="宋体"/>
                <w:kern w:val="0"/>
                <w:sz w:val="22"/>
              </w:rPr>
              <w:t>6.整机设备内置2.2声道扬声器，前朝向发声，12W高音扬声器2个，上朝向30W中低音扬声器2个，最大功率≥84W，全部扬声器无需打开背板即可单独拆卸。</w:t>
            </w:r>
          </w:p>
          <w:p w14:paraId="365D561C">
            <w:pPr>
              <w:widowControl/>
              <w:jc w:val="left"/>
              <w:rPr>
                <w:rFonts w:ascii="宋体" w:hAnsi="宋体"/>
                <w:kern w:val="0"/>
                <w:sz w:val="22"/>
              </w:rPr>
            </w:pPr>
            <w:r>
              <w:rPr>
                <w:rFonts w:hint="eastAsia" w:ascii="宋体" w:hAnsi="宋体"/>
                <w:kern w:val="0"/>
                <w:sz w:val="22"/>
              </w:rPr>
              <w:t>7.整机内置非独立外扩展的4阵列麦克风，可用于对教室环境音频进行采集，麦克风拾音距离≥12米。</w:t>
            </w:r>
          </w:p>
          <w:p w14:paraId="5636914D">
            <w:pPr>
              <w:widowControl/>
              <w:jc w:val="left"/>
              <w:rPr>
                <w:rFonts w:ascii="宋体" w:hAnsi="宋体"/>
                <w:kern w:val="0"/>
                <w:sz w:val="22"/>
              </w:rPr>
            </w:pPr>
            <w:r>
              <w:rPr>
                <w:rFonts w:hint="eastAsia" w:ascii="宋体" w:hAnsi="宋体"/>
                <w:kern w:val="0"/>
                <w:sz w:val="22"/>
              </w:rPr>
              <w:t>8.整机听力模式下具备AI人声语言增强功能，支持三挡强弱调节。</w:t>
            </w:r>
          </w:p>
          <w:p w14:paraId="0A9310A2">
            <w:pPr>
              <w:widowControl/>
              <w:jc w:val="left"/>
              <w:rPr>
                <w:rFonts w:ascii="宋体" w:hAnsi="宋体"/>
                <w:kern w:val="0"/>
                <w:sz w:val="22"/>
              </w:rPr>
            </w:pPr>
            <w:r>
              <w:rPr>
                <w:rFonts w:hint="eastAsia" w:ascii="宋体" w:hAnsi="宋体"/>
                <w:kern w:val="0"/>
                <w:sz w:val="22"/>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484D27AA">
            <w:pPr>
              <w:widowControl/>
              <w:jc w:val="left"/>
              <w:rPr>
                <w:rFonts w:ascii="宋体" w:hAnsi="宋体"/>
                <w:kern w:val="0"/>
                <w:sz w:val="22"/>
              </w:rPr>
            </w:pPr>
            <w:r>
              <w:rPr>
                <w:rFonts w:hint="eastAsia" w:ascii="宋体" w:hAnsi="宋体"/>
                <w:kern w:val="0"/>
                <w:sz w:val="22"/>
              </w:rPr>
              <w:t>10.整机上边框内置非独立摄像头，采用一体化集成设计，</w:t>
            </w:r>
            <w:r>
              <w:rPr>
                <w:rFonts w:hint="eastAsia" w:ascii="微软雅黑" w:hAnsi="微软雅黑" w:eastAsia="微软雅黑" w:cs="微软雅黑"/>
                <w:kern w:val="0"/>
                <w:sz w:val="22"/>
              </w:rPr>
              <w:t>⽀</w:t>
            </w:r>
            <w:r>
              <w:rPr>
                <w:rFonts w:hint="eastAsia" w:ascii="宋体" w:hAnsi="宋体" w:cs="宋体"/>
                <w:kern w:val="0"/>
                <w:sz w:val="22"/>
              </w:rPr>
              <w:t>持输出</w:t>
            </w:r>
            <w:r>
              <w:rPr>
                <w:rFonts w:hint="eastAsia" w:ascii="宋体" w:hAnsi="宋体"/>
                <w:kern w:val="0"/>
                <w:sz w:val="22"/>
              </w:rPr>
              <w:t>4:3、16:9</w:t>
            </w:r>
            <w:r>
              <w:rPr>
                <w:rFonts w:hint="eastAsia" w:ascii="微软雅黑" w:hAnsi="微软雅黑" w:eastAsia="微软雅黑" w:cs="微软雅黑"/>
                <w:kern w:val="0"/>
                <w:sz w:val="22"/>
              </w:rPr>
              <w:t>⽐</w:t>
            </w:r>
            <w:r>
              <w:rPr>
                <w:rFonts w:hint="eastAsia" w:ascii="宋体" w:hAnsi="宋体" w:cs="宋体"/>
                <w:kern w:val="0"/>
                <w:sz w:val="22"/>
              </w:rPr>
              <w:t>例的图</w:t>
            </w:r>
            <w:r>
              <w:rPr>
                <w:rFonts w:hint="eastAsia" w:ascii="微软雅黑" w:hAnsi="微软雅黑" w:eastAsia="微软雅黑" w:cs="微软雅黑"/>
                <w:kern w:val="0"/>
                <w:sz w:val="22"/>
              </w:rPr>
              <w:t>⽚</w:t>
            </w:r>
            <w:r>
              <w:rPr>
                <w:rFonts w:hint="eastAsia" w:ascii="宋体" w:hAnsi="宋体"/>
                <w:kern w:val="0"/>
                <w:sz w:val="22"/>
              </w:rPr>
              <w:t>和视频，支持拍摄＞1600 万像素数的照片和视频，支持输出 4k 分辨率的视频。</w:t>
            </w:r>
          </w:p>
          <w:p w14:paraId="13680E1A">
            <w:pPr>
              <w:widowControl/>
              <w:jc w:val="left"/>
              <w:rPr>
                <w:rFonts w:ascii="宋体" w:hAnsi="宋体"/>
                <w:kern w:val="0"/>
                <w:sz w:val="22"/>
              </w:rPr>
            </w:pPr>
            <w:r>
              <w:rPr>
                <w:rFonts w:hint="eastAsia" w:ascii="宋体" w:hAnsi="宋体"/>
                <w:kern w:val="0"/>
                <w:sz w:val="22"/>
              </w:rPr>
              <w:t>11.整机内置双WiFi6无线网卡（不接受外接），在Android和Windows系统下，可实现Wi-Fi无线上网连接、AP无线热点发射。Wi-Fi制式支持IEEE 802.11 a/b/g/n/ac/ax；支持版本Wi-Fi6。</w:t>
            </w:r>
          </w:p>
          <w:p w14:paraId="128D1096">
            <w:pPr>
              <w:widowControl/>
              <w:jc w:val="left"/>
              <w:rPr>
                <w:rFonts w:ascii="宋体" w:hAnsi="宋体"/>
                <w:kern w:val="0"/>
                <w:sz w:val="22"/>
              </w:rPr>
            </w:pPr>
            <w:r>
              <w:rPr>
                <w:rFonts w:hint="eastAsia" w:ascii="宋体" w:hAnsi="宋体"/>
                <w:kern w:val="0"/>
                <w:sz w:val="22"/>
              </w:rPr>
              <w:t>12.整机内置超声波发射单元，可主动发射超声波信号，信号频率范围包含 18kHz～22kHz，满足课堂声源智能定位跟踪应用要求。智能手机和笔记本电脑接收超声波信号后可以自动识别附近投屏设备，点击对应设备即可完成投屏操作。</w:t>
            </w:r>
          </w:p>
          <w:p w14:paraId="7EAAE90D">
            <w:pPr>
              <w:widowControl/>
              <w:jc w:val="left"/>
              <w:rPr>
                <w:rFonts w:ascii="宋体" w:hAnsi="宋体"/>
                <w:kern w:val="0"/>
                <w:sz w:val="22"/>
              </w:rPr>
            </w:pPr>
            <w:r>
              <w:rPr>
                <w:rFonts w:hint="eastAsia" w:ascii="宋体" w:hAnsi="宋体"/>
                <w:kern w:val="0"/>
                <w:sz w:val="22"/>
              </w:rPr>
              <w:t>13.整机配套教学应用APP可通过wifi直连技术，近场发现附近教学大屏设备，无需扫码、账号密码输入步骤，即可直接连接并登录教学大屏设备，基于统一身份认证机制可实现其他教学软件免登录操作。</w:t>
            </w:r>
          </w:p>
          <w:p w14:paraId="490DD7E5">
            <w:pPr>
              <w:widowControl/>
              <w:jc w:val="left"/>
              <w:rPr>
                <w:rFonts w:ascii="宋体" w:hAnsi="宋体"/>
                <w:kern w:val="0"/>
                <w:sz w:val="22"/>
              </w:rPr>
            </w:pPr>
            <w:r>
              <w:rPr>
                <w:rFonts w:hint="eastAsia" w:ascii="宋体" w:hAnsi="宋体"/>
                <w:kern w:val="0"/>
                <w:sz w:val="22"/>
              </w:rPr>
              <w:t>14.整机Windows通道支持文件传输应用，支持通过扫码、超声、wifi直连三种方式与手机进行握手连接，实现文件传输功能。</w:t>
            </w:r>
          </w:p>
          <w:p w14:paraId="2B4E9942">
            <w:pPr>
              <w:widowControl/>
              <w:jc w:val="left"/>
              <w:rPr>
                <w:rFonts w:ascii="宋体" w:hAnsi="宋体"/>
                <w:kern w:val="0"/>
                <w:sz w:val="22"/>
              </w:rPr>
            </w:pPr>
            <w:r>
              <w:rPr>
                <w:rFonts w:hint="eastAsia" w:ascii="宋体" w:hAnsi="宋体"/>
                <w:kern w:val="0"/>
                <w:sz w:val="22"/>
              </w:rPr>
              <w:t>15.整机内置AR授课工具，支持对视频展台所采集的画面中叠加动态的3D 模型。</w:t>
            </w:r>
          </w:p>
          <w:p w14:paraId="25F14979">
            <w:pPr>
              <w:widowControl/>
              <w:jc w:val="left"/>
              <w:rPr>
                <w:rFonts w:ascii="宋体" w:hAnsi="宋体"/>
                <w:kern w:val="0"/>
                <w:sz w:val="22"/>
              </w:rPr>
            </w:pPr>
            <w:r>
              <w:rPr>
                <w:rFonts w:hint="eastAsia" w:ascii="宋体" w:hAnsi="宋体"/>
                <w:kern w:val="0"/>
                <w:sz w:val="22"/>
              </w:rPr>
              <w:t>二、插拔式电脑模块：</w:t>
            </w:r>
          </w:p>
          <w:p w14:paraId="03F38A9C">
            <w:pPr>
              <w:widowControl/>
              <w:jc w:val="left"/>
              <w:rPr>
                <w:rFonts w:ascii="宋体" w:hAnsi="宋体"/>
                <w:kern w:val="0"/>
                <w:sz w:val="22"/>
              </w:rPr>
            </w:pPr>
            <w:r>
              <w:rPr>
                <w:rFonts w:hint="eastAsia" w:ascii="宋体" w:hAnsi="宋体"/>
                <w:kern w:val="0"/>
                <w:sz w:val="22"/>
              </w:rPr>
              <w:t>1、采用按压式卡扣，无需工具即可快速拆卸电脑模块。</w:t>
            </w:r>
          </w:p>
          <w:p w14:paraId="1BEBBD74">
            <w:pPr>
              <w:widowControl/>
              <w:jc w:val="left"/>
              <w:rPr>
                <w:rFonts w:ascii="宋体" w:hAnsi="宋体"/>
                <w:kern w:val="0"/>
                <w:sz w:val="22"/>
              </w:rPr>
            </w:pPr>
            <w:r>
              <w:rPr>
                <w:rFonts w:hint="eastAsia" w:ascii="宋体" w:hAnsi="宋体"/>
                <w:kern w:val="0"/>
                <w:sz w:val="22"/>
              </w:rPr>
              <w:t>2、PC模块和整机的连接采用万兆级接口，传输速率≥10Gbps。</w:t>
            </w:r>
          </w:p>
          <w:p w14:paraId="3651E598">
            <w:pPr>
              <w:widowControl/>
              <w:jc w:val="left"/>
              <w:rPr>
                <w:rFonts w:ascii="宋体" w:hAnsi="宋体"/>
                <w:kern w:val="0"/>
                <w:sz w:val="22"/>
              </w:rPr>
            </w:pPr>
            <w:r>
              <w:rPr>
                <w:rFonts w:hint="eastAsia" w:ascii="宋体" w:hAnsi="宋体"/>
                <w:kern w:val="0"/>
                <w:sz w:val="22"/>
              </w:rPr>
              <w:t>3、电脑模块CPU要求：主频≥2.0GHz，8核心十二线程；配置要求：不低于 DDR4 8GB内存，256GB SSD硬盘；接口要求：≥1路HDMI，≥3路USB。</w:t>
            </w:r>
          </w:p>
          <w:p w14:paraId="4A780916">
            <w:pPr>
              <w:widowControl/>
              <w:jc w:val="left"/>
              <w:rPr>
                <w:rFonts w:ascii="宋体" w:hAnsi="宋体"/>
                <w:kern w:val="0"/>
                <w:sz w:val="22"/>
              </w:rPr>
            </w:pPr>
            <w:r>
              <w:rPr>
                <w:rFonts w:hint="eastAsia" w:ascii="宋体" w:hAnsi="宋体"/>
                <w:kern w:val="0"/>
                <w:sz w:val="22"/>
              </w:rPr>
              <w:t>三、备授课功能：</w:t>
            </w:r>
          </w:p>
          <w:p w14:paraId="20C28C9E">
            <w:pPr>
              <w:widowControl/>
              <w:jc w:val="left"/>
              <w:rPr>
                <w:rFonts w:ascii="宋体" w:hAnsi="宋体"/>
                <w:kern w:val="0"/>
                <w:sz w:val="22"/>
              </w:rPr>
            </w:pPr>
            <w:r>
              <w:rPr>
                <w:rFonts w:hint="eastAsia" w:ascii="宋体" w:hAnsi="宋体"/>
                <w:kern w:val="0"/>
                <w:sz w:val="22"/>
              </w:rPr>
              <w:t>1.为教师提供可扩展的云存储空间≥100T。</w:t>
            </w:r>
          </w:p>
          <w:p w14:paraId="513EEDAD">
            <w:pPr>
              <w:widowControl/>
              <w:jc w:val="left"/>
              <w:rPr>
                <w:rFonts w:ascii="宋体" w:hAnsi="宋体"/>
                <w:kern w:val="0"/>
                <w:sz w:val="22"/>
              </w:rPr>
            </w:pPr>
            <w:r>
              <w:rPr>
                <w:rFonts w:hint="eastAsia" w:ascii="宋体" w:hAnsi="宋体"/>
                <w:kern w:val="0"/>
                <w:sz w:val="22"/>
              </w:rPr>
              <w:t>2.支持分组管理云课件，用户可自定义分组名称，并根据需要将课件分类管理。</w:t>
            </w:r>
          </w:p>
          <w:p w14:paraId="0209D370">
            <w:pPr>
              <w:widowControl/>
              <w:jc w:val="left"/>
              <w:rPr>
                <w:rFonts w:ascii="宋体" w:hAnsi="宋体"/>
                <w:kern w:val="0"/>
                <w:sz w:val="22"/>
              </w:rPr>
            </w:pPr>
            <w:r>
              <w:rPr>
                <w:rFonts w:hint="eastAsia" w:ascii="宋体" w:hAnsi="宋体"/>
                <w:kern w:val="0"/>
                <w:sz w:val="22"/>
              </w:rPr>
              <w:t>3.支持点对点分享云课件，用户可在软件中直接将课件发送给其它用户，同时也可以在软件中直接接收并打开其它用户分享的课件。</w:t>
            </w:r>
          </w:p>
          <w:p w14:paraId="25F14283">
            <w:pPr>
              <w:widowControl/>
              <w:jc w:val="left"/>
              <w:rPr>
                <w:rFonts w:ascii="宋体" w:hAnsi="宋体"/>
                <w:kern w:val="0"/>
                <w:sz w:val="22"/>
              </w:rPr>
            </w:pPr>
            <w:r>
              <w:rPr>
                <w:rFonts w:hint="eastAsia" w:ascii="宋体" w:hAnsi="宋体"/>
                <w:kern w:val="0"/>
                <w:sz w:val="22"/>
              </w:rPr>
              <w:t>4.支持多人在选择书写工具的状态下同时书写和擦除，互不影响，方便不同学生在屏幕上同时书写。</w:t>
            </w:r>
          </w:p>
          <w:p w14:paraId="2C069730">
            <w:pPr>
              <w:widowControl/>
              <w:jc w:val="left"/>
              <w:rPr>
                <w:rFonts w:ascii="宋体" w:hAnsi="宋体"/>
                <w:kern w:val="0"/>
                <w:sz w:val="22"/>
              </w:rPr>
            </w:pPr>
            <w:r>
              <w:rPr>
                <w:rFonts w:hint="eastAsia" w:ascii="宋体" w:hAnsi="宋体"/>
                <w:kern w:val="0"/>
                <w:sz w:val="22"/>
              </w:rPr>
              <w:t>5.支持创建互动分类游戏，系统需提供不少于10种游戏模板，直接选择并输入相应内容即可轻松生成互动分类游戏，提升课堂趣味性。</w:t>
            </w:r>
          </w:p>
          <w:p w14:paraId="4BE5530D">
            <w:pPr>
              <w:widowControl/>
              <w:jc w:val="left"/>
              <w:rPr>
                <w:rFonts w:ascii="宋体" w:hAnsi="宋体"/>
                <w:kern w:val="0"/>
                <w:sz w:val="22"/>
              </w:rPr>
            </w:pPr>
            <w:r>
              <w:rPr>
                <w:rFonts w:hint="eastAsia" w:ascii="宋体" w:hAnsi="宋体"/>
                <w:kern w:val="0"/>
                <w:sz w:val="22"/>
              </w:rPr>
              <w:t>6.提供思维导图、鱼骨图及组织结构图编辑功能，可轻松增删或拖拽编辑内容节点，并支持在节点上插入图片、音频、视频、网页链接、课件页面链接。支持思维导图逐级、逐个节点展开，并可任意缩放，满足不同演示需求。</w:t>
            </w:r>
          </w:p>
          <w:p w14:paraId="6E8C115D">
            <w:pPr>
              <w:widowControl/>
              <w:jc w:val="left"/>
              <w:rPr>
                <w:rFonts w:ascii="宋体" w:hAnsi="宋体"/>
                <w:kern w:val="0"/>
                <w:sz w:val="22"/>
              </w:rPr>
            </w:pPr>
            <w:r>
              <w:rPr>
                <w:rFonts w:hint="eastAsia" w:ascii="宋体" w:hAnsi="宋体"/>
                <w:kern w:val="0"/>
                <w:sz w:val="22"/>
              </w:rPr>
              <w:t>7.支持任意对象自定义路径动画设置，可绘制任意的移动轨迹并让对象沿着轨迹路径进行移动，可单独设置该动画通过翻页或单击对象本身进行触发。</w:t>
            </w:r>
          </w:p>
          <w:p w14:paraId="140CEB3E">
            <w:pPr>
              <w:widowControl/>
              <w:jc w:val="left"/>
              <w:rPr>
                <w:rFonts w:ascii="宋体" w:hAnsi="宋体"/>
                <w:kern w:val="0"/>
                <w:sz w:val="22"/>
              </w:rPr>
            </w:pPr>
            <w:r>
              <w:rPr>
                <w:rFonts w:hint="eastAsia" w:ascii="宋体" w:hAnsi="宋体"/>
                <w:kern w:val="0"/>
                <w:sz w:val="22"/>
              </w:rPr>
              <w:t>8.提供不少于30个物理及化学三维实验视频，覆盖常用经典教学实验。</w:t>
            </w:r>
          </w:p>
          <w:p w14:paraId="443DBB4A">
            <w:pPr>
              <w:widowControl/>
              <w:jc w:val="left"/>
              <w:rPr>
                <w:rFonts w:ascii="宋体" w:hAnsi="宋体"/>
                <w:kern w:val="0"/>
                <w:sz w:val="22"/>
              </w:rPr>
            </w:pPr>
            <w:r>
              <w:rPr>
                <w:rFonts w:hint="eastAsia" w:ascii="宋体" w:hAnsi="宋体"/>
                <w:kern w:val="0"/>
                <w:sz w:val="22"/>
              </w:rPr>
              <w:t>9.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p>
          <w:p w14:paraId="5F659E15">
            <w:pPr>
              <w:widowControl/>
              <w:jc w:val="left"/>
              <w:rPr>
                <w:rFonts w:ascii="宋体" w:hAnsi="宋体"/>
                <w:kern w:val="0"/>
                <w:sz w:val="22"/>
              </w:rPr>
            </w:pPr>
            <w:r>
              <w:rPr>
                <w:rFonts w:hint="eastAsia" w:ascii="宋体" w:hAnsi="宋体"/>
                <w:kern w:val="0"/>
                <w:sz w:val="22"/>
              </w:rPr>
              <w:t>四：直播课堂功能：</w:t>
            </w:r>
          </w:p>
          <w:p w14:paraId="22153F98">
            <w:pPr>
              <w:widowControl/>
              <w:jc w:val="left"/>
              <w:rPr>
                <w:rFonts w:ascii="宋体" w:hAnsi="宋体"/>
                <w:kern w:val="0"/>
                <w:sz w:val="22"/>
              </w:rPr>
            </w:pPr>
            <w:r>
              <w:rPr>
                <w:rFonts w:hint="eastAsia" w:ascii="宋体" w:hAnsi="宋体"/>
                <w:kern w:val="0"/>
                <w:sz w:val="22"/>
              </w:rPr>
              <w:t>1.支持一键开课，教师可通过一键开课生成海报，学生可通过扫描海报微信二维码加入直播课堂，无需额外安装APP。</w:t>
            </w:r>
          </w:p>
          <w:p w14:paraId="177860EB">
            <w:pPr>
              <w:widowControl/>
              <w:jc w:val="left"/>
              <w:rPr>
                <w:rFonts w:ascii="宋体" w:hAnsi="宋体"/>
                <w:kern w:val="0"/>
                <w:sz w:val="22"/>
              </w:rPr>
            </w:pPr>
            <w:r>
              <w:rPr>
                <w:rFonts w:hint="eastAsia" w:ascii="宋体" w:hAnsi="宋体"/>
                <w:kern w:val="0"/>
                <w:sz w:val="22"/>
              </w:rPr>
              <w:t>2.支持远程课件互动，教师可指定授权学生远程互动，并且互动学生可在课件画面进行书写、移动、擦除、参与远程互动，操作内容实时同步给班级其他学生，且可支持最少五位学生同时参与远程互动。</w:t>
            </w:r>
          </w:p>
          <w:p w14:paraId="30486447">
            <w:pPr>
              <w:widowControl/>
              <w:jc w:val="left"/>
              <w:rPr>
                <w:rFonts w:ascii="宋体" w:hAnsi="宋体"/>
                <w:kern w:val="0"/>
                <w:sz w:val="22"/>
              </w:rPr>
            </w:pPr>
            <w:r>
              <w:rPr>
                <w:rFonts w:hint="eastAsia" w:ascii="宋体" w:hAnsi="宋体"/>
                <w:kern w:val="0"/>
                <w:sz w:val="22"/>
              </w:rPr>
              <w:t>3.课堂奖励工具：直播过程中可向学生发放奖杯，学生在线学习获得的奖杯数量累积统计。</w:t>
            </w:r>
          </w:p>
          <w:p w14:paraId="148A7E9F">
            <w:pPr>
              <w:widowControl/>
              <w:jc w:val="left"/>
              <w:rPr>
                <w:rFonts w:ascii="宋体" w:hAnsi="宋体"/>
                <w:kern w:val="0"/>
                <w:sz w:val="22"/>
              </w:rPr>
            </w:pPr>
            <w:r>
              <w:rPr>
                <w:rFonts w:hint="eastAsia" w:ascii="宋体" w:hAnsi="宋体"/>
                <w:kern w:val="0"/>
                <w:sz w:val="22"/>
              </w:rPr>
              <w:t>4.远程考勤管理：直播课程结束后，后台自动统计报名学生名单和学生学习清单。</w:t>
            </w:r>
          </w:p>
          <w:p w14:paraId="6A1BE928">
            <w:pPr>
              <w:widowControl/>
              <w:jc w:val="left"/>
              <w:rPr>
                <w:rFonts w:ascii="宋体" w:hAnsi="宋体"/>
                <w:kern w:val="0"/>
                <w:sz w:val="22"/>
              </w:rPr>
            </w:pPr>
            <w:r>
              <w:rPr>
                <w:rFonts w:hint="eastAsia" w:ascii="宋体" w:hAnsi="宋体"/>
                <w:kern w:val="0"/>
                <w:sz w:val="22"/>
              </w:rPr>
              <w:t>5.课程回放：课程结束后自动生成直播回放，报名课程的学生可反复学习；回放课程自动保存在云端，支持人工删除。</w:t>
            </w:r>
          </w:p>
          <w:p w14:paraId="1FAFB889">
            <w:pPr>
              <w:widowControl/>
              <w:jc w:val="left"/>
              <w:rPr>
                <w:rFonts w:ascii="宋体" w:hAnsi="宋体"/>
                <w:kern w:val="0"/>
                <w:sz w:val="22"/>
              </w:rPr>
            </w:pPr>
            <w:r>
              <w:rPr>
                <w:rFonts w:hint="eastAsia" w:ascii="宋体" w:hAnsi="宋体"/>
                <w:kern w:val="0"/>
                <w:sz w:val="22"/>
              </w:rPr>
              <w:t>五、微课功能：</w:t>
            </w:r>
          </w:p>
          <w:p w14:paraId="3938446B">
            <w:pPr>
              <w:widowControl/>
              <w:jc w:val="left"/>
              <w:rPr>
                <w:rFonts w:ascii="宋体" w:hAnsi="宋体"/>
                <w:kern w:val="0"/>
                <w:sz w:val="22"/>
              </w:rPr>
            </w:pPr>
            <w:r>
              <w:rPr>
                <w:rFonts w:hint="eastAsia" w:ascii="宋体" w:hAnsi="宋体"/>
                <w:kern w:val="0"/>
                <w:sz w:val="22"/>
              </w:rPr>
              <w:t>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p>
          <w:p w14:paraId="0A353B4F">
            <w:pPr>
              <w:widowControl/>
              <w:jc w:val="left"/>
              <w:rPr>
                <w:rFonts w:ascii="宋体" w:hAnsi="宋体"/>
                <w:kern w:val="0"/>
                <w:sz w:val="22"/>
              </w:rPr>
            </w:pPr>
            <w:r>
              <w:rPr>
                <w:rFonts w:hint="eastAsia" w:ascii="宋体" w:hAnsi="宋体"/>
                <w:kern w:val="0"/>
                <w:sz w:val="22"/>
              </w:rPr>
              <w:t>2.支持选择云端课件录制、本地文件录制、模板录制三种模式，录制的微课内容存储于云端，本地文件录制模式支持不少3种文件格式，模板录制模式提供至少5种模板类型。</w:t>
            </w:r>
          </w:p>
          <w:p w14:paraId="3B8AC506">
            <w:pPr>
              <w:widowControl/>
              <w:jc w:val="left"/>
              <w:rPr>
                <w:rFonts w:ascii="宋体" w:hAnsi="宋体"/>
                <w:kern w:val="0"/>
                <w:sz w:val="22"/>
              </w:rPr>
            </w:pPr>
            <w:r>
              <w:rPr>
                <w:rFonts w:hint="eastAsia" w:ascii="宋体" w:hAnsi="宋体"/>
                <w:kern w:val="0"/>
                <w:sz w:val="22"/>
              </w:rPr>
              <w:t>3.支持回收微课的观看结果，辅助教师分析学情。支持查看微课整体数据，包括：观看次数、观看人数、点赞次数、完课率、平均观看时长等信息。</w:t>
            </w:r>
          </w:p>
          <w:p w14:paraId="4A4CDF22">
            <w:pPr>
              <w:widowControl/>
              <w:jc w:val="left"/>
              <w:rPr>
                <w:rFonts w:ascii="宋体" w:hAnsi="宋体"/>
                <w:kern w:val="0"/>
                <w:sz w:val="22"/>
              </w:rPr>
            </w:pPr>
            <w:r>
              <w:rPr>
                <w:rFonts w:hint="eastAsia" w:ascii="宋体" w:hAnsi="宋体"/>
                <w:kern w:val="0"/>
                <w:sz w:val="22"/>
              </w:rPr>
              <w:t>4.支持查看每个观看者的详细观看结果，包括：学生姓名、观看时长、观看次数、互动参与度、答题正确率等信息。</w:t>
            </w:r>
          </w:p>
          <w:p w14:paraId="31B9E75E">
            <w:pPr>
              <w:widowControl/>
              <w:jc w:val="left"/>
              <w:rPr>
                <w:rFonts w:ascii="宋体" w:hAnsi="宋体"/>
                <w:kern w:val="0"/>
                <w:sz w:val="22"/>
              </w:rPr>
            </w:pPr>
            <w:r>
              <w:rPr>
                <w:rFonts w:hint="eastAsia" w:ascii="宋体" w:hAnsi="宋体"/>
                <w:kern w:val="0"/>
                <w:sz w:val="22"/>
              </w:rPr>
              <w:t>六、集体备课：</w:t>
            </w:r>
          </w:p>
          <w:p w14:paraId="795DDB21">
            <w:pPr>
              <w:widowControl/>
              <w:jc w:val="left"/>
              <w:rPr>
                <w:rFonts w:ascii="宋体" w:hAnsi="宋体"/>
                <w:kern w:val="0"/>
                <w:sz w:val="22"/>
              </w:rPr>
            </w:pPr>
            <w:r>
              <w:rPr>
                <w:rFonts w:hint="eastAsia" w:ascii="宋体" w:hAnsi="宋体"/>
                <w:kern w:val="0"/>
                <w:sz w:val="22"/>
              </w:rPr>
              <w:t>1.发起集备：支持选择教案、课件资源上传发起集备研讨，支持设置多重访问权限，通过手机号搜索即可邀请外校老师，可用于跨校教研场景。</w:t>
            </w:r>
          </w:p>
          <w:p w14:paraId="06E7E9E9">
            <w:pPr>
              <w:widowControl/>
              <w:jc w:val="left"/>
              <w:rPr>
                <w:rFonts w:ascii="宋体" w:hAnsi="宋体"/>
                <w:kern w:val="0"/>
                <w:sz w:val="22"/>
              </w:rPr>
            </w:pPr>
            <w:r>
              <w:rPr>
                <w:rFonts w:hint="eastAsia" w:ascii="宋体" w:hAnsi="宋体"/>
                <w:kern w:val="0"/>
                <w:sz w:val="22"/>
              </w:rPr>
              <w:t>2.稿件编辑：完成本次研讨后，主备人可直接进入编辑页面编辑课件/教案，发布新稿件后，备课组进入下一轮打磨更新稿件后会给参备老师实时同步教研动态。</w:t>
            </w:r>
          </w:p>
          <w:p w14:paraId="155292EC">
            <w:pPr>
              <w:rPr>
                <w:szCs w:val="21"/>
              </w:rPr>
            </w:pPr>
            <w:r>
              <w:rPr>
                <w:rFonts w:hint="eastAsia" w:ascii="宋体" w:hAnsi="宋体"/>
                <w:kern w:val="0"/>
                <w:sz w:val="22"/>
              </w:rPr>
              <w:t>3.生成集备报告：支持生成集备报告，报告生成后，参备人可查看具体报告内容和下载集备报告。报告内包含集备信息、数据统计、研讨记录的具体内容。</w:t>
            </w:r>
          </w:p>
          <w:p w14:paraId="4092FD46">
            <w:pPr>
              <w:widowControl/>
              <w:jc w:val="left"/>
              <w:rPr>
                <w:rFonts w:ascii="宋体" w:hAnsi="宋体" w:cs="宋体"/>
                <w:kern w:val="0"/>
                <w:sz w:val="22"/>
              </w:rPr>
            </w:pPr>
          </w:p>
        </w:tc>
      </w:tr>
      <w:tr w14:paraId="47A4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FCBC2A4">
            <w:pPr>
              <w:widowControl/>
              <w:jc w:val="center"/>
              <w:rPr>
                <w:rFonts w:ascii="宋体" w:hAnsi="宋体" w:cs="宋体"/>
                <w:kern w:val="0"/>
                <w:sz w:val="22"/>
              </w:rPr>
            </w:pPr>
            <w:r>
              <w:rPr>
                <w:rFonts w:hint="eastAsia" w:ascii="宋体" w:hAnsi="宋体" w:cs="宋体"/>
                <w:kern w:val="0"/>
                <w:sz w:val="22"/>
              </w:rPr>
              <w:t>智慧讲桌</w:t>
            </w:r>
          </w:p>
        </w:tc>
        <w:tc>
          <w:tcPr>
            <w:tcW w:w="7654" w:type="dxa"/>
            <w:tcBorders>
              <w:tl2br w:val="nil"/>
              <w:tr2bl w:val="nil"/>
            </w:tcBorders>
            <w:shd w:val="clear" w:color="000000" w:fill="FFFFFF"/>
            <w:vAlign w:val="center"/>
          </w:tcPr>
          <w:p w14:paraId="4ED052A9">
            <w:pPr>
              <w:widowControl/>
              <w:jc w:val="left"/>
              <w:rPr>
                <w:rFonts w:ascii="宋体" w:hAnsi="宋体" w:cs="宋体"/>
                <w:kern w:val="0"/>
                <w:sz w:val="22"/>
              </w:rPr>
            </w:pPr>
            <w:r>
              <w:rPr>
                <w:rFonts w:hint="eastAsia" w:ascii="宋体" w:hAnsi="宋体" w:cs="宋体"/>
                <w:kern w:val="0"/>
                <w:sz w:val="22"/>
              </w:rPr>
              <w:t>1.桌板前部具备多层板弯曲而成的木色高围挡设计，表面喷漆。高度≥100mm；</w:t>
            </w:r>
            <w:r>
              <w:rPr>
                <w:rFonts w:hint="eastAsia" w:ascii="宋体" w:hAnsi="宋体" w:cs="宋体"/>
                <w:kern w:val="0"/>
                <w:sz w:val="22"/>
              </w:rPr>
              <w:br w:type="textWrapping"/>
            </w:r>
            <w:r>
              <w:rPr>
                <w:rFonts w:hint="eastAsia" w:ascii="宋体" w:hAnsi="宋体" w:cs="宋体"/>
                <w:kern w:val="0"/>
                <w:sz w:val="22"/>
              </w:rPr>
              <w:t>2.桌板尺寸至少1424mm×710mm，桌面需采用PVC直封边；</w:t>
            </w:r>
            <w:r>
              <w:rPr>
                <w:rFonts w:hint="eastAsia" w:ascii="宋体" w:hAnsi="宋体" w:cs="宋体"/>
                <w:kern w:val="0"/>
                <w:sz w:val="22"/>
              </w:rPr>
              <w:br w:type="textWrapping"/>
            </w:r>
            <w:r>
              <w:rPr>
                <w:rFonts w:hint="eastAsia" w:ascii="宋体" w:hAnsi="宋体" w:cs="宋体"/>
                <w:kern w:val="0"/>
                <w:sz w:val="22"/>
              </w:rPr>
              <w:t>3.桌架需采用优质钢材，表面处理选用静电喷涂技术；</w:t>
            </w:r>
            <w:r>
              <w:rPr>
                <w:rFonts w:hint="eastAsia" w:ascii="宋体" w:hAnsi="宋体" w:cs="宋体"/>
                <w:kern w:val="0"/>
                <w:sz w:val="22"/>
              </w:rPr>
              <w:br w:type="textWrapping"/>
            </w:r>
            <w:r>
              <w:rPr>
                <w:rFonts w:hint="eastAsia" w:ascii="宋体" w:hAnsi="宋体" w:cs="宋体"/>
                <w:kern w:val="0"/>
                <w:sz w:val="22"/>
              </w:rPr>
              <w:t>4.桌面前部具备有完整平面，可自由粘贴校徽LOGO；</w:t>
            </w:r>
            <w:r>
              <w:rPr>
                <w:rFonts w:hint="eastAsia" w:ascii="宋体" w:hAnsi="宋体" w:cs="宋体"/>
                <w:kern w:val="0"/>
                <w:sz w:val="22"/>
              </w:rPr>
              <w:br w:type="textWrapping"/>
            </w:r>
            <w:r>
              <w:rPr>
                <w:rFonts w:hint="eastAsia" w:ascii="宋体" w:hAnsi="宋体" w:cs="宋体"/>
                <w:kern w:val="0"/>
                <w:sz w:val="22"/>
              </w:rPr>
              <w:t>5.讲桌设计有机柜设备安装支架，安装数量≥8U，前后门都可以打开方便维护；</w:t>
            </w:r>
            <w:r>
              <w:rPr>
                <w:rFonts w:hint="eastAsia" w:ascii="宋体" w:hAnsi="宋体" w:cs="宋体"/>
                <w:kern w:val="0"/>
                <w:sz w:val="22"/>
              </w:rPr>
              <w:br w:type="textWrapping"/>
            </w:r>
            <w:r>
              <w:rPr>
                <w:rFonts w:hint="eastAsia" w:ascii="宋体" w:hAnsi="宋体" w:cs="宋体"/>
                <w:kern w:val="0"/>
                <w:sz w:val="22"/>
              </w:rPr>
              <w:t>6.桌面上至少需具备1个以上万能5孔220V电源插座、1个以上的USB接口，1路笔记本电脑的标准HDMI输入接口；</w:t>
            </w:r>
            <w:r>
              <w:rPr>
                <w:rFonts w:hint="eastAsia" w:ascii="宋体" w:hAnsi="宋体" w:cs="宋体"/>
                <w:kern w:val="0"/>
                <w:sz w:val="22"/>
              </w:rPr>
              <w:br w:type="textWrapping"/>
            </w:r>
            <w:r>
              <w:rPr>
                <w:rFonts w:hint="eastAsia" w:ascii="宋体" w:hAnsi="宋体" w:cs="宋体"/>
                <w:kern w:val="0"/>
                <w:sz w:val="22"/>
              </w:rPr>
              <w:t>7.老师接触位置为木质桌面，采用E0级免漆板，环保耐磨，厚度 ≥ 25mm；</w:t>
            </w:r>
            <w:r>
              <w:rPr>
                <w:rFonts w:hint="eastAsia" w:ascii="宋体" w:hAnsi="宋体" w:cs="宋体"/>
                <w:kern w:val="0"/>
                <w:sz w:val="22"/>
              </w:rPr>
              <w:br w:type="textWrapping"/>
            </w:r>
            <w:r>
              <w:rPr>
                <w:rFonts w:hint="eastAsia" w:ascii="宋体" w:hAnsi="宋体" w:cs="宋体"/>
                <w:kern w:val="0"/>
                <w:sz w:val="22"/>
              </w:rPr>
              <w:t>8.桌面边缘具有塑料杯托放置水杯；</w:t>
            </w:r>
            <w:r>
              <w:rPr>
                <w:rFonts w:hint="eastAsia" w:ascii="宋体" w:hAnsi="宋体" w:cs="宋体"/>
                <w:kern w:val="0"/>
                <w:sz w:val="22"/>
              </w:rPr>
              <w:br w:type="textWrapping"/>
            </w:r>
            <w:r>
              <w:rPr>
                <w:rFonts w:hint="eastAsia" w:ascii="宋体" w:hAnsi="宋体" w:cs="宋体"/>
                <w:kern w:val="0"/>
                <w:sz w:val="22"/>
              </w:rPr>
              <w:t>9.显示器支架调节：显示器支架具有轨道可整体抽出，方便教师操作屏幕；显示器支架可支持电动翻转，可翻转角度≥15°，同时显示器支架底座设计键鼠收纳空间，用于存放键鼠设备；</w:t>
            </w:r>
            <w:r>
              <w:rPr>
                <w:rFonts w:hint="eastAsia" w:ascii="宋体" w:hAnsi="宋体" w:cs="宋体"/>
                <w:kern w:val="0"/>
                <w:sz w:val="22"/>
              </w:rPr>
              <w:br w:type="textWrapping"/>
            </w:r>
            <w:r>
              <w:rPr>
                <w:rFonts w:hint="eastAsia" w:ascii="宋体" w:hAnsi="宋体" w:cs="宋体"/>
                <w:kern w:val="0"/>
                <w:sz w:val="22"/>
              </w:rPr>
              <w:t>10.讲桌需具备电动升降结构，桌面离地总高度不小于700mm~1200mm；</w:t>
            </w:r>
            <w:r>
              <w:rPr>
                <w:rFonts w:hint="eastAsia" w:ascii="宋体" w:hAnsi="宋体" w:cs="宋体"/>
                <w:kern w:val="0"/>
                <w:sz w:val="22"/>
              </w:rPr>
              <w:br w:type="textWrapping"/>
            </w:r>
            <w:r>
              <w:rPr>
                <w:rFonts w:hint="eastAsia" w:ascii="宋体" w:hAnsi="宋体" w:cs="宋体"/>
                <w:kern w:val="0"/>
                <w:sz w:val="22"/>
              </w:rPr>
              <w:t>11.讲桌下部具有储物空间，可供教师临时存放书本、书包等用品；</w:t>
            </w:r>
            <w:r>
              <w:rPr>
                <w:rFonts w:hint="eastAsia" w:ascii="宋体" w:hAnsi="宋体" w:cs="宋体"/>
                <w:kern w:val="0"/>
                <w:sz w:val="22"/>
              </w:rPr>
              <w:br w:type="textWrapping"/>
            </w:r>
            <w:r>
              <w:rPr>
                <w:rFonts w:hint="eastAsia" w:ascii="宋体" w:hAnsi="宋体" w:cs="宋体"/>
                <w:kern w:val="0"/>
                <w:sz w:val="22"/>
              </w:rPr>
              <w:t>12.讲桌需预留第三方中控安装位置以及安装支架，支持第三方中控接入讲桌。</w:t>
            </w:r>
          </w:p>
        </w:tc>
      </w:tr>
      <w:tr w14:paraId="0C8E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C59E8E3">
            <w:pPr>
              <w:widowControl/>
              <w:jc w:val="center"/>
              <w:rPr>
                <w:rFonts w:ascii="宋体" w:hAnsi="宋体" w:cs="宋体"/>
                <w:kern w:val="0"/>
                <w:sz w:val="22"/>
              </w:rPr>
            </w:pPr>
            <w:r>
              <w:rPr>
                <w:rFonts w:hint="eastAsia" w:ascii="宋体" w:hAnsi="宋体" w:cs="宋体"/>
                <w:kern w:val="0"/>
                <w:sz w:val="22"/>
              </w:rPr>
              <w:t>多屏协作模块</w:t>
            </w:r>
          </w:p>
        </w:tc>
        <w:tc>
          <w:tcPr>
            <w:tcW w:w="7654" w:type="dxa"/>
            <w:tcBorders>
              <w:tl2br w:val="nil"/>
              <w:tr2bl w:val="nil"/>
            </w:tcBorders>
            <w:shd w:val="clear" w:color="000000" w:fill="FFFFFF"/>
            <w:vAlign w:val="center"/>
          </w:tcPr>
          <w:p w14:paraId="77234C91">
            <w:pPr>
              <w:widowControl/>
              <w:jc w:val="left"/>
              <w:rPr>
                <w:rFonts w:ascii="宋体" w:hAnsi="宋体" w:cs="宋体"/>
                <w:kern w:val="0"/>
                <w:sz w:val="22"/>
              </w:rPr>
            </w:pPr>
            <w:r>
              <w:rPr>
                <w:rFonts w:hint="eastAsia" w:ascii="宋体" w:hAnsi="宋体" w:cs="宋体"/>
                <w:kern w:val="0"/>
                <w:sz w:val="22"/>
              </w:rPr>
              <w:t>一、硬件指标：</w:t>
            </w:r>
            <w:r>
              <w:rPr>
                <w:rFonts w:hint="eastAsia" w:ascii="宋体" w:hAnsi="宋体" w:cs="宋体"/>
                <w:kern w:val="0"/>
                <w:sz w:val="22"/>
              </w:rPr>
              <w:br w:type="textWrapping"/>
            </w:r>
            <w:r>
              <w:rPr>
                <w:rFonts w:hint="eastAsia" w:ascii="宋体" w:hAnsi="宋体" w:cs="宋体"/>
                <w:kern w:val="0"/>
                <w:sz w:val="22"/>
              </w:rPr>
              <w:t>1.整机需采用嵌入式架构，控制屏整体需采用≥20英寸一体化设计，莫氏硬度≥7级；</w:t>
            </w:r>
            <w:r>
              <w:rPr>
                <w:rFonts w:hint="eastAsia" w:ascii="宋体" w:hAnsi="宋体" w:cs="宋体"/>
                <w:kern w:val="0"/>
                <w:sz w:val="22"/>
              </w:rPr>
              <w:br w:type="textWrapping"/>
            </w:r>
            <w:r>
              <w:rPr>
                <w:rFonts w:hint="eastAsia" w:ascii="宋体" w:hAnsi="宋体" w:cs="宋体"/>
                <w:kern w:val="0"/>
                <w:sz w:val="22"/>
              </w:rPr>
              <w:t>2.控制屏需经过防眩光处理，能够在阳光、日光灯等强光变化时正常使用，屏幕通过零贴合或更好的贴合工艺进行贴合，不得使用框贴工艺，避免后期粉尘、水汽进入屏幕内部影响设备寿命；</w:t>
            </w:r>
            <w:r>
              <w:rPr>
                <w:rFonts w:hint="eastAsia" w:ascii="宋体" w:hAnsi="宋体" w:cs="宋体"/>
                <w:kern w:val="0"/>
                <w:sz w:val="22"/>
              </w:rPr>
              <w:br w:type="textWrapping"/>
            </w:r>
            <w:r>
              <w:rPr>
                <w:rFonts w:hint="eastAsia" w:ascii="宋体" w:hAnsi="宋体" w:cs="宋体"/>
                <w:kern w:val="0"/>
                <w:sz w:val="22"/>
              </w:rPr>
              <w:t>▲3.支持≥2路HDMI输入，支持≥3路HDMI输出，最高分辨率支持1920*1080@60fps；支持同时输入输出多种信号源，实现多源切换展示，增强课堂教学的互动性和多样性；</w:t>
            </w:r>
            <w:r>
              <w:rPr>
                <w:rFonts w:hint="eastAsia" w:ascii="宋体" w:hAnsi="宋体" w:cs="宋体"/>
                <w:b/>
                <w:bCs/>
                <w:kern w:val="0"/>
                <w:sz w:val="22"/>
              </w:rPr>
              <w:t>（响应时提供权威机构检测报告扫描件佐证）</w:t>
            </w:r>
            <w:r>
              <w:rPr>
                <w:rFonts w:hint="eastAsia" w:ascii="宋体" w:hAnsi="宋体" w:cs="宋体"/>
                <w:kern w:val="0"/>
                <w:sz w:val="22"/>
              </w:rPr>
              <w:br w:type="textWrapping"/>
            </w:r>
            <w:r>
              <w:rPr>
                <w:rFonts w:hint="eastAsia" w:ascii="宋体" w:hAnsi="宋体" w:cs="宋体"/>
                <w:kern w:val="0"/>
                <w:sz w:val="22"/>
              </w:rPr>
              <w:t>4. HDMI接口需支持音频采集功能，可以将音频剥离至HDMI或者3.5耳机接口独立输出；</w:t>
            </w:r>
            <w:r>
              <w:rPr>
                <w:rFonts w:hint="eastAsia" w:ascii="宋体" w:hAnsi="宋体" w:cs="宋体"/>
                <w:kern w:val="0"/>
                <w:sz w:val="22"/>
              </w:rPr>
              <w:br w:type="textWrapping"/>
            </w:r>
            <w:r>
              <w:rPr>
                <w:rFonts w:hint="eastAsia" w:ascii="宋体" w:hAnsi="宋体" w:cs="宋体"/>
                <w:kern w:val="0"/>
                <w:sz w:val="22"/>
              </w:rPr>
              <w:t>▲5.支持≥5路USB接口（连接如U盘、鼠标、键盘，控制等多种设备），需支持信号触摸及大屏幕反向控制功能；支持≥1路串口控制；</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6.需支持≥1路音频输出，支持≥1路RJ45接口，需支持DHCP。</w:t>
            </w:r>
            <w:r>
              <w:rPr>
                <w:rFonts w:hint="eastAsia" w:ascii="宋体" w:hAnsi="宋体" w:cs="宋体"/>
                <w:kern w:val="0"/>
                <w:sz w:val="22"/>
              </w:rPr>
              <w:br w:type="textWrapping"/>
            </w:r>
            <w:r>
              <w:rPr>
                <w:rFonts w:hint="eastAsia" w:ascii="宋体" w:hAnsi="宋体" w:cs="宋体"/>
                <w:kern w:val="0"/>
                <w:sz w:val="22"/>
              </w:rPr>
              <w:t>二、系统功能：</w:t>
            </w:r>
            <w:r>
              <w:rPr>
                <w:rFonts w:hint="eastAsia" w:ascii="宋体" w:hAnsi="宋体" w:cs="宋体"/>
                <w:kern w:val="0"/>
                <w:sz w:val="22"/>
              </w:rPr>
              <w:br w:type="textWrapping"/>
            </w:r>
            <w:r>
              <w:rPr>
                <w:rFonts w:hint="eastAsia" w:ascii="宋体" w:hAnsi="宋体" w:cs="宋体"/>
                <w:kern w:val="0"/>
                <w:sz w:val="22"/>
              </w:rPr>
              <w:t>▲1.支持多种登录操作，如账号密码、扫码等登录方式，支持自动关联课表时间进行设备登录等；</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2.支持系统登录后，自动关键教室多媒体设备一键开启等指令，简化老师等不必要的操作；</w:t>
            </w:r>
            <w:r>
              <w:rPr>
                <w:rFonts w:hint="eastAsia" w:ascii="宋体" w:hAnsi="宋体" w:cs="宋体"/>
                <w:kern w:val="0"/>
                <w:sz w:val="22"/>
              </w:rPr>
              <w:br w:type="textWrapping"/>
            </w:r>
            <w:r>
              <w:rPr>
                <w:rFonts w:hint="eastAsia" w:ascii="宋体" w:hAnsi="宋体" w:cs="宋体"/>
                <w:kern w:val="0"/>
                <w:sz w:val="22"/>
              </w:rPr>
              <w:t>3.支持对第三方应用程序调用，如腾讯会议、雨课堂等，可以通过控制屏快速调用进行打开；</w:t>
            </w:r>
            <w:r>
              <w:rPr>
                <w:rFonts w:hint="eastAsia" w:ascii="宋体" w:hAnsi="宋体" w:cs="宋体"/>
                <w:kern w:val="0"/>
                <w:sz w:val="22"/>
              </w:rPr>
              <w:br w:type="textWrapping"/>
            </w:r>
            <w:r>
              <w:rPr>
                <w:rFonts w:hint="eastAsia" w:ascii="宋体" w:hAnsi="宋体" w:cs="宋体"/>
                <w:kern w:val="0"/>
                <w:sz w:val="22"/>
              </w:rPr>
              <w:t>4.支持检测信号源插拔，识别到信号源接入后，系统自动进行切换；支持可视化资源视图切换，对教室内信号切换、双屏应用、以及多屏研讨教室应用提供便捷操作；</w:t>
            </w:r>
            <w:r>
              <w:rPr>
                <w:rFonts w:hint="eastAsia" w:ascii="宋体" w:hAnsi="宋体" w:cs="宋体"/>
                <w:kern w:val="0"/>
                <w:sz w:val="22"/>
              </w:rPr>
              <w:br w:type="textWrapping"/>
            </w:r>
            <w:r>
              <w:rPr>
                <w:rFonts w:hint="eastAsia" w:ascii="宋体" w:hAnsi="宋体" w:cs="宋体"/>
                <w:kern w:val="0"/>
                <w:sz w:val="22"/>
              </w:rPr>
              <w:t>5.支持系统菜单栏与授课电脑信号一体化显示，且授课电脑信号无遮挡、无覆盖情况；</w:t>
            </w:r>
            <w:r>
              <w:rPr>
                <w:rFonts w:hint="eastAsia" w:ascii="宋体" w:hAnsi="宋体" w:cs="宋体"/>
                <w:kern w:val="0"/>
                <w:sz w:val="22"/>
              </w:rPr>
              <w:br w:type="textWrapping"/>
            </w:r>
            <w:r>
              <w:rPr>
                <w:rFonts w:hint="eastAsia" w:ascii="宋体" w:hAnsi="宋体" w:cs="宋体"/>
                <w:kern w:val="0"/>
                <w:sz w:val="22"/>
              </w:rPr>
              <w:t>6.需支持录播主机画面预览功能，支持≥5英寸图像显示界面；支持对录制的开启与课件下载等功能；系统可对教室内物联设备进行控制，支持控制界面可编程；</w:t>
            </w:r>
            <w:r>
              <w:rPr>
                <w:rFonts w:hint="eastAsia" w:ascii="宋体" w:hAnsi="宋体" w:cs="宋体"/>
                <w:kern w:val="0"/>
                <w:sz w:val="22"/>
              </w:rPr>
              <w:br w:type="textWrapping"/>
            </w:r>
            <w:r>
              <w:rPr>
                <w:rFonts w:hint="eastAsia" w:ascii="宋体" w:hAnsi="宋体" w:cs="宋体"/>
                <w:kern w:val="0"/>
                <w:sz w:val="22"/>
              </w:rPr>
              <w:t>7.支持对远程会议进行操作和管理，通过控制屏可以一键发起会议及会议管理功能。</w:t>
            </w:r>
            <w:r>
              <w:rPr>
                <w:rFonts w:hint="eastAsia" w:ascii="宋体" w:hAnsi="宋体" w:cs="宋体"/>
                <w:kern w:val="0"/>
                <w:sz w:val="22"/>
              </w:rPr>
              <w:br w:type="textWrapping"/>
            </w:r>
            <w:r>
              <w:rPr>
                <w:rFonts w:hint="eastAsia" w:ascii="宋体" w:hAnsi="宋体" w:cs="宋体"/>
                <w:kern w:val="0"/>
                <w:sz w:val="22"/>
              </w:rPr>
              <w:t>三、基础教学工具：</w:t>
            </w:r>
            <w:r>
              <w:rPr>
                <w:rFonts w:hint="eastAsia" w:ascii="宋体" w:hAnsi="宋体" w:cs="宋体"/>
                <w:kern w:val="0"/>
                <w:sz w:val="22"/>
              </w:rPr>
              <w:br w:type="textWrapping"/>
            </w:r>
            <w:r>
              <w:rPr>
                <w:rFonts w:hint="eastAsia" w:ascii="宋体" w:hAnsi="宋体" w:cs="宋体"/>
                <w:kern w:val="0"/>
                <w:sz w:val="22"/>
              </w:rPr>
              <w:t>▲1. 支持笔记本教学，智慧屏可同步显示笔记本电脑画面及触摸控制，在笔记本教学时无需安装任何软件，需支持批注、黑板、投屏、考勤签到、课堂互动、小组屏幕广播、录播课堂和多媒体设备控制等；</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2.支持批注功能，支持批注笔迹粗细、颜色调整，支持笔迹撤销、恢复等操作；批注内容与授课内容同步显示至投影画面中，并同步保存至课堂资料中；支持褪色笔功能；</w:t>
            </w:r>
            <w:r>
              <w:rPr>
                <w:rFonts w:hint="eastAsia" w:ascii="宋体" w:hAnsi="宋体" w:cs="宋体"/>
                <w:kern w:val="0"/>
                <w:sz w:val="22"/>
              </w:rPr>
              <w:br w:type="textWrapping"/>
            </w:r>
            <w:r>
              <w:rPr>
                <w:rFonts w:hint="eastAsia" w:ascii="宋体" w:hAnsi="宋体" w:cs="宋体"/>
                <w:kern w:val="0"/>
                <w:sz w:val="22"/>
              </w:rPr>
              <w:t>3. 支持电子白板功能，支持选择书写笔的≥5种粗细及≥20种颜色，支持选择擦除及一键清屏，支持撤销和恢复功能；支持更换电子白板的背景；支持书写内容的放大和缩小功能，放大比例支持可达≥300%；支持对书写内容或书写范围额进行任意移动；</w:t>
            </w:r>
            <w:r>
              <w:rPr>
                <w:rFonts w:hint="eastAsia" w:ascii="宋体" w:hAnsi="宋体" w:cs="宋体"/>
                <w:kern w:val="0"/>
                <w:sz w:val="22"/>
              </w:rPr>
              <w:br w:type="textWrapping"/>
            </w:r>
            <w:r>
              <w:rPr>
                <w:rFonts w:hint="eastAsia" w:ascii="宋体" w:hAnsi="宋体" w:cs="宋体"/>
                <w:kern w:val="0"/>
                <w:sz w:val="22"/>
              </w:rPr>
              <w:t>4.支持分享电子板书或批注，快速生成电子板书的二维码，学生通过扫码即可获得全部板书的图片，支持将图片转发给朋友、收藏、保存等功能；</w:t>
            </w:r>
            <w:r>
              <w:rPr>
                <w:rFonts w:hint="eastAsia" w:ascii="宋体" w:hAnsi="宋体" w:cs="宋体"/>
                <w:kern w:val="0"/>
                <w:sz w:val="22"/>
              </w:rPr>
              <w:br w:type="textWrapping"/>
            </w:r>
            <w:r>
              <w:rPr>
                <w:rFonts w:hint="eastAsia" w:ascii="宋体" w:hAnsi="宋体" w:cs="宋体"/>
                <w:kern w:val="0"/>
                <w:sz w:val="22"/>
              </w:rPr>
              <w:t>5. 支持移动终端无线投屏功能，支持鸿蒙、安卓、IOS、Windows等系统原生投屏；在投屏过程中无需任何辅助设备与第三方应用，确保了在使用过程中的便利性；</w:t>
            </w:r>
            <w:r>
              <w:rPr>
                <w:rFonts w:hint="eastAsia" w:ascii="宋体" w:hAnsi="宋体" w:cs="宋体"/>
                <w:kern w:val="0"/>
                <w:sz w:val="22"/>
              </w:rPr>
              <w:br w:type="textWrapping"/>
            </w:r>
            <w:r>
              <w:rPr>
                <w:rFonts w:hint="eastAsia" w:ascii="宋体" w:hAnsi="宋体" w:cs="宋体"/>
                <w:kern w:val="0"/>
                <w:sz w:val="22"/>
              </w:rPr>
              <w:t>四、课堂互动功能：</w:t>
            </w:r>
            <w:r>
              <w:rPr>
                <w:rFonts w:hint="eastAsia" w:ascii="宋体" w:hAnsi="宋体" w:cs="宋体"/>
                <w:kern w:val="0"/>
                <w:sz w:val="22"/>
              </w:rPr>
              <w:br w:type="textWrapping"/>
            </w:r>
            <w:r>
              <w:rPr>
                <w:rFonts w:hint="eastAsia" w:ascii="宋体" w:hAnsi="宋体" w:cs="宋体"/>
                <w:kern w:val="0"/>
                <w:sz w:val="22"/>
              </w:rPr>
              <w:t>▲1.内置签到功能，快速调取签到动态二维码，学生扫码即可完成签到。支持查看教师考勤、应到人数、实到人数、缺勤人数、迟到早退人数、请假人数。支持手动修改出勤状态。支持统计本节课的出勤率及自修人数；</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2.根据课堂进度可进行快速再次考勤，支持查看历次考勤数据，考勤数据支持与教学平台对接，实现考勤数据上报至教学平台；</w:t>
            </w:r>
            <w:r>
              <w:rPr>
                <w:rFonts w:hint="eastAsia" w:ascii="宋体" w:hAnsi="宋体" w:cs="宋体"/>
                <w:kern w:val="0"/>
                <w:sz w:val="22"/>
              </w:rPr>
              <w:br w:type="textWrapping"/>
            </w:r>
            <w:r>
              <w:rPr>
                <w:rFonts w:hint="eastAsia" w:ascii="宋体" w:hAnsi="宋体" w:cs="宋体"/>
                <w:kern w:val="0"/>
                <w:sz w:val="22"/>
              </w:rPr>
              <w:t xml:space="preserve">3.支持下发测验题，测验提醒包括单选、多选、判断、简答；所有题型均支持设置测验得分。支持实时显示测验时间及已答/未答人数。测验结束可查每个选项的选择率及答题人数； </w:t>
            </w:r>
            <w:r>
              <w:rPr>
                <w:rFonts w:hint="eastAsia" w:ascii="宋体" w:hAnsi="宋体" w:cs="宋体"/>
                <w:kern w:val="0"/>
                <w:sz w:val="22"/>
              </w:rPr>
              <w:br w:type="textWrapping"/>
            </w:r>
            <w:r>
              <w:rPr>
                <w:rFonts w:hint="eastAsia" w:ascii="宋体" w:hAnsi="宋体" w:cs="宋体"/>
                <w:kern w:val="0"/>
                <w:sz w:val="22"/>
              </w:rPr>
              <w:t>4.支持弹幕突出显示功能，弹幕内容在老师屏幕上实时滚动显示，教师支持控制弹幕显示开关等；</w:t>
            </w:r>
            <w:r>
              <w:rPr>
                <w:rFonts w:hint="eastAsia" w:ascii="宋体" w:hAnsi="宋体" w:cs="宋体"/>
                <w:kern w:val="0"/>
                <w:sz w:val="22"/>
              </w:rPr>
              <w:br w:type="textWrapping"/>
            </w:r>
            <w:r>
              <w:rPr>
                <w:rFonts w:hint="eastAsia" w:ascii="宋体" w:hAnsi="宋体" w:cs="宋体"/>
                <w:kern w:val="0"/>
                <w:sz w:val="22"/>
              </w:rPr>
              <w:t>5.学生支持通过照片墙显示功能上传个人作业，教师端在控制屏中可以进行全屏及缩略图显示；</w:t>
            </w:r>
            <w:r>
              <w:rPr>
                <w:rFonts w:hint="eastAsia" w:ascii="宋体" w:hAnsi="宋体" w:cs="宋体"/>
                <w:kern w:val="0"/>
                <w:sz w:val="22"/>
              </w:rPr>
              <w:br w:type="textWrapping"/>
            </w:r>
            <w:r>
              <w:rPr>
                <w:rFonts w:hint="eastAsia" w:ascii="宋体" w:hAnsi="宋体" w:cs="宋体"/>
                <w:kern w:val="0"/>
                <w:sz w:val="22"/>
              </w:rPr>
              <w:t>6.支持分组教学工具，可以针对课表学生、到课学生进行分小组学习；支持自定义设置小组个数和小组得分；</w:t>
            </w:r>
            <w:r>
              <w:rPr>
                <w:rFonts w:hint="eastAsia" w:ascii="宋体" w:hAnsi="宋体" w:cs="宋体"/>
                <w:kern w:val="0"/>
                <w:sz w:val="22"/>
              </w:rPr>
              <w:br w:type="textWrapping"/>
            </w:r>
            <w:r>
              <w:rPr>
                <w:rFonts w:hint="eastAsia" w:ascii="宋体" w:hAnsi="宋体" w:cs="宋体"/>
                <w:kern w:val="0"/>
                <w:sz w:val="22"/>
              </w:rPr>
              <w:t>7.教师课前在云平台中上传教学资源，课堂中支持在线浏览上传的资源进行学习；</w:t>
            </w:r>
            <w:r>
              <w:rPr>
                <w:rFonts w:hint="eastAsia" w:ascii="宋体" w:hAnsi="宋体" w:cs="宋体"/>
                <w:kern w:val="0"/>
                <w:sz w:val="22"/>
              </w:rPr>
              <w:br w:type="textWrapping"/>
            </w:r>
            <w:r>
              <w:rPr>
                <w:rFonts w:hint="eastAsia" w:ascii="宋体" w:hAnsi="宋体" w:cs="宋体"/>
                <w:kern w:val="0"/>
                <w:sz w:val="22"/>
              </w:rPr>
              <w:t>8.互动抢答功能，当老师线上提问时，点击抢答按钮，学生端实时弹出抢答弹窗，进行抢答；通过学生名单，支持随机挑选功能，系统即可随机选人答题，被系统选中的学生端需有弹窗提示；</w:t>
            </w:r>
            <w:r>
              <w:rPr>
                <w:rFonts w:hint="eastAsia" w:ascii="宋体" w:hAnsi="宋体" w:cs="宋体"/>
                <w:kern w:val="0"/>
                <w:sz w:val="22"/>
              </w:rPr>
              <w:br w:type="textWrapping"/>
            </w:r>
            <w:r>
              <w:rPr>
                <w:rFonts w:hint="eastAsia" w:ascii="宋体" w:hAnsi="宋体" w:cs="宋体"/>
                <w:kern w:val="0"/>
                <w:sz w:val="22"/>
              </w:rPr>
              <w:t>9.支持互动答题卡功能，学生端可进行线上答题；课后教师通过个人主页能够查看答题详情。</w:t>
            </w:r>
            <w:r>
              <w:rPr>
                <w:rFonts w:hint="eastAsia" w:ascii="宋体" w:hAnsi="宋体" w:cs="宋体"/>
                <w:kern w:val="0"/>
                <w:sz w:val="22"/>
              </w:rPr>
              <w:br w:type="textWrapping"/>
            </w:r>
            <w:r>
              <w:rPr>
                <w:rFonts w:hint="eastAsia" w:ascii="宋体" w:hAnsi="宋体" w:cs="宋体"/>
                <w:kern w:val="0"/>
                <w:sz w:val="22"/>
              </w:rPr>
              <w:t>10.课后需自动生成课堂报告，内容包含考勤详情、互动得分、板书\批注内容、学生作业、弹幕讨论详情、线上观看人数、个人观看时长等数据；</w:t>
            </w:r>
            <w:r>
              <w:rPr>
                <w:rFonts w:hint="eastAsia" w:ascii="宋体" w:hAnsi="宋体" w:cs="宋体"/>
                <w:kern w:val="0"/>
                <w:sz w:val="22"/>
              </w:rPr>
              <w:br w:type="textWrapping"/>
            </w:r>
            <w:r>
              <w:rPr>
                <w:rFonts w:hint="eastAsia" w:ascii="宋体" w:hAnsi="宋体" w:cs="宋体"/>
                <w:kern w:val="0"/>
                <w:sz w:val="22"/>
              </w:rPr>
              <w:t>11.支持笔记本、台式机同时分别显示到双投影中，为老师授课提供多样化的体验；</w:t>
            </w:r>
            <w:r>
              <w:rPr>
                <w:rFonts w:hint="eastAsia" w:ascii="宋体" w:hAnsi="宋体" w:cs="宋体"/>
                <w:kern w:val="0"/>
                <w:sz w:val="22"/>
              </w:rPr>
              <w:br w:type="textWrapping"/>
            </w:r>
            <w:r>
              <w:rPr>
                <w:rFonts w:hint="eastAsia" w:ascii="宋体" w:hAnsi="宋体" w:cs="宋体"/>
                <w:kern w:val="0"/>
                <w:sz w:val="22"/>
              </w:rPr>
              <w:t>12.双屏同显功能，支持台式机和电子黑板双屏教学，一屏显示授课电脑画面，另外一屏显示电子黑板画面，形成边教学边辅导式应用；支持每个教学大屏的单独控制；</w:t>
            </w:r>
            <w:r>
              <w:rPr>
                <w:rFonts w:hint="eastAsia" w:ascii="宋体" w:hAnsi="宋体" w:cs="宋体"/>
                <w:kern w:val="0"/>
                <w:sz w:val="22"/>
              </w:rPr>
              <w:br w:type="textWrapping"/>
            </w:r>
            <w:r>
              <w:rPr>
                <w:rFonts w:hint="eastAsia" w:ascii="宋体" w:hAnsi="宋体" w:cs="宋体"/>
                <w:kern w:val="0"/>
                <w:sz w:val="22"/>
              </w:rPr>
              <w:t xml:space="preserve">13.支持屏幕广播功能，可将授课电脑信号无遮挡、无损失的广播至小组端；支持小组示范功能，选择任意一个小组后，支持镜像显示至其他小组屏中；支持小组对比功能，选择任意两个小组进对比后，可在其他小组屏上显示两个小组的屏幕内容。 </w:t>
            </w:r>
          </w:p>
        </w:tc>
      </w:tr>
      <w:tr w14:paraId="5379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A72780E">
            <w:pPr>
              <w:widowControl/>
              <w:jc w:val="center"/>
              <w:rPr>
                <w:rFonts w:ascii="宋体" w:hAnsi="宋体" w:cs="宋体"/>
                <w:kern w:val="0"/>
                <w:sz w:val="22"/>
              </w:rPr>
            </w:pPr>
            <w:r>
              <w:rPr>
                <w:rFonts w:hint="eastAsia" w:ascii="宋体" w:hAnsi="宋体" w:cs="宋体"/>
                <w:kern w:val="0"/>
                <w:sz w:val="22"/>
              </w:rPr>
              <w:t>教学评价服务</w:t>
            </w:r>
          </w:p>
        </w:tc>
        <w:tc>
          <w:tcPr>
            <w:tcW w:w="7654" w:type="dxa"/>
            <w:tcBorders>
              <w:tl2br w:val="nil"/>
              <w:tr2bl w:val="nil"/>
            </w:tcBorders>
            <w:shd w:val="clear" w:color="000000" w:fill="FFFFFF"/>
            <w:vAlign w:val="center"/>
          </w:tcPr>
          <w:p w14:paraId="07B4B78D">
            <w:pPr>
              <w:widowControl/>
              <w:jc w:val="left"/>
              <w:rPr>
                <w:rFonts w:ascii="宋体" w:hAnsi="宋体" w:cs="宋体"/>
                <w:kern w:val="0"/>
                <w:sz w:val="22"/>
              </w:rPr>
            </w:pPr>
            <w:r>
              <w:rPr>
                <w:rFonts w:hint="eastAsia" w:ascii="宋体" w:hAnsi="宋体" w:cs="宋体"/>
                <w:kern w:val="0"/>
                <w:sz w:val="22"/>
              </w:rPr>
              <w:t>支持全学段全学科基于智能pc和移动端布置作业、批改作业、做作业、查看作业分析等功能。</w:t>
            </w:r>
            <w:r>
              <w:rPr>
                <w:rFonts w:hint="eastAsia" w:ascii="宋体" w:hAnsi="宋体" w:cs="宋体"/>
                <w:kern w:val="0"/>
                <w:sz w:val="22"/>
              </w:rPr>
              <w:br w:type="textWrapping"/>
            </w:r>
            <w:r>
              <w:rPr>
                <w:rFonts w:hint="eastAsia" w:ascii="宋体" w:hAnsi="宋体" w:cs="宋体"/>
                <w:kern w:val="0"/>
                <w:sz w:val="22"/>
              </w:rPr>
              <w:t>1.同步作业</w:t>
            </w:r>
            <w:r>
              <w:rPr>
                <w:rFonts w:hint="eastAsia" w:ascii="宋体" w:hAnsi="宋体" w:cs="宋体"/>
                <w:kern w:val="0"/>
                <w:sz w:val="22"/>
              </w:rPr>
              <w:br w:type="textWrapping"/>
            </w:r>
            <w:r>
              <w:rPr>
                <w:rFonts w:hint="eastAsia" w:ascii="宋体" w:hAnsi="宋体" w:cs="宋体"/>
                <w:kern w:val="0"/>
                <w:sz w:val="22"/>
              </w:rPr>
              <w:t>（1）支持移动端和pc端布置同步作业；支持按题型（包括单选题、多选题、判断题、填空题、简答题等），支持根据教材版本、册别、章节进行筛选，选择预置的题库资源，布置同步作业；</w:t>
            </w:r>
            <w:r>
              <w:rPr>
                <w:rFonts w:hint="eastAsia" w:ascii="宋体" w:hAnsi="宋体" w:cs="宋体"/>
                <w:kern w:val="0"/>
                <w:sz w:val="22"/>
              </w:rPr>
              <w:br w:type="textWrapping"/>
            </w:r>
            <w:r>
              <w:rPr>
                <w:rFonts w:hint="eastAsia" w:ascii="宋体" w:hAnsi="宋体" w:cs="宋体"/>
                <w:kern w:val="0"/>
                <w:sz w:val="22"/>
              </w:rPr>
              <w:t>（2）支持根据知识点和精品套卷进行选题，布置阶段性巩固复习；</w:t>
            </w:r>
            <w:r>
              <w:rPr>
                <w:rFonts w:hint="eastAsia" w:ascii="宋体" w:hAnsi="宋体" w:cs="宋体"/>
                <w:kern w:val="0"/>
                <w:sz w:val="22"/>
              </w:rPr>
              <w:br w:type="textWrapping"/>
            </w:r>
            <w:r>
              <w:rPr>
                <w:rFonts w:hint="eastAsia" w:ascii="宋体" w:hAnsi="宋体" w:cs="宋体"/>
                <w:kern w:val="0"/>
                <w:sz w:val="22"/>
              </w:rPr>
              <w:t>（3）支持申请制作电子版校本教辅，支持根据章节选择教辅习题</w:t>
            </w:r>
            <w:r>
              <w:rPr>
                <w:rFonts w:hint="eastAsia" w:ascii="宋体" w:hAnsi="宋体" w:cs="宋体"/>
                <w:kern w:val="0"/>
                <w:sz w:val="22"/>
              </w:rPr>
              <w:br w:type="textWrapping"/>
            </w:r>
            <w:r>
              <w:rPr>
                <w:rFonts w:hint="eastAsia" w:ascii="宋体" w:hAnsi="宋体" w:cs="宋体"/>
                <w:kern w:val="0"/>
                <w:sz w:val="22"/>
              </w:rPr>
              <w:t>2、自由作业</w:t>
            </w:r>
            <w:r>
              <w:rPr>
                <w:rFonts w:hint="eastAsia" w:ascii="宋体" w:hAnsi="宋体" w:cs="宋体"/>
                <w:kern w:val="0"/>
                <w:sz w:val="22"/>
              </w:rPr>
              <w:br w:type="textWrapping"/>
            </w:r>
            <w:r>
              <w:rPr>
                <w:rFonts w:hint="eastAsia" w:ascii="宋体" w:hAnsi="宋体" w:cs="宋体"/>
                <w:kern w:val="0"/>
                <w:sz w:val="22"/>
              </w:rPr>
              <w:t>（1）支持老师自由选择书面和口头作业发送给学生，并制定电子答题卡供学生作答提交；</w:t>
            </w:r>
            <w:r>
              <w:rPr>
                <w:rFonts w:hint="eastAsia" w:ascii="宋体" w:hAnsi="宋体" w:cs="宋体"/>
                <w:kern w:val="0"/>
                <w:sz w:val="22"/>
              </w:rPr>
              <w:br w:type="textWrapping"/>
            </w:r>
            <w:r>
              <w:rPr>
                <w:rFonts w:hint="eastAsia" w:ascii="宋体" w:hAnsi="宋体" w:cs="宋体"/>
                <w:kern w:val="0"/>
                <w:sz w:val="22"/>
              </w:rPr>
              <w:t>（2）支持老师把自由选择的作业定时或立即发送至学生端，并可保存到草稿箱作业支持再次编辑、删除和发送；</w:t>
            </w:r>
            <w:r>
              <w:rPr>
                <w:rFonts w:hint="eastAsia" w:ascii="宋体" w:hAnsi="宋体" w:cs="宋体"/>
                <w:kern w:val="0"/>
                <w:sz w:val="22"/>
              </w:rPr>
              <w:br w:type="textWrapping"/>
            </w:r>
            <w:r>
              <w:rPr>
                <w:rFonts w:hint="eastAsia" w:ascii="宋体" w:hAnsi="宋体" w:cs="宋体"/>
                <w:kern w:val="0"/>
                <w:sz w:val="22"/>
              </w:rPr>
              <w:t>3、校本作业</w:t>
            </w:r>
            <w:r>
              <w:rPr>
                <w:rFonts w:hint="eastAsia" w:ascii="宋体" w:hAnsi="宋体" w:cs="宋体"/>
                <w:kern w:val="0"/>
                <w:sz w:val="22"/>
              </w:rPr>
              <w:br w:type="textWrapping"/>
            </w:r>
            <w:r>
              <w:rPr>
                <w:rFonts w:hint="eastAsia" w:ascii="宋体" w:hAnsi="宋体" w:cs="宋体"/>
                <w:kern w:val="0"/>
                <w:sz w:val="22"/>
              </w:rPr>
              <w:t>（1）支持学校和老师把校本的作业上传到作业平台布置给学生；</w:t>
            </w:r>
            <w:r>
              <w:rPr>
                <w:rFonts w:hint="eastAsia" w:ascii="宋体" w:hAnsi="宋体" w:cs="宋体"/>
                <w:kern w:val="0"/>
                <w:sz w:val="22"/>
              </w:rPr>
              <w:br w:type="textWrapping"/>
            </w:r>
            <w:r>
              <w:rPr>
                <w:rFonts w:hint="eastAsia" w:ascii="宋体" w:hAnsi="宋体" w:cs="宋体"/>
                <w:kern w:val="0"/>
                <w:sz w:val="22"/>
              </w:rPr>
              <w:t>（2）支持老师立即或定时发送作业，支持再次编辑、删除和转发；</w:t>
            </w:r>
            <w:r>
              <w:rPr>
                <w:rFonts w:hint="eastAsia" w:ascii="宋体" w:hAnsi="宋体" w:cs="宋体"/>
                <w:kern w:val="0"/>
                <w:sz w:val="22"/>
              </w:rPr>
              <w:br w:type="textWrapping"/>
            </w:r>
            <w:r>
              <w:rPr>
                <w:rFonts w:hint="eastAsia" w:ascii="宋体" w:hAnsi="宋体" w:cs="宋体"/>
                <w:kern w:val="0"/>
                <w:sz w:val="22"/>
              </w:rPr>
              <w:t>（3）已发送作业支持再次编辑、删除和转发；</w:t>
            </w:r>
            <w:r>
              <w:rPr>
                <w:rFonts w:hint="eastAsia" w:ascii="宋体" w:hAnsi="宋体" w:cs="宋体"/>
                <w:kern w:val="0"/>
                <w:sz w:val="22"/>
              </w:rPr>
              <w:br w:type="textWrapping"/>
            </w:r>
            <w:r>
              <w:rPr>
                <w:rFonts w:hint="eastAsia" w:ascii="宋体" w:hAnsi="宋体" w:cs="宋体"/>
                <w:kern w:val="0"/>
                <w:sz w:val="22"/>
              </w:rPr>
              <w:t>4、作业批改：支持客观题自动批改，主观题批注批改。</w:t>
            </w:r>
            <w:r>
              <w:rPr>
                <w:rFonts w:hint="eastAsia" w:ascii="宋体" w:hAnsi="宋体" w:cs="宋体"/>
                <w:kern w:val="0"/>
                <w:sz w:val="22"/>
              </w:rPr>
              <w:br w:type="textWrapping"/>
            </w:r>
            <w:r>
              <w:rPr>
                <w:rFonts w:hint="eastAsia" w:ascii="宋体" w:hAnsi="宋体" w:cs="宋体"/>
                <w:kern w:val="0"/>
                <w:sz w:val="22"/>
              </w:rPr>
              <w:t>（1）支持按学生、按题目查看学生提交的答案，支持对答案进行批注，并支持批注笔迹的保存、撤销、擦除等，支持对学生提交的图片进行放大、缩小和旋转。</w:t>
            </w:r>
            <w:r>
              <w:rPr>
                <w:rFonts w:hint="eastAsia" w:ascii="宋体" w:hAnsi="宋体" w:cs="宋体"/>
                <w:kern w:val="0"/>
                <w:sz w:val="22"/>
              </w:rPr>
              <w:br w:type="textWrapping"/>
            </w:r>
            <w:r>
              <w:rPr>
                <w:rFonts w:hint="eastAsia" w:ascii="宋体" w:hAnsi="宋体" w:cs="宋体"/>
                <w:kern w:val="0"/>
                <w:sz w:val="22"/>
              </w:rPr>
              <w:t xml:space="preserve">（2）支持快速赋分，也可直接点击软键盘，赋予当前批改的题目分值；  </w:t>
            </w:r>
            <w:r>
              <w:rPr>
                <w:rFonts w:hint="eastAsia" w:ascii="宋体" w:hAnsi="宋体" w:cs="宋体"/>
                <w:kern w:val="0"/>
                <w:sz w:val="22"/>
              </w:rPr>
              <w:br w:type="textWrapping"/>
            </w:r>
            <w:r>
              <w:rPr>
                <w:rFonts w:hint="eastAsia" w:ascii="宋体" w:hAnsi="宋体" w:cs="宋体"/>
                <w:kern w:val="0"/>
                <w:sz w:val="22"/>
              </w:rPr>
              <w:t xml:space="preserve">（3）支持批改后自动保存当前批改题目的分值、笔迹等；   </w:t>
            </w:r>
            <w:r>
              <w:rPr>
                <w:rFonts w:hint="eastAsia" w:ascii="宋体" w:hAnsi="宋体" w:cs="宋体"/>
                <w:kern w:val="0"/>
                <w:sz w:val="22"/>
              </w:rPr>
              <w:br w:type="textWrapping"/>
            </w:r>
            <w:r>
              <w:rPr>
                <w:rFonts w:hint="eastAsia" w:ascii="宋体" w:hAnsi="宋体" w:cs="宋体"/>
                <w:kern w:val="0"/>
                <w:sz w:val="22"/>
              </w:rPr>
              <w:t xml:space="preserve">（4）支持对典型题目和优秀答案进行标识，并自动归集到学情分析中，便于老师课上进行讲解； </w:t>
            </w:r>
            <w:r>
              <w:rPr>
                <w:rFonts w:hint="eastAsia" w:ascii="宋体" w:hAnsi="宋体" w:cs="宋体"/>
                <w:kern w:val="0"/>
                <w:sz w:val="22"/>
              </w:rPr>
              <w:br w:type="textWrapping"/>
            </w:r>
            <w:r>
              <w:rPr>
                <w:rFonts w:hint="eastAsia" w:ascii="宋体" w:hAnsi="宋体" w:cs="宋体"/>
                <w:kern w:val="0"/>
                <w:sz w:val="22"/>
              </w:rPr>
              <w:t>（5）支持老师对学生错题设置为订正，发送至学生端要求学生进行二次作答，学生提交后，支持老师进行二次检查；</w:t>
            </w:r>
            <w:r>
              <w:rPr>
                <w:rFonts w:hint="eastAsia" w:ascii="宋体" w:hAnsi="宋体" w:cs="宋体"/>
                <w:kern w:val="0"/>
                <w:sz w:val="22"/>
              </w:rPr>
              <w:br w:type="textWrapping"/>
            </w:r>
            <w:r>
              <w:rPr>
                <w:rFonts w:hint="eastAsia" w:ascii="宋体" w:hAnsi="宋体" w:cs="宋体"/>
                <w:kern w:val="0"/>
                <w:sz w:val="22"/>
              </w:rPr>
              <w:t>（6）支持按人或按题快速预览学生的作答详情；</w:t>
            </w:r>
            <w:r>
              <w:rPr>
                <w:rFonts w:hint="eastAsia" w:ascii="宋体" w:hAnsi="宋体" w:cs="宋体"/>
                <w:kern w:val="0"/>
                <w:sz w:val="22"/>
              </w:rPr>
              <w:br w:type="textWrapping"/>
            </w:r>
            <w:r>
              <w:rPr>
                <w:rFonts w:hint="eastAsia" w:ascii="宋体" w:hAnsi="宋体" w:cs="宋体"/>
                <w:kern w:val="0"/>
                <w:sz w:val="22"/>
              </w:rPr>
              <w:t>5、错题本</w:t>
            </w:r>
            <w:r>
              <w:rPr>
                <w:rFonts w:hint="eastAsia" w:ascii="宋体" w:hAnsi="宋体" w:cs="宋体"/>
                <w:kern w:val="0"/>
                <w:sz w:val="22"/>
              </w:rPr>
              <w:br w:type="textWrapping"/>
            </w:r>
            <w:r>
              <w:rPr>
                <w:rFonts w:hint="eastAsia" w:ascii="宋体" w:hAnsi="宋体" w:cs="宋体"/>
                <w:kern w:val="0"/>
                <w:sz w:val="22"/>
              </w:rPr>
              <w:t>（1）题库错题支持按学科自动归集，无须手抄整理。</w:t>
            </w:r>
            <w:r>
              <w:rPr>
                <w:rFonts w:hint="eastAsia" w:ascii="宋体" w:hAnsi="宋体" w:cs="宋体"/>
                <w:kern w:val="0"/>
                <w:sz w:val="22"/>
              </w:rPr>
              <w:br w:type="textWrapping"/>
            </w:r>
            <w:r>
              <w:rPr>
                <w:rFonts w:hint="eastAsia" w:ascii="宋体" w:hAnsi="宋体" w:cs="宋体"/>
                <w:kern w:val="0"/>
                <w:sz w:val="22"/>
              </w:rPr>
              <w:t>（2）同一道错题支持汇聚多次作答记录，支持学生复习，查看答题解析详解。</w:t>
            </w:r>
            <w:r>
              <w:rPr>
                <w:rFonts w:hint="eastAsia" w:ascii="宋体" w:hAnsi="宋体" w:cs="宋体"/>
                <w:kern w:val="0"/>
                <w:sz w:val="22"/>
              </w:rPr>
              <w:br w:type="textWrapping"/>
            </w:r>
            <w:r>
              <w:rPr>
                <w:rFonts w:hint="eastAsia" w:ascii="宋体" w:hAnsi="宋体" w:cs="宋体"/>
                <w:kern w:val="0"/>
                <w:sz w:val="22"/>
              </w:rPr>
              <w:t>（3）错题支持大数据精准推送举一反三巩固练习。</w:t>
            </w:r>
            <w:r>
              <w:rPr>
                <w:rFonts w:hint="eastAsia" w:ascii="宋体" w:hAnsi="宋体" w:cs="宋体"/>
                <w:kern w:val="0"/>
                <w:sz w:val="22"/>
              </w:rPr>
              <w:br w:type="textWrapping"/>
            </w:r>
            <w:r>
              <w:rPr>
                <w:rFonts w:hint="eastAsia" w:ascii="宋体" w:hAnsi="宋体" w:cs="宋体"/>
                <w:kern w:val="0"/>
                <w:sz w:val="22"/>
              </w:rPr>
              <w:t>（4）已掌握的错题支持设置为已掌握。</w:t>
            </w:r>
            <w:r>
              <w:rPr>
                <w:rFonts w:hint="eastAsia" w:ascii="宋体" w:hAnsi="宋体" w:cs="宋体"/>
                <w:kern w:val="0"/>
                <w:sz w:val="22"/>
              </w:rPr>
              <w:br w:type="textWrapping"/>
            </w:r>
            <w:r>
              <w:rPr>
                <w:rFonts w:hint="eastAsia" w:ascii="宋体" w:hAnsi="宋体" w:cs="宋体"/>
                <w:kern w:val="0"/>
                <w:sz w:val="22"/>
              </w:rPr>
              <w:t>6、班级学情分析：支持查看每一次作业的学情分析报告，包括班级分析报告和个人分析报告。</w:t>
            </w:r>
            <w:r>
              <w:rPr>
                <w:rFonts w:hint="eastAsia" w:ascii="宋体" w:hAnsi="宋体" w:cs="宋体"/>
                <w:kern w:val="0"/>
                <w:sz w:val="22"/>
              </w:rPr>
              <w:br w:type="textWrapping"/>
            </w:r>
            <w:r>
              <w:rPr>
                <w:rFonts w:hint="eastAsia" w:ascii="宋体" w:hAnsi="宋体" w:cs="宋体"/>
                <w:kern w:val="0"/>
                <w:sz w:val="22"/>
              </w:rPr>
              <w:t>（1）班级分析报告：支持查看班级的概览、成绩分析、提交分析、学生排名，概览包括平均分、最高分、最低分、平均用时、提交人数等，支持查看全班的作业成绩分布，优秀、良好、及格和不及格的占比情况，支持查看提交人数和姓名详情。</w:t>
            </w:r>
            <w:r>
              <w:rPr>
                <w:rFonts w:hint="eastAsia" w:ascii="宋体" w:hAnsi="宋体" w:cs="宋体"/>
                <w:kern w:val="0"/>
                <w:sz w:val="22"/>
              </w:rPr>
              <w:br w:type="textWrapping"/>
            </w:r>
            <w:r>
              <w:rPr>
                <w:rFonts w:hint="eastAsia" w:ascii="宋体" w:hAnsi="宋体" w:cs="宋体"/>
                <w:kern w:val="0"/>
                <w:sz w:val="22"/>
              </w:rPr>
              <w:t>（2）答题情况分析：支持查看每道题目的得分率及统计分析，客观题支持查看每个选项的占比和作答学生列表，主观题支持查看各分数段的占比和作答学生列表。</w:t>
            </w:r>
            <w:r>
              <w:rPr>
                <w:rFonts w:hint="eastAsia" w:ascii="宋体" w:hAnsi="宋体" w:cs="宋体"/>
                <w:kern w:val="0"/>
                <w:sz w:val="22"/>
              </w:rPr>
              <w:br w:type="textWrapping"/>
            </w:r>
            <w:r>
              <w:rPr>
                <w:rFonts w:hint="eastAsia" w:ascii="宋体" w:hAnsi="宋体" w:cs="宋体"/>
                <w:kern w:val="0"/>
                <w:sz w:val="22"/>
              </w:rPr>
              <w:t>7、作业讲评</w:t>
            </w:r>
            <w:r>
              <w:rPr>
                <w:rFonts w:hint="eastAsia" w:ascii="宋体" w:hAnsi="宋体" w:cs="宋体"/>
                <w:kern w:val="0"/>
                <w:sz w:val="22"/>
              </w:rPr>
              <w:br w:type="textWrapping"/>
            </w:r>
            <w:r>
              <w:rPr>
                <w:rFonts w:hint="eastAsia" w:ascii="宋体" w:hAnsi="宋体" w:cs="宋体"/>
                <w:kern w:val="0"/>
                <w:sz w:val="22"/>
              </w:rPr>
              <w:t xml:space="preserve">（1）支持课上直接在课堂教学工具菜单栏中调取作业讲评，可查看每一次作业的学情分析报告并进行题目讲解； </w:t>
            </w:r>
            <w:r>
              <w:rPr>
                <w:rFonts w:hint="eastAsia" w:ascii="宋体" w:hAnsi="宋体" w:cs="宋体"/>
                <w:kern w:val="0"/>
                <w:sz w:val="22"/>
              </w:rPr>
              <w:br w:type="textWrapping"/>
            </w:r>
            <w:r>
              <w:rPr>
                <w:rFonts w:hint="eastAsia" w:ascii="宋体" w:hAnsi="宋体" w:cs="宋体"/>
                <w:kern w:val="0"/>
                <w:sz w:val="22"/>
              </w:rPr>
              <w:t>（1）学情分析报告：支持查看班级的概览、成绩分析、提交分析、学生提交详情等，概览包括平均分、最高分、最低分、平均用时等，支持查看全班的作业成绩分布，优秀、良好、合格和不合格的占比情况，支持查看班级提交详情。</w:t>
            </w:r>
            <w:r>
              <w:rPr>
                <w:rFonts w:hint="eastAsia" w:ascii="宋体" w:hAnsi="宋体" w:cs="宋体"/>
                <w:kern w:val="0"/>
                <w:sz w:val="22"/>
              </w:rPr>
              <w:br w:type="textWrapping"/>
            </w:r>
            <w:r>
              <w:rPr>
                <w:rFonts w:hint="eastAsia" w:ascii="宋体" w:hAnsi="宋体" w:cs="宋体"/>
                <w:kern w:val="0"/>
                <w:sz w:val="22"/>
              </w:rPr>
              <w:t>（2）答题情况分析：支持查看每道题目的得分率及统计分析，支持通过答题概览快速定位题目进行讲解，客观题支持查看每个选项的占比和作答学生列表，主观题支持查看各分数段的占比和作答学生列表，支持点击查看学生作答详情，设置优秀和典型。</w:t>
            </w:r>
            <w:r>
              <w:rPr>
                <w:rFonts w:hint="eastAsia" w:ascii="宋体" w:hAnsi="宋体" w:cs="宋体"/>
                <w:kern w:val="0"/>
                <w:sz w:val="22"/>
              </w:rPr>
              <w:br w:type="textWrapping"/>
            </w:r>
            <w:r>
              <w:rPr>
                <w:rFonts w:hint="eastAsia" w:ascii="宋体" w:hAnsi="宋体" w:cs="宋体"/>
                <w:kern w:val="0"/>
                <w:sz w:val="22"/>
              </w:rPr>
              <w:t>（3）精准讲评：支持教师根据单题得分率开展课堂针对性练习，并支持对具体单题实现举一反三的功能。</w:t>
            </w:r>
          </w:p>
        </w:tc>
      </w:tr>
      <w:tr w14:paraId="7037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469D755">
            <w:pPr>
              <w:widowControl/>
              <w:jc w:val="center"/>
              <w:rPr>
                <w:rFonts w:ascii="宋体" w:hAnsi="宋体" w:cs="宋体"/>
                <w:kern w:val="0"/>
                <w:sz w:val="22"/>
              </w:rPr>
            </w:pPr>
            <w:r>
              <w:rPr>
                <w:rFonts w:hint="eastAsia" w:ascii="宋体" w:hAnsi="宋体" w:cs="宋体"/>
                <w:kern w:val="0"/>
                <w:sz w:val="22"/>
              </w:rPr>
              <w:t>未来教室应用系统</w:t>
            </w:r>
          </w:p>
        </w:tc>
        <w:tc>
          <w:tcPr>
            <w:tcW w:w="7654" w:type="dxa"/>
            <w:tcBorders>
              <w:tl2br w:val="nil"/>
              <w:tr2bl w:val="nil"/>
            </w:tcBorders>
            <w:shd w:val="clear" w:color="000000" w:fill="FFFFFF"/>
            <w:vAlign w:val="center"/>
          </w:tcPr>
          <w:p w14:paraId="77C72D70">
            <w:pPr>
              <w:widowControl/>
              <w:jc w:val="left"/>
              <w:rPr>
                <w:rFonts w:ascii="宋体" w:hAnsi="宋体" w:cs="宋体"/>
                <w:kern w:val="0"/>
                <w:sz w:val="22"/>
              </w:rPr>
            </w:pPr>
            <w:r>
              <w:rPr>
                <w:rFonts w:hint="eastAsia" w:ascii="宋体" w:hAnsi="宋体" w:cs="宋体"/>
                <w:kern w:val="0"/>
                <w:sz w:val="22"/>
              </w:rPr>
              <w:t>一、智能授课</w:t>
            </w:r>
            <w:r>
              <w:rPr>
                <w:rFonts w:hint="eastAsia" w:ascii="宋体" w:hAnsi="宋体" w:cs="宋体"/>
                <w:kern w:val="0"/>
                <w:sz w:val="22"/>
              </w:rPr>
              <w:br w:type="textWrapping"/>
            </w:r>
            <w:r>
              <w:rPr>
                <w:rFonts w:hint="eastAsia" w:ascii="宋体" w:hAnsi="宋体" w:cs="宋体"/>
                <w:kern w:val="0"/>
                <w:sz w:val="22"/>
              </w:rPr>
              <w:t>1.课本授课：</w:t>
            </w:r>
            <w:r>
              <w:rPr>
                <w:rFonts w:hint="eastAsia" w:ascii="宋体" w:hAnsi="宋体" w:cs="宋体"/>
                <w:kern w:val="0"/>
                <w:sz w:val="22"/>
              </w:rPr>
              <w:br w:type="textWrapping"/>
            </w:r>
            <w:r>
              <w:rPr>
                <w:rFonts w:hint="eastAsia" w:ascii="宋体" w:hAnsi="宋体" w:cs="宋体"/>
                <w:kern w:val="0"/>
                <w:sz w:val="22"/>
              </w:rPr>
              <w:t>（1）支持电子化教材授课，将统一教材、教辅资料、校本教材、经典阅读等资源按学科、年级、册别、出版社等进行归类,供教师根据教学需求自行筛选或搜索使用；经典阅读支持按国别和分类进行整理，用于拓展阅读教学；</w:t>
            </w:r>
            <w:r>
              <w:rPr>
                <w:rFonts w:hint="eastAsia" w:ascii="宋体" w:hAnsi="宋体" w:cs="宋体"/>
                <w:kern w:val="0"/>
                <w:sz w:val="22"/>
              </w:rPr>
              <w:br w:type="textWrapping"/>
            </w:r>
            <w:r>
              <w:rPr>
                <w:rFonts w:hint="eastAsia" w:ascii="宋体" w:hAnsi="宋体" w:cs="宋体"/>
                <w:kern w:val="0"/>
                <w:sz w:val="22"/>
              </w:rPr>
              <w:t>（2）课本同步资源：电子教材配套的教学资源支持一键下载并与教材内的知识点相关联，资源自动内置于教材知识点对应位置并支持自由拖动；支持按资源名称快捷搜索相关资源，并能实现资源的导入与编辑；资源类型包含：教案、课件、导学案、素材、微课、习题、试卷、课例等，资源格式支持PPT、Word、PDF、图片、音频、微课、Excel等；</w:t>
            </w:r>
            <w:r>
              <w:rPr>
                <w:rFonts w:hint="eastAsia" w:ascii="宋体" w:hAnsi="宋体" w:cs="宋体"/>
                <w:kern w:val="0"/>
                <w:sz w:val="22"/>
              </w:rPr>
              <w:br w:type="textWrapping"/>
            </w:r>
            <w:r>
              <w:rPr>
                <w:rFonts w:hint="eastAsia" w:ascii="宋体" w:hAnsi="宋体" w:cs="宋体"/>
                <w:kern w:val="0"/>
                <w:sz w:val="22"/>
              </w:rPr>
              <w:t>（3）授课课本支持单、双页模式，支持下拉浏览，可放大至400%清晰标注，教师可根据课本目录快速定位到教学章节；</w:t>
            </w:r>
            <w:r>
              <w:rPr>
                <w:rFonts w:hint="eastAsia" w:ascii="宋体" w:hAnsi="宋体" w:cs="宋体"/>
                <w:kern w:val="0"/>
                <w:sz w:val="22"/>
              </w:rPr>
              <w:br w:type="textWrapping"/>
            </w:r>
            <w:r>
              <w:rPr>
                <w:rFonts w:hint="eastAsia" w:ascii="宋体" w:hAnsi="宋体" w:cs="宋体"/>
                <w:kern w:val="0"/>
                <w:sz w:val="22"/>
              </w:rPr>
              <w:t>（4）书架管理：支持教师自行导入课本，教师可编辑自己书架的课本对课本进行删除；</w:t>
            </w:r>
            <w:r>
              <w:rPr>
                <w:rFonts w:hint="eastAsia" w:ascii="宋体" w:hAnsi="宋体" w:cs="宋体"/>
                <w:kern w:val="0"/>
                <w:sz w:val="22"/>
              </w:rPr>
              <w:br w:type="textWrapping"/>
            </w:r>
            <w:r>
              <w:rPr>
                <w:rFonts w:hint="eastAsia" w:ascii="宋体" w:hAnsi="宋体" w:cs="宋体"/>
                <w:kern w:val="0"/>
                <w:sz w:val="22"/>
              </w:rPr>
              <w:t>（5）课本点读：语文、英语、音乐学科课本支持全文和单句点读，并支持自定义调节播放进度条，营造标准语言环境；</w:t>
            </w:r>
            <w:r>
              <w:rPr>
                <w:rFonts w:hint="eastAsia" w:ascii="宋体" w:hAnsi="宋体" w:cs="宋体"/>
                <w:kern w:val="0"/>
                <w:sz w:val="22"/>
              </w:rPr>
              <w:br w:type="textWrapping"/>
            </w:r>
            <w:r>
              <w:rPr>
                <w:rFonts w:hint="eastAsia" w:ascii="宋体" w:hAnsi="宋体" w:cs="宋体"/>
                <w:kern w:val="0"/>
                <w:sz w:val="22"/>
              </w:rPr>
              <w:t>2.白板授课：提供多学科主题模板（黑板、白板、拼音田字格、田字格、米字格、四线格、坐标系、小方格、数学本、练习簿、日字格、五线谱、篮球场、足球场等）,并可在白板任意位置进行书写、批注、擦除、拖动等；笔迹支持选中移动、中英文识别、修改颜色、置顶、复制与删除；插入图片或截图到白板中，支持切换图片的锁定状态，即拖动板书内容时图片可以和板书同步移动或缩放；支持可以将图片位置和大小固定，不随板书内容进行移动或缩放，以适应不同的教学场景；支持多个图片同时分别处于锁定和解锁状态；支持将文档（PPT、word、Pdf）插入白板授课，插入白板后的文档类资源支持拖动、翻页、缩放，书写笔迹跟随移动，且支持保存，再次打开时，笔迹仍然保留；支持将视频插入白板授课；白板内容均支持保存，跨终端调取云板书；</w:t>
            </w:r>
            <w:r>
              <w:rPr>
                <w:rFonts w:hint="eastAsia" w:ascii="宋体" w:hAnsi="宋体" w:cs="宋体"/>
                <w:kern w:val="0"/>
                <w:sz w:val="22"/>
              </w:rPr>
              <w:br w:type="textWrapping"/>
            </w:r>
            <w:r>
              <w:rPr>
                <w:rFonts w:hint="eastAsia" w:ascii="宋体" w:hAnsi="宋体" w:cs="宋体"/>
                <w:kern w:val="0"/>
                <w:sz w:val="22"/>
              </w:rPr>
              <w:t>3.课件授课：支持一键调取本机、个人网盘与学校网盘内的教学课件，并实现教学课件文档的手势识别（多级放大、滑动翻页等），支持查看课件缩略图进行快速定位，播放过程中可实现自由批注，当页书写笔迹内容与当页课件内容同步跟随；</w:t>
            </w:r>
            <w:r>
              <w:rPr>
                <w:rFonts w:hint="eastAsia" w:ascii="宋体" w:hAnsi="宋体" w:cs="宋体"/>
                <w:kern w:val="0"/>
                <w:sz w:val="22"/>
              </w:rPr>
              <w:br w:type="textWrapping"/>
            </w:r>
            <w:r>
              <w:rPr>
                <w:rFonts w:hint="eastAsia" w:ascii="宋体" w:hAnsi="宋体" w:cs="宋体"/>
                <w:kern w:val="0"/>
                <w:sz w:val="22"/>
              </w:rPr>
              <w:t>4.讲评授课：支持一键调取作业、考试报告、题库资源等进行讲评，可在线查看班级全体、学生个体每题的答题情况，并通过答题概览快速定位题目进行讲解；客观题可查看每个选项的作答人数和作答学生列表，主观题可查看各分数段的得分人数和作答学生列表，点击查看学生作答详情，并可对优秀和典型答题进行展示、讲评和分享；支持讲评的同时根据学生的作业/考试的得分率进行针对性练习、举一反三等；</w:t>
            </w:r>
            <w:r>
              <w:rPr>
                <w:rFonts w:hint="eastAsia" w:ascii="宋体" w:hAnsi="宋体" w:cs="宋体"/>
                <w:kern w:val="0"/>
                <w:sz w:val="22"/>
              </w:rPr>
              <w:br w:type="textWrapping"/>
            </w:r>
            <w:r>
              <w:rPr>
                <w:rFonts w:hint="eastAsia" w:ascii="宋体" w:hAnsi="宋体" w:cs="宋体"/>
                <w:kern w:val="0"/>
                <w:sz w:val="22"/>
              </w:rPr>
              <w:t>5.移动授课：支持任意Windows/Android/iOS移动终端移动投屏授课，远程授权大屏登录个人账号、PPT推送、PPT遥控、调用白板、批注讲解、拍照讲解、实物展台、文本编辑实施同步、镜像同屏等；</w:t>
            </w:r>
            <w:r>
              <w:rPr>
                <w:rFonts w:hint="eastAsia" w:ascii="宋体" w:hAnsi="宋体" w:cs="宋体"/>
                <w:kern w:val="0"/>
                <w:sz w:val="22"/>
              </w:rPr>
              <w:br w:type="textWrapping"/>
            </w:r>
            <w:r>
              <w:rPr>
                <w:rFonts w:hint="eastAsia" w:ascii="宋体" w:hAnsi="宋体" w:cs="宋体"/>
                <w:kern w:val="0"/>
                <w:sz w:val="22"/>
              </w:rPr>
              <w:t>（1）拍照讲解：支持将学生作业、试卷等纸质内容进行拍照对比讲评，并实现多张图片同屏展现，并对展现内容进行原笔迹手写批注、图片旋转等；</w:t>
            </w:r>
            <w:r>
              <w:rPr>
                <w:rFonts w:hint="eastAsia" w:ascii="宋体" w:hAnsi="宋体" w:cs="宋体"/>
                <w:kern w:val="0"/>
                <w:sz w:val="22"/>
              </w:rPr>
              <w:br w:type="textWrapping"/>
            </w:r>
            <w:r>
              <w:rPr>
                <w:rFonts w:hint="eastAsia" w:ascii="宋体" w:hAnsi="宋体" w:cs="宋体"/>
                <w:kern w:val="0"/>
                <w:sz w:val="22"/>
              </w:rPr>
              <w:t>（2）实物展台：支持移动实物展台功能，配合教师移动终端拍摄各类学科实验、答题过程等实时视频并进行投屏显示；</w:t>
            </w:r>
            <w:r>
              <w:rPr>
                <w:rFonts w:hint="eastAsia" w:ascii="宋体" w:hAnsi="宋体" w:cs="宋体"/>
                <w:kern w:val="0"/>
                <w:sz w:val="22"/>
              </w:rPr>
              <w:br w:type="textWrapping"/>
            </w:r>
            <w:r>
              <w:rPr>
                <w:rFonts w:hint="eastAsia" w:ascii="宋体" w:hAnsi="宋体" w:cs="宋体"/>
                <w:kern w:val="0"/>
                <w:sz w:val="22"/>
              </w:rPr>
              <w:t>（3）多屏交互：支持教师一键将Windows/Android/iOS等移动设备上的授课内容（课件、作业、图片、板书等）同屏至学生终端，学生可自由对同屏内容进行放大、缩小、批注与收藏；</w:t>
            </w:r>
            <w:r>
              <w:rPr>
                <w:rFonts w:hint="eastAsia" w:ascii="宋体" w:hAnsi="宋体" w:cs="宋体"/>
                <w:kern w:val="0"/>
                <w:sz w:val="22"/>
              </w:rPr>
              <w:br w:type="textWrapping"/>
            </w:r>
            <w:r>
              <w:rPr>
                <w:rFonts w:hint="eastAsia" w:ascii="宋体" w:hAnsi="宋体" w:cs="宋体"/>
                <w:kern w:val="0"/>
                <w:sz w:val="22"/>
              </w:rPr>
              <w:t>（4）多端教学：同时提供Windows/iOS/Android移动端工具，满足多端教学需求，iOS与Android移动端工具支持微课录制、课件查询、布置作业、批改作业、教学评价、云考试等功能；</w:t>
            </w:r>
            <w:r>
              <w:rPr>
                <w:rFonts w:hint="eastAsia" w:ascii="宋体" w:hAnsi="宋体" w:cs="宋体"/>
                <w:kern w:val="0"/>
                <w:sz w:val="22"/>
              </w:rPr>
              <w:br w:type="textWrapping"/>
            </w:r>
            <w:r>
              <w:rPr>
                <w:rFonts w:hint="eastAsia" w:ascii="宋体" w:hAnsi="宋体" w:cs="宋体"/>
                <w:kern w:val="0"/>
                <w:sz w:val="22"/>
              </w:rPr>
              <w:t>6.教学书写：提供三种笔形、四种粗细的画笔，画笔颜色支持按色调、饱和度等进行自定义调整，支持任意教学环境下（白板、讲解、视频、PDF等）进行全屏原笔迹书写，笔迹流畅无延迟并自带笔锋，完美高度还原粉笔书写体验与效果；</w:t>
            </w:r>
            <w:r>
              <w:rPr>
                <w:rFonts w:hint="eastAsia" w:ascii="宋体" w:hAnsi="宋体" w:cs="宋体"/>
                <w:kern w:val="0"/>
                <w:sz w:val="22"/>
              </w:rPr>
              <w:br w:type="textWrapping"/>
            </w:r>
            <w:r>
              <w:rPr>
                <w:rFonts w:hint="eastAsia" w:ascii="宋体" w:hAnsi="宋体" w:cs="宋体"/>
                <w:kern w:val="0"/>
                <w:sz w:val="22"/>
              </w:rPr>
              <w:t>7.授课工具：提供板擦（区域擦除、撤销、恢复、清空等，板擦大小可自由调整）、聚焦、拍照、展台、放大镜、计时、录制视频、微课剪辑、幕布等基础教学工具；聚焦功能支持图像增强、文字识别、高亮显示等，支持插入白板进行完整讲演或聚焦多个进行对比讲评；计时功能支持设置倒计时、正计时、时钟、提醒时间、响铃音量等，多场景满足教师授课需求，并支持全屏显示和一键重置；幕布功能实现拖动黑色幕布遮盖的部分，可以在板书内容固定不动的情况下调整幕布遮盖的位置；也可以拖动幕布擦除后展露出的板书，在幕布位置固定不动的情况下，调整展露出的板书内容；</w:t>
            </w:r>
            <w:r>
              <w:rPr>
                <w:rFonts w:hint="eastAsia" w:ascii="宋体" w:hAnsi="宋体" w:cs="宋体"/>
                <w:kern w:val="0"/>
                <w:sz w:val="22"/>
              </w:rPr>
              <w:br w:type="textWrapping"/>
            </w:r>
            <w:r>
              <w:rPr>
                <w:rFonts w:hint="eastAsia" w:ascii="宋体" w:hAnsi="宋体" w:cs="宋体"/>
                <w:kern w:val="0"/>
                <w:sz w:val="22"/>
              </w:rPr>
              <w:t>8.基础学科工具：提供多学科的学科工具，包括通用工具、语文、数学、英语、化学、物理、音乐、体育等学科工具，如扫码传图、诗词卡片、拼音卡片、尺规、平面图形、立体图形、函数工具、算盘、计数器、数小棒、数学动图、仿真实验、构图助手、动态数学教学工具、立体截面、英文词典、字母卡片、报听写、物理器材、化学器材、音乐大师、运动等；</w:t>
            </w:r>
            <w:r>
              <w:rPr>
                <w:rFonts w:hint="eastAsia" w:ascii="宋体" w:hAnsi="宋体" w:cs="宋体"/>
                <w:kern w:val="0"/>
                <w:sz w:val="22"/>
              </w:rPr>
              <w:br w:type="textWrapping"/>
            </w:r>
            <w:r>
              <w:rPr>
                <w:rFonts w:hint="eastAsia" w:ascii="宋体" w:hAnsi="宋体" w:cs="宋体"/>
                <w:kern w:val="0"/>
                <w:sz w:val="22"/>
              </w:rPr>
              <w:t>▲（1）扫码传图支持使用微信扫描软件内置的二维码传输图片至大屏，支持对图片进行批注，支持将图片插入白板，支持上传多张图片对比讲解，上传的图片会自动保存至个人网盘；</w:t>
            </w:r>
            <w:r>
              <w:rPr>
                <w:rFonts w:hint="eastAsia" w:ascii="宋体" w:hAnsi="宋体" w:cs="宋体"/>
                <w:b/>
                <w:bCs/>
                <w:kern w:val="0"/>
                <w:sz w:val="22"/>
              </w:rPr>
              <w:t>（响应时提供软件截图佐证）</w:t>
            </w:r>
            <w:r>
              <w:rPr>
                <w:rFonts w:hint="eastAsia" w:ascii="宋体" w:hAnsi="宋体" w:cs="宋体"/>
                <w:kern w:val="0"/>
                <w:sz w:val="22"/>
              </w:rPr>
              <w:br w:type="textWrapping"/>
            </w:r>
            <w:r>
              <w:rPr>
                <w:rFonts w:hint="eastAsia" w:ascii="宋体" w:hAnsi="宋体" w:cs="宋体"/>
                <w:kern w:val="0"/>
                <w:sz w:val="22"/>
              </w:rPr>
              <w:t>（2）尺规包括直角三角板、等腰直角三角板、量角器、直尺和圆规，尺规作图和平面图形支持角度和长度的数字标注，支持任意图形的自由缩放、大小调整，支持设置边框线条类型和颜色、设置图形填充颜色及透明度，支持对图形的任意拖动、复制、旋转、置顶、删除等功能；</w:t>
            </w:r>
            <w:r>
              <w:rPr>
                <w:rFonts w:hint="eastAsia" w:ascii="宋体" w:hAnsi="宋体" w:cs="宋体"/>
                <w:kern w:val="0"/>
                <w:sz w:val="22"/>
              </w:rPr>
              <w:br w:type="textWrapping"/>
            </w:r>
            <w:r>
              <w:rPr>
                <w:rFonts w:hint="eastAsia" w:ascii="宋体" w:hAnsi="宋体" w:cs="宋体"/>
                <w:kern w:val="0"/>
                <w:sz w:val="22"/>
              </w:rPr>
              <w:t>（3）立体图形支持多种展开模式，并支持大小调节、颜色填充、旋转、删除、复制等操作；</w:t>
            </w:r>
            <w:r>
              <w:rPr>
                <w:rFonts w:hint="eastAsia" w:ascii="宋体" w:hAnsi="宋体" w:cs="宋体"/>
                <w:kern w:val="0"/>
                <w:sz w:val="22"/>
              </w:rPr>
              <w:br w:type="textWrapping"/>
            </w:r>
            <w:r>
              <w:rPr>
                <w:rFonts w:hint="eastAsia" w:ascii="宋体" w:hAnsi="宋体" w:cs="宋体"/>
                <w:kern w:val="0"/>
                <w:sz w:val="22"/>
              </w:rPr>
              <w:t>（4）平面图形支持教师画线、画图、标注、填充颜色等，为方便教师课堂教学，支持设置连续画线；</w:t>
            </w:r>
            <w:r>
              <w:rPr>
                <w:rFonts w:hint="eastAsia" w:ascii="宋体" w:hAnsi="宋体" w:cs="宋体"/>
                <w:kern w:val="0"/>
                <w:sz w:val="22"/>
              </w:rPr>
              <w:br w:type="textWrapping"/>
            </w:r>
            <w:r>
              <w:rPr>
                <w:rFonts w:hint="eastAsia" w:ascii="宋体" w:hAnsi="宋体" w:cs="宋体"/>
                <w:kern w:val="0"/>
                <w:sz w:val="22"/>
              </w:rPr>
              <w:t>（5）化学仪器包括加热、计量、分离、收集、干燥等，物理仪器包括磁学、电学、光学、力学、热学、声学等；</w:t>
            </w:r>
            <w:r>
              <w:rPr>
                <w:rFonts w:hint="eastAsia" w:ascii="宋体" w:hAnsi="宋体" w:cs="宋体"/>
                <w:kern w:val="0"/>
                <w:sz w:val="22"/>
              </w:rPr>
              <w:br w:type="textWrapping"/>
            </w:r>
            <w:r>
              <w:rPr>
                <w:rFonts w:hint="eastAsia" w:ascii="宋体" w:hAnsi="宋体" w:cs="宋体"/>
                <w:kern w:val="0"/>
                <w:sz w:val="22"/>
              </w:rPr>
              <w:t>（6）函数工具包括一次函数、二次函数、幂函数、指数函数、对数函数、三角函数等；</w:t>
            </w:r>
            <w:r>
              <w:rPr>
                <w:rFonts w:hint="eastAsia" w:ascii="宋体" w:hAnsi="宋体" w:cs="宋体"/>
                <w:kern w:val="0"/>
                <w:sz w:val="22"/>
              </w:rPr>
              <w:br w:type="textWrapping"/>
            </w:r>
            <w:r>
              <w:rPr>
                <w:rFonts w:hint="eastAsia" w:ascii="宋体" w:hAnsi="宋体" w:cs="宋体"/>
                <w:kern w:val="0"/>
                <w:sz w:val="22"/>
              </w:rPr>
              <w:t>（7）报听写支持按需选择不同学段、教材、章节的单词进行考察，支持设置听写顺序、听写内容中文显示、朗读次数、书写时间等；</w:t>
            </w:r>
            <w:r>
              <w:rPr>
                <w:rFonts w:hint="eastAsia" w:ascii="宋体" w:hAnsi="宋体" w:cs="宋体"/>
                <w:kern w:val="0"/>
                <w:sz w:val="22"/>
              </w:rPr>
              <w:br w:type="textWrapping"/>
            </w:r>
            <w:r>
              <w:rPr>
                <w:rFonts w:hint="eastAsia" w:ascii="宋体" w:hAnsi="宋体" w:cs="宋体"/>
                <w:kern w:val="0"/>
                <w:sz w:val="22"/>
              </w:rPr>
              <w:t>（8）英文词典：支持键盘输入和手写英文单词搜索出对应的单词的释义、读音、音标、例句、同反义词、词根词缀等，支持任意界面下的手写单词进行划词搜索，支持生成单词卡插入白板中，方便教师讲解；</w:t>
            </w:r>
            <w:r>
              <w:rPr>
                <w:rFonts w:hint="eastAsia" w:ascii="宋体" w:hAnsi="宋体" w:cs="宋体"/>
                <w:kern w:val="0"/>
                <w:sz w:val="22"/>
              </w:rPr>
              <w:br w:type="textWrapping"/>
            </w:r>
            <w:r>
              <w:rPr>
                <w:rFonts w:hint="eastAsia" w:ascii="宋体" w:hAnsi="宋体" w:cs="宋体"/>
                <w:kern w:val="0"/>
                <w:sz w:val="22"/>
              </w:rPr>
              <w:t>（9）数学动态画板：支持自建画板、校本画板和网络画板并附带搜索工具，所绘制的函数及图形支持本地保存、云端保存、插入白板、批量生成外链进行分享等；</w:t>
            </w:r>
            <w:r>
              <w:rPr>
                <w:rFonts w:hint="eastAsia" w:ascii="宋体" w:hAnsi="宋体" w:cs="宋体"/>
                <w:kern w:val="0"/>
                <w:sz w:val="22"/>
              </w:rPr>
              <w:br w:type="textWrapping"/>
            </w:r>
            <w:r>
              <w:rPr>
                <w:rFonts w:hint="eastAsia" w:ascii="宋体" w:hAnsi="宋体" w:cs="宋体"/>
                <w:kern w:val="0"/>
                <w:sz w:val="22"/>
              </w:rPr>
              <w:t>▲9.学科资源应用：支持一键调取科学可视化资源，支持按教科书版本和知识模块进行筛选；知识模块包括：高中数学（集合与常用逻辑用语、不等式、函数、导数、积分、三角函数与解三角形、平面向量、数列、立体几何、平面解析几何、计数原理与统计概率）、高中物理（力与运动、电与磁、原子物理、动量与能量）、高中化学（无机化学、实验化学、结构化学、化学反应原理、有机化学）、高中地理（自然地理、人文地理、区域地理）、高中生物（分子与细胞、遗传与进化、稳态与调节、生物与环境、生物技术与工程）等；</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10.智能云白板：</w:t>
            </w:r>
            <w:r>
              <w:rPr>
                <w:rFonts w:hint="eastAsia" w:ascii="宋体" w:hAnsi="宋体" w:cs="宋体"/>
                <w:kern w:val="0"/>
                <w:sz w:val="22"/>
              </w:rPr>
              <w:br w:type="textWrapping"/>
            </w:r>
            <w:r>
              <w:rPr>
                <w:rFonts w:hint="eastAsia" w:ascii="宋体" w:hAnsi="宋体" w:cs="宋体"/>
                <w:kern w:val="0"/>
                <w:sz w:val="22"/>
              </w:rPr>
              <w:t>（1）支持将教师板书同步保存至云端，并按时间、班级等条件进行归档，支持跨终端调取复用以及再次编辑修改（非JPG格式与PDF格式）；</w:t>
            </w:r>
            <w:r>
              <w:rPr>
                <w:rFonts w:hint="eastAsia" w:ascii="宋体" w:hAnsi="宋体" w:cs="宋体"/>
                <w:kern w:val="0"/>
                <w:sz w:val="22"/>
              </w:rPr>
              <w:br w:type="textWrapping"/>
            </w:r>
            <w:r>
              <w:rPr>
                <w:rFonts w:hint="eastAsia" w:ascii="宋体" w:hAnsi="宋体" w:cs="宋体"/>
                <w:kern w:val="0"/>
                <w:sz w:val="22"/>
              </w:rPr>
              <w:t>（2）支持将板书分享给学科组教师、校本资源，支持一键生成分享二维码、链接，分享至微信\QQ；所分享的板书不仅支持查看其内容，同时可打开查看插入的文档、视频等富媒体资源；</w:t>
            </w:r>
            <w:r>
              <w:rPr>
                <w:rFonts w:hint="eastAsia" w:ascii="宋体" w:hAnsi="宋体" w:cs="宋体"/>
                <w:kern w:val="0"/>
                <w:sz w:val="22"/>
              </w:rPr>
              <w:br w:type="textWrapping"/>
            </w:r>
            <w:r>
              <w:rPr>
                <w:rFonts w:hint="eastAsia" w:ascii="宋体" w:hAnsi="宋体" w:cs="宋体"/>
                <w:kern w:val="0"/>
                <w:sz w:val="22"/>
              </w:rPr>
              <w:t>（3）云端存储的板书内容可同步删除或批量导出至本地；支持导入图片格式文件至云白板，方便教学资源跨终端携带；</w:t>
            </w:r>
            <w:r>
              <w:rPr>
                <w:rFonts w:hint="eastAsia" w:ascii="宋体" w:hAnsi="宋体" w:cs="宋体"/>
                <w:kern w:val="0"/>
                <w:sz w:val="22"/>
              </w:rPr>
              <w:br w:type="textWrapping"/>
            </w:r>
            <w:r>
              <w:rPr>
                <w:rFonts w:hint="eastAsia" w:ascii="宋体" w:hAnsi="宋体" w:cs="宋体"/>
                <w:kern w:val="0"/>
                <w:sz w:val="22"/>
              </w:rPr>
              <w:t xml:space="preserve">11.智能工具：基于即时手写智能识别的智能工具板，可实现中英文智能转写、智能搜索、图形识别与函数识别等功能，所有板书记录可同步保存至云白板； </w:t>
            </w:r>
            <w:r>
              <w:rPr>
                <w:rFonts w:hint="eastAsia" w:ascii="宋体" w:hAnsi="宋体" w:cs="宋体"/>
                <w:kern w:val="0"/>
                <w:sz w:val="22"/>
              </w:rPr>
              <w:br w:type="textWrapping"/>
            </w:r>
            <w:r>
              <w:rPr>
                <w:rFonts w:hint="eastAsia" w:ascii="宋体" w:hAnsi="宋体" w:cs="宋体"/>
                <w:kern w:val="0"/>
                <w:sz w:val="22"/>
              </w:rPr>
              <w:t>（1）中英文智能转写：支持将手写的中英文字词自动识别并转写为标准印刷体，字体大小可无级放大，并支持在线直接搜索和删除的功能；支持对中文生字的手写识别并可实现读音、笔顺、描红、笔画、结构、部首、组词，支持米字格显示，通过字卡实现标准化教学；支持对英文单词的手写识别，并可更换字体显示，支持四线格显示，便捷教学；</w:t>
            </w:r>
            <w:r>
              <w:rPr>
                <w:rFonts w:hint="eastAsia" w:ascii="宋体" w:hAnsi="宋体" w:cs="宋体"/>
                <w:kern w:val="0"/>
                <w:sz w:val="22"/>
              </w:rPr>
              <w:br w:type="textWrapping"/>
            </w:r>
            <w:r>
              <w:rPr>
                <w:rFonts w:hint="eastAsia" w:ascii="宋体" w:hAnsi="宋体" w:cs="宋体"/>
                <w:kern w:val="0"/>
                <w:sz w:val="22"/>
              </w:rPr>
              <w:t>（2）智能搜索：支持画圈搜索手写的中英文字词，可实时触达互联网资源，快速实现课堂拓展讲解；</w:t>
            </w:r>
            <w:r>
              <w:rPr>
                <w:rFonts w:hint="eastAsia" w:ascii="宋体" w:hAnsi="宋体" w:cs="宋体"/>
                <w:kern w:val="0"/>
                <w:sz w:val="22"/>
              </w:rPr>
              <w:br w:type="textWrapping"/>
            </w:r>
            <w:r>
              <w:rPr>
                <w:rFonts w:hint="eastAsia" w:ascii="宋体" w:hAnsi="宋体" w:cs="宋体"/>
                <w:kern w:val="0"/>
                <w:sz w:val="22"/>
              </w:rPr>
              <w:t>（3）图形识别：支持将教师手写的图形自动识别为标准规范图形，并自由缩放、调整图形的比例大小，支持查看图形标注，设置边框线条和颜色，设置图形填充颜色，支持对图形的任意拖动、复制等功能，方便教师“以形助数”、直观讲解；</w:t>
            </w:r>
            <w:r>
              <w:rPr>
                <w:rFonts w:hint="eastAsia" w:ascii="宋体" w:hAnsi="宋体" w:cs="宋体"/>
                <w:kern w:val="0"/>
                <w:sz w:val="22"/>
              </w:rPr>
              <w:br w:type="textWrapping"/>
            </w:r>
            <w:r>
              <w:rPr>
                <w:rFonts w:hint="eastAsia" w:ascii="宋体" w:hAnsi="宋体" w:cs="宋体"/>
                <w:kern w:val="0"/>
                <w:sz w:val="22"/>
              </w:rPr>
              <w:t>▲（4）函数识别：支持将教师手写的函数公式自动识别并转换为匹配的函数图形，并可通过手势划词直接进行删除与修改，支持将相应的函数图形直接插入到白板内，方便教师进行二次讲解；</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12.课堂实录：支持任意授课界面下进行微课录制，录制区域全屏或自定义区域，电脑麦克风与扬声器双重录制声音，并可对画质选择、视频水印、时间提示、鼠标显示等信息进行调节，录制结束后自动生成MP4格式的文件，可一键分享至学生终端、微信/QQ、校本资源库，并选择立即播放或定时播放等；</w:t>
            </w:r>
            <w:r>
              <w:rPr>
                <w:rFonts w:hint="eastAsia" w:ascii="宋体" w:hAnsi="宋体" w:cs="宋体"/>
                <w:kern w:val="0"/>
                <w:sz w:val="22"/>
              </w:rPr>
              <w:br w:type="textWrapping"/>
            </w:r>
            <w:r>
              <w:rPr>
                <w:rFonts w:hint="eastAsia" w:ascii="宋体" w:hAnsi="宋体" w:cs="宋体"/>
                <w:kern w:val="0"/>
                <w:sz w:val="22"/>
              </w:rPr>
              <w:t>13.作业讲评与智能推送：支持一键调取作业、考试报告、题库资源等进行讲评，可在线查看班级全体、学生个体每题的答题情况，并通过答题概览快速定位题目进行讲解；客观题可查看每个选项的作答人数和作答学生列表，主观题可查看各分数段的得分人数和作答学生列表，点击查看学生作答详情，并可对优秀和典型答题进行展示、讲评和分享；支持讲评的同时根据学生的作业/考试的得分率进行针对性练习、举一反三等；</w:t>
            </w:r>
            <w:r>
              <w:rPr>
                <w:rFonts w:hint="eastAsia" w:ascii="宋体" w:hAnsi="宋体" w:cs="宋体"/>
                <w:kern w:val="0"/>
                <w:sz w:val="22"/>
              </w:rPr>
              <w:br w:type="textWrapping"/>
            </w:r>
            <w:r>
              <w:rPr>
                <w:rFonts w:hint="eastAsia" w:ascii="宋体" w:hAnsi="宋体" w:cs="宋体"/>
                <w:kern w:val="0"/>
                <w:sz w:val="22"/>
              </w:rPr>
              <w:t>14.窗口切换：支持任何界面一键返回桌面，支持一键自由切换最近打开的窗口；</w:t>
            </w:r>
            <w:r>
              <w:rPr>
                <w:rFonts w:hint="eastAsia" w:ascii="宋体" w:hAnsi="宋体" w:cs="宋体"/>
                <w:kern w:val="0"/>
                <w:sz w:val="22"/>
              </w:rPr>
              <w:br w:type="textWrapping"/>
            </w:r>
            <w:r>
              <w:rPr>
                <w:rFonts w:hint="eastAsia" w:ascii="宋体" w:hAnsi="宋体" w:cs="宋体"/>
                <w:kern w:val="0"/>
                <w:sz w:val="22"/>
              </w:rPr>
              <w:t>二、师生交互</w:t>
            </w:r>
            <w:r>
              <w:rPr>
                <w:rFonts w:hint="eastAsia" w:ascii="宋体" w:hAnsi="宋体" w:cs="宋体"/>
                <w:kern w:val="0"/>
                <w:sz w:val="22"/>
              </w:rPr>
              <w:br w:type="textWrapping"/>
            </w:r>
            <w:r>
              <w:rPr>
                <w:rFonts w:hint="eastAsia" w:ascii="宋体" w:hAnsi="宋体" w:cs="宋体"/>
                <w:kern w:val="0"/>
                <w:sz w:val="22"/>
              </w:rPr>
              <w:t>1.多屏协作交互：支持课堂实时互动，可根据需求选择全班练习或分组练习，互动方式包括提问、投票、抢答、随机、观点云、拍照上传、截屏发送、屏幕广播与授权学生投屏讲解、限时练等；互动题型包括选择题、判断题、填空题、主观题等；</w:t>
            </w:r>
            <w:r>
              <w:rPr>
                <w:rFonts w:hint="eastAsia" w:ascii="宋体" w:hAnsi="宋体" w:cs="宋体"/>
                <w:kern w:val="0"/>
                <w:sz w:val="22"/>
              </w:rPr>
              <w:br w:type="textWrapping"/>
            </w:r>
            <w:r>
              <w:rPr>
                <w:rFonts w:hint="eastAsia" w:ascii="宋体" w:hAnsi="宋体" w:cs="宋体"/>
                <w:kern w:val="0"/>
                <w:sz w:val="22"/>
              </w:rPr>
              <w:t>2.随堂检测：支持教师对任意授课界面进行截图，针对题面进行提问，并能实时获取班级答题报告，包括每道题的正确率，查看学生答题详情包括学生提交情况、学生答案等，对于作答表现良好的学生可以点赞鼓励；支持客观题小组分组答题、呈现分组答题报告，支持主观题对比讲解；支持将提问的各题型课前保存至草稿箱，在课中一键调取；</w:t>
            </w:r>
            <w:r>
              <w:rPr>
                <w:rFonts w:hint="eastAsia" w:ascii="宋体" w:hAnsi="宋体" w:cs="宋体"/>
                <w:kern w:val="0"/>
                <w:sz w:val="22"/>
              </w:rPr>
              <w:br w:type="textWrapping"/>
            </w:r>
            <w:r>
              <w:rPr>
                <w:rFonts w:hint="eastAsia" w:ascii="宋体" w:hAnsi="宋体" w:cs="宋体"/>
                <w:kern w:val="0"/>
                <w:sz w:val="22"/>
              </w:rPr>
              <w:t>3.观点云：学生以发送弹幕的形式进行讨论，充分发表看法；学生输入观点即可提交，大屏上实时呈现学生提交的观点，学生可以相互点赞，支持以倒计时或正计时两种方式设置答题时间；答题结束后支持以云图、排行榜、详情三种形式呈现观点报告，报告按钮可最小化，实现内容讲解与数据报告的场景切换。</w:t>
            </w:r>
            <w:r>
              <w:rPr>
                <w:rFonts w:hint="eastAsia" w:ascii="宋体" w:hAnsi="宋体" w:cs="宋体"/>
                <w:kern w:val="0"/>
                <w:sz w:val="22"/>
              </w:rPr>
              <w:br w:type="textWrapping"/>
            </w:r>
            <w:r>
              <w:rPr>
                <w:rFonts w:hint="eastAsia" w:ascii="宋体" w:hAnsi="宋体" w:cs="宋体"/>
                <w:kern w:val="0"/>
                <w:sz w:val="22"/>
              </w:rPr>
              <w:t>4.智能推送：支持教师将包括3D素材、互动微件、交互式资源（趣味分类、趣味素材、猜词游戏、连线题、翻翻卡、思维导图、超级分类、选词填空、趣味检测、选择题、判断题等）等交互式资源一键分享到学生端，学生可实现探究式、体验式学习，实时判断对错，并进行闯关答题；</w:t>
            </w:r>
            <w:r>
              <w:rPr>
                <w:rFonts w:hint="eastAsia" w:ascii="宋体" w:hAnsi="宋体" w:cs="宋体"/>
                <w:kern w:val="0"/>
                <w:sz w:val="22"/>
              </w:rPr>
              <w:br w:type="textWrapping"/>
            </w:r>
            <w:r>
              <w:rPr>
                <w:rFonts w:hint="eastAsia" w:ascii="宋体" w:hAnsi="宋体" w:cs="宋体"/>
                <w:kern w:val="0"/>
                <w:sz w:val="22"/>
              </w:rPr>
              <w:t>5.小组pk：支持小组对抗功能，分组人数与小组数量可自定义调整，教师可通过分组的答题情况对小组人员进行表扬或提醒；</w:t>
            </w:r>
            <w:r>
              <w:rPr>
                <w:rFonts w:hint="eastAsia" w:ascii="宋体" w:hAnsi="宋体" w:cs="宋体"/>
                <w:kern w:val="0"/>
                <w:sz w:val="22"/>
              </w:rPr>
              <w:br w:type="textWrapping"/>
            </w:r>
            <w:r>
              <w:rPr>
                <w:rFonts w:hint="eastAsia" w:ascii="宋体" w:hAnsi="宋体" w:cs="宋体"/>
                <w:kern w:val="0"/>
                <w:sz w:val="22"/>
              </w:rPr>
              <w:t>三、管理中心</w:t>
            </w:r>
            <w:r>
              <w:rPr>
                <w:rFonts w:hint="eastAsia" w:ascii="宋体" w:hAnsi="宋体" w:cs="宋体"/>
                <w:kern w:val="0"/>
                <w:sz w:val="22"/>
              </w:rPr>
              <w:br w:type="textWrapping"/>
            </w:r>
            <w:r>
              <w:rPr>
                <w:rFonts w:hint="eastAsia" w:ascii="宋体" w:hAnsi="宋体" w:cs="宋体"/>
                <w:kern w:val="0"/>
                <w:sz w:val="22"/>
              </w:rPr>
              <w:t>1.授课登录：支持教师通过个人账号、微信授权、二维码或第三方账号等方式进行身份识别快速登录授课；登录后，即时进入上课模式，并自动获取云端课件；支持课件云同步功能，课件上的所有修改、操作均可同步保存至云端；</w:t>
            </w:r>
            <w:r>
              <w:rPr>
                <w:rFonts w:hint="eastAsia" w:ascii="宋体" w:hAnsi="宋体" w:cs="宋体"/>
                <w:kern w:val="0"/>
                <w:sz w:val="22"/>
              </w:rPr>
              <w:br w:type="textWrapping"/>
            </w:r>
            <w:r>
              <w:rPr>
                <w:rFonts w:hint="eastAsia" w:ascii="宋体" w:hAnsi="宋体" w:cs="宋体"/>
                <w:kern w:val="0"/>
                <w:sz w:val="22"/>
              </w:rPr>
              <w:t>2.支持自定义侧边和底部工具栏，侧边可以配置白板、课本、课件、窗口模块；底部可配置互动、聚焦等；</w:t>
            </w:r>
            <w:r>
              <w:rPr>
                <w:rFonts w:hint="eastAsia" w:ascii="宋体" w:hAnsi="宋体" w:cs="宋体"/>
                <w:kern w:val="0"/>
                <w:sz w:val="22"/>
              </w:rPr>
              <w:br w:type="textWrapping"/>
            </w:r>
            <w:r>
              <w:rPr>
                <w:rFonts w:hint="eastAsia" w:ascii="宋体" w:hAnsi="宋体" w:cs="宋体"/>
                <w:kern w:val="0"/>
                <w:sz w:val="22"/>
              </w:rPr>
              <w:t>3.与教室的双屏和多屏系统实现互通，在教室应用系统可授权开启双屏互动、多屏互动等，多屏模式下支持主屏或小组屏设置，小组屏名称可自定义；</w:t>
            </w:r>
            <w:r>
              <w:rPr>
                <w:rFonts w:hint="eastAsia" w:ascii="宋体" w:hAnsi="宋体" w:cs="宋体"/>
                <w:kern w:val="0"/>
                <w:sz w:val="22"/>
              </w:rPr>
              <w:br w:type="textWrapping"/>
            </w:r>
            <w:r>
              <w:rPr>
                <w:rFonts w:hint="eastAsia" w:ascii="宋体" w:hAnsi="宋体" w:cs="宋体"/>
                <w:kern w:val="0"/>
                <w:sz w:val="22"/>
              </w:rPr>
              <w:t>4.本地备份存储路径可修改，并支持对下载课本、缓存定期清理、手动清理，释放大屏本地存储空间；</w:t>
            </w:r>
            <w:r>
              <w:rPr>
                <w:rFonts w:hint="eastAsia" w:ascii="宋体" w:hAnsi="宋体" w:cs="宋体"/>
                <w:kern w:val="0"/>
                <w:sz w:val="22"/>
              </w:rPr>
              <w:br w:type="textWrapping"/>
            </w:r>
            <w:r>
              <w:rPr>
                <w:rFonts w:hint="eastAsia" w:ascii="宋体" w:hAnsi="宋体" w:cs="宋体"/>
                <w:kern w:val="0"/>
                <w:sz w:val="22"/>
              </w:rPr>
              <w:t>5.支持设置是否开启多人书写、板书美颜级别（低、中、高）、是否开启手势板擦、超级白板等；支持设置节能模式，可自由设置设定时间内无人操作自动关机等功能；</w:t>
            </w:r>
          </w:p>
        </w:tc>
      </w:tr>
      <w:tr w14:paraId="6381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525D1E5">
            <w:pPr>
              <w:widowControl/>
              <w:jc w:val="center"/>
              <w:rPr>
                <w:rFonts w:ascii="宋体" w:hAnsi="宋体" w:cs="宋体"/>
                <w:kern w:val="0"/>
                <w:sz w:val="22"/>
              </w:rPr>
            </w:pPr>
            <w:r>
              <w:rPr>
                <w:rFonts w:hint="eastAsia" w:ascii="宋体" w:hAnsi="宋体" w:cs="宋体"/>
                <w:kern w:val="0"/>
                <w:sz w:val="22"/>
              </w:rPr>
              <w:t>教师端应用系统</w:t>
            </w:r>
          </w:p>
        </w:tc>
        <w:tc>
          <w:tcPr>
            <w:tcW w:w="7654" w:type="dxa"/>
            <w:tcBorders>
              <w:tl2br w:val="nil"/>
              <w:tr2bl w:val="nil"/>
            </w:tcBorders>
            <w:shd w:val="clear" w:color="000000" w:fill="FFFFFF"/>
            <w:vAlign w:val="center"/>
          </w:tcPr>
          <w:p w14:paraId="7F9DF23D">
            <w:pPr>
              <w:widowControl/>
              <w:jc w:val="left"/>
              <w:rPr>
                <w:rFonts w:ascii="宋体" w:hAnsi="宋体" w:cs="宋体"/>
                <w:kern w:val="0"/>
                <w:sz w:val="22"/>
              </w:rPr>
            </w:pPr>
            <w:r>
              <w:rPr>
                <w:rFonts w:hint="eastAsia" w:ascii="宋体" w:hAnsi="宋体" w:cs="宋体"/>
                <w:kern w:val="0"/>
                <w:sz w:val="22"/>
              </w:rPr>
              <w:t>一、智能备课</w:t>
            </w:r>
            <w:r>
              <w:rPr>
                <w:rFonts w:hint="eastAsia" w:ascii="宋体" w:hAnsi="宋体" w:cs="宋体"/>
                <w:kern w:val="0"/>
                <w:sz w:val="22"/>
              </w:rPr>
              <w:br w:type="textWrapping"/>
            </w:r>
            <w:r>
              <w:rPr>
                <w:rFonts w:hint="eastAsia" w:ascii="宋体" w:hAnsi="宋体" w:cs="宋体"/>
                <w:kern w:val="0"/>
                <w:sz w:val="22"/>
              </w:rPr>
              <w:t>1.备课桌面：提供教师专有的个人备课桌面，集成资源统一搜索引擎、个人备课工具、个人资源、校本资源、作业与考试中心、最新动态、学情分析等信息；</w:t>
            </w:r>
            <w:r>
              <w:rPr>
                <w:rFonts w:hint="eastAsia" w:ascii="宋体" w:hAnsi="宋体" w:cs="宋体"/>
                <w:kern w:val="0"/>
                <w:sz w:val="22"/>
              </w:rPr>
              <w:br w:type="textWrapping"/>
            </w:r>
            <w:r>
              <w:rPr>
                <w:rFonts w:hint="eastAsia" w:ascii="宋体" w:hAnsi="宋体" w:cs="宋体"/>
                <w:kern w:val="0"/>
                <w:sz w:val="22"/>
              </w:rPr>
              <w:t>2.备课中心：提供教师个人备课中心，可根据学段、学科、教材版本自动推送相关备课素材与课件，并同步提供对应的同步资源与校本资源；支持对备课资源进行统一管理，同时支持生成微信/QQ分享二维码进行分享；</w:t>
            </w:r>
            <w:r>
              <w:rPr>
                <w:rFonts w:hint="eastAsia" w:ascii="宋体" w:hAnsi="宋体" w:cs="宋体"/>
                <w:kern w:val="0"/>
                <w:sz w:val="22"/>
              </w:rPr>
              <w:br w:type="textWrapping"/>
            </w:r>
            <w:r>
              <w:rPr>
                <w:rFonts w:hint="eastAsia" w:ascii="宋体" w:hAnsi="宋体" w:cs="宋体"/>
                <w:kern w:val="0"/>
                <w:sz w:val="22"/>
              </w:rPr>
              <w:t>3.备课空间：提供教师个人备课网盘，空间不少于50G，并可按课件、微课、板书等内容进行归类；支持对网盘资源进行统一管理，如支持单个资源进行插入白板、重命名、移动到、删除等操作，支持批量编辑，支持对网盘资源进行一键下载、一键加入备课、一键分享到指定班级、学科组老师、校本资源库、支持生成微信/QQ分享二维码等功能；</w:t>
            </w:r>
            <w:r>
              <w:rPr>
                <w:rFonts w:hint="eastAsia" w:ascii="宋体" w:hAnsi="宋体" w:cs="宋体"/>
                <w:kern w:val="0"/>
                <w:sz w:val="22"/>
              </w:rPr>
              <w:br w:type="textWrapping"/>
            </w:r>
            <w:r>
              <w:rPr>
                <w:rFonts w:hint="eastAsia" w:ascii="宋体" w:hAnsi="宋体" w:cs="宋体"/>
                <w:kern w:val="0"/>
                <w:sz w:val="22"/>
              </w:rPr>
              <w:t>4.资源中心入口：提供体系化生态级资源中心，并提供同步资源、校本资源、题库资源、可视化资源等资源合集，教师可在设置好教材版本后自动推送相关资源，方便一键加入个人备课中心或下载后自由编辑；</w:t>
            </w:r>
            <w:r>
              <w:rPr>
                <w:rFonts w:hint="eastAsia" w:ascii="宋体" w:hAnsi="宋体" w:cs="宋体"/>
                <w:kern w:val="0"/>
                <w:sz w:val="22"/>
              </w:rPr>
              <w:br w:type="textWrapping"/>
            </w:r>
            <w:r>
              <w:rPr>
                <w:rFonts w:hint="eastAsia" w:ascii="宋体" w:hAnsi="宋体" w:cs="宋体"/>
                <w:kern w:val="0"/>
                <w:sz w:val="22"/>
              </w:rPr>
              <w:t>5.智能备课插件：提供基于原生PPT/WPS的智能备课插件，非自有格式或嵌套式的备课工具，课件默认输出格式为PPT/WPS的默认格式，非专有格式；</w:t>
            </w:r>
            <w:r>
              <w:rPr>
                <w:rFonts w:hint="eastAsia" w:ascii="宋体" w:hAnsi="宋体" w:cs="宋体"/>
                <w:kern w:val="0"/>
                <w:sz w:val="22"/>
              </w:rPr>
              <w:br w:type="textWrapping"/>
            </w:r>
            <w:r>
              <w:rPr>
                <w:rFonts w:hint="eastAsia" w:ascii="宋体" w:hAnsi="宋体" w:cs="宋体"/>
                <w:kern w:val="0"/>
                <w:sz w:val="22"/>
              </w:rPr>
              <w:t>6.特色资源导入：支持备课资源与备课插件的无缝结合，方便将图片、视频、互动微件、3D、题库等一键插入到原生PPT/WPS内,并能按学段、学科、资源类型、知识点、关键字等关键信息搜索资源；</w:t>
            </w:r>
            <w:r>
              <w:rPr>
                <w:rFonts w:hint="eastAsia" w:ascii="宋体" w:hAnsi="宋体" w:cs="宋体"/>
                <w:kern w:val="0"/>
                <w:sz w:val="22"/>
              </w:rPr>
              <w:br w:type="textWrapping"/>
            </w:r>
            <w:r>
              <w:rPr>
                <w:rFonts w:hint="eastAsia" w:ascii="宋体" w:hAnsi="宋体" w:cs="宋体"/>
                <w:kern w:val="0"/>
                <w:sz w:val="22"/>
              </w:rPr>
              <w:t>7.PPT资源导入：支持利用备课插件一键导入资源中心内同步资源与校本资源，实现各类PPT、音视频与文本类资源一键导入与替换；</w:t>
            </w:r>
            <w:r>
              <w:rPr>
                <w:rFonts w:hint="eastAsia" w:ascii="宋体" w:hAnsi="宋体" w:cs="宋体"/>
                <w:kern w:val="0"/>
                <w:sz w:val="22"/>
              </w:rPr>
              <w:br w:type="textWrapping"/>
            </w:r>
            <w:r>
              <w:rPr>
                <w:rFonts w:hint="eastAsia" w:ascii="宋体" w:hAnsi="宋体" w:cs="宋体"/>
                <w:kern w:val="0"/>
                <w:sz w:val="22"/>
              </w:rPr>
              <w:t>8.网络资源导入：支持一键引入互联网链接资源，搜索链接后可一键将页面插入至PPT内，并能够在ppt播放状态下进行页面二次跳转；</w:t>
            </w:r>
            <w:r>
              <w:rPr>
                <w:rFonts w:hint="eastAsia" w:ascii="宋体" w:hAnsi="宋体" w:cs="宋体"/>
                <w:kern w:val="0"/>
                <w:sz w:val="22"/>
              </w:rPr>
              <w:br w:type="textWrapping"/>
            </w:r>
            <w:r>
              <w:rPr>
                <w:rFonts w:hint="eastAsia" w:ascii="宋体" w:hAnsi="宋体" w:cs="宋体"/>
                <w:kern w:val="0"/>
                <w:sz w:val="22"/>
              </w:rPr>
              <w:t>▲9.课堂活动设计：提供多类型课堂活动模板，如趣味分类、超级分类、翻翻卡、双人PK、连线题、猜词游戏、趣味素材、选词填空、选择题、判断题、比较大小、趣味检测、趣味拼词、思维导图（思维导图支持多类型模板，如经典思维、逻辑结构、彩色枝丫、鱼尾逻辑、发散思维、组织结构、目录组织、鱼骨图、天盘图，支持插入链接、图片、音视频、总结，导出为本地文件）等；</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10.精准学情中心：支持教师将备课内容（课件、微课、板书、GGB等交互式资源等）一键分享至校本资源库、其他教师与学生，并即时查看学生预习情况，包括已学习人数与名单、未学习人数与名单、平均学习率、平均看懂率、平均学习次数、平均学习时长、看懂人数、未懂人数、未反馈人数等；</w:t>
            </w:r>
            <w:r>
              <w:rPr>
                <w:rFonts w:hint="eastAsia" w:ascii="宋体" w:hAnsi="宋体" w:cs="宋体"/>
                <w:kern w:val="0"/>
                <w:sz w:val="22"/>
              </w:rPr>
              <w:br w:type="textWrapping"/>
            </w:r>
            <w:r>
              <w:rPr>
                <w:rFonts w:hint="eastAsia" w:ascii="宋体" w:hAnsi="宋体" w:cs="宋体"/>
                <w:kern w:val="0"/>
                <w:sz w:val="22"/>
              </w:rPr>
              <w:t>11.协同备课：提供在线协同备课软件，可实现教研组在线多人协同备课，备课记录与修改轨迹实时保存与共享，并可在线查看相关协同记录；</w:t>
            </w:r>
            <w:r>
              <w:rPr>
                <w:rFonts w:hint="eastAsia" w:ascii="宋体" w:hAnsi="宋体" w:cs="宋体"/>
                <w:kern w:val="0"/>
                <w:sz w:val="22"/>
              </w:rPr>
              <w:br w:type="textWrapping"/>
            </w:r>
            <w:r>
              <w:rPr>
                <w:rFonts w:hint="eastAsia" w:ascii="宋体" w:hAnsi="宋体" w:cs="宋体"/>
                <w:kern w:val="0"/>
                <w:sz w:val="22"/>
              </w:rPr>
              <w:t>12.数据同步：支持备课资源同步更新，备课完成后将资源或课件一键同步上传至个人云盘（校本空间），保持数据同步，其中网盘存储的PPT类资源下载修改后支持自动同步云端。</w:t>
            </w:r>
            <w:r>
              <w:rPr>
                <w:rFonts w:hint="eastAsia" w:ascii="宋体" w:hAnsi="宋体" w:cs="宋体"/>
                <w:kern w:val="0"/>
                <w:sz w:val="22"/>
              </w:rPr>
              <w:br w:type="textWrapping"/>
            </w:r>
            <w:r>
              <w:rPr>
                <w:rFonts w:hint="eastAsia" w:ascii="宋体" w:hAnsi="宋体" w:cs="宋体"/>
                <w:kern w:val="0"/>
                <w:sz w:val="22"/>
              </w:rPr>
              <w:t>二、教学中心</w:t>
            </w:r>
            <w:r>
              <w:rPr>
                <w:rFonts w:hint="eastAsia" w:ascii="宋体" w:hAnsi="宋体" w:cs="宋体"/>
                <w:kern w:val="0"/>
                <w:sz w:val="22"/>
              </w:rPr>
              <w:br w:type="textWrapping"/>
            </w:r>
            <w:r>
              <w:rPr>
                <w:rFonts w:hint="eastAsia" w:ascii="宋体" w:hAnsi="宋体" w:cs="宋体"/>
                <w:kern w:val="0"/>
                <w:sz w:val="22"/>
              </w:rPr>
              <w:t>1.无线投屏：无需借助任何投屏器设备，实现Windows/Android/iOS移动设备无线投射到大屏上，完成登录账号、PPT遥控、PPT推送、镜像同屏、快捷输入、白板讲解、批注讲解、拍照讲解、实物展台等活动；</w:t>
            </w:r>
            <w:r>
              <w:rPr>
                <w:rFonts w:hint="eastAsia" w:ascii="宋体" w:hAnsi="宋体" w:cs="宋体"/>
                <w:kern w:val="0"/>
                <w:sz w:val="22"/>
              </w:rPr>
              <w:br w:type="textWrapping"/>
            </w:r>
            <w:r>
              <w:rPr>
                <w:rFonts w:hint="eastAsia" w:ascii="宋体" w:hAnsi="宋体" w:cs="宋体"/>
                <w:kern w:val="0"/>
                <w:sz w:val="22"/>
              </w:rPr>
              <w:t xml:space="preserve">2.拍照讲解：支持将学生作业、试卷、图片、成果、问题等纸质内容进行拍照对比讲评，并实现多张图片同屏展现，并对展现内容进行原笔迹手写批注、图片旋转等； </w:t>
            </w:r>
            <w:r>
              <w:rPr>
                <w:rFonts w:hint="eastAsia" w:ascii="宋体" w:hAnsi="宋体" w:cs="宋体"/>
                <w:kern w:val="0"/>
                <w:sz w:val="22"/>
              </w:rPr>
              <w:br w:type="textWrapping"/>
            </w:r>
            <w:r>
              <w:rPr>
                <w:rFonts w:hint="eastAsia" w:ascii="宋体" w:hAnsi="宋体" w:cs="宋体"/>
                <w:kern w:val="0"/>
                <w:sz w:val="22"/>
              </w:rPr>
              <w:t>3.实物展台：支持移动实物展台功能，配合教师移动终端拍摄学科实验、答题过程、小组讨论等实时视频，进行投屏显示；</w:t>
            </w:r>
            <w:r>
              <w:rPr>
                <w:rFonts w:hint="eastAsia" w:ascii="宋体" w:hAnsi="宋体" w:cs="宋体"/>
                <w:kern w:val="0"/>
                <w:sz w:val="22"/>
              </w:rPr>
              <w:br w:type="textWrapping"/>
            </w:r>
            <w:r>
              <w:rPr>
                <w:rFonts w:hint="eastAsia" w:ascii="宋体" w:hAnsi="宋体" w:cs="宋体"/>
                <w:kern w:val="0"/>
                <w:sz w:val="22"/>
              </w:rPr>
              <w:t>4.多屏交互：支持教师一键将Windows/Android/iOS等移动设备上收藏的授课内容（课件、作业、图片、板书等）同屏至学生终端，学生可自由对同屏内容进行放大、缩小、回看、批注与收藏；</w:t>
            </w:r>
            <w:r>
              <w:rPr>
                <w:rFonts w:hint="eastAsia" w:ascii="宋体" w:hAnsi="宋体" w:cs="宋体"/>
                <w:kern w:val="0"/>
                <w:sz w:val="22"/>
              </w:rPr>
              <w:br w:type="textWrapping"/>
            </w:r>
            <w:r>
              <w:rPr>
                <w:rFonts w:hint="eastAsia" w:ascii="宋体" w:hAnsi="宋体" w:cs="宋体"/>
                <w:kern w:val="0"/>
                <w:sz w:val="22"/>
              </w:rPr>
              <w:t>5.多端教学：同时提供Windows/iOS/Android移动端工具，满足多端教学需求，iOS与Android移动端工具提供微课录制、课件查询、布置作业、批改作业、教学评价、云考试等功能；</w:t>
            </w:r>
            <w:r>
              <w:rPr>
                <w:rFonts w:hint="eastAsia" w:ascii="宋体" w:hAnsi="宋体" w:cs="宋体"/>
                <w:kern w:val="0"/>
                <w:sz w:val="22"/>
              </w:rPr>
              <w:br w:type="textWrapping"/>
            </w:r>
            <w:r>
              <w:rPr>
                <w:rFonts w:hint="eastAsia" w:ascii="宋体" w:hAnsi="宋体" w:cs="宋体"/>
                <w:kern w:val="0"/>
                <w:sz w:val="22"/>
              </w:rPr>
              <w:t>三、互动中心</w:t>
            </w:r>
            <w:r>
              <w:rPr>
                <w:rFonts w:hint="eastAsia" w:ascii="宋体" w:hAnsi="宋体" w:cs="宋体"/>
                <w:kern w:val="0"/>
                <w:sz w:val="22"/>
              </w:rPr>
              <w:br w:type="textWrapping"/>
            </w:r>
            <w:r>
              <w:rPr>
                <w:rFonts w:hint="eastAsia" w:ascii="宋体" w:hAnsi="宋体" w:cs="宋体"/>
                <w:kern w:val="0"/>
                <w:sz w:val="22"/>
              </w:rPr>
              <w:t>1.教学互动：配合移动终端可实现任意场景下的教学互动，包括基于电子课本、PPT课件、交互课件、图片、拍照、截屏等任意素材进行提问、随机点名、抢答、截屏分享等课堂互动；</w:t>
            </w:r>
            <w:r>
              <w:rPr>
                <w:rFonts w:hint="eastAsia" w:ascii="宋体" w:hAnsi="宋体" w:cs="宋体"/>
                <w:kern w:val="0"/>
                <w:sz w:val="22"/>
              </w:rPr>
              <w:br w:type="textWrapping"/>
            </w:r>
            <w:r>
              <w:rPr>
                <w:rFonts w:hint="eastAsia" w:ascii="宋体" w:hAnsi="宋体" w:cs="宋体"/>
                <w:kern w:val="0"/>
                <w:sz w:val="22"/>
              </w:rPr>
              <w:t>2.互动题型：支持客观题（单选、多选、判断、填空）、主观题（简答）；</w:t>
            </w:r>
            <w:r>
              <w:rPr>
                <w:rFonts w:hint="eastAsia" w:ascii="宋体" w:hAnsi="宋体" w:cs="宋体"/>
                <w:kern w:val="0"/>
                <w:sz w:val="22"/>
              </w:rPr>
              <w:br w:type="textWrapping"/>
            </w:r>
            <w:r>
              <w:rPr>
                <w:rFonts w:hint="eastAsia" w:ascii="宋体" w:hAnsi="宋体" w:cs="宋体"/>
                <w:kern w:val="0"/>
                <w:sz w:val="22"/>
              </w:rPr>
              <w:t>3.学情反馈：支持教师即时查看互动结果、完成情况的动态反馈，并对结果进行数据分析，包括总人数、参与数，平均分、选项正确率、正确及错误学生的具体名单、分析饼状图（优秀、良好、合格、不合格等）；</w:t>
            </w:r>
            <w:r>
              <w:rPr>
                <w:rFonts w:hint="eastAsia" w:ascii="宋体" w:hAnsi="宋体" w:cs="宋体"/>
                <w:kern w:val="0"/>
                <w:sz w:val="22"/>
              </w:rPr>
              <w:br w:type="textWrapping"/>
            </w:r>
            <w:r>
              <w:rPr>
                <w:rFonts w:hint="eastAsia" w:ascii="宋体" w:hAnsi="宋体" w:cs="宋体"/>
                <w:kern w:val="0"/>
                <w:sz w:val="22"/>
              </w:rPr>
              <w:t>4.分组教学：支持分组教学模式，可根据小组表现累计积分，营造良性竞争的课堂氛围；</w:t>
            </w:r>
            <w:r>
              <w:rPr>
                <w:rFonts w:hint="eastAsia" w:ascii="宋体" w:hAnsi="宋体" w:cs="宋体"/>
                <w:kern w:val="0"/>
                <w:sz w:val="22"/>
              </w:rPr>
              <w:br w:type="textWrapping"/>
            </w:r>
            <w:r>
              <w:rPr>
                <w:rFonts w:hint="eastAsia" w:ascii="宋体" w:hAnsi="宋体" w:cs="宋体"/>
                <w:kern w:val="0"/>
                <w:sz w:val="22"/>
              </w:rPr>
              <w:t>5.微课录制：支持任意授课场景/界面下进行微课录制，录制区域全屏或自定义区域，电脑麦克风与扬声器双重录制声音，并可对画质选择、视频水印、时间提示、鼠标显示等信息进行调节，录制结束后自动生成MP4格式的文件，可一键分享至学生终端、微信/QQ、校本资源库，并选择立即播放或定时播放等；</w:t>
            </w:r>
            <w:r>
              <w:rPr>
                <w:rFonts w:hint="eastAsia" w:ascii="宋体" w:hAnsi="宋体" w:cs="宋体"/>
                <w:kern w:val="0"/>
                <w:sz w:val="22"/>
              </w:rPr>
              <w:br w:type="textWrapping"/>
            </w:r>
            <w:r>
              <w:rPr>
                <w:rFonts w:hint="eastAsia" w:ascii="宋体" w:hAnsi="宋体" w:cs="宋体"/>
                <w:kern w:val="0"/>
                <w:sz w:val="22"/>
              </w:rPr>
              <w:t>四、学情中心</w:t>
            </w:r>
            <w:r>
              <w:rPr>
                <w:rFonts w:hint="eastAsia" w:ascii="宋体" w:hAnsi="宋体" w:cs="宋体"/>
                <w:kern w:val="0"/>
                <w:sz w:val="22"/>
              </w:rPr>
              <w:br w:type="textWrapping"/>
            </w:r>
            <w:r>
              <w:rPr>
                <w:rFonts w:hint="eastAsia" w:ascii="宋体" w:hAnsi="宋体" w:cs="宋体"/>
                <w:kern w:val="0"/>
                <w:sz w:val="22"/>
              </w:rPr>
              <w:t>▲1.教学总览：支持教师查看个人的教学总览，包括课件总数、微课总数、课堂互动次数、作业次数、答疑总数、评价总数等，并能按时段分析教师个人的活跃趋势、教学行为分布、教学资源建设、学生活跃趋势、学生行为分布、作业人均总用时、作业平均得分率等；</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2.教学投入：支持按年级、学科、时段分析学校的整体教学投入情况，并分析相关授课数、互动数、课件分享数、微课分享数、布置作业数、批改作业数、探究学习数、评价数与答疑数等；</w:t>
            </w:r>
            <w:r>
              <w:rPr>
                <w:rFonts w:hint="eastAsia" w:ascii="宋体" w:hAnsi="宋体" w:cs="宋体"/>
                <w:kern w:val="0"/>
                <w:sz w:val="22"/>
              </w:rPr>
              <w:br w:type="textWrapping"/>
            </w:r>
            <w:r>
              <w:rPr>
                <w:rFonts w:hint="eastAsia" w:ascii="宋体" w:hAnsi="宋体" w:cs="宋体"/>
                <w:kern w:val="0"/>
                <w:sz w:val="22"/>
              </w:rPr>
              <w:t>3.班级学情：支持查看班级整体学情数据，包括学习投入分析（班级概览、课堂互动类型分布、资源学习整体情况、作业完成情况、作业提交时间分布等）、学业水平分析（班级概览、薄弱知识点分布情况、单个学生的学情分析等）、综合评价分析（班级概览、学生评价分析、学生学情趋势等）等；</w:t>
            </w:r>
            <w:r>
              <w:rPr>
                <w:rFonts w:hint="eastAsia" w:ascii="宋体" w:hAnsi="宋体" w:cs="宋体"/>
                <w:kern w:val="0"/>
                <w:sz w:val="22"/>
              </w:rPr>
              <w:br w:type="textWrapping"/>
            </w:r>
            <w:r>
              <w:rPr>
                <w:rFonts w:hint="eastAsia" w:ascii="宋体" w:hAnsi="宋体" w:cs="宋体"/>
                <w:kern w:val="0"/>
                <w:sz w:val="22"/>
              </w:rPr>
              <w:t>▲4.学生学情：支持查看学生个人的学情数据，包括基础学情数据（课件学习、微课学习、作业学习、答疑次数等）、综合评价趋势图、学生被点评的实时动态、学生个人学情趋势图、学生个人知识点掌握情况及与班级对比、学生个人错题本等；</w:t>
            </w:r>
            <w:r>
              <w:rPr>
                <w:rFonts w:hint="eastAsia" w:ascii="宋体" w:hAnsi="宋体" w:cs="宋体"/>
                <w:b/>
                <w:bCs/>
                <w:kern w:val="0"/>
                <w:sz w:val="22"/>
              </w:rPr>
              <w:t>（响应时软件截图佐证）</w:t>
            </w:r>
          </w:p>
        </w:tc>
      </w:tr>
      <w:tr w14:paraId="2EE8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144D61B">
            <w:pPr>
              <w:widowControl/>
              <w:jc w:val="center"/>
              <w:rPr>
                <w:rFonts w:ascii="宋体" w:hAnsi="宋体" w:cs="宋体"/>
                <w:kern w:val="0"/>
                <w:sz w:val="22"/>
              </w:rPr>
            </w:pPr>
            <w:r>
              <w:rPr>
                <w:rFonts w:hint="eastAsia" w:ascii="宋体" w:hAnsi="宋体" w:cs="宋体"/>
                <w:kern w:val="0"/>
                <w:sz w:val="22"/>
              </w:rPr>
              <w:t>学生端应用系统</w:t>
            </w:r>
          </w:p>
        </w:tc>
        <w:tc>
          <w:tcPr>
            <w:tcW w:w="7654" w:type="dxa"/>
            <w:tcBorders>
              <w:tl2br w:val="nil"/>
              <w:tr2bl w:val="nil"/>
            </w:tcBorders>
            <w:shd w:val="clear" w:color="000000" w:fill="FFFFFF"/>
            <w:vAlign w:val="center"/>
          </w:tcPr>
          <w:p w14:paraId="38C1EAA3">
            <w:pPr>
              <w:widowControl/>
              <w:jc w:val="left"/>
              <w:rPr>
                <w:rFonts w:ascii="宋体" w:hAnsi="宋体" w:cs="宋体"/>
                <w:kern w:val="0"/>
                <w:sz w:val="22"/>
              </w:rPr>
            </w:pPr>
            <w:r>
              <w:rPr>
                <w:rFonts w:hint="eastAsia" w:ascii="宋体" w:hAnsi="宋体" w:cs="宋体"/>
                <w:kern w:val="0"/>
                <w:sz w:val="22"/>
              </w:rPr>
              <w:t>一.同步学习</w:t>
            </w:r>
            <w:r>
              <w:rPr>
                <w:rFonts w:hint="eastAsia" w:ascii="宋体" w:hAnsi="宋体" w:cs="宋体"/>
                <w:kern w:val="0"/>
                <w:sz w:val="22"/>
              </w:rPr>
              <w:br w:type="textWrapping"/>
            </w:r>
            <w:r>
              <w:rPr>
                <w:rFonts w:hint="eastAsia" w:ascii="宋体" w:hAnsi="宋体" w:cs="宋体"/>
                <w:kern w:val="0"/>
                <w:sz w:val="22"/>
              </w:rPr>
              <w:t>1.消息通知：支持在线接收教师发送的各类学习通知，包括学习通告、作业通知、学习材料分享等，并提供在线沟通功能，可与教师进行一对一专项沟通辅导；</w:t>
            </w:r>
            <w:r>
              <w:rPr>
                <w:rFonts w:hint="eastAsia" w:ascii="宋体" w:hAnsi="宋体" w:cs="宋体"/>
                <w:kern w:val="0"/>
                <w:sz w:val="22"/>
              </w:rPr>
              <w:br w:type="textWrapping"/>
            </w:r>
            <w:r>
              <w:rPr>
                <w:rFonts w:hint="eastAsia" w:ascii="宋体" w:hAnsi="宋体" w:cs="宋体"/>
                <w:kern w:val="0"/>
                <w:sz w:val="22"/>
              </w:rPr>
              <w:t>2.课堂互动：支持一键加入班级，进行课堂互动，同步接收教师端发送的互动习题,包括选择题、判断题、填空题和主观题等，答题后可实时呈现答题报告；</w:t>
            </w:r>
            <w:r>
              <w:rPr>
                <w:rFonts w:hint="eastAsia" w:ascii="宋体" w:hAnsi="宋体" w:cs="宋体"/>
                <w:kern w:val="0"/>
                <w:sz w:val="22"/>
              </w:rPr>
              <w:br w:type="textWrapping"/>
            </w:r>
            <w:r>
              <w:rPr>
                <w:rFonts w:hint="eastAsia" w:ascii="宋体" w:hAnsi="宋体" w:cs="宋体"/>
                <w:kern w:val="0"/>
                <w:sz w:val="22"/>
              </w:rPr>
              <w:t>3.智能交互：支持同步接收教师一键推送的互动微件、三维动画等资源（非静态图片、FLASH或视频），并实现自由旋转、缩放显示、截屏保存，方便对知识点的快速掌握；</w:t>
            </w:r>
            <w:r>
              <w:rPr>
                <w:rFonts w:hint="eastAsia" w:ascii="宋体" w:hAnsi="宋体" w:cs="宋体"/>
                <w:kern w:val="0"/>
                <w:sz w:val="22"/>
              </w:rPr>
              <w:br w:type="textWrapping"/>
            </w:r>
            <w:r>
              <w:rPr>
                <w:rFonts w:hint="eastAsia" w:ascii="宋体" w:hAnsi="宋体" w:cs="宋体"/>
                <w:kern w:val="0"/>
                <w:sz w:val="22"/>
              </w:rPr>
              <w:t>4.课堂笔记：支持学生收藏教师推送或分享的课件形成课堂笔记，课堂笔记可按时间轴、学科、学段进行排序，学生可自由添加或删除个人课堂笔记；</w:t>
            </w:r>
            <w:r>
              <w:rPr>
                <w:rFonts w:hint="eastAsia" w:ascii="宋体" w:hAnsi="宋体" w:cs="宋体"/>
                <w:kern w:val="0"/>
                <w:sz w:val="22"/>
              </w:rPr>
              <w:br w:type="textWrapping"/>
            </w:r>
            <w:r>
              <w:rPr>
                <w:rFonts w:hint="eastAsia" w:ascii="宋体" w:hAnsi="宋体" w:cs="宋体"/>
                <w:kern w:val="0"/>
                <w:sz w:val="22"/>
              </w:rPr>
              <w:t>二.同步练习</w:t>
            </w:r>
            <w:r>
              <w:rPr>
                <w:rFonts w:hint="eastAsia" w:ascii="宋体" w:hAnsi="宋体" w:cs="宋体"/>
                <w:kern w:val="0"/>
                <w:sz w:val="22"/>
              </w:rPr>
              <w:br w:type="textWrapping"/>
            </w:r>
            <w:r>
              <w:rPr>
                <w:rFonts w:hint="eastAsia" w:ascii="宋体" w:hAnsi="宋体" w:cs="宋体"/>
                <w:kern w:val="0"/>
                <w:sz w:val="22"/>
              </w:rPr>
              <w:t>1.在线练习：支持在线练习功能，学生可查看教师下发的课后作业，并支持勾选、拍照、输入文本的方式提交答案；答题后，支持保留答题记录，方便继续答题；</w:t>
            </w:r>
            <w:r>
              <w:rPr>
                <w:rFonts w:hint="eastAsia" w:ascii="宋体" w:hAnsi="宋体" w:cs="宋体"/>
                <w:kern w:val="0"/>
                <w:sz w:val="22"/>
              </w:rPr>
              <w:br w:type="textWrapping"/>
            </w:r>
            <w:r>
              <w:rPr>
                <w:rFonts w:hint="eastAsia" w:ascii="宋体" w:hAnsi="宋体" w:cs="宋体"/>
                <w:kern w:val="0"/>
                <w:sz w:val="22"/>
              </w:rPr>
              <w:t>2.作业报告：支持查看作业报告功能，学生可查看作业完成的整体情况以及答案和正确答案对比、题目解析，并支持查看教师对学生答案的批注；支持在线查看优秀学生的答题详情；</w:t>
            </w:r>
            <w:r>
              <w:rPr>
                <w:rFonts w:hint="eastAsia" w:ascii="宋体" w:hAnsi="宋体" w:cs="宋体"/>
                <w:kern w:val="0"/>
                <w:sz w:val="22"/>
              </w:rPr>
              <w:br w:type="textWrapping"/>
            </w:r>
            <w:r>
              <w:rPr>
                <w:rFonts w:hint="eastAsia" w:ascii="宋体" w:hAnsi="宋体" w:cs="宋体"/>
                <w:kern w:val="0"/>
                <w:sz w:val="22"/>
              </w:rPr>
              <w:t>3.学习评价：支持查看个人的学习评价信息，包括课堂评价实录、评价维度分析（受表扬/待改进）、学科评价分析等信息；</w:t>
            </w:r>
            <w:r>
              <w:rPr>
                <w:rFonts w:hint="eastAsia" w:ascii="宋体" w:hAnsi="宋体" w:cs="宋体"/>
                <w:kern w:val="0"/>
                <w:sz w:val="22"/>
              </w:rPr>
              <w:br w:type="textWrapping"/>
            </w:r>
            <w:r>
              <w:rPr>
                <w:rFonts w:hint="eastAsia" w:ascii="宋体" w:hAnsi="宋体" w:cs="宋体"/>
                <w:kern w:val="0"/>
                <w:sz w:val="22"/>
              </w:rPr>
              <w:t>4.错题集录：支持错题自动汇聚，对于答错的题目，自动分学科归纳至错题本，可查看错题题面、我的答案和正确答案对比、知识、难度和题目解析等；支持智能推送错题对应知识和难度的试题，对应学习资源，以及其它同学的优秀答题结果；提供错题导出功能；</w:t>
            </w:r>
            <w:r>
              <w:rPr>
                <w:rFonts w:hint="eastAsia" w:ascii="宋体" w:hAnsi="宋体" w:cs="宋体"/>
                <w:kern w:val="0"/>
                <w:sz w:val="22"/>
              </w:rPr>
              <w:br w:type="textWrapping"/>
            </w:r>
            <w:r>
              <w:rPr>
                <w:rFonts w:hint="eastAsia" w:ascii="宋体" w:hAnsi="宋体" w:cs="宋体"/>
                <w:kern w:val="0"/>
                <w:sz w:val="22"/>
              </w:rPr>
              <w:t>三.自主学习</w:t>
            </w:r>
            <w:r>
              <w:rPr>
                <w:rFonts w:hint="eastAsia" w:ascii="宋体" w:hAnsi="宋体" w:cs="宋体"/>
                <w:kern w:val="0"/>
                <w:sz w:val="22"/>
              </w:rPr>
              <w:br w:type="textWrapping"/>
            </w:r>
            <w:r>
              <w:rPr>
                <w:rFonts w:hint="eastAsia" w:ascii="宋体" w:hAnsi="宋体" w:cs="宋体"/>
                <w:kern w:val="0"/>
                <w:sz w:val="22"/>
              </w:rPr>
              <w:t>1.移动学习：支持教师发布的网络课程，学生按需选择课程，学生可随时查看进行预习和复习，实现学生在线查看和离线查看教师发布的教案、学案、课件、音视频学习资料；</w:t>
            </w:r>
            <w:r>
              <w:rPr>
                <w:rFonts w:hint="eastAsia" w:ascii="宋体" w:hAnsi="宋体" w:cs="宋体"/>
                <w:kern w:val="0"/>
                <w:sz w:val="22"/>
              </w:rPr>
              <w:br w:type="textWrapping"/>
            </w:r>
            <w:r>
              <w:rPr>
                <w:rFonts w:hint="eastAsia" w:ascii="宋体" w:hAnsi="宋体" w:cs="宋体"/>
                <w:kern w:val="0"/>
                <w:sz w:val="22"/>
              </w:rPr>
              <w:t xml:space="preserve">2.自主学习：支持在线点播教师发送的微课资源、查看相关课件、板书等复习资料，并可实现对相关资源的收藏、评价、点赞、下载等功能，实现处处可学、时时能学； </w:t>
            </w:r>
            <w:r>
              <w:rPr>
                <w:rFonts w:hint="eastAsia" w:ascii="宋体" w:hAnsi="宋体" w:cs="宋体"/>
                <w:kern w:val="0"/>
                <w:sz w:val="22"/>
              </w:rPr>
              <w:br w:type="textWrapping"/>
            </w:r>
            <w:r>
              <w:rPr>
                <w:rFonts w:hint="eastAsia" w:ascii="宋体" w:hAnsi="宋体" w:cs="宋体"/>
                <w:kern w:val="0"/>
                <w:sz w:val="22"/>
              </w:rPr>
              <w:t>▲3.思维拓展：支持学生进行思维拓展，提供配套的编辑与播放工具，该工具支持插入文字、形状、图片、表格、图标、视频、符号等常规元素；内部无缝集成可视化交互式资源，覆盖数学、物理、化学、生物、地理等学科，包括图片、视频、微件、3D等素材，支持全景式播放与分镜头切换等功能；</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▲4.学习探究：支持利用终端设备直接扫描纸质版教材内的AR、互动微件、视频等资源图标后即时获取数字化资源并进行自由翻转、交互展现、缩放显示、拍照截屏等功能；</w:t>
            </w:r>
            <w:r>
              <w:rPr>
                <w:rFonts w:hint="eastAsia" w:ascii="宋体" w:hAnsi="宋体" w:cs="宋体"/>
                <w:b/>
                <w:bCs/>
                <w:kern w:val="0"/>
                <w:sz w:val="22"/>
              </w:rPr>
              <w:t>（响应时提供软件截图佐证）</w:t>
            </w:r>
            <w:r>
              <w:rPr>
                <w:rFonts w:hint="eastAsia" w:ascii="宋体" w:hAnsi="宋体" w:cs="宋体"/>
                <w:b/>
                <w:bCs/>
                <w:kern w:val="0"/>
                <w:sz w:val="22"/>
              </w:rPr>
              <w:br w:type="textWrapping"/>
            </w:r>
            <w:r>
              <w:rPr>
                <w:rFonts w:hint="eastAsia" w:ascii="宋体" w:hAnsi="宋体" w:cs="宋体"/>
                <w:kern w:val="0"/>
                <w:sz w:val="22"/>
              </w:rPr>
              <w:t>四.终端管控</w:t>
            </w:r>
            <w:r>
              <w:rPr>
                <w:rFonts w:hint="eastAsia" w:ascii="宋体" w:hAnsi="宋体" w:cs="宋体"/>
                <w:kern w:val="0"/>
                <w:sz w:val="22"/>
              </w:rPr>
              <w:br w:type="textWrapping"/>
            </w:r>
            <w:r>
              <w:rPr>
                <w:rFonts w:hint="eastAsia" w:ascii="宋体" w:hAnsi="宋体" w:cs="宋体"/>
                <w:kern w:val="0"/>
                <w:sz w:val="22"/>
              </w:rPr>
              <w:t>1.终端管控：（1）学生端操作受控：上课时，教师可以通过教师端严格控制学生的操作，包括禁止学生端的HOME键、返回键等的操作；（2）支持校级个性化管控服务，支持以学校为单位的网址白名单、应用白名单管理，以及设备功能管控服务（包括蓝牙开关、WLAN开关、摄像头等）；</w:t>
            </w:r>
            <w:r>
              <w:rPr>
                <w:rFonts w:hint="eastAsia" w:ascii="宋体" w:hAnsi="宋体" w:cs="宋体"/>
                <w:kern w:val="0"/>
                <w:sz w:val="22"/>
              </w:rPr>
              <w:br w:type="textWrapping"/>
            </w:r>
            <w:r>
              <w:rPr>
                <w:rFonts w:hint="eastAsia" w:ascii="宋体" w:hAnsi="宋体" w:cs="宋体"/>
                <w:kern w:val="0"/>
                <w:sz w:val="22"/>
              </w:rPr>
              <w:t>2.家校互联：提供家长微信小程序，家长绑定学生账号后，可实时观看学生的在校行为表现，如最近表现、课堂评价、学科评价等；支持家长在线观看教师分享的复习资料（导学案、教案）、课堂板书、微课视频；支持家长在线观看学生的课后作业数据（作业记录、作答详情、得分情况、批改详情、优秀作答等）。</w:t>
            </w:r>
          </w:p>
        </w:tc>
      </w:tr>
      <w:tr w14:paraId="2EB7F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827C7EE">
            <w:pPr>
              <w:widowControl/>
              <w:jc w:val="center"/>
              <w:rPr>
                <w:rFonts w:ascii="宋体" w:hAnsi="宋体" w:cs="宋体"/>
                <w:kern w:val="0"/>
                <w:sz w:val="22"/>
              </w:rPr>
            </w:pPr>
            <w:r>
              <w:rPr>
                <w:rFonts w:hint="eastAsia" w:ascii="宋体" w:hAnsi="宋体" w:cs="宋体"/>
                <w:kern w:val="0"/>
                <w:sz w:val="22"/>
              </w:rPr>
              <w:t>教师移动学习终端</w:t>
            </w:r>
          </w:p>
        </w:tc>
        <w:tc>
          <w:tcPr>
            <w:tcW w:w="7654" w:type="dxa"/>
            <w:tcBorders>
              <w:tl2br w:val="nil"/>
              <w:tr2bl w:val="nil"/>
            </w:tcBorders>
            <w:shd w:val="clear" w:color="000000" w:fill="FFFFFF"/>
            <w:vAlign w:val="center"/>
          </w:tcPr>
          <w:p w14:paraId="03EAF366">
            <w:pPr>
              <w:widowControl/>
              <w:jc w:val="left"/>
              <w:rPr>
                <w:rFonts w:ascii="宋体" w:hAnsi="宋体"/>
                <w:kern w:val="0"/>
                <w:sz w:val="22"/>
              </w:rPr>
            </w:pPr>
            <w:r>
              <w:rPr>
                <w:rFonts w:hint="eastAsia" w:ascii="宋体" w:hAnsi="宋体"/>
                <w:kern w:val="0"/>
                <w:sz w:val="22"/>
              </w:rPr>
              <w:t>1.国产芯片，≥8核，至少4个单核最高主频≥2.0GHz；</w:t>
            </w:r>
          </w:p>
          <w:p w14:paraId="1CFA5CD1">
            <w:pPr>
              <w:widowControl/>
              <w:jc w:val="left"/>
              <w:rPr>
                <w:rFonts w:ascii="宋体" w:hAnsi="宋体"/>
                <w:kern w:val="0"/>
                <w:sz w:val="22"/>
              </w:rPr>
            </w:pPr>
            <w:r>
              <w:rPr>
                <w:rFonts w:hint="eastAsia" w:ascii="宋体" w:hAnsi="宋体"/>
                <w:kern w:val="0"/>
                <w:sz w:val="22"/>
              </w:rPr>
              <w:t>2.Android 11及以上或Harmony 3.0及以上，国产操作系统；</w:t>
            </w:r>
          </w:p>
          <w:p w14:paraId="2F866341">
            <w:pPr>
              <w:widowControl/>
              <w:jc w:val="left"/>
              <w:rPr>
                <w:rFonts w:ascii="宋体" w:hAnsi="宋体"/>
                <w:kern w:val="0"/>
                <w:sz w:val="22"/>
              </w:rPr>
            </w:pPr>
            <w:r>
              <w:rPr>
                <w:rFonts w:hint="eastAsia" w:ascii="宋体" w:hAnsi="宋体"/>
                <w:kern w:val="0"/>
                <w:sz w:val="22"/>
              </w:rPr>
              <w:t>3.屏幕尺寸不小于 11 英寸，屏幕显示分辨率不低于1920*1200，10 点触控电容屏，最大屏幕亮度值≥400nits</w:t>
            </w:r>
            <w:r>
              <w:rPr>
                <w:rFonts w:hint="eastAsia" w:ascii="宋体" w:hAnsi="宋体"/>
                <w:kern w:val="0"/>
                <w:sz w:val="22"/>
              </w:rPr>
              <w:br w:type="textWrapping"/>
            </w:r>
            <w:r>
              <w:rPr>
                <w:rFonts w:hint="eastAsia" w:ascii="宋体" w:hAnsi="宋体"/>
                <w:kern w:val="0"/>
                <w:sz w:val="22"/>
              </w:rPr>
              <w:t>4.内存不小于8G，机身存储不小于128G；</w:t>
            </w:r>
            <w:r>
              <w:rPr>
                <w:rFonts w:hint="eastAsia" w:ascii="宋体" w:hAnsi="宋体"/>
                <w:kern w:val="0"/>
                <w:sz w:val="22"/>
              </w:rPr>
              <w:br w:type="textWrapping"/>
            </w:r>
            <w:r>
              <w:rPr>
                <w:rFonts w:hint="eastAsia" w:ascii="宋体" w:hAnsi="宋体"/>
                <w:kern w:val="0"/>
                <w:sz w:val="22"/>
              </w:rPr>
              <w:t>5.前置摄像头≥500 万像素，后置摄像头≥800 万像素，支持自动对焦；</w:t>
            </w:r>
            <w:r>
              <w:rPr>
                <w:rFonts w:hint="eastAsia" w:ascii="宋体" w:hAnsi="宋体"/>
                <w:kern w:val="0"/>
                <w:sz w:val="22"/>
              </w:rPr>
              <w:br w:type="textWrapping"/>
            </w:r>
            <w:r>
              <w:rPr>
                <w:rFonts w:hint="eastAsia" w:ascii="宋体" w:hAnsi="宋体"/>
                <w:kern w:val="0"/>
                <w:sz w:val="22"/>
              </w:rPr>
              <w:t>6.支持802.11 a/b/g/n/ac无线协议；支持蓝牙5.1协议并向下兼容；</w:t>
            </w:r>
          </w:p>
          <w:p w14:paraId="04EED449">
            <w:pPr>
              <w:rPr>
                <w:szCs w:val="21"/>
              </w:rPr>
            </w:pPr>
            <w:r>
              <w:rPr>
                <w:rFonts w:hint="eastAsia" w:ascii="宋体" w:hAnsi="宋体"/>
                <w:kern w:val="0"/>
                <w:sz w:val="22"/>
              </w:rPr>
              <w:t>7.内置麦克风≥1个，内置扬声器≥4个；</w:t>
            </w:r>
          </w:p>
          <w:p w14:paraId="7ABBDB3D">
            <w:pPr>
              <w:widowControl/>
              <w:jc w:val="left"/>
              <w:rPr>
                <w:rFonts w:ascii="宋体" w:hAnsi="宋体" w:cs="宋体"/>
                <w:kern w:val="0"/>
                <w:sz w:val="22"/>
              </w:rPr>
            </w:pPr>
          </w:p>
        </w:tc>
      </w:tr>
      <w:tr w14:paraId="5D3A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1CFC8C80">
            <w:pPr>
              <w:widowControl/>
              <w:jc w:val="center"/>
              <w:rPr>
                <w:rFonts w:ascii="宋体" w:hAnsi="宋体" w:cs="宋体"/>
                <w:kern w:val="0"/>
                <w:sz w:val="22"/>
              </w:rPr>
            </w:pPr>
            <w:r>
              <w:rPr>
                <w:rFonts w:hint="eastAsia" w:ascii="宋体" w:hAnsi="宋体" w:cs="宋体"/>
                <w:kern w:val="0"/>
                <w:sz w:val="22"/>
              </w:rPr>
              <w:t>学生移动学习终端</w:t>
            </w:r>
          </w:p>
        </w:tc>
        <w:tc>
          <w:tcPr>
            <w:tcW w:w="7654" w:type="dxa"/>
            <w:tcBorders>
              <w:tl2br w:val="nil"/>
              <w:tr2bl w:val="nil"/>
            </w:tcBorders>
            <w:shd w:val="clear" w:color="000000" w:fill="FFFFFF"/>
            <w:vAlign w:val="center"/>
          </w:tcPr>
          <w:p w14:paraId="01041E93">
            <w:pPr>
              <w:widowControl/>
              <w:jc w:val="left"/>
              <w:rPr>
                <w:rFonts w:ascii="宋体" w:hAnsi="宋体"/>
                <w:kern w:val="0"/>
                <w:sz w:val="22"/>
              </w:rPr>
            </w:pPr>
            <w:r>
              <w:rPr>
                <w:rFonts w:hint="eastAsia" w:ascii="宋体" w:hAnsi="宋体"/>
                <w:kern w:val="0"/>
                <w:sz w:val="22"/>
              </w:rPr>
              <w:t>1. 国产芯片，≥8核，至少4个单核最高主频≥2.0GHz；</w:t>
            </w:r>
          </w:p>
          <w:p w14:paraId="55F75DB0">
            <w:pPr>
              <w:widowControl/>
              <w:jc w:val="left"/>
              <w:rPr>
                <w:rFonts w:ascii="宋体" w:hAnsi="宋体"/>
                <w:kern w:val="0"/>
                <w:sz w:val="22"/>
              </w:rPr>
            </w:pPr>
            <w:r>
              <w:rPr>
                <w:rFonts w:hint="eastAsia" w:ascii="宋体" w:hAnsi="宋体"/>
                <w:kern w:val="0"/>
                <w:sz w:val="22"/>
              </w:rPr>
              <w:t>2.Android 11及以上或Harmony 3.0及以上，国产操作系统；</w:t>
            </w:r>
          </w:p>
          <w:p w14:paraId="7C935F33">
            <w:pPr>
              <w:widowControl/>
              <w:jc w:val="left"/>
              <w:rPr>
                <w:rFonts w:ascii="宋体" w:hAnsi="宋体"/>
                <w:kern w:val="0"/>
                <w:sz w:val="22"/>
              </w:rPr>
            </w:pPr>
            <w:r>
              <w:rPr>
                <w:rFonts w:hint="eastAsia" w:ascii="宋体" w:hAnsi="宋体"/>
                <w:kern w:val="0"/>
                <w:sz w:val="22"/>
              </w:rPr>
              <w:t>3.屏幕尺寸不小于 11 英寸，屏幕显示分辨率不低于1920*1200，10 点触控电容屏，最大屏幕亮度值≥400nits</w:t>
            </w:r>
            <w:r>
              <w:rPr>
                <w:rFonts w:hint="eastAsia" w:ascii="宋体" w:hAnsi="宋体"/>
                <w:kern w:val="0"/>
                <w:sz w:val="22"/>
              </w:rPr>
              <w:br w:type="textWrapping"/>
            </w:r>
            <w:r>
              <w:rPr>
                <w:rFonts w:hint="eastAsia" w:ascii="宋体" w:hAnsi="宋体"/>
                <w:kern w:val="0"/>
                <w:sz w:val="22"/>
              </w:rPr>
              <w:t>4.内存不小于8G，机身存储不小于128G；</w:t>
            </w:r>
            <w:r>
              <w:rPr>
                <w:rFonts w:hint="eastAsia" w:ascii="宋体" w:hAnsi="宋体"/>
                <w:kern w:val="0"/>
                <w:sz w:val="22"/>
              </w:rPr>
              <w:br w:type="textWrapping"/>
            </w:r>
            <w:r>
              <w:rPr>
                <w:rFonts w:hint="eastAsia" w:ascii="宋体" w:hAnsi="宋体"/>
                <w:kern w:val="0"/>
                <w:sz w:val="22"/>
              </w:rPr>
              <w:t>5.前置摄像头≥500 万像素，后置摄像头≥800 万像素，支持自动对焦；</w:t>
            </w:r>
            <w:r>
              <w:rPr>
                <w:rFonts w:hint="eastAsia" w:ascii="宋体" w:hAnsi="宋体"/>
                <w:kern w:val="0"/>
                <w:sz w:val="22"/>
              </w:rPr>
              <w:br w:type="textWrapping"/>
            </w:r>
            <w:r>
              <w:rPr>
                <w:rFonts w:hint="eastAsia" w:ascii="宋体" w:hAnsi="宋体"/>
                <w:kern w:val="0"/>
                <w:sz w:val="22"/>
              </w:rPr>
              <w:t>6.支持802.11 a/b/g/n/ac无线协议；支持蓝牙5.1协议并向下兼容；</w:t>
            </w:r>
          </w:p>
          <w:p w14:paraId="2F3779F6">
            <w:pPr>
              <w:rPr>
                <w:szCs w:val="21"/>
              </w:rPr>
            </w:pPr>
            <w:r>
              <w:rPr>
                <w:rFonts w:hint="eastAsia" w:ascii="宋体" w:hAnsi="宋体"/>
                <w:kern w:val="0"/>
                <w:sz w:val="22"/>
              </w:rPr>
              <w:t>7.内置麦克风≥1个，内置扬声器≥4个；</w:t>
            </w:r>
          </w:p>
          <w:p w14:paraId="33B70184">
            <w:pPr>
              <w:widowControl/>
              <w:jc w:val="left"/>
              <w:rPr>
                <w:rFonts w:ascii="宋体" w:hAnsi="宋体" w:cs="宋体"/>
                <w:kern w:val="0"/>
                <w:sz w:val="22"/>
              </w:rPr>
            </w:pPr>
          </w:p>
        </w:tc>
      </w:tr>
      <w:tr w14:paraId="7C18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5BF5EF7">
            <w:pPr>
              <w:widowControl/>
              <w:jc w:val="center"/>
              <w:rPr>
                <w:rFonts w:ascii="宋体" w:hAnsi="宋体" w:cs="宋体"/>
                <w:kern w:val="0"/>
                <w:sz w:val="22"/>
              </w:rPr>
            </w:pPr>
            <w:r>
              <w:rPr>
                <w:rFonts w:hint="eastAsia" w:ascii="宋体" w:hAnsi="宋体" w:cs="宋体"/>
                <w:kern w:val="0"/>
                <w:sz w:val="22"/>
              </w:rPr>
              <w:t>智能云盒</w:t>
            </w:r>
          </w:p>
        </w:tc>
        <w:tc>
          <w:tcPr>
            <w:tcW w:w="7654" w:type="dxa"/>
            <w:tcBorders>
              <w:tl2br w:val="nil"/>
              <w:tr2bl w:val="nil"/>
            </w:tcBorders>
            <w:shd w:val="clear" w:color="000000" w:fill="FFFFFF"/>
            <w:vAlign w:val="center"/>
          </w:tcPr>
          <w:p w14:paraId="0F5A4D67">
            <w:pPr>
              <w:widowControl/>
              <w:jc w:val="left"/>
              <w:rPr>
                <w:rFonts w:ascii="宋体" w:hAnsi="宋体" w:cs="宋体"/>
                <w:kern w:val="0"/>
                <w:sz w:val="22"/>
              </w:rPr>
            </w:pPr>
            <w:r>
              <w:rPr>
                <w:rFonts w:hint="eastAsia" w:ascii="宋体" w:hAnsi="宋体" w:cs="宋体"/>
                <w:kern w:val="0"/>
                <w:sz w:val="22"/>
              </w:rPr>
              <w:t xml:space="preserve">1.工作频段：双频段设计，工作频段为2.4GHz + 5GHz，同时支持802.11a/n/ac（5.15~5.35GHz）和802.11b/g/n（2.4GHz-2.483GHz）； </w:t>
            </w:r>
            <w:r>
              <w:rPr>
                <w:rFonts w:hint="eastAsia" w:ascii="宋体" w:hAnsi="宋体" w:cs="宋体"/>
                <w:kern w:val="0"/>
                <w:sz w:val="22"/>
              </w:rPr>
              <w:br w:type="textWrapping"/>
            </w:r>
            <w:r>
              <w:rPr>
                <w:rFonts w:hint="eastAsia" w:ascii="宋体" w:hAnsi="宋体" w:cs="宋体"/>
                <w:kern w:val="0"/>
                <w:sz w:val="22"/>
              </w:rPr>
              <w:t>2.协商速率：5GHz≥866Mbps，2.4GHz≥300Mbps，整机无线并发最高接入速率≥1.167Gbps；</w:t>
            </w:r>
            <w:r>
              <w:rPr>
                <w:rFonts w:hint="eastAsia" w:ascii="宋体" w:hAnsi="宋体" w:cs="宋体"/>
                <w:kern w:val="0"/>
                <w:sz w:val="22"/>
              </w:rPr>
              <w:br w:type="textWrapping"/>
            </w:r>
            <w:r>
              <w:rPr>
                <w:rFonts w:hint="eastAsia" w:ascii="宋体" w:hAnsi="宋体" w:cs="宋体"/>
                <w:kern w:val="0"/>
                <w:sz w:val="22"/>
              </w:rPr>
              <w:t>3.设备吞度量：支持双串流MIMO 2x2:2，2.4G频段可提供300Mbps吞吐量，5G频段可提供867Mbps吞吐量；</w:t>
            </w:r>
            <w:r>
              <w:rPr>
                <w:rFonts w:hint="eastAsia" w:ascii="宋体" w:hAnsi="宋体" w:cs="宋体"/>
                <w:kern w:val="0"/>
                <w:sz w:val="22"/>
              </w:rPr>
              <w:br w:type="textWrapping"/>
            </w:r>
            <w:r>
              <w:rPr>
                <w:rFonts w:hint="eastAsia" w:ascii="宋体" w:hAnsi="宋体" w:cs="宋体"/>
                <w:kern w:val="0"/>
                <w:sz w:val="22"/>
              </w:rPr>
              <w:t>4.天线阵列：内置智能天线，支持智能Wi-Fi自适应天线阵列技术、自动干扰抑制、动态极化分集和波束成形技术，极大提高网络覆盖能力及可靠性；</w:t>
            </w:r>
            <w:r>
              <w:rPr>
                <w:rFonts w:hint="eastAsia" w:ascii="宋体" w:hAnsi="宋体" w:cs="宋体"/>
                <w:kern w:val="0"/>
                <w:sz w:val="22"/>
              </w:rPr>
              <w:br w:type="textWrapping"/>
            </w:r>
            <w:r>
              <w:rPr>
                <w:rFonts w:hint="eastAsia" w:ascii="宋体" w:hAnsi="宋体" w:cs="宋体"/>
                <w:kern w:val="0"/>
                <w:sz w:val="22"/>
              </w:rPr>
              <w:t>5.用户接入：支持128个终端同时接入，支持不低于75个终端同时稳定接入（同时在线播放高清视频无卡顿）；</w:t>
            </w:r>
          </w:p>
        </w:tc>
      </w:tr>
      <w:tr w14:paraId="3888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B30B7CE">
            <w:pPr>
              <w:widowControl/>
              <w:jc w:val="center"/>
              <w:rPr>
                <w:rFonts w:ascii="宋体" w:hAnsi="宋体" w:cs="宋体"/>
                <w:kern w:val="0"/>
                <w:sz w:val="22"/>
              </w:rPr>
            </w:pPr>
            <w:r>
              <w:rPr>
                <w:rFonts w:hint="eastAsia" w:ascii="宋体" w:hAnsi="宋体" w:cs="宋体"/>
                <w:kern w:val="0"/>
                <w:sz w:val="22"/>
              </w:rPr>
              <w:t>移动充电车</w:t>
            </w:r>
          </w:p>
        </w:tc>
        <w:tc>
          <w:tcPr>
            <w:tcW w:w="7654" w:type="dxa"/>
            <w:tcBorders>
              <w:tl2br w:val="nil"/>
              <w:tr2bl w:val="nil"/>
            </w:tcBorders>
            <w:shd w:val="clear" w:color="000000" w:fill="FFFFFF"/>
            <w:vAlign w:val="center"/>
          </w:tcPr>
          <w:p w14:paraId="5C57B3D7">
            <w:pPr>
              <w:widowControl/>
              <w:jc w:val="left"/>
              <w:rPr>
                <w:rFonts w:ascii="宋体" w:hAnsi="宋体" w:cs="宋体"/>
                <w:kern w:val="0"/>
                <w:sz w:val="22"/>
              </w:rPr>
            </w:pPr>
            <w:r>
              <w:rPr>
                <w:rFonts w:hint="eastAsia" w:ascii="宋体" w:hAnsi="宋体" w:cs="宋体"/>
                <w:kern w:val="0"/>
                <w:sz w:val="22"/>
              </w:rPr>
              <w:t>1.支持 60 台移动终端同时充电；材质：主体采用镀锌板材质局部采用冷轧钢板；</w:t>
            </w:r>
            <w:r>
              <w:rPr>
                <w:rFonts w:hint="eastAsia" w:ascii="宋体" w:hAnsi="宋体" w:cs="宋体"/>
                <w:kern w:val="0"/>
                <w:sz w:val="22"/>
              </w:rPr>
              <w:br w:type="textWrapping"/>
            </w:r>
            <w:r>
              <w:rPr>
                <w:rFonts w:hint="eastAsia" w:ascii="宋体" w:hAnsi="宋体" w:cs="宋体"/>
                <w:kern w:val="0"/>
                <w:sz w:val="22"/>
              </w:rPr>
              <w:t>2.实现安全要求：电源开关需设有高压强电保险、漏电保护器、电路板保险多重保护；</w:t>
            </w:r>
            <w:r>
              <w:rPr>
                <w:rFonts w:hint="eastAsia" w:ascii="宋体" w:hAnsi="宋体" w:cs="宋体"/>
                <w:kern w:val="0"/>
                <w:sz w:val="22"/>
              </w:rPr>
              <w:br w:type="textWrapping"/>
            </w:r>
            <w:r>
              <w:rPr>
                <w:rFonts w:hint="eastAsia" w:ascii="宋体" w:hAnsi="宋体" w:cs="宋体"/>
                <w:kern w:val="0"/>
                <w:sz w:val="22"/>
              </w:rPr>
              <w:t>3.超静音减震万向轮及刹车轮，方便柜体移动。</w:t>
            </w:r>
          </w:p>
        </w:tc>
      </w:tr>
      <w:tr w14:paraId="3DA1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5594BB3">
            <w:pPr>
              <w:widowControl/>
              <w:jc w:val="center"/>
              <w:rPr>
                <w:rFonts w:ascii="宋体" w:hAnsi="宋体" w:cs="宋体"/>
                <w:kern w:val="0"/>
                <w:sz w:val="22"/>
              </w:rPr>
            </w:pPr>
            <w:r>
              <w:rPr>
                <w:rFonts w:hint="eastAsia" w:ascii="宋体" w:hAnsi="宋体" w:cs="宋体"/>
                <w:kern w:val="0"/>
                <w:sz w:val="22"/>
              </w:rPr>
              <w:t>指向性话筒</w:t>
            </w:r>
          </w:p>
        </w:tc>
        <w:tc>
          <w:tcPr>
            <w:tcW w:w="7654" w:type="dxa"/>
            <w:tcBorders>
              <w:tl2br w:val="nil"/>
              <w:tr2bl w:val="nil"/>
            </w:tcBorders>
            <w:shd w:val="clear" w:color="000000" w:fill="FFFFFF"/>
            <w:vAlign w:val="center"/>
          </w:tcPr>
          <w:p w14:paraId="51C1D91A">
            <w:pPr>
              <w:widowControl/>
              <w:jc w:val="left"/>
              <w:rPr>
                <w:rFonts w:ascii="宋体" w:hAnsi="宋体" w:cs="宋体"/>
                <w:kern w:val="0"/>
                <w:sz w:val="22"/>
              </w:rPr>
            </w:pPr>
            <w:r>
              <w:rPr>
                <w:rFonts w:hint="eastAsia" w:ascii="宋体" w:hAnsi="宋体" w:cs="宋体"/>
                <w:kern w:val="0"/>
                <w:sz w:val="22"/>
              </w:rPr>
              <w:t>1.频率响应：100Hz～18KHz；</w:t>
            </w:r>
            <w:r>
              <w:rPr>
                <w:rFonts w:hint="eastAsia" w:ascii="宋体" w:hAnsi="宋体" w:cs="宋体"/>
                <w:kern w:val="0"/>
                <w:sz w:val="22"/>
              </w:rPr>
              <w:br w:type="textWrapping"/>
            </w:r>
            <w:r>
              <w:rPr>
                <w:rFonts w:hint="eastAsia" w:ascii="宋体" w:hAnsi="宋体" w:cs="宋体"/>
                <w:kern w:val="0"/>
                <w:sz w:val="22"/>
              </w:rPr>
              <w:t>2.灵敏度：-40dB±3 dB （re 0dB=1V/Pa@1kHz）；</w:t>
            </w:r>
            <w:r>
              <w:rPr>
                <w:rFonts w:hint="eastAsia" w:ascii="宋体" w:hAnsi="宋体" w:cs="宋体"/>
                <w:kern w:val="0"/>
                <w:sz w:val="22"/>
              </w:rPr>
              <w:br w:type="textWrapping"/>
            </w:r>
            <w:r>
              <w:rPr>
                <w:rFonts w:hint="eastAsia" w:ascii="宋体" w:hAnsi="宋体" w:cs="宋体"/>
                <w:kern w:val="0"/>
                <w:sz w:val="22"/>
              </w:rPr>
              <w:t>3.指向特性：超心型 ≤135°；</w:t>
            </w:r>
            <w:r>
              <w:rPr>
                <w:rFonts w:hint="eastAsia" w:ascii="宋体" w:hAnsi="宋体" w:cs="宋体"/>
                <w:kern w:val="0"/>
                <w:sz w:val="22"/>
              </w:rPr>
              <w:br w:type="textWrapping"/>
            </w:r>
            <w:r>
              <w:rPr>
                <w:rFonts w:hint="eastAsia" w:ascii="宋体" w:hAnsi="宋体" w:cs="宋体"/>
                <w:kern w:val="0"/>
                <w:sz w:val="22"/>
              </w:rPr>
              <w:t>4.输出阻抗：200Ω±30%；</w:t>
            </w:r>
            <w:r>
              <w:rPr>
                <w:rFonts w:hint="eastAsia" w:ascii="宋体" w:hAnsi="宋体" w:cs="宋体"/>
                <w:kern w:val="0"/>
                <w:sz w:val="22"/>
              </w:rPr>
              <w:br w:type="textWrapping"/>
            </w:r>
            <w:r>
              <w:rPr>
                <w:rFonts w:hint="eastAsia" w:ascii="宋体" w:hAnsi="宋体" w:cs="宋体"/>
                <w:kern w:val="0"/>
                <w:sz w:val="22"/>
              </w:rPr>
              <w:t>5.输出幅度：Max 300mV；</w:t>
            </w:r>
            <w:r>
              <w:rPr>
                <w:rFonts w:hint="eastAsia" w:ascii="宋体" w:hAnsi="宋体" w:cs="宋体"/>
                <w:kern w:val="0"/>
                <w:sz w:val="22"/>
              </w:rPr>
              <w:br w:type="textWrapping"/>
            </w:r>
            <w:r>
              <w:rPr>
                <w:rFonts w:hint="eastAsia" w:ascii="宋体" w:hAnsi="宋体" w:cs="宋体"/>
                <w:kern w:val="0"/>
                <w:sz w:val="22"/>
              </w:rPr>
              <w:t>6.最大承受声压：110dB SPL（A计权@1KHz，THD≤1%）；</w:t>
            </w:r>
            <w:r>
              <w:rPr>
                <w:rFonts w:hint="eastAsia" w:ascii="宋体" w:hAnsi="宋体" w:cs="宋体"/>
                <w:kern w:val="0"/>
                <w:sz w:val="22"/>
              </w:rPr>
              <w:br w:type="textWrapping"/>
            </w:r>
            <w:r>
              <w:rPr>
                <w:rFonts w:hint="eastAsia" w:ascii="宋体" w:hAnsi="宋体" w:cs="宋体"/>
                <w:kern w:val="0"/>
                <w:sz w:val="22"/>
              </w:rPr>
              <w:t>7.动态范围；76dB（A）；</w:t>
            </w:r>
            <w:r>
              <w:rPr>
                <w:rFonts w:hint="eastAsia" w:ascii="宋体" w:hAnsi="宋体" w:cs="宋体"/>
                <w:kern w:val="0"/>
                <w:sz w:val="22"/>
              </w:rPr>
              <w:br w:type="textWrapping"/>
            </w:r>
            <w:r>
              <w:rPr>
                <w:rFonts w:hint="eastAsia" w:ascii="宋体" w:hAnsi="宋体" w:cs="宋体"/>
                <w:kern w:val="0"/>
                <w:sz w:val="22"/>
              </w:rPr>
              <w:t>8.信噪比：60dB（A)（re 94dBSPL=1Pa@1KHz)；</w:t>
            </w:r>
            <w:r>
              <w:rPr>
                <w:rFonts w:hint="eastAsia" w:ascii="宋体" w:hAnsi="宋体" w:cs="宋体"/>
                <w:kern w:val="0"/>
                <w:sz w:val="22"/>
              </w:rPr>
              <w:br w:type="textWrapping"/>
            </w:r>
            <w:r>
              <w:rPr>
                <w:rFonts w:hint="eastAsia" w:ascii="宋体" w:hAnsi="宋体" w:cs="宋体"/>
                <w:kern w:val="0"/>
                <w:sz w:val="22"/>
              </w:rPr>
              <w:t>9.幻象供电：直流48V；</w:t>
            </w:r>
            <w:r>
              <w:rPr>
                <w:rFonts w:hint="eastAsia" w:ascii="宋体" w:hAnsi="宋体" w:cs="宋体"/>
                <w:kern w:val="0"/>
                <w:sz w:val="22"/>
              </w:rPr>
              <w:br w:type="textWrapping"/>
            </w:r>
            <w:r>
              <w:rPr>
                <w:rFonts w:hint="eastAsia" w:ascii="宋体" w:hAnsi="宋体" w:cs="宋体"/>
                <w:kern w:val="0"/>
                <w:sz w:val="22"/>
              </w:rPr>
              <w:t>10.输出连接器：外置式3针卡侬公头XLR-3-12C；</w:t>
            </w:r>
          </w:p>
        </w:tc>
      </w:tr>
      <w:tr w14:paraId="7D3B8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5426E31">
            <w:pPr>
              <w:widowControl/>
              <w:jc w:val="center"/>
              <w:rPr>
                <w:rFonts w:ascii="宋体" w:hAnsi="宋体" w:cs="宋体"/>
                <w:kern w:val="0"/>
                <w:sz w:val="22"/>
              </w:rPr>
            </w:pPr>
            <w:r>
              <w:rPr>
                <w:rFonts w:hint="eastAsia" w:ascii="宋体" w:hAnsi="宋体" w:cs="宋体"/>
                <w:kern w:val="0"/>
                <w:sz w:val="22"/>
              </w:rPr>
              <w:t>数字音频矩阵</w:t>
            </w:r>
          </w:p>
        </w:tc>
        <w:tc>
          <w:tcPr>
            <w:tcW w:w="7654" w:type="dxa"/>
            <w:tcBorders>
              <w:tl2br w:val="nil"/>
              <w:tr2bl w:val="nil"/>
            </w:tcBorders>
            <w:shd w:val="clear" w:color="000000" w:fill="FFFFFF"/>
            <w:vAlign w:val="center"/>
          </w:tcPr>
          <w:p w14:paraId="3BE55AE1">
            <w:pPr>
              <w:widowControl/>
              <w:jc w:val="left"/>
              <w:rPr>
                <w:rFonts w:ascii="宋体" w:hAnsi="宋体" w:cs="宋体"/>
                <w:kern w:val="0"/>
                <w:sz w:val="22"/>
              </w:rPr>
            </w:pPr>
            <w:r>
              <w:rPr>
                <w:rFonts w:hint="eastAsia" w:ascii="宋体" w:hAnsi="宋体" w:cs="宋体"/>
                <w:kern w:val="0"/>
                <w:sz w:val="22"/>
              </w:rPr>
              <w:t>1.信号处理：主机采用4核高速DSP处理芯片，64bit处理内核，主频≥1GHz,最大主频1.3GHz，最快信号处理延时≦8ms；支持48KHz采样率；支持≥24KHz带宽处理噪声抑制和回声消除功能。</w:t>
            </w:r>
            <w:r>
              <w:rPr>
                <w:rFonts w:hint="eastAsia" w:ascii="宋体" w:hAnsi="宋体" w:cs="宋体"/>
                <w:kern w:val="0"/>
                <w:sz w:val="22"/>
              </w:rPr>
              <w:br w:type="textWrapping"/>
            </w:r>
            <w:r>
              <w:rPr>
                <w:rFonts w:hint="eastAsia" w:ascii="宋体" w:hAnsi="宋体" w:cs="宋体"/>
                <w:kern w:val="0"/>
                <w:sz w:val="22"/>
              </w:rPr>
              <w:t>2.音频输入/输出：16路音频通道输入，16路音频通道输出。</w:t>
            </w:r>
            <w:r>
              <w:rPr>
                <w:rFonts w:hint="eastAsia" w:ascii="宋体" w:hAnsi="宋体" w:cs="宋体"/>
                <w:kern w:val="0"/>
                <w:sz w:val="22"/>
              </w:rPr>
              <w:br w:type="textWrapping"/>
            </w:r>
            <w:r>
              <w:rPr>
                <w:rFonts w:hint="eastAsia" w:ascii="宋体" w:hAnsi="宋体" w:cs="宋体"/>
                <w:kern w:val="0"/>
                <w:sz w:val="22"/>
              </w:rPr>
              <w:t>3.麦克风输入：8路48V幻象供电的麦克风输入，幻象供电可软件开关。</w:t>
            </w:r>
            <w:r>
              <w:rPr>
                <w:rFonts w:hint="eastAsia" w:ascii="宋体" w:hAnsi="宋体" w:cs="宋体"/>
                <w:kern w:val="0"/>
                <w:sz w:val="22"/>
              </w:rPr>
              <w:br w:type="textWrapping"/>
            </w:r>
            <w:r>
              <w:rPr>
                <w:rFonts w:hint="eastAsia" w:ascii="宋体" w:hAnsi="宋体" w:cs="宋体"/>
                <w:kern w:val="0"/>
                <w:sz w:val="22"/>
              </w:rPr>
              <w:t>4.模拟音频输入：6路差分信号输入</w:t>
            </w:r>
            <w:r>
              <w:rPr>
                <w:rFonts w:hint="eastAsia" w:ascii="宋体" w:hAnsi="宋体" w:cs="宋体"/>
                <w:kern w:val="0"/>
                <w:sz w:val="22"/>
              </w:rPr>
              <w:br w:type="textWrapping"/>
            </w:r>
            <w:r>
              <w:rPr>
                <w:rFonts w:hint="eastAsia" w:ascii="宋体" w:hAnsi="宋体" w:cs="宋体"/>
                <w:kern w:val="0"/>
                <w:sz w:val="22"/>
              </w:rPr>
              <w:t>5.模拟音频输出：10路差分信号输出</w:t>
            </w:r>
            <w:r>
              <w:rPr>
                <w:rFonts w:hint="eastAsia" w:ascii="宋体" w:hAnsi="宋体" w:cs="宋体"/>
                <w:kern w:val="0"/>
                <w:sz w:val="22"/>
              </w:rPr>
              <w:br w:type="textWrapping"/>
            </w:r>
            <w:r>
              <w:rPr>
                <w:rFonts w:hint="eastAsia" w:ascii="宋体" w:hAnsi="宋体" w:cs="宋体"/>
                <w:kern w:val="0"/>
                <w:sz w:val="22"/>
              </w:rPr>
              <w:t>6.增益调节：支持麦克风ADC增益0到35dB可调；支持DAC输出增益0到127等级可调；支持噪声抑制有0到18等级可调，混响抑制0到4级可调，扩声还原度0到10级可调。</w:t>
            </w:r>
            <w:r>
              <w:rPr>
                <w:rFonts w:hint="eastAsia" w:ascii="宋体" w:hAnsi="宋体" w:cs="宋体"/>
                <w:kern w:val="0"/>
                <w:sz w:val="22"/>
              </w:rPr>
              <w:br w:type="textWrapping"/>
            </w:r>
            <w:r>
              <w:rPr>
                <w:rFonts w:ascii="宋体" w:hAnsi="宋体" w:cs="宋体"/>
                <w:kern w:val="0"/>
                <w:sz w:val="22"/>
              </w:rPr>
              <w:t>7</w:t>
            </w:r>
            <w:r>
              <w:rPr>
                <w:rFonts w:hint="eastAsia" w:ascii="宋体" w:hAnsi="宋体" w:cs="宋体"/>
                <w:kern w:val="0"/>
                <w:sz w:val="22"/>
              </w:rPr>
              <w:t>.反馈抑制（AFC）：反馈抑制效果器支持控制开关，并且支持16段自适应频率滤波器；反馈抑制频率可手动调整；反馈抑制效果器可有效提升传声增益幅度：≥15dB。</w:t>
            </w:r>
            <w:r>
              <w:rPr>
                <w:rFonts w:hint="eastAsia" w:ascii="宋体" w:hAnsi="宋体" w:cs="宋体"/>
                <w:kern w:val="0"/>
                <w:sz w:val="22"/>
              </w:rPr>
              <w:br w:type="textWrapping"/>
            </w:r>
            <w:r>
              <w:rPr>
                <w:rFonts w:ascii="宋体" w:hAnsi="宋体" w:cs="宋体"/>
                <w:kern w:val="0"/>
                <w:sz w:val="22"/>
              </w:rPr>
              <w:t>8</w:t>
            </w:r>
            <w:r>
              <w:rPr>
                <w:rFonts w:hint="eastAsia" w:ascii="宋体" w:hAnsi="宋体" w:cs="宋体"/>
                <w:kern w:val="0"/>
                <w:sz w:val="22"/>
              </w:rPr>
              <w:t>.自动增益控制（AGC）：增益控制幅度-24dB到24dB可调，并可开关自动增益控制功能。</w:t>
            </w:r>
            <w:r>
              <w:rPr>
                <w:rFonts w:hint="eastAsia" w:ascii="宋体" w:hAnsi="宋体" w:cs="宋体"/>
                <w:kern w:val="0"/>
                <w:sz w:val="22"/>
              </w:rPr>
              <w:br w:type="textWrapping"/>
            </w:r>
            <w:r>
              <w:rPr>
                <w:rFonts w:ascii="宋体" w:hAnsi="宋体" w:cs="宋体"/>
                <w:kern w:val="0"/>
                <w:sz w:val="22"/>
              </w:rPr>
              <w:t>9</w:t>
            </w:r>
            <w:r>
              <w:rPr>
                <w:rFonts w:hint="eastAsia" w:ascii="宋体" w:hAnsi="宋体" w:cs="宋体"/>
                <w:kern w:val="0"/>
                <w:sz w:val="22"/>
              </w:rPr>
              <w:t>.AI智能降噪（ANS）：内置AI智能降噪算法，有效降低和滤除教室内常见稳态噪声，同时还可有效降低和滤除教室内瞬态噪声。</w:t>
            </w:r>
            <w:r>
              <w:rPr>
                <w:rFonts w:hint="eastAsia" w:ascii="宋体" w:hAnsi="宋体" w:cs="宋体"/>
                <w:kern w:val="0"/>
                <w:sz w:val="22"/>
              </w:rPr>
              <w:br w:type="textWrapping"/>
            </w:r>
            <w:r>
              <w:rPr>
                <w:rFonts w:ascii="宋体" w:hAnsi="宋体" w:cs="宋体"/>
                <w:kern w:val="0"/>
                <w:sz w:val="22"/>
              </w:rPr>
              <w:t>10</w:t>
            </w:r>
            <w:r>
              <w:rPr>
                <w:rFonts w:hint="eastAsia" w:ascii="宋体" w:hAnsi="宋体" w:cs="宋体"/>
                <w:kern w:val="0"/>
                <w:sz w:val="22"/>
              </w:rPr>
              <w:t>.设备调音：主机软件可根据现场需求，分别支持反馈抑制调音、手持麦扩声调音和AEC调音功能。</w:t>
            </w:r>
            <w:r>
              <w:rPr>
                <w:rFonts w:hint="eastAsia" w:ascii="宋体" w:hAnsi="宋体" w:cs="宋体"/>
                <w:kern w:val="0"/>
                <w:sz w:val="22"/>
              </w:rPr>
              <w:br w:type="textWrapping"/>
            </w:r>
            <w:r>
              <w:rPr>
                <w:rFonts w:ascii="宋体" w:hAnsi="宋体" w:cs="宋体"/>
                <w:kern w:val="0"/>
                <w:sz w:val="22"/>
              </w:rPr>
              <w:t>11</w:t>
            </w:r>
            <w:r>
              <w:rPr>
                <w:rFonts w:hint="eastAsia" w:ascii="宋体" w:hAnsi="宋体" w:cs="宋体"/>
                <w:kern w:val="0"/>
                <w:sz w:val="22"/>
              </w:rPr>
              <w:t>.一键调音：设备机身和调试软件均支持一键AI自适应声场调音。调音时，主机操作音箱自行发出调试声音，并在参数调试完成后自行结束调试。调试后，观察主机软件，可正确显示房间内吊麦及音箱数量，并明确显示调音成功或调音失败。</w:t>
            </w:r>
          </w:p>
        </w:tc>
      </w:tr>
      <w:tr w14:paraId="5CF5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11D4A45">
            <w:pPr>
              <w:widowControl/>
              <w:jc w:val="center"/>
              <w:rPr>
                <w:rFonts w:ascii="宋体" w:hAnsi="宋体" w:cs="宋体"/>
                <w:kern w:val="0"/>
                <w:sz w:val="22"/>
              </w:rPr>
            </w:pPr>
            <w:r>
              <w:rPr>
                <w:rFonts w:hint="eastAsia" w:ascii="宋体" w:hAnsi="宋体" w:cs="宋体"/>
                <w:kern w:val="0"/>
                <w:sz w:val="22"/>
              </w:rPr>
              <w:t>无线话筒（带领夹）</w:t>
            </w:r>
          </w:p>
        </w:tc>
        <w:tc>
          <w:tcPr>
            <w:tcW w:w="7654" w:type="dxa"/>
            <w:tcBorders>
              <w:tl2br w:val="nil"/>
              <w:tr2bl w:val="nil"/>
            </w:tcBorders>
            <w:shd w:val="clear" w:color="000000" w:fill="FFFFFF"/>
            <w:vAlign w:val="center"/>
          </w:tcPr>
          <w:p w14:paraId="0061426F">
            <w:pPr>
              <w:widowControl/>
              <w:jc w:val="left"/>
              <w:rPr>
                <w:rFonts w:ascii="宋体" w:hAnsi="宋体" w:cs="宋体"/>
                <w:kern w:val="0"/>
                <w:sz w:val="22"/>
              </w:rPr>
            </w:pPr>
            <w:r>
              <w:rPr>
                <w:rFonts w:hint="eastAsia" w:ascii="宋体" w:hAnsi="宋体" w:cs="宋体"/>
                <w:kern w:val="0"/>
                <w:sz w:val="22"/>
              </w:rPr>
              <w:t>一拖二U段无线麦克风，一手持一腰包</w:t>
            </w:r>
            <w:r>
              <w:rPr>
                <w:rFonts w:hint="eastAsia" w:ascii="宋体" w:hAnsi="宋体" w:cs="宋体"/>
                <w:kern w:val="0"/>
                <w:sz w:val="22"/>
              </w:rPr>
              <w:br w:type="textWrapping"/>
            </w:r>
            <w:r>
              <w:rPr>
                <w:rFonts w:hint="eastAsia" w:ascii="宋体" w:hAnsi="宋体" w:cs="宋体"/>
                <w:kern w:val="0"/>
                <w:sz w:val="22"/>
              </w:rPr>
              <w:t>一、接收机</w:t>
            </w:r>
            <w:r>
              <w:rPr>
                <w:rFonts w:hint="eastAsia" w:ascii="宋体" w:hAnsi="宋体" w:cs="宋体"/>
                <w:kern w:val="0"/>
                <w:sz w:val="22"/>
              </w:rPr>
              <w:br w:type="textWrapping"/>
            </w:r>
            <w:r>
              <w:rPr>
                <w:rFonts w:hint="eastAsia" w:ascii="宋体" w:hAnsi="宋体" w:cs="宋体"/>
                <w:kern w:val="0"/>
                <w:sz w:val="22"/>
              </w:rPr>
              <w:t>1.主机标准机架式安装，需采用UHF高频段传输</w:t>
            </w:r>
            <w:r>
              <w:rPr>
                <w:rFonts w:hint="eastAsia" w:ascii="宋体" w:hAnsi="宋体" w:cs="宋体"/>
                <w:kern w:val="0"/>
                <w:sz w:val="22"/>
              </w:rPr>
              <w:br w:type="textWrapping"/>
            </w:r>
            <w:r>
              <w:rPr>
                <w:rFonts w:hint="eastAsia" w:ascii="宋体" w:hAnsi="宋体" w:cs="宋体"/>
                <w:kern w:val="0"/>
                <w:sz w:val="22"/>
              </w:rPr>
              <w:t>2.频率范围：</w:t>
            </w:r>
            <w:r>
              <w:t xml:space="preserve"> 630～698MHz</w:t>
            </w:r>
            <w:r>
              <w:rPr>
                <w:rFonts w:hint="eastAsia" w:ascii="宋体" w:hAnsi="宋体" w:cs="宋体"/>
                <w:kern w:val="0"/>
                <w:sz w:val="22"/>
              </w:rPr>
              <w:t>可调</w:t>
            </w:r>
            <w:r>
              <w:rPr>
                <w:rFonts w:hint="eastAsia" w:ascii="宋体" w:hAnsi="宋体" w:cs="宋体"/>
                <w:kern w:val="0"/>
                <w:sz w:val="22"/>
              </w:rPr>
              <w:br w:type="textWrapping"/>
            </w:r>
            <w:r>
              <w:rPr>
                <w:rFonts w:hint="eastAsia" w:ascii="宋体" w:hAnsi="宋体" w:cs="宋体"/>
                <w:kern w:val="0"/>
                <w:sz w:val="22"/>
              </w:rPr>
              <w:t>3.信道数量：200</w:t>
            </w:r>
            <w:r>
              <w:rPr>
                <w:rFonts w:hint="eastAsia" w:ascii="宋体" w:hAnsi="宋体" w:cs="宋体"/>
                <w:kern w:val="0"/>
                <w:sz w:val="22"/>
              </w:rPr>
              <w:br w:type="textWrapping"/>
            </w:r>
            <w:r>
              <w:rPr>
                <w:rFonts w:hint="eastAsia" w:ascii="宋体" w:hAnsi="宋体" w:cs="宋体"/>
                <w:kern w:val="0"/>
                <w:sz w:val="22"/>
              </w:rPr>
              <w:t>4.频率生成方式：PLL锁相环频率合成</w:t>
            </w:r>
            <w:r>
              <w:rPr>
                <w:rFonts w:hint="eastAsia" w:ascii="宋体" w:hAnsi="宋体" w:cs="宋体"/>
                <w:kern w:val="0"/>
                <w:sz w:val="22"/>
              </w:rPr>
              <w:br w:type="textWrapping"/>
            </w:r>
            <w:r>
              <w:rPr>
                <w:rFonts w:hint="eastAsia" w:ascii="宋体" w:hAnsi="宋体" w:cs="宋体"/>
                <w:kern w:val="0"/>
                <w:sz w:val="22"/>
              </w:rPr>
              <w:t>5.接收方式：超外差二次变频</w:t>
            </w:r>
            <w:r>
              <w:rPr>
                <w:rFonts w:hint="eastAsia" w:ascii="宋体" w:hAnsi="宋体" w:cs="宋体"/>
                <w:kern w:val="0"/>
                <w:sz w:val="22"/>
              </w:rPr>
              <w:br w:type="textWrapping"/>
            </w:r>
            <w:r>
              <w:rPr>
                <w:rFonts w:hint="eastAsia" w:ascii="宋体" w:hAnsi="宋体" w:cs="宋体"/>
                <w:kern w:val="0"/>
                <w:sz w:val="22"/>
              </w:rPr>
              <w:t>6.导频方式：数字导频</w:t>
            </w:r>
            <w:r>
              <w:rPr>
                <w:rFonts w:hint="eastAsia" w:ascii="宋体" w:hAnsi="宋体" w:cs="宋体"/>
                <w:kern w:val="0"/>
                <w:sz w:val="22"/>
              </w:rPr>
              <w:br w:type="textWrapping"/>
            </w:r>
            <w:r>
              <w:rPr>
                <w:rFonts w:hint="eastAsia" w:ascii="宋体" w:hAnsi="宋体" w:cs="宋体"/>
                <w:kern w:val="0"/>
                <w:sz w:val="22"/>
              </w:rPr>
              <w:t>5.接收灵敏度：-96dBm</w:t>
            </w:r>
            <w:r>
              <w:rPr>
                <w:rFonts w:hint="eastAsia" w:ascii="宋体" w:hAnsi="宋体" w:cs="宋体"/>
                <w:kern w:val="0"/>
                <w:sz w:val="22"/>
              </w:rPr>
              <w:br w:type="textWrapping"/>
            </w:r>
            <w:r>
              <w:rPr>
                <w:rFonts w:hint="eastAsia" w:ascii="宋体" w:hAnsi="宋体" w:cs="宋体"/>
                <w:kern w:val="0"/>
                <w:sz w:val="22"/>
              </w:rPr>
              <w:t>6.音频响应：30Hz-18KHz</w:t>
            </w:r>
            <w:r>
              <w:rPr>
                <w:rFonts w:hint="eastAsia" w:ascii="宋体" w:hAnsi="宋体" w:cs="宋体"/>
                <w:kern w:val="0"/>
                <w:sz w:val="22"/>
              </w:rPr>
              <w:br w:type="textWrapping"/>
            </w:r>
            <w:r>
              <w:rPr>
                <w:rFonts w:hint="eastAsia" w:ascii="宋体" w:hAnsi="宋体" w:cs="宋体"/>
                <w:kern w:val="0"/>
                <w:sz w:val="22"/>
              </w:rPr>
              <w:t>7.谐波失真：≤0.5%</w:t>
            </w:r>
            <w:r>
              <w:rPr>
                <w:rFonts w:hint="eastAsia" w:ascii="宋体" w:hAnsi="宋体" w:cs="宋体"/>
                <w:kern w:val="0"/>
                <w:sz w:val="22"/>
              </w:rPr>
              <w:br w:type="textWrapping"/>
            </w:r>
            <w:r>
              <w:rPr>
                <w:rFonts w:hint="eastAsia" w:ascii="宋体" w:hAnsi="宋体" w:cs="宋体"/>
                <w:kern w:val="0"/>
                <w:sz w:val="22"/>
              </w:rPr>
              <w:t>8.音频输出方式：平衡、非平衡</w:t>
            </w:r>
            <w:r>
              <w:rPr>
                <w:rFonts w:hint="eastAsia" w:ascii="宋体" w:hAnsi="宋体" w:cs="宋体"/>
                <w:kern w:val="0"/>
                <w:sz w:val="22"/>
              </w:rPr>
              <w:br w:type="textWrapping"/>
            </w:r>
            <w:r>
              <w:rPr>
                <w:rFonts w:hint="eastAsia" w:ascii="宋体" w:hAnsi="宋体" w:cs="宋体"/>
                <w:kern w:val="0"/>
                <w:sz w:val="22"/>
              </w:rPr>
              <w:t>9.音频输出阻抗：600Ω±10%</w:t>
            </w:r>
            <w:r>
              <w:rPr>
                <w:rFonts w:hint="eastAsia" w:ascii="宋体" w:hAnsi="宋体" w:cs="宋体"/>
                <w:kern w:val="0"/>
                <w:sz w:val="22"/>
              </w:rPr>
              <w:br w:type="textWrapping"/>
            </w:r>
            <w:r>
              <w:rPr>
                <w:rFonts w:hint="eastAsia" w:ascii="宋体" w:hAnsi="宋体" w:cs="宋体"/>
                <w:kern w:val="0"/>
                <w:sz w:val="22"/>
              </w:rPr>
              <w:t>10.综合失真度：＜0.5% @1KHz</w:t>
            </w:r>
            <w:r>
              <w:rPr>
                <w:rFonts w:hint="eastAsia" w:ascii="宋体" w:hAnsi="宋体" w:cs="宋体"/>
                <w:kern w:val="0"/>
                <w:sz w:val="22"/>
              </w:rPr>
              <w:br w:type="textWrapping"/>
            </w:r>
            <w:r>
              <w:rPr>
                <w:rFonts w:hint="eastAsia" w:ascii="宋体" w:hAnsi="宋体" w:cs="宋体"/>
                <w:kern w:val="0"/>
                <w:sz w:val="22"/>
              </w:rPr>
              <w:t>11.工作电源：DC 12V/1A</w:t>
            </w:r>
            <w:r>
              <w:rPr>
                <w:rFonts w:hint="eastAsia" w:ascii="宋体" w:hAnsi="宋体" w:cs="宋体"/>
                <w:kern w:val="0"/>
                <w:sz w:val="22"/>
              </w:rPr>
              <w:br w:type="textWrapping"/>
            </w:r>
            <w:r>
              <w:rPr>
                <w:rFonts w:hint="eastAsia" w:ascii="宋体" w:hAnsi="宋体" w:cs="宋体"/>
                <w:kern w:val="0"/>
                <w:sz w:val="22"/>
              </w:rPr>
              <w:t>二、手持麦</w:t>
            </w:r>
            <w:r>
              <w:rPr>
                <w:rFonts w:hint="eastAsia" w:ascii="宋体" w:hAnsi="宋体" w:cs="宋体"/>
                <w:kern w:val="0"/>
                <w:sz w:val="22"/>
              </w:rPr>
              <w:br w:type="textWrapping"/>
            </w:r>
            <w:r>
              <w:rPr>
                <w:rFonts w:hint="eastAsia" w:ascii="宋体" w:hAnsi="宋体" w:cs="宋体"/>
                <w:kern w:val="0"/>
                <w:sz w:val="22"/>
              </w:rPr>
              <w:t>1.工作电源：2 * AA（1.2V或1.5V）</w:t>
            </w:r>
            <w:r>
              <w:rPr>
                <w:rFonts w:hint="eastAsia" w:ascii="宋体" w:hAnsi="宋体" w:cs="宋体"/>
                <w:kern w:val="0"/>
                <w:sz w:val="22"/>
              </w:rPr>
              <w:br w:type="textWrapping"/>
            </w:r>
            <w:r>
              <w:rPr>
                <w:rFonts w:hint="eastAsia" w:ascii="宋体" w:hAnsi="宋体" w:cs="宋体"/>
                <w:kern w:val="0"/>
                <w:sz w:val="22"/>
              </w:rPr>
              <w:t>2.工作频率：</w:t>
            </w:r>
            <w:r>
              <w:t>630～698MHz</w:t>
            </w:r>
            <w:r>
              <w:rPr>
                <w:rFonts w:hint="eastAsia" w:ascii="宋体" w:hAnsi="宋体" w:cs="宋体"/>
                <w:kern w:val="0"/>
                <w:sz w:val="22"/>
              </w:rPr>
              <w:t xml:space="preserve"> </w:t>
            </w:r>
            <w:r>
              <w:rPr>
                <w:rFonts w:hint="eastAsia" w:ascii="宋体" w:hAnsi="宋体" w:cs="宋体"/>
                <w:kern w:val="0"/>
                <w:sz w:val="22"/>
              </w:rPr>
              <w:br w:type="textWrapping"/>
            </w:r>
            <w:r>
              <w:rPr>
                <w:rFonts w:hint="eastAsia" w:ascii="宋体" w:hAnsi="宋体" w:cs="宋体"/>
                <w:kern w:val="0"/>
                <w:sz w:val="22"/>
              </w:rPr>
              <w:t>3.频率稳定度：±1 ppm</w:t>
            </w:r>
            <w:r>
              <w:rPr>
                <w:rFonts w:hint="eastAsia" w:ascii="宋体" w:hAnsi="宋体" w:cs="宋体"/>
                <w:kern w:val="0"/>
                <w:sz w:val="22"/>
              </w:rPr>
              <w:br w:type="textWrapping"/>
            </w:r>
            <w:r>
              <w:rPr>
                <w:rFonts w:hint="eastAsia" w:ascii="宋体" w:hAnsi="宋体" w:cs="宋体"/>
                <w:kern w:val="0"/>
                <w:sz w:val="22"/>
              </w:rPr>
              <w:t>4.最大发射功率：10dBm</w:t>
            </w:r>
            <w:r>
              <w:rPr>
                <w:rFonts w:hint="eastAsia" w:ascii="宋体" w:hAnsi="宋体" w:cs="宋体"/>
                <w:kern w:val="0"/>
                <w:sz w:val="22"/>
              </w:rPr>
              <w:br w:type="textWrapping"/>
            </w:r>
            <w:r>
              <w:rPr>
                <w:rFonts w:hint="eastAsia" w:ascii="宋体" w:hAnsi="宋体" w:cs="宋体"/>
                <w:kern w:val="0"/>
                <w:sz w:val="22"/>
              </w:rPr>
              <w:t>5.调制方式：FM</w:t>
            </w:r>
            <w:r>
              <w:rPr>
                <w:rFonts w:hint="eastAsia" w:ascii="宋体" w:hAnsi="宋体" w:cs="宋体"/>
                <w:kern w:val="0"/>
                <w:sz w:val="22"/>
              </w:rPr>
              <w:br w:type="textWrapping"/>
            </w:r>
            <w:r>
              <w:rPr>
                <w:rFonts w:hint="eastAsia" w:ascii="宋体" w:hAnsi="宋体" w:cs="宋体"/>
                <w:kern w:val="0"/>
                <w:sz w:val="22"/>
              </w:rPr>
              <w:t>6.频率生成方式：PLL锁相环频率合成</w:t>
            </w:r>
            <w:r>
              <w:rPr>
                <w:rFonts w:hint="eastAsia" w:ascii="宋体" w:hAnsi="宋体" w:cs="宋体"/>
                <w:kern w:val="0"/>
                <w:sz w:val="22"/>
              </w:rPr>
              <w:br w:type="textWrapping"/>
            </w:r>
            <w:r>
              <w:rPr>
                <w:rFonts w:hint="eastAsia" w:ascii="宋体" w:hAnsi="宋体" w:cs="宋体"/>
                <w:kern w:val="0"/>
                <w:sz w:val="22"/>
              </w:rPr>
              <w:t>7.话筒类型：高保真动圈式</w:t>
            </w:r>
            <w:r>
              <w:rPr>
                <w:rFonts w:hint="eastAsia" w:ascii="宋体" w:hAnsi="宋体" w:cs="宋体"/>
                <w:kern w:val="0"/>
                <w:sz w:val="22"/>
              </w:rPr>
              <w:br w:type="textWrapping"/>
            </w:r>
            <w:r>
              <w:rPr>
                <w:rFonts w:hint="eastAsia" w:ascii="宋体" w:hAnsi="宋体" w:cs="宋体"/>
                <w:kern w:val="0"/>
                <w:sz w:val="22"/>
              </w:rPr>
              <w:t>8.话筒灵敏度：-53dB @ 1KHz</w:t>
            </w:r>
            <w:r>
              <w:rPr>
                <w:rFonts w:hint="eastAsia" w:ascii="宋体" w:hAnsi="宋体" w:cs="宋体"/>
                <w:kern w:val="0"/>
                <w:sz w:val="22"/>
              </w:rPr>
              <w:br w:type="textWrapping"/>
            </w:r>
            <w:r>
              <w:rPr>
                <w:rFonts w:hint="eastAsia" w:ascii="宋体" w:hAnsi="宋体" w:cs="宋体"/>
                <w:kern w:val="0"/>
                <w:sz w:val="22"/>
              </w:rPr>
              <w:t>9.频率响应：30Hz-18KHz</w:t>
            </w:r>
            <w:r>
              <w:rPr>
                <w:rFonts w:hint="eastAsia" w:ascii="宋体" w:hAnsi="宋体" w:cs="宋体"/>
                <w:kern w:val="0"/>
                <w:sz w:val="22"/>
              </w:rPr>
              <w:br w:type="textWrapping"/>
            </w:r>
            <w:r>
              <w:rPr>
                <w:rFonts w:hint="eastAsia" w:ascii="宋体" w:hAnsi="宋体" w:cs="宋体"/>
                <w:kern w:val="0"/>
                <w:sz w:val="22"/>
              </w:rPr>
              <w:t>10.拾音极性：心型指向性</w:t>
            </w:r>
            <w:r>
              <w:rPr>
                <w:rFonts w:hint="eastAsia" w:ascii="宋体" w:hAnsi="宋体" w:cs="宋体"/>
                <w:kern w:val="0"/>
                <w:sz w:val="22"/>
              </w:rPr>
              <w:br w:type="textWrapping"/>
            </w:r>
            <w:r>
              <w:rPr>
                <w:rFonts w:hint="eastAsia" w:ascii="宋体" w:hAnsi="宋体" w:cs="宋体"/>
                <w:kern w:val="0"/>
                <w:sz w:val="22"/>
              </w:rPr>
              <w:t>11.拾音方式：动圈式</w:t>
            </w:r>
            <w:r>
              <w:rPr>
                <w:rFonts w:hint="eastAsia" w:ascii="宋体" w:hAnsi="宋体" w:cs="宋体"/>
                <w:kern w:val="0"/>
                <w:sz w:val="22"/>
              </w:rPr>
              <w:br w:type="textWrapping"/>
            </w:r>
            <w:r>
              <w:rPr>
                <w:rFonts w:hint="eastAsia" w:ascii="宋体" w:hAnsi="宋体" w:cs="宋体"/>
                <w:kern w:val="0"/>
                <w:sz w:val="22"/>
              </w:rPr>
              <w:t>三、腰包</w:t>
            </w:r>
            <w:r>
              <w:rPr>
                <w:rFonts w:hint="eastAsia" w:ascii="宋体" w:hAnsi="宋体" w:cs="宋体"/>
                <w:kern w:val="0"/>
                <w:sz w:val="22"/>
              </w:rPr>
              <w:br w:type="textWrapping"/>
            </w:r>
            <w:r>
              <w:rPr>
                <w:rFonts w:hint="eastAsia" w:ascii="宋体" w:hAnsi="宋体" w:cs="宋体"/>
                <w:kern w:val="0"/>
                <w:sz w:val="22"/>
              </w:rPr>
              <w:t>1.工作电源：两节AA电池或镍氢充电电池</w:t>
            </w:r>
            <w:r>
              <w:rPr>
                <w:rFonts w:hint="eastAsia" w:ascii="宋体" w:hAnsi="宋体" w:cs="宋体"/>
                <w:kern w:val="0"/>
                <w:sz w:val="22"/>
              </w:rPr>
              <w:br w:type="textWrapping"/>
            </w:r>
            <w:r>
              <w:rPr>
                <w:rFonts w:hint="eastAsia" w:ascii="宋体" w:hAnsi="宋体" w:cs="宋体"/>
                <w:kern w:val="0"/>
                <w:sz w:val="22"/>
              </w:rPr>
              <w:t>2.电池使用时间：8小时</w:t>
            </w:r>
            <w:r>
              <w:rPr>
                <w:rFonts w:hint="eastAsia" w:ascii="宋体" w:hAnsi="宋体" w:cs="宋体"/>
                <w:kern w:val="0"/>
                <w:sz w:val="22"/>
              </w:rPr>
              <w:br w:type="textWrapping"/>
            </w:r>
            <w:r>
              <w:rPr>
                <w:rFonts w:hint="eastAsia" w:ascii="宋体" w:hAnsi="宋体" w:cs="宋体"/>
                <w:kern w:val="0"/>
                <w:sz w:val="22"/>
              </w:rPr>
              <w:t>3.工作频率：</w:t>
            </w:r>
            <w:r>
              <w:t>630～698MHz</w:t>
            </w:r>
            <w:r>
              <w:rPr>
                <w:rFonts w:hint="eastAsia" w:ascii="宋体" w:hAnsi="宋体" w:cs="宋体"/>
                <w:kern w:val="0"/>
                <w:sz w:val="22"/>
              </w:rPr>
              <w:t xml:space="preserve"> </w:t>
            </w:r>
            <w:r>
              <w:rPr>
                <w:rFonts w:hint="eastAsia" w:ascii="宋体" w:hAnsi="宋体" w:cs="宋体"/>
                <w:kern w:val="0"/>
                <w:sz w:val="22"/>
              </w:rPr>
              <w:br w:type="textWrapping"/>
            </w:r>
            <w:r>
              <w:rPr>
                <w:rFonts w:hint="eastAsia" w:ascii="宋体" w:hAnsi="宋体" w:cs="宋体"/>
                <w:kern w:val="0"/>
                <w:sz w:val="22"/>
              </w:rPr>
              <w:t>4.最大发射功率：10 dBm</w:t>
            </w:r>
            <w:r>
              <w:rPr>
                <w:rFonts w:hint="eastAsia" w:ascii="宋体" w:hAnsi="宋体" w:cs="宋体"/>
                <w:kern w:val="0"/>
                <w:sz w:val="22"/>
              </w:rPr>
              <w:br w:type="textWrapping"/>
            </w:r>
            <w:r>
              <w:rPr>
                <w:rFonts w:hint="eastAsia" w:ascii="宋体" w:hAnsi="宋体" w:cs="宋体"/>
                <w:kern w:val="0"/>
                <w:sz w:val="22"/>
              </w:rPr>
              <w:t>5.音频频率响应：60 ~ 20 KHz</w:t>
            </w:r>
          </w:p>
        </w:tc>
      </w:tr>
      <w:tr w14:paraId="6C96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D446606">
            <w:pPr>
              <w:widowControl/>
              <w:jc w:val="center"/>
              <w:rPr>
                <w:rFonts w:ascii="宋体" w:hAnsi="宋体" w:cs="宋体"/>
                <w:kern w:val="0"/>
                <w:sz w:val="22"/>
              </w:rPr>
            </w:pPr>
            <w:r>
              <w:rPr>
                <w:rFonts w:hint="eastAsia" w:ascii="宋体" w:hAnsi="宋体" w:cs="宋体"/>
                <w:kern w:val="0"/>
                <w:sz w:val="22"/>
              </w:rPr>
              <w:t>功放</w:t>
            </w:r>
          </w:p>
        </w:tc>
        <w:tc>
          <w:tcPr>
            <w:tcW w:w="7654" w:type="dxa"/>
            <w:tcBorders>
              <w:tl2br w:val="nil"/>
              <w:tr2bl w:val="nil"/>
            </w:tcBorders>
            <w:shd w:val="clear" w:color="000000" w:fill="FFFFFF"/>
            <w:vAlign w:val="center"/>
          </w:tcPr>
          <w:p w14:paraId="3D24F2CC">
            <w:pPr>
              <w:widowControl/>
              <w:jc w:val="left"/>
              <w:rPr>
                <w:rFonts w:ascii="宋体" w:hAnsi="宋体" w:cs="宋体"/>
                <w:kern w:val="0"/>
                <w:sz w:val="22"/>
              </w:rPr>
            </w:pPr>
            <w:r>
              <w:rPr>
                <w:rFonts w:hint="eastAsia" w:ascii="宋体" w:hAnsi="宋体" w:cs="宋体"/>
                <w:kern w:val="0"/>
                <w:sz w:val="22"/>
              </w:rPr>
              <w:t xml:space="preserve">1.额定功率：立体声2×60W/8Ω </w:t>
            </w:r>
            <w:r>
              <w:rPr>
                <w:rFonts w:hint="eastAsia" w:ascii="宋体" w:hAnsi="宋体" w:cs="宋体"/>
                <w:kern w:val="0"/>
                <w:sz w:val="22"/>
              </w:rPr>
              <w:br w:type="textWrapping"/>
            </w:r>
            <w:r>
              <w:rPr>
                <w:rFonts w:hint="eastAsia" w:ascii="宋体" w:hAnsi="宋体" w:cs="宋体"/>
                <w:kern w:val="0"/>
                <w:sz w:val="22"/>
              </w:rPr>
              <w:t xml:space="preserve">2.频率响应：20Hz-20KHz  +1/-3dB </w:t>
            </w:r>
            <w:r>
              <w:rPr>
                <w:rFonts w:hint="eastAsia" w:ascii="宋体" w:hAnsi="宋体" w:cs="宋体"/>
                <w:kern w:val="0"/>
                <w:sz w:val="22"/>
              </w:rPr>
              <w:br w:type="textWrapping"/>
            </w:r>
            <w:r>
              <w:rPr>
                <w:rFonts w:hint="eastAsia" w:ascii="宋体" w:hAnsi="宋体" w:cs="宋体"/>
                <w:kern w:val="0"/>
                <w:sz w:val="22"/>
              </w:rPr>
              <w:t xml:space="preserve">3.额定输入灵敏度：线路 -12dB±1dB 话筒 -34dB±1dB </w:t>
            </w:r>
            <w:r>
              <w:rPr>
                <w:rFonts w:hint="eastAsia" w:ascii="宋体" w:hAnsi="宋体" w:cs="宋体"/>
                <w:kern w:val="0"/>
                <w:sz w:val="22"/>
              </w:rPr>
              <w:br w:type="textWrapping"/>
            </w:r>
            <w:r>
              <w:rPr>
                <w:rFonts w:hint="eastAsia" w:ascii="宋体" w:hAnsi="宋体" w:cs="宋体"/>
                <w:kern w:val="0"/>
                <w:sz w:val="22"/>
              </w:rPr>
              <w:t>4.失真度：0.5%</w:t>
            </w:r>
            <w:r>
              <w:rPr>
                <w:rFonts w:hint="eastAsia" w:ascii="宋体" w:hAnsi="宋体" w:cs="宋体"/>
                <w:kern w:val="0"/>
                <w:sz w:val="22"/>
              </w:rPr>
              <w:br w:type="textWrapping"/>
            </w:r>
            <w:r>
              <w:rPr>
                <w:rFonts w:hint="eastAsia" w:ascii="宋体" w:hAnsi="宋体" w:cs="宋体"/>
                <w:kern w:val="0"/>
                <w:sz w:val="22"/>
              </w:rPr>
              <w:t>5.信噪比（话筒关闭、音调平直）：80dB</w:t>
            </w:r>
            <w:r>
              <w:rPr>
                <w:rFonts w:hint="eastAsia" w:ascii="宋体" w:hAnsi="宋体" w:cs="宋体"/>
                <w:kern w:val="0"/>
                <w:sz w:val="22"/>
              </w:rPr>
              <w:br w:type="textWrapping"/>
            </w:r>
            <w:r>
              <w:rPr>
                <w:rFonts w:hint="eastAsia" w:ascii="宋体" w:hAnsi="宋体" w:cs="宋体"/>
                <w:kern w:val="0"/>
                <w:sz w:val="22"/>
              </w:rPr>
              <w:t>6.额定电源电压：交流220V /50Hz</w:t>
            </w:r>
          </w:p>
        </w:tc>
      </w:tr>
      <w:tr w14:paraId="1FAD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CD3C6C9">
            <w:pPr>
              <w:widowControl/>
              <w:jc w:val="center"/>
              <w:rPr>
                <w:rFonts w:ascii="宋体" w:hAnsi="宋体" w:cs="宋体"/>
                <w:kern w:val="0"/>
                <w:sz w:val="22"/>
              </w:rPr>
            </w:pPr>
            <w:r>
              <w:rPr>
                <w:rFonts w:hint="eastAsia" w:ascii="宋体" w:hAnsi="宋体" w:cs="宋体"/>
                <w:kern w:val="0"/>
                <w:sz w:val="22"/>
              </w:rPr>
              <w:t>音箱</w:t>
            </w:r>
          </w:p>
        </w:tc>
        <w:tc>
          <w:tcPr>
            <w:tcW w:w="7654" w:type="dxa"/>
            <w:tcBorders>
              <w:tl2br w:val="nil"/>
              <w:tr2bl w:val="nil"/>
            </w:tcBorders>
            <w:shd w:val="clear" w:color="000000" w:fill="FFFFFF"/>
            <w:vAlign w:val="center"/>
          </w:tcPr>
          <w:p w14:paraId="497639B2">
            <w:pPr>
              <w:widowControl/>
              <w:jc w:val="left"/>
              <w:rPr>
                <w:rFonts w:ascii="宋体" w:hAnsi="宋体" w:cs="宋体"/>
                <w:kern w:val="0"/>
                <w:sz w:val="22"/>
              </w:rPr>
            </w:pPr>
            <w:r>
              <w:rPr>
                <w:rFonts w:hint="eastAsia" w:ascii="宋体" w:hAnsi="宋体" w:cs="宋体"/>
                <w:kern w:val="0"/>
                <w:sz w:val="22"/>
              </w:rPr>
              <w:t>1.额定/峰值功率：60W/120W</w:t>
            </w:r>
            <w:r>
              <w:rPr>
                <w:rFonts w:hint="eastAsia" w:ascii="宋体" w:hAnsi="宋体" w:cs="宋体"/>
                <w:kern w:val="0"/>
                <w:sz w:val="22"/>
              </w:rPr>
              <w:br w:type="textWrapping"/>
            </w:r>
            <w:r>
              <w:rPr>
                <w:rFonts w:hint="eastAsia" w:ascii="宋体" w:hAnsi="宋体" w:cs="宋体"/>
                <w:kern w:val="0"/>
                <w:sz w:val="22"/>
              </w:rPr>
              <w:t>2.额定阻抗：8Ω</w:t>
            </w:r>
            <w:r>
              <w:rPr>
                <w:rFonts w:hint="eastAsia" w:ascii="宋体" w:hAnsi="宋体" w:cs="宋体"/>
                <w:kern w:val="0"/>
                <w:sz w:val="22"/>
              </w:rPr>
              <w:br w:type="textWrapping"/>
            </w:r>
            <w:r>
              <w:rPr>
                <w:rFonts w:hint="eastAsia" w:ascii="宋体" w:hAnsi="宋体" w:cs="宋体"/>
                <w:kern w:val="0"/>
                <w:sz w:val="22"/>
              </w:rPr>
              <w:t>3.特性灵敏度：88dB /w/m</w:t>
            </w:r>
            <w:r>
              <w:rPr>
                <w:rFonts w:hint="eastAsia" w:ascii="宋体" w:hAnsi="宋体" w:cs="宋体"/>
                <w:kern w:val="0"/>
                <w:sz w:val="22"/>
              </w:rPr>
              <w:br w:type="textWrapping"/>
            </w:r>
            <w:r>
              <w:rPr>
                <w:rFonts w:hint="eastAsia" w:ascii="宋体" w:hAnsi="宋体" w:cs="宋体"/>
                <w:kern w:val="0"/>
                <w:sz w:val="22"/>
              </w:rPr>
              <w:t>4.输出声压级：113dB/W/m(Continues)， 120dB/W/m(Peak)</w:t>
            </w:r>
            <w:r>
              <w:rPr>
                <w:rFonts w:hint="eastAsia" w:ascii="宋体" w:hAnsi="宋体" w:cs="宋体"/>
                <w:kern w:val="0"/>
                <w:sz w:val="22"/>
              </w:rPr>
              <w:br w:type="textWrapping"/>
            </w:r>
            <w:r>
              <w:rPr>
                <w:rFonts w:hint="eastAsia" w:ascii="宋体" w:hAnsi="宋体" w:cs="宋体"/>
                <w:kern w:val="0"/>
                <w:sz w:val="22"/>
              </w:rPr>
              <w:t>5.额定频率范围（-3dB）：80Hz－18KHz</w:t>
            </w:r>
            <w:r>
              <w:rPr>
                <w:rFonts w:hint="eastAsia" w:ascii="宋体" w:hAnsi="宋体" w:cs="宋体"/>
                <w:kern w:val="0"/>
                <w:sz w:val="22"/>
              </w:rPr>
              <w:br w:type="textWrapping"/>
            </w:r>
            <w:r>
              <w:rPr>
                <w:rFonts w:hint="eastAsia" w:ascii="宋体" w:hAnsi="宋体" w:cs="宋体"/>
                <w:kern w:val="0"/>
                <w:sz w:val="22"/>
              </w:rPr>
              <w:t xml:space="preserve">6.辐射角度（H×V）：90°×50° </w:t>
            </w:r>
            <w:r>
              <w:rPr>
                <w:rFonts w:hint="eastAsia" w:ascii="宋体" w:hAnsi="宋体" w:cs="宋体"/>
                <w:kern w:val="0"/>
                <w:sz w:val="22"/>
              </w:rPr>
              <w:br w:type="textWrapping"/>
            </w:r>
            <w:r>
              <w:rPr>
                <w:rFonts w:hint="eastAsia" w:ascii="宋体" w:hAnsi="宋体" w:cs="宋体"/>
                <w:kern w:val="0"/>
                <w:sz w:val="22"/>
              </w:rPr>
              <w:t>7.扬声器单元：LF：6.5"×1，HF：2"×1</w:t>
            </w:r>
          </w:p>
        </w:tc>
      </w:tr>
      <w:tr w14:paraId="6205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15992B3B">
            <w:pPr>
              <w:widowControl/>
              <w:jc w:val="center"/>
              <w:rPr>
                <w:rFonts w:ascii="宋体" w:hAnsi="宋体" w:cs="宋体"/>
                <w:kern w:val="0"/>
                <w:sz w:val="22"/>
              </w:rPr>
            </w:pPr>
            <w:r>
              <w:rPr>
                <w:rFonts w:hint="eastAsia" w:ascii="宋体" w:hAnsi="宋体" w:cs="宋体"/>
                <w:kern w:val="0"/>
                <w:sz w:val="22"/>
              </w:rPr>
              <w:t>智能中控屏</w:t>
            </w:r>
          </w:p>
        </w:tc>
        <w:tc>
          <w:tcPr>
            <w:tcW w:w="7654" w:type="dxa"/>
            <w:tcBorders>
              <w:tl2br w:val="nil"/>
              <w:tr2bl w:val="nil"/>
            </w:tcBorders>
            <w:shd w:val="clear" w:color="000000" w:fill="FFFFFF"/>
            <w:vAlign w:val="center"/>
          </w:tcPr>
          <w:p w14:paraId="72F7E6EE">
            <w:pPr>
              <w:widowControl/>
              <w:jc w:val="left"/>
              <w:rPr>
                <w:rFonts w:ascii="宋体" w:hAnsi="宋体" w:cs="宋体"/>
                <w:kern w:val="0"/>
                <w:sz w:val="22"/>
              </w:rPr>
            </w:pPr>
            <w:r>
              <w:rPr>
                <w:rFonts w:hint="eastAsia" w:ascii="宋体" w:hAnsi="宋体" w:cs="宋体"/>
                <w:kern w:val="0"/>
                <w:sz w:val="22"/>
              </w:rPr>
              <w:t>1.整机采用≥8英寸液晶触控屏，支持≥10点触摸，可实现放大缩小图片等多点触摸功能；</w:t>
            </w:r>
          </w:p>
          <w:p w14:paraId="789E91A2">
            <w:pPr>
              <w:widowControl/>
              <w:jc w:val="left"/>
              <w:rPr>
                <w:rFonts w:ascii="宋体" w:hAnsi="宋体" w:cs="宋体"/>
                <w:kern w:val="0"/>
                <w:sz w:val="22"/>
              </w:rPr>
            </w:pPr>
            <w:r>
              <w:rPr>
                <w:rFonts w:hint="eastAsia" w:ascii="宋体" w:hAnsi="宋体" w:cs="宋体"/>
                <w:kern w:val="0"/>
                <w:sz w:val="22"/>
              </w:rPr>
              <w:t>2.支持≥2路USB接口、支持≥1路网络接口（需支持POE供电和网络通讯）；需支持有线网络连接及5GHZ无线网络，支持网络速度自适应；</w:t>
            </w:r>
          </w:p>
          <w:p w14:paraId="6BB37714">
            <w:pPr>
              <w:widowControl/>
              <w:jc w:val="left"/>
              <w:rPr>
                <w:rFonts w:ascii="宋体" w:hAnsi="宋体" w:cs="宋体"/>
                <w:kern w:val="0"/>
                <w:sz w:val="22"/>
              </w:rPr>
            </w:pPr>
            <w:r>
              <w:rPr>
                <w:rFonts w:hint="eastAsia" w:ascii="宋体" w:hAnsi="宋体" w:cs="宋体"/>
                <w:kern w:val="0"/>
                <w:sz w:val="22"/>
              </w:rPr>
              <w:t>3.控制终端支持对录播主机画面预览，具备≥3英寸图像显示界面，支持导播图像实时同步显示功能；</w:t>
            </w:r>
          </w:p>
          <w:p w14:paraId="7525818C">
            <w:pPr>
              <w:widowControl/>
              <w:jc w:val="left"/>
              <w:rPr>
                <w:rFonts w:ascii="宋体" w:hAnsi="宋体" w:cs="宋体"/>
                <w:kern w:val="0"/>
                <w:sz w:val="22"/>
              </w:rPr>
            </w:pPr>
            <w:r>
              <w:rPr>
                <w:rFonts w:hint="eastAsia" w:ascii="宋体" w:hAnsi="宋体" w:cs="宋体"/>
                <w:kern w:val="0"/>
                <w:sz w:val="22"/>
              </w:rPr>
              <w:t>4.控制终端支持对直录制进行开始录制、停止录制、暂停录制、通道切换等功能，支持通过控制终端在线预览课件，支持通过U盘拷贝课件；</w:t>
            </w:r>
          </w:p>
          <w:p w14:paraId="377C1BC0">
            <w:pPr>
              <w:widowControl/>
              <w:jc w:val="left"/>
              <w:rPr>
                <w:rFonts w:ascii="宋体" w:hAnsi="宋体" w:cs="宋体"/>
                <w:kern w:val="0"/>
                <w:sz w:val="22"/>
              </w:rPr>
            </w:pPr>
            <w:r>
              <w:rPr>
                <w:rFonts w:hint="eastAsia" w:ascii="宋体" w:hAnsi="宋体" w:cs="宋体"/>
                <w:kern w:val="0"/>
                <w:sz w:val="22"/>
              </w:rPr>
              <w:t>5.支持教师画面、学生画面、教学内容等导播通道画面的快速切换；</w:t>
            </w:r>
          </w:p>
          <w:p w14:paraId="53B98654">
            <w:pPr>
              <w:widowControl/>
              <w:jc w:val="left"/>
              <w:rPr>
                <w:rFonts w:ascii="宋体" w:hAnsi="宋体" w:cs="宋体"/>
                <w:kern w:val="0"/>
                <w:sz w:val="22"/>
              </w:rPr>
            </w:pPr>
            <w:r>
              <w:rPr>
                <w:rFonts w:hint="eastAsia" w:ascii="宋体" w:hAnsi="宋体" w:cs="宋体"/>
                <w:kern w:val="0"/>
                <w:sz w:val="22"/>
              </w:rPr>
              <w:t>6.支持视频会议、远程互动的发起、管控及关闭功能，控制终端可一键发起会议及进行互动管理；</w:t>
            </w:r>
          </w:p>
          <w:p w14:paraId="4643639C">
            <w:pPr>
              <w:widowControl/>
              <w:jc w:val="left"/>
              <w:rPr>
                <w:rFonts w:ascii="宋体" w:hAnsi="宋体" w:cs="宋体"/>
                <w:kern w:val="0"/>
                <w:sz w:val="22"/>
              </w:rPr>
            </w:pPr>
            <w:r>
              <w:rPr>
                <w:rFonts w:hint="eastAsia" w:ascii="宋体" w:hAnsi="宋体" w:cs="宋体"/>
                <w:kern w:val="0"/>
                <w:sz w:val="22"/>
              </w:rPr>
              <w:t>7.支持以一间教室为主讲教室，与多间远程听课教室互动，首次连接成功后无需重新设置教室信息；在创建互动课堂时，支持自定义课堂名称、多教室之间轮询时间、模式切换、互动类型等信息；</w:t>
            </w:r>
          </w:p>
          <w:p w14:paraId="5D1E24F9">
            <w:pPr>
              <w:widowControl/>
              <w:jc w:val="left"/>
              <w:rPr>
                <w:rFonts w:ascii="宋体" w:hAnsi="宋体" w:cs="宋体"/>
                <w:kern w:val="0"/>
                <w:sz w:val="22"/>
              </w:rPr>
            </w:pPr>
            <w:r>
              <w:rPr>
                <w:rFonts w:hint="eastAsia" w:ascii="宋体" w:hAnsi="宋体" w:cs="宋体"/>
                <w:kern w:val="0"/>
                <w:sz w:val="22"/>
              </w:rPr>
              <w:t>8.▲在互动过程中支持对听讲教室进行发言控制，支持允许对讲、允许发言两种互动功能，在允许对讲功能中，其他听讲教室自动切换到发言教室的画面；在允许发言的场景中，其他听讲教室仅能听到发言的声音；</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9.在互动过程中支持临时加入、删除互动教室，并支持延长互动时长；</w:t>
            </w:r>
          </w:p>
          <w:p w14:paraId="5FBCB152">
            <w:pPr>
              <w:widowControl/>
              <w:jc w:val="left"/>
              <w:rPr>
                <w:rFonts w:ascii="宋体" w:hAnsi="宋体" w:cs="宋体"/>
                <w:kern w:val="0"/>
                <w:sz w:val="22"/>
              </w:rPr>
            </w:pPr>
            <w:r>
              <w:rPr>
                <w:rFonts w:hint="eastAsia" w:ascii="宋体" w:hAnsi="宋体" w:cs="宋体"/>
                <w:kern w:val="0"/>
                <w:sz w:val="22"/>
              </w:rPr>
              <w:t>10.支持教学多媒体设备接入，配合录播主机可控制教室内投影、幕布、窗帘、灯光、电视等物联设备，可控制投影机、高拍仪等设备的开启与关闭；</w:t>
            </w:r>
          </w:p>
          <w:p w14:paraId="5D39E29B">
            <w:pPr>
              <w:widowControl/>
              <w:jc w:val="left"/>
              <w:rPr>
                <w:rFonts w:ascii="宋体" w:hAnsi="宋体" w:cs="宋体"/>
                <w:kern w:val="0"/>
                <w:sz w:val="22"/>
              </w:rPr>
            </w:pPr>
            <w:r>
              <w:rPr>
                <w:rFonts w:hint="eastAsia" w:ascii="宋体" w:hAnsi="宋体" w:cs="宋体"/>
                <w:kern w:val="0"/>
                <w:sz w:val="22"/>
              </w:rPr>
              <w:t>11.▲支持物联配置功能，可自定义新建命令按键、按键名称、桌面背景图片；支持自定义组合键，实现一键开始和一键关闭功能；控制界面可编程，按钮样式、位置、名称均可自定义；</w:t>
            </w:r>
            <w:r>
              <w:rPr>
                <w:rFonts w:hint="eastAsia" w:ascii="宋体" w:hAnsi="宋体" w:cs="宋体"/>
                <w:b/>
                <w:bCs/>
                <w:kern w:val="0"/>
                <w:sz w:val="22"/>
              </w:rPr>
              <w:t>（响应时提供权威机构检测报告扫描件佐证）</w:t>
            </w:r>
            <w:r>
              <w:rPr>
                <w:rFonts w:hint="eastAsia" w:ascii="宋体" w:hAnsi="宋体" w:cs="宋体"/>
                <w:b/>
                <w:bCs/>
                <w:kern w:val="0"/>
                <w:sz w:val="22"/>
              </w:rPr>
              <w:br w:type="textWrapping"/>
            </w:r>
            <w:r>
              <w:rPr>
                <w:rFonts w:hint="eastAsia" w:ascii="宋体" w:hAnsi="宋体" w:cs="宋体"/>
                <w:kern w:val="0"/>
                <w:sz w:val="22"/>
              </w:rPr>
              <w:t>12.支持微信扫描功能，通过微信扫码可自动将录制课件与老师信息关联上传到平台；</w:t>
            </w:r>
          </w:p>
          <w:p w14:paraId="131DF246">
            <w:pPr>
              <w:widowControl/>
              <w:jc w:val="left"/>
              <w:rPr>
                <w:rFonts w:ascii="宋体" w:hAnsi="宋体" w:cs="宋体"/>
                <w:kern w:val="0"/>
                <w:sz w:val="22"/>
              </w:rPr>
            </w:pPr>
            <w:r>
              <w:rPr>
                <w:rFonts w:hint="eastAsia" w:ascii="宋体" w:hAnsi="宋体" w:cs="宋体"/>
                <w:kern w:val="0"/>
                <w:sz w:val="22"/>
              </w:rPr>
              <w:t>13.升级功能：支持本地升级、在线升级以及远程升级，便于系统维护；</w:t>
            </w:r>
          </w:p>
          <w:p w14:paraId="7622B89F">
            <w:pPr>
              <w:widowControl/>
              <w:jc w:val="left"/>
              <w:rPr>
                <w:rFonts w:ascii="宋体" w:hAnsi="宋体" w:cs="宋体"/>
                <w:kern w:val="0"/>
                <w:sz w:val="22"/>
              </w:rPr>
            </w:pPr>
            <w:r>
              <w:rPr>
                <w:rFonts w:hint="eastAsia" w:ascii="宋体" w:hAnsi="宋体" w:cs="宋体"/>
                <w:kern w:val="0"/>
                <w:sz w:val="22"/>
              </w:rPr>
              <w:t>14.协议支持：发送命令协议支持RS232串口协议、TCP协议、UDP协议。</w:t>
            </w:r>
          </w:p>
        </w:tc>
      </w:tr>
      <w:tr w14:paraId="78354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4A9F480">
            <w:pPr>
              <w:widowControl/>
              <w:jc w:val="center"/>
              <w:rPr>
                <w:rFonts w:ascii="宋体" w:hAnsi="宋体" w:cs="宋体"/>
                <w:kern w:val="0"/>
                <w:sz w:val="22"/>
              </w:rPr>
            </w:pPr>
            <w:r>
              <w:rPr>
                <w:rFonts w:hint="eastAsia" w:ascii="宋体" w:hAnsi="宋体" w:cs="宋体"/>
                <w:kern w:val="0"/>
                <w:sz w:val="22"/>
              </w:rPr>
              <w:t>导播键盘</w:t>
            </w:r>
          </w:p>
        </w:tc>
        <w:tc>
          <w:tcPr>
            <w:tcW w:w="7654" w:type="dxa"/>
            <w:tcBorders>
              <w:tl2br w:val="nil"/>
              <w:tr2bl w:val="nil"/>
            </w:tcBorders>
            <w:shd w:val="clear" w:color="000000" w:fill="FFFFFF"/>
            <w:vAlign w:val="center"/>
          </w:tcPr>
          <w:p w14:paraId="62551BEF">
            <w:pPr>
              <w:widowControl/>
              <w:jc w:val="left"/>
              <w:rPr>
                <w:rFonts w:ascii="宋体" w:hAnsi="宋体" w:cs="宋体"/>
                <w:kern w:val="0"/>
                <w:sz w:val="22"/>
              </w:rPr>
            </w:pPr>
            <w:r>
              <w:rPr>
                <w:rFonts w:hint="eastAsia" w:ascii="宋体" w:hAnsi="宋体" w:cs="宋体"/>
                <w:kern w:val="0"/>
                <w:sz w:val="22"/>
              </w:rPr>
              <w:t>1.需支持控制接口：≥1路RS232</w:t>
            </w:r>
            <w:r>
              <w:rPr>
                <w:rFonts w:hint="eastAsia" w:ascii="宋体" w:hAnsi="宋体" w:cs="宋体"/>
                <w:kern w:val="0"/>
                <w:sz w:val="22"/>
              </w:rPr>
              <w:br w:type="textWrapping"/>
            </w:r>
            <w:r>
              <w:rPr>
                <w:rFonts w:hint="eastAsia" w:ascii="宋体" w:hAnsi="宋体" w:cs="宋体"/>
                <w:kern w:val="0"/>
                <w:sz w:val="22"/>
              </w:rPr>
              <w:t>2.需支持≥8路主播通道功能，支持≥8路备播通道功能；</w:t>
            </w:r>
            <w:r>
              <w:rPr>
                <w:rFonts w:hint="eastAsia" w:ascii="宋体" w:hAnsi="宋体" w:cs="宋体"/>
                <w:kern w:val="0"/>
                <w:sz w:val="22"/>
              </w:rPr>
              <w:br w:type="textWrapping"/>
            </w:r>
            <w:r>
              <w:rPr>
                <w:rFonts w:hint="eastAsia" w:ascii="宋体" w:hAnsi="宋体" w:cs="宋体"/>
                <w:kern w:val="0"/>
                <w:sz w:val="22"/>
              </w:rPr>
              <w:t>3.需支持≥8种转场特效无缝切换；</w:t>
            </w:r>
            <w:r>
              <w:rPr>
                <w:rFonts w:hint="eastAsia" w:ascii="宋体" w:hAnsi="宋体" w:cs="宋体"/>
                <w:kern w:val="0"/>
                <w:sz w:val="22"/>
              </w:rPr>
              <w:br w:type="textWrapping"/>
            </w:r>
            <w:r>
              <w:rPr>
                <w:rFonts w:hint="eastAsia" w:ascii="宋体" w:hAnsi="宋体" w:cs="宋体"/>
                <w:kern w:val="0"/>
                <w:sz w:val="22"/>
              </w:rPr>
              <w:t>4.需支持≥5种视频模板叠加切换功能；</w:t>
            </w:r>
            <w:r>
              <w:rPr>
                <w:rFonts w:hint="eastAsia" w:ascii="宋体" w:hAnsi="宋体" w:cs="宋体"/>
                <w:kern w:val="0"/>
                <w:sz w:val="22"/>
              </w:rPr>
              <w:br w:type="textWrapping"/>
            </w:r>
            <w:r>
              <w:rPr>
                <w:rFonts w:hint="eastAsia" w:ascii="宋体" w:hAnsi="宋体" w:cs="宋体"/>
                <w:kern w:val="0"/>
                <w:sz w:val="22"/>
              </w:rPr>
              <w:t>5.需支持≥9个摄像机预置位设置和调用；</w:t>
            </w:r>
            <w:r>
              <w:rPr>
                <w:rFonts w:hint="eastAsia" w:ascii="宋体" w:hAnsi="宋体" w:cs="宋体"/>
                <w:kern w:val="0"/>
                <w:sz w:val="22"/>
              </w:rPr>
              <w:br w:type="textWrapping"/>
            </w:r>
            <w:r>
              <w:rPr>
                <w:rFonts w:hint="eastAsia" w:ascii="宋体" w:hAnsi="宋体" w:cs="宋体"/>
                <w:kern w:val="0"/>
                <w:sz w:val="22"/>
              </w:rPr>
              <w:t>6.支持1个四维控制摇杆，人体工程学设计，手感舒适；</w:t>
            </w:r>
            <w:r>
              <w:rPr>
                <w:rFonts w:hint="eastAsia" w:ascii="宋体" w:hAnsi="宋体" w:cs="宋体"/>
                <w:kern w:val="0"/>
                <w:sz w:val="22"/>
              </w:rPr>
              <w:br w:type="textWrapping"/>
            </w:r>
            <w:r>
              <w:rPr>
                <w:rFonts w:hint="eastAsia" w:ascii="宋体" w:hAnsi="宋体" w:cs="宋体"/>
                <w:kern w:val="0"/>
                <w:sz w:val="22"/>
              </w:rPr>
              <w:t>7.需支持≥2英寸高亮度 OLED 屏幕显示，按键需支持自动背光；</w:t>
            </w:r>
          </w:p>
        </w:tc>
      </w:tr>
      <w:tr w14:paraId="592A3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D58CA93">
            <w:pPr>
              <w:widowControl/>
              <w:jc w:val="center"/>
              <w:rPr>
                <w:rFonts w:ascii="宋体" w:hAnsi="宋体" w:cs="宋体"/>
                <w:kern w:val="0"/>
                <w:sz w:val="22"/>
              </w:rPr>
            </w:pPr>
            <w:r>
              <w:rPr>
                <w:rFonts w:hint="eastAsia" w:ascii="宋体" w:hAnsi="宋体" w:cs="宋体"/>
                <w:kern w:val="0"/>
                <w:sz w:val="22"/>
              </w:rPr>
              <w:t>时序电源控制器</w:t>
            </w:r>
          </w:p>
        </w:tc>
        <w:tc>
          <w:tcPr>
            <w:tcW w:w="7654" w:type="dxa"/>
            <w:tcBorders>
              <w:tl2br w:val="nil"/>
              <w:tr2bl w:val="nil"/>
            </w:tcBorders>
            <w:shd w:val="clear" w:color="000000" w:fill="FFFFFF"/>
            <w:vAlign w:val="center"/>
          </w:tcPr>
          <w:p w14:paraId="3B52EF26">
            <w:pPr>
              <w:widowControl/>
              <w:jc w:val="left"/>
              <w:rPr>
                <w:rFonts w:ascii="宋体" w:hAnsi="宋体" w:cs="宋体"/>
                <w:kern w:val="0"/>
                <w:sz w:val="22"/>
              </w:rPr>
            </w:pPr>
            <w:r>
              <w:rPr>
                <w:rFonts w:hint="eastAsia" w:ascii="宋体" w:hAnsi="宋体" w:cs="宋体"/>
                <w:kern w:val="0"/>
                <w:sz w:val="22"/>
              </w:rPr>
              <w:t>1.支持≥2英寸彩色液晶智能显示窗，支持实时显示当前电压、日期时间，通道开关状态；</w:t>
            </w:r>
            <w:r>
              <w:rPr>
                <w:rFonts w:hint="eastAsia" w:ascii="宋体" w:hAnsi="宋体" w:cs="宋体"/>
                <w:kern w:val="0"/>
                <w:sz w:val="22"/>
              </w:rPr>
              <w:br w:type="textWrapping"/>
            </w:r>
            <w:r>
              <w:rPr>
                <w:rFonts w:hint="eastAsia" w:ascii="宋体" w:hAnsi="宋体" w:cs="宋体"/>
                <w:kern w:val="0"/>
                <w:sz w:val="22"/>
              </w:rPr>
              <w:t>2.支持定时开关机功能，支持内置时钟芯片，可根据日期时间设定，无需人为操作；</w:t>
            </w:r>
            <w:r>
              <w:rPr>
                <w:rFonts w:hint="eastAsia" w:ascii="宋体" w:hAnsi="宋体" w:cs="宋体"/>
                <w:kern w:val="0"/>
                <w:sz w:val="22"/>
              </w:rPr>
              <w:br w:type="textWrapping"/>
            </w:r>
            <w:r>
              <w:rPr>
                <w:rFonts w:hint="eastAsia" w:ascii="宋体" w:hAnsi="宋体" w:cs="宋体"/>
                <w:kern w:val="0"/>
                <w:sz w:val="22"/>
              </w:rPr>
              <w:t>3.支持≥6路通道输出，每路可一键单独开启或关闭；</w:t>
            </w:r>
            <w:r>
              <w:rPr>
                <w:rFonts w:hint="eastAsia" w:ascii="宋体" w:hAnsi="宋体" w:cs="宋体"/>
                <w:kern w:val="0"/>
                <w:sz w:val="22"/>
              </w:rPr>
              <w:br w:type="textWrapping"/>
            </w:r>
            <w:r>
              <w:rPr>
                <w:rFonts w:hint="eastAsia" w:ascii="宋体" w:hAnsi="宋体" w:cs="宋体"/>
                <w:kern w:val="0"/>
                <w:sz w:val="22"/>
              </w:rPr>
              <w:t>4.支持每路延时开启和关闭时间可自由设置；</w:t>
            </w:r>
            <w:r>
              <w:rPr>
                <w:rFonts w:hint="eastAsia" w:ascii="宋体" w:hAnsi="宋体" w:cs="宋体"/>
                <w:kern w:val="0"/>
                <w:sz w:val="22"/>
              </w:rPr>
              <w:br w:type="textWrapping"/>
            </w:r>
            <w:r>
              <w:rPr>
                <w:rFonts w:hint="eastAsia" w:ascii="宋体" w:hAnsi="宋体" w:cs="宋体"/>
                <w:kern w:val="0"/>
                <w:sz w:val="22"/>
              </w:rPr>
              <w:t>5.支持≥9组以上设备开关场景数据保存/调用；</w:t>
            </w:r>
            <w:r>
              <w:rPr>
                <w:rFonts w:hint="eastAsia" w:ascii="宋体" w:hAnsi="宋体" w:cs="宋体"/>
                <w:kern w:val="0"/>
                <w:sz w:val="22"/>
              </w:rPr>
              <w:br w:type="textWrapping"/>
            </w:r>
            <w:r>
              <w:rPr>
                <w:rFonts w:hint="eastAsia" w:ascii="宋体" w:hAnsi="宋体" w:cs="宋体"/>
                <w:kern w:val="0"/>
                <w:sz w:val="22"/>
              </w:rPr>
              <w:t>6.支持特设欠压、超压检测及报警功能，总功率6000W，单路功率2000W；</w:t>
            </w:r>
            <w:r>
              <w:rPr>
                <w:rFonts w:hint="eastAsia" w:ascii="宋体" w:hAnsi="宋体" w:cs="宋体"/>
                <w:kern w:val="0"/>
                <w:sz w:val="22"/>
              </w:rPr>
              <w:br w:type="textWrapping"/>
            </w:r>
            <w:r>
              <w:rPr>
                <w:rFonts w:hint="eastAsia" w:ascii="宋体" w:hAnsi="宋体" w:cs="宋体"/>
                <w:kern w:val="0"/>
                <w:sz w:val="22"/>
              </w:rPr>
              <w:t>7.支持多台设备级联控制，级联状态可自动检测及设置；</w:t>
            </w:r>
            <w:r>
              <w:rPr>
                <w:rFonts w:hint="eastAsia" w:ascii="宋体" w:hAnsi="宋体" w:cs="宋体"/>
                <w:kern w:val="0"/>
                <w:sz w:val="22"/>
              </w:rPr>
              <w:br w:type="textWrapping"/>
            </w:r>
            <w:r>
              <w:rPr>
                <w:rFonts w:hint="eastAsia" w:ascii="宋体" w:hAnsi="宋体" w:cs="宋体"/>
                <w:kern w:val="0"/>
                <w:sz w:val="22"/>
              </w:rPr>
              <w:t>8.支持RS232接口，支持外部中央控制设备控制；</w:t>
            </w:r>
            <w:r>
              <w:rPr>
                <w:rFonts w:hint="eastAsia" w:ascii="宋体" w:hAnsi="宋体" w:cs="宋体"/>
                <w:kern w:val="0"/>
                <w:sz w:val="22"/>
              </w:rPr>
              <w:br w:type="textWrapping"/>
            </w:r>
            <w:r>
              <w:rPr>
                <w:rFonts w:hint="eastAsia" w:ascii="宋体" w:hAnsi="宋体" w:cs="宋体"/>
                <w:kern w:val="0"/>
                <w:sz w:val="22"/>
              </w:rPr>
              <w:t>9.支持实现远程集中控制；</w:t>
            </w:r>
            <w:r>
              <w:rPr>
                <w:rFonts w:hint="eastAsia" w:ascii="宋体" w:hAnsi="宋体" w:cs="宋体"/>
                <w:kern w:val="0"/>
                <w:sz w:val="22"/>
              </w:rPr>
              <w:br w:type="textWrapping"/>
            </w:r>
            <w:r>
              <w:rPr>
                <w:rFonts w:hint="eastAsia" w:ascii="宋体" w:hAnsi="宋体" w:cs="宋体"/>
                <w:kern w:val="0"/>
                <w:sz w:val="22"/>
              </w:rPr>
              <w:t>10.支持面板Lock锁定功能，防止人为误操作；</w:t>
            </w:r>
            <w:r>
              <w:rPr>
                <w:rFonts w:hint="eastAsia" w:ascii="宋体" w:hAnsi="宋体" w:cs="宋体"/>
                <w:kern w:val="0"/>
                <w:sz w:val="22"/>
              </w:rPr>
              <w:br w:type="textWrapping"/>
            </w:r>
            <w:r>
              <w:rPr>
                <w:rFonts w:hint="eastAsia" w:ascii="宋体" w:hAnsi="宋体" w:cs="宋体"/>
                <w:kern w:val="0"/>
                <w:sz w:val="22"/>
              </w:rPr>
              <w:t>11.每路动作延时时间：0-999s；</w:t>
            </w:r>
            <w:r>
              <w:rPr>
                <w:rFonts w:hint="eastAsia" w:ascii="宋体" w:hAnsi="宋体" w:cs="宋体"/>
                <w:kern w:val="0"/>
                <w:sz w:val="22"/>
              </w:rPr>
              <w:br w:type="textWrapping"/>
            </w:r>
            <w:r>
              <w:rPr>
                <w:rFonts w:hint="eastAsia" w:ascii="宋体" w:hAnsi="宋体" w:cs="宋体"/>
                <w:kern w:val="0"/>
                <w:sz w:val="22"/>
              </w:rPr>
              <w:t>12.电源输出接口：支持≥6路多功能插座；</w:t>
            </w:r>
            <w:r>
              <w:rPr>
                <w:rFonts w:hint="eastAsia" w:ascii="宋体" w:hAnsi="宋体" w:cs="宋体"/>
                <w:kern w:val="0"/>
                <w:sz w:val="22"/>
              </w:rPr>
              <w:br w:type="textWrapping"/>
            </w:r>
            <w:r>
              <w:rPr>
                <w:rFonts w:hint="eastAsia" w:ascii="宋体" w:hAnsi="宋体" w:cs="宋体"/>
                <w:kern w:val="0"/>
                <w:sz w:val="22"/>
              </w:rPr>
              <w:t>13.支持单路额定输出电流：15A；</w:t>
            </w:r>
            <w:r>
              <w:rPr>
                <w:rFonts w:hint="eastAsia" w:ascii="宋体" w:hAnsi="宋体" w:cs="宋体"/>
                <w:kern w:val="0"/>
                <w:sz w:val="22"/>
              </w:rPr>
              <w:br w:type="textWrapping"/>
            </w:r>
            <w:r>
              <w:rPr>
                <w:rFonts w:hint="eastAsia" w:ascii="宋体" w:hAnsi="宋体" w:cs="宋体"/>
                <w:kern w:val="0"/>
                <w:sz w:val="22"/>
              </w:rPr>
              <w:t>14.支持额定总输出电流：30A；</w:t>
            </w:r>
            <w:r>
              <w:rPr>
                <w:rFonts w:hint="eastAsia" w:ascii="宋体" w:hAnsi="宋体" w:cs="宋体"/>
                <w:kern w:val="0"/>
                <w:sz w:val="22"/>
              </w:rPr>
              <w:br w:type="textWrapping"/>
            </w:r>
            <w:r>
              <w:rPr>
                <w:rFonts w:hint="eastAsia" w:ascii="宋体" w:hAnsi="宋体" w:cs="宋体"/>
                <w:kern w:val="0"/>
                <w:sz w:val="22"/>
              </w:rPr>
              <w:t>15.控制输入：支持≥1路RS232串口；</w:t>
            </w:r>
          </w:p>
        </w:tc>
      </w:tr>
      <w:tr w14:paraId="62DC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5865CE59">
            <w:pPr>
              <w:widowControl/>
              <w:jc w:val="center"/>
              <w:rPr>
                <w:rFonts w:ascii="宋体" w:hAnsi="宋体" w:cs="宋体"/>
                <w:kern w:val="0"/>
                <w:sz w:val="22"/>
              </w:rPr>
            </w:pPr>
            <w:r>
              <w:rPr>
                <w:rFonts w:hint="eastAsia" w:ascii="宋体" w:hAnsi="宋体" w:cs="宋体"/>
                <w:kern w:val="0"/>
                <w:sz w:val="22"/>
              </w:rPr>
              <w:t>资源管理平台应用系统</w:t>
            </w:r>
          </w:p>
        </w:tc>
        <w:tc>
          <w:tcPr>
            <w:tcW w:w="7654" w:type="dxa"/>
            <w:tcBorders>
              <w:tl2br w:val="nil"/>
              <w:tr2bl w:val="nil"/>
            </w:tcBorders>
            <w:shd w:val="clear" w:color="000000" w:fill="FFFFFF"/>
            <w:vAlign w:val="center"/>
          </w:tcPr>
          <w:p w14:paraId="15845202">
            <w:pPr>
              <w:widowControl/>
              <w:numPr>
                <w:ilvl w:val="0"/>
                <w:numId w:val="4"/>
              </w:numPr>
              <w:jc w:val="left"/>
              <w:rPr>
                <w:rFonts w:ascii="宋体" w:hAnsi="宋体"/>
                <w:b/>
                <w:bCs/>
                <w:kern w:val="0"/>
                <w:sz w:val="22"/>
              </w:rPr>
            </w:pPr>
            <w:r>
              <w:rPr>
                <w:rFonts w:hint="eastAsia" w:ascii="宋体" w:hAnsi="宋体"/>
                <w:kern w:val="0"/>
                <w:sz w:val="22"/>
              </w:rPr>
              <w:t>直录播资源管理</w:t>
            </w:r>
            <w:r>
              <w:rPr>
                <w:rFonts w:hint="eastAsia" w:ascii="宋体" w:hAnsi="宋体"/>
                <w:kern w:val="0"/>
                <w:sz w:val="22"/>
              </w:rPr>
              <w:br w:type="textWrapping"/>
            </w:r>
            <w:r>
              <w:rPr>
                <w:rFonts w:hint="eastAsia" w:ascii="宋体" w:hAnsi="宋体"/>
                <w:kern w:val="0"/>
                <w:sz w:val="22"/>
              </w:rPr>
              <w:t>1.支持通过公众号提醒或短信提醒等方式向教师推送上课通知；</w:t>
            </w:r>
            <w:r>
              <w:rPr>
                <w:rFonts w:hint="eastAsia" w:ascii="宋体" w:hAnsi="宋体"/>
                <w:kern w:val="0"/>
                <w:sz w:val="22"/>
              </w:rPr>
              <w:br w:type="textWrapping"/>
            </w:r>
            <w:r>
              <w:rPr>
                <w:rFonts w:hint="eastAsia" w:ascii="宋体" w:hAnsi="宋体"/>
                <w:kern w:val="0"/>
                <w:sz w:val="22"/>
              </w:rPr>
              <w:t xml:space="preserve">2.支持按照学科、学期进行录播课程分类；支持按照时间、主讲教师、课程标题等进行资源查看； </w:t>
            </w:r>
            <w:r>
              <w:rPr>
                <w:rFonts w:hint="eastAsia" w:ascii="宋体" w:hAnsi="宋体"/>
                <w:kern w:val="0"/>
                <w:sz w:val="22"/>
              </w:rPr>
              <w:br w:type="textWrapping"/>
            </w:r>
            <w:r>
              <w:rPr>
                <w:rFonts w:hint="eastAsia" w:ascii="宋体" w:hAnsi="宋体"/>
                <w:kern w:val="0"/>
                <w:sz w:val="22"/>
              </w:rPr>
              <w:t xml:space="preserve">3.支持根据个人需求，灵活定制课程录制策略，支持是否开启录制、录制画面选择，视频评论是否开启，支持课程加密； </w:t>
            </w:r>
            <w:r>
              <w:rPr>
                <w:rFonts w:hint="eastAsia" w:ascii="宋体" w:hAnsi="宋体"/>
                <w:kern w:val="0"/>
                <w:sz w:val="22"/>
              </w:rPr>
              <w:br w:type="textWrapping"/>
            </w:r>
            <w:r>
              <w:rPr>
                <w:rFonts w:hint="eastAsia" w:ascii="宋体" w:hAnsi="宋体"/>
                <w:kern w:val="0"/>
                <w:sz w:val="22"/>
              </w:rPr>
              <w:t>4.支持查询直播课程，可以按照时间、标题查找直播课程进行观看；</w:t>
            </w:r>
            <w:r>
              <w:rPr>
                <w:rFonts w:hint="eastAsia" w:ascii="宋体" w:hAnsi="宋体"/>
                <w:kern w:val="0"/>
                <w:sz w:val="22"/>
              </w:rPr>
              <w:br w:type="textWrapping"/>
            </w:r>
            <w:r>
              <w:rPr>
                <w:rFonts w:hint="eastAsia" w:ascii="宋体" w:hAnsi="宋体"/>
                <w:kern w:val="0"/>
                <w:sz w:val="22"/>
              </w:rPr>
              <w:t xml:space="preserve">5.支持按照多种维度进行直播课程排序与筛选，如：正在直播、即将开始、直播回放、最热直播课、最新直播课等； </w:t>
            </w:r>
            <w:r>
              <w:rPr>
                <w:rFonts w:hint="eastAsia" w:ascii="宋体" w:hAnsi="宋体"/>
                <w:kern w:val="0"/>
                <w:sz w:val="22"/>
              </w:rPr>
              <w:br w:type="textWrapping"/>
            </w:r>
            <w:r>
              <w:rPr>
                <w:rFonts w:hint="eastAsia" w:ascii="宋体" w:hAnsi="宋体"/>
                <w:kern w:val="0"/>
                <w:sz w:val="22"/>
              </w:rPr>
              <w:t>6.支持通过二维码、QQ、微博或微信等多种方式一键分享；</w:t>
            </w:r>
            <w:r>
              <w:rPr>
                <w:rFonts w:hint="eastAsia" w:ascii="宋体" w:hAnsi="宋体"/>
                <w:kern w:val="0"/>
                <w:sz w:val="22"/>
              </w:rPr>
              <w:br w:type="textWrapping"/>
            </w:r>
            <w:r>
              <w:rPr>
                <w:rFonts w:hint="eastAsia" w:ascii="宋体" w:hAnsi="宋体"/>
                <w:kern w:val="0"/>
                <w:sz w:val="22"/>
              </w:rPr>
              <w:t>7.▲支持多路视频观看模式，可自由切换四分屏、三分屏、两分屏、单画面模式，可通过鼠标拖拽画面的方式自定义调整布局；</w:t>
            </w:r>
            <w:r>
              <w:rPr>
                <w:rFonts w:hint="eastAsia" w:ascii="宋体" w:hAnsi="宋体"/>
                <w:b/>
                <w:bCs/>
                <w:kern w:val="0"/>
                <w:sz w:val="22"/>
              </w:rPr>
              <w:t>（响应时提供权威机构检测报告扫描件佐证）</w:t>
            </w:r>
          </w:p>
          <w:p w14:paraId="0D45D660">
            <w:pPr>
              <w:widowControl/>
              <w:numPr>
                <w:ilvl w:val="0"/>
                <w:numId w:val="4"/>
              </w:numPr>
              <w:jc w:val="left"/>
              <w:rPr>
                <w:rFonts w:ascii="宋体" w:hAnsi="宋体"/>
                <w:b/>
                <w:bCs/>
                <w:kern w:val="0"/>
                <w:sz w:val="22"/>
              </w:rPr>
            </w:pPr>
            <w:r>
              <w:rPr>
                <w:rFonts w:hint="eastAsia" w:ascii="宋体" w:hAnsi="宋体"/>
                <w:kern w:val="0"/>
                <w:sz w:val="22"/>
              </w:rPr>
              <w:t>8.支持弹幕功能，支持观看人数的统计，支持在线签到、查看在线学生名单、在线答题等互动功能；</w:t>
            </w:r>
            <w:r>
              <w:rPr>
                <w:rFonts w:hint="eastAsia" w:ascii="宋体" w:hAnsi="宋体"/>
                <w:kern w:val="0"/>
                <w:sz w:val="22"/>
              </w:rPr>
              <w:br w:type="textWrapping"/>
            </w:r>
            <w:r>
              <w:rPr>
                <w:rFonts w:hint="eastAsia" w:ascii="宋体" w:hAnsi="宋体"/>
                <w:kern w:val="0"/>
                <w:sz w:val="22"/>
              </w:rPr>
              <w:t>9.支持设置直播课程观看密码；</w:t>
            </w:r>
            <w:r>
              <w:rPr>
                <w:rFonts w:hint="eastAsia" w:ascii="宋体" w:hAnsi="宋体"/>
                <w:kern w:val="0"/>
                <w:sz w:val="22"/>
              </w:rPr>
              <w:br w:type="textWrapping"/>
            </w:r>
            <w:r>
              <w:rPr>
                <w:rFonts w:hint="eastAsia" w:ascii="宋体" w:hAnsi="宋体"/>
                <w:kern w:val="0"/>
                <w:sz w:val="22"/>
              </w:rPr>
              <w:t>10.支持根据服务器承载能力或活动需求设定在线观看直播的最大人数；</w:t>
            </w:r>
            <w:r>
              <w:rPr>
                <w:rFonts w:hint="eastAsia" w:ascii="宋体" w:hAnsi="宋体"/>
                <w:kern w:val="0"/>
                <w:sz w:val="22"/>
              </w:rPr>
              <w:br w:type="textWrapping"/>
            </w:r>
            <w:r>
              <w:rPr>
                <w:rFonts w:hint="eastAsia" w:ascii="宋体" w:hAnsi="宋体"/>
                <w:kern w:val="0"/>
                <w:sz w:val="22"/>
              </w:rPr>
              <w:t>11.为提高资源的有效利用和检索便利性，支持按照教学资源的不同属性进行分类；</w:t>
            </w:r>
            <w:r>
              <w:rPr>
                <w:rFonts w:hint="eastAsia" w:ascii="宋体" w:hAnsi="宋体"/>
                <w:kern w:val="0"/>
                <w:sz w:val="22"/>
              </w:rPr>
              <w:br w:type="textWrapping"/>
            </w:r>
            <w:r>
              <w:rPr>
                <w:rFonts w:hint="eastAsia" w:ascii="宋体" w:hAnsi="宋体"/>
                <w:kern w:val="0"/>
                <w:sz w:val="22"/>
              </w:rPr>
              <w:t xml:space="preserve">12.支持对资源状态进行修改，如公开、不公开等； </w:t>
            </w:r>
            <w:r>
              <w:rPr>
                <w:rFonts w:hint="eastAsia" w:ascii="宋体" w:hAnsi="宋体"/>
                <w:kern w:val="0"/>
                <w:sz w:val="22"/>
              </w:rPr>
              <w:br w:type="textWrapping"/>
            </w:r>
            <w:r>
              <w:rPr>
                <w:rFonts w:hint="eastAsia" w:ascii="宋体" w:hAnsi="宋体"/>
                <w:kern w:val="0"/>
                <w:sz w:val="22"/>
              </w:rPr>
              <w:t xml:space="preserve">13.支持对视频资源进行处理和优化，可进行在线编辑制作，具有剪切、删除、合成、添加片头片尾等功能； </w:t>
            </w:r>
            <w:r>
              <w:rPr>
                <w:rFonts w:hint="eastAsia" w:ascii="宋体" w:hAnsi="宋体"/>
                <w:kern w:val="0"/>
                <w:sz w:val="22"/>
              </w:rPr>
              <w:br w:type="textWrapping"/>
            </w:r>
            <w:r>
              <w:rPr>
                <w:rFonts w:hint="eastAsia" w:ascii="宋体" w:hAnsi="宋体"/>
                <w:kern w:val="0"/>
                <w:sz w:val="22"/>
              </w:rPr>
              <w:t>14.支持上传标准格式教学文档，并支持关联对应的视频资源；</w:t>
            </w:r>
            <w:r>
              <w:rPr>
                <w:rFonts w:hint="eastAsia" w:ascii="宋体" w:hAnsi="宋体"/>
                <w:kern w:val="0"/>
                <w:sz w:val="22"/>
              </w:rPr>
              <w:br w:type="textWrapping"/>
            </w:r>
            <w:r>
              <w:rPr>
                <w:rFonts w:hint="eastAsia" w:ascii="宋体" w:hAnsi="宋体"/>
                <w:kern w:val="0"/>
                <w:sz w:val="22"/>
              </w:rPr>
              <w:t>15.支持上传本地视频、第三方视频的地址，支持自动提取视频地址中的资源；</w:t>
            </w:r>
            <w:r>
              <w:rPr>
                <w:rFonts w:hint="eastAsia" w:ascii="宋体" w:hAnsi="宋体"/>
                <w:kern w:val="0"/>
                <w:sz w:val="22"/>
              </w:rPr>
              <w:br w:type="textWrapping"/>
            </w:r>
            <w:r>
              <w:rPr>
                <w:rFonts w:hint="eastAsia" w:ascii="宋体" w:hAnsi="宋体"/>
                <w:kern w:val="0"/>
                <w:sz w:val="22"/>
              </w:rPr>
              <w:t>16.为确保资源在有限存储空间内高效保存，支持设置存储上限阈值，达到设定阈值后自动删除时间最早的视频资源，也可设置定期删除机制；</w:t>
            </w:r>
            <w:r>
              <w:rPr>
                <w:rFonts w:hint="eastAsia" w:ascii="宋体" w:hAnsi="宋体"/>
                <w:kern w:val="0"/>
                <w:sz w:val="22"/>
              </w:rPr>
              <w:br w:type="textWrapping"/>
            </w:r>
            <w:r>
              <w:rPr>
                <w:rFonts w:hint="eastAsia" w:ascii="宋体" w:hAnsi="宋体"/>
                <w:kern w:val="0"/>
                <w:sz w:val="22"/>
              </w:rPr>
              <w:t>二、平台管理</w:t>
            </w:r>
            <w:r>
              <w:rPr>
                <w:rFonts w:hint="eastAsia" w:ascii="宋体" w:hAnsi="宋体"/>
                <w:kern w:val="0"/>
                <w:sz w:val="22"/>
              </w:rPr>
              <w:br w:type="textWrapping"/>
            </w:r>
            <w:r>
              <w:rPr>
                <w:rFonts w:hint="eastAsia" w:ascii="宋体" w:hAnsi="宋体"/>
                <w:kern w:val="0"/>
                <w:sz w:val="22"/>
              </w:rPr>
              <w:t>1.角色管理：支持学校管理员创建角色，并为角色进行权限设定；包含功能操作权限和数据范围权限；支持查询角色下的用户列表；</w:t>
            </w:r>
            <w:r>
              <w:rPr>
                <w:rFonts w:hint="eastAsia" w:ascii="宋体" w:hAnsi="宋体"/>
                <w:kern w:val="0"/>
                <w:sz w:val="22"/>
              </w:rPr>
              <w:br w:type="textWrapping"/>
            </w:r>
            <w:r>
              <w:rPr>
                <w:rFonts w:hint="eastAsia" w:ascii="宋体" w:hAnsi="宋体"/>
                <w:kern w:val="0"/>
                <w:sz w:val="22"/>
              </w:rPr>
              <w:t>2.用户管理：支持修改用户角色，支持不同的权限；</w:t>
            </w:r>
            <w:r>
              <w:rPr>
                <w:rFonts w:hint="eastAsia" w:ascii="宋体" w:hAnsi="宋体"/>
                <w:kern w:val="0"/>
                <w:sz w:val="22"/>
              </w:rPr>
              <w:br w:type="textWrapping"/>
            </w:r>
            <w:r>
              <w:rPr>
                <w:rFonts w:hint="eastAsia" w:ascii="宋体" w:hAnsi="宋体"/>
                <w:kern w:val="0"/>
                <w:sz w:val="22"/>
              </w:rPr>
              <w:t>3.师生管理：支持对师生信息的管理维护，如基本信息、登录密码、所属班级、学科、组织结构等信息填写，支持通过Excel导入教师信息；</w:t>
            </w:r>
            <w:r>
              <w:rPr>
                <w:rFonts w:hint="eastAsia" w:ascii="宋体" w:hAnsi="宋体"/>
                <w:kern w:val="0"/>
                <w:sz w:val="22"/>
              </w:rPr>
              <w:br w:type="textWrapping"/>
            </w:r>
            <w:r>
              <w:rPr>
                <w:rFonts w:hint="eastAsia" w:ascii="宋体" w:hAnsi="宋体"/>
                <w:kern w:val="0"/>
                <w:sz w:val="22"/>
              </w:rPr>
              <w:t>4.教室管理：支持对教室信息的管理与维护，包含教室名称、所属教学楼及楼层等；支持教室信息的导入功能；</w:t>
            </w:r>
            <w:r>
              <w:rPr>
                <w:rFonts w:hint="eastAsia" w:ascii="宋体" w:hAnsi="宋体"/>
                <w:kern w:val="0"/>
                <w:sz w:val="22"/>
              </w:rPr>
              <w:br w:type="textWrapping"/>
            </w:r>
            <w:r>
              <w:rPr>
                <w:rFonts w:hint="eastAsia" w:ascii="宋体" w:hAnsi="宋体"/>
                <w:kern w:val="0"/>
                <w:sz w:val="22"/>
              </w:rPr>
              <w:t>5.班级管理：支持新建班级，包含班级所属年级以及班级的学生名单；</w:t>
            </w:r>
            <w:r>
              <w:rPr>
                <w:rFonts w:hint="eastAsia" w:ascii="宋体" w:hAnsi="宋体"/>
                <w:kern w:val="0"/>
                <w:sz w:val="22"/>
              </w:rPr>
              <w:br w:type="textWrapping"/>
            </w:r>
            <w:r>
              <w:rPr>
                <w:rFonts w:hint="eastAsia" w:ascii="宋体" w:hAnsi="宋体"/>
                <w:kern w:val="0"/>
                <w:sz w:val="22"/>
              </w:rPr>
              <w:t>6.组织机构管理：支持信息创建、修改、编辑、删除等操作；</w:t>
            </w:r>
            <w:r>
              <w:rPr>
                <w:rFonts w:hint="eastAsia" w:ascii="宋体" w:hAnsi="宋体"/>
                <w:kern w:val="0"/>
                <w:sz w:val="22"/>
              </w:rPr>
              <w:br w:type="textWrapping"/>
            </w:r>
            <w:r>
              <w:rPr>
                <w:rFonts w:hint="eastAsia" w:ascii="宋体" w:hAnsi="宋体"/>
                <w:kern w:val="0"/>
                <w:sz w:val="22"/>
              </w:rPr>
              <w:t>7.课程管理：支持课程的信息管理维护，包含填写课程名称、年级、课程属性、课程状态等；支持课程封面上传；支持填写课程简介；</w:t>
            </w:r>
            <w:r>
              <w:rPr>
                <w:rFonts w:hint="eastAsia" w:ascii="宋体" w:hAnsi="宋体"/>
                <w:kern w:val="0"/>
                <w:sz w:val="22"/>
              </w:rPr>
              <w:br w:type="textWrapping"/>
            </w:r>
            <w:r>
              <w:rPr>
                <w:rFonts w:hint="eastAsia" w:ascii="宋体" w:hAnsi="宋体"/>
                <w:kern w:val="0"/>
                <w:sz w:val="22"/>
              </w:rPr>
              <w:t>8.存储管理：视频资源储存地址信息，对存储的资源进行统一管理，实时查看存储空间剩余容量；</w:t>
            </w:r>
            <w:r>
              <w:rPr>
                <w:rFonts w:hint="eastAsia" w:ascii="宋体" w:hAnsi="宋体"/>
                <w:kern w:val="0"/>
                <w:sz w:val="22"/>
              </w:rPr>
              <w:br w:type="textWrapping"/>
            </w:r>
            <w:r>
              <w:rPr>
                <w:rFonts w:hint="eastAsia" w:ascii="宋体" w:hAnsi="宋体"/>
                <w:kern w:val="0"/>
                <w:sz w:val="22"/>
              </w:rPr>
              <w:t>9.评课管理：支持评课权限管理，支持教师评分类别管理；支持学生评分类别管理；</w:t>
            </w:r>
            <w:r>
              <w:rPr>
                <w:rFonts w:hint="eastAsia" w:ascii="宋体" w:hAnsi="宋体"/>
                <w:kern w:val="0"/>
                <w:sz w:val="22"/>
              </w:rPr>
              <w:br w:type="textWrapping"/>
            </w:r>
            <w:r>
              <w:rPr>
                <w:rFonts w:hint="eastAsia" w:ascii="宋体" w:hAnsi="宋体"/>
                <w:kern w:val="0"/>
                <w:sz w:val="22"/>
              </w:rPr>
              <w:t>10.公告管理：支持发布系统公告；创建公告类别，编写公告内容；</w:t>
            </w:r>
            <w:r>
              <w:rPr>
                <w:rFonts w:hint="eastAsia" w:ascii="宋体" w:hAnsi="宋体"/>
                <w:kern w:val="0"/>
                <w:sz w:val="22"/>
              </w:rPr>
              <w:br w:type="textWrapping"/>
            </w:r>
            <w:r>
              <w:rPr>
                <w:rFonts w:hint="eastAsia" w:ascii="宋体" w:hAnsi="宋体"/>
                <w:kern w:val="0"/>
                <w:sz w:val="22"/>
              </w:rPr>
              <w:t>11.存储管理：支持存储空间的新建与删除功能，支持将已有的存储服务器进行绑定，可设置存储服务器共享功能；</w:t>
            </w:r>
            <w:r>
              <w:rPr>
                <w:rFonts w:hint="eastAsia" w:ascii="宋体" w:hAnsi="宋体"/>
                <w:kern w:val="0"/>
                <w:sz w:val="22"/>
              </w:rPr>
              <w:br w:type="textWrapping"/>
            </w:r>
            <w:r>
              <w:rPr>
                <w:rFonts w:hint="eastAsia" w:ascii="宋体" w:hAnsi="宋体"/>
                <w:kern w:val="0"/>
                <w:sz w:val="22"/>
              </w:rPr>
              <w:t>三、个人空间</w:t>
            </w:r>
            <w:r>
              <w:rPr>
                <w:rFonts w:hint="eastAsia" w:ascii="宋体" w:hAnsi="宋体"/>
                <w:kern w:val="0"/>
                <w:sz w:val="22"/>
              </w:rPr>
              <w:br w:type="textWrapping"/>
            </w:r>
            <w:r>
              <w:rPr>
                <w:rFonts w:hint="eastAsia" w:ascii="宋体" w:hAnsi="宋体"/>
                <w:kern w:val="0"/>
                <w:sz w:val="22"/>
              </w:rPr>
              <w:t>1.支持教师个人主页功能，支持查看教师所在的学校、职称、简介、课程、所属班级学生信息等相关数据；</w:t>
            </w:r>
            <w:r>
              <w:rPr>
                <w:rFonts w:hint="eastAsia" w:ascii="宋体" w:hAnsi="宋体"/>
                <w:kern w:val="0"/>
                <w:sz w:val="22"/>
              </w:rPr>
              <w:br w:type="textWrapping"/>
            </w:r>
            <w:r>
              <w:rPr>
                <w:rFonts w:hint="eastAsia" w:ascii="宋体" w:hAnsi="宋体"/>
                <w:kern w:val="0"/>
                <w:sz w:val="22"/>
              </w:rPr>
              <w:t xml:space="preserve">2.支持查看每学期课程的详细报告，支持查看访问总人数、直录播课程建设、课程完成度统计，支持查看单个学科的师生出勤详情、行为分析数据与课程评价统计数据，并进行数据展示； </w:t>
            </w:r>
            <w:r>
              <w:rPr>
                <w:rFonts w:hint="eastAsia" w:ascii="宋体" w:hAnsi="宋体"/>
                <w:kern w:val="0"/>
                <w:sz w:val="22"/>
              </w:rPr>
              <w:br w:type="textWrapping"/>
            </w:r>
            <w:r>
              <w:rPr>
                <w:rFonts w:hint="eastAsia" w:ascii="宋体" w:hAnsi="宋体"/>
                <w:kern w:val="0"/>
                <w:sz w:val="22"/>
              </w:rPr>
              <w:t>3.支持查看本学期所有课表信息；</w:t>
            </w:r>
            <w:r>
              <w:rPr>
                <w:rFonts w:hint="eastAsia" w:ascii="宋体" w:hAnsi="宋体"/>
                <w:kern w:val="0"/>
                <w:sz w:val="22"/>
              </w:rPr>
              <w:br w:type="textWrapping"/>
            </w:r>
            <w:r>
              <w:rPr>
                <w:rFonts w:hint="eastAsia" w:ascii="宋体" w:hAnsi="宋体"/>
                <w:kern w:val="0"/>
                <w:sz w:val="22"/>
              </w:rPr>
              <w:t>4.支持查看班级学生名单，支持统计单个学生本学期的直录播观看时长、互动详情等信息；</w:t>
            </w:r>
            <w:r>
              <w:rPr>
                <w:rFonts w:hint="eastAsia" w:ascii="宋体" w:hAnsi="宋体"/>
                <w:kern w:val="0"/>
                <w:sz w:val="22"/>
              </w:rPr>
              <w:br w:type="textWrapping"/>
            </w:r>
            <w:r>
              <w:rPr>
                <w:rFonts w:hint="eastAsia" w:ascii="宋体" w:hAnsi="宋体"/>
                <w:kern w:val="0"/>
                <w:sz w:val="22"/>
              </w:rPr>
              <w:t>5.▲支持按照每学期、标题、课程、主讲等多种维度查看每个学生直录播课程的首次观看时间、最后观看时间、观看进度、总观看时长、观看次数等历史记录；</w:t>
            </w:r>
            <w:r>
              <w:rPr>
                <w:rFonts w:hint="eastAsia" w:ascii="宋体" w:hAnsi="宋体"/>
                <w:b/>
                <w:bCs/>
                <w:kern w:val="0"/>
                <w:sz w:val="22"/>
              </w:rPr>
              <w:t>（响应时提供功能界面截图佐证）</w:t>
            </w:r>
            <w:r>
              <w:rPr>
                <w:rFonts w:hint="eastAsia" w:ascii="宋体" w:hAnsi="宋体"/>
                <w:b/>
                <w:bCs/>
                <w:kern w:val="0"/>
                <w:sz w:val="22"/>
              </w:rPr>
              <w:br w:type="textWrapping"/>
            </w:r>
            <w:r>
              <w:rPr>
                <w:rFonts w:hint="eastAsia" w:ascii="宋体" w:hAnsi="宋体"/>
                <w:kern w:val="0"/>
                <w:sz w:val="22"/>
              </w:rPr>
              <w:t>四、数据统计</w:t>
            </w:r>
            <w:r>
              <w:rPr>
                <w:rFonts w:hint="eastAsia" w:ascii="宋体" w:hAnsi="宋体"/>
                <w:kern w:val="0"/>
                <w:sz w:val="22"/>
              </w:rPr>
              <w:br w:type="textWrapping"/>
            </w:r>
            <w:r>
              <w:rPr>
                <w:rFonts w:hint="eastAsia" w:ascii="宋体" w:hAnsi="宋体"/>
                <w:kern w:val="0"/>
                <w:sz w:val="22"/>
              </w:rPr>
              <w:t>1.直播点播统计：支持查看每个直播、点播观看详情、观看名单、状态时长、观看量等，并支持导出全部统计数据；</w:t>
            </w:r>
            <w:r>
              <w:rPr>
                <w:rFonts w:hint="eastAsia" w:ascii="宋体" w:hAnsi="宋体"/>
                <w:kern w:val="0"/>
                <w:sz w:val="22"/>
              </w:rPr>
              <w:br w:type="textWrapping"/>
            </w:r>
            <w:r>
              <w:rPr>
                <w:rFonts w:hint="eastAsia" w:ascii="宋体" w:hAnsi="宋体"/>
                <w:kern w:val="0"/>
                <w:sz w:val="22"/>
              </w:rPr>
              <w:t>2.平台访问统计：支持查看平台访问日志，访问账号、IP、时间等，并且可以导出全部统计数据；</w:t>
            </w:r>
            <w:r>
              <w:rPr>
                <w:rFonts w:hint="eastAsia" w:ascii="宋体" w:hAnsi="宋体"/>
                <w:kern w:val="0"/>
                <w:sz w:val="22"/>
              </w:rPr>
              <w:br w:type="textWrapping"/>
            </w:r>
            <w:r>
              <w:rPr>
                <w:rFonts w:hint="eastAsia" w:ascii="宋体" w:hAnsi="宋体"/>
                <w:kern w:val="0"/>
                <w:sz w:val="22"/>
              </w:rPr>
              <w:t>3.教室运行状态：支持显示教室的运行状态，支持查看每个教室的直录播时长；支持实时检测教师画面、学生画面、屏幕画面、全景画面的录制状态；</w:t>
            </w:r>
            <w:r>
              <w:rPr>
                <w:rFonts w:hint="eastAsia" w:ascii="宋体" w:hAnsi="宋体"/>
                <w:kern w:val="0"/>
                <w:sz w:val="22"/>
              </w:rPr>
              <w:br w:type="textWrapping"/>
            </w:r>
            <w:r>
              <w:rPr>
                <w:rFonts w:hint="eastAsia" w:ascii="宋体" w:hAnsi="宋体"/>
                <w:kern w:val="0"/>
                <w:sz w:val="22"/>
              </w:rPr>
              <w:t>4.▲平台访问统计：支持查看用户访问平台的具体数据，包括但不限于登录ID、姓名、IP地址、访问设备类型、每次访问的具体时间与时长等详细信息；所有数据支持以表格形式导出，方便进行进一步的数据分析、存档和报告制作；支持统计用户累计登录次数，以及当日登录次数的数据展示，帮助管理者了解用户活跃度及使用习惯；</w:t>
            </w:r>
            <w:r>
              <w:rPr>
                <w:rFonts w:hint="eastAsia" w:ascii="宋体" w:hAnsi="宋体"/>
                <w:b/>
                <w:bCs/>
                <w:kern w:val="0"/>
                <w:sz w:val="22"/>
              </w:rPr>
              <w:t xml:space="preserve"> （响应时提供功能界面截图佐证）</w:t>
            </w:r>
            <w:r>
              <w:rPr>
                <w:rFonts w:hint="eastAsia" w:ascii="宋体" w:hAnsi="宋体"/>
                <w:b/>
                <w:bCs/>
                <w:kern w:val="0"/>
                <w:sz w:val="22"/>
              </w:rPr>
              <w:br w:type="textWrapping"/>
            </w:r>
            <w:r>
              <w:rPr>
                <w:rFonts w:hint="eastAsia" w:ascii="宋体" w:hAnsi="宋体"/>
                <w:kern w:val="0"/>
                <w:sz w:val="22"/>
              </w:rPr>
              <w:t>5.巡课统计：支持查看教师的累次巡课次数、累计巡课时长、当日巡课次数、当日巡课时长、所用巡课终端等信息；支持查看单个教师的巡课日志；支持导出巡课记录；</w:t>
            </w:r>
            <w:r>
              <w:rPr>
                <w:rFonts w:hint="eastAsia" w:ascii="宋体" w:hAnsi="宋体"/>
                <w:kern w:val="0"/>
                <w:sz w:val="22"/>
              </w:rPr>
              <w:br w:type="textWrapping"/>
            </w:r>
            <w:r>
              <w:rPr>
                <w:rFonts w:hint="eastAsia" w:ascii="宋体" w:hAnsi="宋体"/>
                <w:kern w:val="0"/>
                <w:sz w:val="22"/>
              </w:rPr>
              <w:t>6.数据推送：为方便教师及时获取和管理教学数据，支持将各类教学数据通过邮箱、公众号等渠道周期性推送至教师，教师可以随时获取最新的教学数据，有效提升教学质量与效率；</w:t>
            </w:r>
            <w:r>
              <w:rPr>
                <w:rFonts w:hint="eastAsia" w:ascii="宋体" w:hAnsi="宋体"/>
                <w:kern w:val="0"/>
                <w:sz w:val="22"/>
              </w:rPr>
              <w:br w:type="textWrapping"/>
            </w:r>
            <w:r>
              <w:rPr>
                <w:rFonts w:hint="eastAsia" w:ascii="宋体" w:hAnsi="宋体"/>
                <w:kern w:val="0"/>
                <w:sz w:val="22"/>
              </w:rPr>
              <w:t>五、数字化数据统计</w:t>
            </w:r>
            <w:r>
              <w:rPr>
                <w:rFonts w:hint="eastAsia" w:ascii="宋体" w:hAnsi="宋体"/>
                <w:kern w:val="0"/>
                <w:sz w:val="22"/>
              </w:rPr>
              <w:br w:type="textWrapping"/>
            </w:r>
            <w:r>
              <w:rPr>
                <w:rFonts w:hint="eastAsia" w:ascii="宋体" w:hAnsi="宋体"/>
                <w:kern w:val="0"/>
                <w:sz w:val="22"/>
              </w:rPr>
              <w:t>1.考勤统计：支持以视图表的方式显示每节课师生考勤分析内容；</w:t>
            </w:r>
            <w:r>
              <w:rPr>
                <w:rFonts w:hint="eastAsia" w:ascii="宋体" w:hAnsi="宋体"/>
                <w:kern w:val="0"/>
                <w:sz w:val="22"/>
              </w:rPr>
              <w:br w:type="textWrapping"/>
            </w:r>
            <w:r>
              <w:rPr>
                <w:rFonts w:hint="eastAsia" w:ascii="宋体" w:hAnsi="宋体"/>
                <w:kern w:val="0"/>
                <w:sz w:val="22"/>
              </w:rPr>
              <w:t>2.学生考勤：为便于教务人员精准了解学生出勤动态，支持按课表查看学生考勤详情；支持查看单节课的考勤详情；支持以报表的形式导出考勤数据；</w:t>
            </w:r>
            <w:r>
              <w:rPr>
                <w:rFonts w:hint="eastAsia" w:ascii="宋体" w:hAnsi="宋体"/>
                <w:kern w:val="0"/>
                <w:sz w:val="22"/>
              </w:rPr>
              <w:br w:type="textWrapping"/>
            </w:r>
            <w:r>
              <w:rPr>
                <w:rFonts w:hint="eastAsia" w:ascii="宋体" w:hAnsi="宋体"/>
                <w:kern w:val="0"/>
                <w:sz w:val="22"/>
              </w:rPr>
              <w:t>3.教师考勤：为便于学校对教师的日常表现进行量化评价，支持查看每个课程的考勤详情；</w:t>
            </w:r>
            <w:r>
              <w:rPr>
                <w:rFonts w:hint="eastAsia" w:ascii="宋体" w:hAnsi="宋体"/>
                <w:kern w:val="0"/>
                <w:sz w:val="22"/>
              </w:rPr>
              <w:br w:type="textWrapping"/>
            </w:r>
            <w:r>
              <w:rPr>
                <w:rFonts w:hint="eastAsia" w:ascii="宋体" w:hAnsi="宋体"/>
                <w:kern w:val="0"/>
                <w:sz w:val="22"/>
              </w:rPr>
              <w:t>4.教学异常预警：支持查看所有教师的出勤状态与得分，支持实时显示每个课程的早退时长与迟到时长；为保证数据的准确性与公正性，支持对课堂进行全程录像存储，并支持便捷的课堂回放功能；</w:t>
            </w:r>
            <w:r>
              <w:rPr>
                <w:rFonts w:hint="eastAsia" w:ascii="宋体" w:hAnsi="宋体"/>
                <w:kern w:val="0"/>
                <w:sz w:val="22"/>
              </w:rPr>
              <w:br w:type="textWrapping"/>
            </w:r>
            <w:r>
              <w:rPr>
                <w:rFonts w:hint="eastAsia" w:ascii="宋体" w:hAnsi="宋体"/>
                <w:kern w:val="0"/>
                <w:sz w:val="22"/>
              </w:rPr>
              <w:t>5.行为分析结果显示：支持统计并呈现学生的行为数据；支持统计并呈现教师的行为数据；支持课程回放；</w:t>
            </w:r>
            <w:r>
              <w:rPr>
                <w:rFonts w:hint="eastAsia" w:ascii="宋体" w:hAnsi="宋体"/>
                <w:kern w:val="0"/>
                <w:sz w:val="22"/>
              </w:rPr>
              <w:br w:type="textWrapping"/>
            </w:r>
            <w:r>
              <w:rPr>
                <w:rFonts w:hint="eastAsia" w:ascii="宋体" w:hAnsi="宋体"/>
                <w:kern w:val="0"/>
                <w:sz w:val="22"/>
              </w:rPr>
              <w:t>六、巡课</w:t>
            </w:r>
            <w:r>
              <w:rPr>
                <w:rFonts w:hint="eastAsia" w:ascii="宋体" w:hAnsi="宋体"/>
                <w:kern w:val="0"/>
                <w:sz w:val="22"/>
              </w:rPr>
              <w:br w:type="textWrapping"/>
            </w:r>
            <w:r>
              <w:rPr>
                <w:rFonts w:hint="eastAsia" w:ascii="宋体" w:hAnsi="宋体"/>
                <w:kern w:val="0"/>
                <w:sz w:val="22"/>
              </w:rPr>
              <w:t>1.巡课权限设置：支持分权限分配管理，支持按不同校区、教学楼、课程观看巡课；筛选巡课：可进行开课教室的筛选；</w:t>
            </w:r>
            <w:r>
              <w:rPr>
                <w:rFonts w:hint="eastAsia" w:ascii="宋体" w:hAnsi="宋体"/>
                <w:kern w:val="0"/>
                <w:sz w:val="22"/>
              </w:rPr>
              <w:br w:type="textWrapping"/>
            </w:r>
            <w:r>
              <w:rPr>
                <w:rFonts w:hint="eastAsia" w:ascii="宋体" w:hAnsi="宋体"/>
                <w:kern w:val="0"/>
                <w:sz w:val="22"/>
              </w:rPr>
              <w:t>2.巡课检索：支持教室列表查看，按照教室名称、主讲教师、课程信息等条件查看；</w:t>
            </w:r>
            <w:r>
              <w:rPr>
                <w:rFonts w:hint="eastAsia" w:ascii="宋体" w:hAnsi="宋体"/>
                <w:kern w:val="0"/>
                <w:sz w:val="22"/>
              </w:rPr>
              <w:br w:type="textWrapping"/>
            </w:r>
            <w:r>
              <w:rPr>
                <w:rFonts w:hint="eastAsia" w:ascii="宋体" w:hAnsi="宋体"/>
                <w:kern w:val="0"/>
                <w:sz w:val="22"/>
              </w:rPr>
              <w:t>3.巡课方式：根据用户个人使用习惯，支持四分屏、三分屏、二分屏、单画面多种巡课模式，其中每个分屏窗口可以独立全屏幕观看；</w:t>
            </w:r>
            <w:r>
              <w:rPr>
                <w:rFonts w:hint="eastAsia" w:ascii="宋体" w:hAnsi="宋体"/>
                <w:kern w:val="0"/>
                <w:sz w:val="22"/>
              </w:rPr>
              <w:br w:type="textWrapping"/>
            </w:r>
            <w:r>
              <w:rPr>
                <w:rFonts w:hint="eastAsia" w:ascii="宋体" w:hAnsi="宋体"/>
                <w:kern w:val="0"/>
                <w:sz w:val="22"/>
              </w:rPr>
              <w:t>4.巡课水印：支持水印功能，可以防止视频被非法录制或窃取；</w:t>
            </w:r>
            <w:r>
              <w:rPr>
                <w:rFonts w:hint="eastAsia" w:ascii="宋体" w:hAnsi="宋体"/>
                <w:kern w:val="0"/>
                <w:sz w:val="22"/>
              </w:rPr>
              <w:br w:type="textWrapping"/>
            </w:r>
            <w:r>
              <w:rPr>
                <w:rFonts w:hint="eastAsia" w:ascii="宋体" w:hAnsi="宋体"/>
                <w:kern w:val="0"/>
                <w:sz w:val="22"/>
              </w:rPr>
              <w:t>5.一键分享：支持上课教室一键分享功能，被分享用户支持临时观看当前教室上课画面；</w:t>
            </w:r>
            <w:r>
              <w:rPr>
                <w:rFonts w:hint="eastAsia" w:ascii="宋体" w:hAnsi="宋体"/>
                <w:kern w:val="0"/>
                <w:sz w:val="22"/>
              </w:rPr>
              <w:br w:type="textWrapping"/>
            </w:r>
            <w:r>
              <w:rPr>
                <w:rFonts w:hint="eastAsia" w:ascii="宋体" w:hAnsi="宋体"/>
                <w:kern w:val="0"/>
                <w:sz w:val="22"/>
              </w:rPr>
              <w:t>6.课表显示：支持在巡课界面查阅当前教室本周的课表信息；</w:t>
            </w:r>
            <w:r>
              <w:rPr>
                <w:rFonts w:hint="eastAsia" w:ascii="宋体" w:hAnsi="宋体"/>
                <w:kern w:val="0"/>
                <w:sz w:val="22"/>
              </w:rPr>
              <w:br w:type="textWrapping"/>
            </w:r>
            <w:r>
              <w:rPr>
                <w:rFonts w:hint="eastAsia" w:ascii="宋体" w:hAnsi="宋体"/>
                <w:kern w:val="0"/>
                <w:sz w:val="22"/>
              </w:rPr>
              <w:t>7.远程控制：支持与前端教室中云台摄像机进行联动，配合云台摄像机支持远程对讲功能；</w:t>
            </w:r>
            <w:r>
              <w:rPr>
                <w:rFonts w:hint="eastAsia" w:ascii="宋体" w:hAnsi="宋体"/>
                <w:kern w:val="0"/>
                <w:sz w:val="22"/>
              </w:rPr>
              <w:br w:type="textWrapping"/>
            </w:r>
            <w:r>
              <w:rPr>
                <w:rFonts w:hint="eastAsia" w:ascii="宋体" w:hAnsi="宋体"/>
                <w:kern w:val="0"/>
                <w:sz w:val="22"/>
              </w:rPr>
              <w:t>8.支持在巡课过程中快速进行评课活动，支持打分评课与打点评课；评课结束后支持快速生成评价报告，满足管理者实时反馈与指导需求；</w:t>
            </w:r>
            <w:r>
              <w:rPr>
                <w:rFonts w:hint="eastAsia" w:ascii="宋体" w:hAnsi="宋体"/>
                <w:kern w:val="0"/>
                <w:sz w:val="22"/>
              </w:rPr>
              <w:br w:type="textWrapping"/>
            </w:r>
            <w:r>
              <w:rPr>
                <w:rFonts w:hint="eastAsia" w:ascii="宋体" w:hAnsi="宋体"/>
                <w:kern w:val="0"/>
                <w:sz w:val="22"/>
              </w:rPr>
              <w:t>9.▲数据排序：支持以实时电视墙（同时显示16间以上教室画面）的形式在网页端进行AI分析数据排序呈现；支持巡课线路选择，可以选择教师画面、学生画面、电脑画面按需呈现；</w:t>
            </w:r>
            <w:r>
              <w:rPr>
                <w:rFonts w:hint="eastAsia" w:ascii="宋体" w:hAnsi="宋体"/>
                <w:b/>
                <w:bCs/>
                <w:kern w:val="0"/>
                <w:sz w:val="22"/>
              </w:rPr>
              <w:t>（响应时提供权威机构检测报告扫描件佐证）</w:t>
            </w:r>
            <w:r>
              <w:rPr>
                <w:rFonts w:hint="eastAsia" w:ascii="宋体" w:hAnsi="宋体"/>
                <w:b/>
                <w:bCs/>
                <w:kern w:val="0"/>
                <w:sz w:val="22"/>
              </w:rPr>
              <w:br w:type="textWrapping"/>
            </w:r>
            <w:r>
              <w:rPr>
                <w:rFonts w:hint="eastAsia" w:ascii="宋体" w:hAnsi="宋体"/>
                <w:kern w:val="0"/>
                <w:sz w:val="22"/>
              </w:rPr>
              <w:t>10.教室排序：支持以多种AI分析维度进行教室排序，包括但不限于学生行为分析、教师行为分析、教师出勤、精准出勤率、教室权重等多种维度，方便管理者快速查看数据异常的教室；</w:t>
            </w:r>
            <w:r>
              <w:rPr>
                <w:rFonts w:hint="eastAsia" w:ascii="宋体" w:hAnsi="宋体"/>
                <w:kern w:val="0"/>
                <w:sz w:val="22"/>
              </w:rPr>
              <w:br w:type="textWrapping"/>
            </w:r>
            <w:r>
              <w:rPr>
                <w:rFonts w:hint="eastAsia" w:ascii="宋体" w:hAnsi="宋体"/>
                <w:kern w:val="0"/>
                <w:sz w:val="22"/>
              </w:rPr>
              <w:t>11.▲支持同个课程不同师生之间的课堂数据对比，课堂数据包括但不限于直播录制节次、教学资源、师生课堂行为分析、教师信息化应用统计等数据；</w:t>
            </w:r>
            <w:r>
              <w:rPr>
                <w:rFonts w:hint="eastAsia" w:ascii="宋体" w:hAnsi="宋体"/>
                <w:b/>
                <w:bCs/>
                <w:kern w:val="0"/>
                <w:sz w:val="22"/>
              </w:rPr>
              <w:t>（响应时提供权威机构检测报告扫描件佐证）</w:t>
            </w:r>
          </w:p>
          <w:p w14:paraId="5724C522">
            <w:pPr>
              <w:rPr>
                <w:b/>
                <w:bCs/>
                <w:szCs w:val="21"/>
              </w:rPr>
            </w:pPr>
            <w:r>
              <w:rPr>
                <w:rFonts w:hint="eastAsia" w:ascii="宋体" w:hAnsi="宋体"/>
                <w:kern w:val="0"/>
                <w:sz w:val="22"/>
              </w:rPr>
              <w:t>七、AI督导预警管理</w:t>
            </w:r>
            <w:r>
              <w:rPr>
                <w:rFonts w:hint="eastAsia" w:cs="Calibri"/>
                <w:b/>
                <w:bCs/>
              </w:rPr>
              <w:t>(</w:t>
            </w:r>
            <w:r>
              <w:rPr>
                <w:rFonts w:hint="eastAsia" w:ascii="宋体" w:hAnsi="宋体"/>
                <w:b/>
                <w:bCs/>
              </w:rPr>
              <w:t>响应时提供以下功能的视频演示佐证</w:t>
            </w:r>
            <w:r>
              <w:rPr>
                <w:rFonts w:hint="eastAsia" w:cs="Calibri"/>
                <w:b/>
                <w:bCs/>
              </w:rPr>
              <w:t>)</w:t>
            </w:r>
          </w:p>
          <w:p w14:paraId="40C903C9">
            <w:r>
              <w:rPr>
                <w:rFonts w:hint="eastAsia" w:cs="Calibri"/>
              </w:rPr>
              <w:t xml:space="preserve">1. </w:t>
            </w:r>
            <w:r>
              <w:rPr>
                <w:rFonts w:hint="eastAsia" w:ascii="宋体" w:hAnsi="宋体"/>
              </w:rPr>
              <w:t>课堂预警功能：按时间线展示本节课所有</w:t>
            </w:r>
            <w:r>
              <w:rPr>
                <w:rFonts w:hint="eastAsia" w:cs="Calibri"/>
              </w:rPr>
              <w:t>AI</w:t>
            </w:r>
            <w:r>
              <w:rPr>
                <w:rFonts w:hint="eastAsia" w:ascii="宋体" w:hAnsi="宋体"/>
              </w:rPr>
              <w:t>识别到的课堂异常预警，按预警类型用不同颜色区分，每个预警显示标记时间、持续时长，点击“查看视频”可直接跳转到预警发生的对应时间点，查看异常发生时的课堂画面。</w:t>
            </w:r>
          </w:p>
          <w:p w14:paraId="4BF7C24F">
            <w:r>
              <w:rPr>
                <w:rFonts w:hint="eastAsia" w:cs="Calibri"/>
              </w:rPr>
              <w:t xml:space="preserve">2. </w:t>
            </w:r>
            <w:r>
              <w:rPr>
                <w:rFonts w:hint="eastAsia" w:ascii="宋体" w:hAnsi="宋体"/>
              </w:rPr>
              <w:t>语音转写功能：自动将整节课教师与学生的语音实时转写为文字，自动提取课程核心知识点标签，支持关键词搜索快速定位内容；自动生成课堂全文摘要，总结本节课讲解的核心内容；标注语音转写准确率。</w:t>
            </w:r>
          </w:p>
          <w:p w14:paraId="3C06E9B4">
            <w:r>
              <w:rPr>
                <w:rFonts w:hint="eastAsia" w:cs="Calibri"/>
              </w:rPr>
              <w:t xml:space="preserve">3. </w:t>
            </w:r>
            <w:r>
              <w:rPr>
                <w:rFonts w:hint="eastAsia" w:ascii="宋体" w:hAnsi="宋体"/>
              </w:rPr>
              <w:t>督导评课功能：支持</w:t>
            </w:r>
            <w:r>
              <w:rPr>
                <w:rFonts w:hint="eastAsia" w:cs="Calibri"/>
              </w:rPr>
              <w:t>AI</w:t>
            </w:r>
            <w:r>
              <w:rPr>
                <w:rFonts w:hint="eastAsia" w:ascii="宋体" w:hAnsi="宋体"/>
              </w:rPr>
              <w:t>自动评课与人工督导评课双维度评分，可根据课程类型选择理论课</w:t>
            </w:r>
            <w:r>
              <w:rPr>
                <w:rFonts w:hint="eastAsia" w:cs="Calibri"/>
              </w:rPr>
              <w:t>/</w:t>
            </w:r>
            <w:r>
              <w:rPr>
                <w:rFonts w:hint="eastAsia" w:ascii="宋体" w:hAnsi="宋体"/>
              </w:rPr>
              <w:t>实践课等不同评课模板；分别展示督导总分与</w:t>
            </w:r>
            <w:r>
              <w:rPr>
                <w:rFonts w:hint="eastAsia" w:cs="Calibri"/>
              </w:rPr>
              <w:t>AI</w:t>
            </w:r>
            <w:r>
              <w:rPr>
                <w:rFonts w:hint="eastAsia" w:ascii="宋体" w:hAnsi="宋体"/>
              </w:rPr>
              <w:t>总分，支持一键查看完整评课报告；按评课维度（教师素养与态度、教学内容与设计、教学方法与艺术、教学资源与信息化等）分项展示督导打分与</w:t>
            </w:r>
            <w:r>
              <w:rPr>
                <w:rFonts w:hint="eastAsia" w:cs="Calibri"/>
              </w:rPr>
              <w:t>AI</w:t>
            </w:r>
            <w:r>
              <w:rPr>
                <w:rFonts w:hint="eastAsia" w:ascii="宋体" w:hAnsi="宋体"/>
              </w:rPr>
              <w:t>打分，支持人工修改调整评分。</w:t>
            </w:r>
          </w:p>
          <w:p w14:paraId="535760FB">
            <w:r>
              <w:rPr>
                <w:rFonts w:hint="eastAsia" w:cs="Calibri"/>
              </w:rPr>
              <w:t xml:space="preserve">4. </w:t>
            </w:r>
            <w:r>
              <w:rPr>
                <w:rFonts w:hint="eastAsia" w:ascii="宋体" w:hAnsi="宋体"/>
              </w:rPr>
              <w:t>知识点思维导图功能：自动生成本节课知识点思维导图，按课程核心模块分类梳理二级、三级知识点，用不同颜色区分知识模块，支持查看完整课程知识图谱，直观展示整门课程的知识结构体系。</w:t>
            </w:r>
          </w:p>
          <w:p w14:paraId="6DF99DFA">
            <w:r>
              <w:rPr>
                <w:rFonts w:hint="eastAsia" w:cs="Calibri"/>
              </w:rPr>
              <w:t>5.</w:t>
            </w:r>
            <w:r>
              <w:rPr>
                <w:rFonts w:hint="eastAsia" w:ascii="宋体" w:hAnsi="宋体"/>
              </w:rPr>
              <w:t>支持单节课的多画面同步回放，支持切换主显示画面，提供播放</w:t>
            </w:r>
            <w:r>
              <w:rPr>
                <w:rFonts w:hint="eastAsia" w:cs="Calibri"/>
              </w:rPr>
              <w:t>/</w:t>
            </w:r>
            <w:r>
              <w:rPr>
                <w:rFonts w:hint="eastAsia" w:ascii="宋体" w:hAnsi="宋体"/>
              </w:rPr>
              <w:t>暂停、进度条拖动、全屏等标准播放控制功能。</w:t>
            </w:r>
          </w:p>
          <w:p w14:paraId="2A00E57E">
            <w:pPr>
              <w:widowControl/>
              <w:jc w:val="left"/>
              <w:rPr>
                <w:rFonts w:ascii="宋体" w:hAnsi="宋体" w:cs="宋体"/>
                <w:kern w:val="0"/>
                <w:sz w:val="22"/>
              </w:rPr>
            </w:pPr>
          </w:p>
        </w:tc>
      </w:tr>
      <w:tr w14:paraId="7C45E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CBD908E">
            <w:pPr>
              <w:widowControl/>
              <w:jc w:val="center"/>
              <w:rPr>
                <w:rFonts w:ascii="宋体" w:hAnsi="宋体" w:cs="宋体"/>
                <w:kern w:val="0"/>
                <w:sz w:val="22"/>
              </w:rPr>
            </w:pPr>
            <w:r>
              <w:rPr>
                <w:rFonts w:hint="eastAsia" w:ascii="宋体" w:hAnsi="宋体" w:cs="宋体"/>
                <w:kern w:val="0"/>
                <w:sz w:val="22"/>
              </w:rPr>
              <w:t>直点播终端</w:t>
            </w:r>
          </w:p>
        </w:tc>
        <w:tc>
          <w:tcPr>
            <w:tcW w:w="7654" w:type="dxa"/>
            <w:tcBorders>
              <w:tl2br w:val="nil"/>
              <w:tr2bl w:val="nil"/>
            </w:tcBorders>
            <w:shd w:val="clear" w:color="000000" w:fill="FFFFFF"/>
            <w:vAlign w:val="center"/>
          </w:tcPr>
          <w:p w14:paraId="51B280E4">
            <w:pPr>
              <w:widowControl/>
              <w:jc w:val="left"/>
              <w:rPr>
                <w:rFonts w:ascii="宋体" w:hAnsi="宋体" w:cs="宋体"/>
                <w:kern w:val="0"/>
                <w:sz w:val="22"/>
              </w:rPr>
            </w:pPr>
            <w:r>
              <w:rPr>
                <w:rFonts w:hint="eastAsia" w:ascii="宋体" w:hAnsi="宋体" w:cs="宋体"/>
                <w:kern w:val="0"/>
                <w:sz w:val="22"/>
              </w:rPr>
              <w:t>1.需采用服务器级处理器；</w:t>
            </w:r>
            <w:r>
              <w:rPr>
                <w:rFonts w:hint="eastAsia" w:ascii="宋体" w:hAnsi="宋体" w:cs="宋体"/>
                <w:kern w:val="0"/>
                <w:sz w:val="22"/>
              </w:rPr>
              <w:br w:type="textWrapping"/>
            </w:r>
            <w:r>
              <w:rPr>
                <w:rFonts w:hint="eastAsia" w:ascii="宋体" w:hAnsi="宋体" w:cs="宋体"/>
                <w:kern w:val="0"/>
                <w:sz w:val="22"/>
              </w:rPr>
              <w:t>2.单颗处理器核心数≥10核，线程数≥20线程；处理器基准主频≥2.3GHz；</w:t>
            </w:r>
            <w:r>
              <w:rPr>
                <w:rFonts w:hint="eastAsia" w:ascii="宋体" w:hAnsi="宋体" w:cs="宋体"/>
                <w:kern w:val="0"/>
                <w:sz w:val="22"/>
              </w:rPr>
              <w:br w:type="textWrapping"/>
            </w:r>
            <w:r>
              <w:rPr>
                <w:rFonts w:hint="eastAsia" w:ascii="宋体" w:hAnsi="宋体" w:cs="宋体"/>
                <w:kern w:val="0"/>
                <w:sz w:val="22"/>
              </w:rPr>
              <w:t xml:space="preserve">3.配套原厂同系列服务器专用主板，与处理器、内存、存储组件完全兼容适配，保障系统长期稳定运行；  </w:t>
            </w:r>
            <w:r>
              <w:rPr>
                <w:rFonts w:hint="eastAsia" w:ascii="宋体" w:hAnsi="宋体" w:cs="宋体"/>
                <w:kern w:val="0"/>
                <w:sz w:val="22"/>
              </w:rPr>
              <w:br w:type="textWrapping"/>
            </w:r>
            <w:r>
              <w:rPr>
                <w:rFonts w:hint="eastAsia" w:ascii="宋体" w:hAnsi="宋体" w:cs="宋体"/>
                <w:kern w:val="0"/>
                <w:sz w:val="22"/>
              </w:rPr>
              <w:t xml:space="preserve">4.支持≥1个PCI-E 3.0 x16插槽；提供≥3个PCI-E 3.0 x8插槽；    </w:t>
            </w:r>
            <w:r>
              <w:rPr>
                <w:rFonts w:hint="eastAsia" w:ascii="宋体" w:hAnsi="宋体" w:cs="宋体"/>
                <w:kern w:val="0"/>
                <w:sz w:val="22"/>
              </w:rPr>
              <w:br w:type="textWrapping"/>
            </w:r>
            <w:r>
              <w:rPr>
                <w:rFonts w:hint="eastAsia" w:ascii="宋体" w:hAnsi="宋体" w:cs="宋体"/>
                <w:kern w:val="0"/>
                <w:sz w:val="22"/>
              </w:rPr>
              <w:t>5.支持≥1个PCI-E 3.0 x4（x8插槽形态）插槽； 提供≥1个PCI-E 2.0 x4（x8插槽形态）插槽；</w:t>
            </w:r>
            <w:r>
              <w:rPr>
                <w:rFonts w:hint="eastAsia" w:ascii="宋体" w:hAnsi="宋体" w:cs="宋体"/>
                <w:kern w:val="0"/>
                <w:sz w:val="22"/>
              </w:rPr>
              <w:br w:type="textWrapping"/>
            </w:r>
            <w:r>
              <w:rPr>
                <w:rFonts w:hint="eastAsia" w:ascii="宋体" w:hAnsi="宋体" w:cs="宋体"/>
                <w:kern w:val="0"/>
                <w:sz w:val="22"/>
              </w:rPr>
              <w:t xml:space="preserve">6.存储接口：提供≥10个SATA 3.0接口，向下兼容SATA 2.0协议，支持企业级硬盘接入；  </w:t>
            </w:r>
            <w:r>
              <w:rPr>
                <w:rFonts w:hint="eastAsia" w:ascii="宋体" w:hAnsi="宋体" w:cs="宋体"/>
                <w:kern w:val="0"/>
                <w:sz w:val="22"/>
              </w:rPr>
              <w:br w:type="textWrapping"/>
            </w:r>
            <w:r>
              <w:rPr>
                <w:rFonts w:hint="eastAsia" w:ascii="宋体" w:hAnsi="宋体" w:cs="宋体"/>
                <w:kern w:val="0"/>
                <w:sz w:val="22"/>
              </w:rPr>
              <w:t xml:space="preserve">7.支持≥2个USB3.0接口、≥2个USB2.0接口；   </w:t>
            </w:r>
            <w:r>
              <w:rPr>
                <w:rFonts w:hint="eastAsia" w:ascii="宋体" w:hAnsi="宋体" w:cs="宋体"/>
                <w:kern w:val="0"/>
                <w:sz w:val="22"/>
              </w:rPr>
              <w:br w:type="textWrapping"/>
            </w:r>
            <w:r>
              <w:rPr>
                <w:rFonts w:hint="eastAsia" w:ascii="宋体" w:hAnsi="宋体" w:cs="宋体"/>
                <w:kern w:val="0"/>
                <w:sz w:val="22"/>
              </w:rPr>
              <w:t>8.支持≥2个RJ45千兆以太网电口，支持网络冗余、链路聚合功能；</w:t>
            </w:r>
            <w:r>
              <w:rPr>
                <w:rFonts w:hint="eastAsia" w:ascii="宋体" w:hAnsi="宋体" w:cs="宋体"/>
                <w:kern w:val="0"/>
                <w:sz w:val="22"/>
              </w:rPr>
              <w:br w:type="textWrapping"/>
            </w:r>
            <w:r>
              <w:rPr>
                <w:rFonts w:hint="eastAsia" w:ascii="宋体" w:hAnsi="宋体" w:cs="宋体"/>
                <w:kern w:val="0"/>
                <w:sz w:val="22"/>
              </w:rPr>
              <w:t>9.标配DDR4服务器级内存，额定容量≥16GB；</w:t>
            </w:r>
            <w:r>
              <w:rPr>
                <w:rFonts w:hint="eastAsia" w:ascii="宋体" w:hAnsi="宋体" w:cs="宋体"/>
                <w:kern w:val="0"/>
                <w:sz w:val="22"/>
              </w:rPr>
              <w:br w:type="textWrapping"/>
            </w:r>
            <w:r>
              <w:rPr>
                <w:rFonts w:hint="eastAsia" w:ascii="宋体" w:hAnsi="宋体" w:cs="宋体"/>
                <w:kern w:val="0"/>
                <w:sz w:val="22"/>
              </w:rPr>
              <w:t>10.整机内存最大扩展容量≥64GB，单条内存最大支持容量≥16GB；</w:t>
            </w:r>
            <w:r>
              <w:rPr>
                <w:rFonts w:hint="eastAsia" w:ascii="宋体" w:hAnsi="宋体" w:cs="宋体"/>
                <w:kern w:val="0"/>
                <w:sz w:val="22"/>
              </w:rPr>
              <w:br w:type="textWrapping"/>
            </w:r>
            <w:r>
              <w:rPr>
                <w:rFonts w:hint="eastAsia" w:ascii="宋体" w:hAnsi="宋体" w:cs="宋体"/>
                <w:kern w:val="0"/>
                <w:sz w:val="22"/>
              </w:rPr>
              <w:t>11.标配企业级SATA硬盘4块，单块额定容量≥4TB，支持7×24小时连续运行；</w:t>
            </w:r>
            <w:r>
              <w:rPr>
                <w:rFonts w:hint="eastAsia" w:ascii="宋体" w:hAnsi="宋体" w:cs="宋体"/>
                <w:kern w:val="0"/>
                <w:sz w:val="22"/>
              </w:rPr>
              <w:br w:type="textWrapping"/>
            </w:r>
            <w:r>
              <w:rPr>
                <w:rFonts w:hint="eastAsia" w:ascii="宋体" w:hAnsi="宋体" w:cs="宋体"/>
                <w:kern w:val="0"/>
                <w:sz w:val="22"/>
              </w:rPr>
              <w:t>12.整机提供≥4个3.5英寸热插拔SATA硬盘位，最大可支持4块3.5英寸企业级SATA硬盘，支持硬盘热插拔更换，无需停机操作；</w:t>
            </w:r>
            <w:r>
              <w:rPr>
                <w:rFonts w:hint="eastAsia" w:ascii="宋体" w:hAnsi="宋体" w:cs="宋体"/>
                <w:kern w:val="0"/>
                <w:sz w:val="22"/>
              </w:rPr>
              <w:br w:type="textWrapping"/>
            </w:r>
            <w:r>
              <w:rPr>
                <w:rFonts w:hint="eastAsia" w:ascii="宋体" w:hAnsi="宋体" w:cs="宋体"/>
                <w:kern w:val="0"/>
                <w:sz w:val="22"/>
              </w:rPr>
              <w:t>13.标配服务器专用电源，额定输出功率≥350W；</w:t>
            </w:r>
            <w:r>
              <w:rPr>
                <w:rFonts w:hint="eastAsia" w:ascii="宋体" w:hAnsi="宋体" w:cs="宋体"/>
                <w:kern w:val="0"/>
                <w:sz w:val="22"/>
              </w:rPr>
              <w:br w:type="textWrapping"/>
            </w:r>
            <w:r>
              <w:rPr>
                <w:rFonts w:hint="eastAsia" w:ascii="宋体" w:hAnsi="宋体" w:cs="宋体"/>
                <w:kern w:val="0"/>
                <w:sz w:val="22"/>
              </w:rPr>
              <w:t>14.电源转换效率≥80PLUS金牌级标准，具备过流、过压、过热、短路、雷击浪涌等全方位保护功能，适配机房供电环境；</w:t>
            </w:r>
            <w:r>
              <w:rPr>
                <w:rFonts w:hint="eastAsia" w:ascii="宋体" w:hAnsi="宋体" w:cs="宋体"/>
                <w:kern w:val="0"/>
                <w:sz w:val="22"/>
              </w:rPr>
              <w:br w:type="textWrapping"/>
            </w:r>
            <w:r>
              <w:rPr>
                <w:rFonts w:hint="eastAsia" w:ascii="宋体" w:hAnsi="宋体" w:cs="宋体"/>
                <w:kern w:val="0"/>
                <w:sz w:val="22"/>
              </w:rPr>
              <w:t>15.采用标准1U机架式服务器机箱，需适配标准服务器机柜；6.2 机箱结构支持最大≥4块SATA接口3.5英寸企业级硬盘，具备良好的防尘、抗震性能。</w:t>
            </w:r>
          </w:p>
        </w:tc>
      </w:tr>
      <w:tr w14:paraId="4B89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BD2FE30">
            <w:pPr>
              <w:widowControl/>
              <w:jc w:val="center"/>
              <w:rPr>
                <w:rFonts w:ascii="宋体" w:hAnsi="宋体" w:cs="宋体"/>
                <w:kern w:val="0"/>
                <w:sz w:val="22"/>
              </w:rPr>
            </w:pPr>
            <w:r>
              <w:rPr>
                <w:rFonts w:hint="eastAsia" w:ascii="宋体" w:hAnsi="宋体" w:cs="宋体"/>
                <w:kern w:val="0"/>
                <w:sz w:val="22"/>
              </w:rPr>
              <w:t>千兆交换机</w:t>
            </w:r>
          </w:p>
        </w:tc>
        <w:tc>
          <w:tcPr>
            <w:tcW w:w="7654" w:type="dxa"/>
            <w:tcBorders>
              <w:tl2br w:val="nil"/>
              <w:tr2bl w:val="nil"/>
            </w:tcBorders>
            <w:shd w:val="clear" w:color="000000" w:fill="FFFFFF"/>
            <w:vAlign w:val="center"/>
          </w:tcPr>
          <w:p w14:paraId="5456AF2E">
            <w:pPr>
              <w:widowControl/>
              <w:jc w:val="left"/>
              <w:rPr>
                <w:rFonts w:ascii="宋体" w:hAnsi="宋体" w:cs="宋体"/>
                <w:kern w:val="0"/>
                <w:sz w:val="22"/>
              </w:rPr>
            </w:pPr>
            <w:r>
              <w:rPr>
                <w:rFonts w:hint="eastAsia" w:ascii="宋体" w:hAnsi="宋体" w:cs="宋体"/>
                <w:kern w:val="0"/>
                <w:sz w:val="22"/>
              </w:rPr>
              <w:t>1.接口：≥24口千兆+≥2千兆光口。</w:t>
            </w:r>
            <w:r>
              <w:rPr>
                <w:rFonts w:hint="eastAsia" w:ascii="宋体" w:hAnsi="宋体" w:cs="宋体"/>
                <w:kern w:val="0"/>
                <w:sz w:val="22"/>
              </w:rPr>
              <w:br w:type="textWrapping"/>
            </w:r>
            <w:r>
              <w:rPr>
                <w:rFonts w:hint="eastAsia" w:ascii="宋体" w:hAnsi="宋体" w:cs="宋体"/>
                <w:kern w:val="0"/>
                <w:sz w:val="22"/>
              </w:rPr>
              <w:t>2.可靠性：企业级防雷电路，内置专业高耐压电源。</w:t>
            </w:r>
            <w:r>
              <w:rPr>
                <w:rFonts w:hint="eastAsia" w:ascii="宋体" w:hAnsi="宋体" w:cs="宋体"/>
                <w:kern w:val="0"/>
                <w:sz w:val="22"/>
              </w:rPr>
              <w:br w:type="textWrapping"/>
            </w:r>
            <w:r>
              <w:rPr>
                <w:rFonts w:hint="eastAsia" w:ascii="宋体" w:hAnsi="宋体" w:cs="宋体"/>
                <w:kern w:val="0"/>
                <w:sz w:val="22"/>
              </w:rPr>
              <w:t>3.供电：支持POE+供电370W，单端口＞30W.</w:t>
            </w:r>
          </w:p>
        </w:tc>
      </w:tr>
      <w:tr w14:paraId="48D17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E4414F3">
            <w:pPr>
              <w:widowControl/>
              <w:jc w:val="center"/>
              <w:rPr>
                <w:rFonts w:ascii="宋体" w:hAnsi="宋体" w:cs="宋体"/>
                <w:kern w:val="0"/>
                <w:sz w:val="22"/>
              </w:rPr>
            </w:pPr>
            <w:r>
              <w:rPr>
                <w:rFonts w:hint="eastAsia" w:ascii="宋体" w:hAnsi="宋体" w:cs="宋体"/>
                <w:kern w:val="0"/>
                <w:sz w:val="22"/>
              </w:rPr>
              <w:t>机柜</w:t>
            </w:r>
          </w:p>
        </w:tc>
        <w:tc>
          <w:tcPr>
            <w:tcW w:w="7654" w:type="dxa"/>
            <w:tcBorders>
              <w:tl2br w:val="nil"/>
              <w:tr2bl w:val="nil"/>
            </w:tcBorders>
            <w:shd w:val="clear" w:color="000000" w:fill="FFFFFF"/>
            <w:vAlign w:val="center"/>
          </w:tcPr>
          <w:p w14:paraId="04ED5760">
            <w:pPr>
              <w:widowControl/>
              <w:jc w:val="left"/>
              <w:rPr>
                <w:rFonts w:ascii="宋体" w:hAnsi="宋体" w:cs="宋体"/>
                <w:kern w:val="0"/>
                <w:sz w:val="22"/>
              </w:rPr>
            </w:pPr>
            <w:r>
              <w:rPr>
                <w:rFonts w:hint="eastAsia" w:ascii="宋体" w:hAnsi="宋体" w:cs="宋体"/>
                <w:kern w:val="0"/>
                <w:sz w:val="22"/>
              </w:rPr>
              <w:t>1.标准服务器机柜，采用SPCC优质冷轧钢板，脱脂、磷化、静电喷涂，支持脚轮移动。</w:t>
            </w:r>
            <w:r>
              <w:rPr>
                <w:rFonts w:hint="eastAsia" w:ascii="宋体" w:hAnsi="宋体" w:cs="宋体"/>
                <w:kern w:val="0"/>
                <w:sz w:val="22"/>
              </w:rPr>
              <w:br w:type="textWrapping"/>
            </w:r>
            <w:r>
              <w:rPr>
                <w:rFonts w:hint="eastAsia" w:ascii="宋体" w:hAnsi="宋体" w:cs="宋体"/>
                <w:kern w:val="0"/>
                <w:sz w:val="22"/>
              </w:rPr>
              <w:t>2.具有≥1个托盘，≥1个散热风扇，机架式≥6口电源插座。</w:t>
            </w:r>
            <w:r>
              <w:rPr>
                <w:rFonts w:hint="eastAsia" w:ascii="宋体" w:hAnsi="宋体" w:cs="宋体"/>
                <w:kern w:val="0"/>
                <w:sz w:val="22"/>
              </w:rPr>
              <w:br w:type="textWrapping"/>
            </w:r>
            <w:r>
              <w:rPr>
                <w:rFonts w:hint="eastAsia" w:ascii="宋体" w:hAnsi="宋体" w:cs="宋体"/>
                <w:kern w:val="0"/>
                <w:sz w:val="22"/>
              </w:rPr>
              <w:t>3.机柜尺寸≥1200mm*900mm*600mm，容量</w:t>
            </w:r>
            <w:r>
              <w:rPr>
                <w:rFonts w:ascii="宋体" w:hAnsi="宋体" w:cs="宋体"/>
                <w:kern w:val="0"/>
                <w:sz w:val="22"/>
              </w:rPr>
              <w:t>22</w:t>
            </w:r>
            <w:r>
              <w:rPr>
                <w:rFonts w:hint="eastAsia" w:ascii="宋体" w:hAnsi="宋体" w:cs="宋体"/>
                <w:kern w:val="0"/>
                <w:sz w:val="22"/>
              </w:rPr>
              <w:t>U。</w:t>
            </w:r>
            <w:r>
              <w:rPr>
                <w:rFonts w:hint="eastAsia" w:ascii="宋体" w:hAnsi="宋体" w:cs="宋体"/>
                <w:kern w:val="0"/>
                <w:sz w:val="22"/>
              </w:rPr>
              <w:br w:type="textWrapping"/>
            </w:r>
            <w:r>
              <w:rPr>
                <w:rFonts w:hint="eastAsia" w:ascii="宋体" w:hAnsi="宋体" w:cs="宋体"/>
                <w:kern w:val="0"/>
                <w:sz w:val="22"/>
              </w:rPr>
              <w:t>4.承重800Kg。</w:t>
            </w:r>
          </w:p>
        </w:tc>
      </w:tr>
      <w:tr w14:paraId="64B7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AD14063">
            <w:pPr>
              <w:widowControl/>
              <w:jc w:val="center"/>
              <w:rPr>
                <w:rFonts w:ascii="宋体" w:hAnsi="宋体" w:cs="宋体"/>
                <w:kern w:val="0"/>
                <w:sz w:val="22"/>
              </w:rPr>
            </w:pPr>
            <w:r>
              <w:rPr>
                <w:rFonts w:hint="eastAsia" w:ascii="宋体" w:hAnsi="宋体" w:cs="宋体"/>
                <w:kern w:val="0"/>
                <w:sz w:val="22"/>
              </w:rPr>
              <w:t>LED时钟</w:t>
            </w:r>
          </w:p>
        </w:tc>
        <w:tc>
          <w:tcPr>
            <w:tcW w:w="7654" w:type="dxa"/>
            <w:tcBorders>
              <w:tl2br w:val="nil"/>
              <w:tr2bl w:val="nil"/>
            </w:tcBorders>
            <w:shd w:val="clear" w:color="000000" w:fill="FFFFFF"/>
            <w:vAlign w:val="center"/>
          </w:tcPr>
          <w:p w14:paraId="688814E2">
            <w:pPr>
              <w:widowControl/>
              <w:jc w:val="left"/>
              <w:rPr>
                <w:rFonts w:ascii="宋体" w:hAnsi="宋体" w:cs="宋体"/>
                <w:kern w:val="0"/>
                <w:sz w:val="22"/>
              </w:rPr>
            </w:pPr>
            <w:r>
              <w:rPr>
                <w:rFonts w:hint="eastAsia" w:ascii="宋体" w:hAnsi="宋体" w:cs="宋体"/>
                <w:kern w:val="0"/>
                <w:sz w:val="22"/>
              </w:rPr>
              <w:t>1.非录制状态显示时间；</w:t>
            </w:r>
            <w:r>
              <w:rPr>
                <w:rFonts w:hint="eastAsia" w:ascii="宋体" w:hAnsi="宋体" w:cs="宋体"/>
                <w:kern w:val="0"/>
                <w:sz w:val="22"/>
              </w:rPr>
              <w:br w:type="textWrapping"/>
            </w:r>
            <w:r>
              <w:rPr>
                <w:rFonts w:hint="eastAsia" w:ascii="宋体" w:hAnsi="宋体" w:cs="宋体"/>
                <w:kern w:val="0"/>
                <w:sz w:val="22"/>
              </w:rPr>
              <w:t>2.需支持录制状态时显示计时信息，与录播系统无缝联动。</w:t>
            </w:r>
          </w:p>
        </w:tc>
      </w:tr>
      <w:tr w14:paraId="024E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F5F3291">
            <w:pPr>
              <w:widowControl/>
              <w:jc w:val="center"/>
              <w:rPr>
                <w:rFonts w:ascii="宋体" w:hAnsi="宋体" w:cs="宋体"/>
                <w:kern w:val="0"/>
                <w:sz w:val="22"/>
              </w:rPr>
            </w:pPr>
            <w:r>
              <w:rPr>
                <w:rFonts w:hint="eastAsia" w:ascii="宋体" w:hAnsi="宋体" w:cs="宋体"/>
                <w:kern w:val="0"/>
                <w:sz w:val="22"/>
              </w:rPr>
              <w:t>返看终端</w:t>
            </w:r>
          </w:p>
        </w:tc>
        <w:tc>
          <w:tcPr>
            <w:tcW w:w="7654" w:type="dxa"/>
            <w:tcBorders>
              <w:tl2br w:val="nil"/>
              <w:tr2bl w:val="nil"/>
            </w:tcBorders>
            <w:shd w:val="clear" w:color="000000" w:fill="FFFFFF"/>
            <w:vAlign w:val="center"/>
          </w:tcPr>
          <w:p w14:paraId="1ED73057">
            <w:pPr>
              <w:widowControl/>
              <w:jc w:val="left"/>
              <w:rPr>
                <w:rFonts w:ascii="宋体" w:hAnsi="宋体" w:cs="宋体"/>
                <w:kern w:val="0"/>
                <w:sz w:val="22"/>
              </w:rPr>
            </w:pPr>
            <w:r>
              <w:rPr>
                <w:rFonts w:hint="eastAsia" w:ascii="宋体" w:hAnsi="宋体" w:cs="宋体"/>
                <w:kern w:val="0"/>
                <w:sz w:val="22"/>
              </w:rPr>
              <w:t>1.屏幕尺寸：≥55英寸</w:t>
            </w:r>
            <w:r>
              <w:rPr>
                <w:rFonts w:hint="eastAsia" w:ascii="宋体" w:hAnsi="宋体" w:cs="宋体"/>
                <w:kern w:val="0"/>
                <w:sz w:val="22"/>
              </w:rPr>
              <w:br w:type="textWrapping"/>
            </w:r>
            <w:r>
              <w:rPr>
                <w:rFonts w:hint="eastAsia" w:ascii="宋体" w:hAnsi="宋体" w:cs="宋体"/>
                <w:kern w:val="0"/>
                <w:sz w:val="22"/>
              </w:rPr>
              <w:t>2.屏幕分辨率：超高清4K</w:t>
            </w:r>
            <w:r>
              <w:rPr>
                <w:rFonts w:hint="eastAsia" w:ascii="宋体" w:hAnsi="宋体" w:cs="宋体"/>
                <w:kern w:val="0"/>
                <w:sz w:val="22"/>
              </w:rPr>
              <w:br w:type="textWrapping"/>
            </w:r>
            <w:r>
              <w:rPr>
                <w:rFonts w:hint="eastAsia" w:ascii="宋体" w:hAnsi="宋体" w:cs="宋体"/>
                <w:kern w:val="0"/>
                <w:sz w:val="22"/>
              </w:rPr>
              <w:t>3.支持HDMI接口</w:t>
            </w:r>
          </w:p>
        </w:tc>
      </w:tr>
      <w:tr w14:paraId="306D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F8B8AF2">
            <w:pPr>
              <w:widowControl/>
              <w:jc w:val="center"/>
              <w:rPr>
                <w:rFonts w:ascii="宋体" w:hAnsi="宋体" w:cs="宋体"/>
                <w:kern w:val="0"/>
                <w:sz w:val="22"/>
              </w:rPr>
            </w:pPr>
            <w:r>
              <w:rPr>
                <w:rFonts w:hint="eastAsia" w:ascii="宋体" w:hAnsi="宋体" w:cs="宋体"/>
                <w:kern w:val="0"/>
                <w:sz w:val="22"/>
              </w:rPr>
              <w:t>壁挂支架</w:t>
            </w:r>
          </w:p>
        </w:tc>
        <w:tc>
          <w:tcPr>
            <w:tcW w:w="7654" w:type="dxa"/>
            <w:tcBorders>
              <w:tl2br w:val="nil"/>
              <w:tr2bl w:val="nil"/>
            </w:tcBorders>
            <w:shd w:val="clear" w:color="000000" w:fill="FFFFFF"/>
            <w:vAlign w:val="center"/>
          </w:tcPr>
          <w:p w14:paraId="10B8794A">
            <w:pPr>
              <w:widowControl/>
              <w:jc w:val="left"/>
              <w:rPr>
                <w:rFonts w:ascii="宋体" w:hAnsi="宋体" w:cs="宋体"/>
                <w:kern w:val="0"/>
                <w:sz w:val="22"/>
              </w:rPr>
            </w:pPr>
            <w:r>
              <w:rPr>
                <w:rFonts w:hint="eastAsia" w:ascii="宋体" w:hAnsi="宋体" w:cs="宋体"/>
                <w:kern w:val="0"/>
                <w:sz w:val="22"/>
              </w:rPr>
              <w:t>1.产品尺寸≥长735mm 宽225mm 高2mm</w:t>
            </w:r>
            <w:r>
              <w:rPr>
                <w:rFonts w:hint="eastAsia" w:ascii="宋体" w:hAnsi="宋体" w:cs="宋体"/>
                <w:kern w:val="0"/>
                <w:sz w:val="22"/>
              </w:rPr>
              <w:br w:type="textWrapping"/>
            </w:r>
            <w:r>
              <w:rPr>
                <w:rFonts w:hint="eastAsia" w:ascii="宋体" w:hAnsi="宋体" w:cs="宋体"/>
                <w:kern w:val="0"/>
                <w:sz w:val="22"/>
              </w:rPr>
              <w:t>2.配件类别:简易贴墙壁挂架</w:t>
            </w:r>
            <w:r>
              <w:rPr>
                <w:rFonts w:hint="eastAsia" w:ascii="宋体" w:hAnsi="宋体" w:cs="宋体"/>
                <w:kern w:val="0"/>
                <w:sz w:val="22"/>
              </w:rPr>
              <w:br w:type="textWrapping"/>
            </w:r>
            <w:r>
              <w:rPr>
                <w:rFonts w:hint="eastAsia" w:ascii="宋体" w:hAnsi="宋体" w:cs="宋体"/>
                <w:kern w:val="0"/>
                <w:sz w:val="22"/>
              </w:rPr>
              <w:t>3.适配屏幕尺寸:≥55英寸</w:t>
            </w:r>
          </w:p>
        </w:tc>
      </w:tr>
      <w:tr w14:paraId="19E0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DE21088">
            <w:pPr>
              <w:widowControl/>
              <w:jc w:val="center"/>
              <w:rPr>
                <w:rFonts w:ascii="宋体" w:hAnsi="宋体" w:cs="宋体"/>
                <w:kern w:val="0"/>
                <w:sz w:val="22"/>
              </w:rPr>
            </w:pPr>
            <w:r>
              <w:rPr>
                <w:rFonts w:hint="eastAsia" w:ascii="宋体" w:hAnsi="宋体" w:cs="宋体"/>
                <w:kern w:val="0"/>
                <w:sz w:val="22"/>
              </w:rPr>
              <w:t>移动摄制终端</w:t>
            </w:r>
          </w:p>
        </w:tc>
        <w:tc>
          <w:tcPr>
            <w:tcW w:w="7654" w:type="dxa"/>
            <w:tcBorders>
              <w:tl2br w:val="nil"/>
              <w:tr2bl w:val="nil"/>
            </w:tcBorders>
            <w:shd w:val="clear" w:color="000000" w:fill="FFFFFF"/>
            <w:vAlign w:val="center"/>
          </w:tcPr>
          <w:p w14:paraId="440102A8">
            <w:pPr>
              <w:widowControl/>
              <w:jc w:val="left"/>
              <w:rPr>
                <w:rFonts w:ascii="宋体" w:hAnsi="宋体" w:cs="宋体"/>
                <w:kern w:val="0"/>
                <w:sz w:val="22"/>
              </w:rPr>
            </w:pPr>
            <w:r>
              <w:rPr>
                <w:rFonts w:hint="eastAsia" w:ascii="宋体" w:hAnsi="宋体" w:cs="宋体"/>
                <w:kern w:val="0"/>
                <w:sz w:val="22"/>
              </w:rPr>
              <w:t>1.传感器尺寸：全画幅</w:t>
            </w:r>
            <w:r>
              <w:rPr>
                <w:rFonts w:hint="eastAsia" w:ascii="宋体" w:hAnsi="宋体" w:cs="宋体"/>
                <w:kern w:val="0"/>
                <w:sz w:val="22"/>
              </w:rPr>
              <w:br w:type="textWrapping"/>
            </w:r>
            <w:r>
              <w:rPr>
                <w:rFonts w:hint="eastAsia" w:ascii="宋体" w:hAnsi="宋体" w:cs="宋体"/>
                <w:kern w:val="0"/>
                <w:sz w:val="22"/>
              </w:rPr>
              <w:t>2.语言:英语、中文、日语</w:t>
            </w:r>
            <w:r>
              <w:rPr>
                <w:rFonts w:hint="eastAsia" w:ascii="宋体" w:hAnsi="宋体" w:cs="宋体"/>
                <w:kern w:val="0"/>
                <w:sz w:val="22"/>
              </w:rPr>
              <w:br w:type="textWrapping"/>
            </w:r>
            <w:r>
              <w:rPr>
                <w:rFonts w:hint="eastAsia" w:ascii="宋体" w:hAnsi="宋体" w:cs="宋体"/>
                <w:kern w:val="0"/>
                <w:sz w:val="22"/>
              </w:rPr>
              <w:t>3.接口：HDMI、NFC、Wi-Fi</w:t>
            </w:r>
            <w:r>
              <w:rPr>
                <w:rFonts w:hint="eastAsia" w:ascii="宋体" w:hAnsi="宋体" w:cs="宋体"/>
                <w:kern w:val="0"/>
                <w:sz w:val="22"/>
              </w:rPr>
              <w:br w:type="textWrapping"/>
            </w:r>
            <w:r>
              <w:rPr>
                <w:rFonts w:hint="eastAsia" w:ascii="宋体" w:hAnsi="宋体" w:cs="宋体"/>
                <w:kern w:val="0"/>
                <w:sz w:val="22"/>
              </w:rPr>
              <w:t>4.传感器类型：CMOS</w:t>
            </w:r>
            <w:r>
              <w:rPr>
                <w:rFonts w:hint="eastAsia" w:ascii="宋体" w:hAnsi="宋体" w:cs="宋体"/>
                <w:kern w:val="0"/>
                <w:sz w:val="22"/>
              </w:rPr>
              <w:br w:type="textWrapping"/>
            </w:r>
            <w:r>
              <w:rPr>
                <w:rFonts w:hint="eastAsia" w:ascii="宋体" w:hAnsi="宋体" w:cs="宋体"/>
                <w:kern w:val="0"/>
                <w:sz w:val="22"/>
              </w:rPr>
              <w:t>5.有效像素：≥</w:t>
            </w:r>
            <w:r>
              <w:rPr>
                <w:rFonts w:ascii="宋体" w:hAnsi="宋体" w:cs="宋体"/>
                <w:kern w:val="0"/>
                <w:sz w:val="22"/>
              </w:rPr>
              <w:t>4500</w:t>
            </w:r>
            <w:r>
              <w:rPr>
                <w:rFonts w:hint="eastAsia" w:ascii="宋体" w:hAnsi="宋体" w:cs="宋体"/>
                <w:kern w:val="0"/>
                <w:sz w:val="22"/>
              </w:rPr>
              <w:t>万</w:t>
            </w:r>
            <w:r>
              <w:rPr>
                <w:rFonts w:hint="eastAsia" w:ascii="宋体" w:hAnsi="宋体" w:cs="宋体"/>
                <w:kern w:val="0"/>
                <w:sz w:val="22"/>
              </w:rPr>
              <w:br w:type="textWrapping"/>
            </w:r>
            <w:r>
              <w:rPr>
                <w:rFonts w:hint="eastAsia" w:ascii="宋体" w:hAnsi="宋体" w:cs="宋体"/>
                <w:kern w:val="0"/>
                <w:sz w:val="22"/>
              </w:rPr>
              <w:t>6.取景器类型：电子取景器</w:t>
            </w:r>
            <w:r>
              <w:rPr>
                <w:rFonts w:hint="eastAsia" w:ascii="宋体" w:hAnsi="宋体" w:cs="宋体"/>
                <w:kern w:val="0"/>
                <w:sz w:val="22"/>
              </w:rPr>
              <w:br w:type="textWrapping"/>
            </w:r>
            <w:r>
              <w:rPr>
                <w:rFonts w:hint="eastAsia" w:ascii="宋体" w:hAnsi="宋体" w:cs="宋体"/>
                <w:kern w:val="0"/>
                <w:sz w:val="22"/>
              </w:rPr>
              <w:t>7.液晶屏类型：触摸屏</w:t>
            </w:r>
            <w:r>
              <w:rPr>
                <w:rFonts w:hint="eastAsia" w:ascii="宋体" w:hAnsi="宋体" w:cs="宋体"/>
                <w:kern w:val="0"/>
                <w:sz w:val="22"/>
              </w:rPr>
              <w:br w:type="textWrapping"/>
            </w:r>
            <w:r>
              <w:rPr>
                <w:rFonts w:hint="eastAsia" w:ascii="宋体" w:hAnsi="宋体" w:cs="宋体"/>
                <w:kern w:val="0"/>
                <w:sz w:val="22"/>
              </w:rPr>
              <w:t>8.标准ISO感光度：ISO 100-102400</w:t>
            </w:r>
            <w:r>
              <w:rPr>
                <w:rFonts w:hint="eastAsia" w:ascii="宋体" w:hAnsi="宋体" w:cs="宋体"/>
                <w:kern w:val="0"/>
                <w:sz w:val="22"/>
              </w:rPr>
              <w:br w:type="textWrapping"/>
            </w:r>
            <w:r>
              <w:rPr>
                <w:rFonts w:hint="eastAsia" w:ascii="宋体" w:hAnsi="宋体" w:cs="宋体"/>
                <w:kern w:val="0"/>
                <w:sz w:val="22"/>
              </w:rPr>
              <w:t>9.功能：遥控拍摄 延时拍摄</w:t>
            </w:r>
            <w:r>
              <w:rPr>
                <w:rFonts w:hint="eastAsia" w:ascii="宋体" w:hAnsi="宋体" w:cs="宋体"/>
                <w:kern w:val="0"/>
                <w:sz w:val="22"/>
              </w:rPr>
              <w:br w:type="textWrapping"/>
            </w:r>
            <w:r>
              <w:rPr>
                <w:rFonts w:hint="eastAsia" w:ascii="宋体" w:hAnsi="宋体" w:cs="宋体"/>
                <w:kern w:val="0"/>
                <w:sz w:val="22"/>
              </w:rPr>
              <w:t>10.存储介质：</w:t>
            </w:r>
            <w:r>
              <w:rPr>
                <w:rFonts w:ascii="宋体" w:hAnsi="宋体" w:cs="宋体"/>
                <w:kern w:val="0"/>
                <w:sz w:val="22"/>
              </w:rPr>
              <w:t>CFexpress</w:t>
            </w:r>
            <w:r>
              <w:rPr>
                <w:rFonts w:hint="eastAsia" w:ascii="宋体" w:hAnsi="宋体" w:cs="宋体"/>
                <w:kern w:val="0"/>
                <w:sz w:val="22"/>
              </w:rPr>
              <w:t>卡 SD卡 SDXC卡 SDHC卡</w:t>
            </w:r>
            <w:r>
              <w:rPr>
                <w:rFonts w:hint="eastAsia" w:ascii="宋体" w:hAnsi="宋体" w:cs="宋体"/>
                <w:kern w:val="0"/>
                <w:sz w:val="22"/>
              </w:rPr>
              <w:br w:type="textWrapping"/>
            </w:r>
            <w:r>
              <w:rPr>
                <w:rFonts w:hint="eastAsia" w:ascii="宋体" w:hAnsi="宋体" w:cs="宋体"/>
                <w:kern w:val="0"/>
                <w:sz w:val="22"/>
              </w:rPr>
              <w:t>11.视频拍摄能力：</w:t>
            </w:r>
            <w:r>
              <w:rPr>
                <w:rFonts w:hint="eastAsia" w:asciiTheme="minorEastAsia" w:hAnsiTheme="minorEastAsia" w:eastAsiaTheme="minorEastAsia" w:cstheme="minorEastAsia"/>
                <w:sz w:val="18"/>
                <w:szCs w:val="18"/>
              </w:rPr>
              <w:t>8K超高清</w:t>
            </w:r>
            <w:r>
              <w:rPr>
                <w:rFonts w:hint="eastAsia" w:ascii="宋体" w:hAnsi="宋体" w:cs="宋体"/>
                <w:kern w:val="0"/>
                <w:sz w:val="22"/>
              </w:rPr>
              <w:br w:type="textWrapping"/>
            </w:r>
            <w:r>
              <w:rPr>
                <w:rFonts w:hint="eastAsia" w:ascii="宋体" w:hAnsi="宋体" w:cs="宋体"/>
                <w:kern w:val="0"/>
                <w:sz w:val="22"/>
              </w:rPr>
              <w:t>12.支持WIFI6E/6、蓝牙、2.5GBase-T有线等任意两种连接</w:t>
            </w:r>
          </w:p>
        </w:tc>
      </w:tr>
      <w:tr w14:paraId="29C1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242A7B0">
            <w:pPr>
              <w:widowControl/>
              <w:jc w:val="center"/>
              <w:rPr>
                <w:rFonts w:ascii="宋体" w:hAnsi="宋体" w:cs="宋体"/>
                <w:kern w:val="0"/>
                <w:sz w:val="22"/>
              </w:rPr>
            </w:pPr>
            <w:r>
              <w:rPr>
                <w:rFonts w:hint="eastAsia" w:ascii="宋体" w:hAnsi="宋体" w:cs="宋体"/>
                <w:kern w:val="0"/>
                <w:sz w:val="22"/>
              </w:rPr>
              <w:t>移动摄制终端原装电池及充电套装</w:t>
            </w:r>
          </w:p>
        </w:tc>
        <w:tc>
          <w:tcPr>
            <w:tcW w:w="7654" w:type="dxa"/>
            <w:tcBorders>
              <w:tl2br w:val="nil"/>
              <w:tr2bl w:val="nil"/>
            </w:tcBorders>
            <w:shd w:val="clear" w:color="000000" w:fill="FFFFFF"/>
            <w:vAlign w:val="center"/>
          </w:tcPr>
          <w:p w14:paraId="2AE14951">
            <w:pPr>
              <w:widowControl/>
              <w:jc w:val="left"/>
              <w:rPr>
                <w:rFonts w:ascii="宋体" w:hAnsi="宋体" w:cs="宋体"/>
                <w:kern w:val="0"/>
                <w:sz w:val="22"/>
              </w:rPr>
            </w:pPr>
            <w:r>
              <w:rPr>
                <w:rFonts w:hint="eastAsia" w:ascii="宋体" w:hAnsi="宋体" w:cs="宋体"/>
                <w:kern w:val="0"/>
                <w:sz w:val="22"/>
              </w:rPr>
              <w:t>1.电池容量：≥1865mAh</w:t>
            </w:r>
            <w:r>
              <w:rPr>
                <w:rFonts w:hint="eastAsia" w:ascii="宋体" w:hAnsi="宋体" w:cs="宋体"/>
                <w:kern w:val="0"/>
                <w:sz w:val="22"/>
              </w:rPr>
              <w:br w:type="textWrapping"/>
            </w:r>
            <w:r>
              <w:rPr>
                <w:rFonts w:hint="eastAsia" w:ascii="宋体" w:hAnsi="宋体" w:cs="宋体"/>
                <w:kern w:val="0"/>
                <w:sz w:val="22"/>
              </w:rPr>
              <w:t>2.电池电压：7.2V</w:t>
            </w:r>
            <w:r>
              <w:rPr>
                <w:rFonts w:hint="eastAsia" w:ascii="宋体" w:hAnsi="宋体" w:cs="宋体"/>
                <w:kern w:val="0"/>
                <w:sz w:val="22"/>
              </w:rPr>
              <w:br w:type="textWrapping"/>
            </w:r>
            <w:r>
              <w:rPr>
                <w:rFonts w:hint="eastAsia" w:ascii="宋体" w:hAnsi="宋体" w:cs="宋体"/>
                <w:kern w:val="0"/>
                <w:sz w:val="22"/>
              </w:rPr>
              <w:t>3.输出电压:AC 100-240V(50/60Hz)/DC 8.4V、1200mA</w:t>
            </w:r>
            <w:r>
              <w:rPr>
                <w:rFonts w:hint="eastAsia" w:ascii="宋体" w:hAnsi="宋体" w:cs="宋体"/>
                <w:kern w:val="0"/>
                <w:sz w:val="22"/>
              </w:rPr>
              <w:br w:type="textWrapping"/>
            </w:r>
            <w:r>
              <w:rPr>
                <w:rFonts w:hint="eastAsia" w:ascii="宋体" w:hAnsi="宋体" w:cs="宋体"/>
                <w:kern w:val="0"/>
                <w:sz w:val="22"/>
              </w:rPr>
              <w:t>4.配套原装充电器</w:t>
            </w:r>
          </w:p>
        </w:tc>
      </w:tr>
      <w:tr w14:paraId="3569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2C0ED87">
            <w:pPr>
              <w:widowControl/>
              <w:jc w:val="center"/>
              <w:rPr>
                <w:rFonts w:ascii="宋体" w:hAnsi="宋体" w:cs="宋体"/>
                <w:kern w:val="0"/>
                <w:sz w:val="22"/>
              </w:rPr>
            </w:pPr>
            <w:r>
              <w:rPr>
                <w:rFonts w:hint="eastAsia" w:ascii="宋体" w:hAnsi="宋体" w:cs="宋体"/>
                <w:kern w:val="0"/>
                <w:sz w:val="22"/>
              </w:rPr>
              <w:t>高速内存卡</w:t>
            </w:r>
          </w:p>
        </w:tc>
        <w:tc>
          <w:tcPr>
            <w:tcW w:w="7654" w:type="dxa"/>
            <w:tcBorders>
              <w:tl2br w:val="nil"/>
              <w:tr2bl w:val="nil"/>
            </w:tcBorders>
            <w:shd w:val="clear" w:color="000000" w:fill="FFFFFF"/>
            <w:vAlign w:val="center"/>
          </w:tcPr>
          <w:p w14:paraId="56213917">
            <w:pPr>
              <w:widowControl/>
              <w:jc w:val="left"/>
              <w:rPr>
                <w:rFonts w:ascii="宋体" w:hAnsi="宋体" w:cs="宋体"/>
                <w:kern w:val="0"/>
                <w:sz w:val="22"/>
              </w:rPr>
            </w:pPr>
            <w:r>
              <w:rPr>
                <w:rFonts w:hint="eastAsia" w:ascii="宋体" w:hAnsi="宋体" w:cs="宋体"/>
                <w:kern w:val="0"/>
                <w:sz w:val="22"/>
              </w:rPr>
              <w:t>1.容量：≥128GB</w:t>
            </w:r>
            <w:r>
              <w:rPr>
                <w:rFonts w:hint="eastAsia" w:ascii="宋体" w:hAnsi="宋体" w:cs="宋体"/>
                <w:kern w:val="0"/>
                <w:sz w:val="22"/>
              </w:rPr>
              <w:br w:type="textWrapping"/>
            </w:r>
            <w:r>
              <w:rPr>
                <w:rFonts w:hint="eastAsia" w:ascii="宋体" w:hAnsi="宋体" w:cs="宋体"/>
                <w:kern w:val="0"/>
                <w:sz w:val="22"/>
              </w:rPr>
              <w:t>2.类型：SD卡</w:t>
            </w:r>
            <w:r>
              <w:rPr>
                <w:rFonts w:hint="eastAsia" w:ascii="宋体" w:hAnsi="宋体" w:cs="宋体"/>
                <w:kern w:val="0"/>
                <w:sz w:val="22"/>
              </w:rPr>
              <w:br w:type="textWrapping"/>
            </w:r>
            <w:r>
              <w:rPr>
                <w:rFonts w:hint="eastAsia" w:ascii="宋体" w:hAnsi="宋体" w:cs="宋体"/>
                <w:kern w:val="0"/>
                <w:sz w:val="22"/>
              </w:rPr>
              <w:t>3.读取速度：≥200MB/s</w:t>
            </w:r>
            <w:r>
              <w:rPr>
                <w:rFonts w:hint="eastAsia" w:ascii="宋体" w:hAnsi="宋体" w:cs="宋体"/>
                <w:kern w:val="0"/>
                <w:sz w:val="22"/>
              </w:rPr>
              <w:br w:type="textWrapping"/>
            </w:r>
            <w:r>
              <w:rPr>
                <w:rFonts w:hint="eastAsia" w:ascii="宋体" w:hAnsi="宋体" w:cs="宋体"/>
                <w:kern w:val="0"/>
                <w:sz w:val="22"/>
              </w:rPr>
              <w:t>4.写入速度：≥90MB/s</w:t>
            </w:r>
            <w:r>
              <w:rPr>
                <w:rFonts w:hint="eastAsia" w:ascii="宋体" w:hAnsi="宋体" w:cs="宋体"/>
                <w:kern w:val="0"/>
                <w:sz w:val="22"/>
              </w:rPr>
              <w:br w:type="textWrapping"/>
            </w:r>
            <w:r>
              <w:rPr>
                <w:rFonts w:hint="eastAsia" w:ascii="宋体" w:hAnsi="宋体" w:cs="宋体"/>
                <w:kern w:val="0"/>
                <w:sz w:val="22"/>
              </w:rPr>
              <w:t>5.速度：class10 U3 V30</w:t>
            </w:r>
          </w:p>
        </w:tc>
      </w:tr>
      <w:tr w14:paraId="0B52D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1373D1E">
            <w:pPr>
              <w:widowControl/>
              <w:jc w:val="center"/>
              <w:rPr>
                <w:rFonts w:ascii="宋体" w:hAnsi="宋体" w:cs="宋体"/>
                <w:kern w:val="0"/>
                <w:sz w:val="22"/>
              </w:rPr>
            </w:pPr>
            <w:r>
              <w:rPr>
                <w:rFonts w:hint="eastAsia" w:ascii="宋体" w:hAnsi="宋体" w:cs="宋体"/>
                <w:kern w:val="0"/>
                <w:sz w:val="22"/>
              </w:rPr>
              <w:t>读卡器</w:t>
            </w:r>
          </w:p>
        </w:tc>
        <w:tc>
          <w:tcPr>
            <w:tcW w:w="7654" w:type="dxa"/>
            <w:tcBorders>
              <w:tl2br w:val="nil"/>
              <w:tr2bl w:val="nil"/>
            </w:tcBorders>
            <w:shd w:val="clear" w:color="000000" w:fill="FFFFFF"/>
            <w:vAlign w:val="center"/>
          </w:tcPr>
          <w:p w14:paraId="7F03AFF7">
            <w:pPr>
              <w:widowControl/>
              <w:jc w:val="left"/>
              <w:rPr>
                <w:rFonts w:ascii="宋体" w:hAnsi="宋体" w:cs="宋体"/>
                <w:kern w:val="0"/>
                <w:sz w:val="22"/>
              </w:rPr>
            </w:pPr>
            <w:r>
              <w:rPr>
                <w:rFonts w:hint="eastAsia" w:ascii="宋体" w:hAnsi="宋体" w:cs="宋体"/>
                <w:kern w:val="0"/>
                <w:sz w:val="22"/>
              </w:rPr>
              <w:t>1.接口:USB3.0</w:t>
            </w:r>
            <w:r>
              <w:rPr>
                <w:rFonts w:hint="eastAsia" w:ascii="宋体" w:hAnsi="宋体" w:cs="宋体"/>
                <w:kern w:val="0"/>
                <w:sz w:val="22"/>
              </w:rPr>
              <w:br w:type="textWrapping"/>
            </w:r>
            <w:r>
              <w:rPr>
                <w:rFonts w:hint="eastAsia" w:ascii="宋体" w:hAnsi="宋体" w:cs="宋体"/>
                <w:kern w:val="0"/>
                <w:sz w:val="22"/>
              </w:rPr>
              <w:t>2.读取类型:多卡单读</w:t>
            </w:r>
            <w:r>
              <w:rPr>
                <w:rFonts w:hint="eastAsia" w:ascii="宋体" w:hAnsi="宋体" w:cs="宋体"/>
                <w:kern w:val="0"/>
                <w:sz w:val="22"/>
              </w:rPr>
              <w:br w:type="textWrapping"/>
            </w:r>
            <w:r>
              <w:rPr>
                <w:rFonts w:hint="eastAsia" w:ascii="宋体" w:hAnsi="宋体" w:cs="宋体"/>
                <w:kern w:val="0"/>
                <w:sz w:val="22"/>
              </w:rPr>
              <w:t>3.读取对象:TF卡 CF卡 SD卡 MS卡</w:t>
            </w:r>
          </w:p>
        </w:tc>
      </w:tr>
      <w:tr w14:paraId="4ED6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890D016">
            <w:pPr>
              <w:widowControl/>
              <w:jc w:val="center"/>
              <w:rPr>
                <w:rFonts w:ascii="宋体" w:hAnsi="宋体" w:cs="宋体"/>
                <w:kern w:val="0"/>
                <w:sz w:val="22"/>
              </w:rPr>
            </w:pPr>
            <w:r>
              <w:rPr>
                <w:rFonts w:hint="eastAsia" w:ascii="宋体" w:hAnsi="宋体" w:cs="宋体"/>
                <w:kern w:val="0"/>
                <w:sz w:val="22"/>
              </w:rPr>
              <w:t>移动摄制原配镜头1</w:t>
            </w:r>
          </w:p>
        </w:tc>
        <w:tc>
          <w:tcPr>
            <w:tcW w:w="7654" w:type="dxa"/>
            <w:tcBorders>
              <w:tl2br w:val="nil"/>
              <w:tr2bl w:val="nil"/>
            </w:tcBorders>
            <w:shd w:val="clear" w:color="000000" w:fill="FFFFFF"/>
            <w:vAlign w:val="center"/>
          </w:tcPr>
          <w:p w14:paraId="2A170619">
            <w:pPr>
              <w:widowControl/>
              <w:jc w:val="left"/>
              <w:rPr>
                <w:rFonts w:ascii="宋体" w:hAnsi="宋体" w:cs="宋体"/>
                <w:kern w:val="0"/>
                <w:sz w:val="22"/>
              </w:rPr>
            </w:pPr>
            <w:r>
              <w:rPr>
                <w:rFonts w:hint="eastAsia" w:ascii="宋体" w:hAnsi="宋体" w:cs="宋体"/>
                <w:kern w:val="0"/>
                <w:sz w:val="22"/>
              </w:rPr>
              <w:t>1.镜头类型：超广角变焦</w:t>
            </w:r>
            <w:r>
              <w:rPr>
                <w:rFonts w:hint="eastAsia" w:ascii="宋体" w:hAnsi="宋体" w:cs="宋体"/>
                <w:kern w:val="0"/>
                <w:sz w:val="22"/>
              </w:rPr>
              <w:br w:type="textWrapping"/>
            </w:r>
            <w:r>
              <w:rPr>
                <w:rFonts w:hint="eastAsia" w:ascii="宋体" w:hAnsi="宋体" w:cs="宋体"/>
                <w:kern w:val="0"/>
                <w:sz w:val="22"/>
              </w:rPr>
              <w:t>2.AF/MF切换：支持</w:t>
            </w:r>
          </w:p>
          <w:p w14:paraId="03B03641">
            <w:pPr>
              <w:widowControl/>
              <w:jc w:val="left"/>
              <w:rPr>
                <w:rFonts w:ascii="宋体" w:hAnsi="宋体" w:cs="宋体"/>
                <w:kern w:val="0"/>
                <w:sz w:val="22"/>
              </w:rPr>
            </w:pPr>
            <w:r>
              <w:rPr>
                <w:rFonts w:ascii="宋体" w:hAnsi="宋体" w:cs="宋体"/>
                <w:kern w:val="0"/>
                <w:sz w:val="22"/>
              </w:rPr>
              <w:t>3</w:t>
            </w:r>
            <w:r>
              <w:rPr>
                <w:rFonts w:hint="eastAsia" w:ascii="宋体" w:hAnsi="宋体" w:cs="宋体"/>
                <w:kern w:val="0"/>
                <w:sz w:val="22"/>
              </w:rPr>
              <w:t>.最大光圈：F2.8恒定</w:t>
            </w:r>
            <w:r>
              <w:rPr>
                <w:rFonts w:hint="eastAsia" w:ascii="宋体" w:hAnsi="宋体" w:cs="宋体"/>
                <w:kern w:val="0"/>
                <w:sz w:val="22"/>
              </w:rPr>
              <w:br w:type="textWrapping"/>
            </w:r>
            <w:r>
              <w:rPr>
                <w:rFonts w:ascii="宋体" w:hAnsi="宋体" w:cs="宋体"/>
                <w:kern w:val="0"/>
                <w:sz w:val="22"/>
              </w:rPr>
              <w:t>4</w:t>
            </w:r>
            <w:r>
              <w:rPr>
                <w:rFonts w:hint="eastAsia" w:ascii="宋体" w:hAnsi="宋体" w:cs="宋体"/>
                <w:kern w:val="0"/>
                <w:sz w:val="22"/>
              </w:rPr>
              <w:t>.滤镜直径：82mm</w:t>
            </w:r>
          </w:p>
        </w:tc>
      </w:tr>
      <w:tr w14:paraId="0920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A05AA99">
            <w:pPr>
              <w:widowControl/>
              <w:jc w:val="center"/>
              <w:rPr>
                <w:rFonts w:ascii="宋体" w:hAnsi="宋体" w:cs="宋体"/>
                <w:kern w:val="0"/>
                <w:sz w:val="22"/>
              </w:rPr>
            </w:pPr>
            <w:r>
              <w:rPr>
                <w:rFonts w:hint="eastAsia" w:ascii="宋体" w:hAnsi="宋体" w:cs="宋体"/>
                <w:kern w:val="0"/>
                <w:sz w:val="22"/>
              </w:rPr>
              <w:t>移动摄制原配镜头2</w:t>
            </w:r>
          </w:p>
        </w:tc>
        <w:tc>
          <w:tcPr>
            <w:tcW w:w="7654" w:type="dxa"/>
            <w:tcBorders>
              <w:tl2br w:val="nil"/>
              <w:tr2bl w:val="nil"/>
            </w:tcBorders>
            <w:shd w:val="clear" w:color="000000" w:fill="FFFFFF"/>
            <w:vAlign w:val="center"/>
          </w:tcPr>
          <w:p w14:paraId="1E8EB18A">
            <w:pPr>
              <w:widowControl/>
              <w:jc w:val="left"/>
              <w:rPr>
                <w:rFonts w:ascii="宋体" w:hAnsi="宋体" w:cs="宋体"/>
                <w:kern w:val="0"/>
                <w:sz w:val="22"/>
              </w:rPr>
            </w:pPr>
            <w:r>
              <w:rPr>
                <w:rFonts w:hint="eastAsia" w:ascii="宋体" w:hAnsi="宋体" w:cs="宋体"/>
                <w:kern w:val="0"/>
                <w:sz w:val="22"/>
              </w:rPr>
              <w:t>1.镜头类型：标准变焦</w:t>
            </w:r>
            <w:r>
              <w:rPr>
                <w:rFonts w:hint="eastAsia" w:ascii="宋体" w:hAnsi="宋体" w:cs="宋体"/>
                <w:kern w:val="0"/>
                <w:sz w:val="22"/>
              </w:rPr>
              <w:br w:type="textWrapping"/>
            </w:r>
            <w:r>
              <w:rPr>
                <w:rFonts w:hint="eastAsia" w:ascii="宋体" w:hAnsi="宋体" w:cs="宋体"/>
                <w:kern w:val="0"/>
                <w:sz w:val="22"/>
              </w:rPr>
              <w:t>2.AF/MF切换：支持</w:t>
            </w:r>
            <w:r>
              <w:rPr>
                <w:rFonts w:hint="eastAsia" w:ascii="宋体" w:hAnsi="宋体" w:cs="宋体"/>
                <w:kern w:val="0"/>
                <w:sz w:val="22"/>
              </w:rPr>
              <w:br w:type="textWrapping"/>
            </w:r>
            <w:r>
              <w:rPr>
                <w:rFonts w:hint="eastAsia" w:ascii="宋体" w:hAnsi="宋体" w:cs="宋体"/>
                <w:kern w:val="0"/>
                <w:sz w:val="22"/>
              </w:rPr>
              <w:t>3.最大光圈：F2.8恒定</w:t>
            </w:r>
          </w:p>
        </w:tc>
      </w:tr>
      <w:tr w14:paraId="046E7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E3F050F">
            <w:pPr>
              <w:widowControl/>
              <w:jc w:val="center"/>
              <w:rPr>
                <w:rFonts w:ascii="宋体" w:hAnsi="宋体" w:cs="宋体"/>
                <w:kern w:val="0"/>
                <w:sz w:val="22"/>
              </w:rPr>
            </w:pPr>
            <w:r>
              <w:rPr>
                <w:rFonts w:hint="eastAsia" w:ascii="宋体" w:hAnsi="宋体" w:cs="宋体"/>
                <w:kern w:val="0"/>
                <w:sz w:val="22"/>
              </w:rPr>
              <w:t>三轴云台稳定器</w:t>
            </w:r>
          </w:p>
        </w:tc>
        <w:tc>
          <w:tcPr>
            <w:tcW w:w="7654" w:type="dxa"/>
            <w:tcBorders>
              <w:tl2br w:val="nil"/>
              <w:tr2bl w:val="nil"/>
            </w:tcBorders>
            <w:shd w:val="clear" w:color="000000" w:fill="FFFFFF"/>
            <w:vAlign w:val="center"/>
          </w:tcPr>
          <w:p w14:paraId="32FD30A9">
            <w:pPr>
              <w:widowControl/>
              <w:jc w:val="left"/>
              <w:rPr>
                <w:rFonts w:ascii="宋体" w:hAnsi="宋体" w:cs="宋体"/>
                <w:kern w:val="0"/>
                <w:sz w:val="22"/>
              </w:rPr>
            </w:pPr>
            <w:r>
              <w:rPr>
                <w:rFonts w:hint="eastAsia" w:ascii="宋体" w:hAnsi="宋体" w:cs="宋体"/>
                <w:kern w:val="0"/>
                <w:sz w:val="22"/>
              </w:rPr>
              <w:t>1.三轴防抖手持拍摄稳定器，负载重量不低于4.5 千克；</w:t>
            </w:r>
          </w:p>
          <w:p w14:paraId="22905D78">
            <w:pPr>
              <w:widowControl/>
              <w:jc w:val="left"/>
              <w:rPr>
                <w:rFonts w:ascii="宋体" w:hAnsi="宋体" w:cs="宋体"/>
                <w:kern w:val="0"/>
                <w:sz w:val="22"/>
              </w:rPr>
            </w:pPr>
            <w:r>
              <w:rPr>
                <w:rFonts w:hint="eastAsia" w:ascii="宋体" w:hAnsi="宋体" w:cs="宋体"/>
                <w:kern w:val="0"/>
                <w:sz w:val="22"/>
              </w:rPr>
              <w:t>2.OLED 触摸屏具有自动锁屏功能，拍摄时可避免误触。在锁屏状态下，屏幕还能以低亮度显示当前云台与摇杆模式，降低电量损耗；</w:t>
            </w:r>
          </w:p>
          <w:p w14:paraId="6F8F0C66">
            <w:pPr>
              <w:widowControl/>
              <w:jc w:val="left"/>
              <w:rPr>
                <w:rFonts w:ascii="宋体" w:hAnsi="宋体" w:cs="宋体"/>
                <w:kern w:val="0"/>
                <w:sz w:val="22"/>
              </w:rPr>
            </w:pPr>
            <w:r>
              <w:rPr>
                <w:rFonts w:hint="eastAsia" w:ascii="宋体" w:hAnsi="宋体" w:cs="宋体"/>
                <w:kern w:val="0"/>
                <w:sz w:val="22"/>
              </w:rPr>
              <w:t>3具备无线蓝牙直连，支持无线快门和无线变焦控制。当摇杆模式为变焦控制时，可通过摇杆进行 PZ 镜头电控变焦和清晰影像缩；</w:t>
            </w:r>
          </w:p>
          <w:p w14:paraId="250E6B69">
            <w:pPr>
              <w:widowControl/>
              <w:jc w:val="left"/>
              <w:rPr>
                <w:rFonts w:ascii="宋体" w:hAnsi="宋体" w:cs="宋体"/>
                <w:kern w:val="0"/>
                <w:sz w:val="22"/>
              </w:rPr>
            </w:pPr>
            <w:r>
              <w:rPr>
                <w:rFonts w:hint="eastAsia" w:ascii="宋体" w:hAnsi="宋体" w:cs="宋体"/>
                <w:kern w:val="0"/>
                <w:sz w:val="22"/>
              </w:rPr>
              <w:t>4.跟焦变焦双电机，支持远程控制；</w:t>
            </w:r>
          </w:p>
          <w:p w14:paraId="59195268">
            <w:pPr>
              <w:widowControl/>
              <w:jc w:val="left"/>
              <w:rPr>
                <w:rFonts w:ascii="宋体" w:hAnsi="宋体" w:cs="宋体"/>
                <w:kern w:val="0"/>
                <w:sz w:val="22"/>
              </w:rPr>
            </w:pPr>
            <w:r>
              <w:rPr>
                <w:rFonts w:hint="eastAsia" w:ascii="宋体" w:hAnsi="宋体" w:cs="宋体"/>
                <w:kern w:val="0"/>
                <w:sz w:val="22"/>
              </w:rPr>
              <w:t>5云台横版设计，便捷横竖拍切换；</w:t>
            </w:r>
          </w:p>
          <w:p w14:paraId="65317D96">
            <w:pPr>
              <w:widowControl/>
              <w:jc w:val="left"/>
              <w:rPr>
                <w:rFonts w:ascii="宋体" w:hAnsi="宋体" w:cs="宋体"/>
                <w:kern w:val="0"/>
                <w:sz w:val="22"/>
              </w:rPr>
            </w:pPr>
            <w:r>
              <w:rPr>
                <w:rFonts w:hint="eastAsia" w:ascii="宋体" w:hAnsi="宋体" w:cs="宋体"/>
                <w:kern w:val="0"/>
                <w:sz w:val="22"/>
              </w:rPr>
              <w:t>6.RSA 配件扩展接口／NATO 接口；</w:t>
            </w:r>
          </w:p>
          <w:p w14:paraId="2789E41E">
            <w:pPr>
              <w:widowControl/>
              <w:jc w:val="left"/>
              <w:rPr>
                <w:rFonts w:ascii="宋体" w:hAnsi="宋体" w:cs="宋体"/>
                <w:kern w:val="0"/>
                <w:sz w:val="22"/>
              </w:rPr>
            </w:pPr>
            <w:r>
              <w:rPr>
                <w:rFonts w:hint="eastAsia" w:ascii="宋体" w:hAnsi="宋体" w:cs="宋体"/>
                <w:kern w:val="0"/>
                <w:sz w:val="22"/>
              </w:rPr>
              <w:t>7.1/4"-20 安装孔；</w:t>
            </w:r>
          </w:p>
          <w:p w14:paraId="35831407">
            <w:pPr>
              <w:widowControl/>
              <w:jc w:val="left"/>
              <w:rPr>
                <w:rFonts w:ascii="宋体" w:hAnsi="宋体" w:cs="宋体"/>
                <w:kern w:val="0"/>
                <w:sz w:val="22"/>
              </w:rPr>
            </w:pPr>
            <w:r>
              <w:rPr>
                <w:rFonts w:hint="eastAsia" w:ascii="宋体" w:hAnsi="宋体" w:cs="宋体"/>
                <w:kern w:val="0"/>
                <w:sz w:val="22"/>
              </w:rPr>
              <w:t>8.冷靴接口；</w:t>
            </w:r>
          </w:p>
          <w:p w14:paraId="5849EF2F">
            <w:pPr>
              <w:widowControl/>
              <w:jc w:val="left"/>
              <w:rPr>
                <w:rFonts w:ascii="宋体" w:hAnsi="宋体" w:cs="宋体"/>
                <w:kern w:val="0"/>
                <w:sz w:val="22"/>
              </w:rPr>
            </w:pPr>
            <w:r>
              <w:rPr>
                <w:rFonts w:hint="eastAsia" w:ascii="宋体" w:hAnsi="宋体" w:cs="宋体"/>
                <w:kern w:val="0"/>
                <w:sz w:val="22"/>
              </w:rPr>
              <w:t>9.图传／LiDAR 测距器接口（USB-C）；</w:t>
            </w:r>
          </w:p>
          <w:p w14:paraId="1EDD629A">
            <w:pPr>
              <w:widowControl/>
              <w:jc w:val="left"/>
              <w:rPr>
                <w:rFonts w:ascii="宋体" w:hAnsi="宋体" w:cs="宋体"/>
                <w:kern w:val="0"/>
                <w:sz w:val="22"/>
              </w:rPr>
            </w:pPr>
            <w:r>
              <w:rPr>
                <w:rFonts w:hint="eastAsia" w:ascii="宋体" w:hAnsi="宋体" w:cs="宋体"/>
                <w:kern w:val="0"/>
                <w:sz w:val="22"/>
              </w:rPr>
              <w:t>10.RSS 相机快门控制接口（USB-C）；</w:t>
            </w:r>
          </w:p>
          <w:p w14:paraId="666E6221">
            <w:pPr>
              <w:widowControl/>
              <w:jc w:val="left"/>
              <w:rPr>
                <w:rFonts w:ascii="宋体" w:hAnsi="宋体" w:cs="宋体"/>
                <w:kern w:val="0"/>
                <w:sz w:val="22"/>
              </w:rPr>
            </w:pPr>
            <w:r>
              <w:rPr>
                <w:rFonts w:hint="eastAsia" w:ascii="宋体" w:hAnsi="宋体" w:cs="宋体"/>
                <w:kern w:val="0"/>
                <w:sz w:val="22"/>
              </w:rPr>
              <w:t>11.跟焦电机接口（USB-C）；</w:t>
            </w:r>
          </w:p>
          <w:p w14:paraId="19DC50B7">
            <w:pPr>
              <w:widowControl/>
              <w:jc w:val="left"/>
              <w:rPr>
                <w:rFonts w:ascii="宋体" w:hAnsi="宋体" w:cs="宋体"/>
                <w:kern w:val="0"/>
                <w:sz w:val="22"/>
              </w:rPr>
            </w:pPr>
            <w:r>
              <w:rPr>
                <w:rFonts w:hint="eastAsia" w:ascii="宋体" w:hAnsi="宋体" w:cs="宋体"/>
                <w:kern w:val="0"/>
                <w:sz w:val="22"/>
              </w:rPr>
              <w:t>12.电池容量：不小于1950 毫安时。</w:t>
            </w:r>
          </w:p>
        </w:tc>
      </w:tr>
      <w:tr w14:paraId="0CA6E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983AFB9">
            <w:pPr>
              <w:widowControl/>
              <w:jc w:val="center"/>
              <w:rPr>
                <w:rFonts w:ascii="宋体" w:hAnsi="宋体" w:cs="宋体"/>
                <w:kern w:val="0"/>
                <w:sz w:val="22"/>
              </w:rPr>
            </w:pPr>
            <w:r>
              <w:rPr>
                <w:rFonts w:hint="eastAsia" w:ascii="宋体" w:hAnsi="宋体" w:cs="宋体"/>
                <w:kern w:val="0"/>
                <w:sz w:val="22"/>
              </w:rPr>
              <w:t>移动组合桌</w:t>
            </w:r>
          </w:p>
        </w:tc>
        <w:tc>
          <w:tcPr>
            <w:tcW w:w="7654" w:type="dxa"/>
            <w:tcBorders>
              <w:tl2br w:val="nil"/>
              <w:tr2bl w:val="nil"/>
            </w:tcBorders>
            <w:shd w:val="clear" w:color="000000" w:fill="FFFFFF"/>
            <w:vAlign w:val="center"/>
          </w:tcPr>
          <w:p w14:paraId="4E9EF12B">
            <w:pPr>
              <w:widowControl/>
              <w:jc w:val="left"/>
              <w:rPr>
                <w:rFonts w:ascii="宋体" w:hAnsi="宋体" w:cs="宋体"/>
                <w:kern w:val="0"/>
                <w:sz w:val="22"/>
              </w:rPr>
            </w:pPr>
            <w:r>
              <w:rPr>
                <w:rFonts w:hint="eastAsia" w:ascii="宋体" w:hAnsi="宋体" w:cs="宋体"/>
                <w:kern w:val="0"/>
                <w:sz w:val="22"/>
              </w:rPr>
              <w:t>尺寸：≥800*550*750 mm （扇形桌） 6拼直径≥1600mm；</w:t>
            </w:r>
            <w:r>
              <w:rPr>
                <w:rFonts w:hint="eastAsia" w:ascii="宋体" w:hAnsi="宋体" w:cs="宋体"/>
                <w:kern w:val="0"/>
                <w:sz w:val="22"/>
              </w:rPr>
              <w:br w:type="textWrapping"/>
            </w:r>
            <w:r>
              <w:rPr>
                <w:rFonts w:hint="eastAsia" w:ascii="宋体" w:hAnsi="宋体" w:cs="宋体"/>
                <w:kern w:val="0"/>
                <w:sz w:val="22"/>
              </w:rPr>
              <w:t>1.木板：采用国家E1环保标准级别面板≥25mm厚实木颗粒板</w:t>
            </w:r>
            <w:r>
              <w:rPr>
                <w:rFonts w:hint="eastAsia" w:ascii="宋体" w:hAnsi="宋体" w:cs="宋体"/>
                <w:kern w:val="0"/>
                <w:sz w:val="22"/>
              </w:rPr>
              <w:br w:type="textWrapping"/>
            </w:r>
            <w:r>
              <w:rPr>
                <w:rFonts w:hint="eastAsia" w:ascii="宋体" w:hAnsi="宋体" w:cs="宋体"/>
                <w:kern w:val="0"/>
                <w:sz w:val="22"/>
              </w:rPr>
              <w:t>2.脚架：前脚采用≥30*60MM蛋型壁厚≥1.2MM冷轧钢管，后脚采用≥25*50MM蛋型冷轧钢管（壁厚≥1.2MM)</w:t>
            </w:r>
            <w:r>
              <w:rPr>
                <w:rFonts w:hint="eastAsia" w:ascii="宋体" w:hAnsi="宋体" w:cs="宋体"/>
                <w:kern w:val="0"/>
                <w:sz w:val="22"/>
              </w:rPr>
              <w:br w:type="textWrapping"/>
            </w:r>
            <w:r>
              <w:rPr>
                <w:rFonts w:hint="eastAsia" w:ascii="宋体" w:hAnsi="宋体" w:cs="宋体"/>
                <w:kern w:val="0"/>
                <w:sz w:val="22"/>
              </w:rPr>
              <w:t>3.书网：采用优质圆形钢管</w:t>
            </w:r>
            <w:r>
              <w:rPr>
                <w:rFonts w:hint="eastAsia" w:ascii="宋体" w:hAnsi="宋体" w:cs="宋体"/>
                <w:kern w:val="0"/>
                <w:sz w:val="22"/>
              </w:rPr>
              <w:br w:type="textWrapping"/>
            </w:r>
            <w:r>
              <w:rPr>
                <w:rFonts w:hint="eastAsia" w:ascii="宋体" w:hAnsi="宋体" w:cs="宋体"/>
                <w:kern w:val="0"/>
                <w:sz w:val="22"/>
              </w:rPr>
              <w:t>4.上托：采用≥3.0MM壁厚优质冷轧钢板经冲压折弯工艺而成</w:t>
            </w:r>
            <w:r>
              <w:rPr>
                <w:rFonts w:hint="eastAsia" w:ascii="宋体" w:hAnsi="宋体" w:cs="宋体"/>
                <w:kern w:val="0"/>
                <w:sz w:val="22"/>
              </w:rPr>
              <w:br w:type="textWrapping"/>
            </w:r>
            <w:r>
              <w:rPr>
                <w:rFonts w:hint="eastAsia" w:ascii="宋体" w:hAnsi="宋体" w:cs="宋体"/>
                <w:kern w:val="0"/>
                <w:sz w:val="22"/>
              </w:rPr>
              <w:t>5.连接杆：采用φ50MM优质圆形冷轧钢管（壁厚≥1.2MM)</w:t>
            </w:r>
            <w:r>
              <w:rPr>
                <w:rFonts w:hint="eastAsia" w:ascii="宋体" w:hAnsi="宋体" w:cs="宋体"/>
                <w:kern w:val="0"/>
                <w:sz w:val="22"/>
              </w:rPr>
              <w:br w:type="textWrapping"/>
            </w:r>
            <w:r>
              <w:rPr>
                <w:rFonts w:hint="eastAsia" w:ascii="宋体" w:hAnsi="宋体" w:cs="宋体"/>
                <w:kern w:val="0"/>
                <w:sz w:val="22"/>
              </w:rPr>
              <w:t>6.台架整体表面采用高温静电酸洗磷化喷涂处理</w:t>
            </w:r>
            <w:r>
              <w:rPr>
                <w:rFonts w:hint="eastAsia" w:ascii="宋体" w:hAnsi="宋体" w:cs="宋体"/>
                <w:kern w:val="0"/>
                <w:sz w:val="22"/>
              </w:rPr>
              <w:br w:type="textWrapping"/>
            </w:r>
            <w:r>
              <w:rPr>
                <w:rFonts w:hint="eastAsia" w:ascii="宋体" w:hAnsi="宋体" w:cs="宋体"/>
                <w:kern w:val="0"/>
                <w:sz w:val="22"/>
              </w:rPr>
              <w:t>7.脚轮：采用φ50MM优质尼龙材质，万向带刹车轮</w:t>
            </w:r>
          </w:p>
        </w:tc>
      </w:tr>
      <w:tr w14:paraId="1BD5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F9E63ED">
            <w:pPr>
              <w:widowControl/>
              <w:jc w:val="center"/>
              <w:rPr>
                <w:rFonts w:ascii="宋体" w:hAnsi="宋体" w:cs="宋体"/>
                <w:kern w:val="0"/>
                <w:sz w:val="22"/>
              </w:rPr>
            </w:pPr>
            <w:r>
              <w:rPr>
                <w:rFonts w:hint="eastAsia" w:ascii="宋体" w:hAnsi="宋体" w:cs="宋体"/>
                <w:kern w:val="0"/>
                <w:sz w:val="22"/>
              </w:rPr>
              <w:t>学习椅</w:t>
            </w:r>
          </w:p>
        </w:tc>
        <w:tc>
          <w:tcPr>
            <w:tcW w:w="7654" w:type="dxa"/>
            <w:tcBorders>
              <w:tl2br w:val="nil"/>
              <w:tr2bl w:val="nil"/>
            </w:tcBorders>
            <w:shd w:val="clear" w:color="000000" w:fill="FFFFFF"/>
            <w:vAlign w:val="center"/>
          </w:tcPr>
          <w:p w14:paraId="53C0EA89">
            <w:pPr>
              <w:widowControl/>
              <w:jc w:val="left"/>
              <w:rPr>
                <w:rFonts w:ascii="宋体" w:hAnsi="宋体" w:cs="宋体"/>
                <w:kern w:val="0"/>
                <w:sz w:val="22"/>
              </w:rPr>
            </w:pPr>
            <w:r>
              <w:rPr>
                <w:rFonts w:hint="eastAsia" w:ascii="宋体" w:hAnsi="宋体" w:cs="宋体"/>
                <w:kern w:val="0"/>
                <w:sz w:val="22"/>
              </w:rPr>
              <w:t>尺寸：≥500mm*380mm*450mm±10mm，椅背高≥340mm；</w:t>
            </w:r>
            <w:r>
              <w:rPr>
                <w:rFonts w:hint="eastAsia" w:ascii="宋体" w:hAnsi="宋体" w:cs="宋体"/>
                <w:kern w:val="0"/>
                <w:sz w:val="22"/>
              </w:rPr>
              <w:br w:type="textWrapping"/>
            </w:r>
            <w:r>
              <w:rPr>
                <w:rFonts w:hint="eastAsia" w:ascii="宋体" w:hAnsi="宋体" w:cs="宋体"/>
                <w:kern w:val="0"/>
                <w:sz w:val="22"/>
              </w:rPr>
              <w:t>椅背：椅背：采用原生PP材料添加适量玻璃纤维，通过一次性注塑成型</w:t>
            </w:r>
            <w:r>
              <w:rPr>
                <w:rFonts w:hint="eastAsia" w:ascii="宋体" w:hAnsi="宋体" w:cs="宋体"/>
                <w:kern w:val="0"/>
                <w:sz w:val="22"/>
              </w:rPr>
              <w:br w:type="textWrapping"/>
            </w:r>
            <w:r>
              <w:rPr>
                <w:rFonts w:hint="eastAsia" w:ascii="宋体" w:hAnsi="宋体" w:cs="宋体"/>
                <w:kern w:val="0"/>
                <w:sz w:val="22"/>
              </w:rPr>
              <w:t>椅轮：采用PP全新塑料，一次性注塑成型，防滑，耐冲击，耐抗压，耐磨，静音，简洁美观。（可换固定脚垫）</w:t>
            </w:r>
            <w:r>
              <w:rPr>
                <w:rFonts w:hint="eastAsia" w:ascii="宋体" w:hAnsi="宋体" w:cs="宋体"/>
                <w:kern w:val="0"/>
                <w:sz w:val="22"/>
              </w:rPr>
              <w:br w:type="textWrapping"/>
            </w:r>
            <w:r>
              <w:rPr>
                <w:rFonts w:hint="eastAsia" w:ascii="宋体" w:hAnsi="宋体" w:cs="宋体"/>
                <w:kern w:val="0"/>
                <w:sz w:val="22"/>
              </w:rPr>
              <w:t>椅架：采用异型管≥32*18MM，壁厚≥1.5mm，经过高精密焊接技术，确保焊接表面波纹均匀，焊接处无夹渣、气孔、焊瘤，焊丝咬边和飞溅，无脱焊、虚焊和焊空的现象，确保椅架坚固耐用且外观优雅。</w:t>
            </w:r>
            <w:r>
              <w:rPr>
                <w:rFonts w:hint="eastAsia" w:ascii="宋体" w:hAnsi="宋体" w:cs="宋体"/>
                <w:kern w:val="0"/>
                <w:sz w:val="22"/>
              </w:rPr>
              <w:br w:type="textWrapping"/>
            </w:r>
            <w:r>
              <w:rPr>
                <w:rFonts w:hint="eastAsia" w:ascii="宋体" w:hAnsi="宋体" w:cs="宋体"/>
                <w:kern w:val="0"/>
                <w:sz w:val="22"/>
              </w:rPr>
              <w:t>扶手： 采用原生PP材料添加适量玻璃纤维，通过一次性注塑成型，扶手内置加强钢筋，使其更加坚固，既保证了舒适的坐感，又提供了更强的承重能力。</w:t>
            </w:r>
            <w:r>
              <w:rPr>
                <w:rFonts w:hint="eastAsia" w:ascii="宋体" w:hAnsi="宋体" w:cs="宋体"/>
                <w:kern w:val="0"/>
                <w:sz w:val="22"/>
              </w:rPr>
              <w:br w:type="textWrapping"/>
            </w:r>
            <w:r>
              <w:rPr>
                <w:rFonts w:hint="eastAsia" w:ascii="宋体" w:hAnsi="宋体" w:cs="宋体"/>
                <w:kern w:val="0"/>
                <w:sz w:val="22"/>
              </w:rPr>
              <w:t>椅子承重能力：能够承受150公斤的重物，不易发生破裂或变形。</w:t>
            </w:r>
          </w:p>
        </w:tc>
      </w:tr>
      <w:tr w14:paraId="6846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36E9EE48">
            <w:pPr>
              <w:widowControl/>
              <w:jc w:val="center"/>
              <w:rPr>
                <w:rFonts w:ascii="宋体" w:hAnsi="宋体" w:cs="宋体"/>
                <w:kern w:val="0"/>
                <w:sz w:val="22"/>
              </w:rPr>
            </w:pPr>
            <w:r>
              <w:rPr>
                <w:rFonts w:hint="eastAsia" w:ascii="宋体" w:hAnsi="宋体" w:cs="宋体"/>
                <w:kern w:val="0"/>
                <w:sz w:val="22"/>
              </w:rPr>
              <w:t>观摩椅</w:t>
            </w:r>
          </w:p>
        </w:tc>
        <w:tc>
          <w:tcPr>
            <w:tcW w:w="7654" w:type="dxa"/>
            <w:tcBorders>
              <w:tl2br w:val="nil"/>
              <w:tr2bl w:val="nil"/>
            </w:tcBorders>
            <w:shd w:val="clear" w:color="000000" w:fill="FFFFFF"/>
            <w:vAlign w:val="center"/>
          </w:tcPr>
          <w:p w14:paraId="4B9AC2C0">
            <w:pPr>
              <w:widowControl/>
              <w:jc w:val="left"/>
              <w:rPr>
                <w:rFonts w:ascii="宋体" w:hAnsi="宋体" w:cs="宋体"/>
                <w:kern w:val="0"/>
                <w:sz w:val="22"/>
              </w:rPr>
            </w:pPr>
            <w:r>
              <w:rPr>
                <w:rFonts w:hint="eastAsia" w:ascii="宋体" w:hAnsi="宋体" w:cs="宋体"/>
                <w:kern w:val="0"/>
                <w:sz w:val="22"/>
              </w:rPr>
              <w:t>尺寸：≥640*560*865Hmm；</w:t>
            </w:r>
            <w:r>
              <w:rPr>
                <w:rFonts w:hint="eastAsia" w:ascii="宋体" w:hAnsi="宋体" w:cs="宋体"/>
                <w:kern w:val="0"/>
                <w:sz w:val="22"/>
              </w:rPr>
              <w:br w:type="textWrapping"/>
            </w:r>
            <w:r>
              <w:rPr>
                <w:rFonts w:hint="eastAsia" w:ascii="宋体" w:hAnsi="宋体" w:cs="宋体"/>
                <w:kern w:val="0"/>
                <w:sz w:val="22"/>
              </w:rPr>
              <w:t>背架全新PA+玻纤，一体注塑成型，环保防火 ，舒适透气网，美观耐用靠背倾仰机构设计，</w:t>
            </w:r>
            <w:r>
              <w:rPr>
                <w:rFonts w:hint="eastAsia" w:ascii="宋体" w:hAnsi="宋体" w:cs="宋体"/>
                <w:kern w:val="0"/>
                <w:sz w:val="22"/>
              </w:rPr>
              <w:br w:type="textWrapping"/>
            </w:r>
            <w:r>
              <w:rPr>
                <w:rFonts w:hint="eastAsia" w:ascii="宋体" w:hAnsi="宋体" w:cs="宋体"/>
                <w:kern w:val="0"/>
                <w:sz w:val="22"/>
              </w:rPr>
              <w:t>有效缓解疲劳座垫采用防阻燃定型海绵，舒适透气T1.5mm定制异型管，喷涂支架，金属质感，</w:t>
            </w:r>
            <w:r>
              <w:rPr>
                <w:rFonts w:hint="eastAsia" w:ascii="宋体" w:hAnsi="宋体" w:cs="宋体"/>
                <w:kern w:val="0"/>
                <w:sz w:val="22"/>
              </w:rPr>
              <w:br w:type="textWrapping"/>
            </w:r>
            <w:r>
              <w:rPr>
                <w:rFonts w:hint="eastAsia" w:ascii="宋体" w:hAnsi="宋体" w:cs="宋体"/>
                <w:kern w:val="0"/>
                <w:sz w:val="22"/>
              </w:rPr>
              <w:t>稳固性强，可折叠收纳,PA固定脚垫灵活旋转写字板</w:t>
            </w:r>
          </w:p>
        </w:tc>
      </w:tr>
      <w:tr w14:paraId="165B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1F02EFFD">
            <w:pPr>
              <w:widowControl/>
              <w:jc w:val="center"/>
              <w:rPr>
                <w:rFonts w:ascii="宋体" w:hAnsi="宋体" w:cs="宋体"/>
                <w:kern w:val="0"/>
                <w:sz w:val="22"/>
              </w:rPr>
            </w:pPr>
            <w:r>
              <w:rPr>
                <w:rFonts w:hint="eastAsia" w:ascii="宋体" w:hAnsi="宋体" w:cs="宋体"/>
                <w:kern w:val="0"/>
                <w:sz w:val="22"/>
              </w:rPr>
              <w:t>导播终端</w:t>
            </w:r>
          </w:p>
        </w:tc>
        <w:tc>
          <w:tcPr>
            <w:tcW w:w="7654" w:type="dxa"/>
            <w:tcBorders>
              <w:tl2br w:val="nil"/>
              <w:tr2bl w:val="nil"/>
            </w:tcBorders>
            <w:shd w:val="clear" w:color="000000" w:fill="FFFFFF"/>
            <w:vAlign w:val="center"/>
          </w:tcPr>
          <w:p w14:paraId="3995721E">
            <w:pPr>
              <w:widowControl/>
              <w:jc w:val="left"/>
              <w:rPr>
                <w:rFonts w:ascii="宋体" w:hAnsi="宋体" w:cs="宋体"/>
                <w:kern w:val="0"/>
                <w:sz w:val="22"/>
              </w:rPr>
            </w:pPr>
            <w:r>
              <w:rPr>
                <w:rFonts w:hint="eastAsia" w:ascii="宋体" w:hAnsi="宋体" w:cs="宋体"/>
                <w:kern w:val="0"/>
                <w:sz w:val="22"/>
              </w:rPr>
              <w:t>海光3350（3.0Ghz）/ 8G /256G SSD/2G独显/23.8低蓝光显示器</w:t>
            </w:r>
          </w:p>
        </w:tc>
      </w:tr>
      <w:tr w14:paraId="270E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723A3BCB">
            <w:pPr>
              <w:widowControl/>
              <w:jc w:val="center"/>
              <w:rPr>
                <w:rFonts w:ascii="宋体" w:hAnsi="宋体" w:cs="宋体"/>
                <w:kern w:val="0"/>
                <w:sz w:val="22"/>
              </w:rPr>
            </w:pPr>
            <w:r>
              <w:rPr>
                <w:rFonts w:hint="eastAsia" w:ascii="宋体" w:hAnsi="宋体" w:cs="宋体"/>
                <w:kern w:val="0"/>
                <w:sz w:val="22"/>
              </w:rPr>
              <w:t>中控室操作台</w:t>
            </w:r>
          </w:p>
        </w:tc>
        <w:tc>
          <w:tcPr>
            <w:tcW w:w="7654" w:type="dxa"/>
            <w:tcBorders>
              <w:tl2br w:val="nil"/>
              <w:tr2bl w:val="nil"/>
            </w:tcBorders>
            <w:shd w:val="clear" w:color="000000" w:fill="FFFFFF"/>
            <w:vAlign w:val="center"/>
          </w:tcPr>
          <w:p w14:paraId="0D16F971">
            <w:pPr>
              <w:widowControl/>
              <w:jc w:val="left"/>
              <w:rPr>
                <w:rFonts w:ascii="宋体" w:hAnsi="宋体" w:cs="宋体"/>
                <w:kern w:val="0"/>
                <w:sz w:val="22"/>
              </w:rPr>
            </w:pPr>
            <w:r>
              <w:rPr>
                <w:rFonts w:hint="eastAsia" w:ascii="宋体" w:hAnsi="宋体" w:cs="宋体"/>
                <w:kern w:val="0"/>
                <w:sz w:val="22"/>
              </w:rPr>
              <w:t>1.尺寸≥1200mm*750mm*900mm</w:t>
            </w:r>
            <w:r>
              <w:rPr>
                <w:rFonts w:hint="eastAsia" w:ascii="宋体" w:hAnsi="宋体" w:cs="宋体"/>
                <w:kern w:val="0"/>
                <w:sz w:val="22"/>
              </w:rPr>
              <w:br w:type="textWrapping"/>
            </w:r>
            <w:r>
              <w:rPr>
                <w:rFonts w:hint="eastAsia" w:ascii="宋体" w:hAnsi="宋体" w:cs="宋体"/>
                <w:kern w:val="0"/>
                <w:sz w:val="22"/>
              </w:rPr>
              <w:t>2.台面材质：灰色铁质围边台面1.2mm冷轧钢板环保耐用。</w:t>
            </w:r>
            <w:r>
              <w:rPr>
                <w:rFonts w:hint="eastAsia" w:ascii="宋体" w:hAnsi="宋体" w:cs="宋体"/>
                <w:kern w:val="0"/>
                <w:sz w:val="22"/>
              </w:rPr>
              <w:br w:type="textWrapping"/>
            </w:r>
            <w:r>
              <w:rPr>
                <w:rFonts w:hint="eastAsia" w:ascii="宋体" w:hAnsi="宋体" w:cs="宋体"/>
                <w:kern w:val="0"/>
                <w:sz w:val="22"/>
              </w:rPr>
              <w:t>3.整体结构：侧板1.0mm冷轧钢板前框后框1.Omm冷轧钢板立粱厚度为1.0mm(全部采用环保冷轧钢板所制)</w:t>
            </w:r>
            <w:r>
              <w:rPr>
                <w:rFonts w:hint="eastAsia" w:ascii="宋体" w:hAnsi="宋体" w:cs="宋体"/>
                <w:kern w:val="0"/>
                <w:sz w:val="22"/>
              </w:rPr>
              <w:br w:type="textWrapping"/>
            </w:r>
            <w:r>
              <w:rPr>
                <w:rFonts w:hint="eastAsia" w:ascii="宋体" w:hAnsi="宋体" w:cs="宋体"/>
                <w:kern w:val="0"/>
                <w:sz w:val="22"/>
              </w:rPr>
              <w:t>4.表面处理：脱脂磷化静电喷涂,箱体采用符合SGS要求的环保塑粉</w:t>
            </w:r>
          </w:p>
        </w:tc>
      </w:tr>
      <w:tr w14:paraId="446D8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ACDE6D7">
            <w:pPr>
              <w:widowControl/>
              <w:jc w:val="center"/>
              <w:rPr>
                <w:rFonts w:ascii="宋体" w:hAnsi="宋体" w:cs="宋体"/>
                <w:kern w:val="0"/>
                <w:sz w:val="22"/>
              </w:rPr>
            </w:pPr>
            <w:r>
              <w:rPr>
                <w:rFonts w:hint="eastAsia" w:ascii="宋体" w:hAnsi="宋体" w:cs="宋体"/>
                <w:kern w:val="0"/>
                <w:sz w:val="22"/>
              </w:rPr>
              <w:t>操作椅</w:t>
            </w:r>
          </w:p>
        </w:tc>
        <w:tc>
          <w:tcPr>
            <w:tcW w:w="7654" w:type="dxa"/>
            <w:tcBorders>
              <w:tl2br w:val="nil"/>
              <w:tr2bl w:val="nil"/>
            </w:tcBorders>
            <w:shd w:val="clear" w:color="000000" w:fill="FFFFFF"/>
            <w:vAlign w:val="center"/>
          </w:tcPr>
          <w:p w14:paraId="508493A7">
            <w:pPr>
              <w:widowControl/>
              <w:jc w:val="left"/>
              <w:rPr>
                <w:rFonts w:ascii="宋体" w:hAnsi="宋体" w:cs="宋体"/>
                <w:kern w:val="0"/>
                <w:sz w:val="22"/>
              </w:rPr>
            </w:pPr>
            <w:r>
              <w:rPr>
                <w:rFonts w:hint="eastAsia" w:ascii="宋体" w:hAnsi="宋体" w:cs="宋体"/>
                <w:kern w:val="0"/>
                <w:sz w:val="22"/>
              </w:rPr>
              <w:t>1.椅背：透气网布，背框采用高强度尼龙，S型设计；</w:t>
            </w:r>
            <w:r>
              <w:rPr>
                <w:rFonts w:hint="eastAsia" w:ascii="宋体" w:hAnsi="宋体" w:cs="宋体"/>
                <w:kern w:val="0"/>
                <w:sz w:val="22"/>
              </w:rPr>
              <w:br w:type="textWrapping"/>
            </w:r>
            <w:r>
              <w:rPr>
                <w:rFonts w:hint="eastAsia" w:ascii="宋体" w:hAnsi="宋体" w:cs="宋体"/>
                <w:kern w:val="0"/>
                <w:sz w:val="22"/>
              </w:rPr>
              <w:t>2.坐垫：透气网布，填充记忆海绵；</w:t>
            </w:r>
            <w:r>
              <w:rPr>
                <w:rFonts w:hint="eastAsia" w:ascii="宋体" w:hAnsi="宋体" w:cs="宋体"/>
                <w:kern w:val="0"/>
                <w:sz w:val="22"/>
              </w:rPr>
              <w:br w:type="textWrapping"/>
            </w:r>
            <w:r>
              <w:rPr>
                <w:rFonts w:hint="eastAsia" w:ascii="宋体" w:hAnsi="宋体" w:cs="宋体"/>
                <w:kern w:val="0"/>
                <w:sz w:val="22"/>
              </w:rPr>
              <w:t>3.框架：钢管材质，配套加固螺钉，人体工程学设计；</w:t>
            </w:r>
            <w:r>
              <w:rPr>
                <w:rFonts w:hint="eastAsia" w:ascii="宋体" w:hAnsi="宋体" w:cs="宋体"/>
                <w:kern w:val="0"/>
                <w:sz w:val="22"/>
              </w:rPr>
              <w:br w:type="textWrapping"/>
            </w:r>
            <w:r>
              <w:rPr>
                <w:rFonts w:hint="eastAsia" w:ascii="宋体" w:hAnsi="宋体" w:cs="宋体"/>
                <w:kern w:val="0"/>
                <w:sz w:val="22"/>
              </w:rPr>
              <w:t>4.扶手：PP塑料曲线形扶手设计；</w:t>
            </w:r>
            <w:r>
              <w:rPr>
                <w:rFonts w:hint="eastAsia" w:ascii="宋体" w:hAnsi="宋体" w:cs="宋体"/>
                <w:kern w:val="0"/>
                <w:sz w:val="22"/>
              </w:rPr>
              <w:br w:type="textWrapping"/>
            </w:r>
            <w:r>
              <w:rPr>
                <w:rFonts w:hint="eastAsia" w:ascii="宋体" w:hAnsi="宋体" w:cs="宋体"/>
                <w:kern w:val="0"/>
                <w:sz w:val="22"/>
              </w:rPr>
              <w:t>5.脚垫：高强度尼龙防滑垫。</w:t>
            </w:r>
          </w:p>
        </w:tc>
      </w:tr>
      <w:tr w14:paraId="144A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0F6414F8">
            <w:pPr>
              <w:widowControl/>
              <w:jc w:val="center"/>
              <w:rPr>
                <w:rFonts w:ascii="宋体" w:hAnsi="宋体" w:cs="宋体"/>
                <w:kern w:val="0"/>
                <w:sz w:val="22"/>
              </w:rPr>
            </w:pPr>
            <w:r>
              <w:rPr>
                <w:rFonts w:hint="eastAsia" w:ascii="宋体" w:hAnsi="宋体" w:cs="宋体"/>
                <w:kern w:val="0"/>
                <w:sz w:val="22"/>
              </w:rPr>
              <w:t>系统集成</w:t>
            </w:r>
          </w:p>
        </w:tc>
        <w:tc>
          <w:tcPr>
            <w:tcW w:w="7654" w:type="dxa"/>
            <w:tcBorders>
              <w:tl2br w:val="nil"/>
              <w:tr2bl w:val="nil"/>
            </w:tcBorders>
            <w:shd w:val="clear" w:color="000000" w:fill="FFFFFF"/>
            <w:vAlign w:val="center"/>
          </w:tcPr>
          <w:p w14:paraId="6E1A0966">
            <w:pPr>
              <w:widowControl/>
              <w:jc w:val="left"/>
              <w:rPr>
                <w:rFonts w:ascii="宋体" w:hAnsi="宋体" w:cs="宋体"/>
                <w:kern w:val="0"/>
                <w:sz w:val="22"/>
              </w:rPr>
            </w:pPr>
            <w:r>
              <w:rPr>
                <w:rFonts w:hint="eastAsia" w:ascii="宋体" w:hAnsi="宋体" w:cs="宋体"/>
                <w:kern w:val="0"/>
                <w:sz w:val="22"/>
              </w:rPr>
              <w:t>包含所有设备的指定地点安装、调试、测试以及安装所需的所有配套线缆辅材、插线板、分配器等</w:t>
            </w:r>
          </w:p>
        </w:tc>
      </w:tr>
      <w:tr w14:paraId="1748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F7CD844">
            <w:pPr>
              <w:widowControl/>
              <w:jc w:val="center"/>
              <w:rPr>
                <w:rFonts w:ascii="宋体" w:hAnsi="宋体" w:cs="宋体"/>
                <w:kern w:val="0"/>
                <w:sz w:val="22"/>
              </w:rPr>
            </w:pPr>
            <w:r>
              <w:rPr>
                <w:rFonts w:hint="eastAsia" w:ascii="宋体" w:hAnsi="宋体" w:cs="宋体"/>
                <w:kern w:val="0"/>
                <w:sz w:val="22"/>
              </w:rPr>
              <w:t>文化布置</w:t>
            </w:r>
          </w:p>
        </w:tc>
        <w:tc>
          <w:tcPr>
            <w:tcW w:w="7654" w:type="dxa"/>
            <w:tcBorders>
              <w:tl2br w:val="nil"/>
              <w:tr2bl w:val="nil"/>
            </w:tcBorders>
            <w:shd w:val="clear" w:color="000000" w:fill="FFFFFF"/>
            <w:vAlign w:val="center"/>
          </w:tcPr>
          <w:p w14:paraId="4011765A">
            <w:pPr>
              <w:widowControl/>
              <w:jc w:val="left"/>
              <w:rPr>
                <w:rFonts w:ascii="宋体" w:hAnsi="宋体" w:cs="宋体"/>
                <w:kern w:val="0"/>
                <w:sz w:val="22"/>
              </w:rPr>
            </w:pPr>
            <w:r>
              <w:rPr>
                <w:rFonts w:hint="eastAsia" w:ascii="宋体" w:hAnsi="宋体" w:cs="宋体"/>
                <w:kern w:val="0"/>
                <w:sz w:val="22"/>
              </w:rPr>
              <w:t>根据学校要求定制，含教室所有窗户玻纤卷帘（玻纤含量≥30%）及单向可视观察窗的文创定制。</w:t>
            </w:r>
          </w:p>
        </w:tc>
      </w:tr>
      <w:tr w14:paraId="51A3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6E99F4D0">
            <w:pPr>
              <w:widowControl/>
              <w:jc w:val="center"/>
              <w:rPr>
                <w:rFonts w:ascii="宋体" w:hAnsi="宋体" w:cs="宋体"/>
                <w:kern w:val="0"/>
                <w:sz w:val="22"/>
              </w:rPr>
            </w:pPr>
            <w:r>
              <w:rPr>
                <w:rFonts w:hint="eastAsia" w:ascii="宋体" w:hAnsi="宋体" w:cs="宋体"/>
                <w:kern w:val="0"/>
                <w:sz w:val="22"/>
              </w:rPr>
              <w:t>WIFI7接入点（含接入管理授权）</w:t>
            </w:r>
          </w:p>
        </w:tc>
        <w:tc>
          <w:tcPr>
            <w:tcW w:w="7654" w:type="dxa"/>
            <w:tcBorders>
              <w:tl2br w:val="nil"/>
              <w:tr2bl w:val="nil"/>
            </w:tcBorders>
            <w:shd w:val="clear" w:color="000000" w:fill="FFFFFF"/>
            <w:vAlign w:val="center"/>
          </w:tcPr>
          <w:p w14:paraId="73655551">
            <w:pPr>
              <w:widowControl/>
              <w:jc w:val="left"/>
              <w:rPr>
                <w:rFonts w:ascii="宋体" w:hAnsi="宋体" w:cs="宋体"/>
                <w:kern w:val="0"/>
                <w:sz w:val="22"/>
              </w:rPr>
            </w:pPr>
            <w:r>
              <w:rPr>
                <w:rFonts w:hint="eastAsia" w:ascii="宋体" w:hAnsi="宋体" w:cs="宋体"/>
                <w:kern w:val="0"/>
                <w:sz w:val="22"/>
              </w:rPr>
              <w:t>1.采用双射频设计，整机空间流≥4条，可工作在802.11a/b/g/n/ac/ac wave2/ax/be模式，整机协商速率≥3.57Gbps，支持2.4GHz、5GHz工作频段；</w:t>
            </w:r>
          </w:p>
          <w:p w14:paraId="4A8E8E05">
            <w:pPr>
              <w:widowControl/>
              <w:jc w:val="left"/>
              <w:rPr>
                <w:rFonts w:ascii="宋体" w:hAnsi="宋体" w:cs="宋体"/>
                <w:kern w:val="0"/>
                <w:sz w:val="22"/>
              </w:rPr>
            </w:pPr>
            <w:r>
              <w:rPr>
                <w:rFonts w:hint="eastAsia" w:ascii="宋体" w:hAnsi="宋体" w:cs="宋体"/>
                <w:kern w:val="0"/>
                <w:sz w:val="22"/>
              </w:rPr>
              <w:t>2.固化2.5G以太网电接口≥1个，支持802.3at/af供电；</w:t>
            </w:r>
          </w:p>
          <w:p w14:paraId="220B7E0F">
            <w:pPr>
              <w:widowControl/>
              <w:jc w:val="left"/>
              <w:rPr>
                <w:rFonts w:ascii="宋体" w:hAnsi="宋体" w:cs="宋体"/>
                <w:kern w:val="0"/>
                <w:sz w:val="22"/>
              </w:rPr>
            </w:pPr>
            <w:r>
              <w:rPr>
                <w:rFonts w:hint="eastAsia" w:ascii="宋体" w:hAnsi="宋体" w:cs="宋体"/>
                <w:kern w:val="0"/>
                <w:sz w:val="22"/>
              </w:rPr>
              <w:t>3.内置智能天线系统；</w:t>
            </w:r>
          </w:p>
          <w:p w14:paraId="31D337CC">
            <w:pPr>
              <w:widowControl/>
              <w:jc w:val="left"/>
              <w:rPr>
                <w:rFonts w:ascii="宋体" w:hAnsi="宋体" w:cs="宋体"/>
                <w:kern w:val="0"/>
                <w:sz w:val="22"/>
              </w:rPr>
            </w:pPr>
            <w:r>
              <w:rPr>
                <w:rFonts w:hint="eastAsia" w:ascii="宋体" w:hAnsi="宋体" w:cs="宋体"/>
                <w:kern w:val="0"/>
                <w:sz w:val="22"/>
              </w:rPr>
              <w:t>4.支持智能带宽限速，在流量未拥塞时，确保不同优先级SSID下的报文都可以自由通过，在流量拥塞时，确保每个SSID可以保持各自约定的最小带宽；</w:t>
            </w:r>
          </w:p>
          <w:p w14:paraId="639BA374">
            <w:pPr>
              <w:widowControl/>
              <w:jc w:val="left"/>
              <w:rPr>
                <w:rFonts w:ascii="宋体" w:hAnsi="宋体" w:cs="宋体"/>
                <w:kern w:val="0"/>
                <w:sz w:val="22"/>
              </w:rPr>
            </w:pPr>
            <w:r>
              <w:rPr>
                <w:rFonts w:hint="eastAsia" w:ascii="宋体" w:hAnsi="宋体" w:cs="宋体"/>
                <w:kern w:val="0"/>
                <w:sz w:val="22"/>
              </w:rPr>
              <w:t>5.支持64、128位WEP加密，WPA，802.11i和WAPI；</w:t>
            </w:r>
          </w:p>
          <w:p w14:paraId="2DC6BCBB">
            <w:pPr>
              <w:widowControl/>
              <w:jc w:val="left"/>
              <w:rPr>
                <w:rFonts w:ascii="宋体" w:hAnsi="宋体" w:cs="宋体"/>
                <w:kern w:val="0"/>
                <w:sz w:val="22"/>
              </w:rPr>
            </w:pPr>
            <w:r>
              <w:rPr>
                <w:rFonts w:hint="eastAsia" w:ascii="宋体" w:hAnsi="宋体" w:cs="宋体"/>
                <w:kern w:val="0"/>
                <w:sz w:val="22"/>
              </w:rPr>
              <w:t>6.支持虚拟AP(多SSID)之间的隔离，支持AP上二层转发抑制；</w:t>
            </w:r>
          </w:p>
          <w:p w14:paraId="6B6A0299">
            <w:pPr>
              <w:widowControl/>
              <w:jc w:val="left"/>
              <w:rPr>
                <w:rFonts w:ascii="宋体" w:hAnsi="宋体" w:cs="宋体"/>
                <w:kern w:val="0"/>
                <w:sz w:val="22"/>
              </w:rPr>
            </w:pPr>
            <w:r>
              <w:rPr>
                <w:rFonts w:hint="eastAsia" w:ascii="宋体" w:hAnsi="宋体" w:cs="宋体"/>
                <w:kern w:val="0"/>
                <w:sz w:val="22"/>
              </w:rPr>
              <w:t>7.要求被如东县现网无线控制器纳管，从而实现全网无线AP硬件统一管理、软件统一升级、配置统一下发、策略统一调整等。如果不满足，要求定制化开发，提供定制化开发承诺函并加盖投标人公章证明，定制化费用由投标人自行承担；</w:t>
            </w:r>
          </w:p>
        </w:tc>
      </w:tr>
      <w:tr w14:paraId="5CC0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4A57C936">
            <w:pPr>
              <w:widowControl/>
              <w:jc w:val="center"/>
              <w:rPr>
                <w:rFonts w:ascii="宋体" w:hAnsi="宋体" w:cs="宋体"/>
                <w:kern w:val="0"/>
                <w:sz w:val="22"/>
              </w:rPr>
            </w:pPr>
            <w:r>
              <w:rPr>
                <w:rFonts w:hint="eastAsia" w:ascii="宋体" w:hAnsi="宋体" w:cs="宋体"/>
                <w:kern w:val="0"/>
                <w:sz w:val="22"/>
              </w:rPr>
              <w:t>POE交换机</w:t>
            </w:r>
          </w:p>
        </w:tc>
        <w:tc>
          <w:tcPr>
            <w:tcW w:w="7654" w:type="dxa"/>
            <w:tcBorders>
              <w:tl2br w:val="nil"/>
              <w:tr2bl w:val="nil"/>
            </w:tcBorders>
            <w:shd w:val="clear" w:color="000000" w:fill="FFFFFF"/>
            <w:vAlign w:val="center"/>
          </w:tcPr>
          <w:p w14:paraId="4F80211B">
            <w:pPr>
              <w:widowControl/>
              <w:jc w:val="left"/>
              <w:rPr>
                <w:rFonts w:ascii="宋体" w:hAnsi="宋体" w:cs="宋体"/>
                <w:kern w:val="0"/>
                <w:sz w:val="22"/>
              </w:rPr>
            </w:pPr>
            <w:r>
              <w:rPr>
                <w:rFonts w:hint="eastAsia" w:ascii="宋体" w:hAnsi="宋体" w:cs="宋体"/>
                <w:kern w:val="0"/>
                <w:sz w:val="22"/>
              </w:rPr>
              <w:t>1.交换容量≥672Gbps，包转发率≥108Mpps，整机提供≥8个千兆以太网电口，提供≥4个万兆以太网光口，整机POE输出功率≥125W；</w:t>
            </w:r>
          </w:p>
          <w:p w14:paraId="3A687598">
            <w:pPr>
              <w:widowControl/>
              <w:jc w:val="left"/>
              <w:rPr>
                <w:rFonts w:ascii="宋体" w:hAnsi="宋体" w:cs="宋体"/>
                <w:kern w:val="0"/>
                <w:sz w:val="22"/>
              </w:rPr>
            </w:pPr>
            <w:r>
              <w:rPr>
                <w:rFonts w:hint="eastAsia" w:ascii="宋体" w:hAnsi="宋体" w:cs="宋体"/>
                <w:kern w:val="0"/>
                <w:sz w:val="22"/>
              </w:rPr>
              <w:t>2.支持IPv4/IPv6静态路由，支持RIP/RIPng，OSPF</w:t>
            </w:r>
          </w:p>
          <w:p w14:paraId="1381CCCC">
            <w:pPr>
              <w:widowControl/>
              <w:jc w:val="left"/>
              <w:rPr>
                <w:rFonts w:ascii="宋体" w:hAnsi="宋体" w:cs="宋体"/>
                <w:kern w:val="0"/>
                <w:sz w:val="22"/>
              </w:rPr>
            </w:pPr>
            <w:r>
              <w:rPr>
                <w:rFonts w:hint="eastAsia" w:ascii="宋体" w:hAnsi="宋体" w:cs="宋体"/>
                <w:kern w:val="0"/>
                <w:sz w:val="22"/>
              </w:rPr>
              <w:t>3.支持多虚一技术(N:1)，可将多台物理设备虚拟化为1台逻辑设备</w:t>
            </w:r>
          </w:p>
          <w:p w14:paraId="28F1C163">
            <w:pPr>
              <w:widowControl/>
              <w:jc w:val="left"/>
              <w:rPr>
                <w:rFonts w:ascii="宋体" w:hAnsi="宋体" w:cs="宋体"/>
                <w:kern w:val="0"/>
                <w:sz w:val="22"/>
              </w:rPr>
            </w:pPr>
            <w:r>
              <w:rPr>
                <w:rFonts w:hint="eastAsia" w:ascii="宋体" w:hAnsi="宋体" w:cs="宋体"/>
                <w:kern w:val="0"/>
                <w:sz w:val="22"/>
              </w:rPr>
              <w:t>4.内置智能管理平台，组网拓扑可视及管理、设备列表可视，以图形化操作的方式，实现对网络的统一运维及管理；</w:t>
            </w:r>
          </w:p>
          <w:p w14:paraId="015A3EC5">
            <w:pPr>
              <w:widowControl/>
              <w:jc w:val="left"/>
              <w:rPr>
                <w:rFonts w:ascii="宋体" w:hAnsi="宋体" w:cs="宋体"/>
                <w:kern w:val="0"/>
                <w:sz w:val="22"/>
              </w:rPr>
            </w:pPr>
            <w:r>
              <w:rPr>
                <w:rFonts w:hint="eastAsia" w:ascii="宋体" w:hAnsi="宋体" w:cs="宋体"/>
                <w:kern w:val="0"/>
                <w:sz w:val="22"/>
              </w:rPr>
              <w:t>5.支持Telemetry技术，可通过GRPC协议将交换机的实时资源信息与告警信息上送至运维平台；</w:t>
            </w:r>
          </w:p>
          <w:p w14:paraId="414606AA">
            <w:pPr>
              <w:widowControl/>
              <w:jc w:val="left"/>
              <w:rPr>
                <w:rFonts w:ascii="宋体" w:hAnsi="宋体" w:cs="宋体"/>
                <w:kern w:val="0"/>
                <w:sz w:val="22"/>
              </w:rPr>
            </w:pPr>
            <w:r>
              <w:rPr>
                <w:rFonts w:hint="eastAsia" w:ascii="宋体" w:hAnsi="宋体" w:cs="宋体"/>
                <w:kern w:val="0"/>
                <w:sz w:val="22"/>
              </w:rPr>
              <w:t>6.支持本地端口镜像和远程端口镜像RSPAN；</w:t>
            </w:r>
          </w:p>
          <w:p w14:paraId="122373F2">
            <w:pPr>
              <w:widowControl/>
              <w:jc w:val="left"/>
              <w:rPr>
                <w:rFonts w:ascii="宋体" w:hAnsi="宋体" w:cs="宋体"/>
                <w:kern w:val="0"/>
                <w:sz w:val="22"/>
              </w:rPr>
            </w:pPr>
            <w:r>
              <w:rPr>
                <w:rFonts w:hint="eastAsia" w:ascii="宋体" w:hAnsi="宋体" w:cs="宋体"/>
                <w:kern w:val="0"/>
                <w:sz w:val="22"/>
              </w:rPr>
              <w:t>7.支持ERPS功能，能够快速阻断环路；支持STP、RSTP、MSTP，环网故障恢复时间短；</w:t>
            </w:r>
          </w:p>
          <w:p w14:paraId="761E836E">
            <w:pPr>
              <w:widowControl/>
              <w:jc w:val="left"/>
              <w:rPr>
                <w:rFonts w:ascii="宋体" w:hAnsi="宋体" w:cs="宋体"/>
                <w:kern w:val="0"/>
                <w:sz w:val="22"/>
              </w:rPr>
            </w:pPr>
            <w:r>
              <w:rPr>
                <w:rFonts w:hint="eastAsia" w:ascii="宋体" w:hAnsi="宋体" w:cs="宋体"/>
                <w:kern w:val="0"/>
                <w:sz w:val="22"/>
              </w:rPr>
              <w:t>8.支持基于第二层、第三层和第四层的ACL；</w:t>
            </w:r>
          </w:p>
        </w:tc>
      </w:tr>
      <w:tr w14:paraId="03FB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413" w:type="dxa"/>
            <w:tcBorders>
              <w:tl2br w:val="nil"/>
              <w:tr2bl w:val="nil"/>
            </w:tcBorders>
            <w:shd w:val="clear" w:color="auto" w:fill="auto"/>
            <w:vAlign w:val="center"/>
          </w:tcPr>
          <w:p w14:paraId="2A1A55E5">
            <w:pPr>
              <w:widowControl/>
              <w:jc w:val="center"/>
              <w:rPr>
                <w:rFonts w:ascii="宋体" w:hAnsi="宋体" w:cs="宋体"/>
                <w:kern w:val="0"/>
                <w:sz w:val="22"/>
              </w:rPr>
            </w:pPr>
            <w:r>
              <w:rPr>
                <w:rFonts w:hint="eastAsia" w:ascii="宋体" w:hAnsi="宋体" w:cs="宋体"/>
                <w:kern w:val="0"/>
                <w:sz w:val="22"/>
                <w:lang w:bidi="ar"/>
              </w:rPr>
              <w:t>接入点位集成</w:t>
            </w:r>
          </w:p>
        </w:tc>
        <w:tc>
          <w:tcPr>
            <w:tcW w:w="7654" w:type="dxa"/>
            <w:tcBorders>
              <w:tl2br w:val="nil"/>
              <w:tr2bl w:val="nil"/>
            </w:tcBorders>
            <w:shd w:val="clear" w:color="000000" w:fill="FFFFFF"/>
            <w:vAlign w:val="center"/>
          </w:tcPr>
          <w:p w14:paraId="1FC2CC58">
            <w:pPr>
              <w:widowControl/>
              <w:jc w:val="left"/>
              <w:rPr>
                <w:rFonts w:ascii="宋体" w:hAnsi="宋体" w:cs="宋体"/>
                <w:kern w:val="0"/>
                <w:sz w:val="22"/>
              </w:rPr>
            </w:pPr>
            <w:r>
              <w:rPr>
                <w:rFonts w:hint="eastAsia" w:ascii="宋体" w:hAnsi="宋体" w:cs="宋体"/>
                <w:kern w:val="0"/>
                <w:sz w:val="22"/>
              </w:rPr>
              <w:t>包含指定区域的WIFI7接入点工勘、安装、调试、测试以及互联（万兆上联、千兆接入）所需的的所有配套线缆、链路模块及敷设辅材等。</w:t>
            </w:r>
          </w:p>
        </w:tc>
      </w:tr>
    </w:tbl>
    <w:p w14:paraId="20875AAF">
      <w:pPr>
        <w:spacing w:line="440" w:lineRule="exact"/>
        <w:rPr>
          <w:rFonts w:ascii="宋体" w:hAnsi="宋体" w:cs="宋体"/>
          <w:b/>
          <w:bCs/>
          <w:color w:val="000000"/>
          <w:sz w:val="24"/>
          <w:szCs w:val="24"/>
        </w:rPr>
      </w:pPr>
      <w:r>
        <w:rPr>
          <w:rFonts w:hint="eastAsia" w:ascii="宋体" w:hAnsi="宋体" w:cs="宋体"/>
          <w:b/>
          <w:bCs/>
          <w:color w:val="000000"/>
          <w:sz w:val="24"/>
          <w:szCs w:val="24"/>
        </w:rPr>
        <w:t>注：</w:t>
      </w:r>
    </w:p>
    <w:p w14:paraId="16A969C4">
      <w:pPr>
        <w:spacing w:line="440" w:lineRule="exact"/>
        <w:ind w:firstLine="422"/>
        <w:rPr>
          <w:rFonts w:ascii="宋体" w:hAnsi="宋体" w:cs="宋体"/>
          <w:b/>
          <w:bCs/>
          <w:i/>
          <w:iCs/>
          <w:color w:val="000000"/>
          <w:sz w:val="24"/>
          <w:szCs w:val="24"/>
          <w:u w:val="single"/>
        </w:rPr>
      </w:pPr>
      <w:r>
        <w:rPr>
          <w:rFonts w:hint="eastAsia" w:ascii="宋体" w:hAnsi="宋体" w:cs="宋体"/>
          <w:b/>
          <w:bCs/>
          <w:i/>
          <w:iCs/>
          <w:color w:val="000000"/>
          <w:sz w:val="24"/>
          <w:szCs w:val="24"/>
          <w:u w:val="single"/>
        </w:rPr>
        <w:t>1.为确保以上标“▲”项提供的佐证材料的真实性，中标单位须要在签订合同前提交佐证材料的原件，相关功能及演示内容需提供实物演示，给采购人审核，存在弄虚作假的，追究相关法律责任。</w:t>
      </w:r>
    </w:p>
    <w:p w14:paraId="084B81B9">
      <w:pPr>
        <w:spacing w:line="440" w:lineRule="exact"/>
        <w:ind w:firstLine="422"/>
        <w:rPr>
          <w:rFonts w:ascii="宋体" w:hAnsi="宋体" w:cs="宋体"/>
          <w:b/>
          <w:bCs/>
          <w:i/>
          <w:iCs/>
          <w:color w:val="000000"/>
          <w:sz w:val="24"/>
          <w:szCs w:val="24"/>
          <w:u w:val="single"/>
          <w:lang w:val="zh-CN"/>
        </w:rPr>
      </w:pPr>
      <w:r>
        <w:rPr>
          <w:rFonts w:hint="eastAsia" w:ascii="宋体" w:hAnsi="宋体" w:cs="宋体"/>
          <w:b/>
          <w:bCs/>
          <w:i/>
          <w:iCs/>
          <w:color w:val="000000"/>
          <w:sz w:val="24"/>
          <w:szCs w:val="24"/>
          <w:u w:val="single"/>
        </w:rPr>
        <w:t>2.如技术参数表中参数设定为固定值，均指该参数的最低要求，响应供应商可选择优于最低要求的产品进行响应。</w:t>
      </w:r>
    </w:p>
    <w:p w14:paraId="5F4EE688">
      <w:pPr>
        <w:adjustRightInd w:val="0"/>
        <w:snapToGrid w:val="0"/>
        <w:spacing w:line="500" w:lineRule="exact"/>
        <w:rPr>
          <w:rFonts w:ascii="仿宋" w:hAnsi="仿宋" w:eastAsia="仿宋" w:cs="仿宋"/>
          <w:b/>
          <w:bCs/>
          <w:sz w:val="24"/>
          <w:szCs w:val="24"/>
        </w:rPr>
      </w:pPr>
    </w:p>
    <w:p w14:paraId="209E2402">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（四）采购标的的数量、采购项目交付或者实施的时间和地点（货物类项目采购清单中必须列明主要标的、强制节能产品）；</w:t>
      </w:r>
    </w:p>
    <w:p w14:paraId="384B42D0">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1.采购标的的数量：</w:t>
      </w:r>
    </w:p>
    <w:tbl>
      <w:tblPr>
        <w:tblStyle w:val="14"/>
        <w:tblW w:w="8872" w:type="dxa"/>
        <w:tblInd w:w="93" w:type="dxa"/>
        <w:tblLayout w:type="fixed"/>
        <w:tblCellMar>
          <w:top w:w="0" w:type="dxa"/>
          <w:left w:w="108" w:type="dxa"/>
          <w:bottom w:w="0" w:type="dxa"/>
          <w:right w:w="108" w:type="dxa"/>
        </w:tblCellMar>
      </w:tblPr>
      <w:tblGrid>
        <w:gridCol w:w="1312"/>
        <w:gridCol w:w="3750"/>
        <w:gridCol w:w="1215"/>
        <w:gridCol w:w="729"/>
        <w:gridCol w:w="1866"/>
      </w:tblGrid>
      <w:tr w14:paraId="7EC4F71E">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vAlign w:val="center"/>
          </w:tcPr>
          <w:p w14:paraId="3B8DFCF4">
            <w:pPr>
              <w:widowControl/>
              <w:jc w:val="center"/>
              <w:textAlignment w:val="center"/>
              <w:rPr>
                <w:rFonts w:ascii="宋体" w:hAnsi="宋体" w:cs="宋体"/>
                <w:b/>
                <w:bCs/>
                <w:sz w:val="22"/>
              </w:rPr>
            </w:pPr>
            <w:r>
              <w:rPr>
                <w:rFonts w:hint="eastAsia" w:ascii="宋体" w:hAnsi="宋体" w:cs="宋体"/>
                <w:b/>
                <w:bCs/>
                <w:kern w:val="0"/>
                <w:sz w:val="22"/>
                <w:lang w:bidi="ar"/>
              </w:rPr>
              <w:t>序号</w:t>
            </w:r>
          </w:p>
        </w:tc>
        <w:tc>
          <w:tcPr>
            <w:tcW w:w="3750" w:type="dxa"/>
            <w:tcBorders>
              <w:top w:val="single" w:color="auto" w:sz="4" w:space="0"/>
              <w:left w:val="nil"/>
              <w:bottom w:val="single" w:color="auto" w:sz="4" w:space="0"/>
              <w:right w:val="single" w:color="auto" w:sz="4" w:space="0"/>
            </w:tcBorders>
            <w:shd w:val="clear" w:color="auto" w:fill="auto"/>
            <w:vAlign w:val="center"/>
          </w:tcPr>
          <w:p w14:paraId="2ACDCA45">
            <w:pPr>
              <w:widowControl/>
              <w:jc w:val="center"/>
              <w:textAlignment w:val="center"/>
              <w:rPr>
                <w:rFonts w:ascii="宋体" w:hAnsi="宋体" w:cs="宋体"/>
                <w:b/>
                <w:bCs/>
                <w:sz w:val="22"/>
              </w:rPr>
            </w:pPr>
            <w:r>
              <w:rPr>
                <w:rFonts w:hint="eastAsia" w:ascii="宋体" w:hAnsi="宋体" w:cs="宋体"/>
                <w:b/>
                <w:bCs/>
                <w:kern w:val="0"/>
                <w:sz w:val="22"/>
                <w:lang w:bidi="ar"/>
              </w:rPr>
              <w:t>名称</w:t>
            </w:r>
          </w:p>
        </w:tc>
        <w:tc>
          <w:tcPr>
            <w:tcW w:w="1215" w:type="dxa"/>
            <w:tcBorders>
              <w:top w:val="single" w:color="auto" w:sz="4" w:space="0"/>
              <w:left w:val="nil"/>
              <w:bottom w:val="single" w:color="auto" w:sz="4" w:space="0"/>
              <w:right w:val="single" w:color="auto" w:sz="4" w:space="0"/>
            </w:tcBorders>
            <w:shd w:val="clear" w:color="auto" w:fill="auto"/>
            <w:vAlign w:val="center"/>
          </w:tcPr>
          <w:p w14:paraId="4E302111">
            <w:pPr>
              <w:widowControl/>
              <w:jc w:val="center"/>
              <w:textAlignment w:val="center"/>
              <w:rPr>
                <w:rFonts w:ascii="宋体" w:hAnsi="宋体" w:cs="宋体"/>
                <w:b/>
                <w:bCs/>
                <w:sz w:val="22"/>
              </w:rPr>
            </w:pPr>
            <w:r>
              <w:rPr>
                <w:rFonts w:hint="eastAsia" w:ascii="宋体" w:hAnsi="宋体" w:cs="宋体"/>
                <w:b/>
                <w:bCs/>
                <w:kern w:val="0"/>
                <w:sz w:val="22"/>
                <w:lang w:bidi="ar"/>
              </w:rPr>
              <w:t>数量</w:t>
            </w:r>
          </w:p>
        </w:tc>
        <w:tc>
          <w:tcPr>
            <w:tcW w:w="729" w:type="dxa"/>
            <w:tcBorders>
              <w:top w:val="single" w:color="auto" w:sz="4" w:space="0"/>
              <w:left w:val="nil"/>
              <w:bottom w:val="single" w:color="auto" w:sz="4" w:space="0"/>
              <w:right w:val="single" w:color="auto" w:sz="4" w:space="0"/>
            </w:tcBorders>
            <w:shd w:val="clear" w:color="auto" w:fill="auto"/>
            <w:vAlign w:val="center"/>
          </w:tcPr>
          <w:p w14:paraId="15F5752E">
            <w:pPr>
              <w:widowControl/>
              <w:jc w:val="center"/>
              <w:textAlignment w:val="center"/>
              <w:rPr>
                <w:rFonts w:ascii="宋体" w:hAnsi="宋体" w:cs="宋体"/>
                <w:b/>
                <w:bCs/>
                <w:sz w:val="22"/>
              </w:rPr>
            </w:pPr>
            <w:r>
              <w:rPr>
                <w:rFonts w:hint="eastAsia" w:ascii="宋体" w:hAnsi="宋体" w:cs="宋体"/>
                <w:b/>
                <w:bCs/>
                <w:kern w:val="0"/>
                <w:sz w:val="22"/>
                <w:lang w:bidi="ar"/>
              </w:rPr>
              <w:t>单位</w:t>
            </w:r>
          </w:p>
        </w:tc>
        <w:tc>
          <w:tcPr>
            <w:tcW w:w="1866" w:type="dxa"/>
            <w:tcBorders>
              <w:top w:val="single" w:color="auto" w:sz="4" w:space="0"/>
              <w:left w:val="nil"/>
              <w:bottom w:val="single" w:color="auto" w:sz="4" w:space="0"/>
              <w:right w:val="single" w:color="auto" w:sz="4" w:space="0"/>
            </w:tcBorders>
            <w:shd w:val="clear" w:color="auto" w:fill="auto"/>
            <w:vAlign w:val="center"/>
          </w:tcPr>
          <w:p w14:paraId="66219BAE">
            <w:pPr>
              <w:widowControl/>
              <w:jc w:val="center"/>
              <w:textAlignment w:val="center"/>
              <w:rPr>
                <w:rFonts w:ascii="宋体" w:hAnsi="宋体" w:cs="宋体"/>
                <w:b/>
                <w:bCs/>
                <w:kern w:val="0"/>
                <w:sz w:val="22"/>
                <w:lang w:bidi="ar"/>
              </w:rPr>
            </w:pPr>
            <w:r>
              <w:rPr>
                <w:rFonts w:hint="eastAsia" w:ascii="宋体" w:hAnsi="宋体" w:cs="宋体"/>
                <w:b/>
                <w:bCs/>
                <w:kern w:val="0"/>
                <w:sz w:val="22"/>
                <w:lang w:bidi="ar"/>
              </w:rPr>
              <w:t>备注</w:t>
            </w:r>
          </w:p>
        </w:tc>
      </w:tr>
      <w:tr w14:paraId="3FE8204D">
        <w:tblPrEx>
          <w:tblCellMar>
            <w:top w:w="0" w:type="dxa"/>
            <w:left w:w="108" w:type="dxa"/>
            <w:bottom w:w="0" w:type="dxa"/>
            <w:right w:w="108" w:type="dxa"/>
          </w:tblCellMar>
        </w:tblPrEx>
        <w:trPr>
          <w:trHeight w:val="285" w:hRule="atLeast"/>
        </w:trPr>
        <w:tc>
          <w:tcPr>
            <w:tcW w:w="8872" w:type="dxa"/>
            <w:gridSpan w:val="5"/>
            <w:tcBorders>
              <w:top w:val="nil"/>
              <w:left w:val="single" w:color="auto" w:sz="4" w:space="0"/>
              <w:bottom w:val="single" w:color="auto" w:sz="4" w:space="0"/>
              <w:right w:val="single" w:color="auto" w:sz="4" w:space="0"/>
            </w:tcBorders>
            <w:shd w:val="clear" w:color="auto" w:fill="auto"/>
            <w:noWrap/>
            <w:vAlign w:val="center"/>
          </w:tcPr>
          <w:p w14:paraId="5F83C639">
            <w:pPr>
              <w:widowControl/>
              <w:jc w:val="left"/>
              <w:textAlignment w:val="center"/>
              <w:rPr>
                <w:rFonts w:ascii="宋体" w:hAnsi="宋体" w:cs="宋体"/>
                <w:kern w:val="0"/>
                <w:sz w:val="22"/>
                <w:lang w:bidi="ar"/>
              </w:rPr>
            </w:pPr>
            <w:r>
              <w:rPr>
                <w:rFonts w:hint="eastAsia" w:ascii="宋体" w:hAnsi="宋体" w:cs="宋体"/>
                <w:kern w:val="0"/>
                <w:sz w:val="22"/>
                <w:lang w:bidi="ar"/>
              </w:rPr>
              <w:t>一、智慧教室</w:t>
            </w:r>
          </w:p>
        </w:tc>
      </w:tr>
      <w:tr w14:paraId="7341114D">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A8DE11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3750" w:type="dxa"/>
            <w:tcBorders>
              <w:top w:val="nil"/>
              <w:left w:val="nil"/>
              <w:bottom w:val="single" w:color="auto" w:sz="4" w:space="0"/>
              <w:right w:val="single" w:color="auto" w:sz="4" w:space="0"/>
            </w:tcBorders>
            <w:shd w:val="clear" w:color="auto" w:fill="auto"/>
            <w:vAlign w:val="center"/>
          </w:tcPr>
          <w:p w14:paraId="183B9A7C">
            <w:pPr>
              <w:widowControl/>
              <w:jc w:val="center"/>
              <w:textAlignment w:val="center"/>
              <w:rPr>
                <w:rFonts w:ascii="宋体" w:hAnsi="宋体" w:cs="宋体"/>
                <w:sz w:val="22"/>
              </w:rPr>
            </w:pPr>
            <w:r>
              <w:rPr>
                <w:rFonts w:hint="eastAsia" w:ascii="宋体" w:hAnsi="宋体" w:cs="宋体"/>
                <w:kern w:val="0"/>
                <w:sz w:val="22"/>
                <w:lang w:bidi="ar"/>
              </w:rPr>
              <w:t>4K录播一体机</w:t>
            </w:r>
          </w:p>
        </w:tc>
        <w:tc>
          <w:tcPr>
            <w:tcW w:w="1215" w:type="dxa"/>
            <w:tcBorders>
              <w:top w:val="nil"/>
              <w:left w:val="nil"/>
              <w:bottom w:val="single" w:color="auto" w:sz="4" w:space="0"/>
              <w:right w:val="single" w:color="auto" w:sz="4" w:space="0"/>
            </w:tcBorders>
            <w:shd w:val="clear" w:color="auto" w:fill="auto"/>
            <w:vAlign w:val="center"/>
          </w:tcPr>
          <w:p w14:paraId="7D7AA2A4">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2504BB2">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3A65DE3D">
            <w:pPr>
              <w:widowControl/>
              <w:textAlignment w:val="center"/>
              <w:rPr>
                <w:rFonts w:ascii="宋体" w:hAnsi="宋体" w:cs="宋体"/>
                <w:kern w:val="0"/>
                <w:sz w:val="22"/>
                <w:lang w:bidi="ar"/>
              </w:rPr>
            </w:pPr>
            <w:r>
              <w:rPr>
                <w:rFonts w:hint="eastAsia" w:ascii="宋体" w:hAnsi="宋体" w:cs="宋体"/>
                <w:kern w:val="0"/>
                <w:sz w:val="22"/>
                <w:lang w:bidi="ar"/>
              </w:rPr>
              <w:t>工业（主要标的）</w:t>
            </w:r>
          </w:p>
        </w:tc>
      </w:tr>
      <w:tr w14:paraId="7278A4E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E045934">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3750" w:type="dxa"/>
            <w:tcBorders>
              <w:top w:val="nil"/>
              <w:left w:val="nil"/>
              <w:bottom w:val="single" w:color="auto" w:sz="4" w:space="0"/>
              <w:right w:val="single" w:color="auto" w:sz="4" w:space="0"/>
            </w:tcBorders>
            <w:shd w:val="clear" w:color="auto" w:fill="auto"/>
            <w:vAlign w:val="center"/>
          </w:tcPr>
          <w:p w14:paraId="2FF9C6F1">
            <w:pPr>
              <w:widowControl/>
              <w:jc w:val="center"/>
              <w:textAlignment w:val="center"/>
              <w:rPr>
                <w:rFonts w:ascii="宋体" w:hAnsi="宋体" w:cs="宋体"/>
                <w:sz w:val="22"/>
              </w:rPr>
            </w:pPr>
            <w:r>
              <w:rPr>
                <w:rFonts w:hint="eastAsia" w:ascii="宋体" w:hAnsi="宋体" w:cs="宋体"/>
                <w:kern w:val="0"/>
                <w:sz w:val="22"/>
                <w:lang w:bidi="ar"/>
              </w:rPr>
              <w:t>4K高清录播系统</w:t>
            </w:r>
          </w:p>
        </w:tc>
        <w:tc>
          <w:tcPr>
            <w:tcW w:w="1215" w:type="dxa"/>
            <w:tcBorders>
              <w:top w:val="nil"/>
              <w:left w:val="nil"/>
              <w:bottom w:val="single" w:color="auto" w:sz="4" w:space="0"/>
              <w:right w:val="single" w:color="auto" w:sz="4" w:space="0"/>
            </w:tcBorders>
            <w:shd w:val="clear" w:color="auto" w:fill="auto"/>
            <w:vAlign w:val="center"/>
          </w:tcPr>
          <w:p w14:paraId="13CADD0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FBF279D">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95C3BC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7B94452">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39C0903">
            <w:pPr>
              <w:widowControl/>
              <w:jc w:val="center"/>
              <w:textAlignment w:val="center"/>
              <w:rPr>
                <w:rFonts w:ascii="宋体" w:hAnsi="宋体" w:cs="宋体"/>
                <w:color w:val="000000"/>
                <w:sz w:val="22"/>
              </w:rPr>
            </w:pPr>
            <w:r>
              <w:rPr>
                <w:rFonts w:hint="eastAsia" w:ascii="宋体" w:hAnsi="宋体" w:cs="宋体"/>
                <w:color w:val="000000"/>
                <w:kern w:val="0"/>
                <w:sz w:val="22"/>
                <w:lang w:bidi="ar"/>
              </w:rPr>
              <w:t>3</w:t>
            </w:r>
          </w:p>
        </w:tc>
        <w:tc>
          <w:tcPr>
            <w:tcW w:w="3750" w:type="dxa"/>
            <w:tcBorders>
              <w:top w:val="nil"/>
              <w:left w:val="nil"/>
              <w:bottom w:val="single" w:color="auto" w:sz="4" w:space="0"/>
              <w:right w:val="single" w:color="auto" w:sz="4" w:space="0"/>
            </w:tcBorders>
            <w:shd w:val="clear" w:color="auto" w:fill="auto"/>
            <w:vAlign w:val="center"/>
          </w:tcPr>
          <w:p w14:paraId="40891BD1">
            <w:pPr>
              <w:widowControl/>
              <w:jc w:val="center"/>
              <w:textAlignment w:val="center"/>
              <w:rPr>
                <w:rFonts w:ascii="宋体" w:hAnsi="宋体" w:cs="宋体"/>
                <w:sz w:val="22"/>
              </w:rPr>
            </w:pPr>
            <w:r>
              <w:rPr>
                <w:rFonts w:hint="eastAsia" w:ascii="宋体" w:hAnsi="宋体" w:cs="宋体"/>
                <w:kern w:val="0"/>
                <w:sz w:val="22"/>
                <w:lang w:bidi="ar"/>
              </w:rPr>
              <w:t>行为分析语音识别</w:t>
            </w:r>
          </w:p>
        </w:tc>
        <w:tc>
          <w:tcPr>
            <w:tcW w:w="1215" w:type="dxa"/>
            <w:tcBorders>
              <w:top w:val="nil"/>
              <w:left w:val="nil"/>
              <w:bottom w:val="single" w:color="auto" w:sz="4" w:space="0"/>
              <w:right w:val="single" w:color="auto" w:sz="4" w:space="0"/>
            </w:tcBorders>
            <w:shd w:val="clear" w:color="auto" w:fill="auto"/>
            <w:vAlign w:val="center"/>
          </w:tcPr>
          <w:p w14:paraId="7BB62DA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8EE0E82">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55AD97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29AE32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CD56996">
            <w:pPr>
              <w:widowControl/>
              <w:jc w:val="center"/>
              <w:textAlignment w:val="center"/>
              <w:rPr>
                <w:rFonts w:ascii="宋体" w:hAnsi="宋体" w:cs="宋体"/>
                <w:color w:val="000000"/>
                <w:sz w:val="22"/>
              </w:rPr>
            </w:pPr>
            <w:r>
              <w:rPr>
                <w:rFonts w:hint="eastAsia" w:ascii="宋体" w:hAnsi="宋体" w:cs="宋体"/>
                <w:color w:val="000000"/>
                <w:kern w:val="0"/>
                <w:sz w:val="22"/>
                <w:lang w:bidi="ar"/>
              </w:rPr>
              <w:t>4</w:t>
            </w:r>
          </w:p>
        </w:tc>
        <w:tc>
          <w:tcPr>
            <w:tcW w:w="3750" w:type="dxa"/>
            <w:tcBorders>
              <w:top w:val="nil"/>
              <w:left w:val="nil"/>
              <w:bottom w:val="single" w:color="auto" w:sz="4" w:space="0"/>
              <w:right w:val="single" w:color="auto" w:sz="4" w:space="0"/>
            </w:tcBorders>
            <w:shd w:val="clear" w:color="auto" w:fill="auto"/>
            <w:vAlign w:val="center"/>
          </w:tcPr>
          <w:p w14:paraId="231F16C6">
            <w:pPr>
              <w:widowControl/>
              <w:jc w:val="center"/>
              <w:textAlignment w:val="center"/>
              <w:rPr>
                <w:rFonts w:ascii="宋体" w:hAnsi="宋体" w:cs="宋体"/>
                <w:sz w:val="22"/>
              </w:rPr>
            </w:pPr>
            <w:r>
              <w:rPr>
                <w:rFonts w:hint="eastAsia" w:ascii="宋体" w:hAnsi="宋体" w:cs="宋体"/>
                <w:kern w:val="0"/>
                <w:sz w:val="22"/>
                <w:lang w:bidi="ar"/>
              </w:rPr>
              <w:t>4K超高清摄像机</w:t>
            </w:r>
          </w:p>
        </w:tc>
        <w:tc>
          <w:tcPr>
            <w:tcW w:w="1215" w:type="dxa"/>
            <w:tcBorders>
              <w:top w:val="nil"/>
              <w:left w:val="nil"/>
              <w:bottom w:val="single" w:color="auto" w:sz="4" w:space="0"/>
              <w:right w:val="single" w:color="auto" w:sz="4" w:space="0"/>
            </w:tcBorders>
            <w:shd w:val="clear" w:color="auto" w:fill="auto"/>
            <w:vAlign w:val="center"/>
          </w:tcPr>
          <w:p w14:paraId="333944CC">
            <w:pPr>
              <w:widowControl/>
              <w:jc w:val="center"/>
              <w:textAlignment w:val="center"/>
              <w:rPr>
                <w:rFonts w:ascii="宋体" w:hAnsi="宋体" w:cs="宋体"/>
                <w:color w:val="000000"/>
                <w:sz w:val="22"/>
              </w:rPr>
            </w:pPr>
            <w:r>
              <w:rPr>
                <w:rFonts w:hint="eastAsia" w:ascii="宋体" w:hAnsi="宋体" w:cs="宋体"/>
                <w:color w:val="000000"/>
                <w:kern w:val="0"/>
                <w:sz w:val="22"/>
                <w:lang w:bidi="ar"/>
              </w:rPr>
              <w:t>4</w:t>
            </w:r>
          </w:p>
        </w:tc>
        <w:tc>
          <w:tcPr>
            <w:tcW w:w="729" w:type="dxa"/>
            <w:tcBorders>
              <w:top w:val="nil"/>
              <w:left w:val="nil"/>
              <w:bottom w:val="single" w:color="auto" w:sz="4" w:space="0"/>
              <w:right w:val="single" w:color="auto" w:sz="4" w:space="0"/>
            </w:tcBorders>
            <w:shd w:val="clear" w:color="auto" w:fill="auto"/>
            <w:vAlign w:val="center"/>
          </w:tcPr>
          <w:p w14:paraId="69140FA0">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102D17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98552A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374BBDE">
            <w:pPr>
              <w:widowControl/>
              <w:jc w:val="center"/>
              <w:textAlignment w:val="center"/>
              <w:rPr>
                <w:rFonts w:ascii="宋体" w:hAnsi="宋体" w:cs="宋体"/>
                <w:color w:val="000000"/>
                <w:sz w:val="22"/>
              </w:rPr>
            </w:pPr>
            <w:r>
              <w:rPr>
                <w:rFonts w:hint="eastAsia" w:ascii="宋体" w:hAnsi="宋体" w:cs="宋体"/>
                <w:color w:val="000000"/>
                <w:kern w:val="0"/>
                <w:sz w:val="22"/>
                <w:lang w:bidi="ar"/>
              </w:rPr>
              <w:t>5</w:t>
            </w:r>
          </w:p>
        </w:tc>
        <w:tc>
          <w:tcPr>
            <w:tcW w:w="3750" w:type="dxa"/>
            <w:tcBorders>
              <w:top w:val="nil"/>
              <w:left w:val="nil"/>
              <w:bottom w:val="single" w:color="auto" w:sz="4" w:space="0"/>
              <w:right w:val="single" w:color="auto" w:sz="4" w:space="0"/>
            </w:tcBorders>
            <w:shd w:val="clear" w:color="auto" w:fill="auto"/>
            <w:vAlign w:val="center"/>
          </w:tcPr>
          <w:p w14:paraId="07EFA6A2">
            <w:pPr>
              <w:widowControl/>
              <w:jc w:val="center"/>
              <w:textAlignment w:val="center"/>
              <w:rPr>
                <w:rFonts w:ascii="宋体" w:hAnsi="宋体" w:cs="宋体"/>
                <w:sz w:val="22"/>
              </w:rPr>
            </w:pPr>
            <w:r>
              <w:rPr>
                <w:rFonts w:hint="eastAsia" w:ascii="宋体" w:hAnsi="宋体" w:cs="宋体"/>
                <w:kern w:val="0"/>
                <w:sz w:val="22"/>
                <w:lang w:bidi="ar"/>
              </w:rPr>
              <w:t>智能分析主机</w:t>
            </w:r>
          </w:p>
        </w:tc>
        <w:tc>
          <w:tcPr>
            <w:tcW w:w="1215" w:type="dxa"/>
            <w:tcBorders>
              <w:top w:val="nil"/>
              <w:left w:val="nil"/>
              <w:bottom w:val="single" w:color="auto" w:sz="4" w:space="0"/>
              <w:right w:val="single" w:color="auto" w:sz="4" w:space="0"/>
            </w:tcBorders>
            <w:shd w:val="clear" w:color="auto" w:fill="auto"/>
            <w:vAlign w:val="center"/>
          </w:tcPr>
          <w:p w14:paraId="0A09F6D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5C2584B">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3D57896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8EDA9D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413AB05">
            <w:pPr>
              <w:widowControl/>
              <w:jc w:val="center"/>
              <w:textAlignment w:val="center"/>
              <w:rPr>
                <w:rFonts w:ascii="宋体" w:hAnsi="宋体" w:cs="宋体"/>
                <w:color w:val="000000"/>
                <w:sz w:val="22"/>
              </w:rPr>
            </w:pPr>
            <w:r>
              <w:rPr>
                <w:rFonts w:hint="eastAsia" w:ascii="宋体" w:hAnsi="宋体" w:cs="宋体"/>
                <w:color w:val="000000"/>
                <w:kern w:val="0"/>
                <w:sz w:val="22"/>
                <w:lang w:bidi="ar"/>
              </w:rPr>
              <w:t>6</w:t>
            </w:r>
          </w:p>
        </w:tc>
        <w:tc>
          <w:tcPr>
            <w:tcW w:w="3750" w:type="dxa"/>
            <w:tcBorders>
              <w:top w:val="nil"/>
              <w:left w:val="nil"/>
              <w:bottom w:val="single" w:color="auto" w:sz="4" w:space="0"/>
              <w:right w:val="single" w:color="auto" w:sz="4" w:space="0"/>
            </w:tcBorders>
            <w:shd w:val="clear" w:color="auto" w:fill="auto"/>
            <w:vAlign w:val="center"/>
          </w:tcPr>
          <w:p w14:paraId="638D97E2">
            <w:pPr>
              <w:widowControl/>
              <w:jc w:val="center"/>
              <w:textAlignment w:val="center"/>
              <w:rPr>
                <w:rFonts w:ascii="宋体" w:hAnsi="宋体" w:cs="宋体"/>
                <w:sz w:val="22"/>
              </w:rPr>
            </w:pPr>
            <w:r>
              <w:rPr>
                <w:rFonts w:hint="eastAsia" w:ascii="宋体" w:hAnsi="宋体" w:cs="宋体"/>
                <w:kern w:val="0"/>
                <w:sz w:val="22"/>
                <w:lang w:bidi="ar"/>
              </w:rPr>
              <w:t>图像跟踪系统</w:t>
            </w:r>
          </w:p>
        </w:tc>
        <w:tc>
          <w:tcPr>
            <w:tcW w:w="1215" w:type="dxa"/>
            <w:tcBorders>
              <w:top w:val="nil"/>
              <w:left w:val="nil"/>
              <w:bottom w:val="single" w:color="auto" w:sz="4" w:space="0"/>
              <w:right w:val="single" w:color="auto" w:sz="4" w:space="0"/>
            </w:tcBorders>
            <w:shd w:val="clear" w:color="auto" w:fill="auto"/>
            <w:vAlign w:val="center"/>
          </w:tcPr>
          <w:p w14:paraId="22EF77C6">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64C60F0">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7CEE8097">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3429FC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73E6811">
            <w:pPr>
              <w:widowControl/>
              <w:jc w:val="center"/>
              <w:textAlignment w:val="center"/>
              <w:rPr>
                <w:rFonts w:ascii="宋体" w:hAnsi="宋体" w:cs="宋体"/>
                <w:color w:val="000000"/>
                <w:sz w:val="22"/>
              </w:rPr>
            </w:pPr>
            <w:r>
              <w:rPr>
                <w:rFonts w:hint="eastAsia" w:ascii="宋体" w:hAnsi="宋体" w:cs="宋体"/>
                <w:color w:val="000000"/>
                <w:kern w:val="0"/>
                <w:sz w:val="22"/>
                <w:lang w:bidi="ar"/>
              </w:rPr>
              <w:t>7</w:t>
            </w:r>
          </w:p>
        </w:tc>
        <w:tc>
          <w:tcPr>
            <w:tcW w:w="3750" w:type="dxa"/>
            <w:tcBorders>
              <w:top w:val="nil"/>
              <w:left w:val="nil"/>
              <w:bottom w:val="single" w:color="auto" w:sz="4" w:space="0"/>
              <w:right w:val="single" w:color="auto" w:sz="4" w:space="0"/>
            </w:tcBorders>
            <w:shd w:val="clear" w:color="auto" w:fill="auto"/>
            <w:vAlign w:val="center"/>
          </w:tcPr>
          <w:p w14:paraId="36917D5C">
            <w:pPr>
              <w:widowControl/>
              <w:jc w:val="center"/>
              <w:textAlignment w:val="center"/>
              <w:rPr>
                <w:rFonts w:ascii="宋体" w:hAnsi="宋体" w:cs="宋体"/>
                <w:kern w:val="0"/>
                <w:sz w:val="22"/>
                <w:lang w:bidi="ar"/>
              </w:rPr>
            </w:pPr>
            <w:r>
              <w:rPr>
                <w:rFonts w:hint="eastAsia" w:ascii="宋体" w:hAnsi="宋体" w:cs="宋体"/>
                <w:kern w:val="0"/>
                <w:sz w:val="22"/>
                <w:lang w:bidi="ar"/>
              </w:rPr>
              <w:t>屏幕采集系统</w:t>
            </w:r>
          </w:p>
        </w:tc>
        <w:tc>
          <w:tcPr>
            <w:tcW w:w="1215" w:type="dxa"/>
            <w:tcBorders>
              <w:top w:val="nil"/>
              <w:left w:val="nil"/>
              <w:bottom w:val="single" w:color="auto" w:sz="4" w:space="0"/>
              <w:right w:val="single" w:color="auto" w:sz="4" w:space="0"/>
            </w:tcBorders>
            <w:shd w:val="clear" w:color="auto" w:fill="auto"/>
            <w:vAlign w:val="center"/>
          </w:tcPr>
          <w:p w14:paraId="0F048FF5">
            <w:pPr>
              <w:widowControl/>
              <w:jc w:val="center"/>
              <w:textAlignment w:val="center"/>
              <w:rPr>
                <w:rFonts w:ascii="宋体" w:hAnsi="宋体" w:cs="宋体"/>
                <w:kern w:val="0"/>
                <w:sz w:val="22"/>
                <w:lang w:bidi="ar"/>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1CCAF82">
            <w:pPr>
              <w:widowControl/>
              <w:jc w:val="center"/>
              <w:textAlignment w:val="center"/>
              <w:rPr>
                <w:rFonts w:ascii="宋体" w:hAnsi="宋体" w:cs="宋体"/>
                <w:kern w:val="0"/>
                <w:sz w:val="22"/>
                <w:lang w:bidi="ar"/>
              </w:rPr>
            </w:pPr>
            <w:r>
              <w:rPr>
                <w:rFonts w:hint="eastAsia" w:ascii="宋体" w:hAnsi="宋体" w:cs="宋体"/>
                <w:kern w:val="0"/>
                <w:sz w:val="22"/>
                <w:lang w:bidi="ar"/>
              </w:rPr>
              <w:t>套</w:t>
            </w:r>
          </w:p>
        </w:tc>
        <w:tc>
          <w:tcPr>
            <w:tcW w:w="1866" w:type="dxa"/>
            <w:tcBorders>
              <w:top w:val="single" w:color="auto" w:sz="4" w:space="0"/>
              <w:left w:val="nil"/>
              <w:bottom w:val="single" w:color="auto" w:sz="4" w:space="0"/>
              <w:right w:val="single" w:color="auto" w:sz="4" w:space="0"/>
            </w:tcBorders>
            <w:shd w:val="clear" w:color="auto" w:fill="auto"/>
            <w:vAlign w:val="center"/>
          </w:tcPr>
          <w:p w14:paraId="3A7C9314">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3DA53B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3B9E277">
            <w:pPr>
              <w:widowControl/>
              <w:jc w:val="center"/>
              <w:textAlignment w:val="center"/>
              <w:rPr>
                <w:rFonts w:ascii="宋体" w:hAnsi="宋体" w:cs="宋体"/>
                <w:color w:val="000000"/>
                <w:sz w:val="22"/>
              </w:rPr>
            </w:pPr>
            <w:r>
              <w:rPr>
                <w:rFonts w:hint="eastAsia" w:ascii="宋体" w:hAnsi="宋体" w:cs="宋体"/>
                <w:color w:val="000000"/>
                <w:kern w:val="0"/>
                <w:sz w:val="22"/>
                <w:lang w:bidi="ar"/>
              </w:rPr>
              <w:t>8</w:t>
            </w:r>
          </w:p>
        </w:tc>
        <w:tc>
          <w:tcPr>
            <w:tcW w:w="3750" w:type="dxa"/>
            <w:tcBorders>
              <w:top w:val="nil"/>
              <w:left w:val="nil"/>
              <w:bottom w:val="single" w:color="auto" w:sz="4" w:space="0"/>
              <w:right w:val="single" w:color="auto" w:sz="4" w:space="0"/>
            </w:tcBorders>
            <w:shd w:val="clear" w:color="auto" w:fill="auto"/>
            <w:vAlign w:val="center"/>
          </w:tcPr>
          <w:p w14:paraId="5F5E48C9">
            <w:pPr>
              <w:widowControl/>
              <w:jc w:val="center"/>
              <w:textAlignment w:val="center"/>
              <w:rPr>
                <w:rFonts w:ascii="宋体" w:hAnsi="宋体" w:cs="宋体"/>
                <w:sz w:val="22"/>
              </w:rPr>
            </w:pPr>
            <w:r>
              <w:rPr>
                <w:rFonts w:hint="eastAsia" w:ascii="宋体" w:hAnsi="宋体" w:cs="宋体"/>
                <w:kern w:val="0"/>
                <w:sz w:val="22"/>
                <w:lang w:bidi="ar"/>
              </w:rPr>
              <w:t>小组讨论终端</w:t>
            </w:r>
          </w:p>
        </w:tc>
        <w:tc>
          <w:tcPr>
            <w:tcW w:w="1215" w:type="dxa"/>
            <w:tcBorders>
              <w:top w:val="nil"/>
              <w:left w:val="nil"/>
              <w:bottom w:val="single" w:color="auto" w:sz="4" w:space="0"/>
              <w:right w:val="single" w:color="auto" w:sz="4" w:space="0"/>
            </w:tcBorders>
            <w:shd w:val="clear" w:color="auto" w:fill="auto"/>
            <w:vAlign w:val="center"/>
          </w:tcPr>
          <w:p w14:paraId="1FB8DCBB">
            <w:pPr>
              <w:widowControl/>
              <w:jc w:val="center"/>
              <w:textAlignment w:val="center"/>
              <w:rPr>
                <w:rFonts w:ascii="宋体" w:hAnsi="宋体" w:cs="宋体"/>
                <w:sz w:val="22"/>
              </w:rPr>
            </w:pPr>
            <w:r>
              <w:rPr>
                <w:rFonts w:hint="eastAsia" w:ascii="宋体" w:hAnsi="宋体" w:cs="宋体"/>
                <w:kern w:val="0"/>
                <w:sz w:val="22"/>
                <w:lang w:bidi="ar"/>
              </w:rPr>
              <w:t>4</w:t>
            </w:r>
          </w:p>
        </w:tc>
        <w:tc>
          <w:tcPr>
            <w:tcW w:w="729" w:type="dxa"/>
            <w:tcBorders>
              <w:top w:val="nil"/>
              <w:left w:val="nil"/>
              <w:bottom w:val="single" w:color="auto" w:sz="4" w:space="0"/>
              <w:right w:val="single" w:color="auto" w:sz="4" w:space="0"/>
            </w:tcBorders>
            <w:shd w:val="clear" w:color="auto" w:fill="auto"/>
            <w:vAlign w:val="center"/>
          </w:tcPr>
          <w:p w14:paraId="7AB3A113">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4CC2FE9C">
            <w:pPr>
              <w:widowControl/>
              <w:jc w:val="center"/>
              <w:textAlignment w:val="center"/>
              <w:rPr>
                <w:rFonts w:ascii="宋体" w:hAnsi="宋体" w:cs="宋体"/>
                <w:kern w:val="0"/>
                <w:sz w:val="22"/>
                <w:lang w:bidi="ar"/>
              </w:rPr>
            </w:pPr>
            <w:r>
              <w:rPr>
                <w:rFonts w:hint="eastAsia" w:ascii="宋体" w:hAnsi="宋体" w:cs="宋体"/>
                <w:kern w:val="0"/>
                <w:sz w:val="22"/>
                <w:lang w:bidi="ar"/>
              </w:rPr>
              <w:t>工业（强制节能产品）</w:t>
            </w:r>
          </w:p>
        </w:tc>
      </w:tr>
      <w:tr w14:paraId="01746C2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1BAA8A0">
            <w:pPr>
              <w:widowControl/>
              <w:jc w:val="center"/>
              <w:textAlignment w:val="center"/>
              <w:rPr>
                <w:rFonts w:ascii="宋体" w:hAnsi="宋体" w:cs="宋体"/>
                <w:color w:val="000000"/>
                <w:sz w:val="22"/>
              </w:rPr>
            </w:pPr>
            <w:r>
              <w:rPr>
                <w:rFonts w:hint="eastAsia" w:ascii="宋体" w:hAnsi="宋体" w:cs="宋体"/>
                <w:color w:val="000000"/>
                <w:kern w:val="0"/>
                <w:sz w:val="22"/>
                <w:lang w:bidi="ar"/>
              </w:rPr>
              <w:t>9</w:t>
            </w:r>
          </w:p>
        </w:tc>
        <w:tc>
          <w:tcPr>
            <w:tcW w:w="3750" w:type="dxa"/>
            <w:tcBorders>
              <w:top w:val="nil"/>
              <w:left w:val="nil"/>
              <w:bottom w:val="single" w:color="auto" w:sz="4" w:space="0"/>
              <w:right w:val="single" w:color="auto" w:sz="4" w:space="0"/>
            </w:tcBorders>
            <w:shd w:val="clear" w:color="auto" w:fill="auto"/>
            <w:vAlign w:val="center"/>
          </w:tcPr>
          <w:p w14:paraId="44C1C6E7">
            <w:pPr>
              <w:widowControl/>
              <w:jc w:val="center"/>
              <w:textAlignment w:val="center"/>
              <w:rPr>
                <w:rFonts w:ascii="宋体" w:hAnsi="宋体" w:cs="宋体"/>
                <w:sz w:val="22"/>
              </w:rPr>
            </w:pPr>
            <w:r>
              <w:rPr>
                <w:rFonts w:hint="eastAsia" w:ascii="宋体" w:hAnsi="宋体" w:cs="宋体"/>
                <w:kern w:val="0"/>
                <w:sz w:val="22"/>
                <w:lang w:bidi="ar"/>
              </w:rPr>
              <w:t>智慧讲桌</w:t>
            </w:r>
          </w:p>
        </w:tc>
        <w:tc>
          <w:tcPr>
            <w:tcW w:w="1215" w:type="dxa"/>
            <w:tcBorders>
              <w:top w:val="nil"/>
              <w:left w:val="nil"/>
              <w:bottom w:val="single" w:color="auto" w:sz="4" w:space="0"/>
              <w:right w:val="single" w:color="auto" w:sz="4" w:space="0"/>
            </w:tcBorders>
            <w:shd w:val="clear" w:color="auto" w:fill="auto"/>
            <w:vAlign w:val="center"/>
          </w:tcPr>
          <w:p w14:paraId="02822AF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A0A623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82090E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1532D0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045830A">
            <w:pPr>
              <w:widowControl/>
              <w:jc w:val="center"/>
              <w:textAlignment w:val="center"/>
              <w:rPr>
                <w:rFonts w:ascii="宋体" w:hAnsi="宋体" w:cs="宋体"/>
                <w:color w:val="000000"/>
                <w:sz w:val="22"/>
              </w:rPr>
            </w:pPr>
            <w:r>
              <w:rPr>
                <w:rFonts w:hint="eastAsia" w:ascii="宋体" w:hAnsi="宋体" w:cs="宋体"/>
                <w:color w:val="000000"/>
                <w:kern w:val="0"/>
                <w:sz w:val="22"/>
                <w:lang w:bidi="ar"/>
              </w:rPr>
              <w:t>10</w:t>
            </w:r>
          </w:p>
        </w:tc>
        <w:tc>
          <w:tcPr>
            <w:tcW w:w="3750" w:type="dxa"/>
            <w:tcBorders>
              <w:top w:val="nil"/>
              <w:left w:val="nil"/>
              <w:bottom w:val="single" w:color="auto" w:sz="4" w:space="0"/>
              <w:right w:val="single" w:color="auto" w:sz="4" w:space="0"/>
            </w:tcBorders>
            <w:shd w:val="clear" w:color="auto" w:fill="auto"/>
            <w:vAlign w:val="center"/>
          </w:tcPr>
          <w:p w14:paraId="31338C0D">
            <w:pPr>
              <w:widowControl/>
              <w:jc w:val="center"/>
              <w:textAlignment w:val="center"/>
              <w:rPr>
                <w:rFonts w:ascii="宋体" w:hAnsi="宋体" w:cs="宋体"/>
                <w:sz w:val="22"/>
              </w:rPr>
            </w:pPr>
            <w:r>
              <w:rPr>
                <w:rFonts w:hint="eastAsia" w:ascii="宋体" w:hAnsi="宋体" w:cs="宋体"/>
                <w:kern w:val="0"/>
                <w:sz w:val="22"/>
                <w:lang w:bidi="ar"/>
              </w:rPr>
              <w:t>多屏协作模块</w:t>
            </w:r>
          </w:p>
        </w:tc>
        <w:tc>
          <w:tcPr>
            <w:tcW w:w="1215" w:type="dxa"/>
            <w:tcBorders>
              <w:top w:val="nil"/>
              <w:left w:val="nil"/>
              <w:bottom w:val="single" w:color="auto" w:sz="4" w:space="0"/>
              <w:right w:val="single" w:color="auto" w:sz="4" w:space="0"/>
            </w:tcBorders>
            <w:shd w:val="clear" w:color="auto" w:fill="auto"/>
            <w:vAlign w:val="center"/>
          </w:tcPr>
          <w:p w14:paraId="2D5E6EC5">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6620C68">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B64646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E8AA1A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3DA324E">
            <w:pPr>
              <w:widowControl/>
              <w:jc w:val="center"/>
              <w:textAlignment w:val="center"/>
              <w:rPr>
                <w:rFonts w:ascii="宋体" w:hAnsi="宋体" w:cs="宋体"/>
                <w:color w:val="000000"/>
                <w:sz w:val="22"/>
              </w:rPr>
            </w:pPr>
            <w:r>
              <w:rPr>
                <w:rFonts w:hint="eastAsia" w:ascii="宋体" w:hAnsi="宋体" w:cs="宋体"/>
                <w:color w:val="000000"/>
                <w:kern w:val="0"/>
                <w:sz w:val="22"/>
                <w:lang w:bidi="ar"/>
              </w:rPr>
              <w:t>11</w:t>
            </w:r>
          </w:p>
        </w:tc>
        <w:tc>
          <w:tcPr>
            <w:tcW w:w="3750" w:type="dxa"/>
            <w:tcBorders>
              <w:top w:val="nil"/>
              <w:left w:val="nil"/>
              <w:bottom w:val="single" w:color="auto" w:sz="4" w:space="0"/>
              <w:right w:val="single" w:color="auto" w:sz="4" w:space="0"/>
            </w:tcBorders>
            <w:shd w:val="clear" w:color="auto" w:fill="auto"/>
            <w:vAlign w:val="center"/>
          </w:tcPr>
          <w:p w14:paraId="15595EDF">
            <w:pPr>
              <w:widowControl/>
              <w:jc w:val="center"/>
              <w:textAlignment w:val="center"/>
              <w:rPr>
                <w:rFonts w:ascii="宋体" w:hAnsi="宋体" w:cs="宋体"/>
                <w:sz w:val="22"/>
              </w:rPr>
            </w:pPr>
            <w:r>
              <w:rPr>
                <w:rFonts w:hint="eastAsia" w:ascii="宋体" w:hAnsi="宋体" w:cs="宋体"/>
                <w:kern w:val="0"/>
                <w:sz w:val="22"/>
                <w:lang w:bidi="ar"/>
              </w:rPr>
              <w:t>教学评价服务</w:t>
            </w:r>
          </w:p>
        </w:tc>
        <w:tc>
          <w:tcPr>
            <w:tcW w:w="1215" w:type="dxa"/>
            <w:tcBorders>
              <w:top w:val="nil"/>
              <w:left w:val="nil"/>
              <w:bottom w:val="single" w:color="auto" w:sz="4" w:space="0"/>
              <w:right w:val="single" w:color="auto" w:sz="4" w:space="0"/>
            </w:tcBorders>
            <w:shd w:val="clear" w:color="auto" w:fill="auto"/>
            <w:vAlign w:val="center"/>
          </w:tcPr>
          <w:p w14:paraId="5DDCF2C4">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24072BC">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C8900F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2E1532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938225A">
            <w:pPr>
              <w:widowControl/>
              <w:jc w:val="center"/>
              <w:textAlignment w:val="center"/>
              <w:rPr>
                <w:rFonts w:ascii="宋体" w:hAnsi="宋体" w:cs="宋体"/>
                <w:color w:val="000000"/>
                <w:sz w:val="22"/>
              </w:rPr>
            </w:pPr>
            <w:r>
              <w:rPr>
                <w:rFonts w:hint="eastAsia" w:ascii="宋体" w:hAnsi="宋体" w:cs="宋体"/>
                <w:color w:val="000000"/>
                <w:kern w:val="0"/>
                <w:sz w:val="22"/>
                <w:lang w:bidi="ar"/>
              </w:rPr>
              <w:t>12</w:t>
            </w:r>
          </w:p>
        </w:tc>
        <w:tc>
          <w:tcPr>
            <w:tcW w:w="3750" w:type="dxa"/>
            <w:tcBorders>
              <w:top w:val="nil"/>
              <w:left w:val="nil"/>
              <w:bottom w:val="single" w:color="auto" w:sz="4" w:space="0"/>
              <w:right w:val="single" w:color="auto" w:sz="4" w:space="0"/>
            </w:tcBorders>
            <w:shd w:val="clear" w:color="auto" w:fill="auto"/>
            <w:vAlign w:val="center"/>
          </w:tcPr>
          <w:p w14:paraId="1BAA88CD">
            <w:pPr>
              <w:widowControl/>
              <w:jc w:val="center"/>
              <w:textAlignment w:val="center"/>
              <w:rPr>
                <w:rFonts w:ascii="宋体" w:hAnsi="宋体" w:cs="宋体"/>
                <w:sz w:val="22"/>
              </w:rPr>
            </w:pPr>
            <w:r>
              <w:rPr>
                <w:rFonts w:hint="eastAsia" w:ascii="宋体" w:hAnsi="宋体" w:cs="宋体"/>
                <w:kern w:val="0"/>
                <w:sz w:val="22"/>
                <w:lang w:bidi="ar"/>
              </w:rPr>
              <w:t>未来教室应用系统</w:t>
            </w:r>
          </w:p>
        </w:tc>
        <w:tc>
          <w:tcPr>
            <w:tcW w:w="1215" w:type="dxa"/>
            <w:tcBorders>
              <w:top w:val="nil"/>
              <w:left w:val="nil"/>
              <w:bottom w:val="single" w:color="auto" w:sz="4" w:space="0"/>
              <w:right w:val="single" w:color="auto" w:sz="4" w:space="0"/>
            </w:tcBorders>
            <w:shd w:val="clear" w:color="auto" w:fill="auto"/>
            <w:vAlign w:val="center"/>
          </w:tcPr>
          <w:p w14:paraId="3D53FC67">
            <w:pPr>
              <w:widowControl/>
              <w:jc w:val="center"/>
              <w:textAlignment w:val="center"/>
              <w:rPr>
                <w:rFonts w:ascii="宋体" w:hAnsi="宋体" w:cs="宋体"/>
                <w:color w:val="000000"/>
                <w:sz w:val="22"/>
              </w:rPr>
            </w:pPr>
            <w:r>
              <w:rPr>
                <w:rFonts w:hint="eastAsia" w:ascii="宋体" w:hAnsi="宋体" w:cs="宋体"/>
                <w:color w:val="000000"/>
                <w:kern w:val="0"/>
                <w:sz w:val="22"/>
                <w:lang w:bidi="ar"/>
              </w:rPr>
              <w:t>5</w:t>
            </w:r>
          </w:p>
        </w:tc>
        <w:tc>
          <w:tcPr>
            <w:tcW w:w="729" w:type="dxa"/>
            <w:tcBorders>
              <w:top w:val="nil"/>
              <w:left w:val="nil"/>
              <w:bottom w:val="single" w:color="auto" w:sz="4" w:space="0"/>
              <w:right w:val="single" w:color="auto" w:sz="4" w:space="0"/>
            </w:tcBorders>
            <w:shd w:val="clear" w:color="auto" w:fill="auto"/>
            <w:vAlign w:val="center"/>
          </w:tcPr>
          <w:p w14:paraId="1914490A">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F991652">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F257C7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BBC9DB5">
            <w:pPr>
              <w:widowControl/>
              <w:jc w:val="center"/>
              <w:textAlignment w:val="center"/>
              <w:rPr>
                <w:rFonts w:ascii="宋体" w:hAnsi="宋体" w:cs="宋体"/>
                <w:color w:val="000000"/>
                <w:sz w:val="22"/>
              </w:rPr>
            </w:pPr>
            <w:r>
              <w:rPr>
                <w:rFonts w:hint="eastAsia" w:ascii="宋体" w:hAnsi="宋体" w:cs="宋体"/>
                <w:color w:val="000000"/>
                <w:kern w:val="0"/>
                <w:sz w:val="22"/>
                <w:lang w:bidi="ar"/>
              </w:rPr>
              <w:t>13</w:t>
            </w:r>
          </w:p>
        </w:tc>
        <w:tc>
          <w:tcPr>
            <w:tcW w:w="3750" w:type="dxa"/>
            <w:tcBorders>
              <w:top w:val="nil"/>
              <w:left w:val="nil"/>
              <w:bottom w:val="single" w:color="auto" w:sz="4" w:space="0"/>
              <w:right w:val="single" w:color="auto" w:sz="4" w:space="0"/>
            </w:tcBorders>
            <w:shd w:val="clear" w:color="auto" w:fill="auto"/>
            <w:vAlign w:val="center"/>
          </w:tcPr>
          <w:p w14:paraId="3A13533A">
            <w:pPr>
              <w:widowControl/>
              <w:jc w:val="center"/>
              <w:textAlignment w:val="center"/>
              <w:rPr>
                <w:rFonts w:ascii="宋体" w:hAnsi="宋体" w:cs="宋体"/>
                <w:sz w:val="22"/>
              </w:rPr>
            </w:pPr>
            <w:r>
              <w:rPr>
                <w:rFonts w:hint="eastAsia" w:ascii="宋体" w:hAnsi="宋体" w:cs="宋体"/>
                <w:kern w:val="0"/>
                <w:sz w:val="22"/>
                <w:lang w:bidi="ar"/>
              </w:rPr>
              <w:t>教师端应用系统</w:t>
            </w:r>
          </w:p>
        </w:tc>
        <w:tc>
          <w:tcPr>
            <w:tcW w:w="1215" w:type="dxa"/>
            <w:tcBorders>
              <w:top w:val="nil"/>
              <w:left w:val="nil"/>
              <w:bottom w:val="single" w:color="auto" w:sz="4" w:space="0"/>
              <w:right w:val="single" w:color="auto" w:sz="4" w:space="0"/>
            </w:tcBorders>
            <w:shd w:val="clear" w:color="auto" w:fill="auto"/>
            <w:vAlign w:val="center"/>
          </w:tcPr>
          <w:p w14:paraId="53970F2A">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D885885">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63C094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E6805DC">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62A9514">
            <w:pPr>
              <w:widowControl/>
              <w:jc w:val="center"/>
              <w:textAlignment w:val="center"/>
              <w:rPr>
                <w:rFonts w:ascii="宋体" w:hAnsi="宋体" w:cs="宋体"/>
                <w:color w:val="000000"/>
                <w:sz w:val="22"/>
              </w:rPr>
            </w:pPr>
            <w:r>
              <w:rPr>
                <w:rFonts w:hint="eastAsia" w:ascii="宋体" w:hAnsi="宋体" w:cs="宋体"/>
                <w:color w:val="000000"/>
                <w:kern w:val="0"/>
                <w:sz w:val="22"/>
                <w:lang w:bidi="ar"/>
              </w:rPr>
              <w:t>14</w:t>
            </w:r>
          </w:p>
        </w:tc>
        <w:tc>
          <w:tcPr>
            <w:tcW w:w="3750" w:type="dxa"/>
            <w:tcBorders>
              <w:top w:val="nil"/>
              <w:left w:val="nil"/>
              <w:bottom w:val="single" w:color="auto" w:sz="4" w:space="0"/>
              <w:right w:val="single" w:color="auto" w:sz="4" w:space="0"/>
            </w:tcBorders>
            <w:shd w:val="clear" w:color="auto" w:fill="auto"/>
            <w:vAlign w:val="center"/>
          </w:tcPr>
          <w:p w14:paraId="53A6257A">
            <w:pPr>
              <w:widowControl/>
              <w:jc w:val="center"/>
              <w:textAlignment w:val="center"/>
              <w:rPr>
                <w:rFonts w:ascii="宋体" w:hAnsi="宋体" w:cs="宋体"/>
                <w:sz w:val="22"/>
              </w:rPr>
            </w:pPr>
            <w:r>
              <w:rPr>
                <w:rFonts w:hint="eastAsia" w:ascii="宋体" w:hAnsi="宋体" w:cs="宋体"/>
                <w:kern w:val="0"/>
                <w:sz w:val="22"/>
                <w:lang w:bidi="ar"/>
              </w:rPr>
              <w:t>学生端应用系统</w:t>
            </w:r>
          </w:p>
        </w:tc>
        <w:tc>
          <w:tcPr>
            <w:tcW w:w="1215" w:type="dxa"/>
            <w:tcBorders>
              <w:top w:val="nil"/>
              <w:left w:val="nil"/>
              <w:bottom w:val="single" w:color="auto" w:sz="4" w:space="0"/>
              <w:right w:val="single" w:color="auto" w:sz="4" w:space="0"/>
            </w:tcBorders>
            <w:shd w:val="clear" w:color="auto" w:fill="auto"/>
            <w:vAlign w:val="center"/>
          </w:tcPr>
          <w:p w14:paraId="489F816D">
            <w:pPr>
              <w:widowControl/>
              <w:jc w:val="center"/>
              <w:textAlignment w:val="center"/>
              <w:rPr>
                <w:rFonts w:ascii="宋体" w:hAnsi="宋体" w:cs="宋体"/>
                <w:color w:val="000000"/>
                <w:sz w:val="22"/>
              </w:rPr>
            </w:pPr>
            <w:r>
              <w:rPr>
                <w:rFonts w:hint="eastAsia" w:ascii="宋体" w:hAnsi="宋体" w:cs="宋体"/>
                <w:color w:val="000000"/>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65C8F8F1">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3AD2B76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6A1576C">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2299F4D">
            <w:pPr>
              <w:widowControl/>
              <w:jc w:val="center"/>
              <w:textAlignment w:val="center"/>
              <w:rPr>
                <w:rFonts w:ascii="宋体" w:hAnsi="宋体" w:cs="宋体"/>
                <w:color w:val="000000"/>
                <w:sz w:val="22"/>
              </w:rPr>
            </w:pPr>
            <w:r>
              <w:rPr>
                <w:rFonts w:hint="eastAsia" w:ascii="宋体" w:hAnsi="宋体" w:cs="宋体"/>
                <w:color w:val="000000"/>
                <w:kern w:val="0"/>
                <w:sz w:val="22"/>
                <w:lang w:bidi="ar"/>
              </w:rPr>
              <w:t>15</w:t>
            </w:r>
          </w:p>
        </w:tc>
        <w:tc>
          <w:tcPr>
            <w:tcW w:w="3750" w:type="dxa"/>
            <w:tcBorders>
              <w:top w:val="nil"/>
              <w:left w:val="nil"/>
              <w:bottom w:val="single" w:color="auto" w:sz="4" w:space="0"/>
              <w:right w:val="single" w:color="auto" w:sz="4" w:space="0"/>
            </w:tcBorders>
            <w:shd w:val="clear" w:color="auto" w:fill="auto"/>
            <w:vAlign w:val="center"/>
          </w:tcPr>
          <w:p w14:paraId="7EB94D88">
            <w:pPr>
              <w:widowControl/>
              <w:jc w:val="center"/>
              <w:textAlignment w:val="center"/>
              <w:rPr>
                <w:rFonts w:ascii="宋体" w:hAnsi="宋体" w:cs="宋体"/>
                <w:sz w:val="22"/>
              </w:rPr>
            </w:pPr>
            <w:r>
              <w:rPr>
                <w:rFonts w:hint="eastAsia" w:ascii="宋体" w:hAnsi="宋体" w:cs="宋体"/>
                <w:kern w:val="0"/>
                <w:sz w:val="22"/>
                <w:lang w:bidi="ar"/>
              </w:rPr>
              <w:t>教师移动学习终端</w:t>
            </w:r>
          </w:p>
        </w:tc>
        <w:tc>
          <w:tcPr>
            <w:tcW w:w="1215" w:type="dxa"/>
            <w:tcBorders>
              <w:top w:val="nil"/>
              <w:left w:val="nil"/>
              <w:bottom w:val="single" w:color="auto" w:sz="4" w:space="0"/>
              <w:right w:val="single" w:color="auto" w:sz="4" w:space="0"/>
            </w:tcBorders>
            <w:shd w:val="clear" w:color="auto" w:fill="auto"/>
            <w:vAlign w:val="center"/>
          </w:tcPr>
          <w:p w14:paraId="3AEFC2B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416DEF6">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39D1B0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4E5BC8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9432C6E">
            <w:pPr>
              <w:widowControl/>
              <w:jc w:val="center"/>
              <w:textAlignment w:val="center"/>
              <w:rPr>
                <w:rFonts w:ascii="宋体" w:hAnsi="宋体" w:cs="宋体"/>
                <w:color w:val="000000"/>
                <w:sz w:val="22"/>
              </w:rPr>
            </w:pPr>
            <w:r>
              <w:rPr>
                <w:rFonts w:hint="eastAsia" w:ascii="宋体" w:hAnsi="宋体" w:cs="宋体"/>
                <w:color w:val="000000"/>
                <w:kern w:val="0"/>
                <w:sz w:val="22"/>
                <w:lang w:bidi="ar"/>
              </w:rPr>
              <w:t>16</w:t>
            </w:r>
          </w:p>
        </w:tc>
        <w:tc>
          <w:tcPr>
            <w:tcW w:w="3750" w:type="dxa"/>
            <w:tcBorders>
              <w:top w:val="nil"/>
              <w:left w:val="nil"/>
              <w:bottom w:val="single" w:color="auto" w:sz="4" w:space="0"/>
              <w:right w:val="single" w:color="auto" w:sz="4" w:space="0"/>
            </w:tcBorders>
            <w:shd w:val="clear" w:color="auto" w:fill="auto"/>
            <w:vAlign w:val="center"/>
          </w:tcPr>
          <w:p w14:paraId="3FFAC2C0">
            <w:pPr>
              <w:widowControl/>
              <w:jc w:val="center"/>
              <w:textAlignment w:val="center"/>
              <w:rPr>
                <w:rFonts w:ascii="宋体" w:hAnsi="宋体" w:cs="宋体"/>
                <w:sz w:val="22"/>
              </w:rPr>
            </w:pPr>
            <w:r>
              <w:rPr>
                <w:rFonts w:hint="eastAsia" w:ascii="宋体" w:hAnsi="宋体" w:cs="宋体"/>
                <w:kern w:val="0"/>
                <w:sz w:val="22"/>
                <w:lang w:bidi="ar"/>
              </w:rPr>
              <w:t>学生移动学习终端</w:t>
            </w:r>
          </w:p>
        </w:tc>
        <w:tc>
          <w:tcPr>
            <w:tcW w:w="1215" w:type="dxa"/>
            <w:tcBorders>
              <w:top w:val="nil"/>
              <w:left w:val="nil"/>
              <w:bottom w:val="single" w:color="auto" w:sz="4" w:space="0"/>
              <w:right w:val="single" w:color="auto" w:sz="4" w:space="0"/>
            </w:tcBorders>
            <w:shd w:val="clear" w:color="auto" w:fill="auto"/>
            <w:vAlign w:val="center"/>
          </w:tcPr>
          <w:p w14:paraId="125F0EE1">
            <w:pPr>
              <w:widowControl/>
              <w:jc w:val="center"/>
              <w:textAlignment w:val="center"/>
              <w:rPr>
                <w:rFonts w:ascii="宋体" w:hAnsi="宋体" w:cs="宋体"/>
                <w:color w:val="000000"/>
                <w:sz w:val="22"/>
              </w:rPr>
            </w:pPr>
            <w:r>
              <w:rPr>
                <w:rFonts w:hint="eastAsia" w:ascii="宋体" w:hAnsi="宋体" w:cs="宋体"/>
                <w:color w:val="000000"/>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45C553E3">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CC6E49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CF4C06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5408F06">
            <w:pPr>
              <w:widowControl/>
              <w:jc w:val="center"/>
              <w:textAlignment w:val="center"/>
              <w:rPr>
                <w:rFonts w:ascii="宋体" w:hAnsi="宋体" w:cs="宋体"/>
                <w:color w:val="000000"/>
                <w:sz w:val="22"/>
              </w:rPr>
            </w:pPr>
            <w:r>
              <w:rPr>
                <w:rFonts w:hint="eastAsia" w:ascii="宋体" w:hAnsi="宋体" w:cs="宋体"/>
                <w:color w:val="000000"/>
                <w:kern w:val="0"/>
                <w:sz w:val="22"/>
                <w:lang w:bidi="ar"/>
              </w:rPr>
              <w:t>17</w:t>
            </w:r>
          </w:p>
        </w:tc>
        <w:tc>
          <w:tcPr>
            <w:tcW w:w="3750" w:type="dxa"/>
            <w:tcBorders>
              <w:top w:val="nil"/>
              <w:left w:val="nil"/>
              <w:bottom w:val="single" w:color="auto" w:sz="4" w:space="0"/>
              <w:right w:val="single" w:color="auto" w:sz="4" w:space="0"/>
            </w:tcBorders>
            <w:shd w:val="clear" w:color="auto" w:fill="auto"/>
            <w:vAlign w:val="center"/>
          </w:tcPr>
          <w:p w14:paraId="539D4CE1">
            <w:pPr>
              <w:widowControl/>
              <w:jc w:val="center"/>
              <w:textAlignment w:val="center"/>
              <w:rPr>
                <w:rFonts w:ascii="宋体" w:hAnsi="宋体" w:cs="宋体"/>
                <w:sz w:val="22"/>
              </w:rPr>
            </w:pPr>
            <w:r>
              <w:rPr>
                <w:rFonts w:hint="eastAsia" w:ascii="宋体" w:hAnsi="宋体" w:cs="宋体"/>
                <w:kern w:val="0"/>
                <w:sz w:val="22"/>
                <w:lang w:bidi="ar"/>
              </w:rPr>
              <w:t>智能云盒</w:t>
            </w:r>
          </w:p>
        </w:tc>
        <w:tc>
          <w:tcPr>
            <w:tcW w:w="1215" w:type="dxa"/>
            <w:tcBorders>
              <w:top w:val="nil"/>
              <w:left w:val="nil"/>
              <w:bottom w:val="single" w:color="auto" w:sz="4" w:space="0"/>
              <w:right w:val="single" w:color="auto" w:sz="4" w:space="0"/>
            </w:tcBorders>
            <w:shd w:val="clear" w:color="auto" w:fill="auto"/>
            <w:vAlign w:val="center"/>
          </w:tcPr>
          <w:p w14:paraId="3CE4B01D">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F5A3395">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2641A96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FA3875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C1812E2">
            <w:pPr>
              <w:widowControl/>
              <w:jc w:val="center"/>
              <w:textAlignment w:val="center"/>
              <w:rPr>
                <w:rFonts w:ascii="宋体" w:hAnsi="宋体" w:cs="宋体"/>
                <w:color w:val="000000"/>
                <w:sz w:val="22"/>
              </w:rPr>
            </w:pPr>
            <w:r>
              <w:rPr>
                <w:rFonts w:hint="eastAsia" w:ascii="宋体" w:hAnsi="宋体" w:cs="宋体"/>
                <w:color w:val="000000"/>
                <w:kern w:val="0"/>
                <w:sz w:val="22"/>
                <w:lang w:bidi="ar"/>
              </w:rPr>
              <w:t>18</w:t>
            </w:r>
          </w:p>
        </w:tc>
        <w:tc>
          <w:tcPr>
            <w:tcW w:w="3750" w:type="dxa"/>
            <w:tcBorders>
              <w:top w:val="nil"/>
              <w:left w:val="nil"/>
              <w:bottom w:val="single" w:color="auto" w:sz="4" w:space="0"/>
              <w:right w:val="single" w:color="auto" w:sz="4" w:space="0"/>
            </w:tcBorders>
            <w:shd w:val="clear" w:color="auto" w:fill="auto"/>
            <w:vAlign w:val="center"/>
          </w:tcPr>
          <w:p w14:paraId="2C9F434B">
            <w:pPr>
              <w:widowControl/>
              <w:jc w:val="center"/>
              <w:textAlignment w:val="center"/>
              <w:rPr>
                <w:rFonts w:ascii="宋体" w:hAnsi="宋体" w:cs="宋体"/>
                <w:sz w:val="22"/>
              </w:rPr>
            </w:pPr>
            <w:r>
              <w:rPr>
                <w:rFonts w:hint="eastAsia" w:ascii="宋体" w:hAnsi="宋体" w:cs="宋体"/>
                <w:kern w:val="0"/>
                <w:sz w:val="22"/>
                <w:lang w:bidi="ar"/>
              </w:rPr>
              <w:t>移动充电车</w:t>
            </w:r>
          </w:p>
        </w:tc>
        <w:tc>
          <w:tcPr>
            <w:tcW w:w="1215" w:type="dxa"/>
            <w:tcBorders>
              <w:top w:val="nil"/>
              <w:left w:val="nil"/>
              <w:bottom w:val="single" w:color="auto" w:sz="4" w:space="0"/>
              <w:right w:val="single" w:color="auto" w:sz="4" w:space="0"/>
            </w:tcBorders>
            <w:shd w:val="clear" w:color="auto" w:fill="auto"/>
            <w:vAlign w:val="center"/>
          </w:tcPr>
          <w:p w14:paraId="77E6C2B0">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A63F65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2082F2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40862EE">
        <w:tblPrEx>
          <w:tblCellMar>
            <w:top w:w="0" w:type="dxa"/>
            <w:left w:w="108" w:type="dxa"/>
            <w:bottom w:w="0" w:type="dxa"/>
            <w:right w:w="108" w:type="dxa"/>
          </w:tblCellMar>
        </w:tblPrEx>
        <w:trPr>
          <w:trHeight w:val="90"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B646570">
            <w:pPr>
              <w:widowControl/>
              <w:jc w:val="center"/>
              <w:textAlignment w:val="center"/>
              <w:rPr>
                <w:rFonts w:ascii="宋体" w:hAnsi="宋体" w:cs="宋体"/>
                <w:color w:val="000000"/>
                <w:sz w:val="22"/>
              </w:rPr>
            </w:pPr>
            <w:r>
              <w:rPr>
                <w:rFonts w:hint="eastAsia" w:ascii="宋体" w:hAnsi="宋体" w:cs="宋体"/>
                <w:color w:val="000000"/>
                <w:kern w:val="0"/>
                <w:sz w:val="22"/>
                <w:lang w:bidi="ar"/>
              </w:rPr>
              <w:t>19</w:t>
            </w:r>
          </w:p>
        </w:tc>
        <w:tc>
          <w:tcPr>
            <w:tcW w:w="3750" w:type="dxa"/>
            <w:tcBorders>
              <w:top w:val="nil"/>
              <w:left w:val="nil"/>
              <w:bottom w:val="single" w:color="auto" w:sz="4" w:space="0"/>
              <w:right w:val="single" w:color="auto" w:sz="4" w:space="0"/>
            </w:tcBorders>
            <w:shd w:val="clear" w:color="auto" w:fill="auto"/>
            <w:vAlign w:val="center"/>
          </w:tcPr>
          <w:p w14:paraId="47F72F8A">
            <w:pPr>
              <w:widowControl/>
              <w:jc w:val="center"/>
              <w:textAlignment w:val="center"/>
              <w:rPr>
                <w:rFonts w:ascii="宋体" w:hAnsi="宋体" w:cs="宋体"/>
                <w:sz w:val="22"/>
              </w:rPr>
            </w:pPr>
            <w:r>
              <w:rPr>
                <w:rFonts w:hint="eastAsia" w:ascii="宋体" w:hAnsi="宋体" w:cs="宋体"/>
                <w:kern w:val="0"/>
                <w:sz w:val="22"/>
                <w:lang w:bidi="ar"/>
              </w:rPr>
              <w:t>指向性话筒</w:t>
            </w:r>
          </w:p>
        </w:tc>
        <w:tc>
          <w:tcPr>
            <w:tcW w:w="1215" w:type="dxa"/>
            <w:tcBorders>
              <w:top w:val="nil"/>
              <w:left w:val="nil"/>
              <w:bottom w:val="single" w:color="auto" w:sz="4" w:space="0"/>
              <w:right w:val="single" w:color="auto" w:sz="4" w:space="0"/>
            </w:tcBorders>
            <w:shd w:val="clear" w:color="auto" w:fill="auto"/>
            <w:vAlign w:val="center"/>
          </w:tcPr>
          <w:p w14:paraId="124B7AAB">
            <w:pPr>
              <w:widowControl/>
              <w:jc w:val="center"/>
              <w:textAlignment w:val="center"/>
              <w:rPr>
                <w:rFonts w:ascii="宋体" w:hAnsi="宋体" w:cs="宋体"/>
                <w:color w:val="000000"/>
                <w:sz w:val="22"/>
              </w:rPr>
            </w:pPr>
            <w:r>
              <w:rPr>
                <w:rFonts w:hint="eastAsia" w:ascii="宋体" w:hAnsi="宋体" w:cs="宋体"/>
                <w:color w:val="000000"/>
                <w:kern w:val="0"/>
                <w:sz w:val="22"/>
                <w:lang w:bidi="ar"/>
              </w:rPr>
              <w:t>6</w:t>
            </w:r>
          </w:p>
        </w:tc>
        <w:tc>
          <w:tcPr>
            <w:tcW w:w="729" w:type="dxa"/>
            <w:tcBorders>
              <w:top w:val="nil"/>
              <w:left w:val="nil"/>
              <w:bottom w:val="single" w:color="auto" w:sz="4" w:space="0"/>
              <w:right w:val="single" w:color="auto" w:sz="4" w:space="0"/>
            </w:tcBorders>
            <w:shd w:val="clear" w:color="auto" w:fill="auto"/>
            <w:vAlign w:val="center"/>
          </w:tcPr>
          <w:p w14:paraId="4E364C65">
            <w:pPr>
              <w:widowControl/>
              <w:jc w:val="center"/>
              <w:textAlignment w:val="center"/>
              <w:rPr>
                <w:rFonts w:ascii="宋体" w:hAnsi="宋体" w:cs="宋体"/>
                <w:sz w:val="22"/>
              </w:rPr>
            </w:pPr>
            <w:r>
              <w:rPr>
                <w:rFonts w:hint="eastAsia" w:ascii="宋体" w:hAnsi="宋体" w:cs="宋体"/>
                <w:kern w:val="0"/>
                <w:sz w:val="22"/>
                <w:lang w:bidi="ar"/>
              </w:rPr>
              <w:t>支</w:t>
            </w:r>
          </w:p>
        </w:tc>
        <w:tc>
          <w:tcPr>
            <w:tcW w:w="1866" w:type="dxa"/>
            <w:tcBorders>
              <w:top w:val="nil"/>
              <w:left w:val="nil"/>
              <w:bottom w:val="single" w:color="auto" w:sz="4" w:space="0"/>
              <w:right w:val="single" w:color="auto" w:sz="4" w:space="0"/>
            </w:tcBorders>
            <w:shd w:val="clear" w:color="auto" w:fill="auto"/>
            <w:vAlign w:val="center"/>
          </w:tcPr>
          <w:p w14:paraId="11155A1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6E8F167">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4B8A7CB">
            <w:pPr>
              <w:widowControl/>
              <w:jc w:val="center"/>
              <w:textAlignment w:val="center"/>
              <w:rPr>
                <w:rFonts w:ascii="宋体" w:hAnsi="宋体" w:cs="宋体"/>
                <w:color w:val="000000"/>
                <w:sz w:val="22"/>
              </w:rPr>
            </w:pPr>
            <w:r>
              <w:rPr>
                <w:rFonts w:hint="eastAsia" w:ascii="宋体" w:hAnsi="宋体" w:cs="宋体"/>
                <w:color w:val="000000"/>
                <w:kern w:val="0"/>
                <w:sz w:val="22"/>
                <w:lang w:bidi="ar"/>
              </w:rPr>
              <w:t>20</w:t>
            </w:r>
          </w:p>
        </w:tc>
        <w:tc>
          <w:tcPr>
            <w:tcW w:w="3750" w:type="dxa"/>
            <w:tcBorders>
              <w:top w:val="nil"/>
              <w:left w:val="nil"/>
              <w:bottom w:val="single" w:color="auto" w:sz="4" w:space="0"/>
              <w:right w:val="single" w:color="auto" w:sz="4" w:space="0"/>
            </w:tcBorders>
            <w:shd w:val="clear" w:color="auto" w:fill="auto"/>
            <w:vAlign w:val="center"/>
          </w:tcPr>
          <w:p w14:paraId="155302E3">
            <w:pPr>
              <w:widowControl/>
              <w:jc w:val="center"/>
              <w:textAlignment w:val="center"/>
              <w:rPr>
                <w:rFonts w:ascii="宋体" w:hAnsi="宋体" w:cs="宋体"/>
                <w:sz w:val="22"/>
              </w:rPr>
            </w:pPr>
            <w:r>
              <w:rPr>
                <w:rFonts w:hint="eastAsia" w:ascii="宋体" w:hAnsi="宋体" w:cs="宋体"/>
                <w:kern w:val="0"/>
                <w:sz w:val="22"/>
                <w:lang w:bidi="ar"/>
              </w:rPr>
              <w:t>数字音频矩阵</w:t>
            </w:r>
          </w:p>
        </w:tc>
        <w:tc>
          <w:tcPr>
            <w:tcW w:w="1215" w:type="dxa"/>
            <w:tcBorders>
              <w:top w:val="nil"/>
              <w:left w:val="nil"/>
              <w:bottom w:val="single" w:color="auto" w:sz="4" w:space="0"/>
              <w:right w:val="single" w:color="auto" w:sz="4" w:space="0"/>
            </w:tcBorders>
            <w:shd w:val="clear" w:color="auto" w:fill="auto"/>
            <w:vAlign w:val="center"/>
          </w:tcPr>
          <w:p w14:paraId="5FCE9C09">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554D81B">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400E10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B8B279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7DA1094">
            <w:pPr>
              <w:widowControl/>
              <w:jc w:val="center"/>
              <w:textAlignment w:val="center"/>
              <w:rPr>
                <w:rFonts w:ascii="宋体" w:hAnsi="宋体" w:cs="宋体"/>
                <w:color w:val="000000"/>
                <w:sz w:val="22"/>
              </w:rPr>
            </w:pPr>
            <w:r>
              <w:rPr>
                <w:rFonts w:hint="eastAsia" w:ascii="宋体" w:hAnsi="宋体" w:cs="宋体"/>
                <w:color w:val="000000"/>
                <w:kern w:val="0"/>
                <w:sz w:val="22"/>
                <w:lang w:bidi="ar"/>
              </w:rPr>
              <w:t>21</w:t>
            </w:r>
          </w:p>
        </w:tc>
        <w:tc>
          <w:tcPr>
            <w:tcW w:w="3750" w:type="dxa"/>
            <w:tcBorders>
              <w:top w:val="nil"/>
              <w:left w:val="nil"/>
              <w:bottom w:val="single" w:color="auto" w:sz="4" w:space="0"/>
              <w:right w:val="single" w:color="auto" w:sz="4" w:space="0"/>
            </w:tcBorders>
            <w:shd w:val="clear" w:color="auto" w:fill="auto"/>
            <w:vAlign w:val="center"/>
          </w:tcPr>
          <w:p w14:paraId="4198EE91">
            <w:pPr>
              <w:widowControl/>
              <w:jc w:val="center"/>
              <w:textAlignment w:val="center"/>
              <w:rPr>
                <w:rFonts w:ascii="宋体" w:hAnsi="宋体" w:cs="宋体"/>
                <w:sz w:val="22"/>
              </w:rPr>
            </w:pPr>
            <w:r>
              <w:rPr>
                <w:rFonts w:hint="eastAsia" w:ascii="宋体" w:hAnsi="宋体" w:cs="宋体"/>
                <w:kern w:val="0"/>
                <w:sz w:val="22"/>
                <w:lang w:bidi="ar"/>
              </w:rPr>
              <w:t>无线话筒（带领夹）</w:t>
            </w:r>
          </w:p>
        </w:tc>
        <w:tc>
          <w:tcPr>
            <w:tcW w:w="1215" w:type="dxa"/>
            <w:tcBorders>
              <w:top w:val="nil"/>
              <w:left w:val="nil"/>
              <w:bottom w:val="single" w:color="auto" w:sz="4" w:space="0"/>
              <w:right w:val="single" w:color="auto" w:sz="4" w:space="0"/>
            </w:tcBorders>
            <w:shd w:val="clear" w:color="auto" w:fill="auto"/>
            <w:vAlign w:val="center"/>
          </w:tcPr>
          <w:p w14:paraId="1E94A808">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17BBA6E">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734A6B02">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C15D5F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8C53EF7">
            <w:pPr>
              <w:widowControl/>
              <w:jc w:val="center"/>
              <w:textAlignment w:val="center"/>
              <w:rPr>
                <w:rFonts w:ascii="宋体" w:hAnsi="宋体" w:cs="宋体"/>
                <w:color w:val="000000"/>
                <w:sz w:val="22"/>
              </w:rPr>
            </w:pPr>
            <w:r>
              <w:rPr>
                <w:rFonts w:hint="eastAsia" w:ascii="宋体" w:hAnsi="宋体" w:cs="宋体"/>
                <w:color w:val="000000"/>
                <w:kern w:val="0"/>
                <w:sz w:val="22"/>
                <w:lang w:bidi="ar"/>
              </w:rPr>
              <w:t>22</w:t>
            </w:r>
          </w:p>
        </w:tc>
        <w:tc>
          <w:tcPr>
            <w:tcW w:w="3750" w:type="dxa"/>
            <w:tcBorders>
              <w:top w:val="nil"/>
              <w:left w:val="nil"/>
              <w:bottom w:val="single" w:color="auto" w:sz="4" w:space="0"/>
              <w:right w:val="single" w:color="auto" w:sz="4" w:space="0"/>
            </w:tcBorders>
            <w:shd w:val="clear" w:color="auto" w:fill="auto"/>
            <w:vAlign w:val="center"/>
          </w:tcPr>
          <w:p w14:paraId="55FD525C">
            <w:pPr>
              <w:widowControl/>
              <w:jc w:val="center"/>
              <w:textAlignment w:val="center"/>
              <w:rPr>
                <w:rFonts w:ascii="宋体" w:hAnsi="宋体" w:cs="宋体"/>
                <w:sz w:val="22"/>
              </w:rPr>
            </w:pPr>
            <w:r>
              <w:rPr>
                <w:rFonts w:hint="eastAsia" w:ascii="宋体" w:hAnsi="宋体" w:cs="宋体"/>
                <w:kern w:val="0"/>
                <w:sz w:val="22"/>
                <w:lang w:bidi="ar"/>
              </w:rPr>
              <w:t>功放</w:t>
            </w:r>
          </w:p>
        </w:tc>
        <w:tc>
          <w:tcPr>
            <w:tcW w:w="1215" w:type="dxa"/>
            <w:tcBorders>
              <w:top w:val="nil"/>
              <w:left w:val="nil"/>
              <w:bottom w:val="single" w:color="auto" w:sz="4" w:space="0"/>
              <w:right w:val="single" w:color="auto" w:sz="4" w:space="0"/>
            </w:tcBorders>
            <w:shd w:val="clear" w:color="auto" w:fill="auto"/>
            <w:vAlign w:val="center"/>
          </w:tcPr>
          <w:p w14:paraId="20FE134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D4F5B1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271C44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F48153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04D1DA6">
            <w:pPr>
              <w:widowControl/>
              <w:jc w:val="center"/>
              <w:textAlignment w:val="center"/>
              <w:rPr>
                <w:rFonts w:ascii="宋体" w:hAnsi="宋体" w:cs="宋体"/>
                <w:color w:val="000000"/>
                <w:sz w:val="22"/>
              </w:rPr>
            </w:pPr>
            <w:r>
              <w:rPr>
                <w:rFonts w:hint="eastAsia" w:ascii="宋体" w:hAnsi="宋体" w:cs="宋体"/>
                <w:color w:val="000000"/>
                <w:kern w:val="0"/>
                <w:sz w:val="22"/>
                <w:lang w:bidi="ar"/>
              </w:rPr>
              <w:t>23</w:t>
            </w:r>
          </w:p>
        </w:tc>
        <w:tc>
          <w:tcPr>
            <w:tcW w:w="3750" w:type="dxa"/>
            <w:tcBorders>
              <w:top w:val="nil"/>
              <w:left w:val="nil"/>
              <w:bottom w:val="single" w:color="auto" w:sz="4" w:space="0"/>
              <w:right w:val="single" w:color="auto" w:sz="4" w:space="0"/>
            </w:tcBorders>
            <w:shd w:val="clear" w:color="auto" w:fill="auto"/>
            <w:vAlign w:val="center"/>
          </w:tcPr>
          <w:p w14:paraId="5DE9F9AE">
            <w:pPr>
              <w:widowControl/>
              <w:jc w:val="center"/>
              <w:textAlignment w:val="center"/>
              <w:rPr>
                <w:rFonts w:ascii="宋体" w:hAnsi="宋体" w:cs="宋体"/>
                <w:sz w:val="22"/>
              </w:rPr>
            </w:pPr>
            <w:r>
              <w:rPr>
                <w:rFonts w:hint="eastAsia" w:ascii="宋体" w:hAnsi="宋体" w:cs="宋体"/>
                <w:kern w:val="0"/>
                <w:sz w:val="22"/>
                <w:lang w:bidi="ar"/>
              </w:rPr>
              <w:t>音箱</w:t>
            </w:r>
          </w:p>
        </w:tc>
        <w:tc>
          <w:tcPr>
            <w:tcW w:w="1215" w:type="dxa"/>
            <w:tcBorders>
              <w:top w:val="nil"/>
              <w:left w:val="nil"/>
              <w:bottom w:val="single" w:color="auto" w:sz="4" w:space="0"/>
              <w:right w:val="single" w:color="auto" w:sz="4" w:space="0"/>
            </w:tcBorders>
            <w:shd w:val="clear" w:color="auto" w:fill="auto"/>
            <w:vAlign w:val="center"/>
          </w:tcPr>
          <w:p w14:paraId="622EED60">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65D577A4">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851206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ABA57D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7D9D9C8">
            <w:pPr>
              <w:widowControl/>
              <w:jc w:val="center"/>
              <w:textAlignment w:val="center"/>
              <w:rPr>
                <w:rFonts w:ascii="宋体" w:hAnsi="宋体" w:cs="宋体"/>
                <w:color w:val="000000"/>
                <w:sz w:val="22"/>
              </w:rPr>
            </w:pPr>
            <w:r>
              <w:rPr>
                <w:rFonts w:hint="eastAsia" w:ascii="宋体" w:hAnsi="宋体" w:cs="宋体"/>
                <w:color w:val="000000"/>
                <w:kern w:val="0"/>
                <w:sz w:val="22"/>
                <w:lang w:bidi="ar"/>
              </w:rPr>
              <w:t>24</w:t>
            </w:r>
          </w:p>
        </w:tc>
        <w:tc>
          <w:tcPr>
            <w:tcW w:w="3750" w:type="dxa"/>
            <w:tcBorders>
              <w:top w:val="nil"/>
              <w:left w:val="nil"/>
              <w:bottom w:val="single" w:color="auto" w:sz="4" w:space="0"/>
              <w:right w:val="single" w:color="auto" w:sz="4" w:space="0"/>
            </w:tcBorders>
            <w:shd w:val="clear" w:color="auto" w:fill="auto"/>
            <w:vAlign w:val="center"/>
          </w:tcPr>
          <w:p w14:paraId="3C0CA29B">
            <w:pPr>
              <w:widowControl/>
              <w:jc w:val="center"/>
              <w:textAlignment w:val="center"/>
              <w:rPr>
                <w:rFonts w:ascii="宋体" w:hAnsi="宋体" w:cs="宋体"/>
                <w:sz w:val="22"/>
              </w:rPr>
            </w:pPr>
            <w:r>
              <w:rPr>
                <w:rFonts w:hint="eastAsia" w:ascii="宋体" w:hAnsi="宋体" w:cs="宋体"/>
                <w:kern w:val="0"/>
                <w:sz w:val="22"/>
                <w:lang w:bidi="ar"/>
              </w:rPr>
              <w:t>导播键盘</w:t>
            </w:r>
          </w:p>
        </w:tc>
        <w:tc>
          <w:tcPr>
            <w:tcW w:w="1215" w:type="dxa"/>
            <w:tcBorders>
              <w:top w:val="nil"/>
              <w:left w:val="nil"/>
              <w:bottom w:val="single" w:color="auto" w:sz="4" w:space="0"/>
              <w:right w:val="single" w:color="auto" w:sz="4" w:space="0"/>
            </w:tcBorders>
            <w:shd w:val="clear" w:color="auto" w:fill="auto"/>
            <w:vAlign w:val="center"/>
          </w:tcPr>
          <w:p w14:paraId="18FF22DD">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B79447A">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5D43F3A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8260EA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C91474A">
            <w:pPr>
              <w:widowControl/>
              <w:jc w:val="center"/>
              <w:textAlignment w:val="center"/>
              <w:rPr>
                <w:rFonts w:ascii="宋体" w:hAnsi="宋体" w:cs="宋体"/>
                <w:color w:val="000000"/>
                <w:sz w:val="22"/>
              </w:rPr>
            </w:pPr>
            <w:r>
              <w:rPr>
                <w:rFonts w:hint="eastAsia" w:ascii="宋体" w:hAnsi="宋体" w:cs="宋体"/>
                <w:color w:val="000000"/>
                <w:kern w:val="0"/>
                <w:sz w:val="22"/>
                <w:lang w:bidi="ar"/>
              </w:rPr>
              <w:t>25</w:t>
            </w:r>
          </w:p>
        </w:tc>
        <w:tc>
          <w:tcPr>
            <w:tcW w:w="3750" w:type="dxa"/>
            <w:tcBorders>
              <w:top w:val="nil"/>
              <w:left w:val="nil"/>
              <w:bottom w:val="single" w:color="auto" w:sz="4" w:space="0"/>
              <w:right w:val="single" w:color="auto" w:sz="4" w:space="0"/>
            </w:tcBorders>
            <w:shd w:val="clear" w:color="auto" w:fill="auto"/>
            <w:vAlign w:val="center"/>
          </w:tcPr>
          <w:p w14:paraId="08AD700D">
            <w:pPr>
              <w:widowControl/>
              <w:jc w:val="center"/>
              <w:textAlignment w:val="center"/>
              <w:rPr>
                <w:rFonts w:ascii="宋体" w:hAnsi="宋体" w:cs="宋体"/>
                <w:sz w:val="22"/>
              </w:rPr>
            </w:pPr>
            <w:r>
              <w:rPr>
                <w:rFonts w:hint="eastAsia" w:ascii="宋体" w:hAnsi="宋体" w:cs="宋体"/>
                <w:kern w:val="0"/>
                <w:sz w:val="22"/>
                <w:lang w:bidi="ar"/>
              </w:rPr>
              <w:t>时序电源控制器</w:t>
            </w:r>
          </w:p>
        </w:tc>
        <w:tc>
          <w:tcPr>
            <w:tcW w:w="1215" w:type="dxa"/>
            <w:tcBorders>
              <w:top w:val="nil"/>
              <w:left w:val="nil"/>
              <w:bottom w:val="single" w:color="auto" w:sz="4" w:space="0"/>
              <w:right w:val="single" w:color="auto" w:sz="4" w:space="0"/>
            </w:tcBorders>
            <w:shd w:val="clear" w:color="auto" w:fill="auto"/>
            <w:vAlign w:val="center"/>
          </w:tcPr>
          <w:p w14:paraId="7DB92864">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1158F09">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717C26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64E302B">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ED860EF">
            <w:pPr>
              <w:widowControl/>
              <w:jc w:val="center"/>
              <w:textAlignment w:val="center"/>
              <w:rPr>
                <w:rFonts w:ascii="宋体" w:hAnsi="宋体" w:cs="宋体"/>
                <w:color w:val="000000"/>
                <w:sz w:val="22"/>
              </w:rPr>
            </w:pPr>
            <w:r>
              <w:rPr>
                <w:rFonts w:hint="eastAsia" w:ascii="宋体" w:hAnsi="宋体" w:cs="宋体"/>
                <w:color w:val="000000"/>
                <w:kern w:val="0"/>
                <w:sz w:val="22"/>
                <w:lang w:bidi="ar"/>
              </w:rPr>
              <w:t>26</w:t>
            </w:r>
          </w:p>
        </w:tc>
        <w:tc>
          <w:tcPr>
            <w:tcW w:w="3750" w:type="dxa"/>
            <w:tcBorders>
              <w:top w:val="nil"/>
              <w:left w:val="nil"/>
              <w:bottom w:val="single" w:color="auto" w:sz="4" w:space="0"/>
              <w:right w:val="single" w:color="auto" w:sz="4" w:space="0"/>
            </w:tcBorders>
            <w:shd w:val="clear" w:color="auto" w:fill="auto"/>
            <w:vAlign w:val="center"/>
          </w:tcPr>
          <w:p w14:paraId="0F83412E">
            <w:pPr>
              <w:widowControl/>
              <w:jc w:val="center"/>
              <w:textAlignment w:val="center"/>
              <w:rPr>
                <w:rFonts w:ascii="宋体" w:hAnsi="宋体" w:cs="宋体"/>
                <w:sz w:val="22"/>
              </w:rPr>
            </w:pPr>
            <w:r>
              <w:rPr>
                <w:rFonts w:hint="eastAsia" w:ascii="宋体" w:hAnsi="宋体" w:cs="宋体"/>
                <w:kern w:val="0"/>
                <w:sz w:val="22"/>
                <w:lang w:bidi="ar"/>
              </w:rPr>
              <w:t>资源管理平台应用系统</w:t>
            </w:r>
          </w:p>
        </w:tc>
        <w:tc>
          <w:tcPr>
            <w:tcW w:w="1215" w:type="dxa"/>
            <w:tcBorders>
              <w:top w:val="nil"/>
              <w:left w:val="nil"/>
              <w:bottom w:val="single" w:color="auto" w:sz="4" w:space="0"/>
              <w:right w:val="single" w:color="auto" w:sz="4" w:space="0"/>
            </w:tcBorders>
            <w:shd w:val="clear" w:color="auto" w:fill="auto"/>
            <w:vAlign w:val="center"/>
          </w:tcPr>
          <w:p w14:paraId="5D45705D">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9452654">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3A7A17D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AA4327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C01C60E">
            <w:pPr>
              <w:widowControl/>
              <w:jc w:val="center"/>
              <w:textAlignment w:val="center"/>
              <w:rPr>
                <w:rFonts w:ascii="宋体" w:hAnsi="宋体" w:cs="宋体"/>
                <w:color w:val="000000"/>
                <w:sz w:val="22"/>
              </w:rPr>
            </w:pPr>
            <w:r>
              <w:rPr>
                <w:rFonts w:hint="eastAsia" w:ascii="宋体" w:hAnsi="宋体" w:cs="宋体"/>
                <w:color w:val="000000"/>
                <w:kern w:val="0"/>
                <w:sz w:val="22"/>
                <w:lang w:bidi="ar"/>
              </w:rPr>
              <w:t>27</w:t>
            </w:r>
          </w:p>
        </w:tc>
        <w:tc>
          <w:tcPr>
            <w:tcW w:w="3750" w:type="dxa"/>
            <w:tcBorders>
              <w:top w:val="nil"/>
              <w:left w:val="nil"/>
              <w:bottom w:val="single" w:color="auto" w:sz="4" w:space="0"/>
              <w:right w:val="single" w:color="auto" w:sz="4" w:space="0"/>
            </w:tcBorders>
            <w:shd w:val="clear" w:color="auto" w:fill="auto"/>
            <w:vAlign w:val="center"/>
          </w:tcPr>
          <w:p w14:paraId="42DC6DD4">
            <w:pPr>
              <w:widowControl/>
              <w:jc w:val="center"/>
              <w:textAlignment w:val="center"/>
              <w:rPr>
                <w:rFonts w:ascii="宋体" w:hAnsi="宋体" w:cs="宋体"/>
                <w:sz w:val="22"/>
              </w:rPr>
            </w:pPr>
            <w:r>
              <w:rPr>
                <w:rFonts w:hint="eastAsia" w:ascii="宋体" w:hAnsi="宋体" w:cs="宋体"/>
                <w:kern w:val="0"/>
                <w:sz w:val="22"/>
                <w:lang w:bidi="ar"/>
              </w:rPr>
              <w:t>直点播终端</w:t>
            </w:r>
          </w:p>
        </w:tc>
        <w:tc>
          <w:tcPr>
            <w:tcW w:w="1215" w:type="dxa"/>
            <w:tcBorders>
              <w:top w:val="nil"/>
              <w:left w:val="nil"/>
              <w:bottom w:val="single" w:color="auto" w:sz="4" w:space="0"/>
              <w:right w:val="single" w:color="auto" w:sz="4" w:space="0"/>
            </w:tcBorders>
            <w:shd w:val="clear" w:color="auto" w:fill="auto"/>
            <w:vAlign w:val="center"/>
          </w:tcPr>
          <w:p w14:paraId="1C434D1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FA891E3">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BD3C1B1">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05F6C0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6F4DB98">
            <w:pPr>
              <w:widowControl/>
              <w:jc w:val="center"/>
              <w:textAlignment w:val="center"/>
              <w:rPr>
                <w:rFonts w:ascii="宋体" w:hAnsi="宋体" w:cs="宋体"/>
                <w:color w:val="000000"/>
                <w:sz w:val="22"/>
              </w:rPr>
            </w:pPr>
            <w:r>
              <w:rPr>
                <w:rFonts w:hint="eastAsia" w:ascii="宋体" w:hAnsi="宋体" w:cs="宋体"/>
                <w:color w:val="000000"/>
                <w:kern w:val="0"/>
                <w:sz w:val="22"/>
                <w:lang w:bidi="ar"/>
              </w:rPr>
              <w:t>28</w:t>
            </w:r>
          </w:p>
        </w:tc>
        <w:tc>
          <w:tcPr>
            <w:tcW w:w="3750" w:type="dxa"/>
            <w:tcBorders>
              <w:top w:val="nil"/>
              <w:left w:val="nil"/>
              <w:bottom w:val="single" w:color="auto" w:sz="4" w:space="0"/>
              <w:right w:val="single" w:color="auto" w:sz="4" w:space="0"/>
            </w:tcBorders>
            <w:shd w:val="clear" w:color="auto" w:fill="auto"/>
            <w:vAlign w:val="center"/>
          </w:tcPr>
          <w:p w14:paraId="70E9F382">
            <w:pPr>
              <w:widowControl/>
              <w:jc w:val="center"/>
              <w:textAlignment w:val="center"/>
              <w:rPr>
                <w:rFonts w:ascii="宋体" w:hAnsi="宋体" w:cs="宋体"/>
                <w:sz w:val="22"/>
              </w:rPr>
            </w:pPr>
            <w:r>
              <w:rPr>
                <w:rFonts w:hint="eastAsia" w:ascii="宋体" w:hAnsi="宋体" w:cs="宋体"/>
                <w:kern w:val="0"/>
                <w:sz w:val="22"/>
                <w:lang w:bidi="ar"/>
              </w:rPr>
              <w:t>千兆交换机</w:t>
            </w:r>
          </w:p>
        </w:tc>
        <w:tc>
          <w:tcPr>
            <w:tcW w:w="1215" w:type="dxa"/>
            <w:tcBorders>
              <w:top w:val="nil"/>
              <w:left w:val="nil"/>
              <w:bottom w:val="single" w:color="auto" w:sz="4" w:space="0"/>
              <w:right w:val="single" w:color="auto" w:sz="4" w:space="0"/>
            </w:tcBorders>
            <w:shd w:val="clear" w:color="auto" w:fill="auto"/>
            <w:vAlign w:val="center"/>
          </w:tcPr>
          <w:p w14:paraId="7A9ED4D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11AF975">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22C5084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9B24C4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148642F">
            <w:pPr>
              <w:widowControl/>
              <w:jc w:val="center"/>
              <w:textAlignment w:val="center"/>
              <w:rPr>
                <w:rFonts w:ascii="宋体" w:hAnsi="宋体" w:cs="宋体"/>
                <w:color w:val="000000"/>
                <w:sz w:val="22"/>
              </w:rPr>
            </w:pPr>
            <w:r>
              <w:rPr>
                <w:rFonts w:hint="eastAsia" w:ascii="宋体" w:hAnsi="宋体" w:cs="宋体"/>
                <w:color w:val="000000"/>
                <w:kern w:val="0"/>
                <w:sz w:val="22"/>
                <w:lang w:bidi="ar"/>
              </w:rPr>
              <w:t>29</w:t>
            </w:r>
          </w:p>
        </w:tc>
        <w:tc>
          <w:tcPr>
            <w:tcW w:w="3750" w:type="dxa"/>
            <w:tcBorders>
              <w:top w:val="nil"/>
              <w:left w:val="nil"/>
              <w:bottom w:val="single" w:color="auto" w:sz="4" w:space="0"/>
              <w:right w:val="single" w:color="auto" w:sz="4" w:space="0"/>
            </w:tcBorders>
            <w:shd w:val="clear" w:color="auto" w:fill="auto"/>
            <w:vAlign w:val="center"/>
          </w:tcPr>
          <w:p w14:paraId="1B8E4D3E">
            <w:pPr>
              <w:widowControl/>
              <w:jc w:val="center"/>
              <w:textAlignment w:val="center"/>
              <w:rPr>
                <w:rFonts w:ascii="宋体" w:hAnsi="宋体" w:cs="宋体"/>
                <w:sz w:val="22"/>
              </w:rPr>
            </w:pPr>
            <w:r>
              <w:rPr>
                <w:rFonts w:hint="eastAsia" w:ascii="宋体" w:hAnsi="宋体" w:cs="宋体"/>
                <w:kern w:val="0"/>
                <w:sz w:val="22"/>
                <w:lang w:bidi="ar"/>
              </w:rPr>
              <w:t>机柜</w:t>
            </w:r>
          </w:p>
        </w:tc>
        <w:tc>
          <w:tcPr>
            <w:tcW w:w="1215" w:type="dxa"/>
            <w:tcBorders>
              <w:top w:val="nil"/>
              <w:left w:val="nil"/>
              <w:bottom w:val="single" w:color="auto" w:sz="4" w:space="0"/>
              <w:right w:val="single" w:color="auto" w:sz="4" w:space="0"/>
            </w:tcBorders>
            <w:shd w:val="clear" w:color="auto" w:fill="auto"/>
            <w:vAlign w:val="center"/>
          </w:tcPr>
          <w:p w14:paraId="0F44B0C0">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8A5D1B2">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4D6E7FBB">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F3685F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3FEB697">
            <w:pPr>
              <w:widowControl/>
              <w:jc w:val="center"/>
              <w:textAlignment w:val="center"/>
              <w:rPr>
                <w:rFonts w:ascii="宋体" w:hAnsi="宋体" w:cs="宋体"/>
                <w:color w:val="000000"/>
                <w:sz w:val="22"/>
              </w:rPr>
            </w:pPr>
            <w:r>
              <w:rPr>
                <w:rFonts w:hint="eastAsia" w:ascii="宋体" w:hAnsi="宋体" w:cs="宋体"/>
                <w:color w:val="000000"/>
                <w:kern w:val="0"/>
                <w:sz w:val="22"/>
                <w:lang w:bidi="ar"/>
              </w:rPr>
              <w:t>30</w:t>
            </w:r>
          </w:p>
        </w:tc>
        <w:tc>
          <w:tcPr>
            <w:tcW w:w="3750" w:type="dxa"/>
            <w:tcBorders>
              <w:top w:val="nil"/>
              <w:left w:val="nil"/>
              <w:bottom w:val="single" w:color="auto" w:sz="4" w:space="0"/>
              <w:right w:val="single" w:color="auto" w:sz="4" w:space="0"/>
            </w:tcBorders>
            <w:shd w:val="clear" w:color="auto" w:fill="auto"/>
            <w:vAlign w:val="center"/>
          </w:tcPr>
          <w:p w14:paraId="5CCDE4EE">
            <w:pPr>
              <w:widowControl/>
              <w:jc w:val="center"/>
              <w:textAlignment w:val="center"/>
              <w:rPr>
                <w:rFonts w:ascii="宋体" w:hAnsi="宋体" w:cs="宋体"/>
                <w:sz w:val="22"/>
              </w:rPr>
            </w:pPr>
            <w:r>
              <w:rPr>
                <w:rFonts w:hint="eastAsia" w:ascii="宋体" w:hAnsi="宋体" w:cs="宋体"/>
                <w:kern w:val="0"/>
                <w:sz w:val="22"/>
                <w:lang w:bidi="ar"/>
              </w:rPr>
              <w:t>LED时钟</w:t>
            </w:r>
          </w:p>
        </w:tc>
        <w:tc>
          <w:tcPr>
            <w:tcW w:w="1215" w:type="dxa"/>
            <w:tcBorders>
              <w:top w:val="nil"/>
              <w:left w:val="nil"/>
              <w:bottom w:val="single" w:color="auto" w:sz="4" w:space="0"/>
              <w:right w:val="single" w:color="auto" w:sz="4" w:space="0"/>
            </w:tcBorders>
            <w:shd w:val="clear" w:color="auto" w:fill="auto"/>
            <w:vAlign w:val="center"/>
          </w:tcPr>
          <w:p w14:paraId="14D3E63E">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626DB39">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B5F8117">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FF3324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15EB1D">
            <w:pPr>
              <w:widowControl/>
              <w:jc w:val="center"/>
              <w:textAlignment w:val="center"/>
              <w:rPr>
                <w:rFonts w:ascii="宋体" w:hAnsi="宋体" w:cs="宋体"/>
                <w:color w:val="000000"/>
                <w:sz w:val="22"/>
              </w:rPr>
            </w:pPr>
            <w:r>
              <w:rPr>
                <w:rFonts w:hint="eastAsia" w:ascii="宋体" w:hAnsi="宋体" w:cs="宋体"/>
                <w:color w:val="000000"/>
                <w:kern w:val="0"/>
                <w:sz w:val="22"/>
                <w:lang w:bidi="ar"/>
              </w:rPr>
              <w:t>31</w:t>
            </w:r>
          </w:p>
        </w:tc>
        <w:tc>
          <w:tcPr>
            <w:tcW w:w="3750" w:type="dxa"/>
            <w:tcBorders>
              <w:top w:val="nil"/>
              <w:left w:val="nil"/>
              <w:bottom w:val="single" w:color="auto" w:sz="4" w:space="0"/>
              <w:right w:val="single" w:color="auto" w:sz="4" w:space="0"/>
            </w:tcBorders>
            <w:shd w:val="clear" w:color="auto" w:fill="auto"/>
            <w:vAlign w:val="center"/>
          </w:tcPr>
          <w:p w14:paraId="18F0C4E6">
            <w:pPr>
              <w:widowControl/>
              <w:jc w:val="center"/>
              <w:textAlignment w:val="center"/>
              <w:rPr>
                <w:rFonts w:ascii="宋体" w:hAnsi="宋体" w:cs="宋体"/>
                <w:sz w:val="22"/>
              </w:rPr>
            </w:pPr>
            <w:r>
              <w:rPr>
                <w:rFonts w:hint="eastAsia" w:ascii="宋体" w:hAnsi="宋体" w:cs="宋体"/>
                <w:kern w:val="0"/>
                <w:sz w:val="22"/>
                <w:lang w:bidi="ar"/>
              </w:rPr>
              <w:t>返看终端</w:t>
            </w:r>
          </w:p>
        </w:tc>
        <w:tc>
          <w:tcPr>
            <w:tcW w:w="1215" w:type="dxa"/>
            <w:tcBorders>
              <w:top w:val="nil"/>
              <w:left w:val="nil"/>
              <w:bottom w:val="single" w:color="auto" w:sz="4" w:space="0"/>
              <w:right w:val="single" w:color="auto" w:sz="4" w:space="0"/>
            </w:tcBorders>
            <w:shd w:val="clear" w:color="auto" w:fill="auto"/>
            <w:vAlign w:val="center"/>
          </w:tcPr>
          <w:p w14:paraId="76BF4508">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262FEC9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13BFEF1E">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058294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207A619">
            <w:pPr>
              <w:widowControl/>
              <w:jc w:val="center"/>
              <w:textAlignment w:val="center"/>
              <w:rPr>
                <w:rFonts w:ascii="宋体" w:hAnsi="宋体" w:cs="宋体"/>
                <w:color w:val="000000"/>
                <w:sz w:val="22"/>
              </w:rPr>
            </w:pPr>
            <w:r>
              <w:rPr>
                <w:rFonts w:hint="eastAsia" w:ascii="宋体" w:hAnsi="宋体" w:cs="宋体"/>
                <w:color w:val="000000"/>
                <w:kern w:val="0"/>
                <w:sz w:val="22"/>
                <w:lang w:bidi="ar"/>
              </w:rPr>
              <w:t>32</w:t>
            </w:r>
          </w:p>
        </w:tc>
        <w:tc>
          <w:tcPr>
            <w:tcW w:w="3750" w:type="dxa"/>
            <w:tcBorders>
              <w:top w:val="nil"/>
              <w:left w:val="nil"/>
              <w:bottom w:val="single" w:color="auto" w:sz="4" w:space="0"/>
              <w:right w:val="single" w:color="auto" w:sz="4" w:space="0"/>
            </w:tcBorders>
            <w:shd w:val="clear" w:color="auto" w:fill="auto"/>
            <w:vAlign w:val="center"/>
          </w:tcPr>
          <w:p w14:paraId="0AEC53E6">
            <w:pPr>
              <w:widowControl/>
              <w:jc w:val="center"/>
              <w:textAlignment w:val="center"/>
              <w:rPr>
                <w:rFonts w:ascii="宋体" w:hAnsi="宋体" w:cs="宋体"/>
                <w:sz w:val="22"/>
              </w:rPr>
            </w:pPr>
            <w:r>
              <w:rPr>
                <w:rFonts w:hint="eastAsia" w:ascii="宋体" w:hAnsi="宋体" w:cs="宋体"/>
                <w:kern w:val="0"/>
                <w:sz w:val="22"/>
                <w:lang w:bidi="ar"/>
              </w:rPr>
              <w:t>壁挂支架</w:t>
            </w:r>
          </w:p>
        </w:tc>
        <w:tc>
          <w:tcPr>
            <w:tcW w:w="1215" w:type="dxa"/>
            <w:tcBorders>
              <w:top w:val="nil"/>
              <w:left w:val="nil"/>
              <w:bottom w:val="single" w:color="auto" w:sz="4" w:space="0"/>
              <w:right w:val="single" w:color="auto" w:sz="4" w:space="0"/>
            </w:tcBorders>
            <w:shd w:val="clear" w:color="auto" w:fill="auto"/>
            <w:vAlign w:val="center"/>
          </w:tcPr>
          <w:p w14:paraId="43ACF7FF">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7626CB18">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69089D67">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195FAB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EBC3C66">
            <w:pPr>
              <w:widowControl/>
              <w:jc w:val="center"/>
              <w:textAlignment w:val="center"/>
              <w:rPr>
                <w:rFonts w:ascii="宋体" w:hAnsi="宋体" w:cs="宋体"/>
                <w:color w:val="000000"/>
                <w:sz w:val="22"/>
              </w:rPr>
            </w:pPr>
            <w:r>
              <w:rPr>
                <w:rFonts w:hint="eastAsia" w:ascii="宋体" w:hAnsi="宋体" w:cs="宋体"/>
                <w:color w:val="000000"/>
                <w:kern w:val="0"/>
                <w:sz w:val="22"/>
                <w:lang w:bidi="ar"/>
              </w:rPr>
              <w:t>33</w:t>
            </w:r>
          </w:p>
        </w:tc>
        <w:tc>
          <w:tcPr>
            <w:tcW w:w="3750" w:type="dxa"/>
            <w:tcBorders>
              <w:top w:val="nil"/>
              <w:left w:val="nil"/>
              <w:bottom w:val="single" w:color="auto" w:sz="4" w:space="0"/>
              <w:right w:val="single" w:color="auto" w:sz="4" w:space="0"/>
            </w:tcBorders>
            <w:shd w:val="clear" w:color="auto" w:fill="auto"/>
            <w:vAlign w:val="center"/>
          </w:tcPr>
          <w:p w14:paraId="0E24E511">
            <w:pPr>
              <w:widowControl/>
              <w:jc w:val="center"/>
              <w:textAlignment w:val="center"/>
              <w:rPr>
                <w:rFonts w:ascii="宋体" w:hAnsi="宋体" w:cs="宋体"/>
                <w:sz w:val="22"/>
              </w:rPr>
            </w:pPr>
            <w:r>
              <w:rPr>
                <w:rFonts w:hint="eastAsia" w:ascii="宋体" w:hAnsi="宋体" w:cs="宋体"/>
                <w:kern w:val="0"/>
                <w:sz w:val="22"/>
                <w:lang w:bidi="ar"/>
              </w:rPr>
              <w:t>移动组合桌</w:t>
            </w:r>
          </w:p>
        </w:tc>
        <w:tc>
          <w:tcPr>
            <w:tcW w:w="1215" w:type="dxa"/>
            <w:tcBorders>
              <w:top w:val="nil"/>
              <w:left w:val="nil"/>
              <w:bottom w:val="single" w:color="auto" w:sz="4" w:space="0"/>
              <w:right w:val="single" w:color="auto" w:sz="4" w:space="0"/>
            </w:tcBorders>
            <w:shd w:val="clear" w:color="auto" w:fill="auto"/>
            <w:vAlign w:val="center"/>
          </w:tcPr>
          <w:p w14:paraId="25305E21">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1456E76F">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60C5E9C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9F86D8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4898894">
            <w:pPr>
              <w:widowControl/>
              <w:jc w:val="center"/>
              <w:textAlignment w:val="center"/>
              <w:rPr>
                <w:rFonts w:ascii="宋体" w:hAnsi="宋体" w:cs="宋体"/>
                <w:color w:val="000000"/>
                <w:sz w:val="22"/>
              </w:rPr>
            </w:pPr>
            <w:r>
              <w:rPr>
                <w:rFonts w:hint="eastAsia" w:ascii="宋体" w:hAnsi="宋体" w:cs="宋体"/>
                <w:color w:val="000000"/>
                <w:kern w:val="0"/>
                <w:sz w:val="22"/>
                <w:lang w:bidi="ar"/>
              </w:rPr>
              <w:t>34</w:t>
            </w:r>
          </w:p>
        </w:tc>
        <w:tc>
          <w:tcPr>
            <w:tcW w:w="3750" w:type="dxa"/>
            <w:tcBorders>
              <w:top w:val="nil"/>
              <w:left w:val="nil"/>
              <w:bottom w:val="single" w:color="auto" w:sz="4" w:space="0"/>
              <w:right w:val="single" w:color="auto" w:sz="4" w:space="0"/>
            </w:tcBorders>
            <w:shd w:val="clear" w:color="auto" w:fill="auto"/>
            <w:vAlign w:val="center"/>
          </w:tcPr>
          <w:p w14:paraId="78EDDC7A">
            <w:pPr>
              <w:widowControl/>
              <w:jc w:val="center"/>
              <w:textAlignment w:val="center"/>
              <w:rPr>
                <w:rFonts w:ascii="宋体" w:hAnsi="宋体" w:cs="宋体"/>
                <w:sz w:val="22"/>
              </w:rPr>
            </w:pPr>
            <w:r>
              <w:rPr>
                <w:rFonts w:hint="eastAsia" w:ascii="宋体" w:hAnsi="宋体" w:cs="宋体"/>
                <w:kern w:val="0"/>
                <w:sz w:val="22"/>
                <w:lang w:bidi="ar"/>
              </w:rPr>
              <w:t>学习椅</w:t>
            </w:r>
          </w:p>
        </w:tc>
        <w:tc>
          <w:tcPr>
            <w:tcW w:w="1215" w:type="dxa"/>
            <w:tcBorders>
              <w:top w:val="nil"/>
              <w:left w:val="nil"/>
              <w:bottom w:val="single" w:color="auto" w:sz="4" w:space="0"/>
              <w:right w:val="single" w:color="auto" w:sz="4" w:space="0"/>
            </w:tcBorders>
            <w:shd w:val="clear" w:color="auto" w:fill="auto"/>
            <w:vAlign w:val="center"/>
          </w:tcPr>
          <w:p w14:paraId="53BF98FD">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772AE536">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FD4E876">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3D02F7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6607045">
            <w:pPr>
              <w:widowControl/>
              <w:jc w:val="center"/>
              <w:textAlignment w:val="center"/>
              <w:rPr>
                <w:rFonts w:ascii="宋体" w:hAnsi="宋体" w:cs="宋体"/>
                <w:color w:val="000000"/>
                <w:sz w:val="22"/>
              </w:rPr>
            </w:pPr>
            <w:r>
              <w:rPr>
                <w:rFonts w:hint="eastAsia" w:ascii="宋体" w:hAnsi="宋体" w:cs="宋体"/>
                <w:color w:val="000000"/>
                <w:kern w:val="0"/>
                <w:sz w:val="22"/>
                <w:lang w:bidi="ar"/>
              </w:rPr>
              <w:t>35</w:t>
            </w:r>
          </w:p>
        </w:tc>
        <w:tc>
          <w:tcPr>
            <w:tcW w:w="3750" w:type="dxa"/>
            <w:tcBorders>
              <w:top w:val="nil"/>
              <w:left w:val="nil"/>
              <w:bottom w:val="single" w:color="auto" w:sz="4" w:space="0"/>
              <w:right w:val="single" w:color="auto" w:sz="4" w:space="0"/>
            </w:tcBorders>
            <w:shd w:val="clear" w:color="auto" w:fill="auto"/>
            <w:vAlign w:val="center"/>
          </w:tcPr>
          <w:p w14:paraId="5B54810B">
            <w:pPr>
              <w:widowControl/>
              <w:jc w:val="center"/>
              <w:textAlignment w:val="center"/>
              <w:rPr>
                <w:rFonts w:ascii="宋体" w:hAnsi="宋体" w:cs="宋体"/>
                <w:sz w:val="22"/>
              </w:rPr>
            </w:pPr>
            <w:r>
              <w:rPr>
                <w:rFonts w:hint="eastAsia" w:ascii="宋体" w:hAnsi="宋体" w:cs="宋体"/>
                <w:kern w:val="0"/>
                <w:sz w:val="22"/>
                <w:lang w:bidi="ar"/>
              </w:rPr>
              <w:t>观摩椅</w:t>
            </w:r>
          </w:p>
        </w:tc>
        <w:tc>
          <w:tcPr>
            <w:tcW w:w="1215" w:type="dxa"/>
            <w:tcBorders>
              <w:top w:val="nil"/>
              <w:left w:val="nil"/>
              <w:bottom w:val="single" w:color="auto" w:sz="4" w:space="0"/>
              <w:right w:val="single" w:color="auto" w:sz="4" w:space="0"/>
            </w:tcBorders>
            <w:shd w:val="clear" w:color="auto" w:fill="auto"/>
            <w:vAlign w:val="center"/>
          </w:tcPr>
          <w:p w14:paraId="05A1AFF1">
            <w:pPr>
              <w:widowControl/>
              <w:jc w:val="center"/>
              <w:textAlignment w:val="center"/>
              <w:rPr>
                <w:rFonts w:ascii="宋体" w:hAnsi="宋体" w:cs="宋体"/>
                <w:sz w:val="22"/>
              </w:rPr>
            </w:pPr>
            <w:r>
              <w:rPr>
                <w:rFonts w:hint="eastAsia" w:ascii="宋体" w:hAnsi="宋体" w:cs="宋体"/>
                <w:kern w:val="0"/>
                <w:sz w:val="22"/>
                <w:lang w:bidi="ar"/>
              </w:rPr>
              <w:t>30</w:t>
            </w:r>
          </w:p>
        </w:tc>
        <w:tc>
          <w:tcPr>
            <w:tcW w:w="729" w:type="dxa"/>
            <w:tcBorders>
              <w:top w:val="nil"/>
              <w:left w:val="nil"/>
              <w:bottom w:val="single" w:color="auto" w:sz="4" w:space="0"/>
              <w:right w:val="single" w:color="auto" w:sz="4" w:space="0"/>
            </w:tcBorders>
            <w:shd w:val="clear" w:color="auto" w:fill="auto"/>
            <w:vAlign w:val="center"/>
          </w:tcPr>
          <w:p w14:paraId="06437A10">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67E2FF86">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FBFFB2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F4BB9B2">
            <w:pPr>
              <w:widowControl/>
              <w:jc w:val="center"/>
              <w:textAlignment w:val="center"/>
              <w:rPr>
                <w:rFonts w:ascii="宋体" w:hAnsi="宋体" w:cs="宋体"/>
                <w:color w:val="000000"/>
                <w:sz w:val="22"/>
              </w:rPr>
            </w:pPr>
            <w:r>
              <w:rPr>
                <w:rFonts w:hint="eastAsia" w:ascii="宋体" w:hAnsi="宋体" w:cs="宋体"/>
                <w:color w:val="000000"/>
                <w:kern w:val="0"/>
                <w:sz w:val="22"/>
                <w:lang w:bidi="ar"/>
              </w:rPr>
              <w:t>36</w:t>
            </w:r>
          </w:p>
        </w:tc>
        <w:tc>
          <w:tcPr>
            <w:tcW w:w="3750" w:type="dxa"/>
            <w:tcBorders>
              <w:top w:val="nil"/>
              <w:left w:val="nil"/>
              <w:bottom w:val="single" w:color="auto" w:sz="4" w:space="0"/>
              <w:right w:val="single" w:color="auto" w:sz="4" w:space="0"/>
            </w:tcBorders>
            <w:shd w:val="clear" w:color="auto" w:fill="auto"/>
            <w:vAlign w:val="center"/>
          </w:tcPr>
          <w:p w14:paraId="65EDD37D">
            <w:pPr>
              <w:widowControl/>
              <w:jc w:val="center"/>
              <w:textAlignment w:val="center"/>
              <w:rPr>
                <w:rFonts w:ascii="宋体" w:hAnsi="宋体" w:cs="宋体"/>
                <w:sz w:val="22"/>
              </w:rPr>
            </w:pPr>
            <w:r>
              <w:rPr>
                <w:rFonts w:hint="eastAsia" w:ascii="宋体" w:hAnsi="宋体" w:cs="宋体"/>
                <w:kern w:val="0"/>
                <w:sz w:val="22"/>
                <w:lang w:bidi="ar"/>
              </w:rPr>
              <w:t>导播终端</w:t>
            </w:r>
          </w:p>
        </w:tc>
        <w:tc>
          <w:tcPr>
            <w:tcW w:w="1215" w:type="dxa"/>
            <w:tcBorders>
              <w:top w:val="nil"/>
              <w:left w:val="nil"/>
              <w:bottom w:val="single" w:color="auto" w:sz="4" w:space="0"/>
              <w:right w:val="single" w:color="auto" w:sz="4" w:space="0"/>
            </w:tcBorders>
            <w:shd w:val="clear" w:color="auto" w:fill="auto"/>
            <w:vAlign w:val="center"/>
          </w:tcPr>
          <w:p w14:paraId="04C75DB9">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3BD128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28D209B">
            <w:pPr>
              <w:widowControl/>
              <w:jc w:val="center"/>
              <w:textAlignment w:val="center"/>
              <w:rPr>
                <w:rFonts w:ascii="宋体" w:hAnsi="宋体" w:cs="宋体"/>
                <w:kern w:val="0"/>
                <w:sz w:val="22"/>
                <w:lang w:bidi="ar"/>
              </w:rPr>
            </w:pPr>
            <w:r>
              <w:rPr>
                <w:rFonts w:hint="eastAsia" w:ascii="宋体" w:hAnsi="宋体" w:cs="宋体"/>
                <w:kern w:val="0"/>
                <w:sz w:val="22"/>
                <w:lang w:bidi="ar"/>
              </w:rPr>
              <w:t>工业（强制节能产品）</w:t>
            </w:r>
          </w:p>
        </w:tc>
      </w:tr>
      <w:tr w14:paraId="2C565CC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53EAD7">
            <w:pPr>
              <w:widowControl/>
              <w:jc w:val="center"/>
              <w:textAlignment w:val="center"/>
              <w:rPr>
                <w:rFonts w:ascii="宋体" w:hAnsi="宋体" w:cs="宋体"/>
                <w:color w:val="000000"/>
                <w:sz w:val="22"/>
              </w:rPr>
            </w:pPr>
            <w:r>
              <w:rPr>
                <w:rFonts w:hint="eastAsia" w:ascii="宋体" w:hAnsi="宋体" w:cs="宋体"/>
                <w:color w:val="000000"/>
                <w:kern w:val="0"/>
                <w:sz w:val="22"/>
                <w:lang w:bidi="ar"/>
              </w:rPr>
              <w:t>37</w:t>
            </w:r>
          </w:p>
        </w:tc>
        <w:tc>
          <w:tcPr>
            <w:tcW w:w="3750" w:type="dxa"/>
            <w:tcBorders>
              <w:top w:val="nil"/>
              <w:left w:val="nil"/>
              <w:bottom w:val="single" w:color="auto" w:sz="4" w:space="0"/>
              <w:right w:val="single" w:color="auto" w:sz="4" w:space="0"/>
            </w:tcBorders>
            <w:shd w:val="clear" w:color="auto" w:fill="auto"/>
            <w:vAlign w:val="center"/>
          </w:tcPr>
          <w:p w14:paraId="727FC04E">
            <w:pPr>
              <w:widowControl/>
              <w:jc w:val="center"/>
              <w:textAlignment w:val="center"/>
              <w:rPr>
                <w:rFonts w:ascii="宋体" w:hAnsi="宋体" w:cs="宋体"/>
                <w:sz w:val="22"/>
              </w:rPr>
            </w:pPr>
            <w:r>
              <w:rPr>
                <w:rFonts w:hint="eastAsia" w:ascii="宋体" w:hAnsi="宋体" w:cs="宋体"/>
                <w:kern w:val="0"/>
                <w:sz w:val="22"/>
                <w:lang w:bidi="ar"/>
              </w:rPr>
              <w:t>中控室操作台</w:t>
            </w:r>
          </w:p>
        </w:tc>
        <w:tc>
          <w:tcPr>
            <w:tcW w:w="1215" w:type="dxa"/>
            <w:tcBorders>
              <w:top w:val="nil"/>
              <w:left w:val="nil"/>
              <w:bottom w:val="single" w:color="auto" w:sz="4" w:space="0"/>
              <w:right w:val="single" w:color="auto" w:sz="4" w:space="0"/>
            </w:tcBorders>
            <w:shd w:val="clear" w:color="auto" w:fill="auto"/>
            <w:vAlign w:val="center"/>
          </w:tcPr>
          <w:p w14:paraId="6C3A559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346B3D0">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7E023589">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D1E516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FA2838B">
            <w:pPr>
              <w:widowControl/>
              <w:jc w:val="center"/>
              <w:textAlignment w:val="center"/>
              <w:rPr>
                <w:rFonts w:ascii="宋体" w:hAnsi="宋体" w:cs="宋体"/>
                <w:color w:val="000000"/>
                <w:sz w:val="22"/>
              </w:rPr>
            </w:pPr>
            <w:r>
              <w:rPr>
                <w:rFonts w:hint="eastAsia" w:ascii="宋体" w:hAnsi="宋体" w:cs="宋体"/>
                <w:color w:val="000000"/>
                <w:kern w:val="0"/>
                <w:sz w:val="22"/>
                <w:lang w:bidi="ar"/>
              </w:rPr>
              <w:t>38</w:t>
            </w:r>
          </w:p>
        </w:tc>
        <w:tc>
          <w:tcPr>
            <w:tcW w:w="3750" w:type="dxa"/>
            <w:tcBorders>
              <w:top w:val="nil"/>
              <w:left w:val="nil"/>
              <w:bottom w:val="single" w:color="auto" w:sz="4" w:space="0"/>
              <w:right w:val="single" w:color="auto" w:sz="4" w:space="0"/>
            </w:tcBorders>
            <w:shd w:val="clear" w:color="auto" w:fill="auto"/>
            <w:vAlign w:val="center"/>
          </w:tcPr>
          <w:p w14:paraId="7CDA95D1">
            <w:pPr>
              <w:widowControl/>
              <w:jc w:val="center"/>
              <w:textAlignment w:val="center"/>
              <w:rPr>
                <w:rFonts w:ascii="宋体" w:hAnsi="宋体" w:cs="宋体"/>
                <w:sz w:val="22"/>
              </w:rPr>
            </w:pPr>
            <w:r>
              <w:rPr>
                <w:rFonts w:hint="eastAsia" w:ascii="宋体" w:hAnsi="宋体" w:cs="宋体"/>
                <w:kern w:val="0"/>
                <w:sz w:val="22"/>
                <w:lang w:bidi="ar"/>
              </w:rPr>
              <w:t>操作椅</w:t>
            </w:r>
          </w:p>
        </w:tc>
        <w:tc>
          <w:tcPr>
            <w:tcW w:w="1215" w:type="dxa"/>
            <w:tcBorders>
              <w:top w:val="nil"/>
              <w:left w:val="nil"/>
              <w:bottom w:val="single" w:color="auto" w:sz="4" w:space="0"/>
              <w:right w:val="single" w:color="auto" w:sz="4" w:space="0"/>
            </w:tcBorders>
            <w:shd w:val="clear" w:color="auto" w:fill="auto"/>
            <w:vAlign w:val="center"/>
          </w:tcPr>
          <w:p w14:paraId="750F6499">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5F38628D">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14287C4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002871D">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33C1DF1">
            <w:pPr>
              <w:widowControl/>
              <w:jc w:val="center"/>
              <w:textAlignment w:val="center"/>
              <w:rPr>
                <w:rFonts w:ascii="宋体" w:hAnsi="宋体" w:cs="宋体"/>
                <w:color w:val="000000"/>
                <w:sz w:val="22"/>
              </w:rPr>
            </w:pPr>
            <w:r>
              <w:rPr>
                <w:rFonts w:hint="eastAsia" w:ascii="宋体" w:hAnsi="宋体" w:cs="宋体"/>
                <w:color w:val="000000"/>
                <w:kern w:val="0"/>
                <w:sz w:val="22"/>
                <w:lang w:bidi="ar"/>
              </w:rPr>
              <w:t>39</w:t>
            </w:r>
          </w:p>
        </w:tc>
        <w:tc>
          <w:tcPr>
            <w:tcW w:w="3750" w:type="dxa"/>
            <w:tcBorders>
              <w:top w:val="nil"/>
              <w:left w:val="nil"/>
              <w:bottom w:val="single" w:color="auto" w:sz="4" w:space="0"/>
              <w:right w:val="single" w:color="auto" w:sz="4" w:space="0"/>
            </w:tcBorders>
            <w:shd w:val="clear" w:color="auto" w:fill="auto"/>
            <w:vAlign w:val="center"/>
          </w:tcPr>
          <w:p w14:paraId="36F72155">
            <w:pPr>
              <w:widowControl/>
              <w:jc w:val="center"/>
              <w:textAlignment w:val="center"/>
              <w:rPr>
                <w:rFonts w:ascii="宋体" w:hAnsi="宋体" w:cs="宋体"/>
                <w:sz w:val="22"/>
              </w:rPr>
            </w:pPr>
            <w:r>
              <w:rPr>
                <w:rFonts w:hint="eastAsia" w:ascii="宋体" w:hAnsi="宋体" w:cs="宋体"/>
                <w:kern w:val="0"/>
                <w:sz w:val="22"/>
                <w:lang w:bidi="ar"/>
              </w:rPr>
              <w:t>系统集成</w:t>
            </w:r>
          </w:p>
        </w:tc>
        <w:tc>
          <w:tcPr>
            <w:tcW w:w="1215" w:type="dxa"/>
            <w:tcBorders>
              <w:top w:val="nil"/>
              <w:left w:val="nil"/>
              <w:bottom w:val="single" w:color="auto" w:sz="4" w:space="0"/>
              <w:right w:val="single" w:color="auto" w:sz="4" w:space="0"/>
            </w:tcBorders>
            <w:shd w:val="clear" w:color="auto" w:fill="auto"/>
            <w:vAlign w:val="center"/>
          </w:tcPr>
          <w:p w14:paraId="042DF416">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C297F73">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8C3E3CD">
            <w:pPr>
              <w:widowControl/>
              <w:jc w:val="center"/>
              <w:textAlignment w:val="center"/>
              <w:rPr>
                <w:rFonts w:ascii="宋体" w:hAnsi="宋体" w:cs="宋体"/>
                <w:kern w:val="0"/>
                <w:sz w:val="22"/>
                <w:lang w:bidi="ar"/>
              </w:rPr>
            </w:pPr>
          </w:p>
        </w:tc>
      </w:tr>
      <w:tr w14:paraId="139F434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0323AEB">
            <w:pPr>
              <w:widowControl/>
              <w:jc w:val="center"/>
              <w:textAlignment w:val="center"/>
              <w:rPr>
                <w:rFonts w:ascii="宋体" w:hAnsi="宋体" w:cs="宋体"/>
                <w:color w:val="000000"/>
                <w:sz w:val="22"/>
              </w:rPr>
            </w:pPr>
            <w:r>
              <w:rPr>
                <w:rFonts w:hint="eastAsia" w:ascii="宋体" w:hAnsi="宋体" w:cs="宋体"/>
                <w:color w:val="000000"/>
                <w:kern w:val="0"/>
                <w:sz w:val="22"/>
                <w:lang w:bidi="ar"/>
              </w:rPr>
              <w:t>40</w:t>
            </w:r>
          </w:p>
        </w:tc>
        <w:tc>
          <w:tcPr>
            <w:tcW w:w="3750" w:type="dxa"/>
            <w:tcBorders>
              <w:top w:val="nil"/>
              <w:left w:val="nil"/>
              <w:bottom w:val="single" w:color="auto" w:sz="4" w:space="0"/>
              <w:right w:val="single" w:color="auto" w:sz="4" w:space="0"/>
            </w:tcBorders>
            <w:shd w:val="clear" w:color="auto" w:fill="auto"/>
            <w:vAlign w:val="center"/>
          </w:tcPr>
          <w:p w14:paraId="60C376D9">
            <w:pPr>
              <w:widowControl/>
              <w:jc w:val="center"/>
              <w:textAlignment w:val="center"/>
              <w:rPr>
                <w:rFonts w:ascii="宋体" w:hAnsi="宋体" w:cs="宋体"/>
                <w:sz w:val="22"/>
              </w:rPr>
            </w:pPr>
            <w:r>
              <w:rPr>
                <w:rFonts w:hint="eastAsia" w:ascii="宋体" w:hAnsi="宋体" w:cs="宋体"/>
                <w:kern w:val="0"/>
                <w:sz w:val="22"/>
                <w:lang w:bidi="ar"/>
              </w:rPr>
              <w:t>文化布置</w:t>
            </w:r>
          </w:p>
        </w:tc>
        <w:tc>
          <w:tcPr>
            <w:tcW w:w="1215" w:type="dxa"/>
            <w:tcBorders>
              <w:top w:val="nil"/>
              <w:left w:val="nil"/>
              <w:bottom w:val="single" w:color="auto" w:sz="4" w:space="0"/>
              <w:right w:val="single" w:color="auto" w:sz="4" w:space="0"/>
            </w:tcBorders>
            <w:shd w:val="clear" w:color="auto" w:fill="auto"/>
            <w:vAlign w:val="center"/>
          </w:tcPr>
          <w:p w14:paraId="2AEB4D0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9F330D1">
            <w:pPr>
              <w:widowControl/>
              <w:jc w:val="center"/>
              <w:textAlignment w:val="center"/>
              <w:rPr>
                <w:rFonts w:ascii="宋体" w:hAnsi="宋体" w:cs="宋体"/>
                <w:sz w:val="22"/>
              </w:rPr>
            </w:pPr>
            <w:r>
              <w:rPr>
                <w:rFonts w:hint="eastAsia" w:ascii="宋体" w:hAnsi="宋体" w:cs="宋体"/>
                <w:kern w:val="0"/>
                <w:sz w:val="22"/>
                <w:lang w:bidi="ar"/>
              </w:rPr>
              <w:t>项</w:t>
            </w:r>
          </w:p>
        </w:tc>
        <w:tc>
          <w:tcPr>
            <w:tcW w:w="1866" w:type="dxa"/>
            <w:tcBorders>
              <w:top w:val="nil"/>
              <w:left w:val="nil"/>
              <w:bottom w:val="single" w:color="auto" w:sz="4" w:space="0"/>
              <w:right w:val="single" w:color="auto" w:sz="4" w:space="0"/>
            </w:tcBorders>
            <w:shd w:val="clear" w:color="auto" w:fill="auto"/>
            <w:vAlign w:val="center"/>
          </w:tcPr>
          <w:p w14:paraId="033011A9">
            <w:pPr>
              <w:widowControl/>
              <w:jc w:val="center"/>
              <w:textAlignment w:val="center"/>
              <w:rPr>
                <w:rFonts w:ascii="宋体" w:hAnsi="宋体" w:cs="宋体"/>
                <w:kern w:val="0"/>
                <w:sz w:val="22"/>
                <w:lang w:bidi="ar"/>
              </w:rPr>
            </w:pPr>
          </w:p>
        </w:tc>
      </w:tr>
      <w:tr w14:paraId="1424A9F5">
        <w:tblPrEx>
          <w:tblCellMar>
            <w:top w:w="0" w:type="dxa"/>
            <w:left w:w="108" w:type="dxa"/>
            <w:bottom w:w="0" w:type="dxa"/>
            <w:right w:w="108" w:type="dxa"/>
          </w:tblCellMar>
        </w:tblPrEx>
        <w:trPr>
          <w:trHeight w:val="285" w:hRule="atLeast"/>
        </w:trPr>
        <w:tc>
          <w:tcPr>
            <w:tcW w:w="8872" w:type="dxa"/>
            <w:gridSpan w:val="5"/>
            <w:tcBorders>
              <w:top w:val="nil"/>
              <w:left w:val="single" w:color="auto" w:sz="4" w:space="0"/>
              <w:bottom w:val="single" w:color="auto" w:sz="4" w:space="0"/>
              <w:right w:val="single" w:color="auto" w:sz="4" w:space="0"/>
            </w:tcBorders>
            <w:shd w:val="clear" w:color="auto" w:fill="auto"/>
            <w:noWrap/>
            <w:vAlign w:val="center"/>
          </w:tcPr>
          <w:p w14:paraId="2E86825E">
            <w:pPr>
              <w:widowControl/>
              <w:jc w:val="left"/>
              <w:textAlignment w:val="center"/>
              <w:rPr>
                <w:rFonts w:ascii="宋体" w:hAnsi="宋体" w:cs="宋体"/>
                <w:kern w:val="0"/>
                <w:sz w:val="22"/>
                <w:lang w:bidi="ar"/>
              </w:rPr>
            </w:pPr>
            <w:r>
              <w:rPr>
                <w:rFonts w:hint="eastAsia" w:ascii="宋体" w:hAnsi="宋体" w:cs="宋体"/>
                <w:kern w:val="0"/>
                <w:sz w:val="22"/>
                <w:lang w:bidi="ar"/>
              </w:rPr>
              <w:t>二、录播教室</w:t>
            </w:r>
          </w:p>
        </w:tc>
      </w:tr>
      <w:tr w14:paraId="6790EE5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F764CDA">
            <w:pPr>
              <w:widowControl/>
              <w:jc w:val="center"/>
              <w:textAlignment w:val="center"/>
              <w:rPr>
                <w:rFonts w:ascii="宋体" w:hAnsi="宋体" w:cs="宋体"/>
                <w:color w:val="000000"/>
                <w:sz w:val="22"/>
              </w:rPr>
            </w:pPr>
            <w:r>
              <w:rPr>
                <w:rFonts w:hint="eastAsia" w:ascii="宋体" w:hAnsi="宋体" w:cs="宋体"/>
                <w:color w:val="000000"/>
                <w:kern w:val="0"/>
                <w:sz w:val="22"/>
                <w:lang w:bidi="ar"/>
              </w:rPr>
              <w:t>41</w:t>
            </w:r>
          </w:p>
        </w:tc>
        <w:tc>
          <w:tcPr>
            <w:tcW w:w="3750" w:type="dxa"/>
            <w:tcBorders>
              <w:top w:val="nil"/>
              <w:left w:val="nil"/>
              <w:bottom w:val="single" w:color="auto" w:sz="4" w:space="0"/>
              <w:right w:val="single" w:color="auto" w:sz="4" w:space="0"/>
            </w:tcBorders>
            <w:shd w:val="clear" w:color="auto" w:fill="auto"/>
            <w:vAlign w:val="center"/>
          </w:tcPr>
          <w:p w14:paraId="0CCD5AB2">
            <w:pPr>
              <w:widowControl/>
              <w:jc w:val="center"/>
              <w:textAlignment w:val="center"/>
              <w:rPr>
                <w:rFonts w:ascii="宋体" w:hAnsi="宋体" w:cs="宋体"/>
                <w:sz w:val="22"/>
              </w:rPr>
            </w:pPr>
            <w:r>
              <w:rPr>
                <w:rFonts w:hint="eastAsia" w:ascii="宋体" w:hAnsi="宋体" w:cs="宋体"/>
                <w:kern w:val="0"/>
                <w:sz w:val="22"/>
                <w:lang w:bidi="ar"/>
              </w:rPr>
              <w:t>4K录播一体机</w:t>
            </w:r>
          </w:p>
        </w:tc>
        <w:tc>
          <w:tcPr>
            <w:tcW w:w="1215" w:type="dxa"/>
            <w:tcBorders>
              <w:top w:val="nil"/>
              <w:left w:val="nil"/>
              <w:bottom w:val="single" w:color="auto" w:sz="4" w:space="0"/>
              <w:right w:val="single" w:color="auto" w:sz="4" w:space="0"/>
            </w:tcBorders>
            <w:shd w:val="clear" w:color="auto" w:fill="auto"/>
            <w:vAlign w:val="center"/>
          </w:tcPr>
          <w:p w14:paraId="1E400E1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327832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35F883D8">
            <w:pPr>
              <w:widowControl/>
              <w:jc w:val="center"/>
              <w:textAlignment w:val="center"/>
              <w:rPr>
                <w:rFonts w:ascii="宋体" w:hAnsi="宋体" w:cs="宋体"/>
                <w:kern w:val="0"/>
                <w:sz w:val="22"/>
                <w:lang w:bidi="ar"/>
              </w:rPr>
            </w:pPr>
            <w:r>
              <w:rPr>
                <w:rFonts w:hint="eastAsia" w:ascii="宋体" w:hAnsi="宋体" w:cs="宋体"/>
                <w:kern w:val="0"/>
                <w:sz w:val="22"/>
                <w:lang w:bidi="ar"/>
              </w:rPr>
              <w:t>工业（主要标的）</w:t>
            </w:r>
          </w:p>
        </w:tc>
      </w:tr>
      <w:tr w14:paraId="16919C2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D959C28">
            <w:pPr>
              <w:widowControl/>
              <w:jc w:val="center"/>
              <w:textAlignment w:val="center"/>
              <w:rPr>
                <w:rFonts w:ascii="宋体" w:hAnsi="宋体" w:cs="宋体"/>
                <w:color w:val="000000"/>
                <w:sz w:val="22"/>
              </w:rPr>
            </w:pPr>
            <w:r>
              <w:rPr>
                <w:rFonts w:hint="eastAsia" w:ascii="宋体" w:hAnsi="宋体" w:cs="宋体"/>
                <w:color w:val="000000"/>
                <w:kern w:val="0"/>
                <w:sz w:val="22"/>
                <w:lang w:bidi="ar"/>
              </w:rPr>
              <w:t>42</w:t>
            </w:r>
          </w:p>
        </w:tc>
        <w:tc>
          <w:tcPr>
            <w:tcW w:w="3750" w:type="dxa"/>
            <w:tcBorders>
              <w:top w:val="nil"/>
              <w:left w:val="nil"/>
              <w:bottom w:val="single" w:color="auto" w:sz="4" w:space="0"/>
              <w:right w:val="single" w:color="auto" w:sz="4" w:space="0"/>
            </w:tcBorders>
            <w:shd w:val="clear" w:color="auto" w:fill="auto"/>
            <w:vAlign w:val="center"/>
          </w:tcPr>
          <w:p w14:paraId="5593A23B">
            <w:pPr>
              <w:widowControl/>
              <w:jc w:val="center"/>
              <w:textAlignment w:val="center"/>
              <w:rPr>
                <w:rFonts w:ascii="宋体" w:hAnsi="宋体" w:cs="宋体"/>
                <w:sz w:val="22"/>
              </w:rPr>
            </w:pPr>
            <w:r>
              <w:rPr>
                <w:rFonts w:hint="eastAsia" w:ascii="宋体" w:hAnsi="宋体" w:cs="宋体"/>
                <w:kern w:val="0"/>
                <w:sz w:val="22"/>
                <w:lang w:bidi="ar"/>
              </w:rPr>
              <w:t>4K高清录播系统</w:t>
            </w:r>
          </w:p>
        </w:tc>
        <w:tc>
          <w:tcPr>
            <w:tcW w:w="1215" w:type="dxa"/>
            <w:tcBorders>
              <w:top w:val="nil"/>
              <w:left w:val="nil"/>
              <w:bottom w:val="single" w:color="auto" w:sz="4" w:space="0"/>
              <w:right w:val="single" w:color="auto" w:sz="4" w:space="0"/>
            </w:tcBorders>
            <w:shd w:val="clear" w:color="auto" w:fill="auto"/>
            <w:vAlign w:val="center"/>
          </w:tcPr>
          <w:p w14:paraId="0A5DCD3A">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2CA8BBA">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C37CF79">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B72300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E18D0A6">
            <w:pPr>
              <w:widowControl/>
              <w:jc w:val="center"/>
              <w:textAlignment w:val="center"/>
              <w:rPr>
                <w:rFonts w:ascii="宋体" w:hAnsi="宋体" w:cs="宋体"/>
                <w:color w:val="000000"/>
                <w:sz w:val="22"/>
              </w:rPr>
            </w:pPr>
            <w:r>
              <w:rPr>
                <w:rFonts w:hint="eastAsia" w:ascii="宋体" w:hAnsi="宋体" w:cs="宋体"/>
                <w:color w:val="000000"/>
                <w:kern w:val="0"/>
                <w:sz w:val="22"/>
                <w:lang w:bidi="ar"/>
              </w:rPr>
              <w:t>43</w:t>
            </w:r>
          </w:p>
        </w:tc>
        <w:tc>
          <w:tcPr>
            <w:tcW w:w="3750" w:type="dxa"/>
            <w:tcBorders>
              <w:top w:val="nil"/>
              <w:left w:val="nil"/>
              <w:bottom w:val="single" w:color="auto" w:sz="4" w:space="0"/>
              <w:right w:val="single" w:color="auto" w:sz="4" w:space="0"/>
            </w:tcBorders>
            <w:shd w:val="clear" w:color="auto" w:fill="auto"/>
            <w:vAlign w:val="center"/>
          </w:tcPr>
          <w:p w14:paraId="7597C8C2">
            <w:pPr>
              <w:widowControl/>
              <w:jc w:val="center"/>
              <w:textAlignment w:val="center"/>
              <w:rPr>
                <w:rFonts w:ascii="宋体" w:hAnsi="宋体" w:cs="宋体"/>
                <w:sz w:val="22"/>
              </w:rPr>
            </w:pPr>
            <w:r>
              <w:rPr>
                <w:rFonts w:hint="eastAsia" w:ascii="宋体" w:hAnsi="宋体" w:cs="宋体"/>
                <w:kern w:val="0"/>
                <w:sz w:val="22"/>
                <w:lang w:bidi="ar"/>
              </w:rPr>
              <w:t>行为分析语音识别</w:t>
            </w:r>
          </w:p>
        </w:tc>
        <w:tc>
          <w:tcPr>
            <w:tcW w:w="1215" w:type="dxa"/>
            <w:tcBorders>
              <w:top w:val="nil"/>
              <w:left w:val="nil"/>
              <w:bottom w:val="single" w:color="auto" w:sz="4" w:space="0"/>
              <w:right w:val="single" w:color="auto" w:sz="4" w:space="0"/>
            </w:tcBorders>
            <w:shd w:val="clear" w:color="auto" w:fill="auto"/>
            <w:vAlign w:val="center"/>
          </w:tcPr>
          <w:p w14:paraId="11CB741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85B177A">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D4B321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B31ED9B">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2134C0A">
            <w:pPr>
              <w:widowControl/>
              <w:jc w:val="center"/>
              <w:textAlignment w:val="center"/>
              <w:rPr>
                <w:rFonts w:ascii="宋体" w:hAnsi="宋体" w:cs="宋体"/>
                <w:color w:val="000000"/>
                <w:sz w:val="22"/>
              </w:rPr>
            </w:pPr>
            <w:r>
              <w:rPr>
                <w:rFonts w:hint="eastAsia" w:ascii="宋体" w:hAnsi="宋体" w:cs="宋体"/>
                <w:color w:val="000000"/>
                <w:kern w:val="0"/>
                <w:sz w:val="22"/>
                <w:lang w:bidi="ar"/>
              </w:rPr>
              <w:t>44</w:t>
            </w:r>
          </w:p>
        </w:tc>
        <w:tc>
          <w:tcPr>
            <w:tcW w:w="3750" w:type="dxa"/>
            <w:tcBorders>
              <w:top w:val="nil"/>
              <w:left w:val="nil"/>
              <w:bottom w:val="single" w:color="auto" w:sz="4" w:space="0"/>
              <w:right w:val="single" w:color="auto" w:sz="4" w:space="0"/>
            </w:tcBorders>
            <w:shd w:val="clear" w:color="auto" w:fill="auto"/>
            <w:vAlign w:val="center"/>
          </w:tcPr>
          <w:p w14:paraId="7DA8931B">
            <w:pPr>
              <w:widowControl/>
              <w:jc w:val="center"/>
              <w:textAlignment w:val="center"/>
              <w:rPr>
                <w:rFonts w:ascii="宋体" w:hAnsi="宋体" w:cs="宋体"/>
                <w:sz w:val="22"/>
              </w:rPr>
            </w:pPr>
            <w:r>
              <w:rPr>
                <w:rFonts w:hint="eastAsia" w:ascii="宋体" w:hAnsi="宋体" w:cs="宋体"/>
                <w:kern w:val="0"/>
                <w:sz w:val="22"/>
                <w:lang w:bidi="ar"/>
              </w:rPr>
              <w:t>4K超高清摄像机</w:t>
            </w:r>
          </w:p>
        </w:tc>
        <w:tc>
          <w:tcPr>
            <w:tcW w:w="1215" w:type="dxa"/>
            <w:tcBorders>
              <w:top w:val="nil"/>
              <w:left w:val="nil"/>
              <w:bottom w:val="single" w:color="auto" w:sz="4" w:space="0"/>
              <w:right w:val="single" w:color="auto" w:sz="4" w:space="0"/>
            </w:tcBorders>
            <w:shd w:val="clear" w:color="auto" w:fill="auto"/>
            <w:vAlign w:val="center"/>
          </w:tcPr>
          <w:p w14:paraId="6014C21B">
            <w:pPr>
              <w:widowControl/>
              <w:jc w:val="center"/>
              <w:textAlignment w:val="center"/>
              <w:rPr>
                <w:rFonts w:ascii="宋体" w:hAnsi="宋体" w:cs="宋体"/>
                <w:color w:val="000000"/>
                <w:sz w:val="22"/>
              </w:rPr>
            </w:pPr>
            <w:r>
              <w:rPr>
                <w:rFonts w:hint="eastAsia" w:ascii="宋体" w:hAnsi="宋体" w:cs="宋体"/>
                <w:color w:val="000000"/>
                <w:kern w:val="0"/>
                <w:sz w:val="22"/>
                <w:lang w:bidi="ar"/>
              </w:rPr>
              <w:t>4</w:t>
            </w:r>
          </w:p>
        </w:tc>
        <w:tc>
          <w:tcPr>
            <w:tcW w:w="729" w:type="dxa"/>
            <w:tcBorders>
              <w:top w:val="nil"/>
              <w:left w:val="nil"/>
              <w:bottom w:val="single" w:color="auto" w:sz="4" w:space="0"/>
              <w:right w:val="single" w:color="auto" w:sz="4" w:space="0"/>
            </w:tcBorders>
            <w:shd w:val="clear" w:color="auto" w:fill="auto"/>
            <w:vAlign w:val="center"/>
          </w:tcPr>
          <w:p w14:paraId="49C9797A">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7A0EC31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A7C58A2">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3250489">
            <w:pPr>
              <w:widowControl/>
              <w:jc w:val="center"/>
              <w:textAlignment w:val="center"/>
              <w:rPr>
                <w:rFonts w:ascii="宋体" w:hAnsi="宋体" w:cs="宋体"/>
                <w:color w:val="000000"/>
                <w:sz w:val="22"/>
              </w:rPr>
            </w:pPr>
            <w:r>
              <w:rPr>
                <w:rFonts w:hint="eastAsia" w:ascii="宋体" w:hAnsi="宋体" w:cs="宋体"/>
                <w:color w:val="000000"/>
                <w:kern w:val="0"/>
                <w:sz w:val="22"/>
                <w:lang w:bidi="ar"/>
              </w:rPr>
              <w:t>45</w:t>
            </w:r>
          </w:p>
        </w:tc>
        <w:tc>
          <w:tcPr>
            <w:tcW w:w="3750" w:type="dxa"/>
            <w:tcBorders>
              <w:top w:val="nil"/>
              <w:left w:val="nil"/>
              <w:bottom w:val="single" w:color="auto" w:sz="4" w:space="0"/>
              <w:right w:val="single" w:color="auto" w:sz="4" w:space="0"/>
            </w:tcBorders>
            <w:shd w:val="clear" w:color="auto" w:fill="auto"/>
            <w:vAlign w:val="center"/>
          </w:tcPr>
          <w:p w14:paraId="37C4B8B3">
            <w:pPr>
              <w:widowControl/>
              <w:jc w:val="center"/>
              <w:textAlignment w:val="center"/>
              <w:rPr>
                <w:rFonts w:ascii="宋体" w:hAnsi="宋体" w:cs="宋体"/>
                <w:sz w:val="22"/>
              </w:rPr>
            </w:pPr>
            <w:r>
              <w:rPr>
                <w:rFonts w:hint="eastAsia" w:ascii="宋体" w:hAnsi="宋体" w:cs="宋体"/>
                <w:kern w:val="0"/>
                <w:sz w:val="22"/>
                <w:lang w:bidi="ar"/>
              </w:rPr>
              <w:t>智能分析主机</w:t>
            </w:r>
          </w:p>
        </w:tc>
        <w:tc>
          <w:tcPr>
            <w:tcW w:w="1215" w:type="dxa"/>
            <w:tcBorders>
              <w:top w:val="nil"/>
              <w:left w:val="nil"/>
              <w:bottom w:val="single" w:color="auto" w:sz="4" w:space="0"/>
              <w:right w:val="single" w:color="auto" w:sz="4" w:space="0"/>
            </w:tcBorders>
            <w:shd w:val="clear" w:color="auto" w:fill="auto"/>
            <w:vAlign w:val="center"/>
          </w:tcPr>
          <w:p w14:paraId="0577CA18">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64F6FB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5EFC1A4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8903D7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69FF7FD">
            <w:pPr>
              <w:widowControl/>
              <w:jc w:val="center"/>
              <w:textAlignment w:val="center"/>
              <w:rPr>
                <w:rFonts w:ascii="宋体" w:hAnsi="宋体" w:cs="宋体"/>
                <w:color w:val="000000"/>
                <w:sz w:val="22"/>
              </w:rPr>
            </w:pPr>
            <w:r>
              <w:rPr>
                <w:rFonts w:hint="eastAsia" w:ascii="宋体" w:hAnsi="宋体" w:cs="宋体"/>
                <w:color w:val="000000"/>
                <w:kern w:val="0"/>
                <w:sz w:val="22"/>
                <w:lang w:bidi="ar"/>
              </w:rPr>
              <w:t>46</w:t>
            </w:r>
          </w:p>
        </w:tc>
        <w:tc>
          <w:tcPr>
            <w:tcW w:w="3750" w:type="dxa"/>
            <w:tcBorders>
              <w:top w:val="nil"/>
              <w:left w:val="nil"/>
              <w:bottom w:val="single" w:color="auto" w:sz="4" w:space="0"/>
              <w:right w:val="single" w:color="auto" w:sz="4" w:space="0"/>
            </w:tcBorders>
            <w:shd w:val="clear" w:color="auto" w:fill="auto"/>
            <w:vAlign w:val="center"/>
          </w:tcPr>
          <w:p w14:paraId="754A51F6">
            <w:pPr>
              <w:widowControl/>
              <w:jc w:val="center"/>
              <w:textAlignment w:val="center"/>
              <w:rPr>
                <w:rFonts w:ascii="宋体" w:hAnsi="宋体" w:cs="宋体"/>
                <w:sz w:val="22"/>
              </w:rPr>
            </w:pPr>
            <w:r>
              <w:rPr>
                <w:rFonts w:hint="eastAsia" w:ascii="宋体" w:hAnsi="宋体" w:cs="宋体"/>
                <w:kern w:val="0"/>
                <w:sz w:val="22"/>
                <w:lang w:bidi="ar"/>
              </w:rPr>
              <w:t>图像跟踪系统</w:t>
            </w:r>
          </w:p>
        </w:tc>
        <w:tc>
          <w:tcPr>
            <w:tcW w:w="1215" w:type="dxa"/>
            <w:tcBorders>
              <w:top w:val="nil"/>
              <w:left w:val="nil"/>
              <w:bottom w:val="single" w:color="auto" w:sz="4" w:space="0"/>
              <w:right w:val="single" w:color="auto" w:sz="4" w:space="0"/>
            </w:tcBorders>
            <w:shd w:val="clear" w:color="auto" w:fill="auto"/>
            <w:vAlign w:val="center"/>
          </w:tcPr>
          <w:p w14:paraId="0E01B87F">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8E43568">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636E333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8B75FB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8C2A6E7">
            <w:pPr>
              <w:widowControl/>
              <w:jc w:val="center"/>
              <w:textAlignment w:val="center"/>
              <w:rPr>
                <w:rFonts w:ascii="宋体" w:hAnsi="宋体" w:cs="宋体"/>
                <w:color w:val="000000"/>
                <w:sz w:val="22"/>
              </w:rPr>
            </w:pPr>
            <w:r>
              <w:rPr>
                <w:rFonts w:hint="eastAsia" w:ascii="宋体" w:hAnsi="宋体" w:cs="宋体"/>
                <w:color w:val="000000"/>
                <w:kern w:val="0"/>
                <w:sz w:val="22"/>
                <w:lang w:bidi="ar"/>
              </w:rPr>
              <w:t>47</w:t>
            </w:r>
          </w:p>
        </w:tc>
        <w:tc>
          <w:tcPr>
            <w:tcW w:w="3750" w:type="dxa"/>
            <w:tcBorders>
              <w:top w:val="nil"/>
              <w:left w:val="nil"/>
              <w:bottom w:val="single" w:color="auto" w:sz="4" w:space="0"/>
              <w:right w:val="single" w:color="auto" w:sz="4" w:space="0"/>
            </w:tcBorders>
            <w:shd w:val="clear" w:color="auto" w:fill="auto"/>
            <w:vAlign w:val="center"/>
          </w:tcPr>
          <w:p w14:paraId="1DFE3D06">
            <w:pPr>
              <w:widowControl/>
              <w:jc w:val="center"/>
              <w:textAlignment w:val="center"/>
              <w:rPr>
                <w:rFonts w:ascii="宋体" w:hAnsi="宋体" w:cs="宋体"/>
                <w:kern w:val="0"/>
                <w:sz w:val="22"/>
                <w:lang w:bidi="ar"/>
              </w:rPr>
            </w:pPr>
            <w:r>
              <w:rPr>
                <w:rFonts w:hint="eastAsia" w:ascii="宋体" w:hAnsi="宋体" w:cs="宋体"/>
                <w:kern w:val="0"/>
                <w:sz w:val="22"/>
                <w:lang w:bidi="ar"/>
              </w:rPr>
              <w:t>屏幕采集系统</w:t>
            </w:r>
          </w:p>
        </w:tc>
        <w:tc>
          <w:tcPr>
            <w:tcW w:w="1215" w:type="dxa"/>
            <w:tcBorders>
              <w:top w:val="nil"/>
              <w:left w:val="nil"/>
              <w:bottom w:val="single" w:color="auto" w:sz="4" w:space="0"/>
              <w:right w:val="single" w:color="auto" w:sz="4" w:space="0"/>
            </w:tcBorders>
            <w:shd w:val="clear" w:color="auto" w:fill="auto"/>
            <w:vAlign w:val="center"/>
          </w:tcPr>
          <w:p w14:paraId="1FBC9390">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86FFE3E">
            <w:pPr>
              <w:widowControl/>
              <w:jc w:val="center"/>
              <w:textAlignment w:val="center"/>
              <w:rPr>
                <w:rFonts w:ascii="宋体" w:hAnsi="宋体" w:cs="宋体"/>
                <w:kern w:val="0"/>
                <w:sz w:val="22"/>
                <w:lang w:bidi="ar"/>
              </w:rPr>
            </w:pPr>
            <w:r>
              <w:rPr>
                <w:rFonts w:hint="eastAsia" w:ascii="宋体" w:hAnsi="宋体" w:cs="宋体"/>
                <w:kern w:val="0"/>
                <w:sz w:val="22"/>
                <w:lang w:bidi="ar"/>
              </w:rPr>
              <w:t>套</w:t>
            </w:r>
          </w:p>
        </w:tc>
        <w:tc>
          <w:tcPr>
            <w:tcW w:w="1866" w:type="dxa"/>
            <w:tcBorders>
              <w:top w:val="single" w:color="auto" w:sz="4" w:space="0"/>
              <w:left w:val="nil"/>
              <w:bottom w:val="single" w:color="auto" w:sz="4" w:space="0"/>
              <w:right w:val="single" w:color="auto" w:sz="4" w:space="0"/>
            </w:tcBorders>
            <w:shd w:val="clear" w:color="auto" w:fill="auto"/>
            <w:vAlign w:val="center"/>
          </w:tcPr>
          <w:p w14:paraId="11EB73DC">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E9C84D0">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0932A79">
            <w:pPr>
              <w:widowControl/>
              <w:jc w:val="center"/>
              <w:textAlignment w:val="center"/>
              <w:rPr>
                <w:rFonts w:ascii="宋体" w:hAnsi="宋体" w:cs="宋体"/>
                <w:color w:val="000000"/>
                <w:sz w:val="22"/>
              </w:rPr>
            </w:pPr>
            <w:r>
              <w:rPr>
                <w:rFonts w:hint="eastAsia" w:ascii="宋体" w:hAnsi="宋体" w:cs="宋体"/>
                <w:color w:val="000000"/>
                <w:kern w:val="0"/>
                <w:sz w:val="22"/>
                <w:lang w:bidi="ar"/>
              </w:rPr>
              <w:t>48</w:t>
            </w:r>
          </w:p>
        </w:tc>
        <w:tc>
          <w:tcPr>
            <w:tcW w:w="3750" w:type="dxa"/>
            <w:tcBorders>
              <w:top w:val="nil"/>
              <w:left w:val="nil"/>
              <w:bottom w:val="single" w:color="auto" w:sz="4" w:space="0"/>
              <w:right w:val="single" w:color="auto" w:sz="4" w:space="0"/>
            </w:tcBorders>
            <w:shd w:val="clear" w:color="auto" w:fill="auto"/>
            <w:vAlign w:val="center"/>
          </w:tcPr>
          <w:p w14:paraId="729B0A22">
            <w:pPr>
              <w:widowControl/>
              <w:jc w:val="center"/>
              <w:textAlignment w:val="center"/>
              <w:rPr>
                <w:rFonts w:ascii="宋体" w:hAnsi="宋体" w:cs="宋体"/>
                <w:sz w:val="22"/>
              </w:rPr>
            </w:pPr>
            <w:r>
              <w:rPr>
                <w:rFonts w:hint="eastAsia" w:ascii="宋体" w:hAnsi="宋体" w:cs="宋体"/>
                <w:kern w:val="0"/>
                <w:sz w:val="22"/>
                <w:lang w:bidi="ar"/>
              </w:rPr>
              <w:t>智慧讲桌</w:t>
            </w:r>
          </w:p>
        </w:tc>
        <w:tc>
          <w:tcPr>
            <w:tcW w:w="1215" w:type="dxa"/>
            <w:tcBorders>
              <w:top w:val="nil"/>
              <w:left w:val="nil"/>
              <w:bottom w:val="single" w:color="auto" w:sz="4" w:space="0"/>
              <w:right w:val="single" w:color="auto" w:sz="4" w:space="0"/>
            </w:tcBorders>
            <w:shd w:val="clear" w:color="auto" w:fill="auto"/>
            <w:vAlign w:val="center"/>
          </w:tcPr>
          <w:p w14:paraId="278E7100">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11E393B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7631BD6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94214C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43B60EC">
            <w:pPr>
              <w:widowControl/>
              <w:jc w:val="center"/>
              <w:textAlignment w:val="center"/>
              <w:rPr>
                <w:rFonts w:ascii="宋体" w:hAnsi="宋体" w:cs="宋体"/>
                <w:color w:val="000000"/>
                <w:sz w:val="22"/>
              </w:rPr>
            </w:pPr>
            <w:r>
              <w:rPr>
                <w:rFonts w:hint="eastAsia" w:ascii="宋体" w:hAnsi="宋体" w:cs="宋体"/>
                <w:color w:val="000000"/>
                <w:kern w:val="0"/>
                <w:sz w:val="22"/>
                <w:lang w:bidi="ar"/>
              </w:rPr>
              <w:t>49</w:t>
            </w:r>
          </w:p>
        </w:tc>
        <w:tc>
          <w:tcPr>
            <w:tcW w:w="3750" w:type="dxa"/>
            <w:tcBorders>
              <w:top w:val="nil"/>
              <w:left w:val="nil"/>
              <w:bottom w:val="single" w:color="auto" w:sz="4" w:space="0"/>
              <w:right w:val="single" w:color="auto" w:sz="4" w:space="0"/>
            </w:tcBorders>
            <w:shd w:val="clear" w:color="auto" w:fill="auto"/>
            <w:vAlign w:val="center"/>
          </w:tcPr>
          <w:p w14:paraId="5CFF87C6">
            <w:pPr>
              <w:widowControl/>
              <w:jc w:val="center"/>
              <w:textAlignment w:val="center"/>
              <w:rPr>
                <w:rFonts w:ascii="宋体" w:hAnsi="宋体" w:cs="宋体"/>
                <w:sz w:val="22"/>
              </w:rPr>
            </w:pPr>
            <w:r>
              <w:rPr>
                <w:rFonts w:hint="eastAsia" w:ascii="宋体" w:hAnsi="宋体" w:cs="宋体"/>
                <w:kern w:val="0"/>
                <w:sz w:val="22"/>
                <w:lang w:bidi="ar"/>
              </w:rPr>
              <w:t>指向性话筒</w:t>
            </w:r>
          </w:p>
        </w:tc>
        <w:tc>
          <w:tcPr>
            <w:tcW w:w="1215" w:type="dxa"/>
            <w:tcBorders>
              <w:top w:val="nil"/>
              <w:left w:val="nil"/>
              <w:bottom w:val="single" w:color="auto" w:sz="4" w:space="0"/>
              <w:right w:val="single" w:color="auto" w:sz="4" w:space="0"/>
            </w:tcBorders>
            <w:shd w:val="clear" w:color="auto" w:fill="auto"/>
            <w:vAlign w:val="center"/>
          </w:tcPr>
          <w:p w14:paraId="200CA42F">
            <w:pPr>
              <w:widowControl/>
              <w:jc w:val="center"/>
              <w:textAlignment w:val="center"/>
              <w:rPr>
                <w:rFonts w:ascii="宋体" w:hAnsi="宋体" w:cs="宋体"/>
                <w:color w:val="000000"/>
                <w:sz w:val="22"/>
              </w:rPr>
            </w:pPr>
            <w:r>
              <w:rPr>
                <w:rFonts w:hint="eastAsia" w:ascii="宋体" w:hAnsi="宋体" w:cs="宋体"/>
                <w:color w:val="000000"/>
                <w:kern w:val="0"/>
                <w:sz w:val="22"/>
                <w:lang w:bidi="ar"/>
              </w:rPr>
              <w:t>6</w:t>
            </w:r>
          </w:p>
        </w:tc>
        <w:tc>
          <w:tcPr>
            <w:tcW w:w="729" w:type="dxa"/>
            <w:tcBorders>
              <w:top w:val="nil"/>
              <w:left w:val="nil"/>
              <w:bottom w:val="single" w:color="auto" w:sz="4" w:space="0"/>
              <w:right w:val="single" w:color="auto" w:sz="4" w:space="0"/>
            </w:tcBorders>
            <w:shd w:val="clear" w:color="auto" w:fill="auto"/>
            <w:vAlign w:val="center"/>
          </w:tcPr>
          <w:p w14:paraId="3EFA2A15">
            <w:pPr>
              <w:widowControl/>
              <w:jc w:val="center"/>
              <w:textAlignment w:val="center"/>
              <w:rPr>
                <w:rFonts w:ascii="宋体" w:hAnsi="宋体" w:cs="宋体"/>
                <w:sz w:val="22"/>
              </w:rPr>
            </w:pPr>
            <w:r>
              <w:rPr>
                <w:rFonts w:hint="eastAsia" w:ascii="宋体" w:hAnsi="宋体" w:cs="宋体"/>
                <w:kern w:val="0"/>
                <w:sz w:val="22"/>
                <w:lang w:bidi="ar"/>
              </w:rPr>
              <w:t>支</w:t>
            </w:r>
          </w:p>
        </w:tc>
        <w:tc>
          <w:tcPr>
            <w:tcW w:w="1866" w:type="dxa"/>
            <w:tcBorders>
              <w:top w:val="nil"/>
              <w:left w:val="nil"/>
              <w:bottom w:val="single" w:color="auto" w:sz="4" w:space="0"/>
              <w:right w:val="single" w:color="auto" w:sz="4" w:space="0"/>
            </w:tcBorders>
            <w:shd w:val="clear" w:color="auto" w:fill="auto"/>
            <w:vAlign w:val="center"/>
          </w:tcPr>
          <w:p w14:paraId="5C5B190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9EC621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CC2BBDB">
            <w:pPr>
              <w:widowControl/>
              <w:jc w:val="center"/>
              <w:textAlignment w:val="center"/>
              <w:rPr>
                <w:rFonts w:ascii="宋体" w:hAnsi="宋体" w:cs="宋体"/>
                <w:color w:val="000000"/>
                <w:sz w:val="22"/>
              </w:rPr>
            </w:pPr>
            <w:r>
              <w:rPr>
                <w:rFonts w:hint="eastAsia" w:ascii="宋体" w:hAnsi="宋体" w:cs="宋体"/>
                <w:color w:val="000000"/>
                <w:kern w:val="0"/>
                <w:sz w:val="22"/>
                <w:lang w:bidi="ar"/>
              </w:rPr>
              <w:t>50</w:t>
            </w:r>
          </w:p>
        </w:tc>
        <w:tc>
          <w:tcPr>
            <w:tcW w:w="3750" w:type="dxa"/>
            <w:tcBorders>
              <w:top w:val="nil"/>
              <w:left w:val="nil"/>
              <w:bottom w:val="single" w:color="auto" w:sz="4" w:space="0"/>
              <w:right w:val="single" w:color="auto" w:sz="4" w:space="0"/>
            </w:tcBorders>
            <w:shd w:val="clear" w:color="auto" w:fill="auto"/>
            <w:vAlign w:val="center"/>
          </w:tcPr>
          <w:p w14:paraId="21CEC16C">
            <w:pPr>
              <w:widowControl/>
              <w:jc w:val="center"/>
              <w:textAlignment w:val="center"/>
              <w:rPr>
                <w:rFonts w:ascii="宋体" w:hAnsi="宋体" w:cs="宋体"/>
                <w:sz w:val="22"/>
              </w:rPr>
            </w:pPr>
            <w:r>
              <w:rPr>
                <w:rFonts w:hint="eastAsia" w:ascii="宋体" w:hAnsi="宋体" w:cs="宋体"/>
                <w:kern w:val="0"/>
                <w:sz w:val="22"/>
                <w:lang w:bidi="ar"/>
              </w:rPr>
              <w:t>数字音频矩阵</w:t>
            </w:r>
          </w:p>
        </w:tc>
        <w:tc>
          <w:tcPr>
            <w:tcW w:w="1215" w:type="dxa"/>
            <w:tcBorders>
              <w:top w:val="nil"/>
              <w:left w:val="nil"/>
              <w:bottom w:val="single" w:color="auto" w:sz="4" w:space="0"/>
              <w:right w:val="single" w:color="auto" w:sz="4" w:space="0"/>
            </w:tcBorders>
            <w:shd w:val="clear" w:color="auto" w:fill="auto"/>
            <w:vAlign w:val="center"/>
          </w:tcPr>
          <w:p w14:paraId="295A223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5E40F15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2ADC1E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C50B72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5479A2">
            <w:pPr>
              <w:widowControl/>
              <w:jc w:val="center"/>
              <w:textAlignment w:val="center"/>
              <w:rPr>
                <w:rFonts w:ascii="宋体" w:hAnsi="宋体" w:cs="宋体"/>
                <w:color w:val="000000"/>
                <w:sz w:val="22"/>
              </w:rPr>
            </w:pPr>
            <w:r>
              <w:rPr>
                <w:rFonts w:hint="eastAsia" w:ascii="宋体" w:hAnsi="宋体" w:cs="宋体"/>
                <w:color w:val="000000"/>
                <w:kern w:val="0"/>
                <w:sz w:val="22"/>
                <w:lang w:bidi="ar"/>
              </w:rPr>
              <w:t>51</w:t>
            </w:r>
          </w:p>
        </w:tc>
        <w:tc>
          <w:tcPr>
            <w:tcW w:w="3750" w:type="dxa"/>
            <w:tcBorders>
              <w:top w:val="nil"/>
              <w:left w:val="nil"/>
              <w:bottom w:val="single" w:color="auto" w:sz="4" w:space="0"/>
              <w:right w:val="single" w:color="auto" w:sz="4" w:space="0"/>
            </w:tcBorders>
            <w:shd w:val="clear" w:color="auto" w:fill="auto"/>
            <w:vAlign w:val="center"/>
          </w:tcPr>
          <w:p w14:paraId="58C07049">
            <w:pPr>
              <w:widowControl/>
              <w:jc w:val="center"/>
              <w:textAlignment w:val="center"/>
              <w:rPr>
                <w:rFonts w:ascii="宋体" w:hAnsi="宋体" w:cs="宋体"/>
                <w:sz w:val="22"/>
              </w:rPr>
            </w:pPr>
            <w:r>
              <w:rPr>
                <w:rFonts w:hint="eastAsia" w:ascii="宋体" w:hAnsi="宋体" w:cs="宋体"/>
                <w:kern w:val="0"/>
                <w:sz w:val="22"/>
                <w:lang w:bidi="ar"/>
              </w:rPr>
              <w:t>无线话筒（带领夹）</w:t>
            </w:r>
          </w:p>
        </w:tc>
        <w:tc>
          <w:tcPr>
            <w:tcW w:w="1215" w:type="dxa"/>
            <w:tcBorders>
              <w:top w:val="nil"/>
              <w:left w:val="nil"/>
              <w:bottom w:val="single" w:color="auto" w:sz="4" w:space="0"/>
              <w:right w:val="single" w:color="auto" w:sz="4" w:space="0"/>
            </w:tcBorders>
            <w:shd w:val="clear" w:color="auto" w:fill="auto"/>
            <w:vAlign w:val="center"/>
          </w:tcPr>
          <w:p w14:paraId="5AAF9085">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F4EC404">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5AAEDC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5CF916B">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379A7E87">
            <w:pPr>
              <w:widowControl/>
              <w:jc w:val="center"/>
              <w:textAlignment w:val="center"/>
              <w:rPr>
                <w:rFonts w:ascii="宋体" w:hAnsi="宋体" w:cs="宋体"/>
                <w:color w:val="000000"/>
                <w:sz w:val="22"/>
              </w:rPr>
            </w:pPr>
            <w:r>
              <w:rPr>
                <w:rFonts w:hint="eastAsia" w:ascii="宋体" w:hAnsi="宋体" w:cs="宋体"/>
                <w:color w:val="000000"/>
                <w:kern w:val="0"/>
                <w:sz w:val="22"/>
                <w:lang w:bidi="ar"/>
              </w:rPr>
              <w:t>52</w:t>
            </w:r>
          </w:p>
        </w:tc>
        <w:tc>
          <w:tcPr>
            <w:tcW w:w="3750" w:type="dxa"/>
            <w:tcBorders>
              <w:top w:val="nil"/>
              <w:left w:val="nil"/>
              <w:bottom w:val="single" w:color="auto" w:sz="4" w:space="0"/>
              <w:right w:val="single" w:color="auto" w:sz="4" w:space="0"/>
            </w:tcBorders>
            <w:shd w:val="clear" w:color="auto" w:fill="auto"/>
            <w:vAlign w:val="center"/>
          </w:tcPr>
          <w:p w14:paraId="20EDD006">
            <w:pPr>
              <w:widowControl/>
              <w:jc w:val="center"/>
              <w:textAlignment w:val="center"/>
              <w:rPr>
                <w:rFonts w:ascii="宋体" w:hAnsi="宋体" w:cs="宋体"/>
                <w:sz w:val="22"/>
              </w:rPr>
            </w:pPr>
            <w:r>
              <w:rPr>
                <w:rFonts w:hint="eastAsia" w:ascii="宋体" w:hAnsi="宋体" w:cs="宋体"/>
                <w:kern w:val="0"/>
                <w:sz w:val="22"/>
                <w:lang w:bidi="ar"/>
              </w:rPr>
              <w:t>功放</w:t>
            </w:r>
          </w:p>
        </w:tc>
        <w:tc>
          <w:tcPr>
            <w:tcW w:w="1215" w:type="dxa"/>
            <w:tcBorders>
              <w:top w:val="nil"/>
              <w:left w:val="nil"/>
              <w:bottom w:val="single" w:color="auto" w:sz="4" w:space="0"/>
              <w:right w:val="single" w:color="auto" w:sz="4" w:space="0"/>
            </w:tcBorders>
            <w:shd w:val="clear" w:color="auto" w:fill="auto"/>
            <w:vAlign w:val="center"/>
          </w:tcPr>
          <w:p w14:paraId="2AEC452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455D0A4">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25B02C6">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B57DEB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BC58246">
            <w:pPr>
              <w:widowControl/>
              <w:jc w:val="center"/>
              <w:textAlignment w:val="center"/>
              <w:rPr>
                <w:rFonts w:ascii="宋体" w:hAnsi="宋体" w:cs="宋体"/>
                <w:color w:val="000000"/>
                <w:sz w:val="22"/>
              </w:rPr>
            </w:pPr>
            <w:r>
              <w:rPr>
                <w:rFonts w:hint="eastAsia" w:ascii="宋体" w:hAnsi="宋体" w:cs="宋体"/>
                <w:color w:val="000000"/>
                <w:kern w:val="0"/>
                <w:sz w:val="22"/>
                <w:lang w:bidi="ar"/>
              </w:rPr>
              <w:t>53</w:t>
            </w:r>
          </w:p>
        </w:tc>
        <w:tc>
          <w:tcPr>
            <w:tcW w:w="3750" w:type="dxa"/>
            <w:tcBorders>
              <w:top w:val="nil"/>
              <w:left w:val="nil"/>
              <w:bottom w:val="single" w:color="auto" w:sz="4" w:space="0"/>
              <w:right w:val="single" w:color="auto" w:sz="4" w:space="0"/>
            </w:tcBorders>
            <w:shd w:val="clear" w:color="auto" w:fill="auto"/>
            <w:vAlign w:val="center"/>
          </w:tcPr>
          <w:p w14:paraId="326E4DCD">
            <w:pPr>
              <w:widowControl/>
              <w:jc w:val="center"/>
              <w:textAlignment w:val="center"/>
              <w:rPr>
                <w:rFonts w:ascii="宋体" w:hAnsi="宋体" w:cs="宋体"/>
                <w:sz w:val="22"/>
              </w:rPr>
            </w:pPr>
            <w:r>
              <w:rPr>
                <w:rFonts w:hint="eastAsia" w:ascii="宋体" w:hAnsi="宋体" w:cs="宋体"/>
                <w:kern w:val="0"/>
                <w:sz w:val="22"/>
                <w:lang w:bidi="ar"/>
              </w:rPr>
              <w:t>音箱</w:t>
            </w:r>
          </w:p>
        </w:tc>
        <w:tc>
          <w:tcPr>
            <w:tcW w:w="1215" w:type="dxa"/>
            <w:tcBorders>
              <w:top w:val="nil"/>
              <w:left w:val="nil"/>
              <w:bottom w:val="single" w:color="auto" w:sz="4" w:space="0"/>
              <w:right w:val="single" w:color="auto" w:sz="4" w:space="0"/>
            </w:tcBorders>
            <w:shd w:val="clear" w:color="auto" w:fill="auto"/>
            <w:vAlign w:val="center"/>
          </w:tcPr>
          <w:p w14:paraId="5BDD541C">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370715A7">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4071D01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CD0285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0DCF7AC">
            <w:pPr>
              <w:widowControl/>
              <w:jc w:val="center"/>
              <w:textAlignment w:val="center"/>
              <w:rPr>
                <w:rFonts w:ascii="宋体" w:hAnsi="宋体" w:cs="宋体"/>
                <w:color w:val="000000"/>
                <w:sz w:val="22"/>
              </w:rPr>
            </w:pPr>
            <w:r>
              <w:rPr>
                <w:rFonts w:hint="eastAsia" w:ascii="宋体" w:hAnsi="宋体" w:cs="宋体"/>
                <w:color w:val="000000"/>
                <w:kern w:val="0"/>
                <w:sz w:val="22"/>
                <w:lang w:bidi="ar"/>
              </w:rPr>
              <w:t>54</w:t>
            </w:r>
          </w:p>
        </w:tc>
        <w:tc>
          <w:tcPr>
            <w:tcW w:w="3750" w:type="dxa"/>
            <w:tcBorders>
              <w:top w:val="nil"/>
              <w:left w:val="nil"/>
              <w:bottom w:val="single" w:color="auto" w:sz="4" w:space="0"/>
              <w:right w:val="single" w:color="auto" w:sz="4" w:space="0"/>
            </w:tcBorders>
            <w:shd w:val="clear" w:color="auto" w:fill="auto"/>
            <w:vAlign w:val="center"/>
          </w:tcPr>
          <w:p w14:paraId="081AB6F7">
            <w:pPr>
              <w:widowControl/>
              <w:jc w:val="center"/>
              <w:textAlignment w:val="center"/>
              <w:rPr>
                <w:rFonts w:ascii="宋体" w:hAnsi="宋体" w:cs="宋体"/>
                <w:sz w:val="22"/>
              </w:rPr>
            </w:pPr>
            <w:r>
              <w:rPr>
                <w:rFonts w:hint="eastAsia" w:ascii="宋体" w:hAnsi="宋体" w:cs="宋体"/>
                <w:kern w:val="0"/>
                <w:sz w:val="22"/>
                <w:lang w:bidi="ar"/>
              </w:rPr>
              <w:t>智能中控屏</w:t>
            </w:r>
          </w:p>
        </w:tc>
        <w:tc>
          <w:tcPr>
            <w:tcW w:w="1215" w:type="dxa"/>
            <w:tcBorders>
              <w:top w:val="nil"/>
              <w:left w:val="nil"/>
              <w:bottom w:val="single" w:color="auto" w:sz="4" w:space="0"/>
              <w:right w:val="single" w:color="auto" w:sz="4" w:space="0"/>
            </w:tcBorders>
            <w:shd w:val="clear" w:color="auto" w:fill="auto"/>
            <w:vAlign w:val="center"/>
          </w:tcPr>
          <w:p w14:paraId="299FFC82">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B606CDD">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3AF0AD4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C7AB76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0DAB2DB">
            <w:pPr>
              <w:widowControl/>
              <w:jc w:val="center"/>
              <w:textAlignment w:val="center"/>
              <w:rPr>
                <w:rFonts w:ascii="宋体" w:hAnsi="宋体" w:cs="宋体"/>
                <w:color w:val="000000"/>
                <w:sz w:val="22"/>
              </w:rPr>
            </w:pPr>
            <w:r>
              <w:rPr>
                <w:rFonts w:hint="eastAsia" w:ascii="宋体" w:hAnsi="宋体" w:cs="宋体"/>
                <w:color w:val="000000"/>
                <w:kern w:val="0"/>
                <w:sz w:val="22"/>
                <w:lang w:bidi="ar"/>
              </w:rPr>
              <w:t>55</w:t>
            </w:r>
          </w:p>
        </w:tc>
        <w:tc>
          <w:tcPr>
            <w:tcW w:w="3750" w:type="dxa"/>
            <w:tcBorders>
              <w:top w:val="nil"/>
              <w:left w:val="nil"/>
              <w:bottom w:val="single" w:color="auto" w:sz="4" w:space="0"/>
              <w:right w:val="single" w:color="auto" w:sz="4" w:space="0"/>
            </w:tcBorders>
            <w:shd w:val="clear" w:color="auto" w:fill="auto"/>
            <w:vAlign w:val="center"/>
          </w:tcPr>
          <w:p w14:paraId="425DF815">
            <w:pPr>
              <w:widowControl/>
              <w:jc w:val="center"/>
              <w:textAlignment w:val="center"/>
              <w:rPr>
                <w:rFonts w:ascii="宋体" w:hAnsi="宋体" w:cs="宋体"/>
                <w:sz w:val="22"/>
              </w:rPr>
            </w:pPr>
            <w:r>
              <w:rPr>
                <w:rFonts w:hint="eastAsia" w:ascii="宋体" w:hAnsi="宋体" w:cs="宋体"/>
                <w:kern w:val="0"/>
                <w:sz w:val="22"/>
                <w:lang w:bidi="ar"/>
              </w:rPr>
              <w:t>导播键盘</w:t>
            </w:r>
          </w:p>
        </w:tc>
        <w:tc>
          <w:tcPr>
            <w:tcW w:w="1215" w:type="dxa"/>
            <w:tcBorders>
              <w:top w:val="nil"/>
              <w:left w:val="nil"/>
              <w:bottom w:val="single" w:color="auto" w:sz="4" w:space="0"/>
              <w:right w:val="single" w:color="auto" w:sz="4" w:space="0"/>
            </w:tcBorders>
            <w:shd w:val="clear" w:color="auto" w:fill="auto"/>
            <w:vAlign w:val="center"/>
          </w:tcPr>
          <w:p w14:paraId="49A45021">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D2D9C8D">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33089C9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3942B0F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4ABFB25E">
            <w:pPr>
              <w:widowControl/>
              <w:jc w:val="center"/>
              <w:textAlignment w:val="center"/>
              <w:rPr>
                <w:rFonts w:ascii="宋体" w:hAnsi="宋体" w:cs="宋体"/>
                <w:color w:val="000000"/>
                <w:sz w:val="22"/>
              </w:rPr>
            </w:pPr>
            <w:r>
              <w:rPr>
                <w:rFonts w:hint="eastAsia" w:ascii="宋体" w:hAnsi="宋体" w:cs="宋体"/>
                <w:color w:val="000000"/>
                <w:kern w:val="0"/>
                <w:sz w:val="22"/>
                <w:lang w:bidi="ar"/>
              </w:rPr>
              <w:t>56</w:t>
            </w:r>
          </w:p>
        </w:tc>
        <w:tc>
          <w:tcPr>
            <w:tcW w:w="3750" w:type="dxa"/>
            <w:tcBorders>
              <w:top w:val="nil"/>
              <w:left w:val="nil"/>
              <w:bottom w:val="single" w:color="auto" w:sz="4" w:space="0"/>
              <w:right w:val="single" w:color="auto" w:sz="4" w:space="0"/>
            </w:tcBorders>
            <w:shd w:val="clear" w:color="auto" w:fill="auto"/>
            <w:vAlign w:val="center"/>
          </w:tcPr>
          <w:p w14:paraId="1BB4CA69">
            <w:pPr>
              <w:widowControl/>
              <w:jc w:val="center"/>
              <w:textAlignment w:val="center"/>
              <w:rPr>
                <w:rFonts w:ascii="宋体" w:hAnsi="宋体" w:cs="宋体"/>
                <w:sz w:val="22"/>
              </w:rPr>
            </w:pPr>
            <w:r>
              <w:rPr>
                <w:rFonts w:hint="eastAsia" w:ascii="宋体" w:hAnsi="宋体" w:cs="宋体"/>
                <w:kern w:val="0"/>
                <w:sz w:val="22"/>
                <w:lang w:bidi="ar"/>
              </w:rPr>
              <w:t>时序电源控制器</w:t>
            </w:r>
          </w:p>
        </w:tc>
        <w:tc>
          <w:tcPr>
            <w:tcW w:w="1215" w:type="dxa"/>
            <w:tcBorders>
              <w:top w:val="nil"/>
              <w:left w:val="nil"/>
              <w:bottom w:val="single" w:color="auto" w:sz="4" w:space="0"/>
              <w:right w:val="single" w:color="auto" w:sz="4" w:space="0"/>
            </w:tcBorders>
            <w:shd w:val="clear" w:color="auto" w:fill="auto"/>
            <w:vAlign w:val="center"/>
          </w:tcPr>
          <w:p w14:paraId="16B14366">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45AE838E">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6BF1C501">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B445AC4">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470B132">
            <w:pPr>
              <w:widowControl/>
              <w:jc w:val="center"/>
              <w:textAlignment w:val="center"/>
              <w:rPr>
                <w:rFonts w:ascii="宋体" w:hAnsi="宋体" w:cs="宋体"/>
                <w:color w:val="000000"/>
                <w:sz w:val="22"/>
              </w:rPr>
            </w:pPr>
            <w:r>
              <w:rPr>
                <w:rFonts w:hint="eastAsia" w:ascii="宋体" w:hAnsi="宋体" w:cs="宋体"/>
                <w:color w:val="000000"/>
                <w:kern w:val="0"/>
                <w:sz w:val="22"/>
                <w:lang w:bidi="ar"/>
              </w:rPr>
              <w:t>57</w:t>
            </w:r>
          </w:p>
        </w:tc>
        <w:tc>
          <w:tcPr>
            <w:tcW w:w="3750" w:type="dxa"/>
            <w:tcBorders>
              <w:top w:val="nil"/>
              <w:left w:val="nil"/>
              <w:bottom w:val="single" w:color="auto" w:sz="4" w:space="0"/>
              <w:right w:val="single" w:color="auto" w:sz="4" w:space="0"/>
            </w:tcBorders>
            <w:shd w:val="clear" w:color="auto" w:fill="auto"/>
            <w:vAlign w:val="center"/>
          </w:tcPr>
          <w:p w14:paraId="25AA08CF">
            <w:pPr>
              <w:widowControl/>
              <w:jc w:val="center"/>
              <w:textAlignment w:val="center"/>
              <w:rPr>
                <w:rFonts w:ascii="宋体" w:hAnsi="宋体" w:cs="宋体"/>
                <w:sz w:val="22"/>
              </w:rPr>
            </w:pPr>
            <w:r>
              <w:rPr>
                <w:rFonts w:hint="eastAsia" w:ascii="宋体" w:hAnsi="宋体" w:cs="宋体"/>
                <w:kern w:val="0"/>
                <w:sz w:val="22"/>
                <w:lang w:bidi="ar"/>
              </w:rPr>
              <w:t>千兆交换机</w:t>
            </w:r>
          </w:p>
        </w:tc>
        <w:tc>
          <w:tcPr>
            <w:tcW w:w="1215" w:type="dxa"/>
            <w:tcBorders>
              <w:top w:val="nil"/>
              <w:left w:val="nil"/>
              <w:bottom w:val="single" w:color="auto" w:sz="4" w:space="0"/>
              <w:right w:val="single" w:color="auto" w:sz="4" w:space="0"/>
            </w:tcBorders>
            <w:shd w:val="clear" w:color="auto" w:fill="auto"/>
            <w:vAlign w:val="center"/>
          </w:tcPr>
          <w:p w14:paraId="5F2980F7">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738965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283DFE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29CF7E9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458C25B">
            <w:pPr>
              <w:widowControl/>
              <w:jc w:val="center"/>
              <w:textAlignment w:val="center"/>
              <w:rPr>
                <w:rFonts w:ascii="宋体" w:hAnsi="宋体" w:cs="宋体"/>
                <w:color w:val="000000"/>
                <w:sz w:val="22"/>
              </w:rPr>
            </w:pPr>
            <w:r>
              <w:rPr>
                <w:rFonts w:hint="eastAsia" w:ascii="宋体" w:hAnsi="宋体" w:cs="宋体"/>
                <w:color w:val="000000"/>
                <w:kern w:val="0"/>
                <w:sz w:val="22"/>
                <w:lang w:bidi="ar"/>
              </w:rPr>
              <w:t>58</w:t>
            </w:r>
          </w:p>
        </w:tc>
        <w:tc>
          <w:tcPr>
            <w:tcW w:w="3750" w:type="dxa"/>
            <w:tcBorders>
              <w:top w:val="nil"/>
              <w:left w:val="nil"/>
              <w:bottom w:val="single" w:color="auto" w:sz="4" w:space="0"/>
              <w:right w:val="single" w:color="auto" w:sz="4" w:space="0"/>
            </w:tcBorders>
            <w:shd w:val="clear" w:color="auto" w:fill="auto"/>
            <w:vAlign w:val="center"/>
          </w:tcPr>
          <w:p w14:paraId="14A5A583">
            <w:pPr>
              <w:widowControl/>
              <w:jc w:val="center"/>
              <w:textAlignment w:val="center"/>
              <w:rPr>
                <w:rFonts w:ascii="宋体" w:hAnsi="宋体" w:cs="宋体"/>
                <w:sz w:val="22"/>
              </w:rPr>
            </w:pPr>
            <w:r>
              <w:rPr>
                <w:rFonts w:hint="eastAsia" w:ascii="宋体" w:hAnsi="宋体" w:cs="宋体"/>
                <w:kern w:val="0"/>
                <w:sz w:val="22"/>
                <w:lang w:bidi="ar"/>
              </w:rPr>
              <w:t>机柜</w:t>
            </w:r>
          </w:p>
        </w:tc>
        <w:tc>
          <w:tcPr>
            <w:tcW w:w="1215" w:type="dxa"/>
            <w:tcBorders>
              <w:top w:val="nil"/>
              <w:left w:val="nil"/>
              <w:bottom w:val="single" w:color="auto" w:sz="4" w:space="0"/>
              <w:right w:val="single" w:color="auto" w:sz="4" w:space="0"/>
            </w:tcBorders>
            <w:shd w:val="clear" w:color="auto" w:fill="auto"/>
            <w:vAlign w:val="center"/>
          </w:tcPr>
          <w:p w14:paraId="538B6BD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FF8B3AE">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9163DBD">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1C99001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B93C587">
            <w:pPr>
              <w:widowControl/>
              <w:jc w:val="center"/>
              <w:textAlignment w:val="center"/>
              <w:rPr>
                <w:rFonts w:ascii="宋体" w:hAnsi="宋体" w:cs="宋体"/>
                <w:color w:val="000000"/>
                <w:sz w:val="22"/>
              </w:rPr>
            </w:pPr>
            <w:r>
              <w:rPr>
                <w:rFonts w:hint="eastAsia" w:ascii="宋体" w:hAnsi="宋体" w:cs="宋体"/>
                <w:color w:val="000000"/>
                <w:kern w:val="0"/>
                <w:sz w:val="22"/>
                <w:lang w:bidi="ar"/>
              </w:rPr>
              <w:t>59</w:t>
            </w:r>
          </w:p>
        </w:tc>
        <w:tc>
          <w:tcPr>
            <w:tcW w:w="3750" w:type="dxa"/>
            <w:tcBorders>
              <w:top w:val="nil"/>
              <w:left w:val="nil"/>
              <w:bottom w:val="single" w:color="auto" w:sz="4" w:space="0"/>
              <w:right w:val="single" w:color="auto" w:sz="4" w:space="0"/>
            </w:tcBorders>
            <w:shd w:val="clear" w:color="auto" w:fill="auto"/>
            <w:vAlign w:val="center"/>
          </w:tcPr>
          <w:p w14:paraId="37F477FE">
            <w:pPr>
              <w:widowControl/>
              <w:jc w:val="center"/>
              <w:textAlignment w:val="center"/>
              <w:rPr>
                <w:rFonts w:ascii="宋体" w:hAnsi="宋体" w:cs="宋体"/>
                <w:sz w:val="22"/>
              </w:rPr>
            </w:pPr>
            <w:r>
              <w:rPr>
                <w:rFonts w:hint="eastAsia" w:ascii="宋体" w:hAnsi="宋体" w:cs="宋体"/>
                <w:kern w:val="0"/>
                <w:sz w:val="22"/>
                <w:lang w:bidi="ar"/>
              </w:rPr>
              <w:t>LED时钟</w:t>
            </w:r>
          </w:p>
        </w:tc>
        <w:tc>
          <w:tcPr>
            <w:tcW w:w="1215" w:type="dxa"/>
            <w:tcBorders>
              <w:top w:val="nil"/>
              <w:left w:val="nil"/>
              <w:bottom w:val="single" w:color="auto" w:sz="4" w:space="0"/>
              <w:right w:val="single" w:color="auto" w:sz="4" w:space="0"/>
            </w:tcBorders>
            <w:shd w:val="clear" w:color="auto" w:fill="auto"/>
            <w:vAlign w:val="center"/>
          </w:tcPr>
          <w:p w14:paraId="25B8AB73">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25462815">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752E411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B776A5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1FB0BE6">
            <w:pPr>
              <w:widowControl/>
              <w:jc w:val="center"/>
              <w:textAlignment w:val="center"/>
              <w:rPr>
                <w:rFonts w:ascii="宋体" w:hAnsi="宋体" w:cs="宋体"/>
                <w:color w:val="000000"/>
                <w:sz w:val="22"/>
              </w:rPr>
            </w:pPr>
            <w:r>
              <w:rPr>
                <w:rFonts w:hint="eastAsia" w:ascii="宋体" w:hAnsi="宋体" w:cs="宋体"/>
                <w:color w:val="000000"/>
                <w:kern w:val="0"/>
                <w:sz w:val="22"/>
                <w:lang w:bidi="ar"/>
              </w:rPr>
              <w:t>60</w:t>
            </w:r>
          </w:p>
        </w:tc>
        <w:tc>
          <w:tcPr>
            <w:tcW w:w="3750" w:type="dxa"/>
            <w:tcBorders>
              <w:top w:val="nil"/>
              <w:left w:val="nil"/>
              <w:bottom w:val="single" w:color="auto" w:sz="4" w:space="0"/>
              <w:right w:val="single" w:color="auto" w:sz="4" w:space="0"/>
            </w:tcBorders>
            <w:shd w:val="clear" w:color="auto" w:fill="auto"/>
            <w:vAlign w:val="center"/>
          </w:tcPr>
          <w:p w14:paraId="6EEE45E3">
            <w:pPr>
              <w:widowControl/>
              <w:jc w:val="center"/>
              <w:textAlignment w:val="center"/>
              <w:rPr>
                <w:rFonts w:ascii="宋体" w:hAnsi="宋体" w:cs="宋体"/>
                <w:sz w:val="22"/>
              </w:rPr>
            </w:pPr>
            <w:r>
              <w:rPr>
                <w:rFonts w:hint="eastAsia" w:ascii="宋体" w:hAnsi="宋体" w:cs="宋体"/>
                <w:kern w:val="0"/>
                <w:sz w:val="22"/>
                <w:lang w:bidi="ar"/>
              </w:rPr>
              <w:t>返看终端</w:t>
            </w:r>
          </w:p>
        </w:tc>
        <w:tc>
          <w:tcPr>
            <w:tcW w:w="1215" w:type="dxa"/>
            <w:tcBorders>
              <w:top w:val="nil"/>
              <w:left w:val="nil"/>
              <w:bottom w:val="single" w:color="auto" w:sz="4" w:space="0"/>
              <w:right w:val="single" w:color="auto" w:sz="4" w:space="0"/>
            </w:tcBorders>
            <w:shd w:val="clear" w:color="auto" w:fill="auto"/>
            <w:vAlign w:val="center"/>
          </w:tcPr>
          <w:p w14:paraId="2DB6AB84">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47301CD">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54AEB21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35D9061">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88D697C">
            <w:pPr>
              <w:widowControl/>
              <w:jc w:val="center"/>
              <w:textAlignment w:val="center"/>
              <w:rPr>
                <w:rFonts w:ascii="宋体" w:hAnsi="宋体" w:cs="宋体"/>
                <w:color w:val="000000"/>
                <w:sz w:val="22"/>
              </w:rPr>
            </w:pPr>
            <w:r>
              <w:rPr>
                <w:rFonts w:hint="eastAsia" w:ascii="宋体" w:hAnsi="宋体" w:cs="宋体"/>
                <w:color w:val="000000"/>
                <w:kern w:val="0"/>
                <w:sz w:val="22"/>
                <w:lang w:bidi="ar"/>
              </w:rPr>
              <w:t>61</w:t>
            </w:r>
          </w:p>
        </w:tc>
        <w:tc>
          <w:tcPr>
            <w:tcW w:w="3750" w:type="dxa"/>
            <w:tcBorders>
              <w:top w:val="nil"/>
              <w:left w:val="nil"/>
              <w:bottom w:val="single" w:color="auto" w:sz="4" w:space="0"/>
              <w:right w:val="single" w:color="auto" w:sz="4" w:space="0"/>
            </w:tcBorders>
            <w:shd w:val="clear" w:color="auto" w:fill="auto"/>
            <w:vAlign w:val="center"/>
          </w:tcPr>
          <w:p w14:paraId="4AEF041F">
            <w:pPr>
              <w:widowControl/>
              <w:jc w:val="center"/>
              <w:textAlignment w:val="center"/>
              <w:rPr>
                <w:rFonts w:ascii="宋体" w:hAnsi="宋体" w:cs="宋体"/>
                <w:sz w:val="22"/>
              </w:rPr>
            </w:pPr>
            <w:r>
              <w:rPr>
                <w:rFonts w:hint="eastAsia" w:ascii="宋体" w:hAnsi="宋体" w:cs="宋体"/>
                <w:kern w:val="0"/>
                <w:sz w:val="22"/>
                <w:lang w:bidi="ar"/>
              </w:rPr>
              <w:t>壁挂支架</w:t>
            </w:r>
          </w:p>
        </w:tc>
        <w:tc>
          <w:tcPr>
            <w:tcW w:w="1215" w:type="dxa"/>
            <w:tcBorders>
              <w:top w:val="nil"/>
              <w:left w:val="nil"/>
              <w:bottom w:val="single" w:color="auto" w:sz="4" w:space="0"/>
              <w:right w:val="single" w:color="auto" w:sz="4" w:space="0"/>
            </w:tcBorders>
            <w:shd w:val="clear" w:color="auto" w:fill="auto"/>
            <w:vAlign w:val="center"/>
          </w:tcPr>
          <w:p w14:paraId="05AB8674">
            <w:pPr>
              <w:widowControl/>
              <w:jc w:val="center"/>
              <w:textAlignment w:val="center"/>
              <w:rPr>
                <w:rFonts w:ascii="宋体" w:hAnsi="宋体" w:cs="宋体"/>
                <w:color w:val="000000"/>
                <w:sz w:val="22"/>
              </w:rPr>
            </w:pPr>
            <w:r>
              <w:rPr>
                <w:rFonts w:hint="eastAsia" w:ascii="宋体" w:hAnsi="宋体" w:cs="宋体"/>
                <w:color w:val="000000"/>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C14FD5C">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E4B6DC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C28546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5813DF0C">
            <w:pPr>
              <w:widowControl/>
              <w:jc w:val="center"/>
              <w:textAlignment w:val="center"/>
              <w:rPr>
                <w:rFonts w:ascii="宋体" w:hAnsi="宋体" w:cs="宋体"/>
                <w:color w:val="000000"/>
                <w:sz w:val="22"/>
              </w:rPr>
            </w:pPr>
            <w:r>
              <w:rPr>
                <w:rFonts w:hint="eastAsia" w:ascii="宋体" w:hAnsi="宋体" w:cs="宋体"/>
                <w:color w:val="000000"/>
                <w:kern w:val="0"/>
                <w:sz w:val="22"/>
                <w:lang w:bidi="ar"/>
              </w:rPr>
              <w:t>62</w:t>
            </w:r>
          </w:p>
        </w:tc>
        <w:tc>
          <w:tcPr>
            <w:tcW w:w="3750" w:type="dxa"/>
            <w:tcBorders>
              <w:top w:val="nil"/>
              <w:left w:val="nil"/>
              <w:bottom w:val="single" w:color="auto" w:sz="4" w:space="0"/>
              <w:right w:val="single" w:color="auto" w:sz="4" w:space="0"/>
            </w:tcBorders>
            <w:shd w:val="clear" w:color="auto" w:fill="auto"/>
            <w:vAlign w:val="center"/>
          </w:tcPr>
          <w:p w14:paraId="4D624B34">
            <w:pPr>
              <w:widowControl/>
              <w:jc w:val="center"/>
              <w:textAlignment w:val="center"/>
              <w:rPr>
                <w:rFonts w:ascii="宋体" w:hAnsi="宋体" w:cs="宋体"/>
                <w:sz w:val="22"/>
              </w:rPr>
            </w:pPr>
            <w:r>
              <w:rPr>
                <w:rFonts w:hint="eastAsia" w:ascii="宋体" w:hAnsi="宋体" w:cs="宋体"/>
                <w:kern w:val="0"/>
                <w:sz w:val="22"/>
                <w:lang w:bidi="ar"/>
              </w:rPr>
              <w:t>移动摄制终端</w:t>
            </w:r>
          </w:p>
        </w:tc>
        <w:tc>
          <w:tcPr>
            <w:tcW w:w="1215" w:type="dxa"/>
            <w:tcBorders>
              <w:top w:val="nil"/>
              <w:left w:val="nil"/>
              <w:bottom w:val="single" w:color="auto" w:sz="4" w:space="0"/>
              <w:right w:val="single" w:color="auto" w:sz="4" w:space="0"/>
            </w:tcBorders>
            <w:shd w:val="clear" w:color="auto" w:fill="auto"/>
            <w:vAlign w:val="center"/>
          </w:tcPr>
          <w:p w14:paraId="54D0A9CB">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8BE9EE5">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C20EB7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A3867C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A0DA87C">
            <w:pPr>
              <w:widowControl/>
              <w:jc w:val="center"/>
              <w:textAlignment w:val="center"/>
              <w:rPr>
                <w:rFonts w:ascii="宋体" w:hAnsi="宋体" w:cs="宋体"/>
                <w:color w:val="000000"/>
                <w:sz w:val="22"/>
              </w:rPr>
            </w:pPr>
            <w:r>
              <w:rPr>
                <w:rFonts w:hint="eastAsia" w:ascii="宋体" w:hAnsi="宋体" w:cs="宋体"/>
                <w:color w:val="000000"/>
                <w:kern w:val="0"/>
                <w:sz w:val="22"/>
                <w:lang w:bidi="ar"/>
              </w:rPr>
              <w:t>63</w:t>
            </w:r>
          </w:p>
        </w:tc>
        <w:tc>
          <w:tcPr>
            <w:tcW w:w="3750" w:type="dxa"/>
            <w:tcBorders>
              <w:top w:val="nil"/>
              <w:left w:val="nil"/>
              <w:bottom w:val="single" w:color="auto" w:sz="4" w:space="0"/>
              <w:right w:val="single" w:color="auto" w:sz="4" w:space="0"/>
            </w:tcBorders>
            <w:shd w:val="clear" w:color="auto" w:fill="auto"/>
            <w:vAlign w:val="center"/>
          </w:tcPr>
          <w:p w14:paraId="5387A70E">
            <w:pPr>
              <w:widowControl/>
              <w:jc w:val="center"/>
              <w:textAlignment w:val="center"/>
              <w:rPr>
                <w:rFonts w:ascii="宋体" w:hAnsi="宋体" w:cs="宋体"/>
                <w:sz w:val="22"/>
              </w:rPr>
            </w:pPr>
            <w:r>
              <w:rPr>
                <w:rFonts w:hint="eastAsia" w:ascii="宋体" w:hAnsi="宋体" w:cs="宋体"/>
                <w:kern w:val="0"/>
                <w:sz w:val="22"/>
                <w:lang w:bidi="ar"/>
              </w:rPr>
              <w:t>移动摄制终端原装电池及充电套装</w:t>
            </w:r>
          </w:p>
        </w:tc>
        <w:tc>
          <w:tcPr>
            <w:tcW w:w="1215" w:type="dxa"/>
            <w:tcBorders>
              <w:top w:val="nil"/>
              <w:left w:val="nil"/>
              <w:bottom w:val="single" w:color="auto" w:sz="4" w:space="0"/>
              <w:right w:val="single" w:color="auto" w:sz="4" w:space="0"/>
            </w:tcBorders>
            <w:shd w:val="clear" w:color="auto" w:fill="auto"/>
            <w:vAlign w:val="center"/>
          </w:tcPr>
          <w:p w14:paraId="5913C6F3">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4D221A86">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4D775D74">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A601C95">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A165A4F">
            <w:pPr>
              <w:widowControl/>
              <w:jc w:val="center"/>
              <w:textAlignment w:val="center"/>
              <w:rPr>
                <w:rFonts w:ascii="宋体" w:hAnsi="宋体" w:cs="宋体"/>
                <w:color w:val="000000"/>
                <w:sz w:val="22"/>
              </w:rPr>
            </w:pPr>
            <w:r>
              <w:rPr>
                <w:rFonts w:hint="eastAsia" w:ascii="宋体" w:hAnsi="宋体" w:cs="宋体"/>
                <w:color w:val="000000"/>
                <w:kern w:val="0"/>
                <w:sz w:val="22"/>
                <w:lang w:bidi="ar"/>
              </w:rPr>
              <w:t>64</w:t>
            </w:r>
          </w:p>
        </w:tc>
        <w:tc>
          <w:tcPr>
            <w:tcW w:w="3750" w:type="dxa"/>
            <w:tcBorders>
              <w:top w:val="nil"/>
              <w:left w:val="nil"/>
              <w:bottom w:val="single" w:color="auto" w:sz="4" w:space="0"/>
              <w:right w:val="single" w:color="auto" w:sz="4" w:space="0"/>
            </w:tcBorders>
            <w:shd w:val="clear" w:color="auto" w:fill="auto"/>
            <w:vAlign w:val="center"/>
          </w:tcPr>
          <w:p w14:paraId="2FECFBE7">
            <w:pPr>
              <w:widowControl/>
              <w:jc w:val="center"/>
              <w:textAlignment w:val="center"/>
              <w:rPr>
                <w:rFonts w:ascii="宋体" w:hAnsi="宋体" w:cs="宋体"/>
                <w:sz w:val="22"/>
              </w:rPr>
            </w:pPr>
            <w:r>
              <w:rPr>
                <w:rFonts w:hint="eastAsia" w:ascii="宋体" w:hAnsi="宋体" w:cs="宋体"/>
                <w:kern w:val="0"/>
                <w:sz w:val="22"/>
                <w:lang w:bidi="ar"/>
              </w:rPr>
              <w:t>高速内存卡</w:t>
            </w:r>
          </w:p>
        </w:tc>
        <w:tc>
          <w:tcPr>
            <w:tcW w:w="1215" w:type="dxa"/>
            <w:tcBorders>
              <w:top w:val="nil"/>
              <w:left w:val="nil"/>
              <w:bottom w:val="single" w:color="auto" w:sz="4" w:space="0"/>
              <w:right w:val="single" w:color="auto" w:sz="4" w:space="0"/>
            </w:tcBorders>
            <w:shd w:val="clear" w:color="auto" w:fill="auto"/>
            <w:vAlign w:val="center"/>
          </w:tcPr>
          <w:p w14:paraId="2D302371">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52557CCB">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DE80AFF">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2756A8E">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D27275D">
            <w:pPr>
              <w:widowControl/>
              <w:jc w:val="center"/>
              <w:textAlignment w:val="center"/>
              <w:rPr>
                <w:rFonts w:ascii="宋体" w:hAnsi="宋体" w:cs="宋体"/>
                <w:color w:val="000000"/>
                <w:sz w:val="22"/>
              </w:rPr>
            </w:pPr>
            <w:r>
              <w:rPr>
                <w:rFonts w:hint="eastAsia" w:ascii="宋体" w:hAnsi="宋体" w:cs="宋体"/>
                <w:color w:val="000000"/>
                <w:kern w:val="0"/>
                <w:sz w:val="22"/>
                <w:lang w:bidi="ar"/>
              </w:rPr>
              <w:t>65</w:t>
            </w:r>
          </w:p>
        </w:tc>
        <w:tc>
          <w:tcPr>
            <w:tcW w:w="3750" w:type="dxa"/>
            <w:tcBorders>
              <w:top w:val="nil"/>
              <w:left w:val="nil"/>
              <w:bottom w:val="single" w:color="auto" w:sz="4" w:space="0"/>
              <w:right w:val="single" w:color="auto" w:sz="4" w:space="0"/>
            </w:tcBorders>
            <w:shd w:val="clear" w:color="auto" w:fill="auto"/>
            <w:vAlign w:val="center"/>
          </w:tcPr>
          <w:p w14:paraId="054D0721">
            <w:pPr>
              <w:widowControl/>
              <w:jc w:val="center"/>
              <w:textAlignment w:val="center"/>
              <w:rPr>
                <w:rFonts w:ascii="宋体" w:hAnsi="宋体" w:cs="宋体"/>
                <w:sz w:val="22"/>
              </w:rPr>
            </w:pPr>
            <w:r>
              <w:rPr>
                <w:rFonts w:hint="eastAsia" w:ascii="宋体" w:hAnsi="宋体" w:cs="宋体"/>
                <w:kern w:val="0"/>
                <w:sz w:val="22"/>
                <w:lang w:bidi="ar"/>
              </w:rPr>
              <w:t>读卡器</w:t>
            </w:r>
          </w:p>
        </w:tc>
        <w:tc>
          <w:tcPr>
            <w:tcW w:w="1215" w:type="dxa"/>
            <w:tcBorders>
              <w:top w:val="nil"/>
              <w:left w:val="nil"/>
              <w:bottom w:val="single" w:color="auto" w:sz="4" w:space="0"/>
              <w:right w:val="single" w:color="auto" w:sz="4" w:space="0"/>
            </w:tcBorders>
            <w:shd w:val="clear" w:color="auto" w:fill="auto"/>
            <w:vAlign w:val="center"/>
          </w:tcPr>
          <w:p w14:paraId="45B195E4">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BD9DC76">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68B17FC0">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CAD741A">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20F44318">
            <w:pPr>
              <w:widowControl/>
              <w:jc w:val="center"/>
              <w:textAlignment w:val="center"/>
              <w:rPr>
                <w:rFonts w:ascii="宋体" w:hAnsi="宋体" w:cs="宋体"/>
                <w:color w:val="000000"/>
                <w:sz w:val="22"/>
              </w:rPr>
            </w:pPr>
            <w:r>
              <w:rPr>
                <w:rFonts w:hint="eastAsia" w:ascii="宋体" w:hAnsi="宋体" w:cs="宋体"/>
                <w:color w:val="000000"/>
                <w:kern w:val="0"/>
                <w:sz w:val="22"/>
                <w:lang w:bidi="ar"/>
              </w:rPr>
              <w:t>66</w:t>
            </w:r>
          </w:p>
        </w:tc>
        <w:tc>
          <w:tcPr>
            <w:tcW w:w="3750" w:type="dxa"/>
            <w:tcBorders>
              <w:top w:val="nil"/>
              <w:left w:val="nil"/>
              <w:bottom w:val="single" w:color="auto" w:sz="4" w:space="0"/>
              <w:right w:val="single" w:color="auto" w:sz="4" w:space="0"/>
            </w:tcBorders>
            <w:shd w:val="clear" w:color="auto" w:fill="auto"/>
            <w:vAlign w:val="center"/>
          </w:tcPr>
          <w:p w14:paraId="1916CD49">
            <w:pPr>
              <w:widowControl/>
              <w:jc w:val="center"/>
              <w:textAlignment w:val="center"/>
              <w:rPr>
                <w:rFonts w:ascii="宋体" w:hAnsi="宋体" w:cs="宋体"/>
                <w:sz w:val="22"/>
              </w:rPr>
            </w:pPr>
            <w:r>
              <w:rPr>
                <w:rFonts w:hint="eastAsia" w:ascii="宋体" w:hAnsi="宋体" w:cs="宋体"/>
                <w:kern w:val="0"/>
                <w:sz w:val="22"/>
                <w:lang w:bidi="ar"/>
              </w:rPr>
              <w:t>移动摄制配套镜头1</w:t>
            </w:r>
          </w:p>
        </w:tc>
        <w:tc>
          <w:tcPr>
            <w:tcW w:w="1215" w:type="dxa"/>
            <w:tcBorders>
              <w:top w:val="nil"/>
              <w:left w:val="nil"/>
              <w:bottom w:val="single" w:color="auto" w:sz="4" w:space="0"/>
              <w:right w:val="single" w:color="auto" w:sz="4" w:space="0"/>
            </w:tcBorders>
            <w:shd w:val="clear" w:color="auto" w:fill="auto"/>
            <w:vAlign w:val="center"/>
          </w:tcPr>
          <w:p w14:paraId="690F159C">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746CBB78">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072CAB6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C96DE38">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77B9846D">
            <w:pPr>
              <w:widowControl/>
              <w:jc w:val="center"/>
              <w:textAlignment w:val="center"/>
              <w:rPr>
                <w:rFonts w:ascii="宋体" w:hAnsi="宋体" w:cs="宋体"/>
                <w:color w:val="000000"/>
                <w:sz w:val="22"/>
              </w:rPr>
            </w:pPr>
            <w:r>
              <w:rPr>
                <w:rFonts w:hint="eastAsia" w:ascii="宋体" w:hAnsi="宋体" w:cs="宋体"/>
                <w:color w:val="000000"/>
                <w:kern w:val="0"/>
                <w:sz w:val="22"/>
                <w:lang w:bidi="ar"/>
              </w:rPr>
              <w:t>67</w:t>
            </w:r>
          </w:p>
        </w:tc>
        <w:tc>
          <w:tcPr>
            <w:tcW w:w="3750" w:type="dxa"/>
            <w:tcBorders>
              <w:top w:val="nil"/>
              <w:left w:val="nil"/>
              <w:bottom w:val="single" w:color="auto" w:sz="4" w:space="0"/>
              <w:right w:val="single" w:color="auto" w:sz="4" w:space="0"/>
            </w:tcBorders>
            <w:shd w:val="clear" w:color="auto" w:fill="auto"/>
            <w:vAlign w:val="center"/>
          </w:tcPr>
          <w:p w14:paraId="696D55E4">
            <w:pPr>
              <w:widowControl/>
              <w:jc w:val="center"/>
              <w:textAlignment w:val="center"/>
              <w:rPr>
                <w:rFonts w:ascii="宋体" w:hAnsi="宋体" w:cs="宋体"/>
                <w:sz w:val="22"/>
              </w:rPr>
            </w:pPr>
            <w:r>
              <w:rPr>
                <w:rFonts w:hint="eastAsia" w:ascii="宋体" w:hAnsi="宋体" w:cs="宋体"/>
                <w:kern w:val="0"/>
                <w:sz w:val="22"/>
                <w:lang w:bidi="ar"/>
              </w:rPr>
              <w:t>移动摄制配套镜头2</w:t>
            </w:r>
          </w:p>
        </w:tc>
        <w:tc>
          <w:tcPr>
            <w:tcW w:w="1215" w:type="dxa"/>
            <w:tcBorders>
              <w:top w:val="nil"/>
              <w:left w:val="nil"/>
              <w:bottom w:val="single" w:color="auto" w:sz="4" w:space="0"/>
              <w:right w:val="single" w:color="auto" w:sz="4" w:space="0"/>
            </w:tcBorders>
            <w:shd w:val="clear" w:color="auto" w:fill="auto"/>
            <w:vAlign w:val="center"/>
          </w:tcPr>
          <w:p w14:paraId="2334592E">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756106E">
            <w:pPr>
              <w:widowControl/>
              <w:jc w:val="center"/>
              <w:textAlignment w:val="center"/>
              <w:rPr>
                <w:rFonts w:ascii="宋体" w:hAnsi="宋体" w:cs="宋体"/>
                <w:sz w:val="22"/>
              </w:rPr>
            </w:pPr>
            <w:r>
              <w:rPr>
                <w:rFonts w:hint="eastAsia" w:ascii="宋体" w:hAnsi="宋体" w:cs="宋体"/>
                <w:kern w:val="0"/>
                <w:sz w:val="22"/>
                <w:lang w:bidi="ar"/>
              </w:rPr>
              <w:t>个</w:t>
            </w:r>
          </w:p>
        </w:tc>
        <w:tc>
          <w:tcPr>
            <w:tcW w:w="1866" w:type="dxa"/>
            <w:tcBorders>
              <w:top w:val="nil"/>
              <w:left w:val="nil"/>
              <w:bottom w:val="single" w:color="auto" w:sz="4" w:space="0"/>
              <w:right w:val="single" w:color="auto" w:sz="4" w:space="0"/>
            </w:tcBorders>
            <w:shd w:val="clear" w:color="auto" w:fill="auto"/>
            <w:vAlign w:val="center"/>
          </w:tcPr>
          <w:p w14:paraId="2AEB176A">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6A20A09">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7DE2126">
            <w:pPr>
              <w:widowControl/>
              <w:jc w:val="center"/>
              <w:textAlignment w:val="center"/>
              <w:rPr>
                <w:rFonts w:ascii="宋体" w:hAnsi="宋体" w:cs="宋体"/>
                <w:color w:val="000000"/>
                <w:sz w:val="22"/>
              </w:rPr>
            </w:pPr>
            <w:r>
              <w:rPr>
                <w:rFonts w:hint="eastAsia" w:ascii="宋体" w:hAnsi="宋体" w:cs="宋体"/>
                <w:color w:val="000000"/>
                <w:kern w:val="0"/>
                <w:sz w:val="22"/>
                <w:lang w:bidi="ar"/>
              </w:rPr>
              <w:t>68</w:t>
            </w:r>
          </w:p>
        </w:tc>
        <w:tc>
          <w:tcPr>
            <w:tcW w:w="3750" w:type="dxa"/>
            <w:tcBorders>
              <w:top w:val="nil"/>
              <w:left w:val="nil"/>
              <w:bottom w:val="single" w:color="auto" w:sz="4" w:space="0"/>
              <w:right w:val="single" w:color="auto" w:sz="4" w:space="0"/>
            </w:tcBorders>
            <w:shd w:val="clear" w:color="auto" w:fill="auto"/>
            <w:vAlign w:val="center"/>
          </w:tcPr>
          <w:p w14:paraId="49F29040">
            <w:pPr>
              <w:widowControl/>
              <w:jc w:val="center"/>
              <w:textAlignment w:val="center"/>
              <w:rPr>
                <w:rFonts w:ascii="宋体" w:hAnsi="宋体" w:cs="宋体"/>
                <w:sz w:val="22"/>
              </w:rPr>
            </w:pPr>
            <w:r>
              <w:rPr>
                <w:rFonts w:hint="eastAsia" w:ascii="宋体" w:hAnsi="宋体" w:cs="宋体"/>
                <w:kern w:val="0"/>
                <w:sz w:val="22"/>
                <w:lang w:bidi="ar"/>
              </w:rPr>
              <w:t>三轴云台稳定器</w:t>
            </w:r>
          </w:p>
        </w:tc>
        <w:tc>
          <w:tcPr>
            <w:tcW w:w="1215" w:type="dxa"/>
            <w:tcBorders>
              <w:top w:val="nil"/>
              <w:left w:val="nil"/>
              <w:bottom w:val="single" w:color="auto" w:sz="4" w:space="0"/>
              <w:right w:val="single" w:color="auto" w:sz="4" w:space="0"/>
            </w:tcBorders>
            <w:shd w:val="clear" w:color="auto" w:fill="auto"/>
            <w:vAlign w:val="center"/>
          </w:tcPr>
          <w:p w14:paraId="79D2E934">
            <w:pPr>
              <w:widowControl/>
              <w:jc w:val="center"/>
              <w:textAlignment w:val="center"/>
              <w:rPr>
                <w:rFonts w:ascii="宋体" w:hAnsi="宋体" w:cs="宋体"/>
                <w:sz w:val="22"/>
              </w:rPr>
            </w:pPr>
            <w:r>
              <w:rPr>
                <w:rFonts w:hint="eastAsia" w:ascii="宋体" w:hAnsi="宋体" w:cs="宋体"/>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20A0C14">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66EB5ED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0507CBC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FD6D1F9">
            <w:pPr>
              <w:widowControl/>
              <w:jc w:val="center"/>
              <w:textAlignment w:val="center"/>
              <w:rPr>
                <w:rFonts w:ascii="宋体" w:hAnsi="宋体" w:cs="宋体"/>
                <w:color w:val="000000"/>
                <w:sz w:val="22"/>
              </w:rPr>
            </w:pPr>
            <w:r>
              <w:rPr>
                <w:rFonts w:hint="eastAsia" w:ascii="宋体" w:hAnsi="宋体" w:cs="宋体"/>
                <w:color w:val="000000"/>
                <w:kern w:val="0"/>
                <w:sz w:val="22"/>
                <w:lang w:bidi="ar"/>
              </w:rPr>
              <w:t>69</w:t>
            </w:r>
          </w:p>
        </w:tc>
        <w:tc>
          <w:tcPr>
            <w:tcW w:w="3750" w:type="dxa"/>
            <w:tcBorders>
              <w:top w:val="nil"/>
              <w:left w:val="nil"/>
              <w:bottom w:val="single" w:color="auto" w:sz="4" w:space="0"/>
              <w:right w:val="single" w:color="auto" w:sz="4" w:space="0"/>
            </w:tcBorders>
            <w:shd w:val="clear" w:color="auto" w:fill="auto"/>
            <w:vAlign w:val="center"/>
          </w:tcPr>
          <w:p w14:paraId="4ED0CD5E">
            <w:pPr>
              <w:widowControl/>
              <w:jc w:val="center"/>
              <w:textAlignment w:val="center"/>
              <w:rPr>
                <w:rFonts w:ascii="宋体" w:hAnsi="宋体" w:cs="宋体"/>
                <w:sz w:val="22"/>
              </w:rPr>
            </w:pPr>
            <w:r>
              <w:rPr>
                <w:rFonts w:hint="eastAsia" w:ascii="宋体" w:hAnsi="宋体" w:cs="宋体"/>
                <w:kern w:val="0"/>
                <w:sz w:val="22"/>
                <w:lang w:bidi="ar"/>
              </w:rPr>
              <w:t>移动组合桌</w:t>
            </w:r>
          </w:p>
        </w:tc>
        <w:tc>
          <w:tcPr>
            <w:tcW w:w="1215" w:type="dxa"/>
            <w:tcBorders>
              <w:top w:val="nil"/>
              <w:left w:val="nil"/>
              <w:bottom w:val="single" w:color="auto" w:sz="4" w:space="0"/>
              <w:right w:val="single" w:color="auto" w:sz="4" w:space="0"/>
            </w:tcBorders>
            <w:shd w:val="clear" w:color="auto" w:fill="auto"/>
            <w:vAlign w:val="center"/>
          </w:tcPr>
          <w:p w14:paraId="66F1A936">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3A6CCC87">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4E797625">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6273D74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3640AD4">
            <w:pPr>
              <w:widowControl/>
              <w:jc w:val="center"/>
              <w:textAlignment w:val="center"/>
              <w:rPr>
                <w:rFonts w:ascii="宋体" w:hAnsi="宋体" w:cs="宋体"/>
                <w:color w:val="000000"/>
                <w:sz w:val="22"/>
              </w:rPr>
            </w:pPr>
            <w:r>
              <w:rPr>
                <w:rFonts w:hint="eastAsia" w:ascii="宋体" w:hAnsi="宋体" w:cs="宋体"/>
                <w:color w:val="000000"/>
                <w:kern w:val="0"/>
                <w:sz w:val="22"/>
                <w:lang w:bidi="ar"/>
              </w:rPr>
              <w:t>70</w:t>
            </w:r>
          </w:p>
        </w:tc>
        <w:tc>
          <w:tcPr>
            <w:tcW w:w="3750" w:type="dxa"/>
            <w:tcBorders>
              <w:top w:val="nil"/>
              <w:left w:val="nil"/>
              <w:bottom w:val="single" w:color="auto" w:sz="4" w:space="0"/>
              <w:right w:val="single" w:color="auto" w:sz="4" w:space="0"/>
            </w:tcBorders>
            <w:shd w:val="clear" w:color="auto" w:fill="auto"/>
            <w:vAlign w:val="center"/>
          </w:tcPr>
          <w:p w14:paraId="521226C5">
            <w:pPr>
              <w:widowControl/>
              <w:jc w:val="center"/>
              <w:textAlignment w:val="center"/>
              <w:rPr>
                <w:rFonts w:ascii="宋体" w:hAnsi="宋体" w:cs="宋体"/>
                <w:sz w:val="22"/>
              </w:rPr>
            </w:pPr>
            <w:r>
              <w:rPr>
                <w:rFonts w:hint="eastAsia" w:ascii="宋体" w:hAnsi="宋体" w:cs="宋体"/>
                <w:kern w:val="0"/>
                <w:sz w:val="22"/>
                <w:lang w:bidi="ar"/>
              </w:rPr>
              <w:t>学习椅</w:t>
            </w:r>
          </w:p>
        </w:tc>
        <w:tc>
          <w:tcPr>
            <w:tcW w:w="1215" w:type="dxa"/>
            <w:tcBorders>
              <w:top w:val="nil"/>
              <w:left w:val="nil"/>
              <w:bottom w:val="single" w:color="auto" w:sz="4" w:space="0"/>
              <w:right w:val="single" w:color="auto" w:sz="4" w:space="0"/>
            </w:tcBorders>
            <w:shd w:val="clear" w:color="auto" w:fill="auto"/>
            <w:vAlign w:val="center"/>
          </w:tcPr>
          <w:p w14:paraId="354BC948">
            <w:pPr>
              <w:widowControl/>
              <w:jc w:val="center"/>
              <w:textAlignment w:val="center"/>
              <w:rPr>
                <w:rFonts w:ascii="宋体" w:hAnsi="宋体" w:cs="宋体"/>
                <w:sz w:val="22"/>
              </w:rPr>
            </w:pPr>
            <w:r>
              <w:rPr>
                <w:rFonts w:hint="eastAsia" w:ascii="宋体" w:hAnsi="宋体" w:cs="宋体"/>
                <w:kern w:val="0"/>
                <w:sz w:val="22"/>
                <w:lang w:bidi="ar"/>
              </w:rPr>
              <w:t>56</w:t>
            </w:r>
          </w:p>
        </w:tc>
        <w:tc>
          <w:tcPr>
            <w:tcW w:w="729" w:type="dxa"/>
            <w:tcBorders>
              <w:top w:val="nil"/>
              <w:left w:val="nil"/>
              <w:bottom w:val="single" w:color="auto" w:sz="4" w:space="0"/>
              <w:right w:val="single" w:color="auto" w:sz="4" w:space="0"/>
            </w:tcBorders>
            <w:shd w:val="clear" w:color="auto" w:fill="auto"/>
            <w:vAlign w:val="center"/>
          </w:tcPr>
          <w:p w14:paraId="002FB22E">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4080A69">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D799042">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0EA56391">
            <w:pPr>
              <w:widowControl/>
              <w:jc w:val="center"/>
              <w:textAlignment w:val="center"/>
              <w:rPr>
                <w:rFonts w:ascii="宋体" w:hAnsi="宋体" w:cs="宋体"/>
                <w:color w:val="000000"/>
                <w:sz w:val="22"/>
              </w:rPr>
            </w:pPr>
            <w:r>
              <w:rPr>
                <w:rFonts w:hint="eastAsia" w:ascii="宋体" w:hAnsi="宋体" w:cs="宋体"/>
                <w:color w:val="000000"/>
                <w:kern w:val="0"/>
                <w:sz w:val="22"/>
                <w:lang w:bidi="ar"/>
              </w:rPr>
              <w:t>71</w:t>
            </w:r>
          </w:p>
        </w:tc>
        <w:tc>
          <w:tcPr>
            <w:tcW w:w="3750" w:type="dxa"/>
            <w:tcBorders>
              <w:top w:val="nil"/>
              <w:left w:val="nil"/>
              <w:bottom w:val="single" w:color="auto" w:sz="4" w:space="0"/>
              <w:right w:val="single" w:color="auto" w:sz="4" w:space="0"/>
            </w:tcBorders>
            <w:shd w:val="clear" w:color="auto" w:fill="auto"/>
            <w:vAlign w:val="center"/>
          </w:tcPr>
          <w:p w14:paraId="67C0B31C">
            <w:pPr>
              <w:widowControl/>
              <w:jc w:val="center"/>
              <w:textAlignment w:val="center"/>
              <w:rPr>
                <w:rFonts w:ascii="宋体" w:hAnsi="宋体" w:cs="宋体"/>
                <w:sz w:val="22"/>
              </w:rPr>
            </w:pPr>
            <w:r>
              <w:rPr>
                <w:rFonts w:hint="eastAsia" w:ascii="宋体" w:hAnsi="宋体" w:cs="宋体"/>
                <w:kern w:val="0"/>
                <w:sz w:val="22"/>
                <w:lang w:bidi="ar"/>
              </w:rPr>
              <w:t>观摩椅</w:t>
            </w:r>
          </w:p>
        </w:tc>
        <w:tc>
          <w:tcPr>
            <w:tcW w:w="1215" w:type="dxa"/>
            <w:tcBorders>
              <w:top w:val="nil"/>
              <w:left w:val="nil"/>
              <w:bottom w:val="single" w:color="auto" w:sz="4" w:space="0"/>
              <w:right w:val="single" w:color="auto" w:sz="4" w:space="0"/>
            </w:tcBorders>
            <w:shd w:val="clear" w:color="auto" w:fill="auto"/>
            <w:vAlign w:val="center"/>
          </w:tcPr>
          <w:p w14:paraId="34B552B3">
            <w:pPr>
              <w:widowControl/>
              <w:jc w:val="center"/>
              <w:textAlignment w:val="center"/>
              <w:rPr>
                <w:rFonts w:ascii="宋体" w:hAnsi="宋体" w:cs="宋体"/>
                <w:sz w:val="22"/>
              </w:rPr>
            </w:pPr>
            <w:r>
              <w:rPr>
                <w:rFonts w:hint="eastAsia" w:ascii="宋体" w:hAnsi="宋体" w:cs="宋体"/>
                <w:kern w:val="0"/>
                <w:sz w:val="22"/>
                <w:lang w:bidi="ar"/>
              </w:rPr>
              <w:t>30</w:t>
            </w:r>
          </w:p>
        </w:tc>
        <w:tc>
          <w:tcPr>
            <w:tcW w:w="729" w:type="dxa"/>
            <w:tcBorders>
              <w:top w:val="nil"/>
              <w:left w:val="nil"/>
              <w:bottom w:val="single" w:color="auto" w:sz="4" w:space="0"/>
              <w:right w:val="single" w:color="auto" w:sz="4" w:space="0"/>
            </w:tcBorders>
            <w:shd w:val="clear" w:color="auto" w:fill="auto"/>
            <w:vAlign w:val="center"/>
          </w:tcPr>
          <w:p w14:paraId="69C7CD17">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327398F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00DCA46">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E101C3D">
            <w:pPr>
              <w:widowControl/>
              <w:jc w:val="center"/>
              <w:textAlignment w:val="center"/>
              <w:rPr>
                <w:rFonts w:ascii="宋体" w:hAnsi="宋体" w:cs="宋体"/>
                <w:color w:val="000000"/>
                <w:sz w:val="22"/>
              </w:rPr>
            </w:pPr>
            <w:r>
              <w:rPr>
                <w:rFonts w:hint="eastAsia" w:ascii="宋体" w:hAnsi="宋体" w:cs="宋体"/>
                <w:color w:val="000000"/>
                <w:kern w:val="0"/>
                <w:sz w:val="22"/>
                <w:lang w:bidi="ar"/>
              </w:rPr>
              <w:t>72</w:t>
            </w:r>
          </w:p>
        </w:tc>
        <w:tc>
          <w:tcPr>
            <w:tcW w:w="3750" w:type="dxa"/>
            <w:tcBorders>
              <w:top w:val="nil"/>
              <w:left w:val="nil"/>
              <w:bottom w:val="single" w:color="auto" w:sz="4" w:space="0"/>
              <w:right w:val="single" w:color="auto" w:sz="4" w:space="0"/>
            </w:tcBorders>
            <w:shd w:val="clear" w:color="auto" w:fill="auto"/>
            <w:vAlign w:val="center"/>
          </w:tcPr>
          <w:p w14:paraId="5B4A32E9">
            <w:pPr>
              <w:widowControl/>
              <w:jc w:val="center"/>
              <w:textAlignment w:val="center"/>
              <w:rPr>
                <w:rFonts w:ascii="宋体" w:hAnsi="宋体" w:cs="宋体"/>
                <w:sz w:val="22"/>
              </w:rPr>
            </w:pPr>
            <w:r>
              <w:rPr>
                <w:rFonts w:hint="eastAsia" w:ascii="宋体" w:hAnsi="宋体" w:cs="宋体"/>
                <w:kern w:val="0"/>
                <w:sz w:val="22"/>
                <w:lang w:bidi="ar"/>
              </w:rPr>
              <w:t>导播终端</w:t>
            </w:r>
          </w:p>
        </w:tc>
        <w:tc>
          <w:tcPr>
            <w:tcW w:w="1215" w:type="dxa"/>
            <w:tcBorders>
              <w:top w:val="nil"/>
              <w:left w:val="nil"/>
              <w:bottom w:val="single" w:color="auto" w:sz="4" w:space="0"/>
              <w:right w:val="single" w:color="auto" w:sz="4" w:space="0"/>
            </w:tcBorders>
            <w:shd w:val="clear" w:color="auto" w:fill="auto"/>
            <w:vAlign w:val="center"/>
          </w:tcPr>
          <w:p w14:paraId="0F0B1399">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697E65AF">
            <w:pPr>
              <w:widowControl/>
              <w:jc w:val="center"/>
              <w:textAlignment w:val="center"/>
              <w:rPr>
                <w:rFonts w:ascii="宋体" w:hAnsi="宋体" w:cs="宋体"/>
                <w:sz w:val="22"/>
              </w:rPr>
            </w:pPr>
            <w:r>
              <w:rPr>
                <w:rFonts w:hint="eastAsia" w:ascii="宋体" w:hAnsi="宋体" w:cs="宋体"/>
                <w:kern w:val="0"/>
                <w:sz w:val="22"/>
                <w:lang w:bidi="ar"/>
              </w:rPr>
              <w:t>台</w:t>
            </w:r>
          </w:p>
        </w:tc>
        <w:tc>
          <w:tcPr>
            <w:tcW w:w="1866" w:type="dxa"/>
            <w:tcBorders>
              <w:top w:val="nil"/>
              <w:left w:val="nil"/>
              <w:bottom w:val="single" w:color="auto" w:sz="4" w:space="0"/>
              <w:right w:val="single" w:color="auto" w:sz="4" w:space="0"/>
            </w:tcBorders>
            <w:shd w:val="clear" w:color="auto" w:fill="auto"/>
            <w:vAlign w:val="center"/>
          </w:tcPr>
          <w:p w14:paraId="09C31208">
            <w:pPr>
              <w:widowControl/>
              <w:jc w:val="center"/>
              <w:textAlignment w:val="center"/>
              <w:rPr>
                <w:rFonts w:ascii="宋体" w:hAnsi="宋体" w:cs="宋体"/>
                <w:kern w:val="0"/>
                <w:sz w:val="22"/>
                <w:lang w:bidi="ar"/>
              </w:rPr>
            </w:pPr>
            <w:r>
              <w:rPr>
                <w:rFonts w:hint="eastAsia" w:ascii="宋体" w:hAnsi="宋体" w:cs="宋体"/>
                <w:kern w:val="0"/>
                <w:sz w:val="22"/>
                <w:lang w:bidi="ar"/>
              </w:rPr>
              <w:t>工业（强制节能产品）</w:t>
            </w:r>
          </w:p>
        </w:tc>
      </w:tr>
      <w:tr w14:paraId="2E67AFD3">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B8F423C">
            <w:pPr>
              <w:widowControl/>
              <w:jc w:val="center"/>
              <w:textAlignment w:val="center"/>
              <w:rPr>
                <w:rFonts w:ascii="宋体" w:hAnsi="宋体" w:cs="宋体"/>
                <w:color w:val="000000"/>
                <w:sz w:val="22"/>
              </w:rPr>
            </w:pPr>
            <w:r>
              <w:rPr>
                <w:rFonts w:hint="eastAsia" w:ascii="宋体" w:hAnsi="宋体" w:cs="宋体"/>
                <w:color w:val="000000"/>
                <w:kern w:val="0"/>
                <w:sz w:val="22"/>
                <w:lang w:bidi="ar"/>
              </w:rPr>
              <w:t>73</w:t>
            </w:r>
          </w:p>
        </w:tc>
        <w:tc>
          <w:tcPr>
            <w:tcW w:w="3750" w:type="dxa"/>
            <w:tcBorders>
              <w:top w:val="nil"/>
              <w:left w:val="nil"/>
              <w:bottom w:val="single" w:color="auto" w:sz="4" w:space="0"/>
              <w:right w:val="single" w:color="auto" w:sz="4" w:space="0"/>
            </w:tcBorders>
            <w:shd w:val="clear" w:color="auto" w:fill="auto"/>
            <w:vAlign w:val="center"/>
          </w:tcPr>
          <w:p w14:paraId="52CA62CC">
            <w:pPr>
              <w:widowControl/>
              <w:jc w:val="center"/>
              <w:textAlignment w:val="center"/>
              <w:rPr>
                <w:rFonts w:ascii="宋体" w:hAnsi="宋体" w:cs="宋体"/>
                <w:sz w:val="22"/>
              </w:rPr>
            </w:pPr>
            <w:r>
              <w:rPr>
                <w:rFonts w:hint="eastAsia" w:ascii="宋体" w:hAnsi="宋体" w:cs="宋体"/>
                <w:kern w:val="0"/>
                <w:sz w:val="22"/>
                <w:lang w:bidi="ar"/>
              </w:rPr>
              <w:t>中控室操作台</w:t>
            </w:r>
          </w:p>
        </w:tc>
        <w:tc>
          <w:tcPr>
            <w:tcW w:w="1215" w:type="dxa"/>
            <w:tcBorders>
              <w:top w:val="nil"/>
              <w:left w:val="nil"/>
              <w:bottom w:val="single" w:color="auto" w:sz="4" w:space="0"/>
              <w:right w:val="single" w:color="auto" w:sz="4" w:space="0"/>
            </w:tcBorders>
            <w:shd w:val="clear" w:color="auto" w:fill="auto"/>
            <w:vAlign w:val="center"/>
          </w:tcPr>
          <w:p w14:paraId="463576A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35A35325">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25F6D63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436AE27D">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1EE25B99">
            <w:pPr>
              <w:widowControl/>
              <w:jc w:val="center"/>
              <w:textAlignment w:val="center"/>
              <w:rPr>
                <w:rFonts w:ascii="宋体" w:hAnsi="宋体" w:cs="宋体"/>
                <w:color w:val="000000"/>
                <w:sz w:val="22"/>
              </w:rPr>
            </w:pPr>
            <w:r>
              <w:rPr>
                <w:rFonts w:hint="eastAsia" w:ascii="宋体" w:hAnsi="宋体" w:cs="宋体"/>
                <w:color w:val="000000"/>
                <w:kern w:val="0"/>
                <w:sz w:val="22"/>
                <w:lang w:bidi="ar"/>
              </w:rPr>
              <w:t>74</w:t>
            </w:r>
          </w:p>
        </w:tc>
        <w:tc>
          <w:tcPr>
            <w:tcW w:w="3750" w:type="dxa"/>
            <w:tcBorders>
              <w:top w:val="nil"/>
              <w:left w:val="nil"/>
              <w:bottom w:val="single" w:color="auto" w:sz="4" w:space="0"/>
              <w:right w:val="single" w:color="auto" w:sz="4" w:space="0"/>
            </w:tcBorders>
            <w:shd w:val="clear" w:color="auto" w:fill="auto"/>
            <w:vAlign w:val="center"/>
          </w:tcPr>
          <w:p w14:paraId="2E1C261E">
            <w:pPr>
              <w:widowControl/>
              <w:jc w:val="center"/>
              <w:textAlignment w:val="center"/>
              <w:rPr>
                <w:rFonts w:ascii="宋体" w:hAnsi="宋体" w:cs="宋体"/>
                <w:sz w:val="22"/>
              </w:rPr>
            </w:pPr>
            <w:r>
              <w:rPr>
                <w:rFonts w:hint="eastAsia" w:ascii="宋体" w:hAnsi="宋体" w:cs="宋体"/>
                <w:kern w:val="0"/>
                <w:sz w:val="22"/>
                <w:lang w:bidi="ar"/>
              </w:rPr>
              <w:t>操作椅</w:t>
            </w:r>
          </w:p>
        </w:tc>
        <w:tc>
          <w:tcPr>
            <w:tcW w:w="1215" w:type="dxa"/>
            <w:tcBorders>
              <w:top w:val="nil"/>
              <w:left w:val="nil"/>
              <w:bottom w:val="single" w:color="auto" w:sz="4" w:space="0"/>
              <w:right w:val="single" w:color="auto" w:sz="4" w:space="0"/>
            </w:tcBorders>
            <w:shd w:val="clear" w:color="auto" w:fill="auto"/>
            <w:vAlign w:val="center"/>
          </w:tcPr>
          <w:p w14:paraId="19CEF7FA">
            <w:pPr>
              <w:widowControl/>
              <w:jc w:val="center"/>
              <w:textAlignment w:val="center"/>
              <w:rPr>
                <w:rFonts w:ascii="宋体" w:hAnsi="宋体" w:cs="宋体"/>
                <w:sz w:val="22"/>
              </w:rPr>
            </w:pPr>
            <w:r>
              <w:rPr>
                <w:rFonts w:hint="eastAsia" w:ascii="宋体" w:hAnsi="宋体" w:cs="宋体"/>
                <w:kern w:val="0"/>
                <w:sz w:val="22"/>
                <w:lang w:bidi="ar"/>
              </w:rPr>
              <w:t>2</w:t>
            </w:r>
          </w:p>
        </w:tc>
        <w:tc>
          <w:tcPr>
            <w:tcW w:w="729" w:type="dxa"/>
            <w:tcBorders>
              <w:top w:val="nil"/>
              <w:left w:val="nil"/>
              <w:bottom w:val="single" w:color="auto" w:sz="4" w:space="0"/>
              <w:right w:val="single" w:color="auto" w:sz="4" w:space="0"/>
            </w:tcBorders>
            <w:shd w:val="clear" w:color="auto" w:fill="auto"/>
            <w:vAlign w:val="center"/>
          </w:tcPr>
          <w:p w14:paraId="0088E612">
            <w:pPr>
              <w:widowControl/>
              <w:jc w:val="center"/>
              <w:textAlignment w:val="center"/>
              <w:rPr>
                <w:rFonts w:ascii="宋体" w:hAnsi="宋体" w:cs="宋体"/>
                <w:sz w:val="22"/>
              </w:rPr>
            </w:pPr>
            <w:r>
              <w:rPr>
                <w:rFonts w:hint="eastAsia" w:ascii="宋体" w:hAnsi="宋体" w:cs="宋体"/>
                <w:kern w:val="0"/>
                <w:sz w:val="22"/>
                <w:lang w:bidi="ar"/>
              </w:rPr>
              <w:t>张</w:t>
            </w:r>
          </w:p>
        </w:tc>
        <w:tc>
          <w:tcPr>
            <w:tcW w:w="1866" w:type="dxa"/>
            <w:tcBorders>
              <w:top w:val="nil"/>
              <w:left w:val="nil"/>
              <w:bottom w:val="single" w:color="auto" w:sz="4" w:space="0"/>
              <w:right w:val="single" w:color="auto" w:sz="4" w:space="0"/>
            </w:tcBorders>
            <w:shd w:val="clear" w:color="auto" w:fill="auto"/>
            <w:vAlign w:val="center"/>
          </w:tcPr>
          <w:p w14:paraId="124320C3">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52DC25AF">
        <w:tblPrEx>
          <w:tblCellMar>
            <w:top w:w="0" w:type="dxa"/>
            <w:left w:w="108" w:type="dxa"/>
            <w:bottom w:w="0" w:type="dxa"/>
            <w:right w:w="108" w:type="dxa"/>
          </w:tblCellMar>
        </w:tblPrEx>
        <w:trPr>
          <w:trHeight w:val="285" w:hRule="atLeast"/>
        </w:trPr>
        <w:tc>
          <w:tcPr>
            <w:tcW w:w="1312" w:type="dxa"/>
            <w:tcBorders>
              <w:top w:val="nil"/>
              <w:left w:val="single" w:color="auto" w:sz="4" w:space="0"/>
              <w:bottom w:val="single" w:color="auto" w:sz="4" w:space="0"/>
              <w:right w:val="single" w:color="auto" w:sz="4" w:space="0"/>
            </w:tcBorders>
            <w:shd w:val="clear" w:color="auto" w:fill="auto"/>
            <w:noWrap/>
            <w:vAlign w:val="center"/>
          </w:tcPr>
          <w:p w14:paraId="6088AB19">
            <w:pPr>
              <w:widowControl/>
              <w:jc w:val="center"/>
              <w:textAlignment w:val="center"/>
              <w:rPr>
                <w:rFonts w:ascii="宋体" w:hAnsi="宋体" w:cs="宋体"/>
                <w:color w:val="000000"/>
                <w:sz w:val="22"/>
              </w:rPr>
            </w:pPr>
            <w:r>
              <w:rPr>
                <w:rFonts w:hint="eastAsia" w:ascii="宋体" w:hAnsi="宋体" w:cs="宋体"/>
                <w:color w:val="000000"/>
                <w:kern w:val="0"/>
                <w:sz w:val="22"/>
                <w:lang w:bidi="ar"/>
              </w:rPr>
              <w:t>75</w:t>
            </w:r>
          </w:p>
        </w:tc>
        <w:tc>
          <w:tcPr>
            <w:tcW w:w="3750" w:type="dxa"/>
            <w:tcBorders>
              <w:top w:val="nil"/>
              <w:left w:val="nil"/>
              <w:bottom w:val="single" w:color="auto" w:sz="4" w:space="0"/>
              <w:right w:val="single" w:color="auto" w:sz="4" w:space="0"/>
            </w:tcBorders>
            <w:shd w:val="clear" w:color="auto" w:fill="auto"/>
            <w:vAlign w:val="center"/>
          </w:tcPr>
          <w:p w14:paraId="7A5E19C9">
            <w:pPr>
              <w:widowControl/>
              <w:jc w:val="center"/>
              <w:textAlignment w:val="center"/>
              <w:rPr>
                <w:rFonts w:ascii="宋体" w:hAnsi="宋体" w:cs="宋体"/>
                <w:sz w:val="22"/>
              </w:rPr>
            </w:pPr>
            <w:r>
              <w:rPr>
                <w:rFonts w:hint="eastAsia" w:ascii="宋体" w:hAnsi="宋体" w:cs="宋体"/>
                <w:kern w:val="0"/>
                <w:sz w:val="22"/>
                <w:lang w:bidi="ar"/>
              </w:rPr>
              <w:t>系统集成</w:t>
            </w:r>
          </w:p>
        </w:tc>
        <w:tc>
          <w:tcPr>
            <w:tcW w:w="1215" w:type="dxa"/>
            <w:tcBorders>
              <w:top w:val="nil"/>
              <w:left w:val="nil"/>
              <w:bottom w:val="single" w:color="auto" w:sz="4" w:space="0"/>
              <w:right w:val="single" w:color="auto" w:sz="4" w:space="0"/>
            </w:tcBorders>
            <w:shd w:val="clear" w:color="auto" w:fill="auto"/>
            <w:vAlign w:val="center"/>
          </w:tcPr>
          <w:p w14:paraId="7545BBCB">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nil"/>
              <w:left w:val="nil"/>
              <w:bottom w:val="single" w:color="auto" w:sz="4" w:space="0"/>
              <w:right w:val="single" w:color="auto" w:sz="4" w:space="0"/>
            </w:tcBorders>
            <w:shd w:val="clear" w:color="auto" w:fill="auto"/>
            <w:vAlign w:val="center"/>
          </w:tcPr>
          <w:p w14:paraId="0F5BF649">
            <w:pPr>
              <w:widowControl/>
              <w:jc w:val="center"/>
              <w:textAlignment w:val="center"/>
              <w:rPr>
                <w:rFonts w:ascii="宋体" w:hAnsi="宋体" w:cs="宋体"/>
                <w:sz w:val="22"/>
              </w:rPr>
            </w:pPr>
            <w:r>
              <w:rPr>
                <w:rFonts w:hint="eastAsia" w:ascii="宋体" w:hAnsi="宋体" w:cs="宋体"/>
                <w:kern w:val="0"/>
                <w:sz w:val="22"/>
                <w:lang w:bidi="ar"/>
              </w:rPr>
              <w:t>套</w:t>
            </w:r>
          </w:p>
        </w:tc>
        <w:tc>
          <w:tcPr>
            <w:tcW w:w="1866" w:type="dxa"/>
            <w:tcBorders>
              <w:top w:val="nil"/>
              <w:left w:val="nil"/>
              <w:bottom w:val="single" w:color="auto" w:sz="4" w:space="0"/>
              <w:right w:val="single" w:color="auto" w:sz="4" w:space="0"/>
            </w:tcBorders>
            <w:shd w:val="clear" w:color="auto" w:fill="auto"/>
            <w:vAlign w:val="center"/>
          </w:tcPr>
          <w:p w14:paraId="1AC21A53">
            <w:pPr>
              <w:widowControl/>
              <w:jc w:val="center"/>
              <w:textAlignment w:val="center"/>
              <w:rPr>
                <w:rFonts w:ascii="宋体" w:hAnsi="宋体" w:cs="宋体"/>
                <w:kern w:val="0"/>
                <w:sz w:val="22"/>
                <w:lang w:bidi="ar"/>
              </w:rPr>
            </w:pPr>
          </w:p>
        </w:tc>
      </w:tr>
      <w:tr w14:paraId="013DDA2C">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1DCE78">
            <w:pPr>
              <w:widowControl/>
              <w:jc w:val="center"/>
              <w:textAlignment w:val="center"/>
              <w:rPr>
                <w:rFonts w:ascii="宋体" w:hAnsi="宋体" w:cs="宋体"/>
                <w:color w:val="000000"/>
                <w:sz w:val="22"/>
              </w:rPr>
            </w:pPr>
            <w:r>
              <w:rPr>
                <w:rFonts w:hint="eastAsia" w:ascii="宋体" w:hAnsi="宋体" w:cs="宋体"/>
                <w:color w:val="000000"/>
                <w:kern w:val="0"/>
                <w:sz w:val="22"/>
                <w:lang w:bidi="ar"/>
              </w:rPr>
              <w:t>76</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1F55E384">
            <w:pPr>
              <w:widowControl/>
              <w:jc w:val="center"/>
              <w:textAlignment w:val="center"/>
              <w:rPr>
                <w:rFonts w:ascii="宋体" w:hAnsi="宋体" w:cs="宋体"/>
                <w:sz w:val="22"/>
              </w:rPr>
            </w:pPr>
            <w:r>
              <w:rPr>
                <w:rFonts w:hint="eastAsia" w:ascii="宋体" w:hAnsi="宋体" w:cs="宋体"/>
                <w:kern w:val="0"/>
                <w:sz w:val="22"/>
                <w:lang w:bidi="ar"/>
              </w:rPr>
              <w:t>文化布置</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7AF2AFF8">
            <w:pPr>
              <w:widowControl/>
              <w:jc w:val="center"/>
              <w:textAlignment w:val="center"/>
              <w:rPr>
                <w:rFonts w:ascii="宋体" w:hAnsi="宋体" w:cs="宋体"/>
                <w:color w:val="000000"/>
                <w:sz w:val="22"/>
              </w:rPr>
            </w:pPr>
            <w:r>
              <w:rPr>
                <w:rFonts w:hint="eastAsia" w:ascii="宋体" w:hAnsi="宋体" w:cs="宋体"/>
                <w:color w:val="000000"/>
                <w:kern w:val="0"/>
                <w:sz w:val="22"/>
                <w:lang w:bidi="ar"/>
              </w:rPr>
              <w:t>1</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4686D253">
            <w:pPr>
              <w:widowControl/>
              <w:jc w:val="center"/>
              <w:textAlignment w:val="center"/>
              <w:rPr>
                <w:rFonts w:ascii="宋体" w:hAnsi="宋体" w:cs="宋体"/>
                <w:sz w:val="22"/>
              </w:rPr>
            </w:pPr>
            <w:r>
              <w:rPr>
                <w:rFonts w:hint="eastAsia" w:ascii="宋体" w:hAnsi="宋体" w:cs="宋体"/>
                <w:kern w:val="0"/>
                <w:sz w:val="22"/>
                <w:lang w:bidi="ar"/>
              </w:rPr>
              <w:t>项</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741446A">
            <w:pPr>
              <w:widowControl/>
              <w:jc w:val="center"/>
              <w:textAlignment w:val="center"/>
              <w:rPr>
                <w:rFonts w:ascii="宋体" w:hAnsi="宋体" w:cs="宋体"/>
                <w:kern w:val="0"/>
                <w:sz w:val="22"/>
                <w:lang w:bidi="ar"/>
              </w:rPr>
            </w:pPr>
          </w:p>
        </w:tc>
      </w:tr>
      <w:tr w14:paraId="6D27CB85">
        <w:tblPrEx>
          <w:tblCellMar>
            <w:top w:w="0" w:type="dxa"/>
            <w:left w:w="108" w:type="dxa"/>
            <w:bottom w:w="0" w:type="dxa"/>
            <w:right w:w="108" w:type="dxa"/>
          </w:tblCellMar>
        </w:tblPrEx>
        <w:trPr>
          <w:trHeight w:val="285" w:hRule="atLeast"/>
        </w:trPr>
        <w:tc>
          <w:tcPr>
            <w:tcW w:w="8872"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4B0A03D">
            <w:pPr>
              <w:widowControl/>
              <w:jc w:val="left"/>
              <w:textAlignment w:val="center"/>
              <w:rPr>
                <w:rFonts w:ascii="宋体" w:hAnsi="宋体" w:cs="宋体"/>
                <w:kern w:val="0"/>
                <w:sz w:val="22"/>
                <w:lang w:bidi="ar"/>
              </w:rPr>
            </w:pPr>
            <w:r>
              <w:rPr>
                <w:rFonts w:hint="eastAsia" w:ascii="宋体" w:hAnsi="宋体" w:cs="宋体"/>
                <w:kern w:val="0"/>
                <w:sz w:val="22"/>
                <w:lang w:bidi="ar"/>
              </w:rPr>
              <w:t>三、其他配套</w:t>
            </w:r>
          </w:p>
        </w:tc>
      </w:tr>
      <w:tr w14:paraId="5FE82528">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490AE9">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77</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6F00FB93">
            <w:pPr>
              <w:widowControl/>
              <w:jc w:val="center"/>
              <w:textAlignment w:val="center"/>
              <w:rPr>
                <w:rFonts w:ascii="宋体" w:hAnsi="宋体" w:cs="宋体"/>
                <w:kern w:val="0"/>
                <w:sz w:val="22"/>
                <w:lang w:bidi="ar"/>
              </w:rPr>
            </w:pPr>
            <w:r>
              <w:rPr>
                <w:rFonts w:hint="eastAsia" w:ascii="宋体" w:hAnsi="宋体" w:cs="宋体"/>
                <w:kern w:val="0"/>
                <w:sz w:val="22"/>
                <w:lang w:bidi="ar"/>
              </w:rPr>
              <w:t>WIFI7接入点（含接入管理授权）</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2933FF99">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13</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190E23DB">
            <w:pPr>
              <w:widowControl/>
              <w:jc w:val="center"/>
              <w:textAlignment w:val="center"/>
              <w:rPr>
                <w:rFonts w:ascii="宋体" w:hAnsi="宋体" w:cs="宋体"/>
                <w:kern w:val="0"/>
                <w:sz w:val="22"/>
                <w:lang w:bidi="ar"/>
              </w:rPr>
            </w:pPr>
            <w:r>
              <w:rPr>
                <w:rFonts w:hint="eastAsia" w:ascii="宋体" w:hAnsi="宋体" w:cs="宋体"/>
                <w:kern w:val="0"/>
                <w:sz w:val="22"/>
                <w:lang w:bidi="ar"/>
              </w:rPr>
              <w:t>只</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5474B450">
            <w:pPr>
              <w:widowControl/>
              <w:jc w:val="center"/>
              <w:textAlignment w:val="center"/>
              <w:rPr>
                <w:rFonts w:ascii="宋体" w:hAnsi="宋体" w:cs="宋体"/>
                <w:kern w:val="0"/>
                <w:sz w:val="22"/>
                <w:lang w:bidi="ar"/>
              </w:rPr>
            </w:pPr>
          </w:p>
        </w:tc>
      </w:tr>
      <w:tr w14:paraId="2A521F17">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FE1CF5">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78</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4D75FC7B">
            <w:pPr>
              <w:widowControl/>
              <w:jc w:val="center"/>
              <w:textAlignment w:val="center"/>
              <w:rPr>
                <w:rFonts w:ascii="宋体" w:hAnsi="宋体" w:cs="宋体"/>
                <w:kern w:val="0"/>
                <w:sz w:val="22"/>
                <w:lang w:bidi="ar"/>
              </w:rPr>
            </w:pPr>
            <w:r>
              <w:rPr>
                <w:rFonts w:hint="eastAsia" w:ascii="宋体" w:hAnsi="宋体" w:cs="宋体"/>
                <w:kern w:val="0"/>
                <w:sz w:val="22"/>
                <w:lang w:bidi="ar"/>
              </w:rPr>
              <w:t>POE交换机</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4622DA6B">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3</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57AFCD6C">
            <w:pPr>
              <w:widowControl/>
              <w:jc w:val="center"/>
              <w:textAlignment w:val="center"/>
              <w:rPr>
                <w:rFonts w:ascii="宋体" w:hAnsi="宋体" w:cs="宋体"/>
                <w:kern w:val="0"/>
                <w:sz w:val="22"/>
                <w:lang w:bidi="ar"/>
              </w:rPr>
            </w:pPr>
            <w:r>
              <w:rPr>
                <w:rFonts w:hint="eastAsia" w:ascii="宋体" w:hAnsi="宋体" w:cs="宋体"/>
                <w:kern w:val="0"/>
                <w:sz w:val="22"/>
                <w:lang w:bidi="ar"/>
              </w:rPr>
              <w:t>台</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23F8B268">
            <w:pPr>
              <w:widowControl/>
              <w:jc w:val="center"/>
              <w:textAlignment w:val="center"/>
              <w:rPr>
                <w:rFonts w:ascii="宋体" w:hAnsi="宋体" w:cs="宋体"/>
                <w:kern w:val="0"/>
                <w:sz w:val="22"/>
                <w:lang w:bidi="ar"/>
              </w:rPr>
            </w:pPr>
            <w:r>
              <w:rPr>
                <w:rFonts w:hint="eastAsia" w:ascii="宋体" w:hAnsi="宋体" w:cs="宋体"/>
                <w:kern w:val="0"/>
                <w:sz w:val="22"/>
                <w:lang w:bidi="ar"/>
              </w:rPr>
              <w:t>工业</w:t>
            </w:r>
          </w:p>
        </w:tc>
      </w:tr>
      <w:tr w14:paraId="77C7E9D2">
        <w:tblPrEx>
          <w:tblCellMar>
            <w:top w:w="0" w:type="dxa"/>
            <w:left w:w="108" w:type="dxa"/>
            <w:bottom w:w="0" w:type="dxa"/>
            <w:right w:w="108" w:type="dxa"/>
          </w:tblCellMar>
        </w:tblPrEx>
        <w:trPr>
          <w:trHeight w:val="285" w:hRule="atLeast"/>
        </w:trPr>
        <w:tc>
          <w:tcPr>
            <w:tcW w:w="13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C5D5CA">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79</w:t>
            </w:r>
          </w:p>
        </w:tc>
        <w:tc>
          <w:tcPr>
            <w:tcW w:w="3750" w:type="dxa"/>
            <w:tcBorders>
              <w:top w:val="single" w:color="auto" w:sz="4" w:space="0"/>
              <w:left w:val="single" w:color="auto" w:sz="4" w:space="0"/>
              <w:bottom w:val="single" w:color="auto" w:sz="4" w:space="0"/>
              <w:right w:val="single" w:color="auto" w:sz="4" w:space="0"/>
            </w:tcBorders>
            <w:shd w:val="clear" w:color="auto" w:fill="auto"/>
            <w:vAlign w:val="center"/>
          </w:tcPr>
          <w:p w14:paraId="074DD9FB">
            <w:pPr>
              <w:widowControl/>
              <w:jc w:val="center"/>
              <w:textAlignment w:val="center"/>
              <w:rPr>
                <w:rFonts w:ascii="宋体" w:hAnsi="宋体" w:cs="宋体"/>
                <w:kern w:val="0"/>
                <w:sz w:val="22"/>
                <w:lang w:bidi="ar"/>
              </w:rPr>
            </w:pPr>
            <w:r>
              <w:rPr>
                <w:rFonts w:hint="eastAsia" w:ascii="宋体" w:hAnsi="宋体" w:cs="宋体"/>
                <w:kern w:val="0"/>
                <w:sz w:val="22"/>
                <w:lang w:bidi="ar"/>
              </w:rPr>
              <w:t>接入点位集成</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14:paraId="1C4889BF">
            <w:pPr>
              <w:widowControl/>
              <w:jc w:val="center"/>
              <w:textAlignment w:val="center"/>
              <w:rPr>
                <w:rFonts w:ascii="宋体" w:hAnsi="宋体" w:cs="宋体"/>
                <w:color w:val="000000"/>
                <w:kern w:val="0"/>
                <w:sz w:val="22"/>
                <w:lang w:bidi="ar"/>
              </w:rPr>
            </w:pPr>
            <w:r>
              <w:rPr>
                <w:rFonts w:hint="eastAsia" w:ascii="宋体" w:hAnsi="宋体" w:cs="宋体"/>
                <w:color w:val="000000"/>
                <w:kern w:val="0"/>
                <w:sz w:val="22"/>
                <w:lang w:bidi="ar"/>
              </w:rPr>
              <w:t>1</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2F1A48DA">
            <w:pPr>
              <w:widowControl/>
              <w:jc w:val="center"/>
              <w:textAlignment w:val="center"/>
              <w:rPr>
                <w:rFonts w:ascii="宋体" w:hAnsi="宋体" w:cs="宋体"/>
                <w:kern w:val="0"/>
                <w:sz w:val="22"/>
                <w:lang w:bidi="ar"/>
              </w:rPr>
            </w:pPr>
            <w:r>
              <w:rPr>
                <w:rFonts w:hint="eastAsia" w:ascii="宋体" w:hAnsi="宋体" w:cs="宋体"/>
                <w:kern w:val="0"/>
                <w:sz w:val="22"/>
                <w:lang w:bidi="ar"/>
              </w:rPr>
              <w:t>项</w:t>
            </w:r>
          </w:p>
        </w:tc>
        <w:tc>
          <w:tcPr>
            <w:tcW w:w="1866" w:type="dxa"/>
            <w:tcBorders>
              <w:top w:val="single" w:color="auto" w:sz="4" w:space="0"/>
              <w:left w:val="single" w:color="auto" w:sz="4" w:space="0"/>
              <w:bottom w:val="single" w:color="auto" w:sz="4" w:space="0"/>
              <w:right w:val="single" w:color="auto" w:sz="4" w:space="0"/>
            </w:tcBorders>
            <w:shd w:val="clear" w:color="auto" w:fill="auto"/>
            <w:vAlign w:val="center"/>
          </w:tcPr>
          <w:p w14:paraId="56C94094">
            <w:pPr>
              <w:widowControl/>
              <w:jc w:val="center"/>
              <w:textAlignment w:val="center"/>
              <w:rPr>
                <w:rFonts w:ascii="宋体" w:hAnsi="宋体" w:cs="宋体"/>
                <w:kern w:val="0"/>
                <w:sz w:val="22"/>
                <w:lang w:bidi="ar"/>
              </w:rPr>
            </w:pPr>
          </w:p>
        </w:tc>
      </w:tr>
    </w:tbl>
    <w:p w14:paraId="2551DF23">
      <w:pPr>
        <w:spacing w:line="500" w:lineRule="exact"/>
        <w:rPr>
          <w:rFonts w:ascii="仿宋" w:hAnsi="仿宋" w:eastAsia="仿宋" w:cs="仿宋"/>
          <w:b/>
          <w:bCs/>
          <w:i/>
          <w:iCs/>
          <w:color w:val="FF0000"/>
          <w:kern w:val="0"/>
          <w:sz w:val="24"/>
          <w:szCs w:val="24"/>
          <w:u w:val="single"/>
          <w:lang w:bidi="ar"/>
        </w:rPr>
      </w:pPr>
      <w:r>
        <w:rPr>
          <w:rFonts w:hint="eastAsia" w:ascii="仿宋" w:hAnsi="仿宋" w:eastAsia="仿宋" w:cs="仿宋"/>
          <w:b/>
          <w:bCs/>
          <w:i/>
          <w:iCs/>
          <w:color w:val="FF0000"/>
          <w:kern w:val="0"/>
          <w:sz w:val="24"/>
          <w:szCs w:val="24"/>
          <w:u w:val="single"/>
          <w:lang w:bidi="ar"/>
        </w:rPr>
        <w:t>注：以上产品属于政府强制采购节能产品品目清单范围内的，响应文件中必须</w:t>
      </w:r>
      <w:r>
        <w:rPr>
          <w:rFonts w:hint="eastAsia" w:ascii="仿宋" w:hAnsi="仿宋" w:eastAsia="仿宋" w:cs="仿宋"/>
          <w:b/>
          <w:bCs/>
          <w:i/>
          <w:iCs/>
          <w:color w:val="FF0000"/>
          <w:kern w:val="0"/>
          <w:sz w:val="24"/>
          <w:szCs w:val="24"/>
          <w:u w:val="single"/>
          <w:lang w:eastAsia="zh-CN" w:bidi="ar"/>
        </w:rPr>
        <w:t>在《实质性要求响应及偏离表》下</w:t>
      </w:r>
      <w:r>
        <w:rPr>
          <w:rFonts w:hint="eastAsia" w:ascii="仿宋" w:hAnsi="仿宋" w:eastAsia="仿宋" w:cs="仿宋"/>
          <w:b/>
          <w:bCs/>
          <w:i/>
          <w:iCs/>
          <w:color w:val="FF0000"/>
          <w:kern w:val="0"/>
          <w:sz w:val="24"/>
          <w:szCs w:val="24"/>
          <w:u w:val="single"/>
          <w:lang w:bidi="ar"/>
        </w:rPr>
        <w:t>提供国家确定的认证机构出具的、处于有效期之内的该节能产品认证证书图片，否则视为无效响应。</w:t>
      </w:r>
    </w:p>
    <w:p w14:paraId="41ABB16E">
      <w:pPr>
        <w:numPr>
          <w:ilvl w:val="0"/>
          <w:numId w:val="5"/>
        </w:numPr>
        <w:spacing w:line="500" w:lineRule="exact"/>
        <w:rPr>
          <w:rFonts w:ascii="仿宋" w:hAnsi="仿宋" w:eastAsia="仿宋" w:cs="仿宋"/>
          <w:b/>
          <w:bCs/>
          <w:kern w:val="0"/>
          <w:sz w:val="24"/>
          <w:szCs w:val="24"/>
          <w:lang w:bidi="ar"/>
        </w:rPr>
      </w:pPr>
      <w:r>
        <w:rPr>
          <w:rFonts w:hint="eastAsia" w:ascii="仿宋" w:hAnsi="仿宋" w:eastAsia="仿宋" w:cs="仿宋"/>
          <w:b/>
          <w:bCs/>
          <w:kern w:val="0"/>
          <w:sz w:val="24"/>
          <w:szCs w:val="24"/>
          <w:lang w:bidi="ar"/>
        </w:rPr>
        <w:t>采购项目交付：</w:t>
      </w:r>
    </w:p>
    <w:p w14:paraId="58C88FED">
      <w:pPr>
        <w:spacing w:line="500" w:lineRule="exact"/>
        <w:rPr>
          <w:rFonts w:ascii="仿宋" w:hAnsi="仿宋" w:eastAsia="仿宋" w:cs="仿宋"/>
          <w:i/>
          <w:iCs/>
          <w:kern w:val="0"/>
          <w:sz w:val="24"/>
          <w:szCs w:val="24"/>
          <w:u w:val="single"/>
          <w:lang w:val="zh-CN" w:bidi="ar"/>
        </w:rPr>
      </w:pPr>
      <w:r>
        <w:rPr>
          <w:rFonts w:hint="eastAsia" w:ascii="仿宋" w:hAnsi="仿宋" w:eastAsia="仿宋" w:cs="仿宋"/>
          <w:i/>
          <w:iCs/>
          <w:kern w:val="0"/>
          <w:sz w:val="24"/>
          <w:szCs w:val="24"/>
          <w:u w:val="single"/>
          <w:lang w:val="zh-CN" w:bidi="ar"/>
        </w:rPr>
        <w:t>成交供应商须在合同签订后30日（含节假日）完成整个项目，保证所有</w:t>
      </w:r>
      <w:r>
        <w:rPr>
          <w:rFonts w:hint="eastAsia" w:ascii="仿宋" w:hAnsi="仿宋" w:eastAsia="仿宋" w:cs="仿宋"/>
          <w:i/>
          <w:iCs/>
          <w:kern w:val="0"/>
          <w:sz w:val="24"/>
          <w:szCs w:val="24"/>
          <w:u w:val="single"/>
          <w:lang w:bidi="ar"/>
        </w:rPr>
        <w:t>设备</w:t>
      </w:r>
      <w:r>
        <w:rPr>
          <w:rFonts w:hint="eastAsia" w:ascii="仿宋" w:hAnsi="仿宋" w:eastAsia="仿宋" w:cs="仿宋"/>
          <w:i/>
          <w:iCs/>
          <w:kern w:val="0"/>
          <w:sz w:val="24"/>
          <w:szCs w:val="24"/>
          <w:u w:val="single"/>
          <w:lang w:val="zh-CN" w:bidi="ar"/>
        </w:rPr>
        <w:t>均能正常使用。</w:t>
      </w:r>
    </w:p>
    <w:p w14:paraId="4A666FCF">
      <w:pPr>
        <w:spacing w:line="500" w:lineRule="exact"/>
        <w:rPr>
          <w:rFonts w:ascii="仿宋" w:hAnsi="仿宋" w:eastAsia="仿宋" w:cs="仿宋"/>
          <w:b/>
          <w:bCs/>
          <w:sz w:val="24"/>
          <w:szCs w:val="24"/>
        </w:rPr>
      </w:pPr>
      <w:r>
        <w:rPr>
          <w:rFonts w:hint="eastAsia" w:ascii="仿宋" w:hAnsi="仿宋" w:eastAsia="仿宋" w:cs="仿宋"/>
          <w:i/>
          <w:iCs/>
          <w:kern w:val="0"/>
          <w:sz w:val="24"/>
          <w:szCs w:val="24"/>
          <w:u w:val="single"/>
          <w:lang w:val="zh-CN" w:bidi="ar"/>
        </w:rPr>
        <w:t>交货地点：具体地点由采购人指定，成交供应商必须在约定时间内，按照采购人指定具体地点，送货到指定场地，并负责安装到位，所有运输、装卸和安装等费用由成交供应商负责。</w:t>
      </w:r>
    </w:p>
    <w:p w14:paraId="7C6AA164">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（五）采购标的需满足的服务标准、期限、效率等要求；</w:t>
      </w:r>
    </w:p>
    <w:p w14:paraId="5F84A97A">
      <w:pPr>
        <w:pStyle w:val="28"/>
        <w:widowControl/>
        <w:spacing w:line="420" w:lineRule="exact"/>
      </w:pPr>
      <w:r>
        <w:rPr>
          <w:rFonts w:hint="eastAsia" w:ascii="仿宋" w:hAnsi="仿宋" w:eastAsia="仿宋" w:cs="仿宋"/>
          <w:i/>
          <w:iCs/>
          <w:sz w:val="24"/>
          <w:szCs w:val="24"/>
          <w:u w:val="single"/>
          <w:lang w:val="zh-CN"/>
        </w:rPr>
        <w:t>1.所投产品必须是全新产品。</w:t>
      </w:r>
    </w:p>
    <w:p w14:paraId="4ACFDE68">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2</w:t>
      </w:r>
      <w:r>
        <w:rPr>
          <w:rFonts w:hint="eastAsia" w:ascii="仿宋" w:hAnsi="仿宋" w:eastAsia="仿宋" w:cs="仿宋"/>
          <w:i/>
          <w:iCs/>
          <w:kern w:val="0"/>
          <w:sz w:val="24"/>
          <w:szCs w:val="24"/>
          <w:u w:val="single"/>
          <w:lang w:val="zh-CN" w:bidi="ar"/>
        </w:rPr>
        <w:t>、成交供应商要组织一次使用培训，具体事宜和采购人联系。</w:t>
      </w:r>
    </w:p>
    <w:p w14:paraId="46BE5399">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3</w:t>
      </w:r>
      <w:r>
        <w:rPr>
          <w:rFonts w:hint="eastAsia" w:ascii="仿宋" w:hAnsi="仿宋" w:eastAsia="仿宋" w:cs="仿宋"/>
          <w:i/>
          <w:iCs/>
          <w:kern w:val="0"/>
          <w:sz w:val="24"/>
          <w:szCs w:val="24"/>
          <w:u w:val="single"/>
          <w:lang w:val="zh-CN" w:bidi="ar"/>
        </w:rPr>
        <w:t>、成交供应商负责运输、搬运、安装，免费安装调试。</w:t>
      </w:r>
    </w:p>
    <w:p w14:paraId="0B8CECFD">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4</w:t>
      </w:r>
      <w:r>
        <w:rPr>
          <w:rFonts w:hint="eastAsia" w:ascii="仿宋" w:hAnsi="仿宋" w:eastAsia="仿宋" w:cs="仿宋"/>
          <w:i/>
          <w:iCs/>
          <w:kern w:val="0"/>
          <w:sz w:val="24"/>
          <w:szCs w:val="24"/>
          <w:u w:val="single"/>
          <w:lang w:val="zh-CN" w:bidi="ar"/>
        </w:rPr>
        <w:t>、本采购项目免费质保期</w:t>
      </w:r>
      <w:r>
        <w:rPr>
          <w:rFonts w:hint="eastAsia" w:ascii="仿宋" w:hAnsi="仿宋" w:eastAsia="仿宋" w:cs="仿宋"/>
          <w:i/>
          <w:iCs/>
          <w:color w:val="FF0000"/>
          <w:kern w:val="0"/>
          <w:sz w:val="24"/>
          <w:szCs w:val="24"/>
          <w:u w:val="single"/>
          <w:lang w:bidi="ar"/>
        </w:rPr>
        <w:t>叁</w:t>
      </w:r>
      <w:r>
        <w:rPr>
          <w:rFonts w:hint="eastAsia" w:ascii="仿宋" w:hAnsi="仿宋" w:eastAsia="仿宋" w:cs="仿宋"/>
          <w:i/>
          <w:iCs/>
          <w:color w:val="FF0000"/>
          <w:kern w:val="0"/>
          <w:sz w:val="24"/>
          <w:szCs w:val="24"/>
          <w:u w:val="single"/>
          <w:lang w:val="zh-CN" w:bidi="ar"/>
        </w:rPr>
        <w:t>年</w:t>
      </w:r>
      <w:r>
        <w:rPr>
          <w:rFonts w:hint="eastAsia" w:ascii="仿宋" w:hAnsi="仿宋" w:eastAsia="仿宋" w:cs="仿宋"/>
          <w:i/>
          <w:iCs/>
          <w:kern w:val="0"/>
          <w:sz w:val="24"/>
          <w:szCs w:val="24"/>
          <w:u w:val="single"/>
          <w:lang w:val="zh-CN" w:bidi="ar"/>
        </w:rPr>
        <w:t>，时间自最终验收合格并交付使用之日起计算。在质保期内成交供应商应自行处理保修凭证问题，采购人不负责提供产品的保修卡、发票等保修凭证。</w:t>
      </w:r>
    </w:p>
    <w:p w14:paraId="543348D5">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5</w:t>
      </w:r>
      <w:r>
        <w:rPr>
          <w:rFonts w:hint="eastAsia" w:ascii="仿宋" w:hAnsi="仿宋" w:eastAsia="仿宋" w:cs="仿宋"/>
          <w:i/>
          <w:iCs/>
          <w:kern w:val="0"/>
          <w:sz w:val="24"/>
          <w:szCs w:val="24"/>
          <w:u w:val="single"/>
          <w:lang w:val="zh-CN" w:bidi="ar"/>
        </w:rPr>
        <w:t>、在免费质保期内，成交供应商必须对本项目所涉及产品质量原因造成的任何损伤和损坏进行免费修理或更换，费用由成交供应商负责。</w:t>
      </w:r>
    </w:p>
    <w:p w14:paraId="57653DC3">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6、</w:t>
      </w:r>
      <w:r>
        <w:rPr>
          <w:rFonts w:hint="eastAsia" w:ascii="仿宋" w:hAnsi="仿宋" w:eastAsia="仿宋" w:cs="仿宋"/>
          <w:i/>
          <w:iCs/>
          <w:kern w:val="0"/>
          <w:sz w:val="24"/>
          <w:szCs w:val="24"/>
          <w:u w:val="single"/>
          <w:lang w:val="zh-CN" w:bidi="ar"/>
        </w:rPr>
        <w:t>成交供应商应严格按照规范及采购文件等相关要求组织供货，须文明供货；垃圾必须清理离场，做到地面等均无污染。</w:t>
      </w:r>
    </w:p>
    <w:p w14:paraId="3747CEE2">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bidi="ar"/>
        </w:rPr>
        <w:t>7、</w:t>
      </w:r>
      <w:r>
        <w:rPr>
          <w:rFonts w:hint="eastAsia" w:ascii="仿宋" w:hAnsi="仿宋" w:eastAsia="仿宋" w:cs="仿宋"/>
          <w:i/>
          <w:iCs/>
          <w:kern w:val="0"/>
          <w:sz w:val="24"/>
          <w:szCs w:val="24"/>
          <w:u w:val="single"/>
          <w:lang w:val="zh-CN" w:bidi="ar"/>
        </w:rPr>
        <w:t>成交供应商必须按不低于采购文件要求的材料质量及技术要求等标准供货、安装、调试。</w:t>
      </w:r>
    </w:p>
    <w:p w14:paraId="0129C5FE">
      <w:pPr>
        <w:spacing w:line="500" w:lineRule="exact"/>
        <w:rPr>
          <w:rFonts w:ascii="仿宋" w:hAnsi="仿宋" w:eastAsia="仿宋" w:cs="仿宋"/>
          <w:i/>
          <w:iCs/>
          <w:kern w:val="0"/>
          <w:sz w:val="24"/>
          <w:szCs w:val="24"/>
          <w:u w:val="single"/>
          <w:lang w:val="zh-CN" w:bidi="ar"/>
        </w:rPr>
      </w:pPr>
      <w:r>
        <w:rPr>
          <w:rFonts w:hint="eastAsia" w:ascii="仿宋" w:hAnsi="仿宋" w:eastAsia="仿宋" w:cs="仿宋"/>
          <w:i/>
          <w:iCs/>
          <w:kern w:val="0"/>
          <w:sz w:val="24"/>
          <w:szCs w:val="24"/>
          <w:u w:val="single"/>
          <w:lang w:bidi="ar"/>
        </w:rPr>
        <w:t>8、</w:t>
      </w:r>
      <w:r>
        <w:rPr>
          <w:rFonts w:hint="eastAsia" w:ascii="仿宋" w:hAnsi="仿宋" w:eastAsia="仿宋" w:cs="仿宋"/>
          <w:i/>
          <w:iCs/>
          <w:kern w:val="0"/>
          <w:sz w:val="24"/>
          <w:szCs w:val="24"/>
          <w:u w:val="single"/>
          <w:lang w:val="zh-CN" w:bidi="ar"/>
        </w:rPr>
        <w:t>坚持质量第一的原则，高效率在规定时间内交付使用。未能在规定的工期内完成施工任务的，每推迟一天采购人有权以每天扣除履约保证金总额的1%进行处罚；超过规定的工期5天的，采购人有权与成交供应商解除合同关系，并按照施工量及集成施工进度与成交供应商按实结算，并按照规定处以罚金，直至履约保证金扣除完毕。</w:t>
      </w:r>
    </w:p>
    <w:p w14:paraId="3D9B610C">
      <w:pPr>
        <w:pStyle w:val="4"/>
        <w:spacing w:line="360" w:lineRule="auto"/>
        <w:rPr>
          <w:rFonts w:ascii="仿宋" w:hAnsi="仿宋" w:eastAsia="仿宋" w:cs="仿宋"/>
          <w:i/>
          <w:iCs/>
          <w:kern w:val="0"/>
          <w:sz w:val="24"/>
          <w:szCs w:val="24"/>
          <w:u w:val="single"/>
          <w:lang w:val="zh-CN" w:bidi="ar"/>
        </w:rPr>
      </w:pPr>
      <w:r>
        <w:rPr>
          <w:rFonts w:hint="eastAsia" w:ascii="仿宋" w:hAnsi="仿宋" w:eastAsia="仿宋" w:cs="仿宋"/>
          <w:i/>
          <w:iCs/>
          <w:kern w:val="0"/>
          <w:sz w:val="24"/>
          <w:szCs w:val="24"/>
          <w:u w:val="single"/>
          <w:lang w:bidi="ar"/>
        </w:rPr>
        <w:t>9、</w:t>
      </w:r>
      <w:r>
        <w:rPr>
          <w:rFonts w:hint="eastAsia" w:ascii="仿宋" w:hAnsi="仿宋" w:eastAsia="仿宋" w:cs="仿宋"/>
          <w:i/>
          <w:iCs/>
          <w:kern w:val="0"/>
          <w:sz w:val="24"/>
          <w:szCs w:val="24"/>
          <w:u w:val="single"/>
          <w:lang w:val="zh-CN" w:bidi="ar"/>
        </w:rPr>
        <w:t>成交供应商</w:t>
      </w:r>
      <w:r>
        <w:rPr>
          <w:rFonts w:hint="eastAsia" w:ascii="仿宋" w:hAnsi="仿宋" w:eastAsia="仿宋" w:cs="仿宋"/>
          <w:i/>
          <w:iCs/>
          <w:kern w:val="0"/>
          <w:sz w:val="24"/>
          <w:szCs w:val="24"/>
          <w:u w:val="single"/>
          <w:lang w:bidi="ar"/>
        </w:rPr>
        <w:t>需针对本项目安排专业技术人员组成集成与运维服务团队，拟派人员具备本项目集成与运维服务能力，</w:t>
      </w:r>
      <w:r>
        <w:rPr>
          <w:rFonts w:hint="eastAsia" w:ascii="仿宋" w:hAnsi="仿宋" w:eastAsia="仿宋" w:cs="仿宋"/>
          <w:i/>
          <w:iCs/>
          <w:kern w:val="0"/>
          <w:sz w:val="24"/>
          <w:szCs w:val="24"/>
          <w:u w:val="single"/>
          <w:lang w:val="zh-CN" w:bidi="ar"/>
        </w:rPr>
        <w:t>相关专业技术岗位与特种作业岗位必须持证上岗。</w:t>
      </w:r>
      <w:r>
        <w:rPr>
          <w:rFonts w:hint="eastAsia" w:ascii="仿宋" w:hAnsi="仿宋" w:eastAsia="仿宋" w:cs="仿宋"/>
          <w:i/>
          <w:iCs/>
          <w:kern w:val="0"/>
          <w:sz w:val="24"/>
          <w:szCs w:val="24"/>
          <w:u w:val="single"/>
          <w:lang w:bidi="ar"/>
        </w:rPr>
        <w:t>响应时拟派的</w:t>
      </w:r>
      <w:r>
        <w:rPr>
          <w:rFonts w:hint="eastAsia" w:ascii="仿宋" w:hAnsi="仿宋" w:eastAsia="仿宋" w:cs="仿宋"/>
          <w:i/>
          <w:iCs/>
          <w:kern w:val="0"/>
          <w:sz w:val="24"/>
          <w:szCs w:val="24"/>
          <w:u w:val="single"/>
          <w:lang w:val="zh-CN" w:bidi="ar"/>
        </w:rPr>
        <w:t>项目</w:t>
      </w:r>
      <w:r>
        <w:rPr>
          <w:rFonts w:hint="eastAsia" w:ascii="仿宋" w:hAnsi="仿宋" w:eastAsia="仿宋" w:cs="仿宋"/>
          <w:i/>
          <w:iCs/>
          <w:kern w:val="0"/>
          <w:sz w:val="24"/>
          <w:szCs w:val="24"/>
          <w:u w:val="single"/>
          <w:lang w:bidi="ar"/>
        </w:rPr>
        <w:t>负责人与团队专业技术成员在项目实施期间须按照响应文件响应的人员全程在场</w:t>
      </w:r>
      <w:r>
        <w:rPr>
          <w:rFonts w:hint="eastAsia" w:ascii="仿宋" w:hAnsi="仿宋" w:eastAsia="仿宋" w:cs="仿宋"/>
          <w:i/>
          <w:iCs/>
          <w:kern w:val="0"/>
          <w:sz w:val="24"/>
          <w:szCs w:val="24"/>
          <w:u w:val="single"/>
          <w:lang w:val="zh-CN" w:bidi="ar"/>
        </w:rPr>
        <w:t>，经发现执行不到位且未整改、人员缺勤离岗的，未持证上岗的、每发生一次扣除</w:t>
      </w:r>
      <w:r>
        <w:rPr>
          <w:rFonts w:hint="eastAsia" w:ascii="仿宋" w:hAnsi="仿宋" w:eastAsia="仿宋" w:cs="仿宋"/>
          <w:i/>
          <w:iCs/>
          <w:kern w:val="0"/>
          <w:sz w:val="24"/>
          <w:szCs w:val="24"/>
          <w:u w:val="single"/>
          <w:lang w:bidi="ar"/>
        </w:rPr>
        <w:t>成交</w:t>
      </w:r>
      <w:r>
        <w:rPr>
          <w:rFonts w:hint="eastAsia" w:ascii="仿宋" w:hAnsi="仿宋" w:eastAsia="仿宋" w:cs="仿宋"/>
          <w:i/>
          <w:iCs/>
          <w:kern w:val="0"/>
          <w:sz w:val="24"/>
          <w:szCs w:val="24"/>
          <w:u w:val="single"/>
          <w:lang w:val="zh-CN" w:bidi="ar"/>
        </w:rPr>
        <w:t>供应商履约保证金的千分之一。</w:t>
      </w:r>
    </w:p>
    <w:p w14:paraId="3F7663B7">
      <w:pPr>
        <w:spacing w:line="500" w:lineRule="exact"/>
        <w:rPr>
          <w:rFonts w:ascii="仿宋" w:hAnsi="仿宋" w:eastAsia="仿宋" w:cs="仿宋"/>
          <w:b/>
          <w:bCs/>
          <w:sz w:val="24"/>
          <w:szCs w:val="24"/>
        </w:rPr>
      </w:pPr>
      <w:r>
        <w:rPr>
          <w:rFonts w:hint="eastAsia" w:ascii="仿宋" w:hAnsi="仿宋" w:eastAsia="仿宋" w:cs="仿宋"/>
          <w:kern w:val="0"/>
          <w:sz w:val="24"/>
          <w:szCs w:val="24"/>
          <w:lang w:bidi="ar"/>
        </w:rPr>
        <w:t>10、安全责任：加强施工安全管理，严格操作规程，在货物运输、施工过程中发生的安全事故一切责任由成交供应商负责。成交供应商必须为施工人员购买意外伤害险（签订合同时提供意外伤害险发票备查），以保证施工的平安，顺畅，按期完工。</w:t>
      </w:r>
    </w:p>
    <w:p w14:paraId="113B7D4C">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（六）采购标的的验收标准、方法、时间；（收到验收申请后7个工作日内采购人组织验收）</w:t>
      </w:r>
    </w:p>
    <w:p w14:paraId="3AEEBA3F">
      <w:pPr>
        <w:spacing w:line="500" w:lineRule="exact"/>
        <w:rPr>
          <w:rFonts w:ascii="仿宋" w:hAnsi="仿宋" w:eastAsia="仿宋" w:cs="仿宋"/>
          <w:i/>
          <w:iCs/>
          <w:sz w:val="24"/>
          <w:szCs w:val="24"/>
          <w:u w:val="single"/>
          <w:lang w:val="zh-CN"/>
        </w:rPr>
      </w:pPr>
      <w:r>
        <w:rPr>
          <w:rFonts w:hint="eastAsia" w:ascii="仿宋" w:hAnsi="仿宋" w:eastAsia="仿宋" w:cs="仿宋"/>
          <w:i/>
          <w:iCs/>
          <w:kern w:val="0"/>
          <w:sz w:val="24"/>
          <w:szCs w:val="24"/>
          <w:u w:val="single"/>
          <w:lang w:val="zh-CN" w:bidi="ar"/>
        </w:rPr>
        <w:t>1、产品质量及项目施工的验收依据国家或行业相关规定、标准和磋商文件的要求。成交供应商最终提供的产品应与磋商文件要求相一致，如因产品质量问题发生争议时，采购人将请质量技术监督部门给予鉴定。货物鉴定费用由成交供应商承担，同时按合同违约处理。</w:t>
      </w:r>
    </w:p>
    <w:p w14:paraId="63B3C1E1">
      <w:pPr>
        <w:spacing w:line="500" w:lineRule="exact"/>
        <w:rPr>
          <w:rFonts w:ascii="仿宋" w:hAnsi="仿宋" w:eastAsia="仿宋" w:cs="仿宋"/>
          <w:b/>
          <w:i/>
          <w:iCs/>
          <w:sz w:val="28"/>
          <w:szCs w:val="28"/>
        </w:rPr>
      </w:pPr>
      <w:r>
        <w:rPr>
          <w:rFonts w:hint="eastAsia" w:ascii="仿宋" w:hAnsi="仿宋" w:eastAsia="仿宋" w:cs="仿宋"/>
          <w:i/>
          <w:iCs/>
          <w:kern w:val="0"/>
          <w:sz w:val="24"/>
          <w:szCs w:val="24"/>
          <w:u w:val="single"/>
          <w:lang w:val="zh-CN" w:bidi="ar"/>
        </w:rPr>
        <w:t xml:space="preserve">2、项目验收：由采购人对数量、现场安装质量、试运行情况等进行核验并在验收单上盖章签字，以确认验收完成。 </w:t>
      </w:r>
    </w:p>
    <w:p w14:paraId="4FDFD8EA">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（七）采购标的的其他技术、服务等要求（增加商品包装、快递包装的相关要求）；</w:t>
      </w:r>
    </w:p>
    <w:p w14:paraId="3EB4FC02">
      <w:pPr>
        <w:adjustRightInd w:val="0"/>
        <w:snapToGrid w:val="0"/>
        <w:spacing w:line="500" w:lineRule="exact"/>
        <w:ind w:firstLine="720" w:firstLineChars="300"/>
        <w:rPr>
          <w:rFonts w:ascii="仿宋" w:hAnsi="仿宋" w:eastAsia="仿宋" w:cs="仿宋"/>
          <w:b/>
          <w:sz w:val="24"/>
          <w:szCs w:val="24"/>
        </w:rPr>
      </w:pPr>
      <w:r>
        <w:rPr>
          <w:rFonts w:hint="eastAsia" w:ascii="仿宋" w:hAnsi="仿宋" w:eastAsia="仿宋" w:cs="仿宋"/>
          <w:sz w:val="24"/>
          <w:szCs w:val="24"/>
        </w:rPr>
        <w:t>1、商品包装环保要求：应当按《关于印发〈商品包装政府采购需求标准(试行）〉、〈快递包装政府采购需求标准(试行)〉的通知》 (财办库〔2020〕123号)文件执行。</w:t>
      </w:r>
    </w:p>
    <w:p w14:paraId="4CE74B65">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（1）商品包装层数不得超过 3 层，空隙率不大于 40%；</w:t>
      </w:r>
    </w:p>
    <w:p w14:paraId="06EC0DB6">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（2）商品包装尽可能使用单一材质的包装材料，如因功能需求必需使用不同材质，不同材质间应便于分离；</w:t>
      </w:r>
    </w:p>
    <w:p w14:paraId="4E1143E3">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（3）商品包装中铅、汞、镉、六价铬的总含量应不大于100mg/kg；</w:t>
      </w:r>
    </w:p>
    <w:p w14:paraId="3685F956">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（4）商品包装印刷使用的油墨中挥发性有机化合物(VOCs)含量应不大于 5%（以重量计）；</w:t>
      </w:r>
    </w:p>
    <w:p w14:paraId="367C9C17">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（5）塑料材质商品包装上呈现的印刷颜色不得超过 6 色；</w:t>
      </w:r>
    </w:p>
    <w:p w14:paraId="61CE040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（6）纸质商品包装应使用 75%以上的可再生纤维原料生产；</w:t>
      </w:r>
    </w:p>
    <w:p w14:paraId="02DF116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（7）木质商品包装的原料应来源于可持续性森林。</w:t>
      </w:r>
    </w:p>
    <w:p w14:paraId="51DA165C">
      <w:pPr>
        <w:adjustRightInd w:val="0"/>
        <w:snapToGrid w:val="0"/>
        <w:spacing w:line="500" w:lineRule="exact"/>
        <w:ind w:firstLine="720" w:firstLineChars="300"/>
        <w:rPr>
          <w:rFonts w:ascii="仿宋" w:hAnsi="仿宋" w:eastAsia="仿宋" w:cs="仿宋"/>
          <w:sz w:val="24"/>
          <w:szCs w:val="24"/>
        </w:rPr>
      </w:pPr>
      <w:r>
        <w:rPr>
          <w:rFonts w:hint="eastAsia" w:ascii="仿宋" w:hAnsi="仿宋" w:eastAsia="仿宋" w:cs="仿宋"/>
          <w:sz w:val="24"/>
          <w:szCs w:val="24"/>
        </w:rPr>
        <w:t>2、快递包装环保要求：</w:t>
      </w:r>
    </w:p>
    <w:p w14:paraId="329350AD">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（1）快递包装中重金属（铅、汞、镉、六价铬）总量应不大于 100mg/kg；</w:t>
      </w:r>
    </w:p>
    <w:p w14:paraId="5B896DCE">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（2）快递包装印刷使用的油墨中不应添加邻苯二甲酸酯，其挥发性有机化合物(VOCs)含量应不大于5%（以重量计）；</w:t>
      </w:r>
    </w:p>
    <w:p w14:paraId="4F9C07F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（3）快递包装中使用纸基材的包装材料，纸基材中的有机氯的含量应不大于 150 mg/kg；</w:t>
      </w:r>
    </w:p>
    <w:p w14:paraId="7D151080">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207A81F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（5）快递中使用的塑料包装袋不得使用聚氯乙烯作为原料，且原料应为单一材质制成，生物分解率大于60%；</w:t>
      </w:r>
    </w:p>
    <w:p w14:paraId="3A269732">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（6）快递中使用的充气类填充物不得使用聚氯乙烯作为 原料，且原料为单一材质制成，生物分解率大于60%；</w:t>
      </w:r>
    </w:p>
    <w:p w14:paraId="71CBAC7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（7）快递中使用的集装袋应为单一材质制成，其重复使用次数应不小于 80 次；</w:t>
      </w:r>
    </w:p>
    <w:p w14:paraId="76003AB1">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（8）快递中应使用幅宽不大于45mm 的生物降解胶带；</w:t>
      </w:r>
    </w:p>
    <w:p w14:paraId="319694B0">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（9）快递包装中不得使用溶剂型胶粘剂；</w:t>
      </w:r>
    </w:p>
    <w:p w14:paraId="63394D8C">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（10）快递应使用电子面单；</w:t>
      </w:r>
    </w:p>
    <w:p w14:paraId="20F7A600">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（11）直接使用商品包装作为快递包装的商品，其商品包装满足《商品包装政府采购需求标准（试行）》即可；</w:t>
      </w:r>
    </w:p>
    <w:p w14:paraId="77BE47E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（12）快递包装产品质量和封装方式应符合相关国家或行业标准技术指标要求。</w:t>
      </w:r>
    </w:p>
    <w:p w14:paraId="137F162F">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3、绿色数据中心</w:t>
      </w:r>
    </w:p>
    <w:p w14:paraId="58FECF1A">
      <w:pPr>
        <w:spacing w:after="120" w:line="500" w:lineRule="exact"/>
        <w:ind w:firstLine="480" w:firstLineChars="200"/>
        <w:rPr>
          <w:rFonts w:ascii="仿宋" w:hAnsi="仿宋" w:eastAsia="仿宋" w:cs="仿宋"/>
          <w:kern w:val="0"/>
          <w:sz w:val="24"/>
          <w:szCs w:val="24"/>
        </w:rPr>
      </w:pPr>
      <w:r>
        <w:rPr>
          <w:rFonts w:hint="eastAsia" w:ascii="仿宋" w:hAnsi="仿宋" w:eastAsia="仿宋" w:cs="仿宋"/>
          <w:sz w:val="24"/>
          <w:szCs w:val="24"/>
        </w:rPr>
        <w:t>4、低挥发性有机化合物产品：</w:t>
      </w:r>
      <w:r>
        <w:rPr>
          <w:rFonts w:hint="eastAsia" w:ascii="仿宋" w:hAnsi="仿宋" w:eastAsia="仿宋" w:cs="仿宋"/>
          <w:kern w:val="0"/>
          <w:sz w:val="24"/>
          <w:szCs w:val="24"/>
          <w:lang w:val="zh-CN"/>
        </w:rPr>
        <w:t>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kern w:val="0"/>
          <w:sz w:val="24"/>
          <w:szCs w:val="24"/>
        </w:rPr>
        <w:t>应</w:t>
      </w:r>
      <w:r>
        <w:rPr>
          <w:rFonts w:hint="eastAsia" w:ascii="仿宋" w:hAnsi="仿宋" w:eastAsia="仿宋" w:cs="仿宋"/>
          <w:kern w:val="0"/>
          <w:sz w:val="24"/>
          <w:szCs w:val="24"/>
          <w:lang w:val="zh-CN"/>
        </w:rPr>
        <w:t>优先使用低挥发性原辅材料</w:t>
      </w:r>
      <w:r>
        <w:rPr>
          <w:rFonts w:hint="eastAsia" w:ascii="仿宋" w:hAnsi="仿宋" w:eastAsia="仿宋" w:cs="仿宋"/>
          <w:kern w:val="0"/>
          <w:sz w:val="24"/>
          <w:szCs w:val="24"/>
        </w:rPr>
        <w:t>，将使用低</w:t>
      </w:r>
      <w:r>
        <w:rPr>
          <w:rFonts w:hint="eastAsia" w:ascii="仿宋" w:hAnsi="仿宋" w:eastAsia="仿宋" w:cs="仿宋"/>
          <w:kern w:val="0"/>
          <w:sz w:val="24"/>
          <w:szCs w:val="24"/>
          <w:lang w:val="zh-CN"/>
        </w:rPr>
        <w:t>VOCs含量的</w:t>
      </w:r>
      <w:r>
        <w:rPr>
          <w:rFonts w:hint="eastAsia" w:ascii="仿宋" w:hAnsi="仿宋" w:eastAsia="仿宋" w:cs="仿宋"/>
          <w:kern w:val="0"/>
          <w:sz w:val="24"/>
          <w:szCs w:val="24"/>
        </w:rPr>
        <w:t>涂料、</w:t>
      </w:r>
      <w:r>
        <w:rPr>
          <w:rFonts w:hint="eastAsia" w:ascii="仿宋" w:hAnsi="仿宋" w:eastAsia="仿宋" w:cs="仿宋"/>
          <w:kern w:val="0"/>
          <w:sz w:val="24"/>
          <w:szCs w:val="24"/>
          <w:lang w:val="zh-CN"/>
        </w:rPr>
        <w:t>胶黏剂</w:t>
      </w:r>
      <w:r>
        <w:rPr>
          <w:rFonts w:hint="eastAsia" w:ascii="仿宋" w:hAnsi="仿宋" w:eastAsia="仿宋" w:cs="仿宋"/>
          <w:kern w:val="0"/>
          <w:sz w:val="24"/>
          <w:szCs w:val="24"/>
        </w:rPr>
        <w:t>等纳入合同条款。</w:t>
      </w:r>
    </w:p>
    <w:p w14:paraId="682B27A2">
      <w:pPr>
        <w:spacing w:after="120" w:line="500" w:lineRule="exact"/>
        <w:ind w:firstLine="480" w:firstLineChars="200"/>
        <w:rPr>
          <w:rFonts w:ascii="仿宋" w:hAnsi="仿宋" w:eastAsia="仿宋" w:cs="仿宋"/>
          <w:kern w:val="0"/>
          <w:sz w:val="24"/>
          <w:szCs w:val="24"/>
          <w:lang w:val="zh-CN"/>
        </w:rPr>
      </w:pPr>
      <w:r>
        <w:rPr>
          <w:rFonts w:hint="eastAsia" w:ascii="仿宋" w:hAnsi="仿宋" w:eastAsia="仿宋" w:cs="仿宋"/>
          <w:sz w:val="24"/>
          <w:szCs w:val="24"/>
        </w:rPr>
        <w:t>5、节能环保产品：</w:t>
      </w:r>
      <w:r>
        <w:rPr>
          <w:rFonts w:hint="eastAsia" w:ascii="仿宋" w:hAnsi="仿宋" w:eastAsia="仿宋" w:cs="仿宋"/>
          <w:kern w:val="0"/>
          <w:sz w:val="24"/>
          <w:szCs w:val="24"/>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3EAE9FA">
      <w:pPr>
        <w:spacing w:after="120" w:line="500" w:lineRule="exact"/>
        <w:ind w:firstLine="480" w:firstLineChars="200"/>
        <w:rPr>
          <w:rFonts w:ascii="仿宋" w:hAnsi="仿宋" w:eastAsia="仿宋" w:cs="仿宋"/>
          <w:kern w:val="0"/>
          <w:sz w:val="24"/>
          <w:szCs w:val="24"/>
        </w:rPr>
      </w:pPr>
      <w:r>
        <w:rPr>
          <w:rFonts w:hint="eastAsia" w:ascii="仿宋" w:hAnsi="仿宋" w:eastAsia="仿宋" w:cs="仿宋"/>
          <w:bCs/>
          <w:kern w:val="0"/>
          <w:sz w:val="24"/>
          <w:szCs w:val="24"/>
        </w:rPr>
        <w:t>6、绿色低碳管理目标和服务要求：</w:t>
      </w:r>
      <w:r>
        <w:rPr>
          <w:rFonts w:hint="eastAsia" w:ascii="仿宋" w:hAnsi="仿宋" w:eastAsia="仿宋" w:cs="仿宋"/>
          <w:kern w:val="0"/>
          <w:sz w:val="24"/>
          <w:szCs w:val="24"/>
        </w:rPr>
        <w:t>在物业、合同能源管理等服务类采购项目需求中，要强化绿色低碳管理目标和服务要求，促进绿色产品和服务推广应用。</w:t>
      </w:r>
    </w:p>
    <w:p w14:paraId="32BE98DD">
      <w:pPr>
        <w:spacing w:after="120" w:line="500" w:lineRule="exact"/>
        <w:ind w:firstLine="480" w:firstLineChars="200"/>
        <w:rPr>
          <w:rFonts w:ascii="仿宋" w:hAnsi="仿宋" w:eastAsia="仿宋" w:cs="仿宋"/>
          <w:bCs/>
          <w:kern w:val="0"/>
          <w:sz w:val="24"/>
          <w:szCs w:val="24"/>
        </w:rPr>
      </w:pPr>
      <w:r>
        <w:rPr>
          <w:rFonts w:hint="eastAsia" w:ascii="仿宋" w:hAnsi="仿宋" w:eastAsia="仿宋" w:cs="仿宋"/>
          <w:bCs/>
          <w:kern w:val="0"/>
          <w:sz w:val="24"/>
          <w:szCs w:val="24"/>
        </w:rPr>
        <w:t>7、采购的货物或者服务属信创产品目录内容内的，须遵照信创产品要求提供货物或服务；</w:t>
      </w:r>
    </w:p>
    <w:p w14:paraId="3D72A6A3">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（八）非单一产品采购项目，采购标的中的核心产品；</w:t>
      </w:r>
    </w:p>
    <w:p w14:paraId="51FC0F3D">
      <w:pPr>
        <w:spacing w:after="120" w:line="500" w:lineRule="exact"/>
        <w:ind w:firstLine="480"/>
        <w:rPr>
          <w:rFonts w:ascii="仿宋" w:hAnsi="仿宋" w:eastAsia="仿宋" w:cs="仿宋"/>
          <w:b/>
          <w:bCs/>
          <w:sz w:val="24"/>
          <w:szCs w:val="24"/>
        </w:rPr>
      </w:pPr>
      <w:r>
        <w:rPr>
          <w:rFonts w:hint="eastAsia" w:ascii="仿宋" w:hAnsi="仿宋" w:eastAsia="仿宋" w:cs="仿宋"/>
          <w:bCs/>
          <w:i/>
          <w:iCs/>
          <w:kern w:val="0"/>
          <w:sz w:val="24"/>
          <w:szCs w:val="24"/>
          <w:u w:val="single"/>
          <w:lang w:bidi="ar"/>
        </w:rPr>
        <w:t>核心产品： 4K录播一体机</w:t>
      </w:r>
    </w:p>
    <w:p w14:paraId="6320FE0E">
      <w:pPr>
        <w:adjustRightInd w:val="0"/>
        <w:snapToGrid w:val="0"/>
        <w:spacing w:line="500" w:lineRule="exact"/>
        <w:rPr>
          <w:rFonts w:ascii="仿宋" w:hAnsi="仿宋" w:eastAsia="仿宋" w:cs="仿宋"/>
          <w:b/>
          <w:bCs/>
          <w:kern w:val="0"/>
          <w:sz w:val="24"/>
          <w:szCs w:val="24"/>
        </w:rPr>
      </w:pPr>
      <w:r>
        <w:rPr>
          <w:rFonts w:hint="eastAsia" w:ascii="仿宋" w:hAnsi="仿宋" w:eastAsia="仿宋" w:cs="仿宋"/>
          <w:b/>
          <w:bCs/>
          <w:sz w:val="24"/>
          <w:szCs w:val="24"/>
        </w:rPr>
        <w:t>（九） 付款方式：</w:t>
      </w:r>
      <w:r>
        <w:rPr>
          <w:rFonts w:hint="eastAsia" w:ascii="仿宋" w:hAnsi="仿宋" w:eastAsia="仿宋" w:cs="仿宋"/>
          <w:sz w:val="24"/>
          <w:szCs w:val="24"/>
        </w:rPr>
        <w:t>安装完成且</w:t>
      </w:r>
      <w:r>
        <w:rPr>
          <w:rFonts w:hint="eastAsia" w:ascii="仿宋" w:hAnsi="仿宋" w:eastAsia="仿宋" w:cs="仿宋"/>
          <w:sz w:val="24"/>
          <w:szCs w:val="24"/>
          <w:lang w:bidi="ar"/>
        </w:rPr>
        <w:t>验</w:t>
      </w:r>
      <w:r>
        <w:rPr>
          <w:rFonts w:hint="eastAsia" w:ascii="仿宋" w:hAnsi="仿宋" w:eastAsia="仿宋" w:cs="仿宋"/>
          <w:bCs/>
          <w:sz w:val="24"/>
          <w:szCs w:val="24"/>
          <w:lang w:bidi="ar"/>
        </w:rPr>
        <w:t>收合格后支付至合同价款的100%，</w:t>
      </w:r>
      <w:r>
        <w:rPr>
          <w:rFonts w:hint="eastAsia" w:ascii="仿宋" w:hAnsi="仿宋" w:eastAsia="仿宋" w:cs="仿宋"/>
          <w:b/>
          <w:bCs/>
          <w:kern w:val="0"/>
          <w:sz w:val="24"/>
          <w:szCs w:val="24"/>
          <w:lang w:val="zh-CN"/>
        </w:rPr>
        <w:t>采购人应在验收合格，收到发票后</w:t>
      </w:r>
      <w:r>
        <w:rPr>
          <w:rFonts w:hint="eastAsia" w:ascii="仿宋" w:hAnsi="仿宋" w:eastAsia="仿宋" w:cs="仿宋"/>
          <w:b/>
          <w:bCs/>
          <w:kern w:val="0"/>
          <w:sz w:val="24"/>
          <w:szCs w:val="24"/>
        </w:rPr>
        <w:t>10个工作日内将资金支付到成交供应商账户。</w:t>
      </w:r>
    </w:p>
    <w:p w14:paraId="6CFF0092">
      <w:pPr>
        <w:adjustRightInd w:val="0"/>
        <w:snapToGrid w:val="0"/>
        <w:spacing w:line="500" w:lineRule="exact"/>
        <w:rPr>
          <w:rFonts w:ascii="仿宋" w:hAnsi="仿宋" w:eastAsia="仿宋" w:cs="仿宋"/>
          <w:b/>
          <w:bCs/>
          <w:sz w:val="24"/>
          <w:szCs w:val="24"/>
        </w:rPr>
      </w:pPr>
      <w:r>
        <w:rPr>
          <w:rFonts w:hint="eastAsia" w:ascii="仿宋" w:hAnsi="仿宋" w:eastAsia="仿宋" w:cs="仿宋"/>
          <w:b/>
          <w:bCs/>
          <w:sz w:val="24"/>
          <w:szCs w:val="24"/>
        </w:rPr>
        <w:t>（十）履约保证金：</w:t>
      </w:r>
    </w:p>
    <w:p w14:paraId="71B94429">
      <w:pPr>
        <w:spacing w:after="120" w:line="500" w:lineRule="exact"/>
        <w:ind w:firstLine="480" w:firstLineChars="200"/>
        <w:rPr>
          <w:rFonts w:ascii="仿宋" w:hAnsi="仿宋" w:eastAsia="仿宋" w:cs="仿宋"/>
          <w:kern w:val="0"/>
          <w:sz w:val="24"/>
          <w:szCs w:val="24"/>
          <w:lang w:val="zh-CN"/>
        </w:rPr>
      </w:pPr>
      <w:r>
        <w:rPr>
          <w:rFonts w:hint="eastAsia" w:ascii="仿宋" w:hAnsi="仿宋" w:eastAsia="仿宋" w:cs="仿宋"/>
          <w:color w:val="000000"/>
          <w:kern w:val="0"/>
          <w:sz w:val="24"/>
          <w:szCs w:val="24"/>
          <w:lang w:val="zh-CN"/>
        </w:rPr>
        <w:t>本项目成交后的履约保证金为项目成交价的</w:t>
      </w:r>
      <w:r>
        <w:rPr>
          <w:rFonts w:ascii="仿宋" w:hAnsi="仿宋" w:eastAsia="仿宋" w:cs="仿宋"/>
          <w:sz w:val="24"/>
          <w:szCs w:val="24"/>
        </w:rPr>
        <w:t>5</w:t>
      </w:r>
      <w:r>
        <w:rPr>
          <w:rFonts w:hint="eastAsia" w:ascii="仿宋" w:hAnsi="仿宋" w:eastAsia="仿宋" w:cs="仿宋"/>
          <w:color w:val="000000"/>
          <w:kern w:val="0"/>
          <w:sz w:val="24"/>
          <w:szCs w:val="24"/>
          <w:lang w:val="zh-CN"/>
        </w:rPr>
        <w:t>%</w:t>
      </w:r>
      <w:r>
        <w:rPr>
          <w:rFonts w:hint="eastAsia" w:ascii="仿宋" w:hAnsi="仿宋" w:eastAsia="仿宋" w:cs="仿宋"/>
          <w:kern w:val="0"/>
          <w:sz w:val="24"/>
          <w:szCs w:val="24"/>
          <w:lang w:val="zh-CN"/>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46C08CB8">
      <w:pPr>
        <w:spacing w:line="0" w:lineRule="atLeast"/>
        <w:rPr>
          <w:rFonts w:ascii="仿宋" w:hAnsi="仿宋" w:eastAsia="仿宋" w:cs="仿宋"/>
          <w:b/>
          <w:color w:val="000000"/>
          <w:sz w:val="24"/>
          <w:szCs w:val="24"/>
        </w:rPr>
      </w:pPr>
      <w:r>
        <w:rPr>
          <w:rFonts w:hint="eastAsia" w:ascii="仿宋" w:hAnsi="仿宋" w:eastAsia="仿宋" w:cs="仿宋"/>
          <w:b/>
          <w:color w:val="000000"/>
          <w:sz w:val="24"/>
          <w:szCs w:val="24"/>
        </w:rPr>
        <w:t>（十一）演示要求</w:t>
      </w:r>
    </w:p>
    <w:p w14:paraId="5D48626D">
      <w:pPr>
        <w:spacing w:line="0" w:lineRule="atLeast"/>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 上传视频演示</w:t>
      </w:r>
    </w:p>
    <w:p w14:paraId="37576BA6">
      <w:pPr>
        <w:spacing w:after="120"/>
        <w:ind w:firstLine="240"/>
        <w:rPr>
          <w:rFonts w:ascii="仿宋" w:hAnsi="仿宋" w:eastAsia="仿宋" w:cs="仿宋"/>
          <w:bCs/>
          <w:color w:val="000000"/>
          <w:sz w:val="24"/>
          <w:szCs w:val="24"/>
        </w:rPr>
      </w:pPr>
      <w:r>
        <w:rPr>
          <w:rFonts w:hint="eastAsia" w:ascii="仿宋" w:hAnsi="仿宋" w:eastAsia="仿宋" w:cs="仿宋"/>
          <w:bCs/>
          <w:color w:val="000000"/>
          <w:sz w:val="24"/>
          <w:szCs w:val="24"/>
        </w:rPr>
        <w:t>1.供应商需按照</w:t>
      </w:r>
      <w:r>
        <w:rPr>
          <w:rFonts w:hint="eastAsia" w:ascii="仿宋" w:hAnsi="仿宋" w:eastAsia="仿宋" w:cs="仿宋"/>
          <w:kern w:val="0"/>
          <w:sz w:val="24"/>
          <w:szCs w:val="24"/>
          <w:lang w:val="zh-CN"/>
        </w:rPr>
        <w:t>磋商文件规定的演示内容制作演示视频文件</w:t>
      </w:r>
      <w:r>
        <w:rPr>
          <w:rFonts w:hint="eastAsia" w:ascii="仿宋" w:hAnsi="仿宋" w:eastAsia="仿宋" w:cs="仿宋"/>
          <w:bCs/>
          <w:color w:val="000000"/>
          <w:sz w:val="24"/>
          <w:szCs w:val="24"/>
        </w:rPr>
        <w:t>，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p>
    <w:p w14:paraId="10BE9DCE">
      <w:pPr>
        <w:spacing w:line="0" w:lineRule="atLeast"/>
        <w:ind w:firstLine="420"/>
        <w:rPr>
          <w:rFonts w:ascii="仿宋" w:hAnsi="仿宋" w:eastAsia="仿宋" w:cs="仿宋"/>
          <w:color w:val="000000"/>
          <w:sz w:val="24"/>
          <w:szCs w:val="24"/>
        </w:rPr>
      </w:pPr>
      <w:r>
        <w:rPr>
          <w:rFonts w:hint="eastAsia" w:ascii="仿宋" w:hAnsi="仿宋" w:eastAsia="仿宋" w:cs="仿宋"/>
          <w:b/>
          <w:bCs/>
          <w:color w:val="000000"/>
          <w:sz w:val="24"/>
          <w:szCs w:val="24"/>
        </w:rPr>
        <w:t>2、演示内容如下：</w:t>
      </w:r>
    </w:p>
    <w:p w14:paraId="7BF4BC49">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提供资源管理平台应用系统的演示视频：</w:t>
      </w:r>
    </w:p>
    <w:p w14:paraId="0487D234">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rPr>
        <w:t>①</w:t>
      </w:r>
      <w:r>
        <w:rPr>
          <w:rFonts w:hint="eastAsia" w:ascii="仿宋" w:hAnsi="仿宋" w:eastAsia="仿宋" w:cs="仿宋"/>
          <w:sz w:val="24"/>
          <w:szCs w:val="24"/>
          <w:lang w:val="zh-CN"/>
        </w:rPr>
        <w:t>课堂预警功能：按时间线展示本节课所有AI识别到的课堂异常预警，按预警类型用不同颜色区分，每个预警显示标记时间、持续时长，点击“查看视频”可直接跳转到预警发生的对应时间点，查看异常发生时的课堂画面。</w:t>
      </w:r>
    </w:p>
    <w:p w14:paraId="35A5D7C6">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rPr>
        <w:t>②</w:t>
      </w:r>
      <w:r>
        <w:rPr>
          <w:rFonts w:hint="eastAsia" w:ascii="仿宋" w:hAnsi="仿宋" w:eastAsia="仿宋" w:cs="仿宋"/>
          <w:sz w:val="24"/>
          <w:szCs w:val="24"/>
          <w:lang w:val="zh-CN"/>
        </w:rPr>
        <w:t>语音转写功能：自动将整节课教师与学生的语音实时转写为文字，自动提取课程核心知识点标签，支持关键词搜索快速定位内容；自动生成课堂全文摘要，总结本节课讲解的核心内容；标注语音转写准确率。</w:t>
      </w:r>
    </w:p>
    <w:p w14:paraId="37283055">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rPr>
        <w:t>③</w:t>
      </w:r>
      <w:r>
        <w:rPr>
          <w:rFonts w:hint="eastAsia" w:ascii="仿宋" w:hAnsi="仿宋" w:eastAsia="仿宋" w:cs="仿宋"/>
          <w:sz w:val="24"/>
          <w:szCs w:val="24"/>
          <w:lang w:val="zh-CN"/>
        </w:rPr>
        <w:t>督导评课功能：支持AI自动评课与人工督导评课双维度评分，可根据课程类型选择理论课/实践课等不同评课模板；分别展示督导总分与AI总分，支持一键查看完整评课报告；按评课维度（教师素养与态度、教学内容与设计、教学方法与艺术、教学资源与信息化等）分项展示督导打分与AI打分，支持人工修改调整评分。</w:t>
      </w:r>
    </w:p>
    <w:p w14:paraId="686138DE">
      <w:pPr>
        <w:adjustRightInd w:val="0"/>
        <w:snapToGrid w:val="0"/>
        <w:spacing w:line="500" w:lineRule="exact"/>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④知识点思维导图功能：自动生成本节课知识点思维导图，按课程核心模块分类梳理二级、三级知识点，用不同颜色区分知识模块，支持查看完整课程知识图谱，直观展示整门课程的知识结构体系。</w:t>
      </w:r>
    </w:p>
    <w:p w14:paraId="69F34546">
      <w:pPr>
        <w:adjustRightInd w:val="0"/>
        <w:snapToGrid w:val="0"/>
        <w:spacing w:line="500" w:lineRule="exact"/>
        <w:ind w:firstLine="480" w:firstLineChars="200"/>
        <w:rPr>
          <w:rFonts w:ascii="仿宋" w:hAnsi="仿宋" w:eastAsia="仿宋" w:cs="仿宋"/>
          <w:kern w:val="0"/>
          <w:sz w:val="24"/>
          <w:szCs w:val="24"/>
          <w:lang w:val="zh-CN"/>
        </w:rPr>
      </w:pPr>
      <w:r>
        <w:rPr>
          <w:rFonts w:hint="eastAsia" w:ascii="仿宋" w:hAnsi="仿宋" w:eastAsia="仿宋" w:cs="仿宋"/>
          <w:sz w:val="24"/>
          <w:szCs w:val="24"/>
          <w:lang w:val="zh-CN"/>
        </w:rPr>
        <w:t>⑤支持单节课的多画面同步回放，支持切换主显示画面，提供播放/暂停、进度条拖动、全屏等标准播放控制功能。</w:t>
      </w:r>
    </w:p>
    <w:p w14:paraId="075CB2AC">
      <w:pPr>
        <w:adjustRightInd w:val="0"/>
        <w:snapToGrid w:val="0"/>
        <w:spacing w:line="500" w:lineRule="exact"/>
        <w:rPr>
          <w:rFonts w:ascii="仿宋" w:hAnsi="仿宋" w:eastAsia="仿宋" w:cs="仿宋"/>
          <w:sz w:val="24"/>
          <w:szCs w:val="24"/>
          <w:highlight w:val="cyan"/>
        </w:rPr>
      </w:pPr>
      <w:r>
        <w:rPr>
          <w:rFonts w:hint="eastAsia" w:ascii="仿宋" w:hAnsi="仿宋" w:eastAsia="仿宋" w:cs="仿宋"/>
          <w:b/>
          <w:bCs/>
          <w:sz w:val="24"/>
          <w:szCs w:val="24"/>
        </w:rPr>
        <w:t>（十二）本项目不</w:t>
      </w:r>
      <w:r>
        <w:rPr>
          <w:rFonts w:hint="eastAsia" w:ascii="仿宋" w:hAnsi="仿宋" w:eastAsia="仿宋" w:cs="仿宋"/>
          <w:b/>
          <w:sz w:val="24"/>
          <w:szCs w:val="24"/>
        </w:rPr>
        <w:t>接受</w:t>
      </w:r>
      <w:r>
        <w:rPr>
          <w:rFonts w:hint="eastAsia" w:ascii="仿宋" w:hAnsi="仿宋" w:eastAsia="仿宋" w:cs="仿宋"/>
          <w:b/>
          <w:bCs/>
          <w:sz w:val="24"/>
          <w:szCs w:val="24"/>
        </w:rPr>
        <w:t>进口产品参与</w:t>
      </w:r>
    </w:p>
    <w:p w14:paraId="53799B8B">
      <w:pPr>
        <w:keepNext/>
        <w:spacing w:line="500" w:lineRule="exact"/>
        <w:jc w:val="center"/>
        <w:outlineLvl w:val="0"/>
        <w:rPr>
          <w:rFonts w:ascii="仿宋" w:hAnsi="仿宋" w:eastAsia="仿宋" w:cs="仿宋"/>
          <w:b/>
          <w:sz w:val="44"/>
          <w:szCs w:val="28"/>
        </w:rPr>
      </w:pPr>
      <w:bookmarkStart w:id="209" w:name="_Toc120614281"/>
      <w:r>
        <w:rPr>
          <w:rFonts w:hint="eastAsia" w:ascii="仿宋" w:hAnsi="仿宋" w:eastAsia="仿宋" w:cs="仿宋"/>
          <w:bCs/>
          <w:sz w:val="44"/>
          <w:szCs w:val="28"/>
        </w:rPr>
        <w:br w:type="page"/>
      </w:r>
      <w:bookmarkStart w:id="210" w:name="_Toc88"/>
      <w:bookmarkStart w:id="211" w:name="_Toc19886"/>
      <w:bookmarkStart w:id="212" w:name="_Toc20957"/>
      <w:r>
        <w:rPr>
          <w:rFonts w:hint="eastAsia" w:ascii="仿宋" w:hAnsi="仿宋" w:eastAsia="仿宋" w:cs="仿宋"/>
          <w:b/>
          <w:sz w:val="44"/>
          <w:szCs w:val="28"/>
        </w:rPr>
        <w:t>第五章  评审方法与评审标准</w:t>
      </w:r>
      <w:bookmarkEnd w:id="210"/>
      <w:bookmarkEnd w:id="211"/>
      <w:bookmarkEnd w:id="212"/>
    </w:p>
    <w:p w14:paraId="0722C703">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一、评审方法：</w:t>
      </w:r>
    </w:p>
    <w:p w14:paraId="41C6B507">
      <w:pPr>
        <w:pStyle w:val="13"/>
        <w:spacing w:line="500" w:lineRule="exact"/>
        <w:ind w:firstLine="480"/>
        <w:rPr>
          <w:rFonts w:ascii="仿宋" w:hAnsi="仿宋" w:eastAsia="仿宋" w:cs="仿宋"/>
          <w:sz w:val="24"/>
          <w:szCs w:val="24"/>
        </w:rPr>
      </w:pPr>
      <w:r>
        <w:rPr>
          <w:rFonts w:hint="eastAsia" w:ascii="仿宋" w:hAnsi="仿宋" w:eastAsia="仿宋" w:cs="仿宋"/>
          <w:sz w:val="24"/>
          <w:szCs w:val="24"/>
        </w:rPr>
        <w:t>采用综合评分法，经磋商确定最终采购需求和提交最后报价的供应商后，由磋商小组采用综合评分法对提交最后报价的供应商的响应文件和最后报价进行综合评分。</w:t>
      </w:r>
    </w:p>
    <w:p w14:paraId="358A45A2">
      <w:pPr>
        <w:pStyle w:val="13"/>
        <w:spacing w:line="500" w:lineRule="exact"/>
        <w:ind w:firstLine="480"/>
        <w:rPr>
          <w:rFonts w:ascii="仿宋" w:hAnsi="仿宋" w:eastAsia="仿宋" w:cs="仿宋"/>
          <w:sz w:val="24"/>
          <w:szCs w:val="24"/>
        </w:rPr>
      </w:pPr>
      <w:r>
        <w:rPr>
          <w:rFonts w:hint="eastAsia" w:ascii="仿宋" w:hAnsi="仿宋" w:eastAsia="仿宋" w:cs="仿宋"/>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0234D68E">
      <w:pPr>
        <w:adjustRightInd w:val="0"/>
        <w:spacing w:before="120" w:after="120" w:line="360" w:lineRule="auto"/>
        <w:jc w:val="left"/>
        <w:textAlignment w:val="baseline"/>
        <w:rPr>
          <w:rFonts w:ascii="仿宋" w:hAnsi="仿宋" w:eastAsia="仿宋" w:cs="仿宋"/>
          <w:b/>
          <w:sz w:val="24"/>
          <w:szCs w:val="24"/>
          <w:highlight w:val="cyan"/>
        </w:rPr>
      </w:pPr>
      <w:r>
        <w:rPr>
          <w:rFonts w:hint="eastAsia" w:ascii="仿宋" w:hAnsi="仿宋" w:eastAsia="仿宋" w:cs="仿宋"/>
          <w:b/>
          <w:bCs/>
          <w:sz w:val="32"/>
          <w:szCs w:val="32"/>
        </w:rPr>
        <w:t>二、政府采购政策功能落实</w:t>
      </w:r>
    </w:p>
    <w:p w14:paraId="25F252C2">
      <w:pPr>
        <w:pStyle w:val="13"/>
        <w:ind w:firstLine="480"/>
        <w:jc w:val="left"/>
        <w:rPr>
          <w:rFonts w:ascii="仿宋" w:hAnsi="仿宋" w:eastAsia="仿宋" w:cs="仿宋"/>
          <w:sz w:val="24"/>
          <w:szCs w:val="24"/>
        </w:rPr>
      </w:pPr>
      <w:r>
        <w:rPr>
          <w:rFonts w:hint="eastAsia" w:ascii="仿宋" w:hAnsi="仿宋" w:eastAsia="仿宋" w:cs="仿宋"/>
          <w:sz w:val="24"/>
          <w:szCs w:val="24"/>
        </w:rPr>
        <w:t>1、小微型企业价格扣除</w:t>
      </w:r>
    </w:p>
    <w:p w14:paraId="479F16ED">
      <w:pPr>
        <w:pStyle w:val="13"/>
        <w:ind w:firstLine="480"/>
        <w:rPr>
          <w:rFonts w:ascii="仿宋" w:hAnsi="仿宋" w:eastAsia="仿宋" w:cs="仿宋"/>
          <w:sz w:val="24"/>
          <w:szCs w:val="24"/>
        </w:rPr>
      </w:pPr>
      <w:r>
        <w:rPr>
          <w:rFonts w:hint="eastAsia" w:ascii="仿宋" w:hAnsi="仿宋" w:eastAsia="仿宋" w:cs="仿宋"/>
          <w:sz w:val="24"/>
          <w:szCs w:val="24"/>
        </w:rPr>
        <w:t>（1）本项目对小型和微型企业产品/本项目对小型和微型企业提供的服务给予10%的扣除价格，用扣除后的价格参与评审。</w:t>
      </w:r>
    </w:p>
    <w:p w14:paraId="5035E972">
      <w:pPr>
        <w:pStyle w:val="13"/>
        <w:ind w:firstLine="480"/>
        <w:rPr>
          <w:rFonts w:ascii="仿宋" w:hAnsi="仿宋" w:eastAsia="仿宋" w:cs="仿宋"/>
          <w:sz w:val="24"/>
          <w:szCs w:val="24"/>
        </w:rPr>
      </w:pPr>
      <w:r>
        <w:rPr>
          <w:rFonts w:hint="eastAsia" w:ascii="仿宋" w:hAnsi="仿宋" w:eastAsia="仿宋" w:cs="仿宋"/>
          <w:sz w:val="24"/>
          <w:szCs w:val="24"/>
        </w:rPr>
        <w:t>（2）供应商需按照《政府采购促进中小企业发展管理办法》（财库〔2020〕46 号）的规定提供相应的《中小企业声明函》。</w:t>
      </w:r>
    </w:p>
    <w:p w14:paraId="6938CBC6">
      <w:pPr>
        <w:pStyle w:val="13"/>
        <w:ind w:firstLine="480"/>
        <w:rPr>
          <w:rFonts w:ascii="仿宋" w:hAnsi="仿宋" w:eastAsia="仿宋" w:cs="仿宋"/>
          <w:sz w:val="24"/>
          <w:szCs w:val="24"/>
        </w:rPr>
      </w:pPr>
      <w:r>
        <w:rPr>
          <w:rFonts w:hint="eastAsia" w:ascii="仿宋" w:hAnsi="仿宋" w:eastAsia="仿宋" w:cs="仿宋"/>
          <w:sz w:val="24"/>
          <w:szCs w:val="24"/>
        </w:rPr>
        <w:t>（3）企业标准请参照《关于印发中小企业划型标准规定的通知》（</w:t>
      </w:r>
      <w:bookmarkStart w:id="213" w:name="OLE_LINK1"/>
      <w:r>
        <w:rPr>
          <w:rFonts w:hint="eastAsia" w:ascii="仿宋" w:hAnsi="仿宋" w:eastAsia="仿宋" w:cs="仿宋"/>
          <w:sz w:val="24"/>
          <w:szCs w:val="24"/>
        </w:rPr>
        <w:t>工信部联企业〔2011〕300号）</w:t>
      </w:r>
      <w:bookmarkEnd w:id="213"/>
      <w:r>
        <w:rPr>
          <w:rFonts w:hint="eastAsia" w:ascii="仿宋" w:hAnsi="仿宋" w:eastAsia="仿宋" w:cs="仿宋"/>
          <w:sz w:val="24"/>
          <w:szCs w:val="24"/>
        </w:rPr>
        <w:t>文件规定自行填写。</w:t>
      </w:r>
    </w:p>
    <w:p w14:paraId="3D2D8FA5">
      <w:pPr>
        <w:pStyle w:val="13"/>
        <w:ind w:firstLine="480"/>
        <w:rPr>
          <w:rFonts w:ascii="仿宋" w:hAnsi="仿宋" w:eastAsia="仿宋" w:cs="仿宋"/>
          <w:sz w:val="24"/>
          <w:szCs w:val="24"/>
        </w:rPr>
      </w:pPr>
      <w:r>
        <w:rPr>
          <w:rFonts w:hint="eastAsia" w:ascii="仿宋" w:hAnsi="仿宋" w:eastAsia="仿宋" w:cs="仿宋"/>
          <w:sz w:val="24"/>
          <w:szCs w:val="24"/>
        </w:rPr>
        <w:t>2、残疾人福利单位价格扣除</w:t>
      </w:r>
    </w:p>
    <w:p w14:paraId="50E3DF14">
      <w:pPr>
        <w:pStyle w:val="13"/>
        <w:ind w:firstLine="480"/>
        <w:rPr>
          <w:rFonts w:ascii="仿宋" w:hAnsi="仿宋" w:eastAsia="仿宋" w:cs="仿宋"/>
          <w:sz w:val="24"/>
          <w:szCs w:val="24"/>
        </w:rPr>
      </w:pPr>
      <w:r>
        <w:rPr>
          <w:rFonts w:hint="eastAsia" w:ascii="仿宋" w:hAnsi="仿宋" w:eastAsia="仿宋" w:cs="仿宋"/>
          <w:sz w:val="24"/>
          <w:szCs w:val="24"/>
        </w:rPr>
        <w:t>（1）本项目对残疾人福利性单位视同小型、微型企业，给予10%的价格扣除，用扣除后的价格参与评审。</w:t>
      </w:r>
    </w:p>
    <w:p w14:paraId="24E8080F">
      <w:pPr>
        <w:pStyle w:val="13"/>
        <w:ind w:firstLine="480"/>
        <w:rPr>
          <w:rFonts w:ascii="仿宋" w:hAnsi="仿宋" w:eastAsia="仿宋" w:cs="仿宋"/>
          <w:sz w:val="24"/>
          <w:szCs w:val="24"/>
        </w:rPr>
      </w:pPr>
      <w:r>
        <w:rPr>
          <w:rFonts w:hint="eastAsia" w:ascii="仿宋" w:hAnsi="仿宋" w:eastAsia="仿宋" w:cs="仿宋"/>
          <w:sz w:val="24"/>
          <w:szCs w:val="24"/>
        </w:rPr>
        <w:t>（2）残疾人福利单位需按照磋商文件的要求提供《残疾人福利性单位声明函》。</w:t>
      </w:r>
    </w:p>
    <w:p w14:paraId="0CADD9D1">
      <w:pPr>
        <w:pStyle w:val="13"/>
        <w:ind w:firstLine="480"/>
        <w:rPr>
          <w:rFonts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（3）残疾人福利单位标准请参照《关于促进残疾人就业政府采购政策的通知》（财库〔2017〕141号）。</w:t>
      </w:r>
    </w:p>
    <w:p w14:paraId="43D54E05">
      <w:pPr>
        <w:pStyle w:val="13"/>
        <w:ind w:firstLine="480"/>
        <w:rPr>
          <w:rFonts w:ascii="仿宋" w:hAnsi="仿宋" w:eastAsia="仿宋" w:cs="仿宋"/>
          <w:sz w:val="24"/>
          <w:szCs w:val="24"/>
        </w:rPr>
      </w:pPr>
      <w:r>
        <w:rPr>
          <w:rFonts w:hint="eastAsia" w:ascii="仿宋" w:hAnsi="仿宋" w:eastAsia="仿宋" w:cs="仿宋"/>
          <w:sz w:val="24"/>
          <w:szCs w:val="24"/>
        </w:rPr>
        <w:t>3、监狱和戒毒企业价格扣除</w:t>
      </w:r>
    </w:p>
    <w:p w14:paraId="745069B1">
      <w:pPr>
        <w:pStyle w:val="13"/>
        <w:ind w:firstLine="480"/>
        <w:rPr>
          <w:rFonts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（1）本项目对监狱和戒毒企业（简称监狱企业）视同小型、微型企业，给予10%的价格扣除，用扣除后的价格参与评审。</w:t>
      </w:r>
    </w:p>
    <w:p w14:paraId="38B04B8F">
      <w:pPr>
        <w:pStyle w:val="13"/>
        <w:ind w:firstLine="480"/>
        <w:rPr>
          <w:rFonts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2E0DF2F0">
      <w:pPr>
        <w:pStyle w:val="13"/>
        <w:ind w:firstLine="480"/>
        <w:rPr>
          <w:rFonts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（3）监狱企业标准请参照《关于政府采购支持监狱企业发展有关问题的通知》（财库〔2014〕68号）。</w:t>
      </w:r>
    </w:p>
    <w:p w14:paraId="3C853349">
      <w:pPr>
        <w:pStyle w:val="13"/>
        <w:ind w:firstLine="480"/>
        <w:rPr>
          <w:rFonts w:ascii="仿宋" w:hAnsi="仿宋" w:eastAsia="仿宋" w:cs="仿宋"/>
          <w:sz w:val="24"/>
          <w:szCs w:val="24"/>
        </w:rPr>
      </w:pPr>
      <w:r>
        <w:rPr>
          <w:rFonts w:hint="eastAsia" w:ascii="仿宋" w:hAnsi="仿宋" w:eastAsia="仿宋" w:cs="仿宋"/>
          <w:sz w:val="24"/>
          <w:szCs w:val="24"/>
        </w:rPr>
        <w:t>4、残疾人福利单位、监狱企业属于小型、微型企业的，不重复享受政策。</w:t>
      </w:r>
    </w:p>
    <w:p w14:paraId="365231A9">
      <w:pPr>
        <w:pStyle w:val="13"/>
        <w:ind w:firstLine="480"/>
        <w:rPr>
          <w:rFonts w:ascii="仿宋" w:hAnsi="仿宋" w:eastAsia="仿宋" w:cs="仿宋"/>
          <w:sz w:val="24"/>
          <w:szCs w:val="24"/>
        </w:rPr>
      </w:pPr>
      <w:r>
        <w:rPr>
          <w:rFonts w:hint="eastAsia" w:ascii="仿宋" w:hAnsi="仿宋" w:eastAsia="仿宋" w:cs="仿宋"/>
          <w:sz w:val="24"/>
          <w:szCs w:val="24"/>
        </w:rPr>
        <w:t>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4CDA0FFA">
      <w:pPr>
        <w:pStyle w:val="13"/>
        <w:ind w:firstLine="480"/>
        <w:rPr>
          <w:rFonts w:ascii="仿宋" w:hAnsi="仿宋" w:eastAsia="仿宋" w:cs="仿宋"/>
          <w:sz w:val="24"/>
          <w:szCs w:val="24"/>
        </w:rPr>
      </w:pPr>
      <w:r>
        <w:rPr>
          <w:rFonts w:hint="eastAsia" w:ascii="仿宋" w:hAnsi="仿宋" w:eastAsia="仿宋" w:cs="仿宋"/>
          <w:sz w:val="24"/>
          <w:szCs w:val="24"/>
        </w:rPr>
        <w:t>6、联合体各方均为小型、微型企业（残疾人福利单位、监狱企业）的，联合体享受10%价格扣除，用扣除后的价格参与评审。</w:t>
      </w:r>
    </w:p>
    <w:p w14:paraId="57632CDF">
      <w:pPr>
        <w:pStyle w:val="13"/>
        <w:ind w:firstLine="482"/>
        <w:rPr>
          <w:rFonts w:ascii="仿宋" w:hAnsi="仿宋" w:eastAsia="仿宋" w:cs="仿宋"/>
          <w:b/>
          <w:bCs/>
          <w:sz w:val="24"/>
          <w:szCs w:val="24"/>
        </w:rPr>
      </w:pPr>
      <w:r>
        <w:rPr>
          <w:rFonts w:hint="eastAsia" w:ascii="仿宋" w:hAnsi="仿宋" w:eastAsia="仿宋" w:cs="仿宋"/>
          <w:b/>
          <w:bCs/>
          <w:sz w:val="24"/>
          <w:szCs w:val="24"/>
        </w:rPr>
        <w:t>7、专门面向中小企业采购的项目或者采购包，不再执行价格评审优惠的扶持政策。</w:t>
      </w:r>
    </w:p>
    <w:p w14:paraId="46A022B6">
      <w:pPr>
        <w:pStyle w:val="13"/>
        <w:ind w:firstLine="480"/>
        <w:rPr>
          <w:rFonts w:ascii="仿宋" w:hAnsi="仿宋" w:eastAsia="仿宋" w:cs="仿宋"/>
        </w:rPr>
      </w:pPr>
      <w:r>
        <w:rPr>
          <w:rFonts w:hint="eastAsia" w:ascii="仿宋" w:hAnsi="仿宋" w:eastAsia="仿宋" w:cs="仿宋"/>
          <w:sz w:val="24"/>
          <w:szCs w:val="24"/>
        </w:rPr>
        <w:t>8、根据《江苏省政府采购信用管理暂行办法》的规定，供应商信用评价结果为三星的扣2分，评价结果为二星的扣3分，评价结果为一星的扣4分</w:t>
      </w:r>
      <w:r>
        <w:rPr>
          <w:rFonts w:hint="eastAsia" w:ascii="仿宋" w:hAnsi="仿宋" w:eastAsia="仿宋" w:cs="仿宋"/>
        </w:rPr>
        <w:t>。</w:t>
      </w:r>
    </w:p>
    <w:p w14:paraId="038A648B">
      <w:pPr>
        <w:pStyle w:val="13"/>
        <w:ind w:firstLine="480"/>
        <w:rPr>
          <w:rFonts w:ascii="仿宋" w:hAnsi="仿宋" w:eastAsia="仿宋" w:cs="仿宋"/>
          <w:sz w:val="24"/>
          <w:szCs w:val="24"/>
        </w:rPr>
      </w:pPr>
      <w:r>
        <w:rPr>
          <w:rFonts w:hint="eastAsia" w:ascii="仿宋" w:hAnsi="仿宋" w:eastAsia="仿宋" w:cs="仿宋"/>
          <w:sz w:val="24"/>
          <w:szCs w:val="24"/>
        </w:rPr>
        <w:t>9、采购本国产品的支持政策</w:t>
      </w:r>
    </w:p>
    <w:p w14:paraId="7B98D9B7">
      <w:pPr>
        <w:pStyle w:val="13"/>
        <w:ind w:firstLine="480"/>
        <w:rPr>
          <w:rFonts w:ascii="仿宋" w:hAnsi="仿宋" w:eastAsia="仿宋" w:cs="仿宋"/>
          <w:sz w:val="24"/>
          <w:szCs w:val="24"/>
        </w:rPr>
      </w:pPr>
      <w:r>
        <w:rPr>
          <w:rFonts w:hint="eastAsia" w:ascii="仿宋" w:hAnsi="仿宋" w:eastAsia="仿宋" w:cs="仿宋"/>
          <w:sz w:val="24"/>
          <w:szCs w:val="24"/>
        </w:rPr>
        <w:t>9.1 本项目政府采购活动中既有本国产品又有非本国产品参与竞争的，依法对本国产品给予价格评审优惠，对本国产品的报价给予 20%的价格扣除，用扣除后的价格参与评审。</w:t>
      </w:r>
    </w:p>
    <w:p w14:paraId="0082C1A5">
      <w:pPr>
        <w:pStyle w:val="13"/>
        <w:ind w:firstLine="480"/>
        <w:rPr>
          <w:rFonts w:ascii="仿宋" w:hAnsi="仿宋" w:eastAsia="仿宋" w:cs="仿宋"/>
          <w:sz w:val="24"/>
          <w:szCs w:val="24"/>
        </w:rPr>
      </w:pPr>
      <w:r>
        <w:rPr>
          <w:rFonts w:hint="eastAsia" w:ascii="仿宋" w:hAnsi="仿宋" w:eastAsia="仿宋" w:cs="仿宋"/>
          <w:sz w:val="24"/>
          <w:szCs w:val="24"/>
        </w:rPr>
        <w:t>9.2 当采购项目或者采购包中含有多种产品，供应商为该采购项目或者采购包提供的符合本国产品标准的产品成本之和占该供应商提供的全部产品成本之和的比例达到80%以上时（供应商需在“第六章 响应文件格式”的“附件1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71EB08">
      <w:pPr>
        <w:pStyle w:val="13"/>
        <w:ind w:firstLine="480"/>
        <w:rPr>
          <w:rFonts w:ascii="仿宋" w:hAnsi="仿宋" w:eastAsia="仿宋" w:cs="仿宋"/>
          <w:sz w:val="24"/>
          <w:szCs w:val="24"/>
        </w:rPr>
      </w:pPr>
      <w:r>
        <w:rPr>
          <w:rFonts w:hint="eastAsia" w:ascii="仿宋" w:hAnsi="仿宋" w:eastAsia="仿宋" w:cs="仿宋"/>
          <w:sz w:val="24"/>
          <w:szCs w:val="24"/>
        </w:rPr>
        <w:t>9.3 供应商需按照招标文件的要求提供《关于符合本国产品标准的声明函》（以下简称《声明函》），如不提供将不享受本国产品价格评审优惠。</w:t>
      </w:r>
    </w:p>
    <w:p w14:paraId="1EABF2F1">
      <w:pPr>
        <w:pStyle w:val="13"/>
        <w:ind w:firstLine="480"/>
        <w:rPr>
          <w:rFonts w:ascii="仿宋" w:hAnsi="仿宋" w:eastAsia="仿宋" w:cs="仿宋"/>
          <w:sz w:val="24"/>
          <w:szCs w:val="24"/>
        </w:rPr>
      </w:pPr>
      <w:r>
        <w:rPr>
          <w:rFonts w:hint="eastAsia" w:ascii="仿宋" w:hAnsi="仿宋" w:eastAsia="仿宋" w:cs="仿宋"/>
          <w:sz w:val="24"/>
          <w:szCs w:val="24"/>
        </w:rPr>
        <w:t>9.4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09F8A07">
      <w:pPr>
        <w:pStyle w:val="13"/>
        <w:ind w:firstLine="480"/>
        <w:rPr>
          <w:rFonts w:ascii="仿宋" w:hAnsi="仿宋" w:eastAsia="仿宋" w:cs="仿宋"/>
          <w:sz w:val="24"/>
          <w:szCs w:val="24"/>
        </w:rPr>
      </w:pPr>
      <w:r>
        <w:rPr>
          <w:rFonts w:hint="eastAsia" w:ascii="仿宋" w:hAnsi="仿宋" w:eastAsia="仿宋" w:cs="仿宋"/>
          <w:sz w:val="24"/>
          <w:szCs w:val="24"/>
        </w:rPr>
        <w:t>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B74DB78">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三、评审方法与评审标准</w:t>
      </w:r>
    </w:p>
    <w:p w14:paraId="67D24646">
      <w:pPr>
        <w:pStyle w:val="13"/>
        <w:ind w:firstLine="480"/>
        <w:rPr>
          <w:rFonts w:ascii="仿宋" w:hAnsi="仿宋" w:eastAsia="仿宋" w:cs="仿宋"/>
          <w:sz w:val="24"/>
          <w:szCs w:val="24"/>
        </w:rPr>
      </w:pPr>
      <w:r>
        <w:rPr>
          <w:rFonts w:hint="eastAsia" w:ascii="仿宋" w:hAnsi="仿宋" w:eastAsia="仿宋" w:cs="仿宋"/>
          <w:sz w:val="24"/>
          <w:szCs w:val="24"/>
        </w:rPr>
        <w:t>本项目采用综合评分法，磋商小组将按下列评审方法与评审标准进行评分，总分值为100分。</w:t>
      </w:r>
    </w:p>
    <w:tbl>
      <w:tblPr>
        <w:tblStyle w:val="14"/>
        <w:tblpPr w:leftFromText="180" w:rightFromText="180" w:vertAnchor="text" w:horzAnchor="page" w:tblpX="1117" w:tblpY="545"/>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354"/>
        <w:gridCol w:w="792"/>
      </w:tblGrid>
      <w:tr w14:paraId="3773F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vAlign w:val="center"/>
          </w:tcPr>
          <w:p w14:paraId="4DB22179">
            <w:pPr>
              <w:jc w:val="center"/>
              <w:rPr>
                <w:rFonts w:ascii="仿宋" w:hAnsi="仿宋" w:eastAsia="仿宋" w:cs="仿宋"/>
                <w:b/>
                <w:bCs/>
                <w:sz w:val="22"/>
              </w:rPr>
            </w:pPr>
            <w:r>
              <w:rPr>
                <w:rFonts w:hint="eastAsia" w:ascii="仿宋" w:hAnsi="仿宋" w:eastAsia="仿宋" w:cs="仿宋"/>
                <w:b/>
                <w:bCs/>
                <w:sz w:val="22"/>
              </w:rPr>
              <w:t>序号</w:t>
            </w:r>
          </w:p>
        </w:tc>
        <w:tc>
          <w:tcPr>
            <w:tcW w:w="1508" w:type="dxa"/>
            <w:shd w:val="clear" w:color="auto" w:fill="BFBFBF"/>
            <w:vAlign w:val="center"/>
          </w:tcPr>
          <w:p w14:paraId="75771F28">
            <w:pPr>
              <w:jc w:val="center"/>
              <w:rPr>
                <w:rFonts w:ascii="仿宋" w:hAnsi="仿宋" w:eastAsia="仿宋" w:cs="仿宋"/>
                <w:b/>
                <w:bCs/>
                <w:sz w:val="22"/>
              </w:rPr>
            </w:pPr>
            <w:r>
              <w:rPr>
                <w:rFonts w:hint="eastAsia" w:ascii="仿宋" w:hAnsi="仿宋" w:eastAsia="仿宋" w:cs="仿宋"/>
                <w:b/>
                <w:bCs/>
                <w:sz w:val="22"/>
              </w:rPr>
              <w:t>评分因素</w:t>
            </w:r>
          </w:p>
        </w:tc>
        <w:tc>
          <w:tcPr>
            <w:tcW w:w="6874" w:type="dxa"/>
            <w:gridSpan w:val="2"/>
            <w:shd w:val="clear" w:color="auto" w:fill="BFBFBF"/>
            <w:vAlign w:val="center"/>
          </w:tcPr>
          <w:p w14:paraId="09F5A2C1">
            <w:pPr>
              <w:jc w:val="center"/>
              <w:rPr>
                <w:rFonts w:ascii="仿宋" w:hAnsi="仿宋" w:eastAsia="仿宋" w:cs="仿宋"/>
                <w:b/>
                <w:bCs/>
                <w:sz w:val="22"/>
              </w:rPr>
            </w:pPr>
            <w:r>
              <w:rPr>
                <w:rFonts w:hint="eastAsia" w:ascii="仿宋" w:hAnsi="仿宋" w:eastAsia="仿宋" w:cs="仿宋"/>
                <w:b/>
                <w:bCs/>
                <w:sz w:val="22"/>
              </w:rPr>
              <w:t>评分标准</w:t>
            </w:r>
          </w:p>
        </w:tc>
        <w:tc>
          <w:tcPr>
            <w:tcW w:w="792" w:type="dxa"/>
            <w:shd w:val="clear" w:color="auto" w:fill="BFBFBF"/>
            <w:vAlign w:val="center"/>
          </w:tcPr>
          <w:p w14:paraId="43ED50AF">
            <w:pPr>
              <w:jc w:val="center"/>
              <w:rPr>
                <w:rFonts w:ascii="仿宋" w:hAnsi="仿宋" w:eastAsia="仿宋" w:cs="仿宋"/>
                <w:b/>
                <w:bCs/>
                <w:sz w:val="22"/>
              </w:rPr>
            </w:pPr>
            <w:r>
              <w:rPr>
                <w:rFonts w:hint="eastAsia" w:ascii="仿宋" w:hAnsi="仿宋" w:eastAsia="仿宋" w:cs="仿宋"/>
                <w:b/>
                <w:bCs/>
                <w:sz w:val="22"/>
              </w:rPr>
              <w:t>分值</w:t>
            </w:r>
          </w:p>
        </w:tc>
      </w:tr>
      <w:tr w14:paraId="7712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vAlign w:val="center"/>
          </w:tcPr>
          <w:p w14:paraId="54DE531A">
            <w:pPr>
              <w:jc w:val="center"/>
              <w:rPr>
                <w:rFonts w:ascii="仿宋" w:hAnsi="仿宋" w:eastAsia="仿宋" w:cs="仿宋"/>
                <w:sz w:val="22"/>
              </w:rPr>
            </w:pPr>
            <w:r>
              <w:rPr>
                <w:rFonts w:hint="eastAsia" w:ascii="仿宋" w:hAnsi="仿宋" w:eastAsia="仿宋" w:cs="仿宋"/>
                <w:sz w:val="22"/>
              </w:rPr>
              <w:t>1</w:t>
            </w:r>
          </w:p>
        </w:tc>
        <w:tc>
          <w:tcPr>
            <w:tcW w:w="1508" w:type="dxa"/>
            <w:vAlign w:val="center"/>
          </w:tcPr>
          <w:p w14:paraId="06FB8E48">
            <w:pPr>
              <w:jc w:val="center"/>
              <w:rPr>
                <w:rFonts w:ascii="仿宋" w:hAnsi="仿宋" w:eastAsia="仿宋" w:cs="仿宋"/>
                <w:sz w:val="22"/>
              </w:rPr>
            </w:pPr>
            <w:r>
              <w:rPr>
                <w:rFonts w:hint="eastAsia" w:ascii="仿宋" w:hAnsi="仿宋" w:eastAsia="仿宋" w:cs="仿宋"/>
                <w:sz w:val="22"/>
              </w:rPr>
              <w:t>价格分（30分）</w:t>
            </w:r>
          </w:p>
        </w:tc>
        <w:tc>
          <w:tcPr>
            <w:tcW w:w="6874" w:type="dxa"/>
            <w:gridSpan w:val="2"/>
            <w:vAlign w:val="center"/>
          </w:tcPr>
          <w:p w14:paraId="69D0F822">
            <w:pPr>
              <w:pStyle w:val="13"/>
              <w:jc w:val="left"/>
              <w:rPr>
                <w:rFonts w:ascii="仿宋" w:hAnsi="仿宋" w:eastAsia="仿宋" w:cs="仿宋"/>
              </w:rPr>
            </w:pPr>
            <w:r>
              <w:rPr>
                <w:rFonts w:hint="eastAsia" w:ascii="仿宋" w:hAnsi="仿宋" w:eastAsia="仿宋" w:cs="仿宋"/>
              </w:rPr>
              <w:t>价格分统一采用低价优先法计算，即满足磋商文件要求且最后报价最低的供应商的价格为磋商基准价，其价格分为满分。其他供应商的价格分统一按照下列公式计算：</w:t>
            </w:r>
          </w:p>
          <w:p w14:paraId="30367406">
            <w:pPr>
              <w:pStyle w:val="13"/>
              <w:jc w:val="left"/>
              <w:rPr>
                <w:rFonts w:ascii="仿宋" w:hAnsi="仿宋" w:eastAsia="仿宋" w:cs="仿宋"/>
                <w:sz w:val="22"/>
                <w:szCs w:val="22"/>
              </w:rPr>
            </w:pPr>
            <w:r>
              <w:rPr>
                <w:rFonts w:hint="eastAsia" w:ascii="仿宋" w:hAnsi="仿宋" w:eastAsia="仿宋" w:cs="仿宋"/>
              </w:rPr>
              <w:t>磋商报价得分=（磋商基准价/最后磋商报价）×价格权值×100</w:t>
            </w:r>
          </w:p>
        </w:tc>
        <w:tc>
          <w:tcPr>
            <w:tcW w:w="792" w:type="dxa"/>
            <w:vAlign w:val="center"/>
          </w:tcPr>
          <w:p w14:paraId="41CC0363">
            <w:pPr>
              <w:jc w:val="center"/>
              <w:rPr>
                <w:rFonts w:ascii="仿宋" w:hAnsi="仿宋" w:eastAsia="仿宋" w:cs="仿宋"/>
                <w:szCs w:val="20"/>
              </w:rPr>
            </w:pPr>
            <w:r>
              <w:rPr>
                <w:rFonts w:hint="eastAsia" w:ascii="仿宋" w:hAnsi="仿宋" w:eastAsia="仿宋" w:cs="仿宋"/>
                <w:szCs w:val="20"/>
              </w:rPr>
              <w:t>30分</w:t>
            </w:r>
          </w:p>
        </w:tc>
      </w:tr>
      <w:tr w14:paraId="370D7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vAlign w:val="center"/>
          </w:tcPr>
          <w:p w14:paraId="4652E06C">
            <w:pPr>
              <w:jc w:val="center"/>
              <w:rPr>
                <w:rFonts w:ascii="仿宋" w:hAnsi="仿宋" w:eastAsia="仿宋" w:cs="仿宋"/>
                <w:sz w:val="22"/>
              </w:rPr>
            </w:pPr>
            <w:r>
              <w:rPr>
                <w:rFonts w:hint="eastAsia" w:ascii="仿宋" w:hAnsi="仿宋" w:eastAsia="仿宋" w:cs="仿宋"/>
                <w:sz w:val="22"/>
              </w:rPr>
              <w:t>2</w:t>
            </w:r>
          </w:p>
        </w:tc>
        <w:tc>
          <w:tcPr>
            <w:tcW w:w="1508" w:type="dxa"/>
            <w:vMerge w:val="restart"/>
            <w:vAlign w:val="center"/>
          </w:tcPr>
          <w:p w14:paraId="3EE1B53F">
            <w:pPr>
              <w:jc w:val="center"/>
              <w:rPr>
                <w:rFonts w:ascii="仿宋" w:hAnsi="仿宋" w:eastAsia="仿宋" w:cs="仿宋"/>
                <w:sz w:val="22"/>
              </w:rPr>
            </w:pPr>
            <w:r>
              <w:rPr>
                <w:rFonts w:hint="eastAsia" w:ascii="仿宋" w:hAnsi="仿宋" w:eastAsia="仿宋" w:cs="仿宋"/>
                <w:sz w:val="22"/>
              </w:rPr>
              <w:t>商务技术分（70分）</w:t>
            </w:r>
          </w:p>
        </w:tc>
        <w:tc>
          <w:tcPr>
            <w:tcW w:w="1520" w:type="dxa"/>
            <w:tcBorders>
              <w:bottom w:val="single" w:color="auto" w:sz="4" w:space="0"/>
              <w:right w:val="single" w:color="auto" w:sz="4" w:space="0"/>
            </w:tcBorders>
            <w:vAlign w:val="center"/>
          </w:tcPr>
          <w:p w14:paraId="46E96E04">
            <w:pPr>
              <w:rPr>
                <w:rFonts w:ascii="仿宋" w:hAnsi="仿宋" w:eastAsia="仿宋" w:cs="仿宋"/>
                <w:sz w:val="22"/>
                <w:highlight w:val="cyan"/>
              </w:rPr>
            </w:pPr>
            <w:r>
              <w:rPr>
                <w:rFonts w:hint="eastAsia" w:ascii="仿宋" w:hAnsi="仿宋" w:eastAsia="仿宋" w:cs="仿宋"/>
                <w:sz w:val="22"/>
              </w:rPr>
              <w:t>技术响应</w:t>
            </w:r>
          </w:p>
        </w:tc>
        <w:tc>
          <w:tcPr>
            <w:tcW w:w="5354" w:type="dxa"/>
            <w:tcBorders>
              <w:left w:val="single" w:color="auto" w:sz="4" w:space="0"/>
              <w:bottom w:val="single" w:color="auto" w:sz="4" w:space="0"/>
            </w:tcBorders>
            <w:vAlign w:val="center"/>
          </w:tcPr>
          <w:p w14:paraId="2BEB9EB5">
            <w:pPr>
              <w:rPr>
                <w:rFonts w:ascii="仿宋" w:hAnsi="仿宋" w:eastAsia="仿宋" w:cs="仿宋"/>
                <w:sz w:val="22"/>
              </w:rPr>
            </w:pPr>
            <w:r>
              <w:rPr>
                <w:rFonts w:hint="eastAsia" w:ascii="仿宋" w:hAnsi="仿宋" w:eastAsia="仿宋" w:cs="仿宋"/>
                <w:sz w:val="22"/>
              </w:rPr>
              <w:t>磋商文件采购需求中加斜体下划线的内容不接受负偏离，否则视作无</w:t>
            </w:r>
            <w:r>
              <w:rPr>
                <w:rFonts w:hint="eastAsia" w:ascii="仿宋" w:hAnsi="仿宋" w:eastAsia="仿宋" w:cs="仿宋"/>
                <w:szCs w:val="20"/>
              </w:rPr>
              <w:t>效响应处理；标注“▲”项为重要技术指标项，全部满足得29分，有一项负偏离扣1分，共29分，扣完为止。</w:t>
            </w:r>
            <w:r>
              <w:rPr>
                <w:rFonts w:hint="eastAsia" w:ascii="仿宋" w:hAnsi="仿宋" w:eastAsia="仿宋" w:cs="仿宋"/>
                <w:b/>
                <w:bCs/>
                <w:szCs w:val="20"/>
              </w:rPr>
              <w:t>（</w:t>
            </w:r>
            <w:r>
              <w:rPr>
                <w:rFonts w:hint="eastAsia" w:ascii="仿宋" w:hAnsi="仿宋" w:eastAsia="仿宋" w:cs="仿宋"/>
                <w:b/>
                <w:bCs/>
                <w:sz w:val="22"/>
              </w:rPr>
              <w:t>如未按要求提供佐证材料的，视为负偏离）</w:t>
            </w:r>
          </w:p>
        </w:tc>
        <w:tc>
          <w:tcPr>
            <w:tcW w:w="792" w:type="dxa"/>
            <w:tcBorders>
              <w:bottom w:val="single" w:color="auto" w:sz="4" w:space="0"/>
            </w:tcBorders>
            <w:vAlign w:val="center"/>
          </w:tcPr>
          <w:p w14:paraId="170CB399">
            <w:pPr>
              <w:rPr>
                <w:rFonts w:ascii="仿宋" w:hAnsi="仿宋" w:eastAsia="仿宋" w:cs="仿宋"/>
                <w:szCs w:val="20"/>
              </w:rPr>
            </w:pPr>
            <w:r>
              <w:rPr>
                <w:rFonts w:hint="eastAsia" w:ascii="仿宋" w:hAnsi="仿宋" w:eastAsia="仿宋" w:cs="仿宋"/>
                <w:szCs w:val="20"/>
              </w:rPr>
              <w:t>29分</w:t>
            </w:r>
          </w:p>
        </w:tc>
      </w:tr>
      <w:tr w14:paraId="136E7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5" w:type="dxa"/>
            <w:vMerge w:val="continue"/>
            <w:vAlign w:val="center"/>
          </w:tcPr>
          <w:p w14:paraId="34001BC9">
            <w:pPr>
              <w:jc w:val="center"/>
              <w:rPr>
                <w:rFonts w:ascii="仿宋" w:hAnsi="仿宋" w:eastAsia="仿宋" w:cs="仿宋"/>
                <w:sz w:val="22"/>
              </w:rPr>
            </w:pPr>
          </w:p>
        </w:tc>
        <w:tc>
          <w:tcPr>
            <w:tcW w:w="1508" w:type="dxa"/>
            <w:vMerge w:val="continue"/>
            <w:vAlign w:val="center"/>
          </w:tcPr>
          <w:p w14:paraId="6F4AC013">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1A72B587">
            <w:pPr>
              <w:rPr>
                <w:rFonts w:ascii="仿宋" w:hAnsi="仿宋" w:eastAsia="仿宋" w:cs="仿宋"/>
                <w:sz w:val="22"/>
              </w:rPr>
            </w:pPr>
            <w:r>
              <w:rPr>
                <w:rFonts w:hint="eastAsia" w:ascii="仿宋" w:hAnsi="仿宋" w:eastAsia="仿宋" w:cs="仿宋"/>
                <w:sz w:val="22"/>
              </w:rPr>
              <w:t>产品视频演示</w:t>
            </w:r>
          </w:p>
        </w:tc>
        <w:tc>
          <w:tcPr>
            <w:tcW w:w="5354" w:type="dxa"/>
            <w:tcBorders>
              <w:top w:val="single" w:color="auto" w:sz="4" w:space="0"/>
              <w:left w:val="single" w:color="auto" w:sz="4" w:space="0"/>
            </w:tcBorders>
          </w:tcPr>
          <w:p w14:paraId="670C8254">
            <w:pPr>
              <w:ind w:firstLine="442" w:firstLineChars="200"/>
              <w:rPr>
                <w:rFonts w:hint="eastAsia" w:ascii="仿宋" w:hAnsi="仿宋" w:eastAsia="仿宋" w:cs="仿宋"/>
                <w:b/>
                <w:bCs/>
                <w:color w:val="0000FF"/>
                <w:sz w:val="22"/>
              </w:rPr>
            </w:pPr>
            <w:r>
              <w:rPr>
                <w:rFonts w:hint="eastAsia" w:ascii="仿宋" w:hAnsi="仿宋" w:eastAsia="仿宋" w:cs="仿宋"/>
                <w:b/>
                <w:bCs/>
                <w:color w:val="0000FF"/>
                <w:sz w:val="22"/>
              </w:rPr>
              <w:t>供应商需按照</w:t>
            </w:r>
            <w:r>
              <w:rPr>
                <w:rFonts w:hint="eastAsia" w:ascii="仿宋" w:hAnsi="仿宋" w:eastAsia="仿宋" w:cs="仿宋"/>
                <w:b/>
                <w:bCs/>
                <w:color w:val="0000FF"/>
                <w:sz w:val="22"/>
                <w:lang w:val="zh-CN"/>
              </w:rPr>
              <w:t>磋商文件规定的演示内容制作演示视频文件</w:t>
            </w:r>
            <w:r>
              <w:rPr>
                <w:rFonts w:hint="eastAsia" w:ascii="仿宋" w:hAnsi="仿宋" w:eastAsia="仿宋" w:cs="仿宋"/>
                <w:b/>
                <w:bCs/>
                <w:color w:val="0000FF"/>
                <w:sz w:val="22"/>
              </w:rPr>
              <w:t>，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p>
          <w:p w14:paraId="08AD787C">
            <w:pPr>
              <w:rPr>
                <w:rFonts w:ascii="仿宋" w:hAnsi="仿宋" w:eastAsia="仿宋" w:cs="仿宋"/>
                <w:sz w:val="22"/>
              </w:rPr>
            </w:pPr>
            <w:r>
              <w:rPr>
                <w:rFonts w:hint="eastAsia" w:ascii="仿宋" w:hAnsi="仿宋" w:eastAsia="仿宋" w:cs="仿宋"/>
                <w:sz w:val="22"/>
              </w:rPr>
              <w:t>针对资源管理平台应用系统产品进行如下功能演示：</w:t>
            </w:r>
          </w:p>
          <w:p w14:paraId="28527DDC">
            <w:pPr>
              <w:rPr>
                <w:rFonts w:ascii="仿宋" w:hAnsi="仿宋" w:eastAsia="仿宋" w:cs="仿宋"/>
                <w:sz w:val="22"/>
              </w:rPr>
            </w:pPr>
            <w:r>
              <w:rPr>
                <w:rFonts w:hint="eastAsia" w:ascii="仿宋" w:hAnsi="仿宋" w:eastAsia="仿宋" w:cs="仿宋"/>
                <w:sz w:val="22"/>
              </w:rPr>
              <w:t>1. 课堂预警功能：按时间线展示本节课所有AI识别到的课堂异常预警，按预警类型用不同颜色区分，每个预警显示标记时间、持续时长，点击“查看视频”可直接跳转到预警发生的对应时间点，查看异常发生时的课堂画面。满足得2分，未提供不得分。</w:t>
            </w:r>
          </w:p>
          <w:p w14:paraId="2B8C6223">
            <w:pPr>
              <w:rPr>
                <w:rFonts w:ascii="仿宋" w:hAnsi="仿宋" w:eastAsia="仿宋" w:cs="仿宋"/>
                <w:sz w:val="22"/>
              </w:rPr>
            </w:pPr>
            <w:r>
              <w:rPr>
                <w:rFonts w:hint="eastAsia" w:ascii="仿宋" w:hAnsi="仿宋" w:eastAsia="仿宋" w:cs="仿宋"/>
                <w:sz w:val="22"/>
              </w:rPr>
              <w:t>2. 语音转写功能：自动将整节课教师与学生的语音实时转写为文字，自动提取课程核心知识点标签，支持关键词搜索快速定位内容；自动生成课堂全文摘要，总结本节课讲解的核心内容；标注语音转写准确率。满足得2分，未提供不得分。</w:t>
            </w:r>
          </w:p>
          <w:p w14:paraId="16037337">
            <w:pPr>
              <w:rPr>
                <w:rFonts w:ascii="仿宋" w:hAnsi="仿宋" w:eastAsia="仿宋" w:cs="仿宋"/>
                <w:sz w:val="22"/>
              </w:rPr>
            </w:pPr>
            <w:r>
              <w:rPr>
                <w:rFonts w:hint="eastAsia" w:ascii="仿宋" w:hAnsi="仿宋" w:eastAsia="仿宋" w:cs="仿宋"/>
                <w:sz w:val="22"/>
              </w:rPr>
              <w:t>3. 督导评课功能：支持AI自动评课与人工督导评课双维度评分，可根据课程类型选择理论课/实践课等不同评课模板；分别展示督导总分与AI总分，支持一键查看完整评课报告；按评课维度（教师素养与态度、教学内容与设计、教学方法与艺术、教学资源与信息化等）分项展示督导打分与AI打分，支持人工修改调整评分。满足得2分，未提供不得分。</w:t>
            </w:r>
          </w:p>
          <w:p w14:paraId="097ECEF1">
            <w:pPr>
              <w:rPr>
                <w:rFonts w:ascii="仿宋" w:hAnsi="仿宋" w:eastAsia="仿宋" w:cs="仿宋"/>
                <w:sz w:val="22"/>
              </w:rPr>
            </w:pPr>
            <w:r>
              <w:rPr>
                <w:rFonts w:hint="eastAsia" w:ascii="仿宋" w:hAnsi="仿宋" w:eastAsia="仿宋" w:cs="仿宋"/>
                <w:sz w:val="22"/>
              </w:rPr>
              <w:t>4. 知识点思维导图功能：自动生成本节课知识点思维导图，按课程核心模块分类梳理二级、三级知识点，用不同颜色区分知识模块，支持查看完整课程知识图谱，直观展示整门课程的知识结构体系。满足得2分，未提供不得分。</w:t>
            </w:r>
          </w:p>
          <w:p w14:paraId="55C05D36">
            <w:pPr>
              <w:rPr>
                <w:rFonts w:ascii="仿宋" w:hAnsi="仿宋" w:eastAsia="仿宋" w:cs="仿宋"/>
                <w:sz w:val="22"/>
              </w:rPr>
            </w:pPr>
            <w:r>
              <w:rPr>
                <w:rFonts w:hint="eastAsia" w:ascii="仿宋" w:hAnsi="仿宋" w:eastAsia="仿宋" w:cs="仿宋"/>
                <w:sz w:val="22"/>
              </w:rPr>
              <w:t>5.支持单节课的多画面同步回放，支持切换主显示画面，提供播放/暂停、进度条拖动、全屏等标准播放控制功能。满足得2分，未提供不得分。</w:t>
            </w:r>
          </w:p>
        </w:tc>
        <w:tc>
          <w:tcPr>
            <w:tcW w:w="792" w:type="dxa"/>
            <w:tcBorders>
              <w:top w:val="single" w:color="auto" w:sz="4" w:space="0"/>
            </w:tcBorders>
            <w:vAlign w:val="center"/>
          </w:tcPr>
          <w:p w14:paraId="14B651B3">
            <w:pPr>
              <w:rPr>
                <w:rFonts w:ascii="仿宋" w:hAnsi="仿宋" w:eastAsia="仿宋" w:cs="仿宋"/>
                <w:szCs w:val="20"/>
              </w:rPr>
            </w:pPr>
            <w:r>
              <w:rPr>
                <w:rFonts w:hint="eastAsia" w:ascii="仿宋" w:hAnsi="仿宋" w:eastAsia="仿宋" w:cs="仿宋"/>
                <w:szCs w:val="20"/>
              </w:rPr>
              <w:t>10分</w:t>
            </w:r>
          </w:p>
        </w:tc>
      </w:tr>
      <w:tr w14:paraId="01FF4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72A97138">
            <w:pPr>
              <w:jc w:val="center"/>
              <w:rPr>
                <w:rFonts w:ascii="仿宋" w:hAnsi="仿宋" w:eastAsia="仿宋" w:cs="仿宋"/>
                <w:sz w:val="22"/>
              </w:rPr>
            </w:pPr>
          </w:p>
        </w:tc>
        <w:tc>
          <w:tcPr>
            <w:tcW w:w="1508" w:type="dxa"/>
            <w:vMerge w:val="continue"/>
            <w:vAlign w:val="center"/>
          </w:tcPr>
          <w:p w14:paraId="3753AE31">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2099D22D">
            <w:pPr>
              <w:rPr>
                <w:rFonts w:ascii="仿宋" w:hAnsi="仿宋" w:eastAsia="仿宋" w:cs="仿宋"/>
                <w:sz w:val="22"/>
              </w:rPr>
            </w:pPr>
            <w:r>
              <w:rPr>
                <w:rFonts w:hint="eastAsia" w:ascii="仿宋" w:hAnsi="仿宋" w:eastAsia="仿宋" w:cs="仿宋"/>
                <w:sz w:val="22"/>
              </w:rPr>
              <w:t>产品质量、适用及厂商认证</w:t>
            </w:r>
          </w:p>
        </w:tc>
        <w:tc>
          <w:tcPr>
            <w:tcW w:w="5354" w:type="dxa"/>
            <w:tcBorders>
              <w:top w:val="single" w:color="auto" w:sz="4" w:space="0"/>
              <w:left w:val="single" w:color="auto" w:sz="4" w:space="0"/>
            </w:tcBorders>
          </w:tcPr>
          <w:p w14:paraId="0AE9063A">
            <w:pPr>
              <w:rPr>
                <w:rFonts w:ascii="仿宋" w:hAnsi="仿宋" w:eastAsia="仿宋" w:cs="仿宋"/>
                <w:b/>
                <w:bCs/>
                <w:sz w:val="22"/>
              </w:rPr>
            </w:pPr>
            <w:r>
              <w:rPr>
                <w:rFonts w:hint="eastAsia" w:ascii="仿宋" w:hAnsi="仿宋" w:eastAsia="仿宋" w:cs="仿宋"/>
                <w:sz w:val="22"/>
              </w:rPr>
              <w:t>1.支持对学校录制下来的课件资源以及教室产生的大量敏感数据按照国家相关标准进行加密的，得1分。</w:t>
            </w:r>
            <w:r>
              <w:rPr>
                <w:rFonts w:hint="eastAsia" w:ascii="仿宋" w:hAnsi="仿宋" w:eastAsia="仿宋" w:cs="仿宋"/>
                <w:b/>
                <w:bCs/>
                <w:sz w:val="22"/>
              </w:rPr>
              <w:t>（响应时提供所投录播系统品牌厂商相关加密系统软件著作权证书或软件测试报告原件扫描件佐证，否则不得分）</w:t>
            </w:r>
          </w:p>
          <w:p w14:paraId="33BAAF12">
            <w:pPr>
              <w:rPr>
                <w:rFonts w:ascii="仿宋" w:hAnsi="仿宋" w:eastAsia="仿宋" w:cs="仿宋"/>
                <w:b/>
                <w:bCs/>
                <w:sz w:val="22"/>
              </w:rPr>
            </w:pPr>
            <w:r>
              <w:rPr>
                <w:rFonts w:hint="eastAsia" w:ascii="仿宋" w:hAnsi="仿宋" w:eastAsia="仿宋" w:cs="仿宋"/>
                <w:sz w:val="22"/>
              </w:rPr>
              <w:t>2.为保证设备稳定性，所投4K录播一体机、智能分析主机、4K超高清摄像机产品使用平均无故障运行时间(MTBF) ≥</w:t>
            </w:r>
            <w:r>
              <w:rPr>
                <w:rFonts w:ascii="仿宋" w:hAnsi="仿宋" w:eastAsia="仿宋" w:cs="仿宋"/>
                <w:sz w:val="22"/>
              </w:rPr>
              <w:t>15</w:t>
            </w:r>
            <w:r>
              <w:rPr>
                <w:rFonts w:hint="eastAsia" w:ascii="仿宋" w:hAnsi="仿宋" w:eastAsia="仿宋" w:cs="仿宋"/>
                <w:sz w:val="22"/>
              </w:rPr>
              <w:t>万小时的，有1个得1分，最高得 3 分。</w:t>
            </w:r>
            <w:r>
              <w:rPr>
                <w:rFonts w:hint="eastAsia" w:ascii="仿宋" w:hAnsi="仿宋" w:eastAsia="仿宋" w:cs="仿宋"/>
                <w:b/>
                <w:bCs/>
                <w:sz w:val="22"/>
              </w:rPr>
              <w:t>（响应时提供所投该项产品平均无故障运行时间检测报告原件扫描件佐证，否则不得分）</w:t>
            </w:r>
          </w:p>
          <w:p w14:paraId="359E7FEB">
            <w:pPr>
              <w:rPr>
                <w:szCs w:val="21"/>
              </w:rPr>
            </w:pPr>
            <w:r>
              <w:rPr>
                <w:rFonts w:hint="eastAsia" w:ascii="仿宋" w:hAnsi="仿宋" w:eastAsia="仿宋"/>
                <w:b/>
                <w:bCs/>
                <w:sz w:val="22"/>
              </w:rPr>
              <w:t>3.</w:t>
            </w:r>
            <w:r>
              <w:rPr>
                <w:rFonts w:hint="eastAsia" w:ascii="仿宋" w:hAnsi="仿宋" w:eastAsia="仿宋"/>
                <w:sz w:val="22"/>
              </w:rPr>
              <w:t>所投教师与学生移动学习终端产品具备低蓝光和无频闪双护眼认证或具备全局护眼认证的，得1分。</w:t>
            </w:r>
            <w:r>
              <w:rPr>
                <w:rFonts w:hint="eastAsia" w:ascii="仿宋" w:hAnsi="仿宋" w:eastAsia="仿宋"/>
                <w:b/>
                <w:bCs/>
                <w:sz w:val="22"/>
              </w:rPr>
              <w:t>（响应时提供所投该项产品权威机构护眼认证原件扫描件佐证，否则不得分）</w:t>
            </w:r>
          </w:p>
        </w:tc>
        <w:tc>
          <w:tcPr>
            <w:tcW w:w="792" w:type="dxa"/>
            <w:tcBorders>
              <w:top w:val="single" w:color="auto" w:sz="4" w:space="0"/>
            </w:tcBorders>
            <w:vAlign w:val="center"/>
          </w:tcPr>
          <w:p w14:paraId="63990BC7">
            <w:pPr>
              <w:rPr>
                <w:rFonts w:ascii="仿宋" w:hAnsi="仿宋" w:eastAsia="仿宋" w:cs="仿宋"/>
                <w:szCs w:val="20"/>
              </w:rPr>
            </w:pPr>
            <w:r>
              <w:rPr>
                <w:rFonts w:ascii="仿宋" w:hAnsi="仿宋" w:eastAsia="仿宋" w:cs="仿宋"/>
                <w:szCs w:val="20"/>
              </w:rPr>
              <w:t>5</w:t>
            </w:r>
            <w:r>
              <w:rPr>
                <w:rFonts w:hint="eastAsia" w:ascii="仿宋" w:hAnsi="仿宋" w:eastAsia="仿宋" w:cs="仿宋"/>
                <w:szCs w:val="20"/>
              </w:rPr>
              <w:t>分</w:t>
            </w:r>
          </w:p>
          <w:p w14:paraId="130EEBC2">
            <w:pPr>
              <w:rPr>
                <w:rFonts w:ascii="仿宋" w:hAnsi="仿宋" w:eastAsia="仿宋" w:cs="仿宋"/>
                <w:szCs w:val="20"/>
              </w:rPr>
            </w:pPr>
          </w:p>
        </w:tc>
      </w:tr>
      <w:tr w14:paraId="6A196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 w:hRule="atLeast"/>
        </w:trPr>
        <w:tc>
          <w:tcPr>
            <w:tcW w:w="665" w:type="dxa"/>
            <w:vMerge w:val="continue"/>
            <w:vAlign w:val="center"/>
          </w:tcPr>
          <w:p w14:paraId="5C8A2A29">
            <w:pPr>
              <w:jc w:val="center"/>
              <w:rPr>
                <w:rFonts w:ascii="仿宋" w:hAnsi="仿宋" w:eastAsia="仿宋" w:cs="仿宋"/>
                <w:sz w:val="22"/>
              </w:rPr>
            </w:pPr>
          </w:p>
        </w:tc>
        <w:tc>
          <w:tcPr>
            <w:tcW w:w="1508" w:type="dxa"/>
            <w:vMerge w:val="continue"/>
            <w:vAlign w:val="center"/>
          </w:tcPr>
          <w:p w14:paraId="1A8A1B2F">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61728718">
            <w:pPr>
              <w:jc w:val="center"/>
              <w:rPr>
                <w:rFonts w:ascii="仿宋" w:hAnsi="仿宋" w:eastAsia="仿宋" w:cs="仿宋"/>
                <w:sz w:val="22"/>
                <w:highlight w:val="green"/>
              </w:rPr>
            </w:pPr>
            <w:r>
              <w:rPr>
                <w:rFonts w:hint="eastAsia" w:ascii="仿宋" w:hAnsi="仿宋" w:eastAsia="仿宋" w:cs="仿宋"/>
                <w:sz w:val="22"/>
              </w:rPr>
              <w:t>投标人实力</w:t>
            </w:r>
          </w:p>
        </w:tc>
        <w:tc>
          <w:tcPr>
            <w:tcW w:w="5354" w:type="dxa"/>
            <w:tcBorders>
              <w:top w:val="single" w:color="auto" w:sz="4" w:space="0"/>
              <w:left w:val="single" w:color="auto" w:sz="4" w:space="0"/>
            </w:tcBorders>
            <w:vAlign w:val="center"/>
          </w:tcPr>
          <w:p w14:paraId="376D7C35">
            <w:pPr>
              <w:rPr>
                <w:rFonts w:ascii="仿宋" w:hAnsi="仿宋" w:eastAsia="仿宋" w:cs="仿宋"/>
                <w:sz w:val="22"/>
              </w:rPr>
            </w:pPr>
            <w:r>
              <w:rPr>
                <w:rFonts w:hint="eastAsia" w:ascii="仿宋" w:hAnsi="仿宋" w:eastAsia="仿宋" w:cs="仿宋"/>
                <w:sz w:val="22"/>
              </w:rPr>
              <w:t>1、投标人提供有效期内 ISO9001 质量管理体系、ISO27001 信息安全管理体系认证证书，每提供 1 个得 1 分，本项最多得 2 分；证书需为国家认监委批准机构颁发，且覆盖范围与本项目相关；</w:t>
            </w:r>
          </w:p>
          <w:p w14:paraId="7D3F3C6A">
            <w:pPr>
              <w:rPr>
                <w:rFonts w:ascii="仿宋" w:hAnsi="仿宋" w:eastAsia="仿宋" w:cs="仿宋"/>
                <w:b/>
                <w:bCs/>
                <w:sz w:val="22"/>
              </w:rPr>
            </w:pPr>
            <w:r>
              <w:rPr>
                <w:rFonts w:hint="eastAsia" w:ascii="仿宋" w:hAnsi="仿宋" w:eastAsia="仿宋" w:cs="仿宋"/>
                <w:sz w:val="22"/>
              </w:rPr>
              <w:t>2、为确保学校智慧教室与录播系统常态化运行以及项目整体运维的技术服务质量，对投标人技术服务水平有较高要求，投标人ITSS信息技术服务运行维护能力达四级认证的得1分；三级及以上认证的得2分；本项最高得2分；</w:t>
            </w:r>
          </w:p>
          <w:p w14:paraId="70ED9C2C">
            <w:pPr>
              <w:rPr>
                <w:rFonts w:ascii="仿宋" w:hAnsi="仿宋" w:eastAsia="仿宋" w:cs="仿宋"/>
                <w:b/>
                <w:bCs/>
                <w:sz w:val="22"/>
              </w:rPr>
            </w:pPr>
            <w:r>
              <w:rPr>
                <w:rFonts w:hint="eastAsia" w:ascii="仿宋" w:hAnsi="仿宋" w:eastAsia="仿宋" w:cs="仿宋"/>
                <w:b/>
                <w:bCs/>
                <w:sz w:val="22"/>
              </w:rPr>
              <w:t>响应时提供以上有效期内证书原件彩色扫描件，未提供不得分。</w:t>
            </w:r>
          </w:p>
        </w:tc>
        <w:tc>
          <w:tcPr>
            <w:tcW w:w="792" w:type="dxa"/>
            <w:tcBorders>
              <w:top w:val="single" w:color="auto" w:sz="4" w:space="0"/>
            </w:tcBorders>
            <w:vAlign w:val="center"/>
          </w:tcPr>
          <w:p w14:paraId="57EAE4E8">
            <w:pPr>
              <w:jc w:val="center"/>
              <w:rPr>
                <w:rFonts w:ascii="仿宋" w:hAnsi="仿宋" w:eastAsia="仿宋" w:cs="仿宋"/>
                <w:sz w:val="22"/>
              </w:rPr>
            </w:pPr>
            <w:r>
              <w:rPr>
                <w:rFonts w:hint="eastAsia" w:ascii="仿宋" w:hAnsi="仿宋" w:eastAsia="仿宋" w:cs="仿宋"/>
                <w:sz w:val="22"/>
              </w:rPr>
              <w:t>4分</w:t>
            </w:r>
          </w:p>
        </w:tc>
      </w:tr>
      <w:tr w14:paraId="0F2D6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37FEEC20">
            <w:pPr>
              <w:jc w:val="center"/>
              <w:rPr>
                <w:rFonts w:ascii="仿宋" w:hAnsi="仿宋" w:eastAsia="仿宋" w:cs="仿宋"/>
                <w:sz w:val="22"/>
              </w:rPr>
            </w:pPr>
          </w:p>
        </w:tc>
        <w:tc>
          <w:tcPr>
            <w:tcW w:w="1508" w:type="dxa"/>
            <w:vMerge w:val="continue"/>
            <w:vAlign w:val="center"/>
          </w:tcPr>
          <w:p w14:paraId="50A3916B">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03229A61">
            <w:pPr>
              <w:jc w:val="center"/>
              <w:rPr>
                <w:rFonts w:ascii="仿宋" w:hAnsi="仿宋" w:eastAsia="仿宋" w:cs="仿宋"/>
                <w:sz w:val="22"/>
              </w:rPr>
            </w:pPr>
            <w:r>
              <w:rPr>
                <w:rFonts w:hint="eastAsia" w:ascii="仿宋" w:hAnsi="仿宋" w:eastAsia="仿宋" w:cs="仿宋"/>
                <w:sz w:val="22"/>
              </w:rPr>
              <w:t>人员能力</w:t>
            </w:r>
          </w:p>
        </w:tc>
        <w:tc>
          <w:tcPr>
            <w:tcW w:w="5354" w:type="dxa"/>
            <w:tcBorders>
              <w:top w:val="single" w:color="auto" w:sz="4" w:space="0"/>
              <w:left w:val="single" w:color="auto" w:sz="4" w:space="0"/>
            </w:tcBorders>
            <w:vAlign w:val="center"/>
          </w:tcPr>
          <w:p w14:paraId="6FEF2FAC">
            <w:pPr>
              <w:jc w:val="left"/>
              <w:rPr>
                <w:rFonts w:ascii="仿宋" w:hAnsi="仿宋" w:eastAsia="仿宋" w:cs="仿宋"/>
                <w:sz w:val="22"/>
              </w:rPr>
            </w:pPr>
            <w:r>
              <w:rPr>
                <w:rFonts w:hint="eastAsia" w:ascii="仿宋" w:hAnsi="仿宋" w:eastAsia="仿宋" w:cs="仿宋"/>
                <w:sz w:val="22"/>
              </w:rPr>
              <w:t>投标人针对本项目安排专业技术人员组成安装集成服务团队，其中：</w:t>
            </w:r>
          </w:p>
          <w:p w14:paraId="10979A55">
            <w:pPr>
              <w:jc w:val="left"/>
              <w:rPr>
                <w:rFonts w:ascii="仿宋" w:hAnsi="仿宋" w:eastAsia="仿宋" w:cs="仿宋"/>
                <w:sz w:val="22"/>
              </w:rPr>
            </w:pPr>
            <w:r>
              <w:rPr>
                <w:rFonts w:hint="eastAsia" w:ascii="仿宋" w:hAnsi="仿宋" w:eastAsia="仿宋" w:cs="仿宋"/>
                <w:sz w:val="22"/>
              </w:rPr>
              <w:t>①团队技术负责人具备信息系统项目高级管理师证书的得3分；</w:t>
            </w:r>
          </w:p>
          <w:p w14:paraId="258E7CF2">
            <w:pPr>
              <w:jc w:val="left"/>
              <w:rPr>
                <w:rFonts w:ascii="仿宋" w:hAnsi="仿宋" w:eastAsia="仿宋" w:cs="仿宋"/>
                <w:sz w:val="22"/>
              </w:rPr>
            </w:pPr>
            <w:r>
              <w:rPr>
                <w:rFonts w:hint="eastAsia" w:ascii="仿宋" w:hAnsi="仿宋" w:eastAsia="仿宋" w:cs="仿宋"/>
                <w:sz w:val="22"/>
              </w:rPr>
              <w:t>②成员中具有计算机与网络专业方向技术资格证书的得2分；</w:t>
            </w:r>
          </w:p>
          <w:p w14:paraId="5670F5BE">
            <w:pPr>
              <w:jc w:val="left"/>
              <w:rPr>
                <w:rFonts w:ascii="仿宋" w:hAnsi="仿宋" w:eastAsia="仿宋" w:cs="仿宋"/>
                <w:sz w:val="22"/>
              </w:rPr>
            </w:pPr>
            <w:r>
              <w:rPr>
                <w:rFonts w:hint="eastAsia" w:ascii="仿宋" w:hAnsi="仿宋" w:eastAsia="仿宋" w:cs="仿宋"/>
                <w:sz w:val="22"/>
              </w:rPr>
              <w:t>③成员中具有网络安全工程专业技术资格证书的得1分；</w:t>
            </w:r>
          </w:p>
          <w:p w14:paraId="3232D9A0">
            <w:pPr>
              <w:jc w:val="left"/>
              <w:rPr>
                <w:rFonts w:ascii="仿宋" w:hAnsi="仿宋" w:eastAsia="仿宋" w:cs="仿宋"/>
                <w:sz w:val="22"/>
              </w:rPr>
            </w:pPr>
            <w:r>
              <w:rPr>
                <w:rFonts w:hint="eastAsia" w:ascii="仿宋" w:hAnsi="仿宋" w:eastAsia="仿宋" w:cs="仿宋"/>
                <w:sz w:val="22"/>
              </w:rPr>
              <w:t>以上①至③中同一成员不重复计分，若出现同一成员的，以该人员获得证书的较高分计算得分。</w:t>
            </w:r>
          </w:p>
          <w:p w14:paraId="56DEDD9A">
            <w:pPr>
              <w:jc w:val="left"/>
              <w:rPr>
                <w:rFonts w:ascii="仿宋" w:hAnsi="仿宋" w:eastAsia="仿宋" w:cs="仿宋"/>
                <w:b/>
                <w:bCs/>
                <w:sz w:val="22"/>
              </w:rPr>
            </w:pPr>
            <w:r>
              <w:rPr>
                <w:rFonts w:hint="eastAsia" w:ascii="仿宋" w:hAnsi="仿宋" w:eastAsia="仿宋" w:cs="仿宋"/>
                <w:b/>
                <w:bCs/>
                <w:sz w:val="22"/>
              </w:rPr>
              <w:t>响应时提供以上人员证书及投标人为以上人员缴纳的近 3个月内（2026年5月-2026年7月）任意 1个月养老保险缴纳证明文件的原件彩色扫描件，未提供不得分。</w:t>
            </w:r>
          </w:p>
          <w:p w14:paraId="7D610E1F">
            <w:pPr>
              <w:jc w:val="left"/>
              <w:rPr>
                <w:rFonts w:ascii="仿宋" w:hAnsi="仿宋" w:eastAsia="仿宋" w:cs="仿宋"/>
                <w:sz w:val="22"/>
              </w:rPr>
            </w:pPr>
            <w:r>
              <w:rPr>
                <w:rFonts w:hint="eastAsia" w:ascii="仿宋" w:hAnsi="仿宋" w:eastAsia="仿宋" w:cs="仿宋"/>
                <w:b/>
                <w:bCs/>
                <w:sz w:val="22"/>
              </w:rPr>
              <w:t>注：本项目不允许代维、转包（实施期间以上人员须现场考勤）</w:t>
            </w:r>
          </w:p>
        </w:tc>
        <w:tc>
          <w:tcPr>
            <w:tcW w:w="792" w:type="dxa"/>
            <w:tcBorders>
              <w:top w:val="single" w:color="auto" w:sz="4" w:space="0"/>
            </w:tcBorders>
            <w:vAlign w:val="center"/>
          </w:tcPr>
          <w:p w14:paraId="70D6B189">
            <w:pPr>
              <w:jc w:val="center"/>
              <w:rPr>
                <w:rFonts w:ascii="仿宋" w:hAnsi="仿宋" w:eastAsia="仿宋" w:cs="仿宋"/>
                <w:sz w:val="22"/>
              </w:rPr>
            </w:pPr>
            <w:r>
              <w:rPr>
                <w:rFonts w:hint="eastAsia" w:ascii="仿宋" w:hAnsi="仿宋" w:eastAsia="仿宋" w:cs="仿宋"/>
                <w:sz w:val="22"/>
              </w:rPr>
              <w:t>6分</w:t>
            </w:r>
          </w:p>
        </w:tc>
      </w:tr>
      <w:tr w14:paraId="621DE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059DB16B">
            <w:pPr>
              <w:jc w:val="center"/>
              <w:rPr>
                <w:rFonts w:ascii="仿宋" w:hAnsi="仿宋" w:eastAsia="仿宋" w:cs="仿宋"/>
                <w:sz w:val="22"/>
              </w:rPr>
            </w:pPr>
          </w:p>
        </w:tc>
        <w:tc>
          <w:tcPr>
            <w:tcW w:w="1508" w:type="dxa"/>
            <w:vMerge w:val="continue"/>
            <w:vAlign w:val="center"/>
          </w:tcPr>
          <w:p w14:paraId="47C316F8">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6BF64901">
            <w:pPr>
              <w:jc w:val="center"/>
              <w:rPr>
                <w:rFonts w:ascii="仿宋" w:hAnsi="仿宋" w:eastAsia="仿宋" w:cs="仿宋"/>
                <w:sz w:val="22"/>
                <w:highlight w:val="green"/>
              </w:rPr>
            </w:pPr>
            <w:r>
              <w:rPr>
                <w:rFonts w:hint="eastAsia" w:ascii="仿宋" w:hAnsi="仿宋" w:eastAsia="仿宋" w:cs="仿宋"/>
                <w:sz w:val="22"/>
              </w:rPr>
              <w:t>业绩</w:t>
            </w:r>
          </w:p>
        </w:tc>
        <w:tc>
          <w:tcPr>
            <w:tcW w:w="5354" w:type="dxa"/>
            <w:tcBorders>
              <w:top w:val="single" w:color="auto" w:sz="4" w:space="0"/>
              <w:left w:val="single" w:color="auto" w:sz="4" w:space="0"/>
            </w:tcBorders>
            <w:vAlign w:val="center"/>
          </w:tcPr>
          <w:p w14:paraId="6D17EA7E">
            <w:pPr>
              <w:jc w:val="left"/>
              <w:rPr>
                <w:rFonts w:ascii="仿宋" w:hAnsi="仿宋" w:eastAsia="仿宋" w:cs="仿宋"/>
                <w:sz w:val="22"/>
              </w:rPr>
            </w:pPr>
            <w:r>
              <w:rPr>
                <w:rFonts w:hint="eastAsia" w:ascii="仿宋" w:hAnsi="仿宋" w:eastAsia="仿宋" w:cs="仿宋"/>
                <w:sz w:val="22"/>
              </w:rPr>
              <w:t>投标人具有2</w:t>
            </w:r>
            <w:r>
              <w:rPr>
                <w:rFonts w:ascii="仿宋" w:hAnsi="仿宋" w:eastAsia="仿宋" w:cs="仿宋"/>
                <w:sz w:val="22"/>
              </w:rPr>
              <w:t>023</w:t>
            </w:r>
            <w:r>
              <w:rPr>
                <w:rFonts w:hint="eastAsia" w:ascii="仿宋" w:hAnsi="仿宋" w:eastAsia="仿宋" w:cs="仿宋"/>
                <w:sz w:val="22"/>
              </w:rPr>
              <w:t>年1月1日以来（以合同签订时间为准）类似项目业绩（含学校教室录播系统设备采购、系统集成），有一个得2分，最高得4分。</w:t>
            </w:r>
            <w:r>
              <w:rPr>
                <w:rFonts w:hint="eastAsia" w:ascii="仿宋" w:hAnsi="仿宋" w:eastAsia="仿宋" w:cs="仿宋"/>
                <w:b/>
                <w:bCs/>
                <w:sz w:val="22"/>
              </w:rPr>
              <w:t>（案例的采购人应为最终业主方，须提供中标(成交)通知书、采购合同、验收单及对应结算正式发票的扫描件，缺一不可，否则不得分，原件签订合同前备查。）</w:t>
            </w:r>
          </w:p>
        </w:tc>
        <w:tc>
          <w:tcPr>
            <w:tcW w:w="792" w:type="dxa"/>
            <w:tcBorders>
              <w:top w:val="single" w:color="auto" w:sz="4" w:space="0"/>
            </w:tcBorders>
            <w:vAlign w:val="center"/>
          </w:tcPr>
          <w:p w14:paraId="5155944F">
            <w:pPr>
              <w:jc w:val="center"/>
              <w:rPr>
                <w:rFonts w:ascii="仿宋" w:hAnsi="仿宋" w:eastAsia="仿宋" w:cs="仿宋"/>
                <w:sz w:val="22"/>
              </w:rPr>
            </w:pPr>
            <w:r>
              <w:rPr>
                <w:rFonts w:hint="eastAsia" w:ascii="仿宋" w:hAnsi="仿宋" w:eastAsia="仿宋" w:cs="仿宋"/>
                <w:sz w:val="22"/>
              </w:rPr>
              <w:t>4分</w:t>
            </w:r>
          </w:p>
        </w:tc>
      </w:tr>
      <w:tr w14:paraId="298B6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5" w:type="dxa"/>
            <w:vMerge w:val="continue"/>
            <w:vAlign w:val="center"/>
          </w:tcPr>
          <w:p w14:paraId="6A7B3F7D">
            <w:pPr>
              <w:jc w:val="center"/>
              <w:rPr>
                <w:rFonts w:ascii="仿宋" w:hAnsi="仿宋" w:eastAsia="仿宋" w:cs="仿宋"/>
                <w:sz w:val="22"/>
              </w:rPr>
            </w:pPr>
          </w:p>
        </w:tc>
        <w:tc>
          <w:tcPr>
            <w:tcW w:w="1508" w:type="dxa"/>
            <w:vMerge w:val="continue"/>
            <w:vAlign w:val="center"/>
          </w:tcPr>
          <w:p w14:paraId="5657AB9F">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1CF33456">
            <w:pPr>
              <w:jc w:val="center"/>
              <w:rPr>
                <w:rFonts w:ascii="仿宋" w:hAnsi="仿宋" w:eastAsia="仿宋" w:cs="仿宋"/>
                <w:sz w:val="22"/>
                <w:highlight w:val="green"/>
              </w:rPr>
            </w:pPr>
            <w:r>
              <w:rPr>
                <w:rFonts w:hint="eastAsia" w:ascii="仿宋" w:hAnsi="仿宋" w:eastAsia="仿宋" w:cs="仿宋"/>
                <w:sz w:val="22"/>
              </w:rPr>
              <w:t>项目实施与服务方案</w:t>
            </w:r>
          </w:p>
        </w:tc>
        <w:tc>
          <w:tcPr>
            <w:tcW w:w="5354" w:type="dxa"/>
            <w:tcBorders>
              <w:top w:val="single" w:color="auto" w:sz="4" w:space="0"/>
              <w:left w:val="single" w:color="auto" w:sz="4" w:space="0"/>
            </w:tcBorders>
            <w:vAlign w:val="center"/>
          </w:tcPr>
          <w:p w14:paraId="2E198A9C">
            <w:pPr>
              <w:pStyle w:val="3"/>
              <w:rPr>
                <w:rFonts w:ascii="仿宋" w:hAnsi="仿宋" w:eastAsia="仿宋" w:cs="仿宋"/>
                <w:sz w:val="22"/>
              </w:rPr>
            </w:pPr>
            <w:r>
              <w:rPr>
                <w:rFonts w:hint="eastAsia" w:ascii="仿宋" w:hAnsi="仿宋" w:eastAsia="仿宋" w:cs="仿宋"/>
                <w:sz w:val="22"/>
              </w:rPr>
              <w:t>1.投标人根据需求进行充分调研，全面了解用户需求和目标，提供具体详实的项目实施与服务方案；方案应有针对性，包括：①人员配置与进度安排、②供货方案、③安装调试方案、④与教体局现有录播系统平台对接方案、⑤质量保证措施、⑥安全文明措施、⑦试运行、⑧培训、⑨售后服务；上述9个方面每一项内容得分1分，每有一项内容存在缺陷或不足的该点内容不得分。本项最高得分9分；照抄磋商文件或未提供的不得分。</w:t>
            </w:r>
          </w:p>
          <w:p w14:paraId="0B1FB58C">
            <w:pPr>
              <w:jc w:val="left"/>
              <w:rPr>
                <w:rFonts w:ascii="仿宋" w:hAnsi="仿宋" w:eastAsia="仿宋" w:cs="仿宋"/>
                <w:sz w:val="22"/>
              </w:rPr>
            </w:pPr>
            <w:r>
              <w:rPr>
                <w:rFonts w:hint="eastAsia" w:ascii="仿宋" w:hAnsi="仿宋" w:eastAsia="仿宋" w:cs="仿宋"/>
                <w:sz w:val="22"/>
              </w:rPr>
              <w:t>注：方案内容存在缺陷或不足是指以下任意一种情形：方案内容不切合行业实际、不符合国家法规政策；或方案内容生搬硬套，与实际情况不符，存在偏差；或存在与项目无关的文字内容；或内容不适用项目实际情况；或内容逻辑漏洞或原理错误。</w:t>
            </w:r>
          </w:p>
          <w:p w14:paraId="7701A28B">
            <w:pPr>
              <w:jc w:val="left"/>
              <w:rPr>
                <w:rFonts w:ascii="仿宋" w:hAnsi="仿宋" w:eastAsia="仿宋" w:cs="仿宋"/>
                <w:sz w:val="22"/>
              </w:rPr>
            </w:pPr>
            <w:r>
              <w:rPr>
                <w:rFonts w:hint="eastAsia" w:ascii="仿宋" w:hAnsi="仿宋" w:eastAsia="仿宋" w:cs="仿宋"/>
                <w:sz w:val="22"/>
              </w:rPr>
              <w:t>2.投标人承诺7*24小时上门，服务响应时间：30分钟内响应、90分钟内到现场处理、4小时内解决问题，若4小时内有修复困难，提供备机备件；（提供投标人盖公章的服务响应承诺函），符合要求的得1分，达不到要求的不得分；</w:t>
            </w:r>
          </w:p>
          <w:p w14:paraId="2330A56A">
            <w:pPr>
              <w:widowControl/>
              <w:rPr>
                <w:rFonts w:ascii="仿宋" w:hAnsi="仿宋" w:eastAsia="仿宋" w:cs="仿宋"/>
                <w:sz w:val="22"/>
              </w:rPr>
            </w:pPr>
            <w:r>
              <w:rPr>
                <w:rFonts w:hint="eastAsia" w:ascii="仿宋" w:hAnsi="仿宋" w:eastAsia="仿宋" w:cs="仿宋"/>
                <w:sz w:val="22"/>
              </w:rPr>
              <w:t>注：本项目不允许转包、分包及代维。</w:t>
            </w:r>
          </w:p>
        </w:tc>
        <w:tc>
          <w:tcPr>
            <w:tcW w:w="792" w:type="dxa"/>
            <w:tcBorders>
              <w:top w:val="single" w:color="auto" w:sz="4" w:space="0"/>
            </w:tcBorders>
            <w:vAlign w:val="center"/>
          </w:tcPr>
          <w:p w14:paraId="3B269F74">
            <w:pPr>
              <w:jc w:val="center"/>
              <w:rPr>
                <w:rFonts w:ascii="仿宋" w:hAnsi="仿宋" w:eastAsia="仿宋" w:cs="仿宋"/>
                <w:sz w:val="22"/>
              </w:rPr>
            </w:pPr>
            <w:r>
              <w:rPr>
                <w:rFonts w:hint="eastAsia" w:ascii="仿宋" w:hAnsi="仿宋" w:eastAsia="仿宋" w:cs="仿宋"/>
                <w:sz w:val="22"/>
              </w:rPr>
              <w:t>10分</w:t>
            </w:r>
          </w:p>
        </w:tc>
      </w:tr>
      <w:tr w14:paraId="58045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274F90DE">
            <w:pPr>
              <w:jc w:val="center"/>
              <w:rPr>
                <w:rFonts w:ascii="仿宋" w:hAnsi="仿宋" w:eastAsia="仿宋" w:cs="仿宋"/>
                <w:sz w:val="22"/>
              </w:rPr>
            </w:pPr>
          </w:p>
        </w:tc>
        <w:tc>
          <w:tcPr>
            <w:tcW w:w="1508" w:type="dxa"/>
            <w:vMerge w:val="continue"/>
            <w:vAlign w:val="center"/>
          </w:tcPr>
          <w:p w14:paraId="224CBFD8">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6D9F41C5">
            <w:pPr>
              <w:jc w:val="center"/>
              <w:rPr>
                <w:rFonts w:ascii="仿宋" w:hAnsi="仿宋" w:eastAsia="仿宋" w:cs="仿宋"/>
                <w:sz w:val="22"/>
              </w:rPr>
            </w:pPr>
          </w:p>
          <w:p w14:paraId="48FF44C0">
            <w:pPr>
              <w:jc w:val="center"/>
              <w:rPr>
                <w:rFonts w:ascii="仿宋" w:hAnsi="仿宋" w:eastAsia="仿宋" w:cs="仿宋"/>
                <w:sz w:val="22"/>
              </w:rPr>
            </w:pPr>
            <w:r>
              <w:rPr>
                <w:rFonts w:hint="eastAsia" w:ascii="仿宋" w:hAnsi="仿宋" w:eastAsia="仿宋" w:cs="仿宋"/>
                <w:sz w:val="22"/>
              </w:rPr>
              <w:t>节能环保（</w:t>
            </w:r>
            <w:r>
              <w:rPr>
                <w:rFonts w:ascii="仿宋" w:hAnsi="仿宋" w:eastAsia="仿宋" w:cs="仿宋"/>
                <w:sz w:val="22"/>
              </w:rPr>
              <w:t>2</w:t>
            </w:r>
            <w:r>
              <w:rPr>
                <w:rFonts w:hint="eastAsia" w:ascii="仿宋" w:hAnsi="仿宋" w:eastAsia="仿宋" w:cs="仿宋"/>
                <w:sz w:val="22"/>
              </w:rPr>
              <w:t>分）</w:t>
            </w:r>
          </w:p>
          <w:p w14:paraId="269FF447">
            <w:pPr>
              <w:jc w:val="center"/>
              <w:rPr>
                <w:rFonts w:ascii="仿宋" w:hAnsi="仿宋" w:eastAsia="仿宋" w:cs="仿宋"/>
                <w:sz w:val="22"/>
              </w:rPr>
            </w:pPr>
          </w:p>
        </w:tc>
        <w:tc>
          <w:tcPr>
            <w:tcW w:w="5354" w:type="dxa"/>
            <w:tcBorders>
              <w:top w:val="single" w:color="auto" w:sz="4" w:space="0"/>
              <w:left w:val="single" w:color="auto" w:sz="4" w:space="0"/>
            </w:tcBorders>
            <w:vAlign w:val="center"/>
          </w:tcPr>
          <w:p w14:paraId="51F734D6">
            <w:pPr>
              <w:widowControl/>
              <w:numPr>
                <w:ilvl w:val="0"/>
                <w:numId w:val="6"/>
              </w:numPr>
              <w:rPr>
                <w:rFonts w:ascii="仿宋" w:hAnsi="仿宋" w:eastAsia="仿宋" w:cs="仿宋"/>
                <w:sz w:val="22"/>
              </w:rPr>
            </w:pPr>
            <w:r>
              <w:rPr>
                <w:rFonts w:hint="eastAsia" w:ascii="仿宋" w:hAnsi="仿宋" w:eastAsia="仿宋" w:cs="仿宋"/>
                <w:sz w:val="22"/>
              </w:rPr>
              <w:t>投标产品属于财政部、国家发改委公布的“节能产品品目清单”范围内的，供应商须在响应文件中提供国家确定的认证机构出具的、处于有效期之内的该节能产品认证证书复印件的，有1个得0.5分，最多得1分。如投标产品均属于政府强制采购节能产品品目清单范围内，本项不得分。</w:t>
            </w:r>
          </w:p>
          <w:p w14:paraId="4FD3E880">
            <w:pPr>
              <w:widowControl/>
              <w:rPr>
                <w:rFonts w:ascii="仿宋" w:hAnsi="仿宋" w:eastAsia="仿宋" w:cs="仿宋"/>
                <w:sz w:val="22"/>
              </w:rPr>
            </w:pPr>
            <w:r>
              <w:rPr>
                <w:rFonts w:hint="eastAsia" w:ascii="仿宋" w:hAnsi="仿宋" w:eastAsia="仿宋" w:cs="仿宋"/>
                <w:sz w:val="22"/>
              </w:rPr>
              <w:t>2.投标产品属于财政部、生态环境部公布的“环境标志产品品目清单”范围内的，供应商须在响应文件中提供国家确定的认证机构出具的、处于有效期内的该环保产品认证证书复印件的，有1个得0.5分，最多得1分。</w:t>
            </w:r>
          </w:p>
          <w:p w14:paraId="07DBD33D">
            <w:pPr>
              <w:widowControl/>
              <w:rPr>
                <w:rFonts w:ascii="仿宋" w:hAnsi="仿宋" w:eastAsia="仿宋" w:cs="仿宋"/>
                <w:sz w:val="22"/>
              </w:rPr>
            </w:pPr>
          </w:p>
        </w:tc>
        <w:tc>
          <w:tcPr>
            <w:tcW w:w="792" w:type="dxa"/>
            <w:tcBorders>
              <w:top w:val="single" w:color="auto" w:sz="4" w:space="0"/>
            </w:tcBorders>
            <w:vAlign w:val="center"/>
          </w:tcPr>
          <w:p w14:paraId="446FBC9B">
            <w:pPr>
              <w:jc w:val="center"/>
              <w:rPr>
                <w:rFonts w:ascii="仿宋" w:hAnsi="仿宋" w:eastAsia="仿宋" w:cs="仿宋"/>
                <w:sz w:val="22"/>
              </w:rPr>
            </w:pPr>
            <w:r>
              <w:rPr>
                <w:rFonts w:ascii="仿宋" w:hAnsi="仿宋" w:eastAsia="仿宋" w:cs="仿宋"/>
                <w:sz w:val="22"/>
              </w:rPr>
              <w:t>2</w:t>
            </w:r>
            <w:r>
              <w:rPr>
                <w:rFonts w:hint="eastAsia" w:ascii="仿宋" w:hAnsi="仿宋" w:eastAsia="仿宋" w:cs="仿宋"/>
                <w:sz w:val="22"/>
              </w:rPr>
              <w:t>分</w:t>
            </w:r>
          </w:p>
        </w:tc>
      </w:tr>
      <w:tr w14:paraId="473B3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47" w:type="dxa"/>
            <w:gridSpan w:val="4"/>
            <w:vAlign w:val="center"/>
          </w:tcPr>
          <w:p w14:paraId="14D29139">
            <w:pPr>
              <w:jc w:val="center"/>
              <w:rPr>
                <w:rFonts w:ascii="仿宋" w:hAnsi="仿宋" w:eastAsia="仿宋" w:cs="仿宋"/>
                <w:b/>
                <w:bCs/>
                <w:sz w:val="22"/>
              </w:rPr>
            </w:pPr>
            <w:r>
              <w:rPr>
                <w:rFonts w:hint="eastAsia" w:ascii="仿宋" w:hAnsi="仿宋" w:eastAsia="仿宋" w:cs="仿宋"/>
                <w:b/>
                <w:bCs/>
                <w:sz w:val="22"/>
              </w:rPr>
              <w:t>合计</w:t>
            </w:r>
          </w:p>
        </w:tc>
        <w:tc>
          <w:tcPr>
            <w:tcW w:w="792" w:type="dxa"/>
            <w:vAlign w:val="center"/>
          </w:tcPr>
          <w:p w14:paraId="1FA5FD1F">
            <w:pPr>
              <w:jc w:val="center"/>
              <w:rPr>
                <w:rFonts w:ascii="仿宋" w:hAnsi="仿宋" w:eastAsia="仿宋" w:cs="仿宋"/>
                <w:b/>
                <w:bCs/>
                <w:sz w:val="22"/>
              </w:rPr>
            </w:pPr>
            <w:r>
              <w:rPr>
                <w:rFonts w:hint="eastAsia" w:ascii="仿宋" w:hAnsi="仿宋" w:eastAsia="仿宋" w:cs="仿宋"/>
                <w:b/>
                <w:bCs/>
                <w:sz w:val="22"/>
              </w:rPr>
              <w:t>100</w:t>
            </w:r>
          </w:p>
        </w:tc>
      </w:tr>
    </w:tbl>
    <w:p w14:paraId="323FF6B1"/>
    <w:p w14:paraId="0C11939F">
      <w:pPr>
        <w:keepNext/>
        <w:jc w:val="center"/>
        <w:rPr>
          <w:rFonts w:ascii="仿宋" w:hAnsi="仿宋" w:eastAsia="仿宋" w:cs="仿宋"/>
          <w:bCs/>
          <w:sz w:val="44"/>
          <w:szCs w:val="28"/>
        </w:rPr>
      </w:pPr>
    </w:p>
    <w:p w14:paraId="29738FA7">
      <w:pPr>
        <w:rPr>
          <w:rFonts w:ascii="仿宋" w:hAnsi="仿宋" w:eastAsia="仿宋" w:cs="仿宋"/>
          <w:b/>
          <w:sz w:val="44"/>
          <w:szCs w:val="28"/>
        </w:rPr>
      </w:pPr>
      <w:bookmarkStart w:id="214" w:name="_Toc2753"/>
      <w:bookmarkStart w:id="215" w:name="_Toc29207"/>
      <w:bookmarkStart w:id="216" w:name="_Toc806"/>
      <w:r>
        <w:rPr>
          <w:rFonts w:hint="eastAsia" w:ascii="仿宋" w:hAnsi="仿宋" w:eastAsia="仿宋" w:cs="仿宋"/>
          <w:b/>
          <w:sz w:val="44"/>
          <w:szCs w:val="28"/>
        </w:rPr>
        <w:br w:type="page"/>
      </w:r>
    </w:p>
    <w:p w14:paraId="2A8FFE97">
      <w:pPr>
        <w:keepNext/>
        <w:ind w:firstLine="1767" w:firstLineChars="400"/>
        <w:outlineLvl w:val="0"/>
        <w:rPr>
          <w:rFonts w:ascii="仿宋" w:hAnsi="仿宋" w:eastAsia="仿宋" w:cs="仿宋"/>
          <w:b/>
          <w:sz w:val="44"/>
          <w:szCs w:val="28"/>
        </w:rPr>
      </w:pPr>
      <w:r>
        <w:rPr>
          <w:rFonts w:hint="eastAsia" w:ascii="仿宋" w:hAnsi="仿宋" w:eastAsia="仿宋" w:cs="仿宋"/>
          <w:b/>
          <w:sz w:val="44"/>
          <w:szCs w:val="28"/>
        </w:rPr>
        <w:t xml:space="preserve">第六章  </w:t>
      </w:r>
      <w:bookmarkEnd w:id="207"/>
      <w:bookmarkEnd w:id="208"/>
      <w:bookmarkEnd w:id="209"/>
      <w:r>
        <w:rPr>
          <w:rFonts w:hint="eastAsia" w:ascii="仿宋" w:hAnsi="仿宋" w:eastAsia="仿宋" w:cs="仿宋"/>
          <w:b/>
          <w:sz w:val="44"/>
          <w:szCs w:val="28"/>
        </w:rPr>
        <w:t>响应文件格式</w:t>
      </w:r>
      <w:bookmarkEnd w:id="214"/>
      <w:bookmarkEnd w:id="215"/>
      <w:bookmarkEnd w:id="216"/>
      <w:r>
        <w:rPr>
          <w:rFonts w:hint="eastAsia" w:ascii="仿宋" w:hAnsi="仿宋" w:eastAsia="仿宋" w:cs="仿宋"/>
          <w:b/>
          <w:sz w:val="44"/>
          <w:szCs w:val="28"/>
        </w:rPr>
        <w:t xml:space="preserve"> </w:t>
      </w:r>
    </w:p>
    <w:p w14:paraId="4790D240">
      <w:pPr>
        <w:jc w:val="center"/>
        <w:rPr>
          <w:rFonts w:ascii="仿宋" w:hAnsi="仿宋" w:eastAsia="仿宋" w:cs="仿宋"/>
          <w:b/>
          <w:sz w:val="72"/>
          <w:szCs w:val="21"/>
        </w:rPr>
      </w:pPr>
      <w:bookmarkStart w:id="217" w:name="_Hlt26671244"/>
      <w:bookmarkEnd w:id="217"/>
      <w:bookmarkStart w:id="218" w:name="_Hlt26955039"/>
      <w:bookmarkEnd w:id="218"/>
      <w:bookmarkStart w:id="219" w:name="_Toc49090576"/>
      <w:bookmarkStart w:id="220" w:name="_Toc26554094"/>
      <w:bookmarkStart w:id="221" w:name="_Toc120614282"/>
    </w:p>
    <w:p w14:paraId="3E3D9CD9">
      <w:pPr>
        <w:jc w:val="center"/>
        <w:rPr>
          <w:rFonts w:ascii="仿宋" w:hAnsi="仿宋" w:eastAsia="仿宋" w:cs="仿宋"/>
          <w:b/>
          <w:sz w:val="72"/>
          <w:szCs w:val="21"/>
        </w:rPr>
      </w:pPr>
      <w:r>
        <w:rPr>
          <w:rFonts w:hint="eastAsia" w:ascii="仿宋" w:hAnsi="仿宋" w:eastAsia="仿宋" w:cs="仿宋"/>
          <w:b/>
          <w:sz w:val="72"/>
          <w:szCs w:val="21"/>
        </w:rPr>
        <w:t>响  应  文  件</w:t>
      </w:r>
    </w:p>
    <w:p w14:paraId="63BC3B52">
      <w:pPr>
        <w:jc w:val="center"/>
        <w:rPr>
          <w:rFonts w:ascii="仿宋" w:hAnsi="仿宋" w:eastAsia="仿宋" w:cs="仿宋"/>
          <w:b/>
          <w:sz w:val="72"/>
          <w:szCs w:val="21"/>
        </w:rPr>
      </w:pPr>
    </w:p>
    <w:p w14:paraId="5AB66484">
      <w:pPr>
        <w:jc w:val="center"/>
        <w:rPr>
          <w:rFonts w:ascii="仿宋" w:hAnsi="仿宋" w:eastAsia="仿宋" w:cs="仿宋"/>
          <w:b/>
          <w:sz w:val="72"/>
          <w:szCs w:val="21"/>
        </w:rPr>
      </w:pPr>
    </w:p>
    <w:p w14:paraId="07987E61">
      <w:pPr>
        <w:jc w:val="center"/>
        <w:rPr>
          <w:rFonts w:ascii="仿宋" w:hAnsi="仿宋" w:eastAsia="仿宋" w:cs="仿宋"/>
          <w:b/>
          <w:sz w:val="36"/>
          <w:szCs w:val="21"/>
        </w:rPr>
      </w:pPr>
    </w:p>
    <w:p w14:paraId="4F3080DF">
      <w:pPr>
        <w:jc w:val="center"/>
        <w:rPr>
          <w:rFonts w:ascii="仿宋" w:hAnsi="仿宋" w:eastAsia="仿宋" w:cs="仿宋"/>
          <w:b/>
          <w:sz w:val="36"/>
          <w:szCs w:val="21"/>
        </w:rPr>
      </w:pPr>
    </w:p>
    <w:p w14:paraId="78ADA8D9">
      <w:pPr>
        <w:jc w:val="center"/>
        <w:rPr>
          <w:rFonts w:ascii="仿宋" w:hAnsi="仿宋" w:eastAsia="仿宋" w:cs="仿宋"/>
          <w:b/>
          <w:sz w:val="36"/>
          <w:szCs w:val="21"/>
        </w:rPr>
      </w:pPr>
    </w:p>
    <w:p w14:paraId="5B07E175">
      <w:pPr>
        <w:ind w:firstLine="1084" w:firstLineChars="300"/>
        <w:rPr>
          <w:rFonts w:ascii="仿宋" w:hAnsi="仿宋" w:eastAsia="仿宋" w:cs="仿宋"/>
          <w:b/>
          <w:sz w:val="36"/>
          <w:szCs w:val="21"/>
        </w:rPr>
      </w:pPr>
      <w:r>
        <w:rPr>
          <w:rFonts w:hint="eastAsia" w:ascii="仿宋" w:hAnsi="仿宋" w:eastAsia="仿宋" w:cs="仿宋"/>
          <w:b/>
          <w:sz w:val="36"/>
          <w:szCs w:val="21"/>
        </w:rPr>
        <w:t>项 目 名 称：</w:t>
      </w:r>
      <w:r>
        <w:rPr>
          <w:rFonts w:hint="eastAsia" w:ascii="仿宋" w:hAnsi="仿宋" w:eastAsia="仿宋" w:cs="仿宋"/>
          <w:b/>
          <w:sz w:val="36"/>
          <w:szCs w:val="21"/>
          <w:u w:val="single"/>
        </w:rPr>
        <w:t xml:space="preserve">               </w:t>
      </w:r>
    </w:p>
    <w:p w14:paraId="27A0A96E">
      <w:pPr>
        <w:ind w:firstLine="1084" w:firstLineChars="300"/>
        <w:rPr>
          <w:rFonts w:ascii="仿宋" w:hAnsi="仿宋" w:eastAsia="仿宋" w:cs="仿宋"/>
          <w:b/>
          <w:sz w:val="36"/>
          <w:szCs w:val="21"/>
          <w:u w:val="single"/>
        </w:rPr>
      </w:pPr>
      <w:r>
        <w:rPr>
          <w:rFonts w:hint="eastAsia" w:ascii="仿宋" w:hAnsi="仿宋" w:eastAsia="仿宋" w:cs="仿宋"/>
          <w:b/>
          <w:sz w:val="36"/>
          <w:szCs w:val="21"/>
        </w:rPr>
        <w:t>项 目 编 号：</w:t>
      </w:r>
      <w:r>
        <w:rPr>
          <w:rFonts w:hint="eastAsia" w:ascii="仿宋" w:hAnsi="仿宋" w:eastAsia="仿宋" w:cs="仿宋"/>
          <w:b/>
          <w:sz w:val="36"/>
          <w:szCs w:val="21"/>
          <w:u w:val="single"/>
        </w:rPr>
        <w:t xml:space="preserve">               </w:t>
      </w:r>
    </w:p>
    <w:p w14:paraId="063DACEE">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08B76175">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p>
    <w:p w14:paraId="4B593920">
      <w:pPr>
        <w:spacing w:line="440" w:lineRule="exact"/>
        <w:jc w:val="center"/>
        <w:rPr>
          <w:rFonts w:ascii="仿宋" w:hAnsi="仿宋" w:eastAsia="仿宋" w:cs="仿宋"/>
          <w:b/>
          <w:bCs/>
          <w:sz w:val="32"/>
          <w:szCs w:val="32"/>
        </w:rPr>
      </w:pPr>
    </w:p>
    <w:p w14:paraId="45E9B773">
      <w:pPr>
        <w:spacing w:line="440" w:lineRule="exact"/>
        <w:rPr>
          <w:rFonts w:ascii="仿宋" w:hAnsi="仿宋" w:eastAsia="仿宋" w:cs="仿宋"/>
          <w:szCs w:val="21"/>
        </w:rPr>
      </w:pPr>
    </w:p>
    <w:p w14:paraId="13FE298B">
      <w:pPr>
        <w:ind w:firstLine="1084" w:firstLineChars="300"/>
        <w:rPr>
          <w:rFonts w:ascii="仿宋" w:hAnsi="仿宋" w:eastAsia="仿宋" w:cs="仿宋"/>
          <w:b/>
          <w:sz w:val="36"/>
          <w:szCs w:val="21"/>
          <w:u w:val="single"/>
        </w:rPr>
      </w:pPr>
      <w:r>
        <w:rPr>
          <w:rFonts w:hint="eastAsia" w:ascii="仿宋" w:hAnsi="仿宋" w:eastAsia="仿宋" w:cs="仿宋"/>
          <w:b/>
          <w:sz w:val="36"/>
          <w:szCs w:val="21"/>
          <w:u w:val="single"/>
        </w:rPr>
        <w:br w:type="page"/>
      </w:r>
    </w:p>
    <w:p w14:paraId="707A2825">
      <w:pPr>
        <w:pStyle w:val="4"/>
      </w:pPr>
    </w:p>
    <w:p w14:paraId="0E5B95ED">
      <w:pPr>
        <w:spacing w:line="440" w:lineRule="exact"/>
        <w:jc w:val="center"/>
        <w:rPr>
          <w:rFonts w:ascii="仿宋" w:hAnsi="仿宋" w:eastAsia="仿宋" w:cs="仿宋"/>
          <w:b/>
          <w:bCs/>
          <w:sz w:val="32"/>
          <w:szCs w:val="32"/>
        </w:rPr>
      </w:pPr>
      <w:r>
        <w:rPr>
          <w:rFonts w:hint="eastAsia" w:ascii="仿宋" w:hAnsi="仿宋" w:eastAsia="仿宋" w:cs="仿宋"/>
          <w:b/>
          <w:bCs/>
          <w:sz w:val="32"/>
          <w:szCs w:val="32"/>
        </w:rPr>
        <w:t>响应文件的组成</w:t>
      </w:r>
    </w:p>
    <w:p w14:paraId="043DC566">
      <w:pPr>
        <w:spacing w:line="440" w:lineRule="exact"/>
        <w:jc w:val="center"/>
        <w:rPr>
          <w:rFonts w:ascii="仿宋" w:hAnsi="仿宋" w:eastAsia="仿宋" w:cs="仿宋"/>
          <w:b/>
          <w:bCs/>
          <w:sz w:val="32"/>
          <w:szCs w:val="32"/>
        </w:rPr>
      </w:pPr>
    </w:p>
    <w:p w14:paraId="1F687251">
      <w:pPr>
        <w:keepNext/>
        <w:keepLines/>
        <w:spacing w:before="145" w:beforeLines="50" w:after="145"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一、基本目录</w:t>
      </w:r>
    </w:p>
    <w:p w14:paraId="2DF05DBD">
      <w:pPr>
        <w:spacing w:line="500" w:lineRule="exact"/>
        <w:ind w:left="480"/>
        <w:rPr>
          <w:rFonts w:ascii="仿宋" w:hAnsi="仿宋" w:eastAsia="仿宋" w:cs="仿宋"/>
          <w:sz w:val="24"/>
          <w:szCs w:val="21"/>
        </w:rPr>
      </w:pPr>
      <w:r>
        <w:rPr>
          <w:rFonts w:hint="eastAsia" w:ascii="仿宋" w:hAnsi="仿宋" w:eastAsia="仿宋" w:cs="仿宋"/>
          <w:sz w:val="24"/>
          <w:szCs w:val="21"/>
        </w:rPr>
        <w:t>1.磋商报价表</w:t>
      </w:r>
    </w:p>
    <w:p w14:paraId="7EAA2010">
      <w:pPr>
        <w:spacing w:line="500" w:lineRule="exact"/>
        <w:ind w:left="480"/>
        <w:rPr>
          <w:rFonts w:ascii="仿宋" w:hAnsi="仿宋" w:eastAsia="仿宋" w:cs="仿宋"/>
          <w:sz w:val="24"/>
          <w:szCs w:val="21"/>
        </w:rPr>
      </w:pPr>
      <w:r>
        <w:rPr>
          <w:rFonts w:hint="eastAsia" w:ascii="仿宋" w:hAnsi="仿宋" w:eastAsia="仿宋" w:cs="仿宋"/>
          <w:sz w:val="24"/>
          <w:szCs w:val="21"/>
        </w:rPr>
        <w:t>2.分项报价表（格式见附件1）</w:t>
      </w:r>
    </w:p>
    <w:p w14:paraId="2C1A5941">
      <w:pPr>
        <w:keepNext/>
        <w:keepLines/>
        <w:spacing w:before="145" w:beforeLines="50" w:after="145" w:afterLines="50" w:line="360" w:lineRule="auto"/>
        <w:ind w:firstLine="436" w:firstLineChars="155"/>
        <w:outlineLvl w:val="2"/>
        <w:rPr>
          <w:rFonts w:ascii="仿宋" w:hAnsi="仿宋" w:eastAsia="仿宋" w:cs="仿宋"/>
          <w:b/>
          <w:sz w:val="28"/>
          <w:szCs w:val="28"/>
        </w:rPr>
      </w:pPr>
      <w:r>
        <w:rPr>
          <w:rFonts w:hint="eastAsia" w:ascii="仿宋" w:hAnsi="仿宋" w:eastAsia="仿宋" w:cs="仿宋"/>
          <w:b/>
          <w:sz w:val="28"/>
          <w:szCs w:val="28"/>
        </w:rPr>
        <w:t>二、资格审查内容</w:t>
      </w:r>
    </w:p>
    <w:p w14:paraId="2E011DA6">
      <w:pPr>
        <w:spacing w:line="500" w:lineRule="exact"/>
        <w:ind w:left="480"/>
        <w:rPr>
          <w:rFonts w:ascii="仿宋" w:hAnsi="仿宋" w:eastAsia="仿宋" w:cs="仿宋"/>
          <w:sz w:val="24"/>
          <w:szCs w:val="21"/>
        </w:rPr>
      </w:pPr>
      <w:r>
        <w:rPr>
          <w:rFonts w:hint="eastAsia" w:ascii="仿宋" w:hAnsi="仿宋" w:eastAsia="仿宋" w:cs="仿宋"/>
          <w:sz w:val="24"/>
          <w:szCs w:val="21"/>
        </w:rPr>
        <w:t>1.投标人符合《中华人民共和国政府采购法》第二十二条规定条件的声明函（</w:t>
      </w:r>
      <w:r>
        <w:rPr>
          <w:rFonts w:hint="eastAsia" w:ascii="仿宋" w:hAnsi="仿宋" w:eastAsia="仿宋" w:cs="仿宋"/>
          <w:sz w:val="24"/>
          <w:szCs w:val="21"/>
          <w:lang w:val="zh-CN"/>
        </w:rPr>
        <w:t>格式见附件</w:t>
      </w:r>
      <w:r>
        <w:rPr>
          <w:rFonts w:hint="eastAsia" w:ascii="仿宋" w:hAnsi="仿宋" w:eastAsia="仿宋" w:cs="仿宋"/>
          <w:sz w:val="24"/>
          <w:szCs w:val="21"/>
        </w:rPr>
        <w:t>2）</w:t>
      </w:r>
    </w:p>
    <w:p w14:paraId="28914A89">
      <w:pPr>
        <w:spacing w:line="500" w:lineRule="exact"/>
        <w:ind w:left="480"/>
        <w:rPr>
          <w:rFonts w:ascii="仿宋" w:hAnsi="仿宋" w:eastAsia="仿宋" w:cs="仿宋"/>
          <w:sz w:val="24"/>
          <w:szCs w:val="21"/>
        </w:rPr>
      </w:pPr>
      <w:r>
        <w:rPr>
          <w:rFonts w:hint="eastAsia" w:ascii="仿宋" w:hAnsi="仿宋" w:eastAsia="仿宋" w:cs="仿宋"/>
          <w:sz w:val="24"/>
          <w:szCs w:val="21"/>
        </w:rPr>
        <w:t>2.法定代表人身份证明（格式见附件3）、</w:t>
      </w:r>
      <w:r>
        <w:rPr>
          <w:rFonts w:hint="eastAsia" w:ascii="仿宋" w:hAnsi="仿宋" w:eastAsia="仿宋" w:cs="仿宋"/>
          <w:sz w:val="24"/>
          <w:szCs w:val="21"/>
          <w:lang w:val="zh-CN"/>
        </w:rPr>
        <w:t>法定代表人的身份证</w:t>
      </w:r>
      <w:r>
        <w:rPr>
          <w:rFonts w:hint="eastAsia" w:ascii="仿宋" w:hAnsi="仿宋" w:eastAsia="仿宋" w:cs="仿宋"/>
          <w:sz w:val="24"/>
          <w:szCs w:val="21"/>
        </w:rPr>
        <w:t>扫描件</w:t>
      </w:r>
    </w:p>
    <w:p w14:paraId="5AB849C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3.法人授权书（格式见附件4）、被授权</w:t>
      </w:r>
      <w:r>
        <w:rPr>
          <w:rFonts w:hint="eastAsia" w:ascii="仿宋" w:hAnsi="仿宋" w:eastAsia="仿宋" w:cs="仿宋"/>
          <w:sz w:val="24"/>
          <w:szCs w:val="21"/>
          <w:lang w:val="zh-CN"/>
        </w:rPr>
        <w:t>人身份证</w:t>
      </w:r>
      <w:r>
        <w:rPr>
          <w:rFonts w:hint="eastAsia" w:ascii="仿宋" w:hAnsi="仿宋" w:eastAsia="仿宋" w:cs="仿宋"/>
          <w:sz w:val="24"/>
          <w:szCs w:val="21"/>
        </w:rPr>
        <w:t>扫描件</w:t>
      </w:r>
    </w:p>
    <w:p w14:paraId="041E922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4.磋商响应函（格式见附件5）</w:t>
      </w:r>
    </w:p>
    <w:p w14:paraId="1C5477D9">
      <w:pPr>
        <w:spacing w:line="400" w:lineRule="exact"/>
        <w:ind w:firstLine="480" w:firstLineChars="200"/>
      </w:pPr>
      <w:r>
        <w:rPr>
          <w:rFonts w:hint="eastAsia" w:ascii="仿宋" w:hAnsi="仿宋" w:eastAsia="仿宋" w:cs="仿宋"/>
          <w:sz w:val="24"/>
          <w:szCs w:val="21"/>
        </w:rPr>
        <w:t>5.</w:t>
      </w:r>
      <w:r>
        <w:rPr>
          <w:rFonts w:hint="eastAsia" w:ascii="仿宋" w:hAnsi="仿宋" w:eastAsia="仿宋" w:cs="仿宋"/>
          <w:sz w:val="24"/>
          <w:szCs w:val="21"/>
          <w:lang w:val="zh-CN"/>
        </w:rPr>
        <w:t>其它需要提交的资格审查证明材料。</w:t>
      </w:r>
    </w:p>
    <w:p w14:paraId="2875B3BE">
      <w:pPr>
        <w:spacing w:line="500" w:lineRule="exact"/>
        <w:ind w:left="480"/>
        <w:rPr>
          <w:rFonts w:ascii="仿宋" w:hAnsi="仿宋" w:eastAsia="仿宋" w:cs="仿宋"/>
          <w:b/>
          <w:sz w:val="28"/>
          <w:szCs w:val="28"/>
        </w:rPr>
      </w:pPr>
      <w:r>
        <w:rPr>
          <w:rFonts w:hint="eastAsia" w:ascii="仿宋" w:hAnsi="仿宋" w:eastAsia="仿宋" w:cs="仿宋"/>
          <w:b/>
          <w:sz w:val="28"/>
          <w:szCs w:val="28"/>
        </w:rPr>
        <w:t>三、符合性审查内容</w:t>
      </w:r>
    </w:p>
    <w:p w14:paraId="6EFA1F0D">
      <w:pPr>
        <w:spacing w:line="500" w:lineRule="exact"/>
        <w:ind w:left="480"/>
        <w:rPr>
          <w:rFonts w:ascii="仿宋" w:hAnsi="仿宋" w:eastAsia="仿宋" w:cs="仿宋"/>
          <w:sz w:val="24"/>
          <w:szCs w:val="21"/>
        </w:rPr>
      </w:pPr>
      <w:r>
        <w:rPr>
          <w:rFonts w:hint="eastAsia" w:ascii="仿宋" w:hAnsi="仿宋" w:eastAsia="仿宋" w:cs="仿宋"/>
          <w:sz w:val="24"/>
          <w:szCs w:val="21"/>
        </w:rPr>
        <w:t>1.技术要求响应及偏离表（格式见附件9）</w:t>
      </w:r>
    </w:p>
    <w:p w14:paraId="6ECA43F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2.商务要求响应及偏离表（格式见附件10）</w:t>
      </w:r>
    </w:p>
    <w:p w14:paraId="7EDE3A4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3.实质性要求响应及偏离表（格式见附件11），供应商必须对技术要求和商务要求中加斜体下划线的实质性要求做出响应，并按照磋商文件要求提供证明材料，否则做无效响应处理。</w:t>
      </w:r>
    </w:p>
    <w:p w14:paraId="0F086A83">
      <w:pPr>
        <w:spacing w:line="500" w:lineRule="exact"/>
        <w:ind w:left="480"/>
        <w:rPr>
          <w:rFonts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val="zh-CN"/>
        </w:rPr>
        <w:t>商务技术</w:t>
      </w:r>
      <w:r>
        <w:rPr>
          <w:rFonts w:hint="eastAsia" w:ascii="仿宋" w:hAnsi="仿宋" w:eastAsia="仿宋" w:cs="仿宋"/>
          <w:b/>
          <w:sz w:val="28"/>
          <w:szCs w:val="28"/>
        </w:rPr>
        <w:t>分</w:t>
      </w:r>
      <w:r>
        <w:rPr>
          <w:rFonts w:hint="eastAsia" w:ascii="仿宋" w:hAnsi="仿宋" w:eastAsia="仿宋" w:cs="仿宋"/>
          <w:b/>
          <w:sz w:val="28"/>
          <w:szCs w:val="28"/>
          <w:lang w:val="zh-CN"/>
        </w:rPr>
        <w:t>内</w:t>
      </w:r>
      <w:r>
        <w:rPr>
          <w:rFonts w:hint="eastAsia" w:ascii="仿宋" w:hAnsi="仿宋" w:eastAsia="仿宋" w:cs="仿宋"/>
          <w:b/>
          <w:sz w:val="28"/>
          <w:szCs w:val="28"/>
        </w:rPr>
        <w:t xml:space="preserve">容 </w:t>
      </w:r>
    </w:p>
    <w:p w14:paraId="635A931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w:t>
      </w:r>
      <w:r>
        <w:rPr>
          <w:rFonts w:hint="eastAsia" w:ascii="仿宋" w:hAnsi="仿宋" w:eastAsia="仿宋" w:cs="仿宋"/>
          <w:sz w:val="24"/>
          <w:szCs w:val="21"/>
          <w:lang w:val="zh-CN"/>
        </w:rPr>
        <w:t>商务技术评分标准中须提供的相关得分佐证材料</w:t>
      </w:r>
    </w:p>
    <w:p w14:paraId="06273EF5">
      <w:pPr>
        <w:spacing w:line="500" w:lineRule="exact"/>
        <w:ind w:firstLine="480" w:firstLineChars="200"/>
        <w:rPr>
          <w:rFonts w:eastAsia="仿宋"/>
        </w:rPr>
      </w:pPr>
      <w:r>
        <w:rPr>
          <w:rFonts w:hint="eastAsia" w:ascii="仿宋" w:hAnsi="仿宋" w:eastAsia="仿宋" w:cs="仿宋"/>
          <w:sz w:val="24"/>
          <w:szCs w:val="21"/>
        </w:rPr>
        <w:t>2.</w:t>
      </w:r>
      <w:r>
        <w:rPr>
          <w:rFonts w:hint="eastAsia" w:ascii="仿宋" w:hAnsi="仿宋" w:eastAsia="仿宋" w:cs="仿宋"/>
          <w:sz w:val="24"/>
          <w:szCs w:val="21"/>
          <w:lang w:val="zh-CN"/>
        </w:rPr>
        <w:t>供应商认为需要提交的其他商务技术材料。</w:t>
      </w:r>
    </w:p>
    <w:p w14:paraId="71C85BCC">
      <w:pPr>
        <w:spacing w:line="500" w:lineRule="exact"/>
        <w:ind w:left="480"/>
        <w:rPr>
          <w:rFonts w:ascii="仿宋" w:hAnsi="仿宋" w:eastAsia="仿宋" w:cs="仿宋"/>
          <w:b/>
          <w:sz w:val="28"/>
          <w:szCs w:val="28"/>
        </w:rPr>
      </w:pPr>
      <w:r>
        <w:rPr>
          <w:rFonts w:hint="eastAsia" w:ascii="仿宋" w:hAnsi="仿宋" w:eastAsia="仿宋" w:cs="仿宋"/>
          <w:b/>
          <w:sz w:val="28"/>
          <w:szCs w:val="28"/>
        </w:rPr>
        <w:t>五、价格扣除证明文件</w:t>
      </w:r>
    </w:p>
    <w:p w14:paraId="7C8675A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1.中小企业声明函（格式见附件6）</w:t>
      </w:r>
    </w:p>
    <w:p w14:paraId="2A70A31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2.残疾人福利性单位声明函（格式见附件7）</w:t>
      </w:r>
    </w:p>
    <w:p w14:paraId="25D1B91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3.监狱和戒毒企业证明材料</w:t>
      </w:r>
      <w:r>
        <w:rPr>
          <w:rFonts w:hint="eastAsia" w:ascii="仿宋" w:hAnsi="仿宋" w:eastAsia="仿宋" w:cs="仿宋"/>
          <w:sz w:val="24"/>
          <w:szCs w:val="21"/>
          <w:lang w:val="zh-CN"/>
        </w:rPr>
        <w:t>（格式见附件</w:t>
      </w:r>
      <w:r>
        <w:rPr>
          <w:rFonts w:hint="eastAsia" w:ascii="仿宋" w:hAnsi="仿宋" w:eastAsia="仿宋" w:cs="仿宋"/>
          <w:sz w:val="24"/>
          <w:szCs w:val="21"/>
        </w:rPr>
        <w:t>8</w:t>
      </w:r>
      <w:r>
        <w:rPr>
          <w:rFonts w:hint="eastAsia" w:ascii="仿宋" w:hAnsi="仿宋" w:eastAsia="仿宋" w:cs="仿宋"/>
          <w:sz w:val="24"/>
          <w:szCs w:val="21"/>
          <w:lang w:val="zh-CN"/>
        </w:rPr>
        <w:t>）</w:t>
      </w:r>
    </w:p>
    <w:p w14:paraId="5D6E248D">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 关于符合本国产品标准的声明函（格式见附件12）</w:t>
      </w:r>
    </w:p>
    <w:p w14:paraId="42897C6C">
      <w:pPr>
        <w:spacing w:line="500" w:lineRule="exact"/>
        <w:ind w:left="480"/>
        <w:rPr>
          <w:rFonts w:ascii="仿宋" w:hAnsi="仿宋" w:eastAsia="仿宋" w:cs="仿宋"/>
          <w:b/>
          <w:sz w:val="24"/>
          <w:szCs w:val="21"/>
        </w:rPr>
      </w:pPr>
    </w:p>
    <w:p w14:paraId="622E6742">
      <w:pPr>
        <w:spacing w:line="500" w:lineRule="exact"/>
        <w:ind w:left="480"/>
        <w:rPr>
          <w:rFonts w:ascii="仿宋" w:hAnsi="仿宋" w:eastAsia="仿宋" w:cs="仿宋"/>
          <w:b/>
          <w:sz w:val="24"/>
          <w:szCs w:val="21"/>
        </w:rPr>
      </w:pPr>
      <w:r>
        <w:rPr>
          <w:rFonts w:hint="eastAsia" w:ascii="仿宋" w:hAnsi="仿宋" w:eastAsia="仿宋" w:cs="仿宋"/>
          <w:b/>
          <w:sz w:val="28"/>
          <w:szCs w:val="28"/>
        </w:rPr>
        <w:br w:type="page"/>
      </w:r>
      <w:r>
        <w:rPr>
          <w:rFonts w:hint="eastAsia" w:ascii="仿宋" w:hAnsi="仿宋" w:eastAsia="仿宋" w:cs="仿宋"/>
          <w:b/>
          <w:sz w:val="28"/>
          <w:szCs w:val="28"/>
        </w:rPr>
        <w:t xml:space="preserve">附件1 </w:t>
      </w:r>
    </w:p>
    <w:p w14:paraId="41FABCB3">
      <w:pPr>
        <w:jc w:val="center"/>
        <w:rPr>
          <w:rFonts w:ascii="仿宋" w:hAnsi="仿宋" w:eastAsia="仿宋" w:cs="仿宋"/>
          <w:b/>
          <w:sz w:val="28"/>
          <w:szCs w:val="28"/>
        </w:rPr>
      </w:pPr>
      <w:r>
        <w:rPr>
          <w:rFonts w:hint="eastAsia" w:ascii="仿宋" w:hAnsi="仿宋" w:eastAsia="仿宋" w:cs="仿宋"/>
          <w:b/>
          <w:sz w:val="28"/>
          <w:szCs w:val="28"/>
        </w:rPr>
        <w:t>分项报价表（货物类项目）</w:t>
      </w:r>
    </w:p>
    <w:p w14:paraId="1B469669">
      <w:pPr>
        <w:pStyle w:val="13"/>
      </w:pPr>
    </w:p>
    <w:tbl>
      <w:tblPr>
        <w:tblStyle w:val="1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59F9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1B4EEB07">
            <w:pPr>
              <w:spacing w:line="0" w:lineRule="atLeast"/>
              <w:jc w:val="center"/>
              <w:rPr>
                <w:rFonts w:ascii="仿宋" w:hAnsi="仿宋" w:eastAsia="仿宋" w:cs="仿宋"/>
                <w:sz w:val="24"/>
                <w:szCs w:val="24"/>
              </w:rPr>
            </w:pPr>
            <w:r>
              <w:rPr>
                <w:rFonts w:hint="eastAsia" w:ascii="仿宋" w:hAnsi="仿宋" w:eastAsia="仿宋" w:cs="仿宋"/>
                <w:sz w:val="24"/>
                <w:szCs w:val="24"/>
              </w:rPr>
              <w:t>序号</w:t>
            </w:r>
          </w:p>
        </w:tc>
        <w:tc>
          <w:tcPr>
            <w:tcW w:w="728" w:type="dxa"/>
            <w:vAlign w:val="center"/>
          </w:tcPr>
          <w:p w14:paraId="24319A96">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728" w:type="dxa"/>
            <w:vAlign w:val="center"/>
          </w:tcPr>
          <w:p w14:paraId="1DAA88E5">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938" w:type="dxa"/>
            <w:vAlign w:val="center"/>
          </w:tcPr>
          <w:p w14:paraId="2004B2EA">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980" w:type="dxa"/>
            <w:vAlign w:val="center"/>
          </w:tcPr>
          <w:p w14:paraId="19B8DED8">
            <w:pPr>
              <w:spacing w:line="0" w:lineRule="atLeast"/>
              <w:jc w:val="center"/>
              <w:rPr>
                <w:rFonts w:ascii="仿宋" w:hAnsi="仿宋" w:eastAsia="仿宋" w:cs="仿宋"/>
                <w:sz w:val="24"/>
                <w:szCs w:val="24"/>
              </w:rPr>
            </w:pPr>
            <w:r>
              <w:rPr>
                <w:rFonts w:hint="eastAsia" w:ascii="仿宋" w:hAnsi="仿宋" w:eastAsia="仿宋" w:cs="仿宋"/>
                <w:sz w:val="24"/>
                <w:szCs w:val="24"/>
              </w:rPr>
              <w:t>4</w:t>
            </w:r>
          </w:p>
        </w:tc>
        <w:tc>
          <w:tcPr>
            <w:tcW w:w="1106" w:type="dxa"/>
            <w:vAlign w:val="center"/>
          </w:tcPr>
          <w:p w14:paraId="4708E642">
            <w:pPr>
              <w:spacing w:line="0" w:lineRule="atLeast"/>
              <w:jc w:val="center"/>
              <w:rPr>
                <w:rFonts w:ascii="仿宋" w:hAnsi="仿宋" w:eastAsia="仿宋" w:cs="仿宋"/>
                <w:sz w:val="24"/>
                <w:szCs w:val="24"/>
              </w:rPr>
            </w:pPr>
            <w:r>
              <w:rPr>
                <w:rFonts w:hint="eastAsia" w:ascii="仿宋" w:hAnsi="仿宋" w:eastAsia="仿宋" w:cs="仿宋"/>
                <w:sz w:val="24"/>
                <w:szCs w:val="24"/>
              </w:rPr>
              <w:t>5</w:t>
            </w:r>
          </w:p>
        </w:tc>
        <w:tc>
          <w:tcPr>
            <w:tcW w:w="1385" w:type="dxa"/>
            <w:vAlign w:val="center"/>
          </w:tcPr>
          <w:p w14:paraId="6D258001">
            <w:pPr>
              <w:spacing w:line="0" w:lineRule="atLeast"/>
              <w:jc w:val="center"/>
              <w:rPr>
                <w:rFonts w:ascii="仿宋" w:hAnsi="仿宋" w:eastAsia="仿宋" w:cs="仿宋"/>
                <w:sz w:val="24"/>
                <w:szCs w:val="24"/>
              </w:rPr>
            </w:pPr>
            <w:r>
              <w:rPr>
                <w:rFonts w:hint="eastAsia" w:ascii="仿宋" w:hAnsi="仿宋" w:eastAsia="仿宋" w:cs="仿宋"/>
                <w:sz w:val="24"/>
                <w:szCs w:val="24"/>
              </w:rPr>
              <w:t>6</w:t>
            </w:r>
          </w:p>
        </w:tc>
        <w:tc>
          <w:tcPr>
            <w:tcW w:w="924" w:type="dxa"/>
            <w:vAlign w:val="center"/>
          </w:tcPr>
          <w:p w14:paraId="1F1D5545">
            <w:pPr>
              <w:spacing w:line="0" w:lineRule="atLeast"/>
              <w:jc w:val="center"/>
              <w:rPr>
                <w:rFonts w:ascii="仿宋" w:hAnsi="仿宋" w:eastAsia="仿宋" w:cs="仿宋"/>
                <w:sz w:val="24"/>
                <w:szCs w:val="24"/>
              </w:rPr>
            </w:pPr>
            <w:r>
              <w:rPr>
                <w:rFonts w:hint="eastAsia" w:ascii="仿宋" w:hAnsi="仿宋" w:eastAsia="仿宋" w:cs="仿宋"/>
                <w:sz w:val="24"/>
                <w:szCs w:val="24"/>
              </w:rPr>
              <w:t>7</w:t>
            </w:r>
          </w:p>
        </w:tc>
        <w:tc>
          <w:tcPr>
            <w:tcW w:w="1008" w:type="dxa"/>
            <w:vAlign w:val="center"/>
          </w:tcPr>
          <w:p w14:paraId="5D7A99F4">
            <w:pPr>
              <w:spacing w:line="0" w:lineRule="atLeast"/>
              <w:jc w:val="center"/>
              <w:rPr>
                <w:rFonts w:ascii="仿宋" w:hAnsi="仿宋" w:eastAsia="仿宋" w:cs="仿宋"/>
                <w:sz w:val="24"/>
                <w:szCs w:val="24"/>
              </w:rPr>
            </w:pPr>
            <w:r>
              <w:rPr>
                <w:rFonts w:hint="eastAsia" w:ascii="仿宋" w:hAnsi="仿宋" w:eastAsia="仿宋" w:cs="仿宋"/>
                <w:sz w:val="24"/>
                <w:szCs w:val="24"/>
              </w:rPr>
              <w:t>8</w:t>
            </w:r>
          </w:p>
        </w:tc>
        <w:tc>
          <w:tcPr>
            <w:tcW w:w="966" w:type="dxa"/>
            <w:vAlign w:val="center"/>
          </w:tcPr>
          <w:p w14:paraId="59761C5F">
            <w:pPr>
              <w:spacing w:line="0" w:lineRule="atLeast"/>
              <w:jc w:val="center"/>
              <w:rPr>
                <w:rFonts w:ascii="仿宋" w:hAnsi="仿宋" w:eastAsia="仿宋" w:cs="仿宋"/>
                <w:sz w:val="24"/>
                <w:szCs w:val="24"/>
              </w:rPr>
            </w:pPr>
            <w:r>
              <w:rPr>
                <w:rFonts w:hint="eastAsia" w:ascii="仿宋" w:hAnsi="仿宋" w:eastAsia="仿宋" w:cs="仿宋"/>
                <w:sz w:val="24"/>
                <w:szCs w:val="24"/>
              </w:rPr>
              <w:t>9</w:t>
            </w:r>
          </w:p>
        </w:tc>
      </w:tr>
      <w:tr w14:paraId="3870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2A266F4A">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728" w:type="dxa"/>
            <w:vAlign w:val="center"/>
          </w:tcPr>
          <w:p w14:paraId="19EAAC4A">
            <w:pPr>
              <w:spacing w:line="0" w:lineRule="atLeast"/>
              <w:jc w:val="center"/>
              <w:rPr>
                <w:rFonts w:ascii="仿宋" w:hAnsi="仿宋" w:eastAsia="仿宋" w:cs="仿宋"/>
                <w:sz w:val="24"/>
                <w:szCs w:val="24"/>
              </w:rPr>
            </w:pPr>
            <w:r>
              <w:rPr>
                <w:rFonts w:hint="eastAsia" w:ascii="仿宋" w:hAnsi="仿宋" w:eastAsia="仿宋" w:cs="仿宋"/>
                <w:sz w:val="24"/>
                <w:szCs w:val="24"/>
              </w:rPr>
              <w:t>产品</w:t>
            </w:r>
          </w:p>
          <w:p w14:paraId="3469DFB2">
            <w:pPr>
              <w:spacing w:line="0" w:lineRule="atLeast"/>
              <w:jc w:val="center"/>
              <w:rPr>
                <w:rFonts w:ascii="仿宋" w:hAnsi="仿宋" w:eastAsia="仿宋" w:cs="仿宋"/>
                <w:sz w:val="24"/>
                <w:szCs w:val="24"/>
              </w:rPr>
            </w:pPr>
            <w:r>
              <w:rPr>
                <w:rFonts w:hint="eastAsia" w:ascii="仿宋" w:hAnsi="仿宋" w:eastAsia="仿宋" w:cs="仿宋"/>
                <w:sz w:val="24"/>
                <w:szCs w:val="24"/>
              </w:rPr>
              <w:t>名称</w:t>
            </w:r>
          </w:p>
        </w:tc>
        <w:tc>
          <w:tcPr>
            <w:tcW w:w="728" w:type="dxa"/>
            <w:vAlign w:val="center"/>
          </w:tcPr>
          <w:p w14:paraId="007512FB">
            <w:pPr>
              <w:spacing w:line="0" w:lineRule="atLeast"/>
              <w:jc w:val="center"/>
              <w:rPr>
                <w:rFonts w:ascii="仿宋" w:hAnsi="仿宋" w:eastAsia="仿宋" w:cs="仿宋"/>
                <w:sz w:val="24"/>
                <w:szCs w:val="24"/>
              </w:rPr>
            </w:pPr>
            <w:r>
              <w:rPr>
                <w:rFonts w:hint="eastAsia" w:ascii="仿宋" w:hAnsi="仿宋" w:eastAsia="仿宋" w:cs="仿宋"/>
                <w:sz w:val="24"/>
                <w:szCs w:val="24"/>
              </w:rPr>
              <w:t>品牌</w:t>
            </w:r>
          </w:p>
        </w:tc>
        <w:tc>
          <w:tcPr>
            <w:tcW w:w="938" w:type="dxa"/>
            <w:vAlign w:val="center"/>
          </w:tcPr>
          <w:p w14:paraId="09706452">
            <w:pPr>
              <w:spacing w:line="0" w:lineRule="atLeast"/>
              <w:jc w:val="center"/>
              <w:rPr>
                <w:rFonts w:ascii="仿宋" w:hAnsi="仿宋" w:eastAsia="仿宋" w:cs="仿宋"/>
                <w:sz w:val="24"/>
                <w:szCs w:val="24"/>
              </w:rPr>
            </w:pPr>
            <w:r>
              <w:rPr>
                <w:rFonts w:hint="eastAsia" w:ascii="仿宋" w:hAnsi="仿宋" w:eastAsia="仿宋" w:cs="仿宋"/>
                <w:sz w:val="24"/>
                <w:szCs w:val="24"/>
              </w:rPr>
              <w:t>规格</w:t>
            </w:r>
          </w:p>
          <w:p w14:paraId="4BEC9851">
            <w:pPr>
              <w:spacing w:line="0" w:lineRule="atLeast"/>
              <w:jc w:val="center"/>
              <w:rPr>
                <w:rFonts w:ascii="仿宋" w:hAnsi="仿宋" w:eastAsia="仿宋" w:cs="仿宋"/>
                <w:sz w:val="24"/>
                <w:szCs w:val="24"/>
              </w:rPr>
            </w:pPr>
            <w:r>
              <w:rPr>
                <w:rFonts w:hint="eastAsia" w:ascii="仿宋" w:hAnsi="仿宋" w:eastAsia="仿宋" w:cs="仿宋"/>
                <w:sz w:val="24"/>
                <w:szCs w:val="24"/>
              </w:rPr>
              <w:t>型号</w:t>
            </w:r>
          </w:p>
        </w:tc>
        <w:tc>
          <w:tcPr>
            <w:tcW w:w="980" w:type="dxa"/>
            <w:vAlign w:val="center"/>
          </w:tcPr>
          <w:p w14:paraId="564310B9">
            <w:pPr>
              <w:spacing w:line="0" w:lineRule="atLeast"/>
              <w:jc w:val="center"/>
              <w:rPr>
                <w:rFonts w:ascii="仿宋" w:hAnsi="仿宋" w:eastAsia="仿宋" w:cs="仿宋"/>
                <w:sz w:val="24"/>
                <w:szCs w:val="24"/>
              </w:rPr>
            </w:pPr>
            <w:r>
              <w:rPr>
                <w:rFonts w:hint="eastAsia" w:ascii="仿宋" w:hAnsi="仿宋" w:eastAsia="仿宋" w:cs="仿宋"/>
                <w:sz w:val="24"/>
                <w:szCs w:val="24"/>
              </w:rPr>
              <w:t>制造商名称</w:t>
            </w:r>
          </w:p>
        </w:tc>
        <w:tc>
          <w:tcPr>
            <w:tcW w:w="1106" w:type="dxa"/>
            <w:vAlign w:val="center"/>
          </w:tcPr>
          <w:p w14:paraId="52EF960A">
            <w:pPr>
              <w:spacing w:line="0" w:lineRule="atLeast"/>
              <w:jc w:val="center"/>
              <w:rPr>
                <w:rFonts w:ascii="仿宋" w:hAnsi="仿宋" w:eastAsia="仿宋" w:cs="仿宋"/>
                <w:sz w:val="24"/>
                <w:szCs w:val="24"/>
              </w:rPr>
            </w:pPr>
            <w:r>
              <w:rPr>
                <w:rFonts w:hint="eastAsia" w:ascii="仿宋" w:hAnsi="仿宋" w:eastAsia="仿宋" w:cs="仿宋"/>
                <w:sz w:val="24"/>
                <w:szCs w:val="24"/>
              </w:rPr>
              <w:t>产地</w:t>
            </w:r>
          </w:p>
        </w:tc>
        <w:tc>
          <w:tcPr>
            <w:tcW w:w="1385" w:type="dxa"/>
            <w:vAlign w:val="center"/>
          </w:tcPr>
          <w:p w14:paraId="47CB6699">
            <w:pPr>
              <w:spacing w:line="0" w:lineRule="atLeast"/>
              <w:jc w:val="center"/>
              <w:rPr>
                <w:rFonts w:ascii="仿宋" w:hAnsi="仿宋" w:eastAsia="仿宋" w:cs="仿宋"/>
                <w:sz w:val="24"/>
                <w:szCs w:val="24"/>
              </w:rPr>
            </w:pPr>
            <w:r>
              <w:rPr>
                <w:rFonts w:hint="eastAsia" w:ascii="仿宋" w:hAnsi="仿宋" w:eastAsia="仿宋" w:cs="仿宋"/>
                <w:sz w:val="24"/>
                <w:szCs w:val="24"/>
              </w:rPr>
              <w:t>交付期</w:t>
            </w:r>
          </w:p>
        </w:tc>
        <w:tc>
          <w:tcPr>
            <w:tcW w:w="924" w:type="dxa"/>
            <w:vAlign w:val="center"/>
          </w:tcPr>
          <w:p w14:paraId="33BA4F68">
            <w:pPr>
              <w:spacing w:line="0" w:lineRule="atLeast"/>
              <w:jc w:val="center"/>
              <w:rPr>
                <w:rFonts w:ascii="仿宋" w:hAnsi="仿宋" w:eastAsia="仿宋" w:cs="仿宋"/>
                <w:sz w:val="24"/>
                <w:szCs w:val="24"/>
              </w:rPr>
            </w:pPr>
            <w:r>
              <w:rPr>
                <w:rFonts w:hint="eastAsia" w:ascii="仿宋" w:hAnsi="仿宋" w:eastAsia="仿宋" w:cs="仿宋"/>
                <w:sz w:val="24"/>
                <w:szCs w:val="24"/>
              </w:rPr>
              <w:t>数量</w:t>
            </w:r>
          </w:p>
        </w:tc>
        <w:tc>
          <w:tcPr>
            <w:tcW w:w="1008" w:type="dxa"/>
            <w:vAlign w:val="center"/>
          </w:tcPr>
          <w:p w14:paraId="2E175A85">
            <w:pPr>
              <w:spacing w:line="0" w:lineRule="atLeast"/>
              <w:jc w:val="center"/>
              <w:rPr>
                <w:rFonts w:ascii="仿宋" w:hAnsi="仿宋" w:eastAsia="仿宋" w:cs="仿宋"/>
                <w:sz w:val="24"/>
                <w:szCs w:val="24"/>
              </w:rPr>
            </w:pPr>
            <w:r>
              <w:rPr>
                <w:rFonts w:hint="eastAsia" w:ascii="仿宋" w:hAnsi="仿宋" w:eastAsia="仿宋" w:cs="仿宋"/>
                <w:sz w:val="24"/>
                <w:szCs w:val="24"/>
              </w:rPr>
              <w:t>分项</w:t>
            </w:r>
          </w:p>
          <w:p w14:paraId="50434F9D">
            <w:pPr>
              <w:spacing w:line="0" w:lineRule="atLeast"/>
              <w:jc w:val="center"/>
              <w:rPr>
                <w:rFonts w:ascii="仿宋" w:hAnsi="仿宋" w:eastAsia="仿宋" w:cs="仿宋"/>
                <w:sz w:val="24"/>
                <w:szCs w:val="24"/>
              </w:rPr>
            </w:pPr>
            <w:r>
              <w:rPr>
                <w:rFonts w:hint="eastAsia" w:ascii="仿宋" w:hAnsi="仿宋" w:eastAsia="仿宋" w:cs="仿宋"/>
                <w:sz w:val="24"/>
                <w:szCs w:val="24"/>
              </w:rPr>
              <w:t>单价</w:t>
            </w:r>
          </w:p>
        </w:tc>
        <w:tc>
          <w:tcPr>
            <w:tcW w:w="966" w:type="dxa"/>
            <w:vAlign w:val="center"/>
          </w:tcPr>
          <w:p w14:paraId="292E9ABF">
            <w:pPr>
              <w:spacing w:line="0" w:lineRule="atLeast"/>
              <w:jc w:val="center"/>
              <w:rPr>
                <w:rFonts w:ascii="仿宋" w:hAnsi="仿宋" w:eastAsia="仿宋" w:cs="仿宋"/>
                <w:sz w:val="24"/>
                <w:szCs w:val="24"/>
              </w:rPr>
            </w:pPr>
            <w:r>
              <w:rPr>
                <w:rFonts w:hint="eastAsia" w:ascii="仿宋" w:hAnsi="仿宋" w:eastAsia="仿宋" w:cs="仿宋"/>
                <w:sz w:val="24"/>
                <w:szCs w:val="24"/>
              </w:rPr>
              <w:t>分项</w:t>
            </w:r>
          </w:p>
          <w:p w14:paraId="4E79E7ED">
            <w:pPr>
              <w:spacing w:line="0" w:lineRule="atLeast"/>
              <w:jc w:val="center"/>
              <w:rPr>
                <w:rFonts w:ascii="仿宋" w:hAnsi="仿宋" w:eastAsia="仿宋" w:cs="仿宋"/>
                <w:sz w:val="24"/>
                <w:szCs w:val="24"/>
              </w:rPr>
            </w:pPr>
            <w:r>
              <w:rPr>
                <w:rFonts w:hint="eastAsia" w:ascii="仿宋" w:hAnsi="仿宋" w:eastAsia="仿宋" w:cs="仿宋"/>
                <w:sz w:val="24"/>
                <w:szCs w:val="24"/>
              </w:rPr>
              <w:t>总价</w:t>
            </w:r>
          </w:p>
        </w:tc>
      </w:tr>
      <w:tr w14:paraId="0E07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4FE01B91">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728" w:type="dxa"/>
            <w:vAlign w:val="center"/>
          </w:tcPr>
          <w:p w14:paraId="37A22197">
            <w:pPr>
              <w:spacing w:line="0" w:lineRule="atLeast"/>
              <w:jc w:val="center"/>
              <w:rPr>
                <w:rFonts w:ascii="仿宋" w:hAnsi="仿宋" w:eastAsia="仿宋" w:cs="仿宋"/>
                <w:sz w:val="24"/>
                <w:szCs w:val="24"/>
              </w:rPr>
            </w:pPr>
          </w:p>
        </w:tc>
        <w:tc>
          <w:tcPr>
            <w:tcW w:w="728" w:type="dxa"/>
            <w:vAlign w:val="center"/>
          </w:tcPr>
          <w:p w14:paraId="0E60B136">
            <w:pPr>
              <w:spacing w:line="0" w:lineRule="atLeast"/>
              <w:jc w:val="center"/>
              <w:rPr>
                <w:rFonts w:ascii="仿宋" w:hAnsi="仿宋" w:eastAsia="仿宋" w:cs="仿宋"/>
                <w:sz w:val="24"/>
                <w:szCs w:val="24"/>
              </w:rPr>
            </w:pPr>
          </w:p>
        </w:tc>
        <w:tc>
          <w:tcPr>
            <w:tcW w:w="938" w:type="dxa"/>
            <w:vAlign w:val="center"/>
          </w:tcPr>
          <w:p w14:paraId="79EBE314">
            <w:pPr>
              <w:spacing w:line="0" w:lineRule="atLeast"/>
              <w:jc w:val="center"/>
              <w:rPr>
                <w:rFonts w:ascii="仿宋" w:hAnsi="仿宋" w:eastAsia="仿宋" w:cs="仿宋"/>
                <w:sz w:val="24"/>
                <w:szCs w:val="24"/>
              </w:rPr>
            </w:pPr>
          </w:p>
        </w:tc>
        <w:tc>
          <w:tcPr>
            <w:tcW w:w="980" w:type="dxa"/>
            <w:vAlign w:val="center"/>
          </w:tcPr>
          <w:p w14:paraId="441AE9C3">
            <w:pPr>
              <w:spacing w:line="0" w:lineRule="atLeast"/>
              <w:jc w:val="center"/>
              <w:rPr>
                <w:rFonts w:ascii="仿宋" w:hAnsi="仿宋" w:eastAsia="仿宋" w:cs="仿宋"/>
                <w:sz w:val="24"/>
                <w:szCs w:val="24"/>
                <w:highlight w:val="cyan"/>
              </w:rPr>
            </w:pPr>
          </w:p>
        </w:tc>
        <w:tc>
          <w:tcPr>
            <w:tcW w:w="1106" w:type="dxa"/>
          </w:tcPr>
          <w:p w14:paraId="5DC56A23">
            <w:pPr>
              <w:spacing w:line="0" w:lineRule="atLeast"/>
              <w:jc w:val="center"/>
              <w:rPr>
                <w:rFonts w:ascii="仿宋" w:hAnsi="仿宋" w:eastAsia="仿宋" w:cs="仿宋"/>
                <w:sz w:val="24"/>
                <w:szCs w:val="24"/>
              </w:rPr>
            </w:pPr>
          </w:p>
        </w:tc>
        <w:tc>
          <w:tcPr>
            <w:tcW w:w="1385" w:type="dxa"/>
            <w:vAlign w:val="center"/>
          </w:tcPr>
          <w:p w14:paraId="245C9A1D">
            <w:pPr>
              <w:spacing w:line="0" w:lineRule="atLeast"/>
              <w:jc w:val="center"/>
              <w:rPr>
                <w:rFonts w:ascii="仿宋" w:hAnsi="仿宋" w:eastAsia="仿宋" w:cs="仿宋"/>
                <w:sz w:val="24"/>
                <w:szCs w:val="24"/>
                <w:u w:val="single"/>
              </w:rPr>
            </w:pPr>
            <w:r>
              <w:rPr>
                <w:rFonts w:hint="eastAsia" w:ascii="仿宋" w:hAnsi="仿宋" w:eastAsia="仿宋" w:cs="仿宋"/>
                <w:sz w:val="24"/>
                <w:szCs w:val="24"/>
              </w:rPr>
              <w:t>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tc>
        <w:tc>
          <w:tcPr>
            <w:tcW w:w="924" w:type="dxa"/>
            <w:vAlign w:val="center"/>
          </w:tcPr>
          <w:p w14:paraId="71EA0D47">
            <w:pPr>
              <w:spacing w:line="0" w:lineRule="atLeast"/>
              <w:jc w:val="center"/>
              <w:rPr>
                <w:rFonts w:ascii="仿宋" w:hAnsi="仿宋" w:eastAsia="仿宋" w:cs="仿宋"/>
                <w:sz w:val="24"/>
                <w:szCs w:val="24"/>
              </w:rPr>
            </w:pPr>
          </w:p>
        </w:tc>
        <w:tc>
          <w:tcPr>
            <w:tcW w:w="1008" w:type="dxa"/>
            <w:vAlign w:val="center"/>
          </w:tcPr>
          <w:p w14:paraId="467A35BD">
            <w:pPr>
              <w:spacing w:line="0" w:lineRule="atLeast"/>
              <w:jc w:val="center"/>
              <w:rPr>
                <w:rFonts w:ascii="仿宋" w:hAnsi="仿宋" w:eastAsia="仿宋" w:cs="仿宋"/>
                <w:sz w:val="24"/>
                <w:szCs w:val="24"/>
              </w:rPr>
            </w:pPr>
          </w:p>
        </w:tc>
        <w:tc>
          <w:tcPr>
            <w:tcW w:w="966" w:type="dxa"/>
            <w:vAlign w:val="center"/>
          </w:tcPr>
          <w:p w14:paraId="34E3889E">
            <w:pPr>
              <w:spacing w:line="0" w:lineRule="atLeast"/>
              <w:jc w:val="center"/>
              <w:rPr>
                <w:rFonts w:ascii="仿宋" w:hAnsi="仿宋" w:eastAsia="仿宋" w:cs="仿宋"/>
                <w:sz w:val="24"/>
                <w:szCs w:val="24"/>
              </w:rPr>
            </w:pPr>
          </w:p>
        </w:tc>
      </w:tr>
      <w:tr w14:paraId="3526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5EB99FBB">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728" w:type="dxa"/>
            <w:vAlign w:val="center"/>
          </w:tcPr>
          <w:p w14:paraId="74D52677">
            <w:pPr>
              <w:spacing w:line="0" w:lineRule="atLeast"/>
              <w:jc w:val="center"/>
              <w:rPr>
                <w:rFonts w:ascii="仿宋" w:hAnsi="仿宋" w:eastAsia="仿宋" w:cs="仿宋"/>
                <w:sz w:val="24"/>
                <w:szCs w:val="24"/>
              </w:rPr>
            </w:pPr>
          </w:p>
        </w:tc>
        <w:tc>
          <w:tcPr>
            <w:tcW w:w="728" w:type="dxa"/>
            <w:vAlign w:val="center"/>
          </w:tcPr>
          <w:p w14:paraId="2FE2CD4C">
            <w:pPr>
              <w:spacing w:line="0" w:lineRule="atLeast"/>
              <w:jc w:val="center"/>
              <w:rPr>
                <w:rFonts w:ascii="仿宋" w:hAnsi="仿宋" w:eastAsia="仿宋" w:cs="仿宋"/>
                <w:sz w:val="24"/>
                <w:szCs w:val="24"/>
              </w:rPr>
            </w:pPr>
          </w:p>
        </w:tc>
        <w:tc>
          <w:tcPr>
            <w:tcW w:w="938" w:type="dxa"/>
            <w:vAlign w:val="center"/>
          </w:tcPr>
          <w:p w14:paraId="49A9FACE">
            <w:pPr>
              <w:spacing w:line="0" w:lineRule="atLeast"/>
              <w:jc w:val="center"/>
              <w:rPr>
                <w:rFonts w:ascii="仿宋" w:hAnsi="仿宋" w:eastAsia="仿宋" w:cs="仿宋"/>
                <w:sz w:val="24"/>
                <w:szCs w:val="24"/>
              </w:rPr>
            </w:pPr>
          </w:p>
        </w:tc>
        <w:tc>
          <w:tcPr>
            <w:tcW w:w="980" w:type="dxa"/>
            <w:vAlign w:val="center"/>
          </w:tcPr>
          <w:p w14:paraId="6248115A">
            <w:pPr>
              <w:spacing w:line="0" w:lineRule="atLeast"/>
              <w:jc w:val="center"/>
              <w:rPr>
                <w:rFonts w:ascii="仿宋" w:hAnsi="仿宋" w:eastAsia="仿宋" w:cs="仿宋"/>
                <w:sz w:val="24"/>
                <w:szCs w:val="24"/>
              </w:rPr>
            </w:pPr>
          </w:p>
        </w:tc>
        <w:tc>
          <w:tcPr>
            <w:tcW w:w="1106" w:type="dxa"/>
          </w:tcPr>
          <w:p w14:paraId="68B18925">
            <w:pPr>
              <w:spacing w:line="0" w:lineRule="atLeast"/>
              <w:jc w:val="center"/>
              <w:rPr>
                <w:rFonts w:ascii="仿宋" w:hAnsi="仿宋" w:eastAsia="仿宋" w:cs="仿宋"/>
                <w:sz w:val="24"/>
                <w:szCs w:val="24"/>
              </w:rPr>
            </w:pPr>
          </w:p>
        </w:tc>
        <w:tc>
          <w:tcPr>
            <w:tcW w:w="1385" w:type="dxa"/>
            <w:vAlign w:val="center"/>
          </w:tcPr>
          <w:p w14:paraId="7CC271E6">
            <w:pPr>
              <w:spacing w:line="0" w:lineRule="atLeast"/>
              <w:jc w:val="center"/>
              <w:rPr>
                <w:rFonts w:ascii="仿宋" w:hAnsi="仿宋" w:eastAsia="仿宋" w:cs="仿宋"/>
                <w:sz w:val="24"/>
                <w:szCs w:val="24"/>
              </w:rPr>
            </w:pPr>
          </w:p>
        </w:tc>
        <w:tc>
          <w:tcPr>
            <w:tcW w:w="924" w:type="dxa"/>
            <w:vAlign w:val="center"/>
          </w:tcPr>
          <w:p w14:paraId="5DC7968D">
            <w:pPr>
              <w:spacing w:line="0" w:lineRule="atLeast"/>
              <w:jc w:val="center"/>
              <w:rPr>
                <w:rFonts w:ascii="仿宋" w:hAnsi="仿宋" w:eastAsia="仿宋" w:cs="仿宋"/>
                <w:sz w:val="24"/>
                <w:szCs w:val="24"/>
              </w:rPr>
            </w:pPr>
          </w:p>
        </w:tc>
        <w:tc>
          <w:tcPr>
            <w:tcW w:w="1008" w:type="dxa"/>
            <w:vAlign w:val="center"/>
          </w:tcPr>
          <w:p w14:paraId="152CD730">
            <w:pPr>
              <w:spacing w:line="0" w:lineRule="atLeast"/>
              <w:jc w:val="center"/>
              <w:rPr>
                <w:rFonts w:ascii="仿宋" w:hAnsi="仿宋" w:eastAsia="仿宋" w:cs="仿宋"/>
                <w:sz w:val="24"/>
                <w:szCs w:val="24"/>
              </w:rPr>
            </w:pPr>
          </w:p>
        </w:tc>
        <w:tc>
          <w:tcPr>
            <w:tcW w:w="966" w:type="dxa"/>
            <w:vAlign w:val="center"/>
          </w:tcPr>
          <w:p w14:paraId="6FFF6995">
            <w:pPr>
              <w:spacing w:line="0" w:lineRule="atLeast"/>
              <w:jc w:val="center"/>
              <w:rPr>
                <w:rFonts w:ascii="仿宋" w:hAnsi="仿宋" w:eastAsia="仿宋" w:cs="仿宋"/>
                <w:sz w:val="24"/>
                <w:szCs w:val="24"/>
              </w:rPr>
            </w:pPr>
          </w:p>
        </w:tc>
      </w:tr>
      <w:tr w14:paraId="267B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19053189">
            <w:pPr>
              <w:spacing w:line="0" w:lineRule="atLeast"/>
              <w:jc w:val="center"/>
              <w:rPr>
                <w:rFonts w:ascii="仿宋" w:hAnsi="仿宋" w:eastAsia="仿宋" w:cs="仿宋"/>
                <w:sz w:val="24"/>
                <w:szCs w:val="24"/>
              </w:rPr>
            </w:pPr>
            <w:r>
              <w:rPr>
                <w:rFonts w:hint="eastAsia" w:ascii="仿宋" w:hAnsi="仿宋" w:eastAsia="仿宋" w:cs="仿宋"/>
                <w:sz w:val="24"/>
                <w:szCs w:val="24"/>
              </w:rPr>
              <w:t>4</w:t>
            </w:r>
          </w:p>
        </w:tc>
        <w:tc>
          <w:tcPr>
            <w:tcW w:w="728" w:type="dxa"/>
            <w:vAlign w:val="center"/>
          </w:tcPr>
          <w:p w14:paraId="2A893FB7">
            <w:pPr>
              <w:spacing w:line="0" w:lineRule="atLeast"/>
              <w:jc w:val="center"/>
              <w:rPr>
                <w:rFonts w:ascii="仿宋" w:hAnsi="仿宋" w:eastAsia="仿宋" w:cs="仿宋"/>
                <w:sz w:val="24"/>
                <w:szCs w:val="24"/>
              </w:rPr>
            </w:pPr>
          </w:p>
        </w:tc>
        <w:tc>
          <w:tcPr>
            <w:tcW w:w="728" w:type="dxa"/>
            <w:vAlign w:val="center"/>
          </w:tcPr>
          <w:p w14:paraId="15CD92C7">
            <w:pPr>
              <w:spacing w:line="0" w:lineRule="atLeast"/>
              <w:jc w:val="center"/>
              <w:rPr>
                <w:rFonts w:ascii="仿宋" w:hAnsi="仿宋" w:eastAsia="仿宋" w:cs="仿宋"/>
                <w:sz w:val="24"/>
                <w:szCs w:val="24"/>
              </w:rPr>
            </w:pPr>
          </w:p>
        </w:tc>
        <w:tc>
          <w:tcPr>
            <w:tcW w:w="938" w:type="dxa"/>
            <w:vAlign w:val="center"/>
          </w:tcPr>
          <w:p w14:paraId="6AD5AC92">
            <w:pPr>
              <w:spacing w:line="0" w:lineRule="atLeast"/>
              <w:jc w:val="center"/>
              <w:rPr>
                <w:rFonts w:ascii="仿宋" w:hAnsi="仿宋" w:eastAsia="仿宋" w:cs="仿宋"/>
                <w:sz w:val="24"/>
                <w:szCs w:val="24"/>
              </w:rPr>
            </w:pPr>
          </w:p>
        </w:tc>
        <w:tc>
          <w:tcPr>
            <w:tcW w:w="980" w:type="dxa"/>
            <w:vAlign w:val="center"/>
          </w:tcPr>
          <w:p w14:paraId="0915B4B4">
            <w:pPr>
              <w:spacing w:line="0" w:lineRule="atLeast"/>
              <w:jc w:val="center"/>
              <w:rPr>
                <w:rFonts w:ascii="仿宋" w:hAnsi="仿宋" w:eastAsia="仿宋" w:cs="仿宋"/>
                <w:sz w:val="24"/>
                <w:szCs w:val="24"/>
              </w:rPr>
            </w:pPr>
          </w:p>
        </w:tc>
        <w:tc>
          <w:tcPr>
            <w:tcW w:w="1106" w:type="dxa"/>
          </w:tcPr>
          <w:p w14:paraId="1AD8923D">
            <w:pPr>
              <w:spacing w:line="0" w:lineRule="atLeast"/>
              <w:jc w:val="center"/>
              <w:rPr>
                <w:rFonts w:ascii="仿宋" w:hAnsi="仿宋" w:eastAsia="仿宋" w:cs="仿宋"/>
                <w:sz w:val="24"/>
                <w:szCs w:val="24"/>
              </w:rPr>
            </w:pPr>
          </w:p>
        </w:tc>
        <w:tc>
          <w:tcPr>
            <w:tcW w:w="1385" w:type="dxa"/>
            <w:vAlign w:val="center"/>
          </w:tcPr>
          <w:p w14:paraId="0F5BCC8F">
            <w:pPr>
              <w:spacing w:line="0" w:lineRule="atLeast"/>
              <w:jc w:val="center"/>
              <w:rPr>
                <w:rFonts w:ascii="仿宋" w:hAnsi="仿宋" w:eastAsia="仿宋" w:cs="仿宋"/>
                <w:sz w:val="24"/>
                <w:szCs w:val="24"/>
              </w:rPr>
            </w:pPr>
          </w:p>
        </w:tc>
        <w:tc>
          <w:tcPr>
            <w:tcW w:w="924" w:type="dxa"/>
            <w:vAlign w:val="center"/>
          </w:tcPr>
          <w:p w14:paraId="024D5E33">
            <w:pPr>
              <w:spacing w:line="0" w:lineRule="atLeast"/>
              <w:jc w:val="center"/>
              <w:rPr>
                <w:rFonts w:ascii="仿宋" w:hAnsi="仿宋" w:eastAsia="仿宋" w:cs="仿宋"/>
                <w:sz w:val="24"/>
                <w:szCs w:val="24"/>
              </w:rPr>
            </w:pPr>
          </w:p>
        </w:tc>
        <w:tc>
          <w:tcPr>
            <w:tcW w:w="1008" w:type="dxa"/>
            <w:vAlign w:val="center"/>
          </w:tcPr>
          <w:p w14:paraId="0F7EA29F">
            <w:pPr>
              <w:spacing w:line="0" w:lineRule="atLeast"/>
              <w:jc w:val="center"/>
              <w:rPr>
                <w:rFonts w:ascii="仿宋" w:hAnsi="仿宋" w:eastAsia="仿宋" w:cs="仿宋"/>
                <w:sz w:val="24"/>
                <w:szCs w:val="24"/>
              </w:rPr>
            </w:pPr>
          </w:p>
        </w:tc>
        <w:tc>
          <w:tcPr>
            <w:tcW w:w="966" w:type="dxa"/>
            <w:vAlign w:val="center"/>
          </w:tcPr>
          <w:p w14:paraId="4702D172">
            <w:pPr>
              <w:spacing w:line="0" w:lineRule="atLeast"/>
              <w:jc w:val="center"/>
              <w:rPr>
                <w:rFonts w:ascii="仿宋" w:hAnsi="仿宋" w:eastAsia="仿宋" w:cs="仿宋"/>
                <w:sz w:val="24"/>
                <w:szCs w:val="24"/>
              </w:rPr>
            </w:pPr>
          </w:p>
        </w:tc>
      </w:tr>
      <w:tr w14:paraId="622C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3113BAAB">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728" w:type="dxa"/>
            <w:vAlign w:val="center"/>
          </w:tcPr>
          <w:p w14:paraId="191F4856">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728" w:type="dxa"/>
            <w:vAlign w:val="center"/>
          </w:tcPr>
          <w:p w14:paraId="174FBC3B">
            <w:pPr>
              <w:spacing w:line="0" w:lineRule="atLeast"/>
              <w:jc w:val="center"/>
              <w:rPr>
                <w:rFonts w:ascii="仿宋" w:hAnsi="仿宋" w:eastAsia="仿宋" w:cs="仿宋"/>
                <w:sz w:val="24"/>
                <w:szCs w:val="24"/>
              </w:rPr>
            </w:pPr>
          </w:p>
        </w:tc>
        <w:tc>
          <w:tcPr>
            <w:tcW w:w="938" w:type="dxa"/>
            <w:vAlign w:val="center"/>
          </w:tcPr>
          <w:p w14:paraId="00C0DC6A">
            <w:pPr>
              <w:spacing w:line="0" w:lineRule="atLeast"/>
              <w:jc w:val="center"/>
              <w:rPr>
                <w:rFonts w:ascii="仿宋" w:hAnsi="仿宋" w:eastAsia="仿宋" w:cs="仿宋"/>
                <w:sz w:val="24"/>
                <w:szCs w:val="24"/>
              </w:rPr>
            </w:pPr>
          </w:p>
        </w:tc>
        <w:tc>
          <w:tcPr>
            <w:tcW w:w="980" w:type="dxa"/>
            <w:vAlign w:val="center"/>
          </w:tcPr>
          <w:p w14:paraId="68BCE528">
            <w:pPr>
              <w:spacing w:line="0" w:lineRule="atLeast"/>
              <w:jc w:val="center"/>
              <w:rPr>
                <w:rFonts w:ascii="仿宋" w:hAnsi="仿宋" w:eastAsia="仿宋" w:cs="仿宋"/>
                <w:sz w:val="24"/>
                <w:szCs w:val="24"/>
              </w:rPr>
            </w:pPr>
          </w:p>
        </w:tc>
        <w:tc>
          <w:tcPr>
            <w:tcW w:w="1106" w:type="dxa"/>
          </w:tcPr>
          <w:p w14:paraId="13E37855">
            <w:pPr>
              <w:spacing w:line="0" w:lineRule="atLeast"/>
              <w:jc w:val="center"/>
              <w:rPr>
                <w:rFonts w:ascii="仿宋" w:hAnsi="仿宋" w:eastAsia="仿宋" w:cs="仿宋"/>
                <w:sz w:val="24"/>
                <w:szCs w:val="24"/>
              </w:rPr>
            </w:pPr>
          </w:p>
        </w:tc>
        <w:tc>
          <w:tcPr>
            <w:tcW w:w="1385" w:type="dxa"/>
            <w:vAlign w:val="center"/>
          </w:tcPr>
          <w:p w14:paraId="6819F858">
            <w:pPr>
              <w:spacing w:line="0" w:lineRule="atLeast"/>
              <w:jc w:val="center"/>
              <w:rPr>
                <w:rFonts w:ascii="仿宋" w:hAnsi="仿宋" w:eastAsia="仿宋" w:cs="仿宋"/>
                <w:sz w:val="24"/>
                <w:szCs w:val="24"/>
              </w:rPr>
            </w:pPr>
          </w:p>
        </w:tc>
        <w:tc>
          <w:tcPr>
            <w:tcW w:w="924" w:type="dxa"/>
            <w:vAlign w:val="center"/>
          </w:tcPr>
          <w:p w14:paraId="224F8410">
            <w:pPr>
              <w:spacing w:line="0" w:lineRule="atLeast"/>
              <w:jc w:val="center"/>
              <w:rPr>
                <w:rFonts w:ascii="仿宋" w:hAnsi="仿宋" w:eastAsia="仿宋" w:cs="仿宋"/>
                <w:sz w:val="24"/>
                <w:szCs w:val="24"/>
              </w:rPr>
            </w:pPr>
          </w:p>
        </w:tc>
        <w:tc>
          <w:tcPr>
            <w:tcW w:w="1008" w:type="dxa"/>
            <w:vAlign w:val="center"/>
          </w:tcPr>
          <w:p w14:paraId="2A53CB37">
            <w:pPr>
              <w:spacing w:line="0" w:lineRule="atLeast"/>
              <w:jc w:val="center"/>
              <w:rPr>
                <w:rFonts w:ascii="仿宋" w:hAnsi="仿宋" w:eastAsia="仿宋" w:cs="仿宋"/>
                <w:sz w:val="24"/>
                <w:szCs w:val="24"/>
              </w:rPr>
            </w:pPr>
          </w:p>
        </w:tc>
        <w:tc>
          <w:tcPr>
            <w:tcW w:w="966" w:type="dxa"/>
            <w:vAlign w:val="center"/>
          </w:tcPr>
          <w:p w14:paraId="7E7CA8D2">
            <w:pPr>
              <w:spacing w:line="0" w:lineRule="atLeast"/>
              <w:jc w:val="center"/>
              <w:rPr>
                <w:rFonts w:ascii="仿宋" w:hAnsi="仿宋" w:eastAsia="仿宋" w:cs="仿宋"/>
                <w:sz w:val="24"/>
                <w:szCs w:val="24"/>
              </w:rPr>
            </w:pPr>
          </w:p>
        </w:tc>
      </w:tr>
      <w:tr w14:paraId="1E99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9" w:hRule="atLeast"/>
        </w:trPr>
        <w:tc>
          <w:tcPr>
            <w:tcW w:w="500" w:type="dxa"/>
          </w:tcPr>
          <w:p w14:paraId="7F39746B">
            <w:pPr>
              <w:jc w:val="center"/>
              <w:rPr>
                <w:rFonts w:ascii="仿宋" w:hAnsi="仿宋" w:eastAsia="仿宋" w:cs="仿宋"/>
                <w:sz w:val="24"/>
                <w:szCs w:val="24"/>
              </w:rPr>
            </w:pPr>
          </w:p>
        </w:tc>
        <w:tc>
          <w:tcPr>
            <w:tcW w:w="7797" w:type="dxa"/>
            <w:gridSpan w:val="8"/>
            <w:vAlign w:val="center"/>
          </w:tcPr>
          <w:p w14:paraId="7B030B96">
            <w:pPr>
              <w:spacing w:line="0" w:lineRule="atLeast"/>
              <w:jc w:val="center"/>
              <w:rPr>
                <w:rFonts w:ascii="仿宋" w:hAnsi="仿宋" w:eastAsia="仿宋" w:cs="仿宋"/>
                <w:sz w:val="24"/>
                <w:szCs w:val="24"/>
              </w:rPr>
            </w:pPr>
            <w:r>
              <w:rPr>
                <w:rFonts w:hint="eastAsia" w:ascii="仿宋" w:hAnsi="仿宋" w:eastAsia="仿宋" w:cs="仿宋"/>
                <w:sz w:val="24"/>
                <w:szCs w:val="24"/>
              </w:rPr>
              <w:t>总报价（人民币：元）</w:t>
            </w:r>
          </w:p>
        </w:tc>
        <w:tc>
          <w:tcPr>
            <w:tcW w:w="966" w:type="dxa"/>
          </w:tcPr>
          <w:p w14:paraId="69642B91">
            <w:pPr>
              <w:rPr>
                <w:rFonts w:ascii="仿宋" w:hAnsi="仿宋" w:eastAsia="仿宋" w:cs="仿宋"/>
                <w:sz w:val="24"/>
                <w:szCs w:val="24"/>
              </w:rPr>
            </w:pPr>
          </w:p>
        </w:tc>
      </w:tr>
      <w:tr w14:paraId="5D55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9" w:hRule="atLeast"/>
        </w:trPr>
        <w:tc>
          <w:tcPr>
            <w:tcW w:w="9263" w:type="dxa"/>
            <w:gridSpan w:val="10"/>
          </w:tcPr>
          <w:p w14:paraId="2D89B48B">
            <w:pPr>
              <w:rPr>
                <w:rFonts w:ascii="仿宋" w:hAnsi="仿宋" w:eastAsia="仿宋" w:cs="仿宋"/>
                <w:sz w:val="24"/>
                <w:szCs w:val="24"/>
              </w:rPr>
            </w:pPr>
            <w:r>
              <w:rPr>
                <w:rFonts w:hint="eastAsia" w:ascii="仿宋" w:hAnsi="仿宋" w:eastAsia="仿宋" w:cs="仿宋"/>
                <w:color w:val="0000FF"/>
                <w:sz w:val="24"/>
                <w:szCs w:val="24"/>
              </w:rPr>
              <w:t>本采购包中提供的符合本国产品标准的产品成本之和占该采购包提供的全部产品成本之和的比例为</w:t>
            </w:r>
            <w:r>
              <w:rPr>
                <w:rFonts w:hint="eastAsia" w:ascii="仿宋" w:hAnsi="仿宋" w:eastAsia="仿宋" w:cs="仿宋"/>
                <w:color w:val="0000FF"/>
                <w:sz w:val="24"/>
                <w:szCs w:val="24"/>
                <w:u w:val="single"/>
              </w:rPr>
              <w:t>***</w:t>
            </w:r>
            <w:r>
              <w:rPr>
                <w:rFonts w:hint="eastAsia" w:ascii="仿宋" w:hAnsi="仿宋" w:eastAsia="仿宋" w:cs="仿宋"/>
                <w:color w:val="0000FF"/>
                <w:sz w:val="24"/>
                <w:szCs w:val="24"/>
              </w:rPr>
              <w:t>%。</w:t>
            </w:r>
          </w:p>
        </w:tc>
      </w:tr>
    </w:tbl>
    <w:p w14:paraId="207F5971">
      <w:pPr>
        <w:spacing w:line="400" w:lineRule="exact"/>
        <w:rPr>
          <w:rFonts w:ascii="仿宋" w:hAnsi="仿宋" w:eastAsia="仿宋" w:cs="仿宋"/>
          <w:sz w:val="24"/>
          <w:szCs w:val="24"/>
        </w:rPr>
      </w:pPr>
      <w:r>
        <w:rPr>
          <w:rFonts w:hint="eastAsia" w:ascii="仿宋" w:hAnsi="仿宋" w:eastAsia="仿宋" w:cs="仿宋"/>
          <w:sz w:val="24"/>
          <w:szCs w:val="24"/>
        </w:rPr>
        <w:t>备注：</w:t>
      </w:r>
    </w:p>
    <w:p w14:paraId="3B26A140">
      <w:pPr>
        <w:spacing w:line="400" w:lineRule="exact"/>
        <w:rPr>
          <w:rFonts w:ascii="仿宋" w:hAnsi="仿宋" w:eastAsia="仿宋" w:cs="仿宋"/>
          <w:sz w:val="24"/>
          <w:szCs w:val="24"/>
        </w:rPr>
      </w:pPr>
      <w:r>
        <w:rPr>
          <w:rFonts w:hint="eastAsia" w:ascii="仿宋" w:hAnsi="仿宋" w:eastAsia="仿宋" w:cs="仿宋"/>
          <w:sz w:val="24"/>
          <w:szCs w:val="24"/>
        </w:rPr>
        <w:t>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p>
    <w:p w14:paraId="52D7B235">
      <w:pPr>
        <w:spacing w:line="400" w:lineRule="exact"/>
        <w:rPr>
          <w:rFonts w:ascii="仿宋" w:hAnsi="仿宋" w:eastAsia="仿宋" w:cs="仿宋"/>
          <w:b/>
          <w:bCs/>
          <w:sz w:val="24"/>
          <w:szCs w:val="24"/>
        </w:rPr>
      </w:pPr>
      <w:r>
        <w:rPr>
          <w:rFonts w:hint="eastAsia" w:ascii="仿宋" w:hAnsi="仿宋" w:eastAsia="仿宋" w:cs="仿宋"/>
          <w:b/>
          <w:bCs/>
          <w:sz w:val="24"/>
          <w:szCs w:val="24"/>
        </w:rPr>
        <w:t>2.供应商需认真填写本报价表，尤其注意规格型号的准确填写，否则视为无效响应。</w:t>
      </w:r>
    </w:p>
    <w:p w14:paraId="3681932F">
      <w:pPr>
        <w:jc w:val="left"/>
        <w:rPr>
          <w:rFonts w:ascii="仿宋" w:hAnsi="仿宋" w:eastAsia="仿宋" w:cs="仿宋"/>
          <w:color w:val="0000FF"/>
          <w:sz w:val="24"/>
          <w:szCs w:val="24"/>
        </w:rPr>
      </w:pPr>
      <w:r>
        <w:rPr>
          <w:rFonts w:hint="eastAsia" w:ascii="仿宋" w:hAnsi="仿宋" w:eastAsia="仿宋" w:cs="仿宋"/>
          <w:color w:val="0000FF"/>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3A5226F">
      <w:pPr>
        <w:spacing w:line="400" w:lineRule="exact"/>
        <w:rPr>
          <w:rFonts w:ascii="仿宋" w:hAnsi="仿宋" w:eastAsia="仿宋" w:cs="仿宋"/>
          <w:sz w:val="24"/>
          <w:szCs w:val="24"/>
          <w:highlight w:val="cyan"/>
        </w:rPr>
      </w:pPr>
    </w:p>
    <w:p w14:paraId="11ED2637">
      <w:pPr>
        <w:spacing w:line="400" w:lineRule="exact"/>
        <w:ind w:left="480"/>
        <w:rPr>
          <w:rFonts w:ascii="仿宋" w:hAnsi="仿宋" w:eastAsia="仿宋" w:cs="仿宋"/>
          <w:b/>
          <w:sz w:val="28"/>
          <w:szCs w:val="28"/>
        </w:rPr>
      </w:pPr>
    </w:p>
    <w:p w14:paraId="01E33448">
      <w:pPr>
        <w:spacing w:line="400" w:lineRule="exact"/>
        <w:ind w:left="480"/>
        <w:rPr>
          <w:rFonts w:ascii="仿宋" w:hAnsi="仿宋" w:eastAsia="仿宋" w:cs="仿宋"/>
          <w:b/>
          <w:sz w:val="28"/>
          <w:szCs w:val="28"/>
        </w:rPr>
      </w:pPr>
    </w:p>
    <w:p w14:paraId="3EAEC5CB">
      <w:pPr>
        <w:spacing w:line="400" w:lineRule="exact"/>
        <w:ind w:left="480"/>
        <w:rPr>
          <w:rFonts w:ascii="仿宋" w:hAnsi="仿宋" w:eastAsia="仿宋" w:cs="仿宋"/>
          <w:b/>
          <w:sz w:val="28"/>
          <w:szCs w:val="28"/>
        </w:rPr>
      </w:pPr>
    </w:p>
    <w:p w14:paraId="421BC082">
      <w:pPr>
        <w:spacing w:line="400" w:lineRule="exact"/>
        <w:ind w:left="480"/>
        <w:rPr>
          <w:rFonts w:ascii="仿宋" w:hAnsi="仿宋" w:eastAsia="仿宋" w:cs="仿宋"/>
          <w:b/>
          <w:sz w:val="28"/>
          <w:szCs w:val="28"/>
        </w:rPr>
      </w:pPr>
    </w:p>
    <w:p w14:paraId="555A2717">
      <w:pPr>
        <w:spacing w:line="400" w:lineRule="exact"/>
        <w:rPr>
          <w:rFonts w:ascii="仿宋" w:hAnsi="仿宋" w:eastAsia="仿宋" w:cs="仿宋"/>
          <w:color w:val="FF0000"/>
          <w:sz w:val="24"/>
          <w:szCs w:val="24"/>
          <w:highlight w:val="yellow"/>
        </w:rPr>
      </w:pPr>
    </w:p>
    <w:p w14:paraId="08FB1308">
      <w:pPr>
        <w:snapToGrid w:val="0"/>
        <w:spacing w:line="400" w:lineRule="exact"/>
        <w:contextualSpacing/>
        <w:rPr>
          <w:rFonts w:ascii="仿宋" w:hAnsi="仿宋" w:eastAsia="仿宋" w:cs="仿宋"/>
          <w:b/>
          <w:sz w:val="28"/>
          <w:szCs w:val="28"/>
          <w:lang w:val="zh-CN"/>
        </w:rPr>
      </w:pPr>
      <w:r>
        <w:rPr>
          <w:rFonts w:hint="eastAsia" w:ascii="仿宋" w:hAnsi="仿宋" w:eastAsia="仿宋" w:cs="仿宋"/>
          <w:b/>
          <w:color w:val="FF0000"/>
          <w:sz w:val="24"/>
          <w:szCs w:val="24"/>
        </w:rPr>
        <w:br w:type="page"/>
      </w:r>
      <w:bookmarkEnd w:id="219"/>
      <w:bookmarkEnd w:id="220"/>
      <w:bookmarkEnd w:id="221"/>
      <w:bookmarkStart w:id="222" w:name="_Toc120614284"/>
      <w:r>
        <w:rPr>
          <w:rFonts w:hint="eastAsia" w:ascii="仿宋" w:hAnsi="仿宋" w:eastAsia="仿宋" w:cs="仿宋"/>
          <w:b/>
          <w:sz w:val="28"/>
          <w:szCs w:val="28"/>
          <w:lang w:val="zh-CN"/>
        </w:rPr>
        <w:t>附件</w:t>
      </w:r>
      <w:r>
        <w:rPr>
          <w:rFonts w:hint="eastAsia" w:ascii="仿宋" w:hAnsi="仿宋" w:eastAsia="仿宋" w:cs="仿宋"/>
          <w:b/>
          <w:sz w:val="28"/>
          <w:szCs w:val="28"/>
        </w:rPr>
        <w:t>2</w:t>
      </w:r>
    </w:p>
    <w:p w14:paraId="1B7524EA">
      <w:pPr>
        <w:jc w:val="center"/>
        <w:rPr>
          <w:rFonts w:ascii="仿宋" w:hAnsi="仿宋" w:eastAsia="仿宋" w:cs="仿宋"/>
          <w:b/>
          <w:sz w:val="28"/>
          <w:szCs w:val="28"/>
        </w:rPr>
      </w:pPr>
      <w:r>
        <w:rPr>
          <w:rFonts w:hint="eastAsia" w:ascii="仿宋" w:hAnsi="仿宋" w:eastAsia="仿宋" w:cs="仿宋"/>
          <w:b/>
          <w:sz w:val="28"/>
          <w:szCs w:val="28"/>
        </w:rPr>
        <w:t>投标人符合《中华人民共和国政府采购法》第二十二条规定条件的声明函</w:t>
      </w:r>
    </w:p>
    <w:p w14:paraId="52FC46D9">
      <w:pPr>
        <w:spacing w:line="520" w:lineRule="exact"/>
        <w:ind w:firstLine="480" w:firstLineChars="200"/>
        <w:rPr>
          <w:rFonts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rPr>
        <w:t>________________ （项目名称），_________（项目编号）投标活动。针对《中华人民共和国政府采购法》第二十二条规定做出如下声明：</w:t>
      </w:r>
    </w:p>
    <w:p w14:paraId="726D0177">
      <w:pPr>
        <w:spacing w:line="520" w:lineRule="exact"/>
        <w:ind w:firstLine="482"/>
        <w:rPr>
          <w:rFonts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6C939F18">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76F897A4">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6F93E75F">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24B33438">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6BF1605">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1FBC36D5">
      <w:pPr>
        <w:spacing w:line="500" w:lineRule="exact"/>
        <w:ind w:firstLine="482"/>
        <w:rPr>
          <w:rFonts w:ascii="仿宋" w:hAnsi="仿宋" w:eastAsia="仿宋" w:cs="仿宋"/>
          <w:color w:val="000000"/>
          <w:sz w:val="24"/>
        </w:rPr>
      </w:pPr>
    </w:p>
    <w:p w14:paraId="4E6DE184">
      <w:pPr>
        <w:spacing w:line="500" w:lineRule="exact"/>
        <w:rPr>
          <w:rFonts w:ascii="仿宋" w:hAnsi="仿宋" w:eastAsia="仿宋" w:cs="仿宋"/>
          <w:color w:val="000000"/>
          <w:sz w:val="24"/>
        </w:rPr>
      </w:pPr>
    </w:p>
    <w:p w14:paraId="709E9047">
      <w:pPr>
        <w:spacing w:line="500" w:lineRule="exact"/>
        <w:rPr>
          <w:rFonts w:ascii="仿宋" w:hAnsi="仿宋" w:eastAsia="仿宋" w:cs="仿宋"/>
          <w:bCs/>
          <w:color w:val="000000"/>
          <w:sz w:val="24"/>
          <w:szCs w:val="21"/>
        </w:rPr>
      </w:pPr>
    </w:p>
    <w:p w14:paraId="7C9D53B8">
      <w:pPr>
        <w:spacing w:line="500" w:lineRule="exact"/>
        <w:rPr>
          <w:rFonts w:ascii="仿宋" w:hAnsi="仿宋" w:eastAsia="仿宋" w:cs="仿宋"/>
          <w:bCs/>
          <w:color w:val="000000"/>
          <w:sz w:val="24"/>
          <w:szCs w:val="21"/>
        </w:rPr>
      </w:pPr>
    </w:p>
    <w:p w14:paraId="7A4135D5">
      <w:pPr>
        <w:spacing w:line="500" w:lineRule="exact"/>
        <w:rPr>
          <w:rFonts w:ascii="仿宋" w:hAnsi="仿宋" w:eastAsia="仿宋" w:cs="仿宋"/>
          <w:bCs/>
          <w:color w:val="000000"/>
          <w:sz w:val="24"/>
          <w:szCs w:val="21"/>
        </w:rPr>
      </w:pPr>
    </w:p>
    <w:p w14:paraId="3770BBBD">
      <w:pPr>
        <w:spacing w:line="460" w:lineRule="exact"/>
        <w:jc w:val="center"/>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p>
    <w:p w14:paraId="33304866">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142E8B8B">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日</w:t>
      </w:r>
    </w:p>
    <w:p w14:paraId="03C03CEE">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p>
    <w:p w14:paraId="27EFE842">
      <w:pPr>
        <w:spacing w:line="560" w:lineRule="exact"/>
        <w:jc w:val="center"/>
        <w:rPr>
          <w:rFonts w:ascii="仿宋" w:hAnsi="仿宋" w:eastAsia="仿宋" w:cs="仿宋"/>
          <w:b/>
          <w:bCs/>
          <w:sz w:val="28"/>
          <w:szCs w:val="28"/>
        </w:rPr>
      </w:pPr>
    </w:p>
    <w:p w14:paraId="14A74CFE">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法定代表人身份证明</w:t>
      </w:r>
    </w:p>
    <w:p w14:paraId="427F16E2">
      <w:pPr>
        <w:spacing w:line="480" w:lineRule="exact"/>
        <w:rPr>
          <w:rFonts w:ascii="仿宋" w:hAnsi="仿宋" w:eastAsia="仿宋" w:cs="仿宋"/>
          <w:sz w:val="24"/>
          <w:szCs w:val="24"/>
        </w:rPr>
      </w:pPr>
    </w:p>
    <w:p w14:paraId="3363317C">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职务，为法定代表人，特此证明。</w:t>
      </w:r>
    </w:p>
    <w:p w14:paraId="461561C0">
      <w:pPr>
        <w:spacing w:line="480" w:lineRule="exact"/>
        <w:ind w:firstLine="480"/>
        <w:rPr>
          <w:rFonts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highlight w:val="white"/>
          <w:u w:val="single"/>
        </w:rPr>
        <w:t xml:space="preserve">                                               </w:t>
      </w:r>
    </w:p>
    <w:p w14:paraId="2B9086D2">
      <w:pPr>
        <w:spacing w:line="480" w:lineRule="exact"/>
        <w:ind w:firstLine="480"/>
        <w:rPr>
          <w:rFonts w:ascii="仿宋" w:hAnsi="仿宋" w:eastAsia="仿宋" w:cs="仿宋"/>
          <w:sz w:val="24"/>
          <w:szCs w:val="24"/>
        </w:rPr>
      </w:pPr>
    </w:p>
    <w:p w14:paraId="64AC8B98">
      <w:pPr>
        <w:spacing w:line="600" w:lineRule="exact"/>
        <w:rPr>
          <w:rFonts w:ascii="仿宋" w:hAnsi="仿宋" w:eastAsia="仿宋" w:cs="仿宋"/>
          <w:b/>
          <w:sz w:val="24"/>
          <w:szCs w:val="24"/>
        </w:rPr>
      </w:pPr>
      <w:r>
        <w:rPr>
          <w:rFonts w:hint="eastAsia" w:ascii="仿宋" w:hAnsi="仿宋" w:eastAsia="仿宋" w:cs="仿宋"/>
          <w:b/>
          <w:sz w:val="24"/>
          <w:szCs w:val="24"/>
        </w:rPr>
        <w:t>注：提供法定代表人的身份证扫描件</w:t>
      </w:r>
      <w:r>
        <w:rPr>
          <w:rFonts w:hint="eastAsia" w:ascii="仿宋" w:hAnsi="仿宋" w:eastAsia="仿宋" w:cs="仿宋"/>
          <w:bCs/>
          <w:color w:val="000000"/>
          <w:sz w:val="24"/>
          <w:szCs w:val="21"/>
        </w:rPr>
        <w:t>（加盖CA电子公章）</w:t>
      </w:r>
    </w:p>
    <w:p w14:paraId="3C3C634F">
      <w:pPr>
        <w:rPr>
          <w:rFonts w:ascii="仿宋" w:hAnsi="仿宋" w:eastAsia="仿宋" w:cs="仿宋"/>
          <w:b/>
          <w:color w:val="000000"/>
          <w:sz w:val="24"/>
          <w:szCs w:val="21"/>
        </w:rPr>
      </w:pPr>
    </w:p>
    <w:p w14:paraId="16EF334E">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 xml:space="preserve">附件4  </w:t>
      </w:r>
    </w:p>
    <w:p w14:paraId="0D100F37">
      <w:pPr>
        <w:jc w:val="center"/>
        <w:rPr>
          <w:rFonts w:ascii="仿宋" w:hAnsi="仿宋" w:eastAsia="仿宋" w:cs="仿宋"/>
          <w:b/>
          <w:color w:val="000000"/>
          <w:sz w:val="28"/>
          <w:szCs w:val="28"/>
        </w:rPr>
      </w:pPr>
      <w:r>
        <w:rPr>
          <w:rFonts w:hint="eastAsia" w:ascii="仿宋" w:hAnsi="仿宋" w:eastAsia="仿宋" w:cs="仿宋"/>
          <w:b/>
          <w:color w:val="000000"/>
          <w:sz w:val="28"/>
          <w:szCs w:val="28"/>
        </w:rPr>
        <w:t>法人授权书</w:t>
      </w:r>
    </w:p>
    <w:p w14:paraId="7BC8681C">
      <w:pPr>
        <w:pStyle w:val="13"/>
      </w:pPr>
    </w:p>
    <w:p w14:paraId="70AE423A">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****（项目编</w:t>
      </w:r>
      <w:r>
        <w:rPr>
          <w:rFonts w:hint="eastAsia" w:ascii="仿宋" w:hAnsi="仿宋" w:eastAsia="仿宋" w:cs="仿宋"/>
          <w:sz w:val="24"/>
          <w:szCs w:val="24"/>
        </w:rPr>
        <w:t>号</w:t>
      </w:r>
      <w:r>
        <w:rPr>
          <w:rFonts w:hint="eastAsia" w:ascii="仿宋" w:hAnsi="仿宋" w:eastAsia="仿宋" w:cs="仿宋"/>
          <w:sz w:val="24"/>
          <w:szCs w:val="24"/>
          <w:u w:val="single"/>
        </w:rPr>
        <w:t>）********</w:t>
      </w:r>
      <w:r>
        <w:rPr>
          <w:rFonts w:hint="eastAsia" w:ascii="仿宋" w:hAnsi="仿宋" w:eastAsia="仿宋" w:cs="仿宋"/>
          <w:sz w:val="24"/>
          <w:szCs w:val="24"/>
        </w:rPr>
        <w:t>项目采购活动的合法代理人，以本单位名义全权处理一切与该项目采购有关的事务。</w:t>
      </w:r>
    </w:p>
    <w:p w14:paraId="38A34C79">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0C152BC6">
      <w:pPr>
        <w:tabs>
          <w:tab w:val="left" w:pos="360"/>
        </w:tabs>
        <w:spacing w:line="0" w:lineRule="atLeast"/>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1FDE82E2">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468A1BD1">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69660CF0">
      <w:pPr>
        <w:tabs>
          <w:tab w:val="left" w:pos="360"/>
        </w:tabs>
        <w:spacing w:line="0" w:lineRule="atLeast"/>
        <w:ind w:firstLine="480" w:firstLineChars="200"/>
        <w:rPr>
          <w:rFonts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59B6AFD1">
      <w:pPr>
        <w:tabs>
          <w:tab w:val="left" w:pos="360"/>
        </w:tabs>
        <w:spacing w:line="0" w:lineRule="atLeast"/>
        <w:ind w:firstLine="480" w:firstLineChars="200"/>
        <w:rPr>
          <w:rFonts w:ascii="仿宋" w:hAnsi="仿宋" w:eastAsia="仿宋" w:cs="仿宋"/>
          <w:sz w:val="24"/>
          <w:szCs w:val="24"/>
          <w:u w:val="single"/>
        </w:rPr>
      </w:pPr>
      <w:r>
        <w:rPr>
          <w:rFonts w:hint="eastAsia" w:ascii="仿宋" w:hAnsi="仿宋" w:eastAsia="仿宋" w:cs="仿宋"/>
          <w:sz w:val="24"/>
          <w:szCs w:val="24"/>
        </w:rPr>
        <w:t>日期：</w:t>
      </w:r>
      <w:bookmarkStart w:id="223" w:name="_Hlt26955070"/>
      <w:bookmarkEnd w:id="223"/>
      <w:bookmarkStart w:id="224" w:name="_Hlt26671380"/>
      <w:bookmarkEnd w:id="224"/>
      <w:bookmarkStart w:id="225" w:name="_格式3__银行出具的资信证明"/>
      <w:bookmarkEnd w:id="225"/>
      <w:r>
        <w:rPr>
          <w:rFonts w:hint="eastAsia" w:ascii="仿宋" w:hAnsi="仿宋" w:eastAsia="仿宋" w:cs="仿宋"/>
          <w:sz w:val="24"/>
          <w:szCs w:val="24"/>
          <w:u w:val="single"/>
        </w:rPr>
        <w:t xml:space="preserve">                                         </w:t>
      </w:r>
    </w:p>
    <w:p w14:paraId="4616848A">
      <w:pPr>
        <w:tabs>
          <w:tab w:val="left" w:pos="360"/>
        </w:tabs>
        <w:ind w:firstLine="480" w:firstLineChars="200"/>
        <w:rPr>
          <w:rFonts w:ascii="仿宋" w:hAnsi="仿宋" w:eastAsia="仿宋" w:cs="仿宋"/>
          <w:sz w:val="24"/>
          <w:szCs w:val="24"/>
          <w:u w:val="single"/>
        </w:rPr>
      </w:pPr>
    </w:p>
    <w:p w14:paraId="55A2E38D">
      <w:pPr>
        <w:tabs>
          <w:tab w:val="left" w:pos="360"/>
        </w:tabs>
        <w:ind w:firstLine="480" w:firstLineChars="200"/>
        <w:rPr>
          <w:rFonts w:ascii="仿宋" w:hAnsi="仿宋" w:eastAsia="仿宋" w:cs="仿宋"/>
          <w:sz w:val="24"/>
          <w:szCs w:val="24"/>
        </w:rPr>
      </w:pPr>
    </w:p>
    <w:p w14:paraId="42C053CF">
      <w:pPr>
        <w:ind w:firstLine="420"/>
        <w:rPr>
          <w:rFonts w:ascii="仿宋" w:hAnsi="仿宋" w:eastAsia="仿宋" w:cs="仿宋"/>
          <w:i/>
          <w:sz w:val="24"/>
          <w:szCs w:val="24"/>
          <w:u w:val="single"/>
        </w:rPr>
      </w:pPr>
    </w:p>
    <w:p w14:paraId="34B37D54">
      <w:pPr>
        <w:rPr>
          <w:rFonts w:ascii="仿宋" w:hAnsi="仿宋" w:eastAsia="仿宋" w:cs="仿宋"/>
          <w:szCs w:val="21"/>
        </w:rPr>
      </w:pPr>
    </w:p>
    <w:p w14:paraId="56DFD6AD">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注：提供被授权人身份证扫描件</w:t>
      </w:r>
      <w:r>
        <w:rPr>
          <w:rFonts w:hint="eastAsia" w:ascii="仿宋" w:hAnsi="仿宋" w:eastAsia="仿宋" w:cs="仿宋"/>
          <w:bCs/>
          <w:color w:val="000000"/>
          <w:sz w:val="24"/>
          <w:szCs w:val="21"/>
        </w:rPr>
        <w:t>（加盖CA电子公章）</w:t>
      </w:r>
    </w:p>
    <w:p w14:paraId="22AFE929">
      <w:pPr>
        <w:tabs>
          <w:tab w:val="left" w:pos="360"/>
        </w:tabs>
        <w:spacing w:line="0" w:lineRule="atLeast"/>
        <w:ind w:firstLine="480" w:firstLineChars="200"/>
        <w:rPr>
          <w:sz w:val="28"/>
          <w:szCs w:val="28"/>
        </w:rPr>
      </w:pPr>
      <w:r>
        <w:rPr>
          <w:rFonts w:hint="eastAsia" w:ascii="仿宋" w:hAnsi="仿宋" w:eastAsia="仿宋" w:cs="仿宋"/>
          <w:sz w:val="24"/>
          <w:szCs w:val="24"/>
        </w:rPr>
        <w:br w:type="page"/>
      </w:r>
      <w:r>
        <w:rPr>
          <w:rFonts w:hint="eastAsia" w:ascii="仿宋" w:hAnsi="仿宋" w:eastAsia="仿宋" w:cs="仿宋"/>
          <w:b/>
          <w:color w:val="000000"/>
          <w:sz w:val="28"/>
          <w:szCs w:val="28"/>
        </w:rPr>
        <w:t xml:space="preserve">附件5   </w:t>
      </w:r>
    </w:p>
    <w:p w14:paraId="217CC623">
      <w:pPr>
        <w:jc w:val="center"/>
        <w:rPr>
          <w:rFonts w:ascii="仿宋" w:hAnsi="仿宋" w:eastAsia="仿宋" w:cs="仿宋"/>
          <w:b/>
          <w:color w:val="000000"/>
          <w:sz w:val="28"/>
          <w:szCs w:val="28"/>
        </w:rPr>
      </w:pPr>
      <w:r>
        <w:rPr>
          <w:rFonts w:hint="eastAsia" w:ascii="仿宋" w:hAnsi="仿宋" w:eastAsia="仿宋" w:cs="仿宋"/>
          <w:b/>
          <w:color w:val="000000"/>
          <w:sz w:val="28"/>
          <w:szCs w:val="28"/>
        </w:rPr>
        <w:t>磋商响应函</w:t>
      </w:r>
    </w:p>
    <w:p w14:paraId="4EC22A38">
      <w:pPr>
        <w:pStyle w:val="13"/>
      </w:pPr>
    </w:p>
    <w:p w14:paraId="3D437526">
      <w:pPr>
        <w:adjustRightInd w:val="0"/>
        <w:spacing w:line="420" w:lineRule="exact"/>
        <w:jc w:val="left"/>
        <w:textAlignment w:val="baseline"/>
        <w:rPr>
          <w:rFonts w:ascii="仿宋" w:hAnsi="仿宋" w:eastAsia="仿宋" w:cs="仿宋"/>
          <w:sz w:val="24"/>
          <w:szCs w:val="21"/>
        </w:rPr>
      </w:pPr>
      <w:r>
        <w:rPr>
          <w:rFonts w:hint="eastAsia" w:ascii="仿宋" w:hAnsi="仿宋" w:eastAsia="仿宋" w:cs="仿宋"/>
          <w:sz w:val="24"/>
          <w:szCs w:val="21"/>
        </w:rPr>
        <w:t>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     </w:t>
      </w:r>
    </w:p>
    <w:p w14:paraId="17A50A47">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w:t>
      </w:r>
      <w:r>
        <w:rPr>
          <w:rFonts w:hint="eastAsia" w:ascii="仿宋" w:hAnsi="仿宋" w:eastAsia="仿宋" w:cs="仿宋"/>
          <w:sz w:val="24"/>
          <w:szCs w:val="21"/>
        </w:rPr>
        <w:t>（项目编号）磋商文件，正式授权下述被授权人______(姓名)代表我方______________（供应商的名称），全权处理本次项目磋商的有关事宜。</w:t>
      </w:r>
    </w:p>
    <w:p w14:paraId="20097EDA">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据此函，被授权人__________（姓名）兹宣布同意如下：</w:t>
      </w:r>
    </w:p>
    <w:p w14:paraId="25045F12">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0EE90042">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746E85A1">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572C025A">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74FB89F6">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2E748B85">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6.一旦我方成交,我方将根据磋商文件的规定，严格履行合同的责任和义务,并保证在磋商文件规定的时间完成项目，交付买方验收、使用。</w:t>
      </w:r>
    </w:p>
    <w:p w14:paraId="1B11960E">
      <w:pPr>
        <w:adjustRightInd w:val="0"/>
        <w:spacing w:line="420" w:lineRule="exact"/>
        <w:ind w:left="425"/>
        <w:jc w:val="left"/>
        <w:textAlignment w:val="baseline"/>
        <w:rPr>
          <w:rFonts w:ascii="仿宋" w:hAnsi="仿宋" w:eastAsia="仿宋" w:cs="仿宋"/>
          <w:sz w:val="24"/>
          <w:szCs w:val="21"/>
        </w:rPr>
      </w:pPr>
      <w:r>
        <w:rPr>
          <w:rFonts w:hint="eastAsia" w:ascii="仿宋" w:hAnsi="仿宋" w:eastAsia="仿宋" w:cs="仿宋"/>
          <w:sz w:val="24"/>
          <w:szCs w:val="21"/>
        </w:rPr>
        <w:t>7.我方与本磋商有关的正式通讯地址为：</w:t>
      </w:r>
    </w:p>
    <w:p w14:paraId="4EECE89E">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地          址：</w:t>
      </w:r>
    </w:p>
    <w:p w14:paraId="201412F1">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邮          编：</w:t>
      </w:r>
    </w:p>
    <w:p w14:paraId="4229D6D3">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电          话：</w:t>
      </w:r>
    </w:p>
    <w:p w14:paraId="339B8099">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传          真：</w:t>
      </w:r>
    </w:p>
    <w:p w14:paraId="7215A96C">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供应商开户行：</w:t>
      </w:r>
    </w:p>
    <w:p w14:paraId="42A525D0">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 xml:space="preserve">账          号： </w:t>
      </w:r>
    </w:p>
    <w:p w14:paraId="7D7D59EF">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日           期：________年____月____日</w:t>
      </w:r>
    </w:p>
    <w:p w14:paraId="626A9458">
      <w:pPr>
        <w:spacing w:line="560" w:lineRule="exact"/>
        <w:ind w:firstLine="240" w:firstLineChars="100"/>
        <w:jc w:val="center"/>
        <w:rPr>
          <w:rFonts w:ascii="仿宋" w:hAnsi="仿宋" w:eastAsia="仿宋" w:cs="仿宋"/>
          <w:bCs/>
          <w:sz w:val="24"/>
          <w:szCs w:val="21"/>
        </w:rPr>
      </w:pPr>
    </w:p>
    <w:p w14:paraId="4B278DC9">
      <w:pPr>
        <w:spacing w:line="560" w:lineRule="exact"/>
        <w:ind w:firstLine="240" w:firstLineChars="100"/>
        <w:jc w:val="center"/>
        <w:rPr>
          <w:rFonts w:ascii="仿宋" w:hAnsi="仿宋" w:eastAsia="仿宋" w:cs="仿宋"/>
          <w:bCs/>
          <w:sz w:val="24"/>
          <w:szCs w:val="21"/>
        </w:rPr>
      </w:pPr>
    </w:p>
    <w:p w14:paraId="123CFD7A">
      <w:pPr>
        <w:spacing w:line="560" w:lineRule="exact"/>
        <w:ind w:firstLine="240" w:firstLineChars="100"/>
        <w:jc w:val="center"/>
        <w:rPr>
          <w:rFonts w:ascii="仿宋" w:hAnsi="仿宋" w:eastAsia="仿宋" w:cs="仿宋"/>
          <w:bCs/>
          <w:sz w:val="24"/>
          <w:szCs w:val="21"/>
        </w:rPr>
      </w:pPr>
    </w:p>
    <w:p w14:paraId="7443B750">
      <w:pPr>
        <w:spacing w:line="560" w:lineRule="exact"/>
        <w:rPr>
          <w:rFonts w:ascii="仿宋" w:hAnsi="仿宋" w:eastAsia="仿宋" w:cs="仿宋"/>
          <w:bCs/>
          <w:sz w:val="24"/>
          <w:szCs w:val="21"/>
        </w:rPr>
      </w:pPr>
    </w:p>
    <w:p w14:paraId="138F5EBC">
      <w:pPr>
        <w:rPr>
          <w:rFonts w:ascii="仿宋" w:hAnsi="仿宋" w:eastAsia="仿宋" w:cs="仿宋"/>
          <w:b/>
          <w:sz w:val="24"/>
          <w:szCs w:val="21"/>
        </w:rPr>
      </w:pPr>
    </w:p>
    <w:p w14:paraId="410A98AA">
      <w:pPr>
        <w:rPr>
          <w:rFonts w:ascii="仿宋" w:hAnsi="仿宋" w:eastAsia="仿宋" w:cs="仿宋"/>
          <w:b/>
          <w:sz w:val="28"/>
          <w:szCs w:val="28"/>
        </w:rPr>
      </w:pPr>
      <w:r>
        <w:rPr>
          <w:rFonts w:hint="eastAsia" w:ascii="仿宋" w:hAnsi="仿宋" w:eastAsia="仿宋" w:cs="仿宋"/>
          <w:b/>
          <w:sz w:val="28"/>
          <w:szCs w:val="28"/>
        </w:rPr>
        <w:t xml:space="preserve">附件6 </w:t>
      </w:r>
    </w:p>
    <w:p w14:paraId="38428EA5">
      <w:pPr>
        <w:jc w:val="center"/>
        <w:rPr>
          <w:rFonts w:ascii="仿宋" w:hAnsi="仿宋" w:eastAsia="仿宋" w:cs="仿宋"/>
          <w:b/>
          <w:sz w:val="24"/>
          <w:szCs w:val="21"/>
        </w:rPr>
      </w:pPr>
      <w:r>
        <w:rPr>
          <w:rFonts w:hint="eastAsia" w:ascii="仿宋" w:hAnsi="仿宋" w:eastAsia="仿宋" w:cs="仿宋"/>
          <w:b/>
          <w:sz w:val="28"/>
          <w:szCs w:val="28"/>
        </w:rPr>
        <w:t>中小企业声明函（货物）</w:t>
      </w:r>
      <w:r>
        <w:rPr>
          <w:rFonts w:hint="eastAsia" w:ascii="仿宋" w:hAnsi="仿宋" w:eastAsia="仿宋" w:cs="仿宋"/>
          <w:b/>
          <w:sz w:val="24"/>
          <w:szCs w:val="21"/>
        </w:rPr>
        <w:t xml:space="preserve"> </w:t>
      </w:r>
    </w:p>
    <w:p w14:paraId="0C0031F5">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采购活动，提供的货物全部由符合政策要求的中小企业制造。相关企业（含联合体中的中小企业、签订分包意向协议的中小企业）的具体情况如下：</w:t>
      </w:r>
    </w:p>
    <w:p w14:paraId="6CCADFD0">
      <w:pPr>
        <w:spacing w:line="400" w:lineRule="exact"/>
        <w:ind w:firstLine="360" w:firstLineChars="150"/>
        <w:rPr>
          <w:rFonts w:ascii="仿宋" w:hAnsi="仿宋" w:eastAsia="仿宋" w:cs="仿宋"/>
          <w:i/>
          <w:sz w:val="24"/>
          <w:szCs w:val="24"/>
          <w:u w:val="single"/>
        </w:rPr>
      </w:pPr>
      <w:r>
        <w:rPr>
          <w:rFonts w:hint="eastAsia" w:ascii="仿宋" w:hAnsi="仿宋" w:eastAsia="仿宋" w:cs="仿宋"/>
          <w:sz w:val="24"/>
          <w:szCs w:val="24"/>
        </w:rPr>
        <w:t>1.</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6DA78F86">
      <w:pPr>
        <w:spacing w:line="400" w:lineRule="exact"/>
        <w:ind w:firstLine="360" w:firstLineChars="150"/>
        <w:rPr>
          <w:rFonts w:ascii="仿宋" w:hAnsi="仿宋" w:eastAsia="仿宋" w:cs="仿宋"/>
          <w:i/>
          <w:sz w:val="24"/>
          <w:szCs w:val="24"/>
          <w:u w:val="single"/>
        </w:rPr>
      </w:pPr>
      <w:r>
        <w:rPr>
          <w:rFonts w:hint="eastAsia" w:ascii="仿宋" w:hAnsi="仿宋" w:eastAsia="仿宋" w:cs="仿宋"/>
          <w:sz w:val="24"/>
          <w:szCs w:val="24"/>
        </w:rPr>
        <w:t>2.</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行业；制造商为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7C5FDABE">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w:t>
      </w:r>
    </w:p>
    <w:p w14:paraId="5EAC5676">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457A77BE">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788E50B0">
      <w:pPr>
        <w:spacing w:line="400" w:lineRule="exact"/>
        <w:ind w:right="720"/>
        <w:rPr>
          <w:rFonts w:ascii="仿宋" w:hAnsi="仿宋" w:eastAsia="仿宋" w:cs="仿宋"/>
          <w:sz w:val="24"/>
          <w:szCs w:val="24"/>
        </w:rPr>
      </w:pPr>
    </w:p>
    <w:p w14:paraId="41518ADC">
      <w:pPr>
        <w:spacing w:line="400" w:lineRule="exact"/>
        <w:ind w:right="180" w:firstLine="360" w:firstLineChars="150"/>
        <w:jc w:val="right"/>
        <w:rPr>
          <w:rFonts w:ascii="仿宋" w:hAnsi="仿宋" w:eastAsia="仿宋" w:cs="仿宋"/>
          <w:sz w:val="24"/>
          <w:szCs w:val="24"/>
        </w:rPr>
      </w:pPr>
      <w:r>
        <w:rPr>
          <w:rFonts w:hint="eastAsia" w:ascii="仿宋" w:hAnsi="仿宋" w:eastAsia="仿宋" w:cs="仿宋"/>
          <w:sz w:val="24"/>
          <w:szCs w:val="21"/>
        </w:rPr>
        <w:t>供应商全称</w:t>
      </w:r>
      <w:r>
        <w:rPr>
          <w:rFonts w:hint="eastAsia" w:ascii="仿宋" w:hAnsi="仿宋" w:eastAsia="仿宋" w:cs="仿宋"/>
          <w:sz w:val="24"/>
          <w:szCs w:val="24"/>
        </w:rPr>
        <w:t>（加盖CA电子公章）：</w:t>
      </w:r>
    </w:p>
    <w:p w14:paraId="72D21E33">
      <w:pPr>
        <w:spacing w:line="400" w:lineRule="exact"/>
        <w:ind w:right="480" w:firstLine="5400" w:firstLineChars="2250"/>
        <w:rPr>
          <w:rFonts w:ascii="仿宋" w:hAnsi="仿宋" w:eastAsia="仿宋" w:cs="仿宋"/>
          <w:sz w:val="24"/>
          <w:szCs w:val="24"/>
        </w:rPr>
      </w:pPr>
      <w:r>
        <w:rPr>
          <w:rFonts w:hint="eastAsia" w:ascii="仿宋" w:hAnsi="仿宋" w:eastAsia="仿宋" w:cs="仿宋"/>
          <w:sz w:val="24"/>
          <w:szCs w:val="24"/>
        </w:rPr>
        <w:t>日  期：</w:t>
      </w:r>
    </w:p>
    <w:p w14:paraId="1EFA14D7">
      <w:pPr>
        <w:spacing w:line="400" w:lineRule="exact"/>
        <w:rPr>
          <w:rFonts w:ascii="仿宋" w:hAnsi="仿宋" w:eastAsia="仿宋" w:cs="仿宋"/>
          <w:sz w:val="24"/>
          <w:szCs w:val="24"/>
        </w:rPr>
      </w:pPr>
    </w:p>
    <w:p w14:paraId="73BE9AE1">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备注：</w:t>
      </w:r>
    </w:p>
    <w:p w14:paraId="630C7E9A">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1、如项目类型为“货物”，请按照此格式填写。</w:t>
      </w:r>
    </w:p>
    <w:p w14:paraId="76F58455">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2、从业人员、营业收入、资产总额填报上一年度数据，无上一年度数据的新成立企业可不填报。</w:t>
      </w:r>
    </w:p>
    <w:p w14:paraId="2840BB3E">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3、专门面向中小微型企业采购的项目，供应商如不提供此声明函，则不能通过资格审查；非专门面向中小微型企业采购的项目，供应商如不提供此声明函，价格将不做相应扣除。</w:t>
      </w:r>
    </w:p>
    <w:p w14:paraId="4DDAE273">
      <w:pPr>
        <w:spacing w:line="460" w:lineRule="exact"/>
        <w:ind w:firstLine="480" w:firstLineChars="200"/>
        <w:rPr>
          <w:rFonts w:ascii="仿宋" w:hAnsi="仿宋" w:eastAsia="仿宋" w:cs="仿宋"/>
          <w:sz w:val="24"/>
          <w:szCs w:val="24"/>
        </w:rPr>
      </w:pPr>
      <w:r>
        <w:rPr>
          <w:rFonts w:hint="eastAsia" w:ascii="仿宋" w:hAnsi="仿宋" w:eastAsia="仿宋" w:cs="仿宋"/>
          <w:sz w:val="24"/>
          <w:szCs w:val="24"/>
        </w:rPr>
        <w:t>4、供应商</w:t>
      </w:r>
      <w:r>
        <w:rPr>
          <w:rFonts w:hint="eastAsia" w:ascii="仿宋" w:hAnsi="仿宋" w:eastAsia="仿宋" w:cs="仿宋"/>
          <w:b/>
          <w:bCs/>
          <w:sz w:val="24"/>
          <w:szCs w:val="24"/>
        </w:rPr>
        <w:t>自行勾选</w:t>
      </w:r>
      <w:r>
        <w:rPr>
          <w:rFonts w:hint="eastAsia" w:ascii="仿宋" w:hAnsi="仿宋" w:eastAsia="仿宋" w:cs="仿宋"/>
          <w:sz w:val="24"/>
          <w:szCs w:val="24"/>
        </w:rPr>
        <w:t>制造商的企业规模类型。</w:t>
      </w:r>
    </w:p>
    <w:p w14:paraId="59E1BECA">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3CCFCE63">
      <w:pPr>
        <w:spacing w:line="460" w:lineRule="exact"/>
        <w:ind w:firstLine="480" w:firstLineChars="200"/>
        <w:rPr>
          <w:rFonts w:ascii="仿宋" w:hAnsi="仿宋" w:eastAsia="仿宋" w:cs="仿宋"/>
          <w:sz w:val="24"/>
          <w:szCs w:val="24"/>
        </w:rPr>
      </w:pPr>
    </w:p>
    <w:p w14:paraId="4BFFE842">
      <w:pPr>
        <w:pStyle w:val="13"/>
      </w:pPr>
    </w:p>
    <w:p w14:paraId="2EAB38A0">
      <w:pPr>
        <w:spacing w:line="400" w:lineRule="exact"/>
        <w:ind w:firstLine="562" w:firstLineChars="200"/>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p>
    <w:p w14:paraId="3453A1E2">
      <w:pPr>
        <w:spacing w:line="400" w:lineRule="exact"/>
        <w:ind w:firstLine="562" w:firstLineChars="200"/>
        <w:jc w:val="center"/>
        <w:rPr>
          <w:rFonts w:ascii="仿宋" w:hAnsi="仿宋" w:eastAsia="仿宋" w:cs="仿宋"/>
          <w:b/>
          <w:color w:val="000000"/>
          <w:sz w:val="24"/>
          <w:szCs w:val="24"/>
        </w:rPr>
      </w:pPr>
      <w:r>
        <w:rPr>
          <w:rFonts w:hint="eastAsia" w:ascii="仿宋" w:hAnsi="仿宋" w:eastAsia="仿宋" w:cs="仿宋"/>
          <w:b/>
          <w:color w:val="000000"/>
          <w:sz w:val="28"/>
          <w:szCs w:val="28"/>
        </w:rPr>
        <w:t>残疾人福利性单位声明函（货物）</w:t>
      </w:r>
      <w:r>
        <w:rPr>
          <w:rFonts w:hint="eastAsia" w:ascii="仿宋" w:hAnsi="仿宋" w:eastAsia="仿宋" w:cs="仿宋"/>
          <w:b/>
          <w:color w:val="000000"/>
          <w:sz w:val="24"/>
          <w:szCs w:val="24"/>
        </w:rPr>
        <w:t xml:space="preserve"> </w:t>
      </w:r>
    </w:p>
    <w:p w14:paraId="776CBA87">
      <w:pPr>
        <w:pStyle w:val="13"/>
      </w:pPr>
    </w:p>
    <w:p w14:paraId="4DDFB43D">
      <w:pPr>
        <w:spacing w:line="400" w:lineRule="exact"/>
        <w:ind w:firstLine="360" w:firstLineChars="15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FF0000"/>
          <w:sz w:val="24"/>
          <w:szCs w:val="24"/>
        </w:rPr>
        <w:t>〔2017〕</w:t>
      </w:r>
      <w:r>
        <w:rPr>
          <w:rFonts w:hint="eastAsia" w:ascii="仿宋" w:hAnsi="仿宋" w:eastAsia="仿宋" w:cs="仿宋"/>
          <w:color w:val="000000" w:themeColor="text1"/>
          <w:sz w:val="24"/>
          <w:szCs w:val="24"/>
          <w14:textFill>
            <w14:solidFill>
              <w14:schemeClr w14:val="tx1"/>
            </w14:solidFill>
          </w14:textFill>
        </w:rPr>
        <w:t>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单位的</w:t>
      </w:r>
      <w:r>
        <w:rPr>
          <w:rFonts w:hint="eastAsia" w:ascii="仿宋" w:hAnsi="仿宋" w:eastAsia="仿宋" w:cs="仿宋"/>
          <w:b/>
          <w:bCs/>
          <w:color w:val="000000" w:themeColor="text1"/>
          <w:sz w:val="24"/>
          <w:szCs w:val="24"/>
          <w14:textFill>
            <w14:solidFill>
              <w14:schemeClr w14:val="tx1"/>
            </w14:solidFill>
          </w14:textFill>
        </w:rPr>
        <w:t>采购文件编号</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项目采购活动提供本单位制造的货物，或者提供其他残疾人福利性单位制造的货物（不包括使用非残疾人福利性单位注册商标的货物）。</w:t>
      </w:r>
    </w:p>
    <w:p w14:paraId="6BBC9905">
      <w:pPr>
        <w:spacing w:line="400" w:lineRule="exact"/>
        <w:ind w:firstLine="360" w:firstLineChars="15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5A1C604C">
      <w:pPr>
        <w:spacing w:line="0" w:lineRule="atLeast"/>
        <w:ind w:firstLine="480" w:firstLineChars="200"/>
        <w:rPr>
          <w:rFonts w:ascii="仿宋" w:hAnsi="仿宋" w:eastAsia="仿宋" w:cs="仿宋"/>
          <w:color w:val="000000"/>
          <w:sz w:val="24"/>
          <w:szCs w:val="21"/>
        </w:rPr>
      </w:pPr>
    </w:p>
    <w:p w14:paraId="78152A7F">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备注：</w:t>
      </w:r>
    </w:p>
    <w:p w14:paraId="519F95C7">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rPr>
        <w:t>1、如项目类型为“货物”，请按照此格式填写。</w:t>
      </w:r>
    </w:p>
    <w:p w14:paraId="7C5F9B1A">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4"/>
        </w:rPr>
        <w:t>2、</w:t>
      </w:r>
      <w:r>
        <w:rPr>
          <w:rFonts w:hint="eastAsia" w:ascii="仿宋" w:hAnsi="仿宋" w:eastAsia="仿宋" w:cs="仿宋"/>
          <w:sz w:val="24"/>
          <w:szCs w:val="21"/>
        </w:rPr>
        <w:t>专门面向中小微型企业采购的项目，供应商为残疾人福利性单位并提供本单位制造的货物，或者提供其他残疾人福利性单位制造的货物，必须提供此声明函，否则将不能通过资格审查。</w:t>
      </w:r>
    </w:p>
    <w:p w14:paraId="5B34D1A7">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4"/>
        </w:rPr>
        <w:t>3、</w:t>
      </w:r>
      <w:r>
        <w:rPr>
          <w:rFonts w:hint="eastAsia" w:ascii="仿宋" w:hAnsi="仿宋" w:eastAsia="仿宋" w:cs="仿宋"/>
          <w:sz w:val="24"/>
          <w:szCs w:val="21"/>
        </w:rPr>
        <w:t>非专门面向中小微型企业采购的项目，供应商如不提供此声明函，价格将不做相应扣除。</w:t>
      </w:r>
    </w:p>
    <w:p w14:paraId="6DA5D025">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4"/>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7139EBD2">
      <w:pPr>
        <w:spacing w:line="588" w:lineRule="exact"/>
        <w:ind w:firstLine="624" w:firstLineChars="200"/>
        <w:rPr>
          <w:rFonts w:ascii="仿宋" w:hAnsi="仿宋" w:eastAsia="仿宋" w:cs="仿宋"/>
          <w:color w:val="000000"/>
          <w:spacing w:val="6"/>
          <w:sz w:val="30"/>
          <w:szCs w:val="30"/>
        </w:rPr>
      </w:pPr>
    </w:p>
    <w:p w14:paraId="54E949E5">
      <w:pPr>
        <w:tabs>
          <w:tab w:val="left" w:pos="4860"/>
        </w:tabs>
        <w:spacing w:line="0" w:lineRule="atLeast"/>
        <w:ind w:right="1559" w:firstLine="624" w:firstLineChars="200"/>
        <w:jc w:val="center"/>
        <w:rPr>
          <w:rFonts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rPr>
        <w:t>供应商全称</w:t>
      </w:r>
      <w:r>
        <w:rPr>
          <w:rFonts w:hint="eastAsia" w:ascii="仿宋" w:hAnsi="仿宋" w:eastAsia="仿宋" w:cs="仿宋"/>
          <w:color w:val="000000"/>
          <w:sz w:val="24"/>
          <w:szCs w:val="21"/>
        </w:rPr>
        <w:t>（加盖CA电子公章）：</w:t>
      </w:r>
    </w:p>
    <w:p w14:paraId="7222B47A">
      <w:pPr>
        <w:tabs>
          <w:tab w:val="left" w:pos="4860"/>
        </w:tabs>
        <w:spacing w:line="0" w:lineRule="atLeast"/>
        <w:ind w:right="1559" w:firstLine="480" w:firstLineChars="200"/>
        <w:jc w:val="center"/>
        <w:rPr>
          <w:rFonts w:ascii="仿宋" w:hAnsi="仿宋" w:eastAsia="仿宋" w:cs="仿宋"/>
          <w:color w:val="000000"/>
          <w:sz w:val="24"/>
          <w:szCs w:val="21"/>
        </w:rPr>
      </w:pPr>
      <w:r>
        <w:rPr>
          <w:rFonts w:hint="eastAsia" w:ascii="仿宋" w:hAnsi="仿宋" w:eastAsia="仿宋" w:cs="仿宋"/>
          <w:color w:val="000000"/>
          <w:sz w:val="24"/>
          <w:szCs w:val="21"/>
        </w:rPr>
        <w:t xml:space="preserve">        日  期：</w:t>
      </w:r>
    </w:p>
    <w:p w14:paraId="4C27436C">
      <w:pPr>
        <w:spacing w:line="560" w:lineRule="exact"/>
        <w:rPr>
          <w:rFonts w:ascii="仿宋" w:hAnsi="仿宋" w:eastAsia="仿宋" w:cs="仿宋"/>
          <w:b/>
          <w:sz w:val="32"/>
          <w:szCs w:val="32"/>
        </w:rPr>
      </w:pPr>
    </w:p>
    <w:p w14:paraId="30784C90">
      <w:pPr>
        <w:spacing w:line="560" w:lineRule="exact"/>
        <w:jc w:val="center"/>
        <w:rPr>
          <w:rFonts w:ascii="仿宋" w:hAnsi="仿宋" w:eastAsia="仿宋" w:cs="仿宋"/>
          <w:b/>
          <w:sz w:val="32"/>
          <w:szCs w:val="32"/>
        </w:rPr>
      </w:pPr>
    </w:p>
    <w:p w14:paraId="35824922">
      <w:pPr>
        <w:spacing w:line="588" w:lineRule="exact"/>
        <w:jc w:val="center"/>
        <w:rPr>
          <w:rFonts w:ascii="仿宋" w:hAnsi="仿宋" w:eastAsia="仿宋" w:cs="仿宋"/>
          <w:b/>
          <w:color w:val="000000"/>
          <w:sz w:val="24"/>
          <w:szCs w:val="24"/>
        </w:rPr>
      </w:pPr>
    </w:p>
    <w:p w14:paraId="6DFE20F6">
      <w:pPr>
        <w:spacing w:line="588" w:lineRule="exact"/>
        <w:jc w:val="center"/>
        <w:rPr>
          <w:rFonts w:ascii="仿宋" w:hAnsi="仿宋" w:eastAsia="仿宋" w:cs="仿宋"/>
          <w:b/>
          <w:color w:val="000000"/>
          <w:sz w:val="24"/>
          <w:szCs w:val="24"/>
        </w:rPr>
      </w:pPr>
    </w:p>
    <w:p w14:paraId="1D8B662C">
      <w:pPr>
        <w:spacing w:line="588" w:lineRule="exact"/>
        <w:jc w:val="center"/>
        <w:rPr>
          <w:rFonts w:ascii="仿宋" w:hAnsi="仿宋" w:eastAsia="仿宋" w:cs="仿宋"/>
          <w:b/>
          <w:color w:val="000000"/>
          <w:sz w:val="24"/>
          <w:szCs w:val="24"/>
        </w:rPr>
      </w:pPr>
    </w:p>
    <w:p w14:paraId="105F64F8">
      <w:pPr>
        <w:spacing w:line="588" w:lineRule="exact"/>
        <w:jc w:val="center"/>
        <w:rPr>
          <w:rFonts w:ascii="仿宋" w:hAnsi="仿宋" w:eastAsia="仿宋" w:cs="仿宋"/>
          <w:b/>
          <w:color w:val="000000"/>
          <w:sz w:val="24"/>
          <w:szCs w:val="24"/>
        </w:rPr>
      </w:pPr>
    </w:p>
    <w:p w14:paraId="06BEDFA7">
      <w:pPr>
        <w:spacing w:line="588" w:lineRule="exact"/>
        <w:jc w:val="center"/>
        <w:rPr>
          <w:rFonts w:ascii="仿宋" w:hAnsi="仿宋" w:eastAsia="仿宋" w:cs="仿宋"/>
          <w:b/>
          <w:color w:val="000000"/>
          <w:sz w:val="24"/>
          <w:szCs w:val="24"/>
        </w:rPr>
      </w:pPr>
    </w:p>
    <w:p w14:paraId="4B7CCCE9">
      <w:pPr>
        <w:spacing w:line="588" w:lineRule="exact"/>
        <w:jc w:val="center"/>
        <w:rPr>
          <w:rFonts w:ascii="仿宋" w:hAnsi="仿宋" w:eastAsia="仿宋" w:cs="仿宋"/>
          <w:b/>
          <w:color w:val="000000"/>
          <w:sz w:val="24"/>
          <w:szCs w:val="24"/>
        </w:rPr>
      </w:pPr>
    </w:p>
    <w:p w14:paraId="418A2FE0">
      <w:pPr>
        <w:spacing w:line="588" w:lineRule="exact"/>
        <w:rPr>
          <w:rFonts w:ascii="仿宋" w:hAnsi="仿宋" w:eastAsia="仿宋" w:cs="仿宋"/>
          <w:b/>
          <w:color w:val="000000"/>
          <w:sz w:val="24"/>
          <w:szCs w:val="24"/>
        </w:rPr>
      </w:pPr>
    </w:p>
    <w:p w14:paraId="03C16CB1">
      <w:pPr>
        <w:pStyle w:val="13"/>
      </w:pPr>
    </w:p>
    <w:p w14:paraId="0850A016">
      <w:pPr>
        <w:snapToGrid w:val="0"/>
        <w:spacing w:line="420" w:lineRule="exact"/>
        <w:rPr>
          <w:rFonts w:ascii="仿宋" w:hAnsi="仿宋" w:eastAsia="仿宋" w:cs="仿宋"/>
          <w:b/>
          <w:sz w:val="24"/>
          <w:szCs w:val="24"/>
        </w:rPr>
      </w:pPr>
    </w:p>
    <w:p w14:paraId="7FBAC757">
      <w:pPr>
        <w:snapToGrid w:val="0"/>
        <w:spacing w:line="420" w:lineRule="exact"/>
        <w:rPr>
          <w:rFonts w:ascii="仿宋" w:hAnsi="仿宋" w:eastAsia="仿宋" w:cs="仿宋"/>
          <w:b/>
          <w:sz w:val="24"/>
          <w:szCs w:val="24"/>
        </w:rPr>
      </w:pPr>
    </w:p>
    <w:p w14:paraId="0A5B45A9">
      <w:pPr>
        <w:snapToGrid w:val="0"/>
        <w:spacing w:line="420" w:lineRule="exact"/>
        <w:outlineLvl w:val="3"/>
        <w:rPr>
          <w:rFonts w:ascii="仿宋" w:hAnsi="仿宋" w:eastAsia="仿宋" w:cs="仿宋"/>
          <w:b/>
          <w:sz w:val="28"/>
          <w:szCs w:val="28"/>
        </w:rPr>
      </w:pPr>
      <w:r>
        <w:rPr>
          <w:rFonts w:hint="eastAsia" w:ascii="仿宋" w:hAnsi="仿宋" w:eastAsia="仿宋" w:cs="仿宋"/>
          <w:b/>
          <w:sz w:val="28"/>
          <w:szCs w:val="28"/>
        </w:rPr>
        <w:t>附件8</w:t>
      </w:r>
    </w:p>
    <w:p w14:paraId="524FF1E9">
      <w:pPr>
        <w:snapToGrid w:val="0"/>
        <w:spacing w:line="420" w:lineRule="exact"/>
        <w:jc w:val="center"/>
        <w:outlineLvl w:val="3"/>
        <w:rPr>
          <w:rFonts w:ascii="仿宋" w:hAnsi="仿宋" w:eastAsia="仿宋" w:cs="仿宋"/>
          <w:b/>
          <w:bCs/>
          <w:sz w:val="28"/>
          <w:szCs w:val="28"/>
        </w:rPr>
      </w:pPr>
      <w:r>
        <w:rPr>
          <w:rFonts w:hint="eastAsia" w:ascii="仿宋" w:hAnsi="仿宋" w:eastAsia="仿宋" w:cs="仿宋"/>
          <w:b/>
          <w:bCs/>
          <w:sz w:val="28"/>
          <w:szCs w:val="28"/>
        </w:rPr>
        <w:t>监狱和戒毒企业证明材料</w:t>
      </w:r>
    </w:p>
    <w:p w14:paraId="3966FD31">
      <w:pPr>
        <w:snapToGrid w:val="0"/>
        <w:spacing w:line="420" w:lineRule="exact"/>
        <w:ind w:firstLine="495" w:firstLineChars="177"/>
        <w:rPr>
          <w:rFonts w:ascii="仿宋" w:hAnsi="仿宋" w:eastAsia="仿宋" w:cs="仿宋"/>
          <w:sz w:val="28"/>
          <w:szCs w:val="28"/>
        </w:rPr>
      </w:pPr>
    </w:p>
    <w:p w14:paraId="38FA8C97">
      <w:pPr>
        <w:snapToGrid w:val="0"/>
        <w:spacing w:line="420" w:lineRule="exact"/>
        <w:jc w:val="center"/>
        <w:outlineLvl w:val="3"/>
        <w:rPr>
          <w:rFonts w:ascii="仿宋" w:hAnsi="仿宋" w:eastAsia="仿宋" w:cs="仿宋"/>
          <w:b/>
          <w:bCs/>
          <w:sz w:val="24"/>
          <w:szCs w:val="24"/>
        </w:rPr>
      </w:pPr>
      <w:r>
        <w:rPr>
          <w:rFonts w:hint="eastAsia" w:ascii="仿宋" w:hAnsi="仿宋" w:eastAsia="仿宋" w:cs="仿宋"/>
          <w:b/>
          <w:bCs/>
          <w:sz w:val="24"/>
          <w:szCs w:val="24"/>
        </w:rPr>
        <w:t>（格式自拟）</w:t>
      </w:r>
    </w:p>
    <w:p w14:paraId="21BD0224">
      <w:pPr>
        <w:snapToGrid w:val="0"/>
        <w:spacing w:line="420" w:lineRule="exact"/>
        <w:ind w:firstLine="495" w:firstLineChars="177"/>
        <w:rPr>
          <w:rFonts w:ascii="仿宋" w:hAnsi="仿宋" w:eastAsia="仿宋" w:cs="仿宋"/>
          <w:sz w:val="28"/>
          <w:szCs w:val="28"/>
        </w:rPr>
      </w:pPr>
    </w:p>
    <w:p w14:paraId="59D6C912">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根据《财政部司法部关于政府采购支持监狱企业发展有关问题的通知》（财库</w:t>
      </w:r>
      <w:r>
        <w:rPr>
          <w:rFonts w:hint="eastAsia" w:ascii="仿宋" w:hAnsi="仿宋" w:eastAsia="仿宋" w:cs="仿宋"/>
          <w:sz w:val="24"/>
          <w:szCs w:val="24"/>
        </w:rPr>
        <w:t>〔2014〕</w:t>
      </w:r>
      <w:r>
        <w:rPr>
          <w:rFonts w:hint="eastAsia" w:ascii="仿宋" w:hAnsi="仿宋" w:eastAsia="仿宋" w:cs="仿宋"/>
          <w:sz w:val="24"/>
          <w:szCs w:val="21"/>
        </w:rPr>
        <w:t>68号），监狱企业参加政府采购活动时，应当提供由省级以上监狱管理局、戒毒管理局（含新疆生产建设兵团）出具的，供应商属于监狱企业的证明文件。</w:t>
      </w:r>
    </w:p>
    <w:p w14:paraId="42198BAE">
      <w:pPr>
        <w:spacing w:line="0" w:lineRule="atLeast"/>
        <w:ind w:firstLine="480" w:firstLineChars="200"/>
        <w:rPr>
          <w:rFonts w:ascii="仿宋" w:hAnsi="仿宋" w:eastAsia="仿宋" w:cs="仿宋"/>
          <w:sz w:val="24"/>
          <w:szCs w:val="21"/>
        </w:rPr>
      </w:pPr>
    </w:p>
    <w:p w14:paraId="59743E51">
      <w:pPr>
        <w:spacing w:line="400" w:lineRule="exact"/>
        <w:ind w:firstLine="480" w:firstLineChars="200"/>
        <w:rPr>
          <w:rFonts w:ascii="仿宋" w:hAnsi="仿宋" w:eastAsia="仿宋" w:cs="仿宋"/>
          <w:sz w:val="24"/>
          <w:szCs w:val="21"/>
        </w:rPr>
      </w:pPr>
    </w:p>
    <w:p w14:paraId="032AA6A5">
      <w:pPr>
        <w:spacing w:line="400" w:lineRule="exact"/>
        <w:ind w:firstLine="480" w:firstLineChars="200"/>
        <w:rPr>
          <w:rFonts w:ascii="仿宋" w:hAnsi="仿宋" w:eastAsia="仿宋" w:cs="仿宋"/>
          <w:sz w:val="24"/>
          <w:szCs w:val="21"/>
        </w:rPr>
      </w:pPr>
    </w:p>
    <w:p w14:paraId="77061369">
      <w:pPr>
        <w:spacing w:line="400" w:lineRule="exact"/>
        <w:ind w:firstLine="480" w:firstLineChars="200"/>
        <w:rPr>
          <w:rFonts w:ascii="仿宋" w:hAnsi="仿宋" w:eastAsia="仿宋" w:cs="仿宋"/>
          <w:sz w:val="24"/>
          <w:szCs w:val="21"/>
        </w:rPr>
      </w:pPr>
    </w:p>
    <w:p w14:paraId="710E8FD8">
      <w:pPr>
        <w:spacing w:line="400" w:lineRule="exact"/>
        <w:ind w:firstLine="480" w:firstLineChars="200"/>
        <w:rPr>
          <w:rFonts w:ascii="仿宋" w:hAnsi="仿宋" w:eastAsia="仿宋" w:cs="仿宋"/>
          <w:sz w:val="24"/>
          <w:szCs w:val="21"/>
        </w:rPr>
      </w:pPr>
    </w:p>
    <w:p w14:paraId="3B690AB6">
      <w:pPr>
        <w:spacing w:line="400" w:lineRule="exact"/>
        <w:ind w:firstLine="480" w:firstLineChars="200"/>
        <w:rPr>
          <w:rFonts w:ascii="仿宋" w:hAnsi="仿宋" w:eastAsia="仿宋" w:cs="仿宋"/>
          <w:sz w:val="24"/>
          <w:szCs w:val="21"/>
        </w:rPr>
      </w:pPr>
    </w:p>
    <w:p w14:paraId="3A8179E8">
      <w:pPr>
        <w:spacing w:line="400" w:lineRule="exact"/>
        <w:ind w:firstLine="480" w:firstLineChars="200"/>
        <w:rPr>
          <w:rFonts w:ascii="仿宋" w:hAnsi="仿宋" w:eastAsia="仿宋" w:cs="仿宋"/>
          <w:sz w:val="24"/>
          <w:szCs w:val="21"/>
        </w:rPr>
      </w:pPr>
    </w:p>
    <w:p w14:paraId="5F8BA5D1">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1"/>
        </w:rPr>
        <w:t>备注：</w:t>
      </w:r>
    </w:p>
    <w:p w14:paraId="5AC5599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1"/>
        </w:rPr>
        <w:t>1、</w:t>
      </w:r>
      <w:r>
        <w:rPr>
          <w:rFonts w:hint="eastAsia" w:ascii="仿宋" w:hAnsi="仿宋" w:eastAsia="仿宋" w:cs="仿宋"/>
          <w:sz w:val="24"/>
          <w:szCs w:val="24"/>
        </w:rPr>
        <w:t>专门面向中小微型企业采购的项目，供应商如不提供证明材料，则不能通过资格审查；非专门面向中小微型企业采购的项目，供应商如不提供证明材料，价格将不做相应扣除。</w:t>
      </w:r>
    </w:p>
    <w:p w14:paraId="31D0F6FA">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2、成交供应商为监狱和戒毒企业的，此</w:t>
      </w:r>
      <w:r>
        <w:rPr>
          <w:rFonts w:hint="eastAsia" w:ascii="仿宋" w:hAnsi="仿宋" w:eastAsia="仿宋" w:cs="仿宋"/>
          <w:sz w:val="24"/>
          <w:szCs w:val="24"/>
        </w:rPr>
        <w:t>证明材料</w:t>
      </w:r>
      <w:r>
        <w:rPr>
          <w:rFonts w:hint="eastAsia" w:ascii="仿宋" w:hAnsi="仿宋" w:eastAsia="仿宋" w:cs="仿宋"/>
          <w:sz w:val="24"/>
          <w:szCs w:val="21"/>
        </w:rPr>
        <w:t>将随成交结果同时公告，接受社会监督。供应商提供</w:t>
      </w:r>
      <w:r>
        <w:rPr>
          <w:rFonts w:hint="eastAsia" w:ascii="仿宋" w:hAnsi="仿宋" w:eastAsia="仿宋" w:cs="仿宋"/>
          <w:sz w:val="24"/>
          <w:szCs w:val="24"/>
        </w:rPr>
        <w:t>证明材料</w:t>
      </w:r>
      <w:r>
        <w:rPr>
          <w:rFonts w:hint="eastAsia" w:ascii="仿宋" w:hAnsi="仿宋" w:eastAsia="仿宋" w:cs="仿宋"/>
          <w:sz w:val="24"/>
          <w:szCs w:val="21"/>
        </w:rPr>
        <w:t>内容不实的，属于提供虚假材料谋取中标、成交，依照《中华人民共和国政府采购法》等国家有关规定追究相应责任。</w:t>
      </w:r>
    </w:p>
    <w:p w14:paraId="28D086BA">
      <w:pPr>
        <w:spacing w:line="0" w:lineRule="atLeast"/>
        <w:ind w:firstLine="480" w:firstLineChars="200"/>
        <w:rPr>
          <w:rFonts w:ascii="仿宋" w:hAnsi="仿宋" w:eastAsia="仿宋" w:cs="仿宋"/>
          <w:sz w:val="24"/>
          <w:szCs w:val="21"/>
        </w:rPr>
      </w:pPr>
    </w:p>
    <w:p w14:paraId="25AEC85D">
      <w:pPr>
        <w:spacing w:line="560" w:lineRule="exact"/>
        <w:jc w:val="center"/>
        <w:rPr>
          <w:rFonts w:ascii="仿宋" w:hAnsi="仿宋" w:eastAsia="仿宋" w:cs="仿宋"/>
          <w:b/>
          <w:sz w:val="32"/>
          <w:szCs w:val="32"/>
        </w:rPr>
      </w:pPr>
    </w:p>
    <w:p w14:paraId="3F4AD38D">
      <w:pPr>
        <w:spacing w:line="560" w:lineRule="exact"/>
        <w:jc w:val="center"/>
        <w:rPr>
          <w:rFonts w:ascii="仿宋" w:hAnsi="仿宋" w:eastAsia="仿宋" w:cs="仿宋"/>
          <w:b/>
          <w:sz w:val="32"/>
          <w:szCs w:val="32"/>
        </w:rPr>
      </w:pPr>
    </w:p>
    <w:p w14:paraId="0D49EB42">
      <w:pPr>
        <w:spacing w:line="560" w:lineRule="exact"/>
        <w:rPr>
          <w:rFonts w:ascii="仿宋" w:hAnsi="仿宋" w:eastAsia="仿宋" w:cs="仿宋"/>
          <w:b/>
          <w:sz w:val="32"/>
          <w:szCs w:val="32"/>
        </w:rPr>
      </w:pPr>
    </w:p>
    <w:p w14:paraId="78A0F1B1">
      <w:pPr>
        <w:pStyle w:val="13"/>
        <w:ind w:firstLine="482"/>
        <w:rPr>
          <w:rFonts w:ascii="仿宋" w:hAnsi="仿宋" w:eastAsia="仿宋" w:cs="仿宋"/>
          <w:b/>
          <w:sz w:val="28"/>
          <w:szCs w:val="28"/>
        </w:rPr>
      </w:pPr>
      <w:r>
        <w:rPr>
          <w:rFonts w:hint="eastAsia" w:ascii="仿宋" w:hAnsi="仿宋" w:eastAsia="仿宋" w:cs="仿宋"/>
          <w:b/>
          <w:sz w:val="24"/>
          <w:szCs w:val="24"/>
        </w:rPr>
        <w:br w:type="page"/>
      </w:r>
    </w:p>
    <w:p w14:paraId="5649D7D7">
      <w:pPr>
        <w:snapToGrid w:val="0"/>
        <w:spacing w:line="300" w:lineRule="auto"/>
        <w:contextualSpacing/>
        <w:rPr>
          <w:rFonts w:ascii="仿宋" w:hAnsi="仿宋" w:eastAsia="仿宋" w:cs="仿宋"/>
          <w:b/>
          <w:sz w:val="28"/>
          <w:szCs w:val="28"/>
        </w:rPr>
      </w:pPr>
    </w:p>
    <w:p w14:paraId="19F87E60">
      <w:pPr>
        <w:snapToGrid w:val="0"/>
        <w:spacing w:line="300" w:lineRule="auto"/>
        <w:contextualSpacing/>
        <w:rPr>
          <w:rFonts w:ascii="仿宋" w:hAnsi="仿宋" w:eastAsia="仿宋" w:cs="仿宋"/>
          <w:b/>
          <w:sz w:val="28"/>
          <w:szCs w:val="28"/>
        </w:rPr>
      </w:pPr>
    </w:p>
    <w:p w14:paraId="22193595">
      <w:pPr>
        <w:snapToGrid w:val="0"/>
        <w:spacing w:line="300" w:lineRule="auto"/>
        <w:contextualSpacing/>
        <w:jc w:val="left"/>
        <w:rPr>
          <w:rFonts w:ascii="仿宋" w:hAnsi="仿宋" w:eastAsia="仿宋" w:cs="仿宋"/>
          <w:b/>
          <w:sz w:val="28"/>
          <w:szCs w:val="28"/>
        </w:rPr>
      </w:pPr>
      <w:r>
        <w:rPr>
          <w:rFonts w:hint="eastAsia" w:ascii="仿宋" w:hAnsi="仿宋" w:eastAsia="仿宋" w:cs="仿宋"/>
          <w:b/>
          <w:sz w:val="28"/>
          <w:szCs w:val="28"/>
        </w:rPr>
        <w:t>附件9</w:t>
      </w:r>
    </w:p>
    <w:p w14:paraId="39BED0C2">
      <w:pPr>
        <w:snapToGrid w:val="0"/>
        <w:spacing w:line="300" w:lineRule="auto"/>
        <w:ind w:firstLine="3373" w:firstLineChars="1200"/>
        <w:contextualSpacing/>
        <w:rPr>
          <w:rFonts w:ascii="仿宋" w:hAnsi="仿宋" w:eastAsia="仿宋" w:cs="仿宋"/>
          <w:b/>
          <w:sz w:val="28"/>
          <w:szCs w:val="28"/>
        </w:rPr>
      </w:pPr>
      <w:r>
        <w:rPr>
          <w:rFonts w:hint="eastAsia" w:ascii="仿宋" w:hAnsi="仿宋" w:eastAsia="仿宋" w:cs="仿宋"/>
          <w:b/>
          <w:sz w:val="28"/>
          <w:szCs w:val="28"/>
        </w:rPr>
        <w:t>技术要求响应及偏离表</w:t>
      </w:r>
    </w:p>
    <w:p w14:paraId="59E7C2C1">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11EBD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293633D5">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66E40257">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8D7F37C">
            <w:pPr>
              <w:spacing w:line="340" w:lineRule="exact"/>
              <w:jc w:val="center"/>
              <w:rPr>
                <w:rFonts w:ascii="仿宋" w:hAnsi="仿宋" w:eastAsia="仿宋" w:cs="仿宋"/>
                <w:sz w:val="24"/>
              </w:rPr>
            </w:pPr>
            <w:r>
              <w:rPr>
                <w:rFonts w:hint="eastAsia" w:ascii="仿宋" w:hAnsi="仿宋" w:eastAsia="仿宋" w:cs="仿宋"/>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7E5A6922">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4437EE0">
            <w:pPr>
              <w:spacing w:line="340" w:lineRule="exact"/>
              <w:jc w:val="center"/>
              <w:rPr>
                <w:rFonts w:ascii="仿宋" w:hAnsi="仿宋" w:eastAsia="仿宋" w:cs="仿宋"/>
                <w:sz w:val="24"/>
              </w:rPr>
            </w:pPr>
          </w:p>
          <w:p w14:paraId="63A4D103">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3A7CA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3CC1E926">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2B012514">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CCFFA88">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F8B7CAA">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31D35297">
            <w:pPr>
              <w:spacing w:line="340" w:lineRule="exact"/>
              <w:jc w:val="left"/>
              <w:rPr>
                <w:rFonts w:ascii="仿宋" w:hAnsi="仿宋" w:eastAsia="仿宋" w:cs="仿宋"/>
                <w:sz w:val="24"/>
              </w:rPr>
            </w:pPr>
          </w:p>
        </w:tc>
      </w:tr>
      <w:tr w14:paraId="6C23D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2015235A">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6ECF72F7">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7ACEFF1">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83A346F">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24D21941">
            <w:pPr>
              <w:spacing w:line="340" w:lineRule="exact"/>
              <w:jc w:val="left"/>
              <w:rPr>
                <w:rFonts w:ascii="仿宋" w:hAnsi="仿宋" w:eastAsia="仿宋" w:cs="仿宋"/>
                <w:sz w:val="24"/>
              </w:rPr>
            </w:pPr>
          </w:p>
        </w:tc>
      </w:tr>
      <w:tr w14:paraId="1AD417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611DC9CC">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1BD2B2AB">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09BAA2A">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9EA8EBE">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2ED651C1">
            <w:pPr>
              <w:spacing w:line="340" w:lineRule="exact"/>
              <w:jc w:val="left"/>
              <w:rPr>
                <w:rFonts w:ascii="仿宋" w:hAnsi="仿宋" w:eastAsia="仿宋" w:cs="仿宋"/>
                <w:sz w:val="24"/>
              </w:rPr>
            </w:pPr>
          </w:p>
        </w:tc>
      </w:tr>
      <w:tr w14:paraId="6E618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607B4D34">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75ECECF7">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7D9F20B">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36554D5">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4E900D81">
            <w:pPr>
              <w:spacing w:line="340" w:lineRule="exact"/>
              <w:jc w:val="left"/>
              <w:rPr>
                <w:rFonts w:ascii="仿宋" w:hAnsi="仿宋" w:eastAsia="仿宋" w:cs="仿宋"/>
                <w:sz w:val="24"/>
              </w:rPr>
            </w:pPr>
          </w:p>
        </w:tc>
      </w:tr>
      <w:tr w14:paraId="1CB18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0122A2F6">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1254" w:type="pct"/>
            <w:tcBorders>
              <w:top w:val="single" w:color="auto" w:sz="6" w:space="0"/>
              <w:left w:val="single" w:color="auto" w:sz="6" w:space="0"/>
              <w:bottom w:val="single" w:color="auto" w:sz="6" w:space="0"/>
              <w:right w:val="single" w:color="auto" w:sz="6" w:space="0"/>
            </w:tcBorders>
            <w:vAlign w:val="center"/>
          </w:tcPr>
          <w:p w14:paraId="1CBB136A">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72A76111">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5D7B24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6239184C">
            <w:pPr>
              <w:spacing w:line="340" w:lineRule="exact"/>
              <w:jc w:val="left"/>
              <w:rPr>
                <w:rFonts w:ascii="仿宋" w:hAnsi="仿宋" w:eastAsia="仿宋" w:cs="仿宋"/>
                <w:sz w:val="24"/>
              </w:rPr>
            </w:pPr>
          </w:p>
        </w:tc>
      </w:tr>
    </w:tbl>
    <w:p w14:paraId="57F24D7B">
      <w:pPr>
        <w:spacing w:line="400" w:lineRule="exact"/>
        <w:rPr>
          <w:rFonts w:ascii="仿宋" w:hAnsi="仿宋" w:eastAsia="仿宋" w:cs="仿宋"/>
          <w:sz w:val="24"/>
          <w:szCs w:val="24"/>
        </w:rPr>
      </w:pPr>
      <w:r>
        <w:rPr>
          <w:rFonts w:hint="eastAsia" w:ascii="仿宋" w:hAnsi="仿宋" w:eastAsia="仿宋" w:cs="仿宋"/>
          <w:sz w:val="24"/>
          <w:szCs w:val="24"/>
        </w:rPr>
        <w:t>附件9-1  证明材料1，证明材料2，……</w:t>
      </w:r>
    </w:p>
    <w:p w14:paraId="1DCF3E24">
      <w:pPr>
        <w:spacing w:line="400" w:lineRule="exact"/>
        <w:rPr>
          <w:rFonts w:ascii="仿宋" w:hAnsi="仿宋" w:eastAsia="仿宋" w:cs="仿宋"/>
          <w:sz w:val="24"/>
          <w:szCs w:val="24"/>
        </w:rPr>
      </w:pPr>
    </w:p>
    <w:p w14:paraId="7B0FA6F7">
      <w:pPr>
        <w:spacing w:line="400" w:lineRule="exact"/>
        <w:rPr>
          <w:rFonts w:ascii="仿宋" w:hAnsi="仿宋" w:eastAsia="仿宋" w:cs="仿宋"/>
          <w:sz w:val="24"/>
          <w:szCs w:val="24"/>
        </w:rPr>
      </w:pPr>
      <w:r>
        <w:rPr>
          <w:rFonts w:hint="eastAsia" w:ascii="仿宋" w:hAnsi="仿宋" w:eastAsia="仿宋" w:cs="仿宋"/>
          <w:sz w:val="24"/>
          <w:szCs w:val="24"/>
        </w:rPr>
        <w:t>备注：</w:t>
      </w:r>
    </w:p>
    <w:p w14:paraId="35462A20">
      <w:pPr>
        <w:snapToGrid w:val="0"/>
        <w:spacing w:line="300" w:lineRule="auto"/>
        <w:contextualSpacing/>
        <w:rPr>
          <w:rFonts w:ascii="仿宋" w:hAnsi="仿宋" w:eastAsia="仿宋" w:cs="仿宋"/>
          <w:b/>
          <w:bCs/>
          <w:color w:val="000000"/>
          <w:sz w:val="24"/>
        </w:rPr>
      </w:pPr>
      <w:r>
        <w:rPr>
          <w:rFonts w:hint="eastAsia" w:ascii="仿宋" w:hAnsi="仿宋" w:eastAsia="仿宋" w:cs="仿宋"/>
          <w:color w:val="000000"/>
          <w:sz w:val="24"/>
        </w:rPr>
        <w:t>1. 供应商提交的响应文件中与磋商文件第四章“采购需求”中的技术要求（</w:t>
      </w:r>
      <w:r>
        <w:rPr>
          <w:rFonts w:hint="eastAsia" w:ascii="仿宋" w:hAnsi="仿宋" w:eastAsia="仿宋" w:cs="仿宋"/>
          <w:b/>
          <w:bCs/>
          <w:color w:val="000000"/>
          <w:sz w:val="24"/>
        </w:rPr>
        <w:t>未加斜体下划线的非实质性内容</w:t>
      </w:r>
      <w:r>
        <w:rPr>
          <w:rFonts w:hint="eastAsia" w:ascii="仿宋" w:hAnsi="仿宋" w:eastAsia="仿宋" w:cs="仿宋"/>
          <w:color w:val="000000"/>
          <w:sz w:val="24"/>
        </w:rPr>
        <w:t>）如有偏离的，应逐条填列在偏离表中。</w:t>
      </w:r>
      <w:r>
        <w:rPr>
          <w:rFonts w:hint="eastAsia" w:ascii="仿宋" w:hAnsi="仿宋" w:eastAsia="仿宋" w:cs="仿宋"/>
          <w:b/>
          <w:bCs/>
          <w:color w:val="000000"/>
          <w:sz w:val="24"/>
          <w:szCs w:val="24"/>
        </w:rPr>
        <w:t>如果磋商文件要求提供证明材料，供应商需将证明材料列于该表之下（</w:t>
      </w:r>
      <w:r>
        <w:rPr>
          <w:rFonts w:hint="eastAsia" w:ascii="仿宋" w:hAnsi="仿宋" w:eastAsia="仿宋" w:cs="仿宋"/>
          <w:szCs w:val="20"/>
        </w:rPr>
        <w:t>▲</w:t>
      </w:r>
      <w:r>
        <w:rPr>
          <w:rFonts w:hint="eastAsia" w:ascii="仿宋" w:hAnsi="仿宋" w:eastAsia="仿宋" w:cs="仿宋"/>
          <w:color w:val="000000"/>
          <w:sz w:val="24"/>
        </w:rPr>
        <w:t>项或采购文件另有要求的除外</w:t>
      </w:r>
      <w:r>
        <w:rPr>
          <w:rFonts w:hint="eastAsia" w:ascii="仿宋" w:hAnsi="仿宋" w:eastAsia="仿宋" w:cs="仿宋"/>
          <w:b/>
          <w:bCs/>
          <w:color w:val="000000"/>
          <w:sz w:val="24"/>
          <w:szCs w:val="24"/>
        </w:rPr>
        <w:t>）。</w:t>
      </w:r>
    </w:p>
    <w:p w14:paraId="163C4B0A">
      <w:pPr>
        <w:snapToGrid w:val="0"/>
        <w:spacing w:line="300" w:lineRule="auto"/>
        <w:contextualSpacing/>
        <w:rPr>
          <w:rFonts w:ascii="仿宋" w:hAnsi="仿宋" w:eastAsia="仿宋" w:cs="仿宋"/>
          <w:color w:val="000000"/>
          <w:sz w:val="24"/>
        </w:rPr>
      </w:pPr>
      <w:r>
        <w:rPr>
          <w:rFonts w:hint="eastAsia" w:ascii="仿宋" w:hAnsi="仿宋" w:eastAsia="仿宋" w:cs="仿宋"/>
          <w:color w:val="000000"/>
          <w:sz w:val="24"/>
        </w:rPr>
        <w:t>2.“偏离说明”一栏选择“正偏离”、“无偏离”、“负偏离”进行填写。未填写的内容视为完全响应本磋商文件要求。正偏离、无偏离的确认和负偏离是否响应磋商文件，由磋商小组认定。</w:t>
      </w:r>
    </w:p>
    <w:p w14:paraId="6A86D04C">
      <w:pPr>
        <w:pStyle w:val="13"/>
        <w:rPr>
          <w:rFonts w:ascii="仿宋" w:hAnsi="仿宋" w:eastAsia="仿宋" w:cs="仿宋"/>
        </w:rPr>
      </w:pPr>
    </w:p>
    <w:p w14:paraId="1C75ED10">
      <w:pPr>
        <w:ind w:left="480"/>
        <w:rPr>
          <w:rFonts w:ascii="仿宋" w:hAnsi="仿宋" w:eastAsia="仿宋" w:cs="仿宋"/>
          <w:b/>
          <w:i/>
          <w:color w:val="FF0000"/>
          <w:sz w:val="24"/>
          <w:szCs w:val="21"/>
          <w:u w:val="single"/>
        </w:rPr>
      </w:pPr>
    </w:p>
    <w:p w14:paraId="5F180CBE">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附件10</w:t>
      </w:r>
    </w:p>
    <w:p w14:paraId="1F3D63AB">
      <w:pPr>
        <w:rPr>
          <w:rFonts w:ascii="仿宋" w:hAnsi="仿宋" w:eastAsia="仿宋" w:cs="仿宋"/>
          <w:b/>
          <w:sz w:val="28"/>
          <w:szCs w:val="28"/>
        </w:rPr>
      </w:pPr>
      <w:r>
        <w:rPr>
          <w:rFonts w:hint="eastAsia" w:ascii="仿宋" w:hAnsi="仿宋" w:eastAsia="仿宋" w:cs="仿宋"/>
          <w:b/>
          <w:sz w:val="28"/>
          <w:szCs w:val="28"/>
        </w:rPr>
        <w:t xml:space="preserve"> </w:t>
      </w:r>
    </w:p>
    <w:p w14:paraId="40878A9C">
      <w:pPr>
        <w:ind w:firstLine="562" w:firstLineChars="200"/>
        <w:jc w:val="center"/>
        <w:rPr>
          <w:rFonts w:ascii="仿宋" w:hAnsi="仿宋" w:eastAsia="仿宋" w:cs="仿宋"/>
          <w:b/>
          <w:sz w:val="28"/>
          <w:szCs w:val="28"/>
        </w:rPr>
      </w:pPr>
      <w:r>
        <w:rPr>
          <w:rFonts w:hint="eastAsia" w:ascii="仿宋" w:hAnsi="仿宋" w:eastAsia="仿宋" w:cs="仿宋"/>
          <w:b/>
          <w:sz w:val="28"/>
          <w:szCs w:val="28"/>
        </w:rPr>
        <w:t>商务要求响应及偏离表</w:t>
      </w:r>
    </w:p>
    <w:p w14:paraId="7A27974E">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7C734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E2583BE">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64E87AA8">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D53E1D9">
            <w:pPr>
              <w:spacing w:line="340" w:lineRule="exact"/>
              <w:jc w:val="center"/>
              <w:rPr>
                <w:rFonts w:ascii="仿宋" w:hAnsi="仿宋" w:eastAsia="仿宋" w:cs="仿宋"/>
                <w:sz w:val="24"/>
              </w:rPr>
            </w:pPr>
            <w:r>
              <w:rPr>
                <w:rFonts w:hint="eastAsia" w:ascii="仿宋" w:hAnsi="仿宋" w:eastAsia="仿宋" w:cs="仿宋"/>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ACD6BB4">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1601C13D">
            <w:pPr>
              <w:spacing w:line="340" w:lineRule="exact"/>
              <w:jc w:val="center"/>
              <w:rPr>
                <w:rFonts w:ascii="仿宋" w:hAnsi="仿宋" w:eastAsia="仿宋" w:cs="仿宋"/>
                <w:sz w:val="24"/>
              </w:rPr>
            </w:pPr>
          </w:p>
          <w:p w14:paraId="6AB83C0E">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0CA94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7ED2118B">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06CAD0E">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E5E8AE1">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AF6882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00203ADF">
            <w:pPr>
              <w:spacing w:line="340" w:lineRule="exact"/>
              <w:jc w:val="left"/>
              <w:rPr>
                <w:rFonts w:ascii="仿宋" w:hAnsi="仿宋" w:eastAsia="仿宋" w:cs="仿宋"/>
                <w:sz w:val="24"/>
              </w:rPr>
            </w:pPr>
          </w:p>
        </w:tc>
      </w:tr>
      <w:tr w14:paraId="49CFA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F6E5B65">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652CE4B6">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DB794C9">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1076EAF">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6E4BEFBE">
            <w:pPr>
              <w:spacing w:line="340" w:lineRule="exact"/>
              <w:jc w:val="left"/>
              <w:rPr>
                <w:rFonts w:ascii="仿宋" w:hAnsi="仿宋" w:eastAsia="仿宋" w:cs="仿宋"/>
                <w:sz w:val="24"/>
              </w:rPr>
            </w:pPr>
          </w:p>
        </w:tc>
      </w:tr>
      <w:tr w14:paraId="049D95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C2E36B4">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2A8BE3E2">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CF729DE">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EBFF34B">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1D2CB122">
            <w:pPr>
              <w:spacing w:line="340" w:lineRule="exact"/>
              <w:jc w:val="left"/>
              <w:rPr>
                <w:rFonts w:ascii="仿宋" w:hAnsi="仿宋" w:eastAsia="仿宋" w:cs="仿宋"/>
                <w:sz w:val="24"/>
              </w:rPr>
            </w:pPr>
          </w:p>
        </w:tc>
      </w:tr>
      <w:tr w14:paraId="34E12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0578FE31">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35930C2A">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915EE6E">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0B3FA7B">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52E23A43">
            <w:pPr>
              <w:spacing w:line="340" w:lineRule="exact"/>
              <w:jc w:val="left"/>
              <w:rPr>
                <w:rFonts w:ascii="仿宋" w:hAnsi="仿宋" w:eastAsia="仿宋" w:cs="仿宋"/>
                <w:sz w:val="24"/>
              </w:rPr>
            </w:pPr>
          </w:p>
        </w:tc>
      </w:tr>
      <w:tr w14:paraId="1B6E6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7569246D">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5AA0F008">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vAlign w:val="center"/>
          </w:tcPr>
          <w:p w14:paraId="37F43269">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E2034B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tcPr>
          <w:p w14:paraId="04533832">
            <w:pPr>
              <w:spacing w:line="340" w:lineRule="exact"/>
              <w:jc w:val="left"/>
              <w:rPr>
                <w:rFonts w:ascii="仿宋" w:hAnsi="仿宋" w:eastAsia="仿宋" w:cs="仿宋"/>
                <w:sz w:val="24"/>
              </w:rPr>
            </w:pPr>
          </w:p>
        </w:tc>
      </w:tr>
    </w:tbl>
    <w:p w14:paraId="2CB6DEFD">
      <w:pPr>
        <w:spacing w:line="400" w:lineRule="exact"/>
        <w:rPr>
          <w:rFonts w:ascii="仿宋" w:hAnsi="仿宋" w:eastAsia="仿宋" w:cs="仿宋"/>
          <w:sz w:val="24"/>
          <w:szCs w:val="24"/>
        </w:rPr>
      </w:pPr>
      <w:r>
        <w:rPr>
          <w:rFonts w:hint="eastAsia" w:ascii="仿宋" w:hAnsi="仿宋" w:eastAsia="仿宋" w:cs="仿宋"/>
          <w:sz w:val="24"/>
          <w:szCs w:val="24"/>
        </w:rPr>
        <w:t>附件10-1  证明材料1，证明材料2，……</w:t>
      </w:r>
    </w:p>
    <w:p w14:paraId="1BEDD4C7">
      <w:pPr>
        <w:spacing w:line="400" w:lineRule="exact"/>
        <w:rPr>
          <w:rFonts w:ascii="仿宋" w:hAnsi="仿宋" w:eastAsia="仿宋" w:cs="仿宋"/>
          <w:sz w:val="24"/>
          <w:szCs w:val="24"/>
        </w:rPr>
      </w:pPr>
    </w:p>
    <w:p w14:paraId="3F11CF9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DC12AAA">
      <w:pPr>
        <w:spacing w:line="400" w:lineRule="exact"/>
        <w:rPr>
          <w:rFonts w:ascii="仿宋" w:hAnsi="仿宋" w:eastAsia="仿宋" w:cs="仿宋"/>
          <w:sz w:val="24"/>
          <w:szCs w:val="24"/>
        </w:rPr>
      </w:pPr>
      <w:r>
        <w:rPr>
          <w:rFonts w:hint="eastAsia" w:ascii="仿宋" w:hAnsi="仿宋" w:eastAsia="仿宋" w:cs="仿宋"/>
          <w:sz w:val="24"/>
          <w:szCs w:val="24"/>
        </w:rPr>
        <w:t>1. 供应商提交的响应文件中与磋商文件第四章“采购需求”中的商务要求</w:t>
      </w:r>
      <w:r>
        <w:rPr>
          <w:rFonts w:hint="eastAsia" w:ascii="仿宋" w:hAnsi="仿宋" w:eastAsia="仿宋" w:cs="仿宋"/>
          <w:b/>
          <w:bCs/>
          <w:color w:val="000000"/>
          <w:sz w:val="24"/>
        </w:rPr>
        <w:t>（未加斜体下划线的非实质性内容）</w:t>
      </w:r>
      <w:r>
        <w:rPr>
          <w:rFonts w:hint="eastAsia" w:ascii="仿宋" w:hAnsi="仿宋" w:eastAsia="仿宋" w:cs="仿宋"/>
          <w:sz w:val="24"/>
          <w:szCs w:val="24"/>
        </w:rPr>
        <w:t>如有偏离的，应逐条填列在偏离表中。如果磋商文件要求提供证明材料，供应商需将证明材料列于该表之下。</w:t>
      </w:r>
    </w:p>
    <w:p w14:paraId="7D45E34E">
      <w:pPr>
        <w:spacing w:line="400" w:lineRule="exact"/>
        <w:rPr>
          <w:rFonts w:ascii="仿宋" w:hAnsi="仿宋" w:eastAsia="仿宋" w:cs="仿宋"/>
          <w:sz w:val="24"/>
          <w:szCs w:val="24"/>
        </w:rPr>
      </w:pPr>
      <w:r>
        <w:rPr>
          <w:rFonts w:hint="eastAsia" w:ascii="仿宋" w:hAnsi="仿宋" w:eastAsia="仿宋" w:cs="仿宋"/>
          <w:sz w:val="24"/>
          <w:szCs w:val="24"/>
        </w:rPr>
        <w:t>2.“偏离说明”一栏选择“正偏离”、“无偏离”、“负偏离”进行填写。未填写的内容视为完全响应本磋商文件要求。正偏离、无偏离的确认和负偏离是否响应磋商文件，由磋商小组认定。</w:t>
      </w:r>
    </w:p>
    <w:p w14:paraId="7F501E99">
      <w:pPr>
        <w:snapToGrid w:val="0"/>
        <w:spacing w:line="300" w:lineRule="auto"/>
        <w:ind w:firstLine="480" w:firstLineChars="200"/>
        <w:contextualSpacing/>
        <w:rPr>
          <w:rFonts w:ascii="仿宋" w:hAnsi="仿宋" w:eastAsia="仿宋" w:cs="仿宋"/>
          <w:sz w:val="24"/>
        </w:rPr>
      </w:pPr>
    </w:p>
    <w:p w14:paraId="2F307835">
      <w:pPr>
        <w:ind w:left="480"/>
        <w:rPr>
          <w:rFonts w:ascii="仿宋" w:hAnsi="仿宋" w:eastAsia="仿宋" w:cs="仿宋"/>
          <w:b/>
          <w:i/>
          <w:color w:val="FF0000"/>
          <w:sz w:val="24"/>
          <w:szCs w:val="21"/>
          <w:u w:val="single"/>
        </w:rPr>
      </w:pPr>
    </w:p>
    <w:p w14:paraId="7D9F2DBD">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附件11</w:t>
      </w:r>
    </w:p>
    <w:p w14:paraId="6FF9DA8F">
      <w:pPr>
        <w:jc w:val="center"/>
        <w:rPr>
          <w:rFonts w:ascii="仿宋" w:hAnsi="仿宋" w:eastAsia="仿宋" w:cs="仿宋"/>
          <w:b/>
          <w:sz w:val="28"/>
          <w:szCs w:val="28"/>
        </w:rPr>
      </w:pPr>
      <w:r>
        <w:rPr>
          <w:rFonts w:hint="eastAsia" w:ascii="仿宋" w:hAnsi="仿宋" w:eastAsia="仿宋" w:cs="仿宋"/>
          <w:b/>
          <w:sz w:val="28"/>
          <w:szCs w:val="28"/>
        </w:rPr>
        <w:t>实质性要求响应及偏离表</w:t>
      </w:r>
    </w:p>
    <w:p w14:paraId="6C7A539B">
      <w:pPr>
        <w:pStyle w:val="13"/>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24B1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5B16B98E">
            <w:pPr>
              <w:spacing w:line="4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3609" w:type="dxa"/>
            <w:vAlign w:val="center"/>
          </w:tcPr>
          <w:p w14:paraId="6255C480">
            <w:pPr>
              <w:spacing w:line="400" w:lineRule="exact"/>
              <w:jc w:val="center"/>
              <w:rPr>
                <w:rFonts w:ascii="仿宋" w:hAnsi="仿宋" w:eastAsia="仿宋" w:cs="仿宋"/>
                <w:sz w:val="24"/>
                <w:szCs w:val="24"/>
              </w:rPr>
            </w:pPr>
            <w:r>
              <w:rPr>
                <w:rFonts w:hint="eastAsia" w:ascii="仿宋" w:hAnsi="仿宋" w:eastAsia="仿宋" w:cs="仿宋"/>
                <w:sz w:val="24"/>
                <w:szCs w:val="24"/>
              </w:rPr>
              <w:t>磋商文件技术要求和商务要求中的实质性要求</w:t>
            </w:r>
            <w:r>
              <w:rPr>
                <w:rFonts w:hint="eastAsia" w:ascii="仿宋" w:hAnsi="仿宋" w:eastAsia="仿宋" w:cs="仿宋"/>
                <w:i/>
                <w:sz w:val="24"/>
                <w:szCs w:val="24"/>
                <w:u w:val="single"/>
              </w:rPr>
              <w:t>（加斜体下划线内容）</w:t>
            </w:r>
          </w:p>
        </w:tc>
        <w:tc>
          <w:tcPr>
            <w:tcW w:w="3317" w:type="dxa"/>
            <w:vAlign w:val="center"/>
          </w:tcPr>
          <w:p w14:paraId="1AABF6BD">
            <w:pPr>
              <w:spacing w:line="400" w:lineRule="exact"/>
              <w:jc w:val="center"/>
              <w:rPr>
                <w:rFonts w:ascii="仿宋" w:hAnsi="仿宋" w:eastAsia="仿宋" w:cs="仿宋"/>
                <w:sz w:val="24"/>
                <w:szCs w:val="24"/>
              </w:rPr>
            </w:pPr>
            <w:r>
              <w:rPr>
                <w:rFonts w:hint="eastAsia" w:ascii="仿宋" w:hAnsi="仿宋" w:eastAsia="仿宋" w:cs="仿宋"/>
                <w:sz w:val="24"/>
                <w:szCs w:val="24"/>
              </w:rPr>
              <w:t>响应情况</w:t>
            </w:r>
          </w:p>
        </w:tc>
        <w:tc>
          <w:tcPr>
            <w:tcW w:w="1526" w:type="dxa"/>
            <w:vAlign w:val="center"/>
          </w:tcPr>
          <w:p w14:paraId="79A48DF2">
            <w:pPr>
              <w:spacing w:line="400" w:lineRule="exact"/>
              <w:jc w:val="center"/>
              <w:rPr>
                <w:rFonts w:ascii="仿宋" w:hAnsi="仿宋" w:eastAsia="仿宋" w:cs="仿宋"/>
                <w:sz w:val="24"/>
                <w:szCs w:val="24"/>
              </w:rPr>
            </w:pPr>
            <w:r>
              <w:rPr>
                <w:rFonts w:hint="eastAsia" w:ascii="仿宋" w:hAnsi="仿宋" w:eastAsia="仿宋" w:cs="仿宋"/>
                <w:sz w:val="24"/>
                <w:szCs w:val="24"/>
              </w:rPr>
              <w:t>正偏离、无偏离、负偏离</w:t>
            </w:r>
          </w:p>
        </w:tc>
      </w:tr>
      <w:tr w14:paraId="2EFA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8E69CB8">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3609" w:type="dxa"/>
          </w:tcPr>
          <w:p w14:paraId="2452BA37">
            <w:pPr>
              <w:spacing w:line="400" w:lineRule="exact"/>
              <w:jc w:val="center"/>
              <w:rPr>
                <w:rFonts w:ascii="仿宋" w:hAnsi="仿宋" w:eastAsia="仿宋" w:cs="仿宋"/>
                <w:sz w:val="24"/>
                <w:szCs w:val="24"/>
              </w:rPr>
            </w:pPr>
          </w:p>
        </w:tc>
        <w:tc>
          <w:tcPr>
            <w:tcW w:w="3317" w:type="dxa"/>
          </w:tcPr>
          <w:p w14:paraId="03FC613E">
            <w:pPr>
              <w:spacing w:line="400" w:lineRule="exact"/>
              <w:jc w:val="center"/>
              <w:rPr>
                <w:rFonts w:ascii="仿宋" w:hAnsi="仿宋" w:eastAsia="仿宋" w:cs="仿宋"/>
                <w:sz w:val="24"/>
                <w:szCs w:val="24"/>
              </w:rPr>
            </w:pPr>
          </w:p>
        </w:tc>
        <w:tc>
          <w:tcPr>
            <w:tcW w:w="1526" w:type="dxa"/>
          </w:tcPr>
          <w:p w14:paraId="144DE184">
            <w:pPr>
              <w:spacing w:line="400" w:lineRule="exact"/>
              <w:jc w:val="center"/>
              <w:rPr>
                <w:rFonts w:ascii="仿宋" w:hAnsi="仿宋" w:eastAsia="仿宋" w:cs="仿宋"/>
                <w:sz w:val="24"/>
                <w:szCs w:val="24"/>
              </w:rPr>
            </w:pPr>
          </w:p>
        </w:tc>
      </w:tr>
      <w:tr w14:paraId="1B00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3EB3B2E">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3609" w:type="dxa"/>
          </w:tcPr>
          <w:p w14:paraId="7F351AC2">
            <w:pPr>
              <w:spacing w:line="400" w:lineRule="exact"/>
              <w:jc w:val="center"/>
              <w:rPr>
                <w:rFonts w:ascii="仿宋" w:hAnsi="仿宋" w:eastAsia="仿宋" w:cs="仿宋"/>
                <w:sz w:val="24"/>
                <w:szCs w:val="24"/>
              </w:rPr>
            </w:pPr>
          </w:p>
        </w:tc>
        <w:tc>
          <w:tcPr>
            <w:tcW w:w="3317" w:type="dxa"/>
          </w:tcPr>
          <w:p w14:paraId="3CF28D3B">
            <w:pPr>
              <w:spacing w:line="400" w:lineRule="exact"/>
              <w:jc w:val="center"/>
              <w:rPr>
                <w:rFonts w:ascii="仿宋" w:hAnsi="仿宋" w:eastAsia="仿宋" w:cs="仿宋"/>
                <w:sz w:val="24"/>
                <w:szCs w:val="24"/>
              </w:rPr>
            </w:pPr>
          </w:p>
        </w:tc>
        <w:tc>
          <w:tcPr>
            <w:tcW w:w="1526" w:type="dxa"/>
          </w:tcPr>
          <w:p w14:paraId="64D60A09">
            <w:pPr>
              <w:spacing w:line="400" w:lineRule="exact"/>
              <w:jc w:val="center"/>
              <w:rPr>
                <w:rFonts w:ascii="仿宋" w:hAnsi="仿宋" w:eastAsia="仿宋" w:cs="仿宋"/>
                <w:sz w:val="24"/>
                <w:szCs w:val="24"/>
              </w:rPr>
            </w:pPr>
          </w:p>
        </w:tc>
      </w:tr>
      <w:tr w14:paraId="1EAF3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0422EE0">
            <w:pPr>
              <w:spacing w:line="340" w:lineRule="exact"/>
              <w:jc w:val="center"/>
              <w:rPr>
                <w:rFonts w:ascii="仿宋" w:hAnsi="仿宋" w:eastAsia="仿宋" w:cs="仿宋"/>
                <w:sz w:val="24"/>
                <w:szCs w:val="24"/>
              </w:rPr>
            </w:pPr>
          </w:p>
          <w:p w14:paraId="2D6AB61F">
            <w:pPr>
              <w:spacing w:line="340" w:lineRule="exact"/>
              <w:jc w:val="center"/>
              <w:rPr>
                <w:rFonts w:ascii="仿宋" w:hAnsi="仿宋" w:eastAsia="仿宋" w:cs="仿宋"/>
                <w:sz w:val="24"/>
                <w:szCs w:val="24"/>
              </w:rPr>
            </w:pPr>
            <w:r>
              <w:rPr>
                <w:rFonts w:hint="eastAsia" w:ascii="仿宋" w:hAnsi="仿宋" w:eastAsia="仿宋" w:cs="仿宋"/>
                <w:sz w:val="24"/>
                <w:szCs w:val="24"/>
              </w:rPr>
              <w:t>…</w:t>
            </w:r>
          </w:p>
        </w:tc>
        <w:tc>
          <w:tcPr>
            <w:tcW w:w="3609" w:type="dxa"/>
            <w:vAlign w:val="center"/>
          </w:tcPr>
          <w:p w14:paraId="03D2FBF8">
            <w:pPr>
              <w:spacing w:line="340" w:lineRule="exact"/>
              <w:jc w:val="left"/>
              <w:rPr>
                <w:rFonts w:ascii="仿宋" w:hAnsi="仿宋" w:eastAsia="仿宋" w:cs="仿宋"/>
                <w:sz w:val="24"/>
                <w:szCs w:val="24"/>
              </w:rPr>
            </w:pPr>
          </w:p>
          <w:p w14:paraId="0E431180">
            <w:pPr>
              <w:spacing w:line="340" w:lineRule="exact"/>
              <w:jc w:val="left"/>
              <w:rPr>
                <w:rFonts w:ascii="仿宋" w:hAnsi="仿宋" w:eastAsia="仿宋" w:cs="仿宋"/>
                <w:sz w:val="24"/>
                <w:szCs w:val="24"/>
              </w:rPr>
            </w:pPr>
            <w:r>
              <w:rPr>
                <w:rFonts w:hint="eastAsia" w:ascii="仿宋" w:hAnsi="仿宋" w:eastAsia="仿宋" w:cs="仿宋"/>
                <w:sz w:val="24"/>
                <w:szCs w:val="24"/>
              </w:rPr>
              <w:t>……</w:t>
            </w:r>
          </w:p>
        </w:tc>
        <w:tc>
          <w:tcPr>
            <w:tcW w:w="3317" w:type="dxa"/>
          </w:tcPr>
          <w:p w14:paraId="61F44D0C">
            <w:pPr>
              <w:spacing w:line="400" w:lineRule="exact"/>
              <w:jc w:val="center"/>
              <w:rPr>
                <w:rFonts w:ascii="仿宋" w:hAnsi="仿宋" w:eastAsia="仿宋" w:cs="仿宋"/>
                <w:sz w:val="24"/>
                <w:szCs w:val="24"/>
              </w:rPr>
            </w:pPr>
          </w:p>
        </w:tc>
        <w:tc>
          <w:tcPr>
            <w:tcW w:w="1526" w:type="dxa"/>
          </w:tcPr>
          <w:p w14:paraId="06D0B1A4">
            <w:pPr>
              <w:spacing w:line="400" w:lineRule="exact"/>
              <w:jc w:val="center"/>
              <w:rPr>
                <w:rFonts w:ascii="仿宋" w:hAnsi="仿宋" w:eastAsia="仿宋" w:cs="仿宋"/>
                <w:sz w:val="24"/>
                <w:szCs w:val="24"/>
              </w:rPr>
            </w:pPr>
          </w:p>
        </w:tc>
      </w:tr>
    </w:tbl>
    <w:p w14:paraId="0D6E0797">
      <w:pPr>
        <w:spacing w:line="400" w:lineRule="exact"/>
        <w:rPr>
          <w:rFonts w:ascii="仿宋" w:hAnsi="仿宋" w:eastAsia="仿宋" w:cs="仿宋"/>
          <w:sz w:val="24"/>
          <w:szCs w:val="24"/>
        </w:rPr>
      </w:pPr>
      <w:r>
        <w:rPr>
          <w:rFonts w:hint="eastAsia" w:ascii="仿宋" w:hAnsi="仿宋" w:eastAsia="仿宋" w:cs="仿宋"/>
          <w:sz w:val="24"/>
          <w:szCs w:val="24"/>
        </w:rPr>
        <w:t>附件11-1 证明材料1，证明材料2，……</w:t>
      </w:r>
    </w:p>
    <w:p w14:paraId="767B9854">
      <w:pPr>
        <w:spacing w:line="400" w:lineRule="exact"/>
        <w:rPr>
          <w:rFonts w:ascii="仿宋" w:hAnsi="仿宋" w:eastAsia="仿宋" w:cs="仿宋"/>
          <w:sz w:val="24"/>
          <w:szCs w:val="24"/>
        </w:rPr>
      </w:pPr>
    </w:p>
    <w:p w14:paraId="3489F7B8">
      <w:pPr>
        <w:spacing w:line="400" w:lineRule="exact"/>
        <w:rPr>
          <w:rFonts w:ascii="仿宋" w:hAnsi="仿宋" w:eastAsia="仿宋" w:cs="仿宋"/>
          <w:sz w:val="24"/>
          <w:szCs w:val="24"/>
        </w:rPr>
      </w:pPr>
      <w:r>
        <w:rPr>
          <w:rFonts w:hint="eastAsia" w:ascii="仿宋" w:hAnsi="仿宋" w:eastAsia="仿宋" w:cs="仿宋"/>
          <w:sz w:val="24"/>
          <w:szCs w:val="24"/>
        </w:rPr>
        <w:t>备注：</w:t>
      </w:r>
    </w:p>
    <w:p w14:paraId="2262E1CE">
      <w:pPr>
        <w:spacing w:line="400" w:lineRule="exact"/>
        <w:rPr>
          <w:rFonts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1.供应商必须对技术要求和商务要求中的实质性要求（加斜体下划线内容）做出明确响应，未填写的内容视为完全响应本采购文件实质性要求。</w:t>
      </w:r>
    </w:p>
    <w:p w14:paraId="44AF3F92">
      <w:pPr>
        <w:spacing w:line="400" w:lineRule="exact"/>
        <w:rPr>
          <w:rFonts w:ascii="仿宋" w:hAnsi="仿宋" w:eastAsia="仿宋" w:cs="仿宋"/>
          <w:sz w:val="24"/>
        </w:rPr>
      </w:pPr>
      <w:r>
        <w:rPr>
          <w:rFonts w:hint="eastAsia" w:ascii="仿宋" w:hAnsi="仿宋" w:eastAsia="仿宋" w:cs="仿宋"/>
          <w:sz w:val="24"/>
        </w:rPr>
        <w:t>2.如果采购文件要求提供证明材料，供应商必须将证明材料列于该表之下，否则作无效响应处理。</w:t>
      </w:r>
      <w:r>
        <w:rPr>
          <w:rFonts w:hint="eastAsia" w:ascii="仿宋" w:hAnsi="仿宋" w:eastAsia="仿宋" w:cs="仿宋"/>
          <w:b/>
          <w:bCs/>
          <w:color w:val="000000"/>
          <w:sz w:val="24"/>
          <w:szCs w:val="24"/>
        </w:rPr>
        <w:t>（</w:t>
      </w:r>
      <w:r>
        <w:rPr>
          <w:rFonts w:hint="eastAsia" w:ascii="仿宋" w:hAnsi="仿宋" w:eastAsia="仿宋" w:cs="仿宋"/>
          <w:szCs w:val="20"/>
        </w:rPr>
        <w:t>▲</w:t>
      </w:r>
      <w:r>
        <w:rPr>
          <w:rFonts w:hint="eastAsia" w:ascii="仿宋" w:hAnsi="仿宋" w:eastAsia="仿宋" w:cs="仿宋"/>
          <w:color w:val="000000"/>
          <w:sz w:val="24"/>
        </w:rPr>
        <w:t>项或采购文件另有要求的除外</w:t>
      </w:r>
      <w:r>
        <w:rPr>
          <w:rFonts w:hint="eastAsia" w:ascii="仿宋" w:hAnsi="仿宋" w:eastAsia="仿宋" w:cs="仿宋"/>
          <w:b/>
          <w:bCs/>
          <w:color w:val="000000"/>
          <w:sz w:val="24"/>
          <w:szCs w:val="24"/>
        </w:rPr>
        <w:t>）</w:t>
      </w:r>
    </w:p>
    <w:p w14:paraId="1109F654">
      <w:pPr>
        <w:spacing w:line="460" w:lineRule="exact"/>
        <w:rPr>
          <w:rFonts w:ascii="仿宋" w:hAnsi="仿宋" w:eastAsia="仿宋" w:cs="仿宋"/>
          <w:bCs/>
          <w:sz w:val="24"/>
          <w:szCs w:val="21"/>
        </w:rPr>
      </w:pPr>
    </w:p>
    <w:p w14:paraId="312C20A6">
      <w:pPr>
        <w:spacing w:line="460" w:lineRule="exact"/>
        <w:rPr>
          <w:rFonts w:ascii="仿宋" w:hAnsi="仿宋" w:eastAsia="仿宋" w:cs="仿宋"/>
          <w:bCs/>
          <w:sz w:val="24"/>
          <w:szCs w:val="21"/>
        </w:rPr>
      </w:pPr>
    </w:p>
    <w:p w14:paraId="745C5348">
      <w:pPr>
        <w:spacing w:line="460" w:lineRule="exact"/>
        <w:rPr>
          <w:rFonts w:ascii="仿宋" w:hAnsi="仿宋" w:eastAsia="仿宋" w:cs="仿宋"/>
          <w:bCs/>
          <w:sz w:val="24"/>
          <w:szCs w:val="21"/>
        </w:rPr>
      </w:pPr>
    </w:p>
    <w:p w14:paraId="287F9112">
      <w:pPr>
        <w:pStyle w:val="13"/>
        <w:ind w:firstLine="480"/>
        <w:rPr>
          <w:rFonts w:ascii="仿宋" w:hAnsi="仿宋" w:eastAsia="仿宋" w:cs="仿宋"/>
          <w:bCs/>
          <w:sz w:val="24"/>
          <w:szCs w:val="21"/>
        </w:rPr>
      </w:pPr>
    </w:p>
    <w:p w14:paraId="4FFFA3EF">
      <w:pPr>
        <w:rPr>
          <w:rFonts w:ascii="仿宋" w:hAnsi="仿宋" w:eastAsia="仿宋" w:cs="仿宋"/>
          <w:bCs/>
          <w:sz w:val="24"/>
          <w:szCs w:val="21"/>
        </w:rPr>
      </w:pPr>
    </w:p>
    <w:p w14:paraId="7FC04200">
      <w:pPr>
        <w:pStyle w:val="13"/>
        <w:ind w:firstLine="480"/>
        <w:rPr>
          <w:rFonts w:ascii="仿宋" w:hAnsi="仿宋" w:eastAsia="仿宋" w:cs="仿宋"/>
          <w:bCs/>
          <w:sz w:val="24"/>
          <w:szCs w:val="21"/>
        </w:rPr>
      </w:pPr>
    </w:p>
    <w:p w14:paraId="61EFA41E">
      <w:pPr>
        <w:rPr>
          <w:rFonts w:ascii="仿宋" w:hAnsi="仿宋" w:eastAsia="仿宋" w:cs="仿宋"/>
          <w:bCs/>
          <w:sz w:val="24"/>
          <w:szCs w:val="21"/>
        </w:rPr>
      </w:pPr>
    </w:p>
    <w:p w14:paraId="76FE52E6">
      <w:pPr>
        <w:pStyle w:val="13"/>
        <w:ind w:firstLine="480"/>
        <w:rPr>
          <w:rFonts w:ascii="仿宋" w:hAnsi="仿宋" w:eastAsia="仿宋" w:cs="仿宋"/>
          <w:bCs/>
          <w:sz w:val="24"/>
          <w:szCs w:val="21"/>
        </w:rPr>
      </w:pPr>
    </w:p>
    <w:bookmarkEnd w:id="202"/>
    <w:bookmarkEnd w:id="203"/>
    <w:bookmarkEnd w:id="222"/>
    <w:p w14:paraId="75569B89">
      <w:pPr>
        <w:jc w:val="left"/>
        <w:rPr>
          <w:rFonts w:ascii="仿宋" w:hAnsi="仿宋" w:eastAsia="仿宋" w:cs="仿宋"/>
          <w:b/>
          <w:sz w:val="24"/>
          <w:szCs w:val="24"/>
        </w:rPr>
      </w:pPr>
    </w:p>
    <w:p w14:paraId="1B36B06B">
      <w:pPr>
        <w:pStyle w:val="13"/>
        <w:ind w:firstLine="482"/>
        <w:rPr>
          <w:rFonts w:ascii="仿宋" w:hAnsi="仿宋" w:eastAsia="仿宋" w:cs="仿宋"/>
          <w:b/>
          <w:sz w:val="24"/>
          <w:szCs w:val="24"/>
        </w:rPr>
      </w:pPr>
    </w:p>
    <w:p w14:paraId="0E0581D6"/>
    <w:p w14:paraId="51110D68">
      <w:pPr>
        <w:pStyle w:val="13"/>
      </w:pPr>
    </w:p>
    <w:p w14:paraId="133D3FCF">
      <w:pPr>
        <w:jc w:val="left"/>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附件12 </w:t>
      </w:r>
    </w:p>
    <w:p w14:paraId="125E0D3D">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关于符合本国产品标准的声明函</w:t>
      </w:r>
    </w:p>
    <w:p w14:paraId="479A3741">
      <w:pPr>
        <w:pStyle w:val="11"/>
        <w:spacing w:before="0" w:beforeAutospacing="0" w:after="0" w:afterAutospacing="0" w:line="0" w:lineRule="atLeast"/>
        <w:ind w:firstLine="420"/>
        <w:rPr>
          <w:rFonts w:ascii="方正魏碑_GBK" w:hAnsi="方正魏碑_GBK" w:eastAsia="方正魏碑_GBK" w:cs="方正魏碑_GBK"/>
          <w:color w:val="FF0000"/>
        </w:rPr>
      </w:pPr>
    </w:p>
    <w:p w14:paraId="7EAFD178">
      <w:pPr>
        <w:pStyle w:val="11"/>
        <w:spacing w:before="0" w:beforeAutospacing="0" w:after="0" w:afterAutospacing="0" w:line="0" w:lineRule="atLeast"/>
        <w:ind w:firstLine="420"/>
        <w:rPr>
          <w:rFonts w:ascii="仿宋" w:hAnsi="仿宋" w:eastAsia="仿宋" w:cs="仿宋"/>
          <w:color w:val="000000"/>
        </w:rPr>
      </w:pPr>
      <w:r>
        <w:rPr>
          <w:rFonts w:hint="eastAsia" w:ascii="仿宋" w:hAnsi="仿宋" w:eastAsia="仿宋" w:cs="仿宋"/>
          <w:color w:val="000000"/>
        </w:rPr>
        <w:t>本公司（单位）郑重声明，根据《国务院办公厅关于在政府采购中实施本国产品标准及相关政策的通知》（国办发〔2025〕34号）的规定，本公司（单位）提供的以下产品属于本国产品。具体情况如下：</w:t>
      </w:r>
    </w:p>
    <w:p w14:paraId="21E45887">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59264" behindDoc="0" locked="0" layoutInCell="1" allowOverlap="1">
                <wp:simplePos x="0" y="0"/>
                <wp:positionH relativeFrom="column">
                  <wp:posOffset>3097530</wp:posOffset>
                </wp:positionH>
                <wp:positionV relativeFrom="paragraph">
                  <wp:posOffset>297180</wp:posOffset>
                </wp:positionV>
                <wp:extent cx="816610" cy="76200"/>
                <wp:effectExtent l="635" t="4445" r="1905" b="14605"/>
                <wp:wrapNone/>
                <wp:docPr id="3" name="直接箭头连接符 3"/>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43.9pt;margin-top:23.4pt;height:6pt;width:64.3pt;z-index:251659264;mso-width-relative:page;mso-height-relative:page;" filled="f" stroked="t" coordsize="21600,21600" o:gfxdata="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yw/eG1wAAAAkBAAAPAAAAAAAAAAEAIAAAACIA&#10;AABkcnMvZG93bnJldi54bWxQSwECFAAUAAAACACHTuJAOFvoMwoCAAAHBAAADgAAAAAAAAABACAA&#10;AAAmAQAAZHJzL2Uyb0RvYy54bWxQSwUGAAAAAAYABgBZAQAAogU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7456" behindDoc="0" locked="0" layoutInCell="1" allowOverlap="1">
                <wp:simplePos x="0" y="0"/>
                <wp:positionH relativeFrom="column">
                  <wp:posOffset>1680845</wp:posOffset>
                </wp:positionH>
                <wp:positionV relativeFrom="paragraph">
                  <wp:posOffset>502920</wp:posOffset>
                </wp:positionV>
                <wp:extent cx="816610" cy="147320"/>
                <wp:effectExtent l="635" t="4445" r="1905" b="19685"/>
                <wp:wrapNone/>
                <wp:docPr id="10" name="直接箭头连接符 10"/>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32.35pt;margin-top:39.6pt;height:11.6pt;width:64.3pt;z-index:251667456;mso-width-relative:page;mso-height-relative:page;" filled="f" stroked="t" coordsize="21600,21600" o:gfxdata="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ArqWdgAAAAKAQAADwAAAAAAAAABACAA&#10;AAAiAAAAZHJzL2Rvd25yZXYueG1sUEsBAhQAFAAAAAgAh07iQHinz7wNAgAACgQAAA4AAAAAAAAA&#10;AQAgAAAAJwEAAGRycy9lMm9Eb2MueG1sUEsFBgAAAAAGAAYAWQEAAKY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460375</wp:posOffset>
                </wp:positionH>
                <wp:positionV relativeFrom="paragraph">
                  <wp:posOffset>458470</wp:posOffset>
                </wp:positionV>
                <wp:extent cx="876300" cy="120015"/>
                <wp:effectExtent l="635" t="4445" r="18415" b="8890"/>
                <wp:wrapNone/>
                <wp:docPr id="7" name="直接箭头连接符 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6.25pt;margin-top:36.1pt;height:9.45pt;width:69pt;z-index:251661312;mso-width-relative:page;mso-height-relative:page;" filled="f" stroked="t" coordsize="21600,21600" o:gfxdata="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xKv5tYAAAAIAQAADwAAAAAAAAABACAAAAAi&#10;AAAAZHJzL2Rvd25yZXYueG1sUEsBAhQAFAAAAAgAh07iQEgvQ1AMAgAACAQAAA4AAAAAAAAAAQAg&#10;AAAAJQ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4209415</wp:posOffset>
                </wp:positionH>
                <wp:positionV relativeFrom="paragraph">
                  <wp:posOffset>288290</wp:posOffset>
                </wp:positionV>
                <wp:extent cx="816610" cy="103505"/>
                <wp:effectExtent l="635" t="4445" r="1905" b="6350"/>
                <wp:wrapNone/>
                <wp:docPr id="4" name="直接箭头连接符 4"/>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31.45pt;margin-top:22.7pt;height:8.15pt;width:64.3pt;z-index:251660288;mso-width-relative:page;mso-height-relative:page;" filled="f" stroked="t" coordsize="21600,21600" o:gfxdata="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wAj4fXAAAACQEAAA8AAAAAAAAAAQAgAAAA&#10;IgAAAGRycy9kb3ducmV2LnhtbFBLAQIUABQAAAAIAIdO4kCUxf7WDAIAAAgEAAAOAAAAAAAAAAEA&#10;IAAAACY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6432" behindDoc="0" locked="0" layoutInCell="1" allowOverlap="1">
                <wp:simplePos x="0" y="0"/>
                <wp:positionH relativeFrom="column">
                  <wp:posOffset>2244090</wp:posOffset>
                </wp:positionH>
                <wp:positionV relativeFrom="paragraph">
                  <wp:posOffset>262255</wp:posOffset>
                </wp:positionV>
                <wp:extent cx="364490" cy="97790"/>
                <wp:effectExtent l="1270" t="4445" r="15240" b="12065"/>
                <wp:wrapNone/>
                <wp:docPr id="12" name="直接箭头连接符 12"/>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76.7pt;margin-top:20.65pt;height:7.7pt;width:28.7pt;z-index:251666432;mso-width-relative:page;mso-height-relative:page;" filled="f" stroked="t" coordsize="21600,21600" o:gfxdata="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EVIpNdcAAAAJAQAADwAAAAAAAAABACAAAAAi&#10;AAAAZHJzL2Rvd25yZXYueG1sUEsBAhQAFAAAAAgAh07iQIJb46oLAgAACQQAAA4AAAAAAAAAAQAg&#10;AAAAJg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4" name="直接箭头连接符 14"/>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61.85pt;margin-top:6.85pt;height:7.25pt;width:45.45pt;z-index:251665408;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YoXFrWAAAACQEAAA8AAAAAAAAAAQAgAAAAIgAA&#10;AGRycy9kb3ducmV2LnhtbFBLAQIUABQAAAAIAIdO4kCTHyDFCgIAAAkEAAAOAAAAAAAAAAEAIAAA&#10;ACUBAABkcnMvZTJvRG9jLnhtbFBLBQYAAAAABgAGAFkBAAChBQAAAAA=&#10;">
                <v:fill on="f" focussize="0,0"/>
                <v:stroke color="#000000" joinstyle="round"/>
                <v:imagedata o:title=""/>
                <o:lock v:ext="edit" aspectratio="f"/>
              </v:shape>
            </w:pict>
          </mc:Fallback>
        </mc:AlternateContent>
      </w:r>
      <w:r>
        <w:rPr>
          <w:rFonts w:hint="eastAsia" w:ascii="仿宋" w:hAnsi="仿宋" w:eastAsia="仿宋" w:cs="仿宋"/>
          <w:color w:val="000000"/>
          <w:shd w:val="clear" w:color="auto" w:fill="FFFFFF"/>
        </w:rPr>
        <w:t>1.</w:t>
      </w:r>
      <w:r>
        <w:rPr>
          <w:rStyle w:val="17"/>
          <w:rFonts w:hint="eastAsia" w:ascii="仿宋" w:hAnsi="仿宋" w:eastAsia="仿宋" w:cs="仿宋"/>
          <w:i w:val="0"/>
          <w:color w:val="000000"/>
          <w:u w:val="single"/>
          <w:shd w:val="clear" w:color="auto" w:fill="FFFFFF"/>
        </w:rPr>
        <w:t>（产品名称1）</w:t>
      </w:r>
      <w:r>
        <w:rPr>
          <w:rStyle w:val="17"/>
          <w:rFonts w:hint="eastAsia" w:ascii="仿宋" w:hAnsi="仿宋" w:eastAsia="仿宋" w:cs="仿宋"/>
          <w:i w:val="0"/>
          <w:color w:val="000000"/>
          <w:shd w:val="clear" w:color="auto" w:fill="FFFFFF"/>
          <w:vertAlign w:val="superscript"/>
        </w:rPr>
        <w:t>1</w:t>
      </w:r>
      <w:r>
        <w:rPr>
          <w:rFonts w:hint="eastAsia" w:ascii="仿宋" w:hAnsi="仿宋" w:eastAsia="仿宋" w:cs="仿宋"/>
          <w:color w:val="000000"/>
          <w:shd w:val="clear" w:color="auto" w:fill="FFFFFF"/>
        </w:rPr>
        <w:t>，生产厂为</w:t>
      </w:r>
      <w:r>
        <w:rPr>
          <w:rStyle w:val="17"/>
          <w:rFonts w:hint="eastAsia" w:ascii="仿宋" w:hAnsi="仿宋" w:eastAsia="仿宋" w:cs="仿宋"/>
          <w:i w:val="0"/>
          <w:color w:val="000000"/>
          <w:u w:val="single"/>
          <w:shd w:val="clear" w:color="auto" w:fill="FFFFFF"/>
        </w:rPr>
        <w:t>（厂名）</w:t>
      </w:r>
      <w:r>
        <w:rPr>
          <w:rStyle w:val="17"/>
          <w:rFonts w:hint="eastAsia" w:ascii="仿宋" w:hAnsi="仿宋" w:eastAsia="仿宋" w:cs="仿宋"/>
          <w:i w:val="0"/>
          <w:color w:val="000000"/>
          <w:shd w:val="clear" w:color="auto" w:fill="FFFFFF"/>
          <w:vertAlign w:val="superscript"/>
        </w:rPr>
        <w:t>2</w:t>
      </w:r>
      <w:r>
        <w:rPr>
          <w:rFonts w:hint="eastAsia" w:ascii="仿宋" w:hAnsi="仿宋" w:eastAsia="仿宋" w:cs="仿宋"/>
          <w:color w:val="000000"/>
          <w:shd w:val="clear" w:color="auto" w:fill="FFFFFF"/>
        </w:rPr>
        <w:t>，厂址为</w:t>
      </w:r>
      <w:r>
        <w:rPr>
          <w:rStyle w:val="17"/>
          <w:rFonts w:hint="eastAsia" w:ascii="仿宋" w:hAnsi="仿宋" w:eastAsia="仿宋" w:cs="仿宋"/>
          <w:i w:val="0"/>
          <w:color w:val="000000"/>
          <w:u w:val="single"/>
          <w:shd w:val="clear" w:color="auto" w:fill="FFFFFF"/>
        </w:rPr>
        <w:t>（生产厂址）</w:t>
      </w:r>
      <w:r>
        <w:rPr>
          <w:rFonts w:hint="eastAsia" w:ascii="仿宋" w:hAnsi="仿宋" w:eastAsia="仿宋" w:cs="仿宋"/>
          <w:color w:val="000000"/>
          <w:shd w:val="clear" w:color="auto" w:fill="FFFFFF"/>
        </w:rPr>
        <w:t>。</w:t>
      </w:r>
      <w:r>
        <w:rPr>
          <w:rFonts w:hint="eastAsia" w:ascii="仿宋" w:hAnsi="仿宋" w:eastAsia="仿宋" w:cs="仿宋"/>
          <w:color w:val="000000"/>
          <w:u w:val="single"/>
          <w:shd w:val="clear" w:color="auto" w:fill="FFFFFF"/>
        </w:rPr>
        <w:t xml:space="preserve"> </w:t>
      </w:r>
      <w:r>
        <w:rPr>
          <w:rStyle w:val="17"/>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的中国境内生产的组件成本占比≥</w:t>
      </w:r>
      <w:r>
        <w:rPr>
          <w:rStyle w:val="17"/>
          <w:rFonts w:hint="eastAsia" w:ascii="仿宋" w:hAnsi="仿宋" w:eastAsia="仿宋" w:cs="仿宋"/>
          <w:i w:val="0"/>
          <w:color w:val="000000"/>
          <w:u w:val="single"/>
          <w:shd w:val="clear" w:color="auto" w:fill="FFFFFF"/>
        </w:rPr>
        <w:t>（规定比例）</w:t>
      </w:r>
      <w:r>
        <w:rPr>
          <w:rStyle w:val="17"/>
          <w:rFonts w:hint="eastAsia" w:ascii="仿宋" w:hAnsi="仿宋" w:eastAsia="仿宋" w:cs="仿宋"/>
          <w:i w:val="0"/>
          <w:color w:val="000000"/>
          <w:shd w:val="clear" w:color="auto" w:fill="FFFFFF"/>
          <w:vertAlign w:val="superscript"/>
        </w:rPr>
        <w:t>3</w:t>
      </w:r>
      <w:r>
        <w:rPr>
          <w:rFonts w:hint="eastAsia" w:ascii="仿宋" w:hAnsi="仿宋" w:eastAsia="仿宋" w:cs="仿宋"/>
          <w:color w:val="000000"/>
          <w:shd w:val="clear" w:color="auto" w:fill="FFFFFF"/>
        </w:rPr>
        <w:t>。</w:t>
      </w:r>
      <w:r>
        <w:rPr>
          <w:rStyle w:val="17"/>
          <w:rFonts w:hint="eastAsia" w:ascii="仿宋" w:hAnsi="仿宋" w:eastAsia="仿宋" w:cs="仿宋"/>
          <w:i w:val="0"/>
          <w:color w:val="000000"/>
          <w:u w:val="single"/>
          <w:shd w:val="clear" w:color="auto" w:fill="FFFFFF"/>
        </w:rPr>
        <w:t>（产品名称1）</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（关键组件）</w:t>
      </w:r>
      <w:r>
        <w:rPr>
          <w:rStyle w:val="17"/>
          <w:rFonts w:hint="eastAsia" w:ascii="仿宋" w:hAnsi="仿宋" w:eastAsia="仿宋" w:cs="仿宋"/>
          <w:i w:val="0"/>
          <w:color w:val="000000"/>
          <w:shd w:val="clear" w:color="auto" w:fill="FFFFFF"/>
          <w:vertAlign w:val="superscript"/>
        </w:rPr>
        <w:t>4</w:t>
      </w:r>
      <w:r>
        <w:rPr>
          <w:rFonts w:hint="eastAsia" w:ascii="仿宋" w:hAnsi="仿宋" w:eastAsia="仿宋" w:cs="仿宋"/>
          <w:color w:val="000000"/>
          <w:shd w:val="clear" w:color="auto" w:fill="FFFFFF"/>
        </w:rPr>
        <w:t>在中国境内生产。</w:t>
      </w:r>
      <w:r>
        <w:rPr>
          <w:rStyle w:val="17"/>
          <w:rFonts w:hint="eastAsia" w:ascii="仿宋" w:hAnsi="仿宋" w:eastAsia="仿宋" w:cs="仿宋"/>
          <w:i w:val="0"/>
          <w:color w:val="000000"/>
          <w:u w:val="single"/>
          <w:shd w:val="clear" w:color="auto" w:fill="FFFFFF"/>
        </w:rPr>
        <w:t>（产品名称1）</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（关键工序）</w:t>
      </w:r>
      <w:r>
        <w:rPr>
          <w:rStyle w:val="17"/>
          <w:rFonts w:hint="eastAsia" w:ascii="仿宋" w:hAnsi="仿宋" w:eastAsia="仿宋" w:cs="仿宋"/>
          <w:i w:val="0"/>
          <w:color w:val="000000"/>
          <w:shd w:val="clear" w:color="auto" w:fill="FFFFFF"/>
          <w:vertAlign w:val="superscript"/>
        </w:rPr>
        <w:t>5</w:t>
      </w:r>
      <w:r>
        <w:rPr>
          <w:rFonts w:hint="eastAsia" w:ascii="仿宋" w:hAnsi="仿宋" w:eastAsia="仿宋" w:cs="仿宋"/>
          <w:color w:val="000000"/>
          <w:shd w:val="clear" w:color="auto" w:fill="FFFFFF"/>
        </w:rPr>
        <w:t>在中国境内完成。</w:t>
      </w:r>
    </w:p>
    <w:p w14:paraId="0EA45F16">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9504" behindDoc="0" locked="0" layoutInCell="1" allowOverlap="1">
                <wp:simplePos x="0" y="0"/>
                <wp:positionH relativeFrom="column">
                  <wp:posOffset>4153535</wp:posOffset>
                </wp:positionH>
                <wp:positionV relativeFrom="paragraph">
                  <wp:posOffset>311150</wp:posOffset>
                </wp:positionV>
                <wp:extent cx="462280" cy="147320"/>
                <wp:effectExtent l="1270" t="4445" r="12700" b="19685"/>
                <wp:wrapNone/>
                <wp:docPr id="1" name="直接箭头连接符 1"/>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27.05pt;margin-top:24.5pt;height:11.6pt;width:36.4pt;z-index:251669504;mso-width-relative:page;mso-height-relative:page;" filled="f" stroked="t" coordsize="21600,21600" o:gfxdata="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JQx2tcAAAAJAQAADwAAAAAAAAABACAA&#10;AAAiAAAAZHJzL2Rvd25yZXYueG1sUEsBAhQAFAAAAAgAh07iQP63IjkOAgAACAQAAA4AAAAAAAAA&#10;AQAgAAAAJgEAAGRycy9lMm9Eb2MueG1sUEsFBgAAAAAGAAYAWQEAAKY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2846070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24.1pt;margin-top:21.85pt;height:9.45pt;width:66.9pt;z-index:251663360;mso-width-relative:page;mso-height-relative:page;" filled="f" stroked="t" coordsize="21600,21600" o:gfxdata="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ILoWDXAAAACQEAAA8AAAAAAAAAAQAgAAAA&#10;IgAAAGRycy9kb3ducmV2LnhtbFBLAQIUABQAAAAIAIdO4kC6cN26DAIAAAoEAAAOAAAAAAAAAAEA&#10;IAAAACY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1863725</wp:posOffset>
                </wp:positionH>
                <wp:positionV relativeFrom="paragraph">
                  <wp:posOffset>255905</wp:posOffset>
                </wp:positionV>
                <wp:extent cx="843915" cy="125730"/>
                <wp:effectExtent l="635" t="4445" r="12700" b="22225"/>
                <wp:wrapNone/>
                <wp:docPr id="6" name="直接箭头连接符 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46.75pt;margin-top:20.15pt;height:9.9pt;width:66.45pt;z-index:251662336;mso-width-relative:page;mso-height-relative:page;" filled="f" stroked="t" coordsize="21600,21600" o:gfxdata="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YC5/vXAAAACQEAAA8AAAAAAAAAAQAg&#10;AAAAIgAAAGRycy9kb3ducmV2LnhtbFBLAQIUABQAAAAIAIdO4kA6iXZgDwIAAAgEAAAOAAAAAAAA&#10;AAEAIAAAACYBAABkcnMvZTJvRG9jLnhtbFBLBQYAAAAABgAGAFkBAACnBQ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924560</wp:posOffset>
                </wp:positionH>
                <wp:positionV relativeFrom="paragraph">
                  <wp:posOffset>467360</wp:posOffset>
                </wp:positionV>
                <wp:extent cx="908685" cy="140970"/>
                <wp:effectExtent l="635" t="4445" r="5080" b="6985"/>
                <wp:wrapNone/>
                <wp:docPr id="11" name="直接箭头连接符 11"/>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72.8pt;margin-top:36.8pt;height:11.1pt;width:71.55pt;z-index:251664384;mso-width-relative:page;mso-height-relative:page;" filled="f" stroked="t" coordsize="21600,21600" o:gfxdata="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w7RC9cAAAAJAQAADwAAAAAAAAABACAA&#10;AAAiAAAAZHJzL2Rvd25yZXYueG1sUEsBAhQAFAAAAAgAh07iQKIiq7oOAgAACgQAAA4AAAAAAAAA&#10;AQAgAAAAJgEAAGRycy9lMm9Eb2MueG1sUEsFBgAAAAAGAAYAWQEAAKY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7052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5" name="直接箭头连接符 15"/>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pt;margin-top:40.3pt;height:8.85pt;width:33.45pt;z-index:251670528;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qp4ydUAAAAGAQAADwAAAAAAAAABACAAAAAi&#10;AAAAZHJzL2Rvd25yZXYueG1sUEsBAhQAFAAAAAgAh07iQNe/mA0NAgAACgQAAA4AAAAAAAAAAQAg&#10;AAAAJA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000000"/>
        </w:rPr>
        <mc:AlternateContent>
          <mc:Choice Requires="wps">
            <w:drawing>
              <wp:anchor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9" name="直接箭头连接符 9"/>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52.45pt;margin-top:4.7pt;height:7.7pt;width:56.55pt;z-index:251668480;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vzlm7XAAAACAEAAA8AAAAAAAAAAQAgAAAA&#10;IgAAAGRycy9kb3ducmV2LnhtbFBLAQIUABQAAAAIAIdO4kCm7QVbDAIAAAcEAAAOAAAAAAAAAAEA&#10;IAAAACY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000000"/>
          <w:shd w:val="clear" w:color="auto" w:fill="FFFFFF"/>
        </w:rPr>
        <w:t>2.</w:t>
      </w:r>
      <w:r>
        <w:rPr>
          <w:rStyle w:val="17"/>
          <w:rFonts w:hint="eastAsia" w:ascii="仿宋" w:hAnsi="仿宋" w:eastAsia="仿宋" w:cs="仿宋"/>
          <w:i w:val="0"/>
          <w:color w:val="000000"/>
          <w:u w:val="single"/>
          <w:shd w:val="clear" w:color="auto" w:fill="FFFFFF"/>
        </w:rPr>
        <w:t>（产品名称2）</w:t>
      </w:r>
      <w:r>
        <w:rPr>
          <w:rFonts w:hint="eastAsia" w:ascii="仿宋" w:hAnsi="仿宋" w:eastAsia="仿宋" w:cs="仿宋"/>
          <w:color w:val="000000"/>
          <w:shd w:val="clear" w:color="auto" w:fill="FFFFFF"/>
        </w:rPr>
        <w:t>，生产厂为</w:t>
      </w:r>
      <w:r>
        <w:rPr>
          <w:rStyle w:val="17"/>
          <w:rFonts w:hint="eastAsia" w:ascii="仿宋" w:hAnsi="仿宋" w:eastAsia="仿宋" w:cs="仿宋"/>
          <w:i w:val="0"/>
          <w:color w:val="000000"/>
          <w:u w:val="single"/>
          <w:shd w:val="clear" w:color="auto" w:fill="FFFFFF"/>
        </w:rPr>
        <w:t>（厂名）</w:t>
      </w:r>
      <w:r>
        <w:rPr>
          <w:rFonts w:hint="eastAsia" w:ascii="仿宋" w:hAnsi="仿宋" w:eastAsia="仿宋" w:cs="仿宋"/>
          <w:color w:val="000000"/>
          <w:shd w:val="clear" w:color="auto" w:fill="FFFFFF"/>
        </w:rPr>
        <w:t>，厂址为</w:t>
      </w:r>
      <w:r>
        <w:rPr>
          <w:rStyle w:val="17"/>
          <w:rFonts w:hint="eastAsia" w:ascii="仿宋" w:hAnsi="仿宋" w:eastAsia="仿宋" w:cs="仿宋"/>
          <w:i w:val="0"/>
          <w:color w:val="000000"/>
          <w:u w:val="single"/>
          <w:shd w:val="clear" w:color="auto" w:fill="FFFFFF"/>
        </w:rPr>
        <w:t>（生产厂址）</w:t>
      </w:r>
      <w:r>
        <w:rPr>
          <w:rFonts w:hint="eastAsia" w:ascii="仿宋" w:hAnsi="仿宋" w:eastAsia="仿宋" w:cs="仿宋"/>
          <w:color w:val="000000"/>
          <w:shd w:val="clear" w:color="auto" w:fill="FFFFFF"/>
        </w:rPr>
        <w:t>。</w:t>
      </w:r>
      <w:r>
        <w:rPr>
          <w:rStyle w:val="17"/>
          <w:rFonts w:hint="eastAsia" w:ascii="仿宋" w:hAnsi="仿宋" w:eastAsia="仿宋" w:cs="仿宋"/>
          <w:i w:val="0"/>
          <w:color w:val="000000"/>
          <w:u w:val="single"/>
          <w:shd w:val="clear" w:color="auto" w:fill="FFFFFF"/>
        </w:rPr>
        <w:t>（产品名称2）</w:t>
      </w:r>
      <w:r>
        <w:rPr>
          <w:rFonts w:hint="eastAsia" w:ascii="仿宋" w:hAnsi="仿宋" w:eastAsia="仿宋" w:cs="仿宋"/>
          <w:color w:val="000000"/>
          <w:shd w:val="clear" w:color="auto" w:fill="FFFFFF"/>
        </w:rPr>
        <w:t>的中国境内生产的组件成本占比≥</w:t>
      </w:r>
      <w:r>
        <w:rPr>
          <w:rStyle w:val="17"/>
          <w:rFonts w:hint="eastAsia" w:ascii="仿宋" w:hAnsi="仿宋" w:eastAsia="仿宋" w:cs="仿宋"/>
          <w:i w:val="0"/>
          <w:color w:val="000000"/>
          <w:u w:val="single"/>
          <w:shd w:val="clear" w:color="auto" w:fill="FFFFFF"/>
        </w:rPr>
        <w:t>（规定比例）</w:t>
      </w:r>
      <w:r>
        <w:rPr>
          <w:rFonts w:hint="eastAsia" w:ascii="仿宋" w:hAnsi="仿宋" w:eastAsia="仿宋" w:cs="仿宋"/>
          <w:color w:val="000000"/>
          <w:shd w:val="clear" w:color="auto" w:fill="FFFFFF"/>
        </w:rPr>
        <w:t>。</w:t>
      </w:r>
      <w:r>
        <w:rPr>
          <w:rStyle w:val="17"/>
          <w:rFonts w:hint="eastAsia" w:ascii="仿宋" w:hAnsi="仿宋" w:eastAsia="仿宋" w:cs="仿宋"/>
          <w:i w:val="0"/>
          <w:color w:val="000000"/>
          <w:u w:val="single"/>
          <w:shd w:val="clear" w:color="auto" w:fill="FFFFFF"/>
        </w:rPr>
        <w:t>（产品名称2）</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（关键组件）</w:t>
      </w:r>
      <w:r>
        <w:rPr>
          <w:rFonts w:hint="eastAsia" w:ascii="仿宋" w:hAnsi="仿宋" w:eastAsia="仿宋" w:cs="仿宋"/>
          <w:color w:val="000000"/>
          <w:shd w:val="clear" w:color="auto" w:fill="FFFFFF"/>
        </w:rPr>
        <w:t>在中国境内生产。</w:t>
      </w:r>
      <w:r>
        <w:rPr>
          <w:rStyle w:val="17"/>
          <w:rFonts w:hint="eastAsia" w:ascii="仿宋" w:hAnsi="仿宋" w:eastAsia="仿宋" w:cs="仿宋"/>
          <w:i w:val="0"/>
          <w:color w:val="000000"/>
          <w:u w:val="single"/>
          <w:shd w:val="clear" w:color="auto" w:fill="FFFFFF"/>
        </w:rPr>
        <w:t>（产品名称1）</w:t>
      </w:r>
      <w:r>
        <w:rPr>
          <w:rFonts w:hint="eastAsia" w:ascii="仿宋" w:hAnsi="仿宋" w:eastAsia="仿宋" w:cs="仿宋"/>
          <w:color w:val="000000"/>
          <w:shd w:val="clear" w:color="auto" w:fill="FFFFFF"/>
        </w:rPr>
        <w:t>的</w:t>
      </w:r>
      <w:r>
        <w:rPr>
          <w:rStyle w:val="17"/>
          <w:rFonts w:hint="eastAsia" w:ascii="仿宋" w:hAnsi="仿宋" w:eastAsia="仿宋" w:cs="仿宋"/>
          <w:i w:val="0"/>
          <w:color w:val="000000"/>
          <w:u w:val="single"/>
          <w:shd w:val="clear" w:color="auto" w:fill="FFFFFF"/>
        </w:rPr>
        <w:t>（关键工序）</w:t>
      </w:r>
      <w:r>
        <w:rPr>
          <w:rFonts w:hint="eastAsia" w:ascii="仿宋" w:hAnsi="仿宋" w:eastAsia="仿宋" w:cs="仿宋"/>
          <w:color w:val="000000"/>
          <w:shd w:val="clear" w:color="auto" w:fill="FFFFFF"/>
        </w:rPr>
        <w:t>在中国境内完成。</w:t>
      </w:r>
    </w:p>
    <w:p w14:paraId="05D390C4">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shd w:val="clear" w:color="auto" w:fill="FFFFFF"/>
        </w:rPr>
        <w:t>……</w:t>
      </w:r>
    </w:p>
    <w:p w14:paraId="6ECD993D">
      <w:pPr>
        <w:pStyle w:val="11"/>
        <w:spacing w:before="30" w:beforeAutospacing="0" w:after="30" w:afterAutospacing="0" w:line="0" w:lineRule="atLeast"/>
        <w:ind w:firstLine="420"/>
        <w:rPr>
          <w:rFonts w:ascii="仿宋" w:hAnsi="仿宋" w:eastAsia="仿宋" w:cs="仿宋"/>
          <w:b/>
          <w:bCs/>
          <w:shd w:val="clear" w:color="auto" w:fill="FFFFFF"/>
        </w:rPr>
      </w:pPr>
      <w:r>
        <w:rPr>
          <w:rFonts w:hint="eastAsia" w:ascii="仿宋" w:hAnsi="仿宋" w:eastAsia="仿宋" w:cs="仿宋"/>
          <w:b/>
          <w:bCs/>
        </w:rPr>
        <w:t>本采购包中提供的符合本国产品标准的产品成本之和占该采购包提供的全部产品成本之和的比例为</w:t>
      </w:r>
      <w:r>
        <w:rPr>
          <w:rFonts w:hint="eastAsia" w:ascii="仿宋" w:hAnsi="仿宋" w:eastAsia="仿宋" w:cs="仿宋"/>
          <w:b/>
          <w:bCs/>
          <w:u w:val="single"/>
        </w:rPr>
        <w:t>***</w:t>
      </w:r>
      <w:r>
        <w:rPr>
          <w:rFonts w:hint="eastAsia" w:ascii="仿宋" w:hAnsi="仿宋" w:eastAsia="仿宋" w:cs="仿宋"/>
          <w:b/>
          <w:bCs/>
        </w:rPr>
        <w:t>%。</w:t>
      </w:r>
    </w:p>
    <w:p w14:paraId="15554FC9">
      <w:pPr>
        <w:pStyle w:val="11"/>
        <w:spacing w:before="30" w:beforeAutospacing="0" w:after="30" w:afterAutospacing="0" w:line="0" w:lineRule="atLeast"/>
        <w:ind w:firstLine="420"/>
        <w:rPr>
          <w:rFonts w:ascii="仿宋" w:hAnsi="仿宋" w:eastAsia="仿宋" w:cs="仿宋"/>
          <w:color w:val="000000"/>
          <w:shd w:val="clear" w:color="auto" w:fill="FFFFFF"/>
        </w:rPr>
      </w:pPr>
    </w:p>
    <w:p w14:paraId="3DACBA21">
      <w:pPr>
        <w:pStyle w:val="11"/>
        <w:spacing w:before="30" w:beforeAutospacing="0" w:after="30" w:afterAutospacing="0" w:line="0" w:lineRule="atLeast"/>
        <w:ind w:firstLine="420"/>
        <w:rPr>
          <w:rFonts w:ascii="仿宋" w:hAnsi="仿宋" w:eastAsia="仿宋" w:cs="仿宋"/>
          <w:color w:val="000000"/>
        </w:rPr>
      </w:pPr>
      <w:r>
        <w:rPr>
          <w:rFonts w:hint="eastAsia" w:ascii="仿宋" w:hAnsi="仿宋" w:eastAsia="仿宋" w:cs="仿宋"/>
          <w:color w:val="000000"/>
          <w:shd w:val="clear" w:color="auto" w:fill="FFFFFF"/>
        </w:rPr>
        <w:t>本公司（单位）对上述声明内容的真实性负责。如有虚假，愿承担相应法律责任。</w:t>
      </w:r>
    </w:p>
    <w:p w14:paraId="08582285">
      <w:pPr>
        <w:pStyle w:val="11"/>
        <w:spacing w:before="30" w:beforeAutospacing="0" w:after="30" w:afterAutospacing="0" w:line="0" w:lineRule="atLeast"/>
        <w:rPr>
          <w:rFonts w:ascii="仿宋" w:hAnsi="仿宋" w:eastAsia="仿宋" w:cs="仿宋"/>
          <w:color w:val="000000"/>
        </w:rPr>
      </w:pPr>
    </w:p>
    <w:p w14:paraId="0A437000">
      <w:pPr>
        <w:pStyle w:val="11"/>
        <w:spacing w:before="30" w:beforeAutospacing="0" w:after="30" w:afterAutospacing="0" w:line="0" w:lineRule="atLeast"/>
        <w:ind w:right="480" w:firstLine="3720" w:firstLineChars="1550"/>
        <w:rPr>
          <w:rFonts w:ascii="仿宋" w:hAnsi="仿宋" w:eastAsia="仿宋" w:cs="仿宋"/>
          <w:color w:val="000000"/>
        </w:rPr>
      </w:pPr>
      <w:r>
        <w:rPr>
          <w:rFonts w:hint="eastAsia" w:ascii="仿宋" w:hAnsi="仿宋" w:eastAsia="仿宋" w:cs="仿宋"/>
          <w:color w:val="000000"/>
          <w:shd w:val="clear" w:color="auto" w:fill="FFFFFF"/>
        </w:rPr>
        <w:t>公司（单位）名称（盖章）：　        </w:t>
      </w:r>
    </w:p>
    <w:p w14:paraId="0B95BDA5">
      <w:pPr>
        <w:pStyle w:val="11"/>
        <w:spacing w:before="30" w:beforeAutospacing="0" w:after="30" w:afterAutospacing="0" w:line="0" w:lineRule="atLeast"/>
        <w:jc w:val="center"/>
        <w:rPr>
          <w:rFonts w:ascii="仿宋" w:hAnsi="仿宋" w:eastAsia="仿宋" w:cs="仿宋"/>
          <w:color w:val="000000"/>
          <w:shd w:val="clear" w:color="auto" w:fill="FFFFFF"/>
        </w:rPr>
      </w:pPr>
      <w:r>
        <w:rPr>
          <w:rFonts w:hint="eastAsia" w:ascii="仿宋" w:hAnsi="仿宋" w:eastAsia="仿宋" w:cs="仿宋"/>
          <w:color w:val="000000"/>
          <w:shd w:val="clear" w:color="auto" w:fill="FFFFFF"/>
        </w:rPr>
        <w:t xml:space="preserve">                               </w:t>
      </w:r>
    </w:p>
    <w:p w14:paraId="219B21E1">
      <w:pPr>
        <w:pStyle w:val="11"/>
        <w:spacing w:before="30" w:beforeAutospacing="0" w:after="30" w:afterAutospacing="0" w:line="0" w:lineRule="atLeast"/>
        <w:jc w:val="center"/>
        <w:rPr>
          <w:rFonts w:ascii="仿宋" w:hAnsi="仿宋" w:eastAsia="仿宋" w:cs="仿宋"/>
          <w:color w:val="000000"/>
          <w:shd w:val="clear" w:color="auto" w:fill="FFFFFF"/>
        </w:rPr>
      </w:pPr>
      <w:r>
        <w:rPr>
          <w:rFonts w:hint="eastAsia" w:ascii="仿宋" w:hAnsi="仿宋" w:eastAsia="仿宋" w:cs="仿宋"/>
          <w:color w:val="000000"/>
          <w:shd w:val="clear" w:color="auto" w:fill="FFFFFF"/>
        </w:rPr>
        <w:t xml:space="preserve">              日期：　   年　  月　  日  </w:t>
      </w:r>
    </w:p>
    <w:p w14:paraId="10872FE0">
      <w:pPr>
        <w:pStyle w:val="11"/>
        <w:spacing w:before="30" w:beforeAutospacing="0" w:after="30" w:afterAutospacing="0" w:line="0" w:lineRule="atLeast"/>
        <w:rPr>
          <w:rFonts w:ascii="仿宋" w:hAnsi="仿宋" w:eastAsia="仿宋" w:cs="仿宋"/>
          <w:color w:val="000000"/>
        </w:rPr>
      </w:pPr>
      <w:r>
        <w:rPr>
          <w:rFonts w:hint="eastAsia" w:ascii="仿宋" w:hAnsi="仿宋" w:eastAsia="仿宋" w:cs="仿宋"/>
          <w:color w:val="000000"/>
          <w:shd w:val="clear" w:color="auto" w:fill="FFFFFF"/>
        </w:rPr>
        <w:t>注：       </w:t>
      </w:r>
    </w:p>
    <w:p w14:paraId="30C481D8">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1.产品如有型号，请在“产品名称”栏一并填写。</w:t>
      </w:r>
    </w:p>
    <w:p w14:paraId="13268331">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2.生产厂名与厂址应与生产厂营业执照载明的相关信息保持一致。</w:t>
      </w:r>
    </w:p>
    <w:p w14:paraId="6B2FD967">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3.该产品的中国境内生产的组件成本占比相关要求实施前，“规定比例”栏可不填，下同。</w:t>
      </w:r>
    </w:p>
    <w:p w14:paraId="4D9C9818">
      <w:pPr>
        <w:pStyle w:val="11"/>
        <w:spacing w:before="30" w:beforeAutospacing="0" w:after="30" w:afterAutospacing="0" w:line="0" w:lineRule="atLeast"/>
        <w:rPr>
          <w:rFonts w:ascii="仿宋" w:hAnsi="仿宋" w:eastAsia="仿宋" w:cs="仿宋"/>
          <w:color w:val="000000"/>
          <w:sz w:val="22"/>
        </w:rPr>
      </w:pPr>
      <w:r>
        <w:rPr>
          <w:rFonts w:hint="eastAsia" w:ascii="仿宋" w:hAnsi="仿宋" w:eastAsia="仿宋" w:cs="仿宋"/>
          <w:color w:val="000000"/>
          <w:sz w:val="22"/>
          <w:shd w:val="clear" w:color="auto" w:fill="FFFFFF"/>
        </w:rPr>
        <w:t>4.该产品的关键组件要求实施前，“关键组件”栏可不填，下同。</w:t>
      </w:r>
    </w:p>
    <w:p w14:paraId="4341B954">
      <w:pPr>
        <w:pStyle w:val="11"/>
        <w:spacing w:before="30" w:beforeAutospacing="0" w:after="30" w:afterAutospacing="0" w:line="0" w:lineRule="atLeast"/>
        <w:rPr>
          <w:rFonts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5.该产品的关键工序要求实施前，“关键工序”栏可不填，下同。</w:t>
      </w:r>
    </w:p>
    <w:p w14:paraId="44E80496">
      <w:pPr>
        <w:pStyle w:val="11"/>
        <w:spacing w:before="30" w:beforeAutospacing="0" w:after="30" w:afterAutospacing="0" w:line="0" w:lineRule="atLeast"/>
        <w:rPr>
          <w:rFonts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6.用斜线划除的地方无需填写。</w:t>
      </w:r>
    </w:p>
    <w:p w14:paraId="7FBD42F6">
      <w:pPr>
        <w:pStyle w:val="11"/>
        <w:spacing w:before="30" w:beforeAutospacing="0" w:after="30" w:afterAutospacing="0" w:line="0" w:lineRule="atLeast"/>
        <w:rPr>
          <w:rFonts w:ascii="仿宋" w:hAnsi="仿宋" w:eastAsia="仿宋" w:cs="仿宋"/>
          <w:b/>
          <w:bCs/>
          <w:color w:val="000000"/>
          <w:sz w:val="22"/>
          <w:shd w:val="clear" w:color="auto" w:fill="FFFFFF"/>
        </w:rPr>
      </w:pPr>
      <w:r>
        <w:rPr>
          <w:rFonts w:hint="eastAsia" w:ascii="仿宋" w:hAnsi="仿宋" w:eastAsia="仿宋" w:cs="仿宋"/>
          <w:b/>
          <w:bCs/>
          <w:color w:val="000000"/>
          <w:sz w:val="22"/>
          <w:shd w:val="clear" w:color="auto" w:fill="FFFFFF"/>
        </w:rPr>
        <w:t>7. 供应商需按照招标文件的要求提供《关于符合本国产品标准的声明函》，如不提供将不享受本国产品价格评审优惠。</w:t>
      </w:r>
    </w:p>
    <w:p w14:paraId="6FCABC7F">
      <w:pPr>
        <w:pStyle w:val="11"/>
        <w:spacing w:before="30" w:beforeAutospacing="0" w:after="30" w:afterAutospacing="0" w:line="0" w:lineRule="atLeast"/>
        <w:rPr>
          <w:rFonts w:ascii="仿宋" w:hAnsi="仿宋" w:eastAsia="仿宋" w:cs="仿宋"/>
          <w:color w:val="000000"/>
          <w:sz w:val="22"/>
          <w:shd w:val="clear" w:color="auto" w:fill="FFFFFF"/>
        </w:rPr>
      </w:pPr>
      <w:r>
        <w:rPr>
          <w:rFonts w:hint="eastAsia" w:ascii="仿宋" w:hAnsi="仿宋" w:eastAsia="仿宋" w:cs="仿宋"/>
          <w:sz w:val="22"/>
          <w:shd w:val="clear" w:color="auto" w:fill="FFFFFF"/>
        </w:rPr>
        <w:t>8.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2"/>
          <w:shd w:val="clear" w:color="auto" w:fill="FFFFFF"/>
        </w:rPr>
        <w:t>。</w:t>
      </w:r>
    </w:p>
    <w:p w14:paraId="4FCC8219">
      <w:pPr>
        <w:jc w:val="center"/>
        <w:rPr>
          <w:rFonts w:ascii="黑体" w:hAnsi="黑体" w:eastAsia="黑体"/>
          <w:b/>
          <w:color w:val="000000"/>
          <w:sz w:val="32"/>
          <w:szCs w:val="32"/>
        </w:rPr>
      </w:pPr>
    </w:p>
    <w:p w14:paraId="714508CE">
      <w:pPr>
        <w:jc w:val="left"/>
        <w:rPr>
          <w:rFonts w:ascii="仿宋" w:hAnsi="仿宋" w:eastAsia="仿宋" w:cs="仿宋"/>
          <w:b/>
          <w:sz w:val="28"/>
          <w:szCs w:val="28"/>
        </w:rPr>
      </w:pPr>
    </w:p>
    <w:p w14:paraId="32E8DD93">
      <w:pPr>
        <w:jc w:val="left"/>
        <w:rPr>
          <w:rFonts w:ascii="仿宋" w:hAnsi="仿宋" w:eastAsia="仿宋" w:cs="仿宋"/>
          <w:b/>
          <w:sz w:val="28"/>
          <w:szCs w:val="28"/>
        </w:rPr>
      </w:pPr>
    </w:p>
    <w:p w14:paraId="0055CB86">
      <w:pPr>
        <w:jc w:val="left"/>
        <w:rPr>
          <w:rFonts w:ascii="仿宋" w:hAnsi="仿宋" w:eastAsia="仿宋" w:cs="仿宋"/>
          <w:b/>
          <w:sz w:val="28"/>
          <w:szCs w:val="28"/>
        </w:rPr>
      </w:pPr>
    </w:p>
    <w:p w14:paraId="1A973DA2">
      <w:pPr>
        <w:jc w:val="left"/>
        <w:rPr>
          <w:rFonts w:ascii="仿宋" w:hAnsi="仿宋" w:eastAsia="仿宋" w:cs="仿宋"/>
          <w:b/>
          <w:sz w:val="28"/>
          <w:szCs w:val="28"/>
        </w:rPr>
      </w:pPr>
    </w:p>
    <w:p w14:paraId="4981B3BC">
      <w:pPr>
        <w:jc w:val="left"/>
        <w:rPr>
          <w:rFonts w:ascii="仿宋" w:hAnsi="仿宋" w:eastAsia="仿宋" w:cs="仿宋"/>
          <w:b/>
          <w:sz w:val="28"/>
          <w:szCs w:val="28"/>
        </w:rPr>
      </w:pPr>
    </w:p>
    <w:p w14:paraId="13161E09">
      <w:pPr>
        <w:jc w:val="left"/>
        <w:rPr>
          <w:rFonts w:ascii="仿宋" w:hAnsi="仿宋" w:eastAsia="仿宋" w:cs="仿宋"/>
          <w:b/>
          <w:sz w:val="28"/>
          <w:szCs w:val="28"/>
        </w:rPr>
      </w:pPr>
    </w:p>
    <w:p w14:paraId="7CEB9FFD">
      <w:pPr>
        <w:jc w:val="left"/>
        <w:rPr>
          <w:rFonts w:ascii="仿宋" w:hAnsi="仿宋" w:eastAsia="仿宋" w:cs="仿宋"/>
          <w:b/>
          <w:sz w:val="28"/>
          <w:szCs w:val="28"/>
        </w:rPr>
      </w:pPr>
    </w:p>
    <w:p w14:paraId="041794F3">
      <w:pPr>
        <w:jc w:val="left"/>
        <w:rPr>
          <w:rFonts w:ascii="仿宋" w:hAnsi="仿宋" w:eastAsia="仿宋" w:cs="仿宋"/>
          <w:b/>
          <w:sz w:val="28"/>
          <w:szCs w:val="28"/>
        </w:rPr>
      </w:pPr>
    </w:p>
    <w:p w14:paraId="38EDAB19">
      <w:pPr>
        <w:jc w:val="left"/>
        <w:rPr>
          <w:rFonts w:ascii="仿宋" w:hAnsi="仿宋" w:eastAsia="仿宋" w:cs="仿宋"/>
          <w:b/>
          <w:sz w:val="28"/>
          <w:szCs w:val="28"/>
        </w:rPr>
      </w:pPr>
    </w:p>
    <w:p w14:paraId="34EFF617">
      <w:pPr>
        <w:jc w:val="left"/>
        <w:rPr>
          <w:rFonts w:ascii="仿宋" w:hAnsi="仿宋" w:eastAsia="仿宋" w:cs="仿宋"/>
          <w:b/>
          <w:sz w:val="28"/>
          <w:szCs w:val="28"/>
        </w:rPr>
      </w:pPr>
    </w:p>
    <w:p w14:paraId="6529A8B7">
      <w:pPr>
        <w:jc w:val="left"/>
        <w:rPr>
          <w:rFonts w:ascii="仿宋" w:hAnsi="仿宋" w:eastAsia="仿宋" w:cs="仿宋"/>
          <w:b/>
          <w:sz w:val="28"/>
          <w:szCs w:val="28"/>
        </w:rPr>
      </w:pPr>
    </w:p>
    <w:p w14:paraId="2BB9946C">
      <w:pPr>
        <w:jc w:val="left"/>
        <w:rPr>
          <w:rFonts w:ascii="仿宋" w:hAnsi="仿宋" w:eastAsia="仿宋" w:cs="仿宋"/>
          <w:b/>
          <w:sz w:val="28"/>
          <w:szCs w:val="28"/>
        </w:rPr>
      </w:pPr>
      <w:r>
        <w:rPr>
          <w:rFonts w:hint="eastAsia" w:ascii="仿宋" w:hAnsi="仿宋" w:eastAsia="仿宋" w:cs="仿宋"/>
          <w:b/>
          <w:sz w:val="28"/>
          <w:szCs w:val="28"/>
        </w:rPr>
        <w:t xml:space="preserve">附件13                </w:t>
      </w:r>
    </w:p>
    <w:p w14:paraId="16E02023">
      <w:pPr>
        <w:jc w:val="center"/>
        <w:rPr>
          <w:rFonts w:ascii="仿宋" w:hAnsi="仿宋" w:eastAsia="仿宋" w:cs="仿宋"/>
          <w:b/>
          <w:bCs/>
          <w:sz w:val="28"/>
          <w:szCs w:val="28"/>
        </w:rPr>
      </w:pPr>
      <w:r>
        <w:rPr>
          <w:rFonts w:hint="eastAsia" w:ascii="仿宋" w:hAnsi="仿宋" w:eastAsia="仿宋" w:cs="仿宋"/>
          <w:b/>
          <w:bCs/>
          <w:sz w:val="28"/>
          <w:szCs w:val="28"/>
        </w:rPr>
        <w:t>质疑函范本</w:t>
      </w:r>
    </w:p>
    <w:p w14:paraId="7B361F0A">
      <w:pPr>
        <w:adjustRightInd w:val="0"/>
        <w:snapToGrid w:val="0"/>
        <w:spacing w:before="290" w:beforeLines="100" w:line="360" w:lineRule="auto"/>
        <w:rPr>
          <w:rFonts w:ascii="仿宋" w:hAnsi="仿宋" w:eastAsia="仿宋" w:cs="仿宋"/>
          <w:bCs/>
          <w:sz w:val="24"/>
          <w:szCs w:val="24"/>
        </w:rPr>
      </w:pPr>
      <w:r>
        <w:rPr>
          <w:rFonts w:hint="eastAsia" w:ascii="仿宋" w:hAnsi="仿宋" w:eastAsia="仿宋" w:cs="仿宋"/>
          <w:bCs/>
          <w:sz w:val="24"/>
          <w:szCs w:val="24"/>
        </w:rPr>
        <w:t>一、质疑供应商基本信息</w:t>
      </w:r>
    </w:p>
    <w:p w14:paraId="56E539AF">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质疑供应商：</w:t>
      </w:r>
      <w:r>
        <w:rPr>
          <w:rFonts w:hint="eastAsia" w:ascii="仿宋" w:hAnsi="仿宋" w:eastAsia="仿宋" w:cs="仿宋"/>
          <w:sz w:val="24"/>
          <w:szCs w:val="24"/>
          <w:u w:val="dotted"/>
        </w:rPr>
        <w:t xml:space="preserve">                                                              </w:t>
      </w:r>
    </w:p>
    <w:p w14:paraId="316761F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472F6446">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dotted"/>
        </w:rPr>
        <w:t xml:space="preserve">                      </w:t>
      </w: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67F5EC8C">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授权代表：</w:t>
      </w:r>
      <w:r>
        <w:rPr>
          <w:rFonts w:hint="eastAsia" w:ascii="仿宋" w:hAnsi="仿宋" w:eastAsia="仿宋" w:cs="仿宋"/>
          <w:sz w:val="24"/>
          <w:szCs w:val="24"/>
          <w:u w:val="dotted"/>
        </w:rPr>
        <w:t xml:space="preserve">                                                                 </w:t>
      </w:r>
    </w:p>
    <w:p w14:paraId="49F61523">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2106C576">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544E28A1">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二、质疑项目基本情况</w:t>
      </w:r>
    </w:p>
    <w:p w14:paraId="53D1F89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dotted"/>
        </w:rPr>
        <w:t xml:space="preserve">                                                          </w:t>
      </w:r>
    </w:p>
    <w:p w14:paraId="188DBC6F">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dotted"/>
        </w:rPr>
        <w:t xml:space="preserve">                         </w:t>
      </w:r>
      <w:r>
        <w:rPr>
          <w:rFonts w:hint="eastAsia" w:ascii="仿宋" w:hAnsi="仿宋" w:eastAsia="仿宋" w:cs="仿宋"/>
          <w:sz w:val="24"/>
          <w:szCs w:val="24"/>
        </w:rPr>
        <w:t>包号：</w:t>
      </w:r>
      <w:r>
        <w:rPr>
          <w:rFonts w:hint="eastAsia" w:ascii="仿宋" w:hAnsi="仿宋" w:eastAsia="仿宋" w:cs="仿宋"/>
          <w:sz w:val="24"/>
          <w:szCs w:val="24"/>
          <w:u w:val="dotted"/>
        </w:rPr>
        <w:t xml:space="preserve">                           </w:t>
      </w:r>
    </w:p>
    <w:p w14:paraId="30F35ABD">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采购人名称：</w:t>
      </w:r>
      <w:r>
        <w:rPr>
          <w:rFonts w:hint="eastAsia" w:ascii="仿宋" w:hAnsi="仿宋" w:eastAsia="仿宋" w:cs="仿宋"/>
          <w:sz w:val="24"/>
          <w:szCs w:val="24"/>
          <w:u w:val="dotted"/>
        </w:rPr>
        <w:t xml:space="preserve">                                                              </w:t>
      </w:r>
    </w:p>
    <w:p w14:paraId="13145143">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dotted"/>
        </w:rPr>
        <w:t xml:space="preserve">                                                        </w:t>
      </w:r>
    </w:p>
    <w:p w14:paraId="69F65F52">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三、质疑事项具体内容</w:t>
      </w:r>
    </w:p>
    <w:p w14:paraId="4459573D">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质疑事项1：</w:t>
      </w:r>
      <w:r>
        <w:rPr>
          <w:rFonts w:hint="eastAsia" w:ascii="仿宋" w:hAnsi="仿宋" w:eastAsia="仿宋" w:cs="仿宋"/>
          <w:sz w:val="24"/>
          <w:szCs w:val="24"/>
          <w:u w:val="dotted"/>
        </w:rPr>
        <w:t xml:space="preserve">                                                              </w:t>
      </w:r>
    </w:p>
    <w:p w14:paraId="079A3F19">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事实依据：</w:t>
      </w:r>
      <w:r>
        <w:rPr>
          <w:rFonts w:hint="eastAsia" w:ascii="仿宋" w:hAnsi="仿宋" w:eastAsia="仿宋" w:cs="仿宋"/>
          <w:sz w:val="24"/>
          <w:szCs w:val="24"/>
          <w:u w:val="dotted"/>
        </w:rPr>
        <w:t xml:space="preserve">                                                                </w:t>
      </w:r>
    </w:p>
    <w:p w14:paraId="14C0E72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u w:val="dotted"/>
        </w:rPr>
        <w:t xml:space="preserve">                                                                           </w:t>
      </w:r>
    </w:p>
    <w:p w14:paraId="2E914EA1">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法律依据：</w:t>
      </w:r>
      <w:r>
        <w:rPr>
          <w:rFonts w:hint="eastAsia" w:ascii="仿宋" w:hAnsi="仿宋" w:eastAsia="仿宋" w:cs="仿宋"/>
          <w:sz w:val="24"/>
          <w:szCs w:val="24"/>
          <w:u w:val="dotted"/>
        </w:rPr>
        <w:t xml:space="preserve">                                                                 </w:t>
      </w:r>
    </w:p>
    <w:p w14:paraId="599C8BF8">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u w:val="dotted"/>
        </w:rPr>
        <w:t xml:space="preserve">                                                                           </w:t>
      </w:r>
    </w:p>
    <w:p w14:paraId="5C90D0A1">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质疑事项2</w:t>
      </w:r>
    </w:p>
    <w:p w14:paraId="16DF07C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w:t>
      </w:r>
    </w:p>
    <w:p w14:paraId="514037F1">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50C528E3">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请求：</w:t>
      </w:r>
      <w:r>
        <w:rPr>
          <w:rFonts w:hint="eastAsia" w:ascii="仿宋" w:hAnsi="仿宋" w:eastAsia="仿宋" w:cs="仿宋"/>
          <w:sz w:val="24"/>
          <w:szCs w:val="24"/>
          <w:u w:val="dotted"/>
        </w:rPr>
        <w:t xml:space="preserve">                                                                     </w:t>
      </w:r>
    </w:p>
    <w:p w14:paraId="5937BD6E">
      <w:pPr>
        <w:rPr>
          <w:rFonts w:ascii="仿宋" w:hAnsi="仿宋" w:eastAsia="仿宋" w:cs="仿宋"/>
          <w:sz w:val="24"/>
          <w:szCs w:val="24"/>
        </w:rPr>
      </w:pPr>
      <w:r>
        <w:rPr>
          <w:rFonts w:hint="eastAsia" w:ascii="仿宋" w:hAnsi="仿宋" w:eastAsia="仿宋" w:cs="仿宋"/>
          <w:sz w:val="24"/>
          <w:szCs w:val="24"/>
        </w:rPr>
        <w:t xml:space="preserve">签字(签章)：                   公章：                      </w:t>
      </w:r>
    </w:p>
    <w:p w14:paraId="33634F69">
      <w:pPr>
        <w:rPr>
          <w:rFonts w:ascii="仿宋" w:hAnsi="仿宋" w:eastAsia="仿宋" w:cs="仿宋"/>
          <w:sz w:val="24"/>
          <w:szCs w:val="24"/>
        </w:rPr>
      </w:pPr>
      <w:r>
        <w:rPr>
          <w:rFonts w:hint="eastAsia" w:ascii="仿宋" w:hAnsi="仿宋" w:eastAsia="仿宋" w:cs="仿宋"/>
          <w:sz w:val="24"/>
          <w:szCs w:val="24"/>
        </w:rPr>
        <w:t xml:space="preserve">日期：    </w:t>
      </w:r>
    </w:p>
    <w:p w14:paraId="10FE0225">
      <w:pPr>
        <w:spacing w:line="400" w:lineRule="exact"/>
        <w:rPr>
          <w:rFonts w:ascii="仿宋" w:hAnsi="仿宋" w:eastAsia="仿宋" w:cs="仿宋"/>
          <w:b/>
          <w:sz w:val="24"/>
          <w:szCs w:val="24"/>
        </w:rPr>
      </w:pPr>
      <w:r>
        <w:rPr>
          <w:rFonts w:hint="eastAsia" w:ascii="仿宋" w:hAnsi="仿宋" w:eastAsia="仿宋" w:cs="仿宋"/>
          <w:b/>
          <w:sz w:val="24"/>
          <w:szCs w:val="24"/>
        </w:rPr>
        <w:t>质疑函制作说明：</w:t>
      </w:r>
    </w:p>
    <w:p w14:paraId="3EBFAB6B">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5ABC76A1">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3828BC4E">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5EE3581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183FB6A7">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5.质疑函的质疑请求应与质疑事项相关。</w:t>
      </w:r>
    </w:p>
    <w:p w14:paraId="12129C42">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61D2EB51">
      <w:pPr>
        <w:ind w:firstLine="420"/>
        <w:rPr>
          <w:rFonts w:ascii="仿宋" w:hAnsi="仿宋" w:eastAsia="仿宋" w:cs="仿宋"/>
          <w:sz w:val="24"/>
          <w:szCs w:val="24"/>
        </w:rPr>
      </w:pPr>
    </w:p>
    <w:p w14:paraId="45FAEC1F">
      <w:pPr>
        <w:ind w:firstLine="420"/>
        <w:rPr>
          <w:rFonts w:ascii="仿宋" w:hAnsi="仿宋" w:eastAsia="仿宋" w:cs="仿宋"/>
          <w:sz w:val="24"/>
          <w:szCs w:val="24"/>
        </w:rPr>
      </w:pPr>
    </w:p>
    <w:p w14:paraId="6B2978AF">
      <w:pPr>
        <w:ind w:firstLine="420"/>
        <w:rPr>
          <w:rFonts w:ascii="仿宋" w:hAnsi="仿宋" w:eastAsia="仿宋" w:cs="仿宋"/>
          <w:sz w:val="24"/>
          <w:szCs w:val="24"/>
        </w:rPr>
      </w:pPr>
    </w:p>
    <w:p w14:paraId="0B89DCC3">
      <w:pPr>
        <w:ind w:firstLine="420"/>
        <w:rPr>
          <w:rFonts w:ascii="仿宋" w:hAnsi="仿宋" w:eastAsia="仿宋" w:cs="仿宋"/>
          <w:sz w:val="24"/>
          <w:szCs w:val="24"/>
        </w:rPr>
      </w:pPr>
    </w:p>
    <w:p w14:paraId="613FF0CD">
      <w:pPr>
        <w:ind w:firstLine="420"/>
        <w:rPr>
          <w:rFonts w:ascii="仿宋" w:hAnsi="仿宋" w:eastAsia="仿宋" w:cs="仿宋"/>
          <w:sz w:val="24"/>
          <w:szCs w:val="24"/>
        </w:rPr>
      </w:pPr>
    </w:p>
    <w:p w14:paraId="068E773A">
      <w:pPr>
        <w:ind w:firstLine="420"/>
        <w:rPr>
          <w:rFonts w:ascii="仿宋" w:hAnsi="仿宋" w:eastAsia="仿宋" w:cs="仿宋"/>
          <w:sz w:val="24"/>
          <w:szCs w:val="24"/>
        </w:rPr>
      </w:pPr>
    </w:p>
    <w:p w14:paraId="3769A911">
      <w:pPr>
        <w:ind w:firstLine="420"/>
        <w:rPr>
          <w:rFonts w:ascii="仿宋" w:hAnsi="仿宋" w:eastAsia="仿宋" w:cs="仿宋"/>
          <w:sz w:val="24"/>
          <w:szCs w:val="24"/>
        </w:rPr>
      </w:pPr>
    </w:p>
    <w:p w14:paraId="29DA0D1C">
      <w:pPr>
        <w:ind w:firstLine="420"/>
        <w:rPr>
          <w:rFonts w:ascii="仿宋" w:hAnsi="仿宋" w:eastAsia="仿宋" w:cs="仿宋"/>
          <w:sz w:val="24"/>
          <w:szCs w:val="24"/>
        </w:rPr>
      </w:pPr>
    </w:p>
    <w:p w14:paraId="3C4EB603">
      <w:pPr>
        <w:ind w:firstLine="420"/>
        <w:rPr>
          <w:rFonts w:ascii="仿宋" w:hAnsi="仿宋" w:eastAsia="仿宋" w:cs="仿宋"/>
          <w:sz w:val="24"/>
          <w:szCs w:val="24"/>
        </w:rPr>
      </w:pPr>
    </w:p>
    <w:p w14:paraId="45F2550E">
      <w:pPr>
        <w:ind w:firstLine="420"/>
        <w:rPr>
          <w:rFonts w:ascii="仿宋" w:hAnsi="仿宋" w:eastAsia="仿宋" w:cs="仿宋"/>
          <w:sz w:val="24"/>
          <w:szCs w:val="24"/>
        </w:rPr>
      </w:pPr>
    </w:p>
    <w:p w14:paraId="5B4FB4AE">
      <w:pPr>
        <w:ind w:firstLine="420"/>
        <w:rPr>
          <w:rFonts w:ascii="仿宋" w:hAnsi="仿宋" w:eastAsia="仿宋" w:cs="仿宋"/>
          <w:sz w:val="24"/>
          <w:szCs w:val="24"/>
        </w:rPr>
      </w:pPr>
    </w:p>
    <w:p w14:paraId="27767A27">
      <w:pPr>
        <w:ind w:firstLine="420"/>
        <w:rPr>
          <w:rFonts w:ascii="仿宋" w:hAnsi="仿宋" w:eastAsia="仿宋" w:cs="仿宋"/>
          <w:sz w:val="24"/>
          <w:szCs w:val="24"/>
        </w:rPr>
      </w:pPr>
    </w:p>
    <w:p w14:paraId="54F486D0">
      <w:pPr>
        <w:ind w:firstLine="420"/>
        <w:rPr>
          <w:rFonts w:ascii="仿宋" w:hAnsi="仿宋" w:eastAsia="仿宋" w:cs="仿宋"/>
          <w:sz w:val="24"/>
          <w:szCs w:val="24"/>
        </w:rPr>
      </w:pPr>
    </w:p>
    <w:p w14:paraId="467315D6">
      <w:pPr>
        <w:ind w:firstLine="420"/>
        <w:rPr>
          <w:rFonts w:ascii="仿宋" w:hAnsi="仿宋" w:eastAsia="仿宋" w:cs="仿宋"/>
          <w:sz w:val="24"/>
          <w:szCs w:val="24"/>
        </w:rPr>
      </w:pPr>
    </w:p>
    <w:p w14:paraId="2C7DC2C9">
      <w:pPr>
        <w:ind w:firstLine="420"/>
        <w:rPr>
          <w:rFonts w:ascii="仿宋" w:hAnsi="仿宋" w:eastAsia="仿宋" w:cs="仿宋"/>
          <w:sz w:val="24"/>
          <w:szCs w:val="24"/>
        </w:rPr>
      </w:pPr>
    </w:p>
    <w:p w14:paraId="72F2EEC1">
      <w:pPr>
        <w:ind w:firstLine="420"/>
        <w:rPr>
          <w:rFonts w:ascii="仿宋" w:hAnsi="仿宋" w:eastAsia="仿宋" w:cs="仿宋"/>
          <w:sz w:val="24"/>
          <w:szCs w:val="24"/>
        </w:rPr>
      </w:pPr>
    </w:p>
    <w:p w14:paraId="7CACF0F3">
      <w:pPr>
        <w:ind w:firstLine="420"/>
        <w:rPr>
          <w:rFonts w:ascii="仿宋" w:hAnsi="仿宋" w:eastAsia="仿宋" w:cs="仿宋"/>
          <w:sz w:val="24"/>
          <w:szCs w:val="24"/>
        </w:rPr>
      </w:pPr>
    </w:p>
    <w:p w14:paraId="683B2767">
      <w:pPr>
        <w:widowControl/>
        <w:spacing w:line="700" w:lineRule="exact"/>
        <w:jc w:val="left"/>
        <w:rPr>
          <w:rFonts w:ascii="仿宋" w:hAnsi="仿宋" w:eastAsia="仿宋" w:cs="仿宋"/>
          <w:kern w:val="0"/>
          <w:sz w:val="28"/>
          <w:szCs w:val="28"/>
          <w:lang w:bidi="ar"/>
        </w:rPr>
      </w:pPr>
    </w:p>
    <w:p w14:paraId="777B691F">
      <w:pPr>
        <w:pStyle w:val="11"/>
        <w:spacing w:before="30" w:beforeAutospacing="0" w:after="30" w:afterAutospacing="0" w:line="0" w:lineRule="atLeast"/>
        <w:rPr>
          <w:rFonts w:ascii="方正魏碑_GBK" w:hAnsi="方正魏碑_GBK" w:eastAsia="方正魏碑_GBK" w:cs="方正魏碑_GBK"/>
          <w:color w:val="0000FF"/>
          <w:sz w:val="22"/>
          <w:shd w:val="clear" w:color="auto" w:fill="FFFFFF"/>
        </w:rPr>
      </w:pPr>
      <w:bookmarkStart w:id="226" w:name="_Toc31274"/>
      <w:bookmarkStart w:id="227" w:name="_Toc1372"/>
      <w:bookmarkStart w:id="228" w:name="_Toc5831"/>
      <w:r>
        <w:rPr>
          <w:rFonts w:hint="eastAsia" w:ascii="仿宋" w:hAnsi="仿宋" w:eastAsia="仿宋" w:cs="仿宋"/>
          <w:b/>
          <w:bCs/>
          <w:sz w:val="28"/>
          <w:szCs w:val="28"/>
          <w:lang w:bidi="ar"/>
        </w:rPr>
        <w:t>附件1</w:t>
      </w:r>
      <w:bookmarkEnd w:id="226"/>
      <w:bookmarkEnd w:id="227"/>
      <w:bookmarkEnd w:id="228"/>
      <w:r>
        <w:rPr>
          <w:rFonts w:hint="eastAsia" w:ascii="仿宋" w:hAnsi="仿宋" w:eastAsia="仿宋" w:cs="仿宋"/>
          <w:b/>
          <w:bCs/>
          <w:sz w:val="28"/>
          <w:szCs w:val="28"/>
          <w:lang w:bidi="ar"/>
        </w:rPr>
        <w:t>3</w:t>
      </w:r>
      <w:r>
        <w:rPr>
          <w:rFonts w:hint="eastAsia" w:ascii="方正魏碑_GBK" w:hAnsi="方正魏碑_GBK" w:eastAsia="方正魏碑_GBK" w:cs="方正魏碑_GBK"/>
          <w:b/>
          <w:color w:val="FF0000"/>
        </w:rPr>
        <w:t xml:space="preserve"> </w:t>
      </w:r>
    </w:p>
    <w:p w14:paraId="704E6BE4">
      <w:pPr>
        <w:jc w:val="center"/>
        <w:rPr>
          <w:rFonts w:ascii="黑体" w:hAnsi="黑体" w:eastAsia="黑体"/>
          <w:b/>
          <w:color w:val="0000FF"/>
          <w:sz w:val="32"/>
          <w:szCs w:val="32"/>
        </w:rPr>
      </w:pPr>
    </w:p>
    <w:p w14:paraId="0F756CCA">
      <w:pPr>
        <w:ind w:firstLine="1405" w:firstLineChars="500"/>
        <w:rPr>
          <w:rFonts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0B304EC3">
      <w:pPr>
        <w:rPr>
          <w:rFonts w:ascii="仿宋" w:hAnsi="仿宋" w:eastAsia="仿宋" w:cs="仿宋"/>
          <w:sz w:val="24"/>
          <w:szCs w:val="24"/>
        </w:rPr>
      </w:pPr>
    </w:p>
    <w:p w14:paraId="49249A80">
      <w:pPr>
        <w:rPr>
          <w:rFonts w:ascii="仿宋" w:hAnsi="仿宋" w:eastAsia="仿宋" w:cs="仿宋"/>
          <w:sz w:val="24"/>
          <w:szCs w:val="24"/>
        </w:rPr>
      </w:pPr>
      <w:r>
        <w:rPr>
          <w:rFonts w:hint="eastAsia" w:ascii="仿宋" w:hAnsi="仿宋" w:eastAsia="仿宋" w:cs="仿宋"/>
          <w:sz w:val="24"/>
          <w:szCs w:val="24"/>
        </w:rPr>
        <w:t>各政府采购供应商：</w:t>
      </w:r>
    </w:p>
    <w:p w14:paraId="6B6DEA12">
      <w:pPr>
        <w:ind w:firstLine="480" w:firstLineChars="200"/>
        <w:rPr>
          <w:rFonts w:ascii="仿宋" w:hAnsi="仿宋" w:eastAsia="仿宋" w:cs="仿宋"/>
          <w:sz w:val="24"/>
          <w:szCs w:val="24"/>
        </w:rPr>
      </w:pPr>
      <w:r>
        <w:rPr>
          <w:rFonts w:hint="eastAsia" w:ascii="仿宋" w:hAnsi="仿宋" w:eastAsia="仿宋" w:cs="仿宋"/>
          <w:sz w:val="24"/>
          <w:szCs w:val="24"/>
        </w:rPr>
        <w:t>欢迎贵公司参与南通市政府采购活动！</w:t>
      </w:r>
    </w:p>
    <w:p w14:paraId="54E24630">
      <w:pPr>
        <w:ind w:firstLine="480" w:firstLineChars="200"/>
        <w:rPr>
          <w:rFonts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70948816">
      <w:pPr>
        <w:ind w:firstLine="480" w:firstLineChars="200"/>
        <w:rPr>
          <w:rFonts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5B14D400">
      <w:pPr>
        <w:rPr>
          <w:rFonts w:ascii="仿宋" w:hAnsi="仿宋" w:eastAsia="仿宋" w:cs="仿宋"/>
          <w:sz w:val="24"/>
          <w:szCs w:val="24"/>
        </w:rPr>
      </w:pPr>
    </w:p>
    <w:p w14:paraId="7E279AEB">
      <w:pPr>
        <w:snapToGrid w:val="0"/>
        <w:spacing w:line="300" w:lineRule="auto"/>
        <w:rPr>
          <w:rFonts w:ascii="仿宋" w:hAnsi="仿宋" w:eastAsia="仿宋" w:cs="仿宋"/>
          <w:sz w:val="24"/>
          <w:szCs w:val="24"/>
        </w:rPr>
      </w:pPr>
    </w:p>
    <w:p w14:paraId="4C493B55">
      <w:pPr>
        <w:rPr>
          <w:rFonts w:ascii="仿宋" w:hAnsi="仿宋" w:eastAsia="仿宋" w:cs="仿宋"/>
          <w:color w:val="FF0000"/>
          <w:kern w:val="0"/>
          <w:sz w:val="24"/>
          <w:szCs w:val="24"/>
          <w:lang w:val="zh-CN" w:bidi="ar"/>
        </w:rPr>
      </w:pPr>
    </w:p>
    <w:p w14:paraId="362353A3">
      <w:pPr>
        <w:rPr>
          <w:rFonts w:ascii="仿宋" w:hAnsi="仿宋" w:eastAsia="仿宋" w:cs="仿宋"/>
          <w:color w:val="FF0000"/>
          <w:kern w:val="0"/>
          <w:sz w:val="24"/>
          <w:szCs w:val="24"/>
          <w:lang w:val="zh-CN" w:bidi="ar"/>
        </w:rPr>
      </w:pPr>
    </w:p>
    <w:p w14:paraId="4E813B87">
      <w:pPr>
        <w:rPr>
          <w:rFonts w:ascii="仿宋" w:hAnsi="仿宋" w:eastAsia="仿宋" w:cs="仿宋"/>
        </w:rPr>
      </w:pPr>
    </w:p>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00"/>
    <w:family w:val="auto"/>
    <w:pitch w:val="default"/>
    <w:sig w:usb0="00000000"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4E7C1">
    <w:pPr>
      <w:pStyle w:val="8"/>
      <w:framePr w:wrap="around" w:vAnchor="text" w:hAnchor="margin" w:xAlign="center" w:y="1"/>
      <w:rPr>
        <w:rStyle w:val="16"/>
        <w:rFonts w:ascii="宋体" w:hAnsi="宋体"/>
      </w:rPr>
    </w:pPr>
    <w:r>
      <w:rPr>
        <w:rFonts w:ascii="宋体" w:hAnsi="宋体"/>
      </w:rPr>
      <w:fldChar w:fldCharType="begin"/>
    </w:r>
    <w:r>
      <w:rPr>
        <w:rStyle w:val="16"/>
        <w:rFonts w:ascii="宋体" w:hAnsi="宋体"/>
      </w:rPr>
      <w:instrText xml:space="preserve">PAGE  </w:instrText>
    </w:r>
    <w:r>
      <w:rPr>
        <w:rFonts w:ascii="宋体" w:hAnsi="宋体"/>
      </w:rPr>
      <w:fldChar w:fldCharType="separate"/>
    </w:r>
    <w:r>
      <w:rPr>
        <w:rStyle w:val="16"/>
        <w:rFonts w:ascii="宋体" w:hAnsi="宋体"/>
      </w:rPr>
      <w:t>４１</w:t>
    </w:r>
    <w:r>
      <w:rPr>
        <w:rFonts w:ascii="宋体" w:hAnsi="宋体"/>
      </w:rPr>
      <w:fldChar w:fldCharType="end"/>
    </w:r>
  </w:p>
  <w:p w14:paraId="1523123C">
    <w:pPr>
      <w:pStyle w:val="8"/>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927BF">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1</w:t>
    </w:r>
    <w:r>
      <w:fldChar w:fldCharType="end"/>
    </w:r>
  </w:p>
  <w:p w14:paraId="45323776">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E8A7B">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97B4B"/>
    <w:multiLevelType w:val="singleLevel"/>
    <w:tmpl w:val="84397B4B"/>
    <w:lvl w:ilvl="0" w:tentative="0">
      <w:start w:val="1"/>
      <w:numFmt w:val="chineseCounting"/>
      <w:suff w:val="nothing"/>
      <w:lvlText w:val="（%1）"/>
      <w:lvlJc w:val="left"/>
      <w:rPr>
        <w:rFonts w:hint="eastAsia"/>
      </w:rPr>
    </w:lvl>
  </w:abstractNum>
  <w:abstractNum w:abstractNumId="1">
    <w:nsid w:val="CE662554"/>
    <w:multiLevelType w:val="multilevel"/>
    <w:tmpl w:val="CE66255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A4614ED"/>
    <w:multiLevelType w:val="multilevel"/>
    <w:tmpl w:val="1A4614ED"/>
    <w:lvl w:ilvl="0" w:tentative="0">
      <w:start w:val="1"/>
      <w:numFmt w:val="japaneseCounting"/>
      <w:lvlText w:val="%1、"/>
      <w:lvlJc w:val="left"/>
      <w:pPr>
        <w:ind w:left="720" w:hanging="720"/>
      </w:pPr>
      <w:rPr>
        <w:rFonts w:hint="default" w:ascii="仿宋" w:hAnsi="仿宋" w:eastAsia="仿宋" w:cs="仿宋"/>
        <w:sz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A8C1F39"/>
    <w:multiLevelType w:val="multilevel"/>
    <w:tmpl w:val="4A8C1F39"/>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5">
    <w:nsid w:val="7960CAB3"/>
    <w:multiLevelType w:val="singleLevel"/>
    <w:tmpl w:val="7960CAB3"/>
    <w:lvl w:ilvl="0" w:tentative="0">
      <w:start w:val="2"/>
      <w:numFmt w:val="decimal"/>
      <w:lvlText w:val="%1."/>
      <w:lvlJc w:val="left"/>
      <w:pPr>
        <w:tabs>
          <w:tab w:val="left" w:pos="312"/>
        </w:tabs>
      </w:pPr>
    </w:lvl>
  </w:abstractNum>
  <w:num w:numId="1">
    <w:abstractNumId w:val="4"/>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g1YWRlZGNiNjJmYWFiNTc4ZWU3ZGZjM2Q2NmYzN2UifQ=="/>
  </w:docVars>
  <w:rsids>
    <w:rsidRoot w:val="00246F01"/>
    <w:rsid w:val="0001023A"/>
    <w:rsid w:val="00025DB1"/>
    <w:rsid w:val="0003498E"/>
    <w:rsid w:val="00063B23"/>
    <w:rsid w:val="000F502D"/>
    <w:rsid w:val="001472CF"/>
    <w:rsid w:val="00156579"/>
    <w:rsid w:val="001B7185"/>
    <w:rsid w:val="001D562F"/>
    <w:rsid w:val="001E0BE3"/>
    <w:rsid w:val="00234897"/>
    <w:rsid w:val="00244077"/>
    <w:rsid w:val="0024523A"/>
    <w:rsid w:val="00246F01"/>
    <w:rsid w:val="00264D76"/>
    <w:rsid w:val="00276942"/>
    <w:rsid w:val="00287ED0"/>
    <w:rsid w:val="00292A41"/>
    <w:rsid w:val="002D49E8"/>
    <w:rsid w:val="00302C61"/>
    <w:rsid w:val="00327FAB"/>
    <w:rsid w:val="00361ADD"/>
    <w:rsid w:val="00362D80"/>
    <w:rsid w:val="003676E0"/>
    <w:rsid w:val="003C3A5B"/>
    <w:rsid w:val="003E7B1D"/>
    <w:rsid w:val="003E7EB8"/>
    <w:rsid w:val="00410F5B"/>
    <w:rsid w:val="00421FC0"/>
    <w:rsid w:val="004431E0"/>
    <w:rsid w:val="00456395"/>
    <w:rsid w:val="00470AB6"/>
    <w:rsid w:val="00475991"/>
    <w:rsid w:val="004861D2"/>
    <w:rsid w:val="004E2971"/>
    <w:rsid w:val="00510FD3"/>
    <w:rsid w:val="00516D80"/>
    <w:rsid w:val="00524C71"/>
    <w:rsid w:val="00556306"/>
    <w:rsid w:val="00576FC0"/>
    <w:rsid w:val="005A7616"/>
    <w:rsid w:val="005B5084"/>
    <w:rsid w:val="005E20A7"/>
    <w:rsid w:val="00651EBA"/>
    <w:rsid w:val="0066419C"/>
    <w:rsid w:val="006C2B33"/>
    <w:rsid w:val="006E5E8D"/>
    <w:rsid w:val="006F3BB0"/>
    <w:rsid w:val="006F53FA"/>
    <w:rsid w:val="007066EE"/>
    <w:rsid w:val="00711AAE"/>
    <w:rsid w:val="00774C7F"/>
    <w:rsid w:val="007B77E3"/>
    <w:rsid w:val="007C04D6"/>
    <w:rsid w:val="0082018B"/>
    <w:rsid w:val="0083253B"/>
    <w:rsid w:val="0084155A"/>
    <w:rsid w:val="008416AE"/>
    <w:rsid w:val="0087349B"/>
    <w:rsid w:val="00891A1C"/>
    <w:rsid w:val="008B6526"/>
    <w:rsid w:val="008B7938"/>
    <w:rsid w:val="008D35FB"/>
    <w:rsid w:val="009034CD"/>
    <w:rsid w:val="0092490B"/>
    <w:rsid w:val="0092602B"/>
    <w:rsid w:val="00942479"/>
    <w:rsid w:val="0096042A"/>
    <w:rsid w:val="009717B5"/>
    <w:rsid w:val="00991B21"/>
    <w:rsid w:val="00994C36"/>
    <w:rsid w:val="009A53FB"/>
    <w:rsid w:val="009F49E5"/>
    <w:rsid w:val="00A30061"/>
    <w:rsid w:val="00A76B1C"/>
    <w:rsid w:val="00AB56E7"/>
    <w:rsid w:val="00AE34AA"/>
    <w:rsid w:val="00AE37C8"/>
    <w:rsid w:val="00B149F1"/>
    <w:rsid w:val="00B63853"/>
    <w:rsid w:val="00BC34AB"/>
    <w:rsid w:val="00BC729F"/>
    <w:rsid w:val="00BE0307"/>
    <w:rsid w:val="00BF1354"/>
    <w:rsid w:val="00C011EF"/>
    <w:rsid w:val="00C237D0"/>
    <w:rsid w:val="00C85F2E"/>
    <w:rsid w:val="00CA75ED"/>
    <w:rsid w:val="00CC2D7D"/>
    <w:rsid w:val="00CD0CEE"/>
    <w:rsid w:val="00CD1D61"/>
    <w:rsid w:val="00CE0705"/>
    <w:rsid w:val="00CE1607"/>
    <w:rsid w:val="00CE3BE5"/>
    <w:rsid w:val="00CE766D"/>
    <w:rsid w:val="00D222D8"/>
    <w:rsid w:val="00D646A3"/>
    <w:rsid w:val="00D66F2C"/>
    <w:rsid w:val="00D7124D"/>
    <w:rsid w:val="00D966E6"/>
    <w:rsid w:val="00DA58D6"/>
    <w:rsid w:val="00DC29CE"/>
    <w:rsid w:val="00DD7DF5"/>
    <w:rsid w:val="00DF5218"/>
    <w:rsid w:val="00DF679C"/>
    <w:rsid w:val="00E04521"/>
    <w:rsid w:val="00E078FB"/>
    <w:rsid w:val="00E1323E"/>
    <w:rsid w:val="00E17C47"/>
    <w:rsid w:val="00E558B5"/>
    <w:rsid w:val="00E57DF1"/>
    <w:rsid w:val="00E7400A"/>
    <w:rsid w:val="00E74F47"/>
    <w:rsid w:val="00E90ACE"/>
    <w:rsid w:val="00EB5957"/>
    <w:rsid w:val="00F15ACE"/>
    <w:rsid w:val="00F354CA"/>
    <w:rsid w:val="00F42A56"/>
    <w:rsid w:val="00F449C7"/>
    <w:rsid w:val="00F55E6C"/>
    <w:rsid w:val="00F900A8"/>
    <w:rsid w:val="00FB4A47"/>
    <w:rsid w:val="00FC47BF"/>
    <w:rsid w:val="00FD543E"/>
    <w:rsid w:val="00FE17FA"/>
    <w:rsid w:val="00FE45BD"/>
    <w:rsid w:val="014D2402"/>
    <w:rsid w:val="017C4FF0"/>
    <w:rsid w:val="021C7637"/>
    <w:rsid w:val="02214C74"/>
    <w:rsid w:val="022A3ED9"/>
    <w:rsid w:val="0324329F"/>
    <w:rsid w:val="03254F98"/>
    <w:rsid w:val="0344587F"/>
    <w:rsid w:val="034D4E02"/>
    <w:rsid w:val="03C41AFF"/>
    <w:rsid w:val="03C8014A"/>
    <w:rsid w:val="03E1456A"/>
    <w:rsid w:val="03FA3DFE"/>
    <w:rsid w:val="043D090B"/>
    <w:rsid w:val="04477AA3"/>
    <w:rsid w:val="04532C16"/>
    <w:rsid w:val="04CE5A12"/>
    <w:rsid w:val="05086350"/>
    <w:rsid w:val="05D4626A"/>
    <w:rsid w:val="05F10C78"/>
    <w:rsid w:val="061344A4"/>
    <w:rsid w:val="066A4C80"/>
    <w:rsid w:val="07A962FD"/>
    <w:rsid w:val="07CA4C73"/>
    <w:rsid w:val="085B2B87"/>
    <w:rsid w:val="08FA1588"/>
    <w:rsid w:val="09065429"/>
    <w:rsid w:val="091A6C9B"/>
    <w:rsid w:val="0A2040E7"/>
    <w:rsid w:val="0AD16A09"/>
    <w:rsid w:val="0BE86F21"/>
    <w:rsid w:val="0C1E0947"/>
    <w:rsid w:val="0C607B67"/>
    <w:rsid w:val="0C806580"/>
    <w:rsid w:val="0CEA53E7"/>
    <w:rsid w:val="0D7E5C4F"/>
    <w:rsid w:val="0EE20AF5"/>
    <w:rsid w:val="0F825E34"/>
    <w:rsid w:val="0F853981"/>
    <w:rsid w:val="0F8A0908"/>
    <w:rsid w:val="0FCF7F30"/>
    <w:rsid w:val="0FD846BA"/>
    <w:rsid w:val="10135CBB"/>
    <w:rsid w:val="10343E47"/>
    <w:rsid w:val="105A430E"/>
    <w:rsid w:val="11213093"/>
    <w:rsid w:val="11CE5D96"/>
    <w:rsid w:val="12121B4F"/>
    <w:rsid w:val="123E53F2"/>
    <w:rsid w:val="124E72A0"/>
    <w:rsid w:val="12C2791A"/>
    <w:rsid w:val="12DC7618"/>
    <w:rsid w:val="12EF1A32"/>
    <w:rsid w:val="132634C9"/>
    <w:rsid w:val="13444ACC"/>
    <w:rsid w:val="13620E76"/>
    <w:rsid w:val="13C6058A"/>
    <w:rsid w:val="143F3BE0"/>
    <w:rsid w:val="149D65C2"/>
    <w:rsid w:val="15311102"/>
    <w:rsid w:val="15530ACB"/>
    <w:rsid w:val="15792CDD"/>
    <w:rsid w:val="15D7343C"/>
    <w:rsid w:val="15FA2BC8"/>
    <w:rsid w:val="15FA4976"/>
    <w:rsid w:val="16057772"/>
    <w:rsid w:val="162F4960"/>
    <w:rsid w:val="16736E84"/>
    <w:rsid w:val="16B45A3E"/>
    <w:rsid w:val="17026489"/>
    <w:rsid w:val="174A7ECE"/>
    <w:rsid w:val="1765491B"/>
    <w:rsid w:val="17C02EE9"/>
    <w:rsid w:val="17D44AD9"/>
    <w:rsid w:val="181E7986"/>
    <w:rsid w:val="182A10E9"/>
    <w:rsid w:val="184C6090"/>
    <w:rsid w:val="18BA7527"/>
    <w:rsid w:val="19F7387B"/>
    <w:rsid w:val="1A460EDE"/>
    <w:rsid w:val="1B1A63C8"/>
    <w:rsid w:val="1B3632E2"/>
    <w:rsid w:val="1B401424"/>
    <w:rsid w:val="1B5F5EB0"/>
    <w:rsid w:val="1CE55713"/>
    <w:rsid w:val="1D3E04DC"/>
    <w:rsid w:val="1D645EA9"/>
    <w:rsid w:val="1DAB1D3A"/>
    <w:rsid w:val="1DF720A6"/>
    <w:rsid w:val="1E4D7403"/>
    <w:rsid w:val="1E4E29C1"/>
    <w:rsid w:val="1E74103D"/>
    <w:rsid w:val="1E752EEF"/>
    <w:rsid w:val="1E8474D2"/>
    <w:rsid w:val="1EC06337"/>
    <w:rsid w:val="1EDD6AA7"/>
    <w:rsid w:val="1EEE5B66"/>
    <w:rsid w:val="1F3E146F"/>
    <w:rsid w:val="202D1F92"/>
    <w:rsid w:val="2037221A"/>
    <w:rsid w:val="2057151D"/>
    <w:rsid w:val="20744484"/>
    <w:rsid w:val="21E029B7"/>
    <w:rsid w:val="220515EA"/>
    <w:rsid w:val="22314B08"/>
    <w:rsid w:val="224C560E"/>
    <w:rsid w:val="22D77F09"/>
    <w:rsid w:val="24372523"/>
    <w:rsid w:val="245B03A3"/>
    <w:rsid w:val="24FD70DE"/>
    <w:rsid w:val="250E205A"/>
    <w:rsid w:val="2547117D"/>
    <w:rsid w:val="25BE3540"/>
    <w:rsid w:val="25C76A8F"/>
    <w:rsid w:val="262502D3"/>
    <w:rsid w:val="273322D8"/>
    <w:rsid w:val="284213DB"/>
    <w:rsid w:val="28D76D98"/>
    <w:rsid w:val="293624D6"/>
    <w:rsid w:val="29712D49"/>
    <w:rsid w:val="299E1FC5"/>
    <w:rsid w:val="299F6AFE"/>
    <w:rsid w:val="29A54C24"/>
    <w:rsid w:val="29AC5DD6"/>
    <w:rsid w:val="29CE23EA"/>
    <w:rsid w:val="29E87E1C"/>
    <w:rsid w:val="29F51407"/>
    <w:rsid w:val="2A614B6C"/>
    <w:rsid w:val="2A706EC2"/>
    <w:rsid w:val="2A8341AD"/>
    <w:rsid w:val="2B8D786A"/>
    <w:rsid w:val="2BBB392C"/>
    <w:rsid w:val="2C000E25"/>
    <w:rsid w:val="2C403DEA"/>
    <w:rsid w:val="2C626300"/>
    <w:rsid w:val="2CAB7F0D"/>
    <w:rsid w:val="2CE03A70"/>
    <w:rsid w:val="2D0839C4"/>
    <w:rsid w:val="2D3E1194"/>
    <w:rsid w:val="2D516A90"/>
    <w:rsid w:val="2D594220"/>
    <w:rsid w:val="2D6C39A3"/>
    <w:rsid w:val="2DCC56DE"/>
    <w:rsid w:val="2E2B0B1B"/>
    <w:rsid w:val="2E4C698F"/>
    <w:rsid w:val="2EB84F76"/>
    <w:rsid w:val="30155AC7"/>
    <w:rsid w:val="311772E7"/>
    <w:rsid w:val="32672238"/>
    <w:rsid w:val="328C0BF4"/>
    <w:rsid w:val="32936470"/>
    <w:rsid w:val="32C43EEA"/>
    <w:rsid w:val="333073B0"/>
    <w:rsid w:val="334B4707"/>
    <w:rsid w:val="34C47D85"/>
    <w:rsid w:val="34C62825"/>
    <w:rsid w:val="357A7102"/>
    <w:rsid w:val="36256C53"/>
    <w:rsid w:val="3699799F"/>
    <w:rsid w:val="37285803"/>
    <w:rsid w:val="397918A5"/>
    <w:rsid w:val="39B36A66"/>
    <w:rsid w:val="39E513A1"/>
    <w:rsid w:val="3A980F09"/>
    <w:rsid w:val="3B2B60ED"/>
    <w:rsid w:val="3BAC00DD"/>
    <w:rsid w:val="3C3C07B7"/>
    <w:rsid w:val="3D0728D7"/>
    <w:rsid w:val="3D7D7AB7"/>
    <w:rsid w:val="3DEA2218"/>
    <w:rsid w:val="3E236DDA"/>
    <w:rsid w:val="3F9944CD"/>
    <w:rsid w:val="3FA431EA"/>
    <w:rsid w:val="402F7170"/>
    <w:rsid w:val="40A566BC"/>
    <w:rsid w:val="4286382E"/>
    <w:rsid w:val="42EE422E"/>
    <w:rsid w:val="433B7537"/>
    <w:rsid w:val="435E3CFE"/>
    <w:rsid w:val="43D55C3A"/>
    <w:rsid w:val="446612A5"/>
    <w:rsid w:val="448B17CA"/>
    <w:rsid w:val="448F3D1A"/>
    <w:rsid w:val="4494071E"/>
    <w:rsid w:val="451A208F"/>
    <w:rsid w:val="45A950DC"/>
    <w:rsid w:val="4631230E"/>
    <w:rsid w:val="46770C1C"/>
    <w:rsid w:val="468D70B1"/>
    <w:rsid w:val="46D73A96"/>
    <w:rsid w:val="47305B9A"/>
    <w:rsid w:val="484B1CE0"/>
    <w:rsid w:val="48505475"/>
    <w:rsid w:val="485B09F4"/>
    <w:rsid w:val="4958579E"/>
    <w:rsid w:val="4A0F2EC8"/>
    <w:rsid w:val="4A2C5863"/>
    <w:rsid w:val="4AD2139B"/>
    <w:rsid w:val="4B0A12D3"/>
    <w:rsid w:val="4BE206F3"/>
    <w:rsid w:val="4C285B24"/>
    <w:rsid w:val="4C8319C3"/>
    <w:rsid w:val="4CCD3CC7"/>
    <w:rsid w:val="4D3E67FE"/>
    <w:rsid w:val="4E936D6F"/>
    <w:rsid w:val="4ECC75E5"/>
    <w:rsid w:val="4FCD59FE"/>
    <w:rsid w:val="50346968"/>
    <w:rsid w:val="503A5C05"/>
    <w:rsid w:val="504B1B8A"/>
    <w:rsid w:val="50C52267"/>
    <w:rsid w:val="5105101C"/>
    <w:rsid w:val="51521BB0"/>
    <w:rsid w:val="51622DF4"/>
    <w:rsid w:val="51A67184"/>
    <w:rsid w:val="51A77EDE"/>
    <w:rsid w:val="51B501AB"/>
    <w:rsid w:val="5201518A"/>
    <w:rsid w:val="521167C0"/>
    <w:rsid w:val="527562EF"/>
    <w:rsid w:val="529A0EEF"/>
    <w:rsid w:val="530F6FAB"/>
    <w:rsid w:val="53194334"/>
    <w:rsid w:val="533C6E93"/>
    <w:rsid w:val="53A05E55"/>
    <w:rsid w:val="551411A0"/>
    <w:rsid w:val="551C6E35"/>
    <w:rsid w:val="556114C6"/>
    <w:rsid w:val="559D18AE"/>
    <w:rsid w:val="55A50FA0"/>
    <w:rsid w:val="572313D4"/>
    <w:rsid w:val="576176AA"/>
    <w:rsid w:val="58590BB5"/>
    <w:rsid w:val="58E872F4"/>
    <w:rsid w:val="59507837"/>
    <w:rsid w:val="59C77E08"/>
    <w:rsid w:val="59DE7EE3"/>
    <w:rsid w:val="59F34F42"/>
    <w:rsid w:val="5A1774AD"/>
    <w:rsid w:val="5A8E2C5B"/>
    <w:rsid w:val="5A971589"/>
    <w:rsid w:val="5AC81FAD"/>
    <w:rsid w:val="5AD216C7"/>
    <w:rsid w:val="5B94004E"/>
    <w:rsid w:val="5B9938B6"/>
    <w:rsid w:val="5BB90277"/>
    <w:rsid w:val="5C830B35"/>
    <w:rsid w:val="5D1A3B6A"/>
    <w:rsid w:val="5D422CCB"/>
    <w:rsid w:val="5D4B4AF3"/>
    <w:rsid w:val="5D875803"/>
    <w:rsid w:val="5D925A6B"/>
    <w:rsid w:val="5E677792"/>
    <w:rsid w:val="5EA04EE5"/>
    <w:rsid w:val="5EA510F1"/>
    <w:rsid w:val="5ED16E62"/>
    <w:rsid w:val="5F25049F"/>
    <w:rsid w:val="5F5B1101"/>
    <w:rsid w:val="5FCB1BCC"/>
    <w:rsid w:val="5FF332AD"/>
    <w:rsid w:val="6009581D"/>
    <w:rsid w:val="606049A2"/>
    <w:rsid w:val="60621456"/>
    <w:rsid w:val="60AC7BE7"/>
    <w:rsid w:val="60CE7559"/>
    <w:rsid w:val="60F2314A"/>
    <w:rsid w:val="61330309"/>
    <w:rsid w:val="63A66B70"/>
    <w:rsid w:val="63E16526"/>
    <w:rsid w:val="63F62410"/>
    <w:rsid w:val="643A3028"/>
    <w:rsid w:val="64D94D23"/>
    <w:rsid w:val="65530F79"/>
    <w:rsid w:val="66DE2AC5"/>
    <w:rsid w:val="66F35119"/>
    <w:rsid w:val="67B87E05"/>
    <w:rsid w:val="67F106EB"/>
    <w:rsid w:val="682E0689"/>
    <w:rsid w:val="68762D6D"/>
    <w:rsid w:val="688B0A2A"/>
    <w:rsid w:val="69A576CC"/>
    <w:rsid w:val="69BB70A1"/>
    <w:rsid w:val="69DD3AA7"/>
    <w:rsid w:val="69ED7DED"/>
    <w:rsid w:val="6A5B61FE"/>
    <w:rsid w:val="6A796495"/>
    <w:rsid w:val="6A7B1518"/>
    <w:rsid w:val="6AB16B61"/>
    <w:rsid w:val="6B850189"/>
    <w:rsid w:val="6C5926C3"/>
    <w:rsid w:val="6C8843B7"/>
    <w:rsid w:val="6CB66B06"/>
    <w:rsid w:val="6D597BAC"/>
    <w:rsid w:val="6E507F98"/>
    <w:rsid w:val="6FF06255"/>
    <w:rsid w:val="6FF92384"/>
    <w:rsid w:val="7016206E"/>
    <w:rsid w:val="7033317E"/>
    <w:rsid w:val="71A42458"/>
    <w:rsid w:val="71AC6402"/>
    <w:rsid w:val="71E11A1A"/>
    <w:rsid w:val="720672BB"/>
    <w:rsid w:val="72C12F55"/>
    <w:rsid w:val="72D84462"/>
    <w:rsid w:val="73382CE7"/>
    <w:rsid w:val="7368208E"/>
    <w:rsid w:val="73A6632D"/>
    <w:rsid w:val="73E23DAA"/>
    <w:rsid w:val="73F82115"/>
    <w:rsid w:val="74C838E9"/>
    <w:rsid w:val="74C90AAB"/>
    <w:rsid w:val="74F742BA"/>
    <w:rsid w:val="75083843"/>
    <w:rsid w:val="750E37B4"/>
    <w:rsid w:val="75546BA3"/>
    <w:rsid w:val="758807CB"/>
    <w:rsid w:val="769B452E"/>
    <w:rsid w:val="7746477C"/>
    <w:rsid w:val="77FE2E93"/>
    <w:rsid w:val="78745308"/>
    <w:rsid w:val="78A67D85"/>
    <w:rsid w:val="78C1478E"/>
    <w:rsid w:val="78FE51ED"/>
    <w:rsid w:val="7905550B"/>
    <w:rsid w:val="798968C0"/>
    <w:rsid w:val="79F1032A"/>
    <w:rsid w:val="7A953D20"/>
    <w:rsid w:val="7AF1296F"/>
    <w:rsid w:val="7AF75AAB"/>
    <w:rsid w:val="7AF82EA0"/>
    <w:rsid w:val="7B886ED2"/>
    <w:rsid w:val="7B910D77"/>
    <w:rsid w:val="7BB62F12"/>
    <w:rsid w:val="7C001DD1"/>
    <w:rsid w:val="7C5A2796"/>
    <w:rsid w:val="7D8643DD"/>
    <w:rsid w:val="7E275784"/>
    <w:rsid w:val="7E7E5C73"/>
    <w:rsid w:val="7EAD58CE"/>
    <w:rsid w:val="7F7406BE"/>
    <w:rsid w:val="7FE02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b/>
      <w:bCs/>
      <w:kern w:val="0"/>
      <w:sz w:val="36"/>
      <w:szCs w:val="36"/>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2"/>
    <w:unhideWhenUsed/>
    <w:qFormat/>
    <w:uiPriority w:val="0"/>
    <w:pPr>
      <w:jc w:val="left"/>
    </w:pPr>
  </w:style>
  <w:style w:type="paragraph" w:styleId="4">
    <w:name w:val="Body Text"/>
    <w:basedOn w:val="1"/>
    <w:next w:val="1"/>
    <w:link w:val="27"/>
    <w:qFormat/>
    <w:uiPriority w:val="0"/>
    <w:rPr>
      <w:rFonts w:ascii="楷体_GB2312" w:hAnsi="Arial" w:eastAsia="楷体_GB2312"/>
      <w:sz w:val="28"/>
      <w:szCs w:val="28"/>
    </w:rPr>
  </w:style>
  <w:style w:type="paragraph" w:styleId="5">
    <w:name w:val="Body Text Indent"/>
    <w:basedOn w:val="1"/>
    <w:next w:val="6"/>
    <w:unhideWhenUsed/>
    <w:qFormat/>
    <w:uiPriority w:val="0"/>
    <w:pPr>
      <w:spacing w:after="120"/>
      <w:ind w:left="420" w:leftChars="200"/>
    </w:pPr>
  </w:style>
  <w:style w:type="paragraph" w:styleId="6">
    <w:name w:val="envelope return"/>
    <w:basedOn w:val="1"/>
    <w:unhideWhenUsed/>
    <w:qFormat/>
    <w:uiPriority w:val="99"/>
    <w:rPr>
      <w:rFonts w:ascii="Arial" w:hAnsi="Arial" w:eastAsia="楷体_GB2312"/>
      <w:sz w:val="26"/>
      <w:szCs w:val="20"/>
    </w:rPr>
  </w:style>
  <w:style w:type="paragraph" w:styleId="7">
    <w:name w:val="Balloon Text"/>
    <w:basedOn w:val="1"/>
    <w:link w:val="31"/>
    <w:qFormat/>
    <w:uiPriority w:val="0"/>
    <w:rPr>
      <w:sz w:val="18"/>
      <w:szCs w:val="18"/>
    </w:rPr>
  </w:style>
  <w:style w:type="paragraph" w:styleId="8">
    <w:name w:val="footer"/>
    <w:basedOn w:val="1"/>
    <w:qFormat/>
    <w:uiPriority w:val="0"/>
    <w:pPr>
      <w:tabs>
        <w:tab w:val="center" w:pos="4153"/>
        <w:tab w:val="right" w:pos="8306"/>
      </w:tabs>
      <w:snapToGrid w:val="0"/>
      <w:jc w:val="left"/>
    </w:pPr>
    <w:rPr>
      <w:rFonts w:ascii="Times New Roman" w:hAnsi="Times New Roman"/>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0">
    <w:name w:val="toc 1"/>
    <w:basedOn w:val="1"/>
    <w:next w:val="1"/>
    <w:qFormat/>
    <w:uiPriority w:val="0"/>
  </w:style>
  <w:style w:type="paragraph" w:styleId="1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2">
    <w:name w:val="annotation subject"/>
    <w:basedOn w:val="3"/>
    <w:next w:val="3"/>
    <w:link w:val="33"/>
    <w:qFormat/>
    <w:uiPriority w:val="0"/>
    <w:rPr>
      <w:b/>
      <w:bCs/>
    </w:rPr>
  </w:style>
  <w:style w:type="paragraph" w:styleId="13">
    <w:name w:val="Body Text First Indent 2"/>
    <w:basedOn w:val="5"/>
    <w:next w:val="1"/>
    <w:qFormat/>
    <w:uiPriority w:val="0"/>
    <w:pPr>
      <w:spacing w:after="0" w:line="360" w:lineRule="auto"/>
      <w:ind w:left="0" w:leftChars="0" w:firstLine="420" w:firstLineChars="200"/>
    </w:pPr>
    <w:rPr>
      <w:rFonts w:ascii="宋体" w:hAnsi="宋体"/>
      <w:szCs w:val="20"/>
    </w:rPr>
  </w:style>
  <w:style w:type="character" w:styleId="16">
    <w:name w:val="page number"/>
    <w:qFormat/>
    <w:uiPriority w:val="0"/>
  </w:style>
  <w:style w:type="character" w:styleId="17">
    <w:name w:val="Emphasis"/>
    <w:qFormat/>
    <w:uiPriority w:val="0"/>
    <w:rPr>
      <w:i/>
    </w:rPr>
  </w:style>
  <w:style w:type="character" w:styleId="18">
    <w:name w:val="annotation reference"/>
    <w:basedOn w:val="15"/>
    <w:qFormat/>
    <w:uiPriority w:val="0"/>
    <w:rPr>
      <w:sz w:val="21"/>
      <w:szCs w:val="21"/>
    </w:rPr>
  </w:style>
  <w:style w:type="paragraph" w:customStyle="1" w:styleId="19">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20">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21">
    <w:name w:val="WPSOffice手动目录 1"/>
    <w:qFormat/>
    <w:uiPriority w:val="0"/>
    <w:rPr>
      <w:rFonts w:ascii="Times New Roman" w:hAnsi="Times New Roman" w:eastAsia="宋体" w:cs="Times New Roman"/>
      <w:lang w:val="en-US" w:eastAsia="zh-CN" w:bidi="ar-SA"/>
    </w:rPr>
  </w:style>
  <w:style w:type="paragraph" w:customStyle="1" w:styleId="22">
    <w:name w:val="正文首行缩进11"/>
    <w:basedOn w:val="23"/>
    <w:qFormat/>
    <w:uiPriority w:val="0"/>
    <w:pPr>
      <w:spacing w:line="360" w:lineRule="auto"/>
      <w:ind w:firstLine="200"/>
    </w:pPr>
    <w:rPr>
      <w:rFonts w:ascii="仿宋_GB2312" w:eastAsia="仿宋_GB2312"/>
      <w:sz w:val="30"/>
      <w:szCs w:val="30"/>
    </w:rPr>
  </w:style>
  <w:style w:type="paragraph" w:customStyle="1" w:styleId="23">
    <w:name w:val="正文文本1"/>
    <w:basedOn w:val="1"/>
    <w:next w:val="1"/>
    <w:qFormat/>
    <w:uiPriority w:val="0"/>
    <w:rPr>
      <w:rFonts w:ascii="楷体_GB2312" w:hAnsi="Arial" w:eastAsia="楷体_GB2312"/>
      <w:sz w:val="28"/>
      <w:szCs w:val="28"/>
    </w:rPr>
  </w:style>
  <w:style w:type="paragraph" w:customStyle="1" w:styleId="24">
    <w:name w:val="正文首行缩进1"/>
    <w:basedOn w:val="25"/>
    <w:qFormat/>
    <w:uiPriority w:val="0"/>
    <w:pPr>
      <w:spacing w:after="120"/>
      <w:ind w:firstLine="420"/>
    </w:pPr>
    <w:rPr>
      <w:rFonts w:ascii="Times New Roman" w:eastAsia="宋体"/>
      <w:szCs w:val="24"/>
    </w:rPr>
  </w:style>
  <w:style w:type="paragraph" w:customStyle="1" w:styleId="25">
    <w:name w:val="正文文本11"/>
    <w:basedOn w:val="1"/>
    <w:next w:val="1"/>
    <w:qFormat/>
    <w:uiPriority w:val="0"/>
    <w:rPr>
      <w:rFonts w:ascii="楷体_GB2312" w:hAnsi="Arial" w:eastAsia="楷体_GB2312"/>
      <w:sz w:val="28"/>
      <w:szCs w:val="28"/>
    </w:rPr>
  </w:style>
  <w:style w:type="paragraph" w:styleId="26">
    <w:name w:val="List Paragraph"/>
    <w:basedOn w:val="1"/>
    <w:qFormat/>
    <w:uiPriority w:val="99"/>
    <w:pPr>
      <w:ind w:firstLine="420" w:firstLineChars="200"/>
    </w:pPr>
  </w:style>
  <w:style w:type="character" w:customStyle="1" w:styleId="27">
    <w:name w:val="正文文本 字符"/>
    <w:basedOn w:val="15"/>
    <w:link w:val="4"/>
    <w:qFormat/>
    <w:uiPriority w:val="0"/>
    <w:rPr>
      <w:rFonts w:hint="default" w:ascii="Calibri" w:hAnsi="Calibri" w:cs="Calibri"/>
      <w:sz w:val="21"/>
      <w:szCs w:val="22"/>
    </w:rPr>
  </w:style>
  <w:style w:type="paragraph" w:customStyle="1" w:styleId="28">
    <w:name w:val="批注文字1"/>
    <w:basedOn w:val="1"/>
    <w:qFormat/>
    <w:uiPriority w:val="0"/>
    <w:pPr>
      <w:jc w:val="left"/>
    </w:pPr>
    <w:rPr>
      <w:kern w:val="0"/>
    </w:rPr>
  </w:style>
  <w:style w:type="paragraph" w:customStyle="1" w:styleId="29">
    <w:name w:val="Table Text"/>
    <w:basedOn w:val="1"/>
    <w:semiHidden/>
    <w:qFormat/>
    <w:uiPriority w:val="0"/>
    <w:rPr>
      <w:rFonts w:ascii="宋体" w:hAnsi="宋体" w:cs="宋体"/>
      <w:sz w:val="24"/>
      <w:szCs w:val="24"/>
      <w:lang w:eastAsia="en-US"/>
    </w:rPr>
  </w:style>
  <w:style w:type="table" w:customStyle="1" w:styleId="30">
    <w:name w:val="Table Normal"/>
    <w:semiHidden/>
    <w:unhideWhenUsed/>
    <w:qFormat/>
    <w:uiPriority w:val="0"/>
    <w:tblPr>
      <w:tblCellMar>
        <w:top w:w="0" w:type="dxa"/>
        <w:left w:w="0" w:type="dxa"/>
        <w:bottom w:w="0" w:type="dxa"/>
        <w:right w:w="0" w:type="dxa"/>
      </w:tblCellMar>
    </w:tblPr>
  </w:style>
  <w:style w:type="character" w:customStyle="1" w:styleId="31">
    <w:name w:val="批注框文本 字符"/>
    <w:basedOn w:val="15"/>
    <w:link w:val="7"/>
    <w:qFormat/>
    <w:uiPriority w:val="0"/>
    <w:rPr>
      <w:rFonts w:ascii="Calibri" w:hAnsi="Calibri"/>
      <w:kern w:val="2"/>
      <w:sz w:val="18"/>
      <w:szCs w:val="18"/>
    </w:rPr>
  </w:style>
  <w:style w:type="character" w:customStyle="1" w:styleId="32">
    <w:name w:val="批注文字 字符"/>
    <w:basedOn w:val="15"/>
    <w:link w:val="3"/>
    <w:qFormat/>
    <w:uiPriority w:val="0"/>
    <w:rPr>
      <w:rFonts w:ascii="Calibri" w:hAnsi="Calibri"/>
      <w:kern w:val="2"/>
      <w:sz w:val="21"/>
      <w:szCs w:val="22"/>
    </w:rPr>
  </w:style>
  <w:style w:type="character" w:customStyle="1" w:styleId="33">
    <w:name w:val="批注主题 字符"/>
    <w:basedOn w:val="32"/>
    <w:link w:val="12"/>
    <w:qFormat/>
    <w:uiPriority w:val="0"/>
    <w:rPr>
      <w:rFonts w:ascii="Calibri" w:hAnsi="Calibri"/>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45F57A-8271-481C-8051-076778B64854}">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82</Pages>
  <Words>38925</Words>
  <Characters>42023</Characters>
  <Lines>467</Lines>
  <Paragraphs>131</Paragraphs>
  <TotalTime>16</TotalTime>
  <ScaleCrop>false</ScaleCrop>
  <LinksUpToDate>false</LinksUpToDate>
  <CharactersWithSpaces>42539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2026-08-11T03:59:00Z</dcterms:created>
  <dc:creator>Administrator</dc:creator>
  <cp:lastModifiedBy>杨惠惠</cp:lastModifiedBy>
  <cp:lastPrinted>2026-08-12T04:12:00Z</cp:lastPrinted>
  <dcterms:modified xsi:type="dcterms:W3CDTF">2026-09-02T07:36:28Z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6AA495EC88F44C7B95812B1174D76895_13</vt:lpwstr>
  </property>
  <property fmtid="{D5CDD505-2E9C-101B-9397-08002B2CF9AE}" pid="4" name="KSOTemplateDocerSaveRecord">
    <vt:lpwstr>eyJoZGlkIjoiNWM4ZTg0ZTFhZmJlY2Q4NDBhNjk5YzhhN2Q0NDYxYmYiLCJ1c2VySWQiOiIxNjI1NDY4ODgyIn0=</vt:lpwstr>
  </property>
</Properties>
</file>