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firstLine="0" w:firstLineChars="0"/>
        <w:jc w:val="center"/>
        <w:rPr>
          <w:color w:val="000000" w:themeColor="text1"/>
          <w:sz w:val="44"/>
          <w:szCs w:val="44"/>
          <w14:textFill>
            <w14:solidFill>
              <w14:schemeClr w14:val="tx1"/>
            </w14:solidFill>
          </w14:textFill>
        </w:rPr>
      </w:pPr>
    </w:p>
    <w:p w14:paraId="73DB6F0E">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江苏省特种设备安全监督检验研究院</w:t>
      </w:r>
    </w:p>
    <w:p w14:paraId="4C40474E">
      <w:pPr>
        <w:ind w:firstLine="0" w:firstLineChars="0"/>
        <w:jc w:val="center"/>
        <w:rPr>
          <w:rFonts w:hint="eastAsia" w:eastAsia="宋体"/>
          <w:b/>
          <w:bCs/>
          <w:color w:val="000000" w:themeColor="text1"/>
          <w:sz w:val="44"/>
          <w:szCs w:val="44"/>
          <w:lang w:eastAsia="zh-CN"/>
          <w14:textFill>
            <w14:solidFill>
              <w14:schemeClr w14:val="tx1"/>
            </w14:solidFill>
          </w14:textFill>
        </w:rPr>
      </w:pPr>
      <w:r>
        <w:rPr>
          <w:rFonts w:hint="eastAsia"/>
          <w:b/>
          <w:bCs/>
          <w:color w:val="000000" w:themeColor="text1"/>
          <w:sz w:val="44"/>
          <w:szCs w:val="44"/>
          <w:lang w:eastAsia="zh-CN"/>
          <w14:textFill>
            <w14:solidFill>
              <w14:schemeClr w14:val="tx1"/>
            </w14:solidFill>
          </w14:textFill>
        </w:rPr>
        <w:t>压力管道元件（金属阀门、燃气用聚乙烯管）型式试验能力提升设备采购</w:t>
      </w:r>
    </w:p>
    <w:p w14:paraId="68E12455">
      <w:pPr>
        <w:ind w:firstLine="0" w:firstLineChars="0"/>
        <w:jc w:val="center"/>
        <w:rPr>
          <w:color w:val="000000" w:themeColor="text1"/>
          <w:sz w:val="44"/>
          <w:szCs w:val="44"/>
          <w14:textFill>
            <w14:solidFill>
              <w14:schemeClr w14:val="tx1"/>
            </w14:solidFill>
          </w14:textFill>
        </w:rPr>
      </w:pPr>
    </w:p>
    <w:p w14:paraId="7B80792C">
      <w:pPr>
        <w:ind w:firstLine="0" w:firstLineChars="0"/>
        <w:jc w:val="center"/>
        <w:rPr>
          <w:color w:val="000000" w:themeColor="text1"/>
          <w:sz w:val="44"/>
          <w:szCs w:val="44"/>
          <w14:textFill>
            <w14:solidFill>
              <w14:schemeClr w14:val="tx1"/>
            </w14:solidFill>
          </w14:textFill>
        </w:rPr>
      </w:pPr>
    </w:p>
    <w:p w14:paraId="269F8868">
      <w:pPr>
        <w:ind w:firstLine="0" w:firstLineChars="0"/>
        <w:jc w:val="center"/>
        <w:rPr>
          <w:color w:val="000000" w:themeColor="text1"/>
          <w:sz w:val="44"/>
          <w:szCs w:val="44"/>
          <w14:textFill>
            <w14:solidFill>
              <w14:schemeClr w14:val="tx1"/>
            </w14:solidFill>
          </w14:textFill>
        </w:rPr>
      </w:pPr>
    </w:p>
    <w:p w14:paraId="788CA9EE">
      <w:pPr>
        <w:ind w:firstLine="0" w:firstLineChars="0"/>
        <w:jc w:val="center"/>
        <w:rPr>
          <w:color w:val="000000" w:themeColor="text1"/>
          <w:sz w:val="44"/>
          <w:szCs w:val="44"/>
          <w14:textFill>
            <w14:solidFill>
              <w14:schemeClr w14:val="tx1"/>
            </w14:solidFill>
          </w14:textFill>
        </w:rPr>
      </w:pPr>
    </w:p>
    <w:p w14:paraId="5189DD6D">
      <w:pPr>
        <w:ind w:firstLine="0" w:firstLineChars="0"/>
        <w:jc w:val="cente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12"/>
                    <a:stretch>
                      <a:fillRect/>
                    </a:stretch>
                  </pic:blipFill>
                  <pic:spPr>
                    <a:xfrm>
                      <a:off x="0" y="0"/>
                      <a:ext cx="1717675" cy="2131695"/>
                    </a:xfrm>
                    <a:prstGeom prst="rect">
                      <a:avLst/>
                    </a:prstGeom>
                    <a:noFill/>
                    <a:ln>
                      <a:noFill/>
                    </a:ln>
                  </pic:spPr>
                </pic:pic>
              </a:graphicData>
            </a:graphic>
          </wp:inline>
        </w:drawing>
      </w:r>
    </w:p>
    <w:p w14:paraId="13AD4DFC">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招 标 文 件</w:t>
      </w:r>
    </w:p>
    <w:p w14:paraId="5D1C2BE5">
      <w:pPr>
        <w:ind w:firstLine="0" w:firstLineChars="0"/>
        <w:jc w:val="center"/>
        <w:rPr>
          <w:rFonts w:hint="eastAsia" w:eastAsia="宋体"/>
          <w:color w:val="000000" w:themeColor="text1"/>
          <w:sz w:val="36"/>
          <w:szCs w:val="36"/>
          <w:lang w:eastAsia="zh-CN"/>
          <w14:textFill>
            <w14:solidFill>
              <w14:schemeClr w14:val="tx1"/>
            </w14:solidFill>
          </w14:textFill>
        </w:rPr>
      </w:pPr>
      <w:r>
        <w:rPr>
          <w:rFonts w:hint="eastAsia"/>
          <w:color w:val="000000" w:themeColor="text1"/>
          <w:sz w:val="36"/>
          <w:szCs w:val="36"/>
          <w14:textFill>
            <w14:solidFill>
              <w14:schemeClr w14:val="tx1"/>
            </w14:solidFill>
          </w14:textFill>
        </w:rPr>
        <w:t>项目编号：</w:t>
      </w:r>
      <w:r>
        <w:rPr>
          <w:rFonts w:hint="eastAsia"/>
          <w:color w:val="000000" w:themeColor="text1"/>
          <w:sz w:val="36"/>
          <w:szCs w:val="36"/>
          <w:lang w:eastAsia="zh-CN"/>
          <w14:textFill>
            <w14:solidFill>
              <w14:schemeClr w14:val="tx1"/>
            </w14:solidFill>
          </w14:textFill>
        </w:rPr>
        <w:t>JSZC-320000-SNZX-G2026-0132</w:t>
      </w:r>
    </w:p>
    <w:p w14:paraId="7139547D">
      <w:pPr>
        <w:ind w:firstLine="0" w:firstLineChars="0"/>
        <w:jc w:val="center"/>
        <w:rPr>
          <w:rFonts w:hint="default" w:eastAsia="宋体"/>
          <w:color w:val="000000" w:themeColor="text1"/>
          <w:sz w:val="44"/>
          <w:szCs w:val="44"/>
          <w:lang w:val="en-US" w:eastAsia="zh-CN"/>
          <w14:textFill>
            <w14:solidFill>
              <w14:schemeClr w14:val="tx1"/>
            </w14:solidFill>
          </w14:textFill>
        </w:rPr>
      </w:pPr>
      <w:r>
        <w:rPr>
          <w:rFonts w:hint="eastAsia"/>
          <w:color w:val="000000" w:themeColor="text1"/>
          <w:sz w:val="44"/>
          <w:szCs w:val="44"/>
          <w:lang w:val="en-US" w:eastAsia="zh-CN"/>
          <w14:textFill>
            <w14:solidFill>
              <w14:schemeClr w14:val="tx1"/>
            </w14:solidFill>
          </w14:textFill>
        </w:rPr>
        <w:t>采购包1</w:t>
      </w:r>
    </w:p>
    <w:p w14:paraId="011DF5A0">
      <w:pPr>
        <w:ind w:firstLine="0" w:firstLineChars="0"/>
        <w:jc w:val="center"/>
        <w:rPr>
          <w:color w:val="000000" w:themeColor="text1"/>
          <w:sz w:val="44"/>
          <w:szCs w:val="44"/>
          <w14:textFill>
            <w14:solidFill>
              <w14:schemeClr w14:val="tx1"/>
            </w14:solidFill>
          </w14:textFill>
        </w:rPr>
      </w:pPr>
    </w:p>
    <w:p w14:paraId="77623038">
      <w:pPr>
        <w:ind w:firstLine="0" w:firstLineChars="0"/>
        <w:jc w:val="center"/>
        <w:rPr>
          <w:color w:val="000000" w:themeColor="text1"/>
          <w:sz w:val="44"/>
          <w:szCs w:val="44"/>
          <w14:textFill>
            <w14:solidFill>
              <w14:schemeClr w14:val="tx1"/>
            </w14:solidFill>
          </w14:textFill>
        </w:rPr>
      </w:pPr>
    </w:p>
    <w:p w14:paraId="49373498">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采购人：江苏省特种设备安全监督检验研究院</w:t>
      </w:r>
    </w:p>
    <w:p w14:paraId="01D98070">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采购代理机构：南京苏宁工程咨询有限公司</w:t>
      </w:r>
    </w:p>
    <w:p w14:paraId="728C20A7">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日期：二〇二六年</w:t>
      </w:r>
      <w:r>
        <w:rPr>
          <w:rFonts w:hint="eastAsia"/>
          <w:b/>
          <w:bCs/>
          <w:color w:val="000000" w:themeColor="text1"/>
          <w:sz w:val="36"/>
          <w:szCs w:val="36"/>
          <w:lang w:val="en-US" w:eastAsia="zh-CN"/>
          <w14:textFill>
            <w14:solidFill>
              <w14:schemeClr w14:val="tx1"/>
            </w14:solidFill>
          </w14:textFill>
        </w:rPr>
        <w:t>九</w:t>
      </w:r>
      <w:r>
        <w:rPr>
          <w:rFonts w:hint="eastAsia"/>
          <w:b/>
          <w:bCs/>
          <w:color w:val="000000" w:themeColor="text1"/>
          <w:sz w:val="36"/>
          <w:szCs w:val="36"/>
          <w14:textFill>
            <w14:solidFill>
              <w14:schemeClr w14:val="tx1"/>
            </w14:solidFill>
          </w14:textFill>
        </w:rPr>
        <w:t>月</w:t>
      </w:r>
    </w:p>
    <w:p w14:paraId="0881C9A7">
      <w:pPr>
        <w:ind w:firstLine="723"/>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br w:type="page"/>
      </w:r>
    </w:p>
    <w:p w14:paraId="365D0324">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项目概况</w:t>
            </w:r>
          </w:p>
          <w:p w14:paraId="609BAA0A">
            <w:pPr>
              <w:ind w:firstLine="480"/>
              <w:jc w:val="both"/>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压力管道元件（金属阀门、燃气用聚乙烯管）型式试验能力提升设备采购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招标项目的潜在投标人应在</w:t>
            </w:r>
            <w:r>
              <w:rPr>
                <w:rFonts w:hint="eastAsia"/>
                <w:color w:val="000000" w:themeColor="text1"/>
                <w:u w:val="single"/>
                <w14:textFill>
                  <w14:solidFill>
                    <w14:schemeClr w14:val="tx1"/>
                  </w14:solidFill>
                </w14:textFill>
              </w:rPr>
              <w:t>江苏政府采购网</w:t>
            </w:r>
            <w:r>
              <w:rPr>
                <w:rFonts w:hint="eastAsia"/>
                <w:color w:val="000000" w:themeColor="text1"/>
                <w14:textFill>
                  <w14:solidFill>
                    <w14:schemeClr w14:val="tx1"/>
                  </w14:solidFill>
                </w14:textFill>
              </w:rPr>
              <w:t>获取招标文件，并于</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（北京时间）前递交投标文件。</w:t>
            </w:r>
          </w:p>
        </w:tc>
      </w:tr>
    </w:tbl>
    <w:p w14:paraId="51E3D1C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14:paraId="4B1CD2ED">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项目编号：</w:t>
      </w:r>
      <w:r>
        <w:rPr>
          <w:rFonts w:hint="eastAsia"/>
          <w:color w:val="000000" w:themeColor="text1"/>
          <w:lang w:eastAsia="zh-CN"/>
          <w14:textFill>
            <w14:solidFill>
              <w14:schemeClr w14:val="tx1"/>
            </w14:solidFill>
          </w14:textFill>
        </w:rPr>
        <w:t>JSZC-320000-SNZX-G2026-0132</w:t>
      </w:r>
    </w:p>
    <w:p w14:paraId="52A01DD4">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项目名称：</w:t>
      </w:r>
      <w:r>
        <w:rPr>
          <w:rFonts w:hint="eastAsia"/>
          <w:color w:val="000000" w:themeColor="text1"/>
          <w:lang w:eastAsia="zh-CN"/>
          <w14:textFill>
            <w14:solidFill>
              <w14:schemeClr w14:val="tx1"/>
            </w14:solidFill>
          </w14:textFill>
        </w:rPr>
        <w:t>压力管道元件（金属阀门、燃气用聚乙烯管）型式试验能力提升设备采购</w:t>
      </w:r>
    </w:p>
    <w:p w14:paraId="523FD1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预算金额：687.85万元（采购包1：395万元；采购包2：148万元；采购包3：144.85万元）</w:t>
      </w:r>
    </w:p>
    <w:p w14:paraId="362068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最高限价：采购包1：395万元；采购包2：148万元；采购包3：144.85万元</w:t>
      </w:r>
    </w:p>
    <w:p w14:paraId="716199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采购需求：本项目共分为</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843"/>
        <w:gridCol w:w="2850"/>
        <w:gridCol w:w="985"/>
        <w:gridCol w:w="1568"/>
        <w:gridCol w:w="959"/>
        <w:gridCol w:w="1211"/>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2BD5A77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54" w:type="pct"/>
            <w:vAlign w:val="center"/>
          </w:tcPr>
          <w:p w14:paraId="07C510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534" w:type="pct"/>
            <w:vAlign w:val="center"/>
          </w:tcPr>
          <w:p w14:paraId="296AA55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530" w:type="pct"/>
            <w:vAlign w:val="center"/>
          </w:tcPr>
          <w:p w14:paraId="13FEBB5B">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231F016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844" w:type="pct"/>
            <w:vAlign w:val="center"/>
          </w:tcPr>
          <w:p w14:paraId="75DE717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E3EC3F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516" w:type="pct"/>
            <w:vAlign w:val="center"/>
          </w:tcPr>
          <w:p w14:paraId="5C2B3A6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52" w:type="pct"/>
            <w:vAlign w:val="center"/>
          </w:tcPr>
          <w:p w14:paraId="4523403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60940074">
            <w:pPr>
              <w:spacing w:line="240" w:lineRule="auto"/>
              <w:ind w:firstLine="0" w:firstLineChars="0"/>
              <w:jc w:val="center"/>
              <w:rPr>
                <w:rFonts w:hint="eastAsia" w:ascii="宋体" w:hAnsi="宋体" w:cs="宋体"/>
                <w:color w:val="000000" w:themeColor="text1"/>
                <w14:textFill>
                  <w14:solidFill>
                    <w14:schemeClr w14:val="tx1"/>
                  </w14:solidFill>
                </w14:textFill>
              </w:rPr>
            </w:pPr>
            <w:bookmarkStart w:id="0" w:name="_Hlk237968480"/>
            <w:r>
              <w:rPr>
                <w:rFonts w:hint="eastAsia" w:ascii="宋体" w:hAnsi="宋体" w:cs="宋体"/>
                <w:color w:val="000000" w:themeColor="text1"/>
                <w14:textFill>
                  <w14:solidFill>
                    <w14:schemeClr w14:val="tx1"/>
                  </w14:solidFill>
                </w14:textFill>
              </w:rPr>
              <w:t>1</w:t>
            </w:r>
          </w:p>
        </w:tc>
        <w:tc>
          <w:tcPr>
            <w:tcW w:w="454" w:type="pct"/>
            <w:vAlign w:val="center"/>
          </w:tcPr>
          <w:p w14:paraId="3F81E4D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78EE1BA8">
            <w:pPr>
              <w:spacing w:line="240" w:lineRule="auto"/>
              <w:ind w:firstLine="0" w:firstLineChars="0"/>
              <w:jc w:val="center"/>
              <w:rPr>
                <w:rFonts w:hint="eastAsia" w:ascii="宋体" w:hAnsi="宋体" w:cs="宋体"/>
                <w:b/>
                <w:bCs/>
                <w:color w:val="000000" w:themeColor="text1"/>
                <w14:textFill>
                  <w14:solidFill>
                    <w14:schemeClr w14:val="tx1"/>
                  </w14:solidFill>
                </w14:textFill>
              </w:rPr>
            </w:pPr>
            <w:bookmarkStart w:id="1" w:name="_Toc35071109"/>
            <w:bookmarkEnd w:id="1"/>
            <w:bookmarkStart w:id="2" w:name="_Toc53472202"/>
            <w:bookmarkEnd w:id="2"/>
            <w:bookmarkStart w:id="3" w:name="_Toc35421028"/>
            <w:bookmarkEnd w:id="3"/>
            <w:bookmarkStart w:id="4" w:name="_Toc34665475"/>
            <w:bookmarkEnd w:id="4"/>
            <w:r>
              <w:rPr>
                <w:rFonts w:hint="eastAsia" w:ascii="宋体" w:hAnsi="宋体" w:cs="宋体"/>
                <w:color w:val="000000" w:themeColor="text1"/>
                <w14:textFill>
                  <w14:solidFill>
                    <w14:schemeClr w14:val="tx1"/>
                  </w14:solidFill>
                </w14:textFill>
              </w:rPr>
              <w:t>阀门流量流阻试验装置</w:t>
            </w:r>
          </w:p>
        </w:tc>
        <w:tc>
          <w:tcPr>
            <w:tcW w:w="530" w:type="pct"/>
            <w:vAlign w:val="center"/>
          </w:tcPr>
          <w:p w14:paraId="1050205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32DE1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395</w:t>
            </w:r>
          </w:p>
        </w:tc>
        <w:tc>
          <w:tcPr>
            <w:tcW w:w="516" w:type="pct"/>
            <w:vMerge w:val="restart"/>
            <w:vAlign w:val="center"/>
          </w:tcPr>
          <w:p w14:paraId="1E5EB37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52" w:type="pct"/>
            <w:vAlign w:val="center"/>
          </w:tcPr>
          <w:p w14:paraId="54811C8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7D553CE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454" w:type="pct"/>
            <w:vAlign w:val="center"/>
          </w:tcPr>
          <w:p w14:paraId="0D9817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6EC524B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阀门寿命测试机</w:t>
            </w:r>
          </w:p>
        </w:tc>
        <w:tc>
          <w:tcPr>
            <w:tcW w:w="530" w:type="pct"/>
            <w:vAlign w:val="center"/>
          </w:tcPr>
          <w:p w14:paraId="1C6AE76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029AB27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69</w:t>
            </w:r>
          </w:p>
        </w:tc>
        <w:tc>
          <w:tcPr>
            <w:tcW w:w="516" w:type="pct"/>
            <w:vMerge w:val="continue"/>
            <w:vAlign w:val="center"/>
          </w:tcPr>
          <w:p w14:paraId="5512E8E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E6517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795D3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216D31E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CD8087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阀门测试机</w:t>
            </w:r>
          </w:p>
        </w:tc>
        <w:tc>
          <w:tcPr>
            <w:tcW w:w="530" w:type="pct"/>
            <w:vAlign w:val="center"/>
          </w:tcPr>
          <w:p w14:paraId="374EC1F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EAF813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29</w:t>
            </w:r>
          </w:p>
        </w:tc>
        <w:tc>
          <w:tcPr>
            <w:tcW w:w="516" w:type="pct"/>
            <w:vMerge w:val="continue"/>
            <w:vAlign w:val="center"/>
          </w:tcPr>
          <w:p w14:paraId="4E0D1AD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FA5A94">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00A71B56">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A84B23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3FFFB17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应变硬化试验机</w:t>
            </w:r>
          </w:p>
        </w:tc>
        <w:tc>
          <w:tcPr>
            <w:tcW w:w="530" w:type="pct"/>
            <w:vAlign w:val="center"/>
          </w:tcPr>
          <w:p w14:paraId="663B179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A9097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50</w:t>
            </w:r>
          </w:p>
        </w:tc>
        <w:tc>
          <w:tcPr>
            <w:tcW w:w="516" w:type="pct"/>
            <w:vMerge w:val="continue"/>
            <w:vAlign w:val="center"/>
          </w:tcPr>
          <w:p w14:paraId="1FF5F97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5531026">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3544AFC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454" w:type="pct"/>
            <w:vAlign w:val="center"/>
          </w:tcPr>
          <w:p w14:paraId="7DD39E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2B24ED2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加工中心</w:t>
            </w:r>
          </w:p>
        </w:tc>
        <w:tc>
          <w:tcPr>
            <w:tcW w:w="530" w:type="pct"/>
            <w:vAlign w:val="center"/>
          </w:tcPr>
          <w:p w14:paraId="02476D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7B9112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41.8</w:t>
            </w:r>
          </w:p>
        </w:tc>
        <w:tc>
          <w:tcPr>
            <w:tcW w:w="516" w:type="pct"/>
            <w:vMerge w:val="continue"/>
            <w:vAlign w:val="center"/>
          </w:tcPr>
          <w:p w14:paraId="16E4961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1098EB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2AFA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AD51F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07A295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E8C4F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数控车床</w:t>
            </w:r>
          </w:p>
        </w:tc>
        <w:tc>
          <w:tcPr>
            <w:tcW w:w="530" w:type="pct"/>
            <w:vAlign w:val="center"/>
          </w:tcPr>
          <w:p w14:paraId="6CAEE48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F9121D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31.6</w:t>
            </w:r>
          </w:p>
        </w:tc>
        <w:tc>
          <w:tcPr>
            <w:tcW w:w="516" w:type="pct"/>
            <w:vMerge w:val="continue"/>
            <w:vAlign w:val="center"/>
          </w:tcPr>
          <w:p w14:paraId="6EF6E48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30603EC8">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9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72840E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1C8FB89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5CBF1C4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平面磨床</w:t>
            </w:r>
          </w:p>
        </w:tc>
        <w:tc>
          <w:tcPr>
            <w:tcW w:w="530" w:type="pct"/>
            <w:vAlign w:val="center"/>
          </w:tcPr>
          <w:p w14:paraId="7BBEB8E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3A599D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20.8</w:t>
            </w:r>
          </w:p>
        </w:tc>
        <w:tc>
          <w:tcPr>
            <w:tcW w:w="516" w:type="pct"/>
            <w:vMerge w:val="continue"/>
            <w:vAlign w:val="center"/>
          </w:tcPr>
          <w:p w14:paraId="338A821C">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B9856D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40A4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F966FF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3395183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w:t>
            </w:r>
          </w:p>
        </w:tc>
        <w:tc>
          <w:tcPr>
            <w:tcW w:w="1534" w:type="pct"/>
            <w:vAlign w:val="center"/>
          </w:tcPr>
          <w:p w14:paraId="3890714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线切割机床</w:t>
            </w:r>
          </w:p>
        </w:tc>
        <w:tc>
          <w:tcPr>
            <w:tcW w:w="530" w:type="pct"/>
            <w:vAlign w:val="center"/>
          </w:tcPr>
          <w:p w14:paraId="30D968C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844" w:type="pct"/>
            <w:vAlign w:val="center"/>
          </w:tcPr>
          <w:p w14:paraId="53A499F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34</w:t>
            </w:r>
          </w:p>
        </w:tc>
        <w:tc>
          <w:tcPr>
            <w:tcW w:w="516" w:type="pct"/>
            <w:vMerge w:val="continue"/>
            <w:vAlign w:val="center"/>
          </w:tcPr>
          <w:p w14:paraId="7931E65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14BD9BAB">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F0C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22D6790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A27493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w:t>
            </w:r>
          </w:p>
        </w:tc>
        <w:tc>
          <w:tcPr>
            <w:tcW w:w="1534" w:type="pct"/>
            <w:vAlign w:val="center"/>
          </w:tcPr>
          <w:p w14:paraId="24DDB17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锯床</w:t>
            </w:r>
          </w:p>
        </w:tc>
        <w:tc>
          <w:tcPr>
            <w:tcW w:w="530" w:type="pct"/>
            <w:vAlign w:val="center"/>
          </w:tcPr>
          <w:p w14:paraId="0ED62C1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E0F7E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8.8</w:t>
            </w:r>
          </w:p>
        </w:tc>
        <w:tc>
          <w:tcPr>
            <w:tcW w:w="516" w:type="pct"/>
            <w:vMerge w:val="continue"/>
            <w:vAlign w:val="center"/>
          </w:tcPr>
          <w:p w14:paraId="5F2B896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431C21">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545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55CFAB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3181E4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w:t>
            </w:r>
          </w:p>
        </w:tc>
        <w:tc>
          <w:tcPr>
            <w:tcW w:w="1534" w:type="pct"/>
            <w:vAlign w:val="center"/>
          </w:tcPr>
          <w:p w14:paraId="510D286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炮塔铣</w:t>
            </w:r>
          </w:p>
        </w:tc>
        <w:tc>
          <w:tcPr>
            <w:tcW w:w="530" w:type="pct"/>
            <w:vAlign w:val="center"/>
          </w:tcPr>
          <w:p w14:paraId="511DA9F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C9667F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7.85</w:t>
            </w:r>
          </w:p>
        </w:tc>
        <w:tc>
          <w:tcPr>
            <w:tcW w:w="516" w:type="pct"/>
            <w:vMerge w:val="continue"/>
            <w:vAlign w:val="center"/>
          </w:tcPr>
          <w:p w14:paraId="658CD26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FADADDD">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bookmarkEnd w:id="0"/>
    </w:tbl>
    <w:p w14:paraId="41A76179">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注：投标人所投报价不得超过每个品目所对应的预算金额，否则作无效投标处理。</w:t>
      </w:r>
    </w:p>
    <w:p w14:paraId="323797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合同履行期限：合同签订后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p>
    <w:p w14:paraId="753D61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本项目（是/否）接受联合体投标：否。</w:t>
      </w:r>
    </w:p>
    <w:p w14:paraId="6C2B4BD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二、申请人的资格要求：</w:t>
      </w:r>
    </w:p>
    <w:p w14:paraId="58CDF5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1.满足《中华人民共和国政府采购法》第二十二条规定；</w:t>
      </w:r>
    </w:p>
    <w:p w14:paraId="78DA4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（1）具有独立承担民事责任的能力（提供法人或者其他组织的营业执照，自然人的身份证明）；</w:t>
      </w:r>
    </w:p>
    <w:p w14:paraId="72FE72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（2）具有良好的商业信誉和健全的财务会计制度（提供以下三种材料的任意一种，扫描件加盖公章）：</w:t>
      </w:r>
    </w:p>
    <w:p w14:paraId="4B15FE6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①上一年度的经第三方会计师事务所审计的财务报告扫描件（包括报告及报表等内容，并由注册会计师签名、盖章以及会计师事务所盖章）；</w:t>
      </w:r>
    </w:p>
    <w:p w14:paraId="4C8267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②提交投标文件截止日前六个月内基本开户银行出具的资信证明；</w:t>
      </w:r>
    </w:p>
    <w:p w14:paraId="7F2832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③提交投标文件截止时间前六个月内任意一个月的财务状况记录（至少包括资产负债表和损益表，并加盖公章）。</w:t>
      </w:r>
    </w:p>
    <w:p w14:paraId="3B98F2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（3）具有履行合同所必需的设备和专业技术能力（根据项目需求提供履行合同所必需的设备和专业技术能力的声明或证明材料）；</w:t>
      </w:r>
    </w:p>
    <w:p w14:paraId="13E7DF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有依法缴纳税收和社会保障资金的良好记录【投标人需要提供提交投标文件截止日前六个月内任意一个月的企业依法缴纳税收（个人所得税除外）和社会保障资金的记录（如依法免税或依法不需要缴纳社会保障资金的，提供相应证明文件，自拟文件无效】；</w:t>
      </w:r>
    </w:p>
    <w:p w14:paraId="47F563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（6）法律、行政法规规定的其他条件。</w:t>
      </w:r>
    </w:p>
    <w:p w14:paraId="50D78E54">
      <w:pPr>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14:textFill>
            <w14:solidFill>
              <w14:schemeClr w14:val="tx1"/>
            </w14:solidFill>
          </w14:textFill>
        </w:rPr>
        <w:t>无（本项目非专门面向中小企业采购）。</w:t>
      </w:r>
    </w:p>
    <w:p w14:paraId="6430FC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3.本项目的特定资格要求：无。</w:t>
      </w:r>
    </w:p>
    <w:p w14:paraId="0C84BA5E">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三、获取招标文件</w:t>
      </w:r>
    </w:p>
    <w:p w14:paraId="23C59F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时间：自招标文件公告发布之日起5个工作日</w:t>
      </w:r>
    </w:p>
    <w:p w14:paraId="14A6BAC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14:textFill>
            <w14:solidFill>
              <w14:schemeClr w14:val="tx1"/>
            </w14:solidFill>
          </w14:textFill>
        </w:rPr>
        <w:t>江苏政府采购网</w:t>
      </w:r>
    </w:p>
    <w:p w14:paraId="0F40D1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售价：0元</w:t>
      </w:r>
    </w:p>
    <w:p w14:paraId="4163A243">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四、提交投标文件截止时间、开标时间和地点</w:t>
      </w:r>
    </w:p>
    <w:p w14:paraId="6C43E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提交投标文件截止时间、开标时间：</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w:t>
      </w:r>
    </w:p>
    <w:p w14:paraId="74C0D0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u w:val="single"/>
          <w14:textFill>
            <w14:solidFill>
              <w14:schemeClr w14:val="tx1"/>
            </w14:solidFill>
          </w14:textFill>
        </w:rPr>
        <w:t>江苏省政府采购交易系统（以下简称“苏采云系统”）网上开标大厅</w:t>
      </w:r>
    </w:p>
    <w:p w14:paraId="0C8FF244">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五、公告期限</w:t>
      </w:r>
    </w:p>
    <w:p w14:paraId="40A019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自本公告发布之日起5个工作日。</w:t>
      </w:r>
    </w:p>
    <w:p w14:paraId="3849AA6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六、其他补充事宜</w:t>
      </w:r>
    </w:p>
    <w:p w14:paraId="108E41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1.本项目标的所属行业：工业</w:t>
      </w:r>
    </w:p>
    <w:p w14:paraId="11AABE2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2.本项目不接受联合体投标，不接受转包、分包。</w:t>
      </w:r>
    </w:p>
    <w:p w14:paraId="1E881F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3.本项目不接受进口产品投标（注：本文件所称进口产品是指通过中国海关报关验放进入中国境内且产自关境外的产品）。</w:t>
      </w:r>
    </w:p>
    <w:p w14:paraId="12778B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4.拒绝下述投标人参加本次采购活动：</w:t>
      </w:r>
    </w:p>
    <w:p w14:paraId="51471E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（1）投标人单位负责人为同一人或者存在直接控股、管理关系的不同投标人，不得参加同一合同项下的采购活动。</w:t>
      </w:r>
    </w:p>
    <w:p w14:paraId="34E288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（2）凡为采购项目提供整体设计、规范编制或者项目管理、监理、检测等服务的投标人，不得再参加本项目的采购活动。</w:t>
      </w:r>
    </w:p>
    <w:p w14:paraId="48EA31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（3）拒绝列入失信被执行人、重大税收违法失信主体、政府采购严重违法失信行为记录名单中的投标人参加本项目的采购活动。</w:t>
      </w:r>
    </w:p>
    <w:p w14:paraId="011D06C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5.集中考察或答疑：采购人不组织。</w:t>
      </w:r>
    </w:p>
    <w:p w14:paraId="2CF9CD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6.公告媒体</w:t>
      </w:r>
    </w:p>
    <w:p w14:paraId="2A7CF7A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（1）本公告在江苏政府采购网（http://www.ccgp-jiangsu.gov.cn/）发布，敬请各投标人关注；</w:t>
      </w:r>
    </w:p>
    <w:p w14:paraId="430952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（2）若有关本次采购存在变动或修改，敬请各投标人及时关注江苏政府采购网（http://www.ccgp-jiangsu.gov.cn/）发布的关于本项目的信息更正公告。</w:t>
      </w:r>
    </w:p>
    <w:p w14:paraId="60ABFB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8DB06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0DBD4F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七、对本次招标提出询问，请按以下方式联系。</w:t>
      </w:r>
    </w:p>
    <w:p w14:paraId="31E34C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1.采购人信息</w:t>
      </w:r>
    </w:p>
    <w:p w14:paraId="7DE6A27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名称：江苏省特种设备安全监督检验研究院</w:t>
      </w:r>
    </w:p>
    <w:p w14:paraId="4CBC208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地址：南京市鼓楼区草场门大街150号龙江大厦</w:t>
      </w:r>
    </w:p>
    <w:p w14:paraId="3DBFC5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联系方式：李风华025-89621099</w:t>
      </w:r>
    </w:p>
    <w:p w14:paraId="68F83F9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2.采购代理机构信息</w:t>
      </w:r>
    </w:p>
    <w:p w14:paraId="763553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名称：南京苏宁工程咨询有限公司</w:t>
      </w:r>
    </w:p>
    <w:p w14:paraId="59BB3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地址：南京市鼓楼区中山路99号12楼1212室</w:t>
      </w:r>
    </w:p>
    <w:p w14:paraId="10D176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联系方式：张薇025-84207240、025-83616261</w:t>
      </w:r>
    </w:p>
    <w:p w14:paraId="64E5D4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3.项目联系方式</w:t>
      </w:r>
    </w:p>
    <w:p w14:paraId="438AF9A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项目联系人：张薇</w:t>
      </w:r>
    </w:p>
    <w:p w14:paraId="32BF875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电话：025-84207240、025-83616261</w:t>
      </w:r>
    </w:p>
    <w:p w14:paraId="3EE8414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6E5C2FB">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第二章  投标人须知</w:t>
      </w:r>
    </w:p>
    <w:p w14:paraId="2FFE52BA">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一、总则</w:t>
      </w:r>
    </w:p>
    <w:p w14:paraId="1CEAFAA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1.适用法律</w:t>
      </w:r>
    </w:p>
    <w:p w14:paraId="3D65DEA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2.定义</w:t>
      </w:r>
    </w:p>
    <w:p w14:paraId="2D3620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2.1“采购人”是指江苏省特种设备安全监督检验研究院</w:t>
      </w:r>
    </w:p>
    <w:p w14:paraId="349A58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2.2“采购代理机构”是指南京苏宁工程咨询有限公司</w:t>
      </w:r>
    </w:p>
    <w:p w14:paraId="28BF04D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2.3“供应商”“投标人”是指向采购人提供货物、工程或者服务的法人、其他组织或者自然人。</w:t>
      </w:r>
    </w:p>
    <w:p w14:paraId="20B3795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2.4“货物”是指各种形态和种类的物品，包括原材料、燃料、设备、产品等。</w:t>
      </w:r>
    </w:p>
    <w:p w14:paraId="001BAD6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2.5“工程”是指建设工程，包括建筑物和构筑物的新建、改建、扩建、装修、拆除、修缮等。</w:t>
      </w:r>
    </w:p>
    <w:p w14:paraId="002DC9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2.6“服务”是指除货物和工程以外的其他政府采购对象。</w:t>
      </w:r>
    </w:p>
    <w:p w14:paraId="1963BBE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3.政策功能</w:t>
      </w:r>
    </w:p>
    <w:p w14:paraId="78157E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 政府采购促进中小企业发展，在政府采购活动中，投标人提供的货物、工程或者服务，符合下列情形的，享受中小企业扶持政策：</w:t>
      </w:r>
    </w:p>
    <w:p w14:paraId="520EC1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（1）在货物采购项目中，货物由中小企业制造，即货物由中小企业生产且使用该中小企业商号或者注册商标；</w:t>
      </w:r>
    </w:p>
    <w:p w14:paraId="6B7F16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（2）在工程采购项目中，工程由中小企业承建，即工程施工单位为中小企业；</w:t>
      </w:r>
    </w:p>
    <w:p w14:paraId="2B2F85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在货物采购项目中，投标人提供的货物既有中小企业制造货物，也有大型企业制造货物的，不享受中小企业扶持政策。</w:t>
      </w:r>
    </w:p>
    <w:p w14:paraId="6D53CD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3.4 脱贫攻坚支持政策</w:t>
      </w:r>
    </w:p>
    <w:p w14:paraId="4CB4EE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3.6 提供的产品属于信息安全产品的，投标人应当选择经国家认证的信息安全产品投标，并提供由中国信息安全认证中心按国家标准认证颁发的有效认证证书扫描件。</w:t>
      </w:r>
    </w:p>
    <w:p w14:paraId="799B28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3.7 提供的产品属于政府强制采购节能产品的，投标人应当选择依据国家标准中二级能效（水效）指标认证的节能产品投标，并提供有效的节能产品认证证书扫描件。</w:t>
      </w:r>
    </w:p>
    <w:p w14:paraId="5C0D91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3.8 提供的产品属于环境标志产品的，投标人应当选择依据相关标准的最新版本认证的环境标志产品投标，并提供有效的环境标志产品认证证书扫描件。</w:t>
      </w:r>
    </w:p>
    <w:p w14:paraId="508FD7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3.9实施本国产品标准及相关政策</w:t>
      </w:r>
    </w:p>
    <w:p w14:paraId="11A443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3.9.1根据《国务院办公厅关于在政府采购中实施本国产品标准及相关政策的通知》（国办发〔2025〕34号）、《关于贯彻落实〈国务院办公厅关于在政府采购中实施本国产品标准及相关政策的通知〉的意见》（财库〔2025〕30号）、《关于落实在政府采购中实施本国产品标准及相关政策的通知》（宁财购通〔2025〕78号）等文件规定，在政府采购中实施本国产品标准及相关政策。</w:t>
      </w:r>
    </w:p>
    <w:p w14:paraId="6ECFC14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3.9.2本国产品应当符合以下条件：</w:t>
      </w:r>
    </w:p>
    <w:p w14:paraId="5772B4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（1）在中国境内生产</w:t>
      </w:r>
    </w:p>
    <w:p w14:paraId="40AAB7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（2）在中国境内生产的组件成本占比达到规定比例</w:t>
      </w:r>
    </w:p>
    <w:p w14:paraId="12A24CA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（3）特定产品的关键组件、关键工序符合相关要求</w:t>
      </w:r>
    </w:p>
    <w:p w14:paraId="609C90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3.9.3本国产品标准的适用范围</w:t>
      </w:r>
    </w:p>
    <w:p w14:paraId="2253250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3.9.4对本国产品的支持政策</w:t>
      </w:r>
    </w:p>
    <w:p w14:paraId="696C9A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本项目如既有本国产品又有非本国产品参与竞争，依法对本国产品给予价格评审优惠，具体详见第三章。</w:t>
      </w:r>
    </w:p>
    <w:p w14:paraId="67987C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3.9.5政策执行要求</w:t>
      </w:r>
    </w:p>
    <w:p w14:paraId="7B1FB2F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3.10 未按要求提供相关材料的，不享受相关政策。</w:t>
      </w:r>
    </w:p>
    <w:p w14:paraId="3D53A3A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4.招标文件的约束力</w:t>
      </w:r>
    </w:p>
    <w:p w14:paraId="551935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4.1 投标人一旦参加本项目采购活动，即被认为接受了本招标文件的规定和约束。</w:t>
      </w:r>
    </w:p>
    <w:p w14:paraId="47C3567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二、招标文件</w:t>
      </w:r>
    </w:p>
    <w:p w14:paraId="786E88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5.招标文件组成</w:t>
      </w:r>
    </w:p>
    <w:p w14:paraId="6C2078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5.1 招标文件组成：投标邀请、投标人须知、评标方法与评标标准、采购需求、合同主要条款及格式、投标文件格式及附件等。</w:t>
      </w:r>
    </w:p>
    <w:p w14:paraId="149EB2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5.2 招标的最小单位是采购包。招标货物数量及技术要求中未划分采购包的，投标人对要求提供的货物不得部分投标；招标货物数量及技术要求中已经分包的，应当以采购包为单位投标。</w:t>
      </w:r>
    </w:p>
    <w:p w14:paraId="12E4D4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5.3 招标文件如果要求投标人提交备选投标方案的，投标人可以提交备选方案，否则，不接受备选方案。</w:t>
      </w:r>
    </w:p>
    <w:p w14:paraId="332784F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6.招标文件的澄清修改</w:t>
      </w:r>
    </w:p>
    <w:p w14:paraId="26F7F6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6.3 投标人应在投标截止时间前关注原采购信息发布媒体上有关本招标项目有无更正公告。</w:t>
      </w:r>
    </w:p>
    <w:p w14:paraId="7185A45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三、投标</w:t>
      </w:r>
    </w:p>
    <w:p w14:paraId="36DF152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7.投标文件的语言、计量单位、货币、技术标准和编制</w:t>
      </w:r>
    </w:p>
    <w:p w14:paraId="33691F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7.2 投标人所使用的计量单位应为国家法定计量单位。</w:t>
      </w:r>
    </w:p>
    <w:p w14:paraId="28C43F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7.3 投标人应用人民币报价。</w:t>
      </w:r>
    </w:p>
    <w:p w14:paraId="4986C3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7.4 投标文件应字迹清楚、内容齐全、不得涂改。如有修改，修改处须有法定代表人签字或盖章，或授权委托人签字或加盖投标人公章。</w:t>
      </w:r>
    </w:p>
    <w:p w14:paraId="6F64C9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7.5 如标书制作工具中格式和内容与“江苏政府采购网”发布的招标文件不一致，以“江苏政府采购网”发布的招标文件为准。</w:t>
      </w:r>
    </w:p>
    <w:p w14:paraId="0141129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7.6 投标人应在投标文件中写清相应的项目编号、项目名称、投标人全称、地址、电话、传真等。</w:t>
      </w:r>
    </w:p>
    <w:p w14:paraId="23EC0F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7.7 投标人所使用的技术标准应遵循国家最新标准及规范。</w:t>
      </w:r>
    </w:p>
    <w:p w14:paraId="1F5A817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8.联合体及分包：本项目不接受联合体投标，不接受分包、转包。</w:t>
      </w:r>
    </w:p>
    <w:p w14:paraId="5C1A29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8.1 采购项目如接受联合体投标的，两个以上的自然人、法人或者其他组织可以组成一个联合体，以一个投标人的身份共同参加投标。</w:t>
      </w:r>
    </w:p>
    <w:p w14:paraId="31EAE8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8.4 享受中小企业扶持政策获得政府采购合同的，小微企业不得将合同分包给大中型企业，中型企业不得将合同分包给大型企业。</w:t>
      </w:r>
    </w:p>
    <w:p w14:paraId="1A14E95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9.投标费用</w:t>
      </w:r>
    </w:p>
    <w:p w14:paraId="2C5D36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9.2 招标代理服务费：因项目预算中已包含招标代理服务费用，故本次项目服务费由中标供应商直接向招标代理机构支付。本次招标，中标人参照《招标代理服务收费管理暂行办法》（国家发展计划委员会计价格〔2002〕1980号）代理收费基准费率80%计算，在领取中标通知书前向招标代理机构支付招标服务费。该项费用请供应商综合考虑在投标报价中（无须在报价表中单列此费用），后期采购人不单独列支，必须在领取中标通知书前向招标代理机构支付招标服务费。</w:t>
      </w:r>
    </w:p>
    <w:p w14:paraId="1D31ECD1">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10.投标文件组成</w:t>
      </w:r>
    </w:p>
    <w:p w14:paraId="19EEAC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10.3 投标文件由商务部分、技术部分、价格部分，以及其他部分组成，格式见第六章。</w:t>
      </w:r>
    </w:p>
    <w:p w14:paraId="5AD547B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11.投标文件的商务部分</w:t>
      </w:r>
    </w:p>
    <w:p w14:paraId="227017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（1）★投标函；</w:t>
      </w:r>
    </w:p>
    <w:p w14:paraId="2FE8E6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（2）★法定代表人授权委托书、授权委托人的身份证扫描件及投标人或分支机构为其缴纳的社保证明（有授权委托的），或法定代表人身份证扫描件（无授权委托的）；</w:t>
      </w:r>
    </w:p>
    <w:p w14:paraId="1B2CD5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（3）★第一章投标邀请中“二、申请人的资格要求”规定的证明文件；</w:t>
      </w:r>
    </w:p>
    <w:p w14:paraId="2666F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（4）《商务条款偏离表》；</w:t>
      </w:r>
    </w:p>
    <w:p w14:paraId="542E47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（5）投标人认为需要提供的其他资格证明文件和商务资料。</w:t>
      </w:r>
    </w:p>
    <w:p w14:paraId="38F658B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12.投标文件的技术部分</w:t>
      </w:r>
    </w:p>
    <w:p w14:paraId="6657AC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12.1 技术部分是证明投标人提供的货物及相关服务是合格的、并符合招标文件要求的证明文件，以及对提供的货物及相关服务的详细说明，这些文件可以是文字资料、图纸和数据等。</w:t>
      </w:r>
    </w:p>
    <w:p w14:paraId="45C306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12.2 若技术性能无特殊说明，则按国家有关部门最新颁布的标准及规范为准。</w:t>
      </w:r>
    </w:p>
    <w:p w14:paraId="0A84A65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12.3 提供的货物及相关服务的技术指标如与招标文件要求有不符之处，应说明其差别之所在，并在《技术条款偏离表》中逐条予以说明。</w:t>
      </w:r>
    </w:p>
    <w:p w14:paraId="6284ACC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13.投标文件的价格部分</w:t>
      </w:r>
    </w:p>
    <w:p w14:paraId="23E7B06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13.1所有投标均以人民币报价，应包括国家规定的税金。</w:t>
      </w:r>
    </w:p>
    <w:p w14:paraId="3378537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13.2投标文件的价格部分是对采购标的价格构成的说明，招标文件如无特别说明，每项货物、服务或工程等只允许有一个报价，任何有选择的报价将不予接受，将作为无效投标处理。</w:t>
      </w:r>
    </w:p>
    <w:p w14:paraId="6BE4FE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14.投标文件的其他部分</w:t>
      </w:r>
    </w:p>
    <w:p w14:paraId="47665B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14.1 投标人编制投标文件需要提供的其他相关文件。</w:t>
      </w:r>
    </w:p>
    <w:p w14:paraId="5E9521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15.投标保证金：无</w:t>
      </w:r>
    </w:p>
    <w:p w14:paraId="7EF603D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16.投标有效期</w:t>
      </w:r>
    </w:p>
    <w:p w14:paraId="1EE480D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16.1 自开标之日起</w:t>
      </w:r>
      <w:r>
        <w:rPr>
          <w:rFonts w:hint="eastAsia"/>
          <w:color w:val="000000" w:themeColor="text1"/>
          <w:u w:val="single"/>
          <w14:textFill>
            <w14:solidFill>
              <w14:schemeClr w14:val="tx1"/>
            </w14:solidFill>
          </w14:textFill>
        </w:rPr>
        <w:t>九十日</w:t>
      </w:r>
      <w:r>
        <w:rPr>
          <w:rFonts w:hint="eastAsia"/>
          <w:color w:val="000000" w:themeColor="text1"/>
          <w14:textFill>
            <w14:solidFill>
              <w14:schemeClr w14:val="tx1"/>
            </w14:solidFill>
          </w14:textFill>
        </w:rPr>
        <w:t>内投标有效。</w:t>
      </w:r>
      <w:r>
        <w:rPr>
          <w:rFonts w:hint="eastAsia"/>
          <w:b/>
          <w:bCs/>
          <w:color w:val="000000" w:themeColor="text1"/>
          <w14:textFill>
            <w14:solidFill>
              <w14:schemeClr w14:val="tx1"/>
            </w14:solidFill>
          </w14:textFill>
        </w:rPr>
        <w:t>投标有效期未达到规定期限的，按无效投标处理。</w:t>
      </w:r>
    </w:p>
    <w:p w14:paraId="5ED3A16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17.投标文件的签署</w:t>
      </w:r>
    </w:p>
    <w:p w14:paraId="27230E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17.1 投标文件须经法定代表人或经正式授权并对投标人有约束力的授权委托人签字（可采用电子签名）和加盖投标人电子公章。本招标文件所表述（指定）的公章是指法定名称章，不包括合同专用章、业务专用章等印章。</w:t>
      </w:r>
    </w:p>
    <w:p w14:paraId="36D752E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18.投标文件的递交</w:t>
      </w:r>
    </w:p>
    <w:p w14:paraId="324C92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18.1 投标人应当按照《操作手册》规定，在招标公告规定的投标截止时间前制作并上传电子投标文件。</w:t>
      </w:r>
    </w:p>
    <w:p w14:paraId="228F4E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18.2 投标人应充分考虑网络环境、网络带宽等因素可能对投标产生的影响，如因投标人自身原因造成的电子投标文件上传不成功的，按做无效投标处理。</w:t>
      </w:r>
    </w:p>
    <w:p w14:paraId="553B32A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19.有下列情形之一的投标文件将被拒收</w:t>
      </w:r>
    </w:p>
    <w:p w14:paraId="40C844F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19.1 投标截止时间后上传的任何投标文件将被拒绝。</w:t>
      </w:r>
    </w:p>
    <w:p w14:paraId="3D7982B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20.投标文件的修改和撤回</w:t>
      </w:r>
    </w:p>
    <w:p w14:paraId="21140A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 投标文件的撤回</w:t>
      </w:r>
    </w:p>
    <w:p w14:paraId="770687C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20.1.1 投标人可在投标截止时间前撤回其电子投标文件，具体操作方法见《操作手册》。</w:t>
      </w:r>
    </w:p>
    <w:p w14:paraId="7B0591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20.1.2 投标人撤回电子投标文件，则认为其不再参与本项目投标活动。</w:t>
      </w:r>
    </w:p>
    <w:p w14:paraId="1359C7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 投标文件的修改</w:t>
      </w:r>
    </w:p>
    <w:p w14:paraId="1ED917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 投标人可在投标截止时间前对其电子投标文件进行修改，具体操作方法见《操作手册》。</w:t>
      </w:r>
    </w:p>
    <w:p w14:paraId="62F3E3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20.2.2 投标截止时间之后，投标人不得对其电子投标文件作任何修改。</w:t>
      </w:r>
    </w:p>
    <w:p w14:paraId="3B4600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20.3 在投标截止时间至招标文件中规定的投标有效期满之间的这段时间内，投标人不得撤回其投标。</w:t>
      </w:r>
    </w:p>
    <w:p w14:paraId="104515A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四、开标、评标与确定中标人</w:t>
      </w:r>
    </w:p>
    <w:p w14:paraId="01C52A1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21.开标</w:t>
      </w:r>
    </w:p>
    <w:p w14:paraId="64C8CD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21.1 采购代理机构在招标公告中规定的时间和地点组织公开开标。投标人按照《操作手册》规定参加开标活动，并在苏采云系统规定的时间内对投标文件进行解密。苏采云系统公布各投标人名称和投标价格。</w:t>
      </w:r>
    </w:p>
    <w:p w14:paraId="64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21.2 投标人在开标过程中涉及到的投标文件解密、开标结果确认等工作，应按照《操作手册》规定执行。</w:t>
      </w:r>
    </w:p>
    <w:p w14:paraId="0DE39B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21.3 投标人如果对开标过程和开标结果有疑义，应当根据《操作手册》规定提出，苏采云系统中《开标记录表》公布后5分钟内未提出的，视同认可开标结果。</w:t>
      </w:r>
    </w:p>
    <w:p w14:paraId="433924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21.4 如出现投标截止时间结束后参加投标的投标人不足三家的情况，不得开标。</w:t>
      </w:r>
    </w:p>
    <w:p w14:paraId="6CFCF21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22.评标</w:t>
      </w:r>
    </w:p>
    <w:p w14:paraId="0F0EE2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 评标组织</w:t>
      </w:r>
    </w:p>
    <w:p w14:paraId="631223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22.1.1 评标工作由代理机构组织，具体评标事务由依法组建的评标委员会负责，并独立履行下列职责：</w:t>
      </w:r>
    </w:p>
    <w:p w14:paraId="79CE9FF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（1）审查、评价投标文件是否符合招标文件的商务、技术等实质性要求；</w:t>
      </w:r>
    </w:p>
    <w:p w14:paraId="5FF3B9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（2）要求投标人对投标文件有关事项作出澄清或者说明；</w:t>
      </w:r>
    </w:p>
    <w:p w14:paraId="3BA074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（3）对投标文件进行比较和评价；</w:t>
      </w:r>
    </w:p>
    <w:p w14:paraId="39A011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（4）推荐中标候选人或根据采购人委托直接确定中标人；</w:t>
      </w:r>
    </w:p>
    <w:p w14:paraId="16D7383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（5）向采购人、采购代理机构或者有关部门报告评标中发现的违法行为。</w:t>
      </w:r>
    </w:p>
    <w:p w14:paraId="64644E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22.1.2 评标委员会由采购人代表（如有）和有关技术、经济等方面的专家组成，独立开展评审工作。</w:t>
      </w:r>
    </w:p>
    <w:p w14:paraId="23BAD5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 评标程序</w:t>
      </w:r>
    </w:p>
    <w:p w14:paraId="3DF4798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 投标文件的资格审查</w:t>
      </w:r>
    </w:p>
    <w:p w14:paraId="1A44C2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22.2.1.1 采购人代表依法对投标人的资格进行审查。</w:t>
      </w:r>
    </w:p>
    <w:p w14:paraId="5038971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22.2.1.2 采购人代表依据法律法规和招标文件的规定，对投标文件中的资格证明文件等进行审查，以确定投标人是否具备投标资格。</w:t>
      </w:r>
    </w:p>
    <w:p w14:paraId="6B73EE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22.2.1.3 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采购代理机构将查询结果以网页打印的形式留存并归档。</w:t>
      </w:r>
    </w:p>
    <w:p w14:paraId="12FAAEC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22.2.1.4 投标文件有下列情况之一的，在资格性审查时按照无效投标处理</w:t>
      </w:r>
    </w:p>
    <w:p w14:paraId="26A619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（1）不具备招标文件规定资格条件的；</w:t>
      </w:r>
    </w:p>
    <w:p w14:paraId="326339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p>
    <w:p w14:paraId="7CBA2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 投标文件的符合性审查</w:t>
      </w:r>
    </w:p>
    <w:p w14:paraId="0953948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 评标委员会将依据法律法规和招标文件的规定，对投标文件的有效性、完整性和对招标文件的响应程度进行审查，以确定是否对招标文件的实质性要求作出响应。</w:t>
      </w:r>
    </w:p>
    <w:p w14:paraId="3FA7BD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22.2.2.2 实质性要求是指本招标文件中带“★”的要求。</w:t>
      </w:r>
    </w:p>
    <w:p w14:paraId="1E03C16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 算术错误的修正</w:t>
      </w:r>
    </w:p>
    <w:p w14:paraId="02D1274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22.2.2.4.1 评标委员会将对确定为实质性响应的投标进行进一步审核，看其是否有计算上或累加上的算术错误，修正错误的原则如下：</w:t>
      </w:r>
    </w:p>
    <w:p w14:paraId="75D2DC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（1）投标文件中开标一览表内容与投标文件中相应内容不一致的，以开标一览表为准。</w:t>
      </w:r>
    </w:p>
    <w:p w14:paraId="3C4138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（2）大写金额和小写金额不一致的，以大写金额为准。</w:t>
      </w:r>
    </w:p>
    <w:p w14:paraId="15D421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（3）单价金额小数点或者百分比有明显错位的，以开标一览表的总价为准，并修改单价。</w:t>
      </w:r>
    </w:p>
    <w:p w14:paraId="42E8A3E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（4）总价金额与按单价汇总金额不一致的，以单价金额计算结果为准。</w:t>
      </w:r>
    </w:p>
    <w:p w14:paraId="6A4A75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同时出现两种以上错误的，按照前款规定的顺序修正。</w:t>
      </w:r>
    </w:p>
    <w:p w14:paraId="0439B9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22.2.2.4.2 评标委员会将按上述修正错误的方法调整投标文件中的投标报价，并通过苏采云系统告知投标人。经投标人确认后产生约束力，投标人不确认的，其投标无效。</w:t>
      </w:r>
    </w:p>
    <w:p w14:paraId="7A84BC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22.2.2.5 相同品牌产品投标的处理方法</w:t>
      </w:r>
    </w:p>
    <w:p w14:paraId="7837D54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 异常低价审查</w:t>
      </w:r>
    </w:p>
    <w:p w14:paraId="1A48A0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22.2.2.6.1 评标过程中出现下列情形之一的，评标委员会应当启动异常低价投标审查程序：</w:t>
      </w:r>
    </w:p>
    <w:p w14:paraId="7C5A3E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（1）投标报价低于全部通过符合性审查投标人投标报价平均值65%的，即投标报价&lt;全部通过符合性审查投标人投标报价平均值×65%；</w:t>
      </w:r>
    </w:p>
    <w:p w14:paraId="3991AB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（2）投标报价低于通过符合性审查的次低报价投标人投标报价65%的，即投标报价&lt;通过符合性审查的次低报价投标人投标报价×65%；</w:t>
      </w:r>
    </w:p>
    <w:p w14:paraId="7CC7CA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（3）投标报价低于采购项目最高限价65%的，即投标报价&lt;采购项目最高限价×65%；</w:t>
      </w:r>
    </w:p>
    <w:p w14:paraId="2C3367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（4）评标委员会基于专业判断，认为投标人报价过低，有可能影响产品质量或者不能诚信履约的其他情形。</w:t>
      </w:r>
    </w:p>
    <w:p w14:paraId="69CA643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22.2.2.6.2 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标现场可不再重复提交。</w:t>
      </w:r>
    </w:p>
    <w:p w14:paraId="40C781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2591AF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22.2.2.7 投标文件有下列情况之一的，在符合性审查时按照无效投标处理：</w:t>
      </w:r>
    </w:p>
    <w:p w14:paraId="40D5355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（1）投标人在苏采云系统规定的时间内未成功解密电子投标文件；</w:t>
      </w:r>
    </w:p>
    <w:p w14:paraId="2E39C8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（2）投标人未按照招标文件要求上传电子投标文件；</w:t>
      </w:r>
    </w:p>
    <w:p w14:paraId="286087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（3）报价超过招标文件中规定的预算金额或者最高限价的；</w:t>
      </w:r>
    </w:p>
    <w:p w14:paraId="63C108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（4）不同投标人的投标文件由同一单位或者个人编制；</w:t>
      </w:r>
    </w:p>
    <w:p w14:paraId="366FBC2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（5）不同投标人委托同一单位或者个人办理投标事宜；</w:t>
      </w:r>
    </w:p>
    <w:p w14:paraId="210176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（6）不同投标人的投标文件载明的项目管理成员或者联系人员为同一人；</w:t>
      </w:r>
    </w:p>
    <w:p w14:paraId="3E0A15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（7）不同投标人的投标文件异常一致或者投标报价呈规律性差异；</w:t>
      </w:r>
    </w:p>
    <w:p w14:paraId="419E83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（8）不同投标人的投标文件相互混装；</w:t>
      </w:r>
    </w:p>
    <w:p w14:paraId="283C3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（9）不同投标人的负责人为同一人或者存在控股、管理关系的；</w:t>
      </w:r>
    </w:p>
    <w:p w14:paraId="3C8A479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（10）不同投标人的授权委托人（或法定代表人、项目经理、项目总监、项目负责人等）在招标文件发布日上月至投标截止日当月在同一单位缴纳社会保险的；</w:t>
      </w:r>
    </w:p>
    <w:p w14:paraId="388C81D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（11）未实质性响应招标文件要求的；</w:t>
      </w:r>
    </w:p>
    <w:p w14:paraId="5BBA4B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（12）属于投标邀请中拒绝参加本次采购活动投标人的；</w:t>
      </w:r>
    </w:p>
    <w:p w14:paraId="561040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（13）投标文件含有采购人不能接受的附加条件的；</w:t>
      </w:r>
    </w:p>
    <w:p w14:paraId="0515DD9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（14）评标委员会启动异常低价投标审查程序后，投标人不能提供书面说明、证明材料，或者提供的书面说明、证明材料不能证明其报价合理性的；</w:t>
      </w:r>
    </w:p>
    <w:p w14:paraId="122A45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（15）投标文件未按照招标文件要求加盖电子公章；</w:t>
      </w:r>
    </w:p>
    <w:p w14:paraId="3E2502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（16）不符合法律法规和招标文件规定的其他无效情形。</w:t>
      </w:r>
    </w:p>
    <w:p w14:paraId="1276B1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22.2.2.8 有下列情形之一的予以废标，同时将废标理由通知所有投标人</w:t>
      </w:r>
    </w:p>
    <w:p w14:paraId="5455AA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（1）符合资格条件的投标人或者对招标文件作实质性响应的投标人不足三家的；</w:t>
      </w:r>
    </w:p>
    <w:p w14:paraId="04D8E71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（2）出现影响采购公正的违法、违规行为的；</w:t>
      </w:r>
    </w:p>
    <w:p w14:paraId="7471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（3）投标人的报价均超过了采购预算或最高限价，采购人不能支付的；</w:t>
      </w:r>
    </w:p>
    <w:p w14:paraId="7C17A80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（4）因重大变故，采购任务取消的；</w:t>
      </w:r>
    </w:p>
    <w:p w14:paraId="29B0DC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（5）评标委员会认为招标文件存在歧义、重大缺陷，或者招标文件内容违反国家有关强制性规定的；</w:t>
      </w:r>
    </w:p>
    <w:p w14:paraId="03750C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（6）预留份额的采购项目或采购包，通过发布公告方式邀请投标人后，符合资格条件的中小企业数量不足3家的；</w:t>
      </w:r>
    </w:p>
    <w:p w14:paraId="3519161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（7）因苏采云系统故障造成开标不成功。</w:t>
      </w:r>
    </w:p>
    <w:p w14:paraId="6097658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如出现（1）或（4）情形，招标活动失败，评审委员会应对招标文件是否存在不合理条款进行论证，并在评审报告中写明论证意见。</w:t>
      </w:r>
    </w:p>
    <w:p w14:paraId="4E13707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22.2.2.9 投标截止时间结束参加投标的投标人不足三家的处理</w:t>
      </w:r>
    </w:p>
    <w:p w14:paraId="59492A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22.2.2.10 未通过资格审查或符合性审查的投标人，采购代理机构将通过苏采云系统告知其具体原因，评标结束后不再接受有关询问。</w:t>
      </w:r>
    </w:p>
    <w:p w14:paraId="7CBB1D8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22.2.2.11 </w:t>
      </w:r>
      <w:r>
        <w:rPr>
          <w:color w:val="000000" w:themeColor="text1"/>
          <w14:textFill>
            <w14:solidFill>
              <w14:schemeClr w14:val="tx1"/>
            </w14:solidFill>
          </w14:textFill>
        </w:rPr>
        <w:t>投标人在开、评标全过程中应保持通讯畅通，及时登录苏采云系统查阅、答复相关信息，并安排专人与交易中心及评委会联系。</w:t>
      </w:r>
    </w:p>
    <w:p w14:paraId="47B13E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 投标文件的进一步评审</w:t>
      </w:r>
    </w:p>
    <w:p w14:paraId="66E5DE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22.2.3.1 评标委员会将允许修正投标文件中不构成重大偏离的、微小的、非正规的、不一致的或不规则的地方，但这些修改不能影响任何投标人相应的名次排列。</w:t>
      </w:r>
    </w:p>
    <w:p w14:paraId="491DD1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 澄清有关问题。</w:t>
      </w:r>
    </w:p>
    <w:p w14:paraId="41D8E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22.2.3.2.1 对于投标文件中含义不明确、同类问题表述不一致或者有明显文字和计算错误的内容，评标委员会</w:t>
      </w:r>
      <w:r>
        <w:rPr>
          <w:rFonts w:hint="eastAsia" w:ascii="宋体" w:hAnsi="宋体" w:cs="Times New Roman"/>
          <w:color w:val="000000" w:themeColor="text1"/>
          <w:lang w:val="zh-CN"/>
          <w14:textFill>
            <w14:solidFill>
              <w14:schemeClr w14:val="tx1"/>
            </w14:solidFill>
          </w14:textFill>
        </w:rPr>
        <w:t>将通过苏采云系统向</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发出《澄清要求函》，接到《澄清要求函》的</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22.2.3.2.2 接到评标委员会澄清、说明和补正要求的，投标人如未按规定作出澄清、说明和补正，其风险由投标人自行承担。</w:t>
      </w:r>
    </w:p>
    <w:p w14:paraId="242D611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22.2.3.3 比较与评价。评标委员会应当按照招标文件中规定的评标方法和标准，对符合性审查合格的投标文件进行商务和技术评估，综合比较与评价。</w:t>
      </w:r>
    </w:p>
    <w:p w14:paraId="7CBE1B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 评标方法和标准</w:t>
      </w:r>
    </w:p>
    <w:p w14:paraId="33C425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22.3.1 采用综合评分法，是指投标文件满足招标文件全部实质性要求，且按照评审因素的量化指标评审得分最高的投标人为中标候选人的评标方法。</w:t>
      </w:r>
    </w:p>
    <w:p w14:paraId="5E055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22.3.2 评审因素和评审标准详见招标文件第三章。</w:t>
      </w:r>
    </w:p>
    <w:p w14:paraId="2C560676">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23.确定中标人</w:t>
      </w:r>
    </w:p>
    <w:p w14:paraId="44340A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23.2 按以下第（2）种方式确定中标人</w:t>
      </w:r>
    </w:p>
    <w:p w14:paraId="0FC056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（1）采购人授权评标委员会直接确定排名第一的中标候选人为中标人。</w:t>
      </w:r>
    </w:p>
    <w:p w14:paraId="3EF788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（2）采购人在评标委员会推荐的中标候选人中按顺序确定中标人。</w:t>
      </w:r>
    </w:p>
    <w:p w14:paraId="2B1C6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按第（2）种方式确定中标人的，代理机构自评审结束之日起2个工作日内将评审报告送交采购人，采购人应当自收到评审报告之日起5个工作日内在评审报告推荐的中标候选人中按顺序确定中标人。</w:t>
      </w:r>
    </w:p>
    <w:p w14:paraId="6ECFFBA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中标候选人并列的，由采购人或者采购人委托评标委员会按照技术指标优劣的方式确定中标人，技术指标优劣相同的，采取随机抽取的方式确定。</w:t>
      </w:r>
    </w:p>
    <w:p w14:paraId="26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23.3 中标人确定之日起2个工作日内，将在财政部门指定的政府采购信息发布媒体上公告，在公告中标结果的同时，采购人或者采购代理机构应当向中标人发出《中标通知书》。</w:t>
      </w:r>
    </w:p>
    <w:p w14:paraId="4F037B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23.4 《中标通知书》对采购人和中标人具有同等法律效力。</w:t>
      </w:r>
    </w:p>
    <w:p w14:paraId="556885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23.5 《中标通知书》发出后，中标人无正当理由不与采购人签订合同的，应当依法承担法律责任。</w:t>
      </w:r>
    </w:p>
    <w:p w14:paraId="0155C09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23.6 代理机构和评标委员会对未中标的投标人不作未中标原因的解释。</w:t>
      </w:r>
    </w:p>
    <w:p w14:paraId="09C2CC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23.7 所有投标文件不论中标与否均不退回。</w:t>
      </w:r>
    </w:p>
    <w:p w14:paraId="79C1C0F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24.编写评审报告</w:t>
      </w:r>
    </w:p>
    <w:p w14:paraId="11034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评标委员会根据全体评标成员签字的原始评标记录和评标结果编写评审报告。</w:t>
      </w:r>
    </w:p>
    <w:p w14:paraId="68D4134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25.评标过程的保密与公正</w:t>
      </w:r>
    </w:p>
    <w:p w14:paraId="358132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25.1 代理机构将采取必要措施，保证评标在严格保密的情况下进行。</w:t>
      </w:r>
    </w:p>
    <w:p w14:paraId="592A95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25.2 任何单位和个人不得非法干预、影响评标办法的确定，以及评标过程和结果。</w:t>
      </w:r>
    </w:p>
    <w:p w14:paraId="43430C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25.4 在评标过程中，投标人不得以任何行为影响评标过程，否则其投标文件将被作为无效投标文件。</w:t>
      </w:r>
    </w:p>
    <w:p w14:paraId="64D6538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25.5 采购代理机构和评标委员会不得向未中标的投标人解释未中标原因，也不公布评标过程中的相关细节。</w:t>
      </w:r>
    </w:p>
    <w:p w14:paraId="4AAC5DD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五、签订合同</w:t>
      </w:r>
    </w:p>
    <w:p w14:paraId="18A002E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26.签订合同</w:t>
      </w:r>
    </w:p>
    <w:p w14:paraId="251B8D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26.2 采购人不得向中标人提出任何不合理的要求作为签订合同的条件，不得与中标人私下订立背离合同实质性内容的协议。</w:t>
      </w:r>
    </w:p>
    <w:p w14:paraId="606476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六、询问、质疑、投诉和诚实信用</w:t>
      </w:r>
    </w:p>
    <w:p w14:paraId="120C3735">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27.询问</w:t>
      </w:r>
    </w:p>
    <w:p w14:paraId="3E26299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28.质疑</w:t>
      </w:r>
    </w:p>
    <w:p w14:paraId="013D85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28.1 投标人认为招标文件、采购过程和中标结果使自己的合法权益受到损害的，可以在知道或者应当知道其权益受到损害之日起七个工作日内，将质疑文件原件以书面形式送达代理机构。</w:t>
      </w:r>
    </w:p>
    <w:p w14:paraId="27E4D2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28.2 质疑供应商的质疑行为应符合财政部94号令相关规定，未参加采购活动的投标人或在采购活动中自身权益未受到损害的投标人所提出的质疑不予受理。</w:t>
      </w:r>
    </w:p>
    <w:p w14:paraId="04218FA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28.3 上述应知其权益受到损害之日是指：</w:t>
      </w:r>
    </w:p>
    <w:p w14:paraId="0A6876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（1）对招标文件提出质疑的，为获取招标文件之日或招标文件公告期限届满之日起计算；</w:t>
      </w:r>
    </w:p>
    <w:p w14:paraId="203B2FB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（2）对招标过程提出质疑的，自招标程序环节结束之日起计算；</w:t>
      </w:r>
    </w:p>
    <w:p w14:paraId="03D24D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（3）对中标结果提出质疑的，自中标结果公告期限届满之日起计算。</w:t>
      </w:r>
    </w:p>
    <w:p w14:paraId="19811F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28.4 质疑供应商在法定质疑期内应当一次性提出针对同一招标环节的质疑事项。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如在法定期限内对同一采购程序环节提出多次质疑的，</w:t>
      </w:r>
      <w:r>
        <w:rPr>
          <w:rFonts w:hint="eastAsia" w:ascii="宋体" w:hAnsi="宋体" w:cs="Times New Roman"/>
          <w:color w:val="000000" w:themeColor="text1"/>
          <w14:textFill>
            <w14:solidFill>
              <w14:schemeClr w14:val="tx1"/>
            </w14:solidFill>
          </w14:textFill>
        </w:rPr>
        <w:t>采购代理机构或采购人</w:t>
      </w:r>
      <w:r>
        <w:rPr>
          <w:rFonts w:hint="eastAsia" w:ascii="宋体" w:hAnsi="宋体" w:cs="Times New Roman"/>
          <w:color w:val="000000" w:themeColor="text1"/>
          <w:lang w:val="zh-CN"/>
          <w14:textFill>
            <w14:solidFill>
              <w14:schemeClr w14:val="tx1"/>
            </w14:solidFill>
          </w14:textFill>
        </w:rPr>
        <w:t>将只对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第一次质疑作出答复。</w:t>
      </w:r>
    </w:p>
    <w:p w14:paraId="147E13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28.5 代理机构在收到投标人的质疑后将及时组织调查核实，在七个工作日内作出答复，答复的内容不涉及商业秘密。</w:t>
      </w:r>
    </w:p>
    <w:p w14:paraId="3DFE9F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28.6 代理机构遵循“谁过错谁负担”的原则，有过错的一方承担调查论证费用。</w:t>
      </w:r>
    </w:p>
    <w:p w14:paraId="29EEF9F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29.投诉</w:t>
      </w:r>
    </w:p>
    <w:p w14:paraId="2E98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29.1 质疑供应商对代理机构的答复不满意，或代理机构未在规定的时间内作出答复的，可以在答复期满后十五个工作日内向采购项目同级财政部门投诉。</w:t>
      </w:r>
    </w:p>
    <w:p w14:paraId="05B8DE3B">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30.诚实信用</w:t>
      </w:r>
    </w:p>
    <w:p w14:paraId="7AFBFA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30.1 投标人之间不得相互串通投标报价，不得妨碍其他投标人的公平竞争，不得损害采购人和其他投标人的合法权益。</w:t>
      </w:r>
    </w:p>
    <w:p w14:paraId="5493B9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30.4 投标人不得虚假承诺，否则，按照提供虚假材料谋取中标处理。</w:t>
      </w:r>
    </w:p>
    <w:p w14:paraId="0606311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30.5 投标人应自觉遵守开标、评标纪律，扰乱开标评标现场秩序的，属于失信行为，采购人或采购代理机构有权上报相关部门，并由相关部门按有关规定进行处理。</w:t>
      </w:r>
    </w:p>
    <w:p w14:paraId="72DA4B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88BB7BD">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第三章  评标方法与评标标准</w:t>
      </w:r>
    </w:p>
    <w:p w14:paraId="052BE58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一、评标方法与定标原则</w:t>
      </w:r>
    </w:p>
    <w:p w14:paraId="43C6BEA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1.评标方法：</w:t>
      </w:r>
    </w:p>
    <w:p w14:paraId="59CBC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评委会将对确定为实质性响应招标文件要求的投标文件进行评价和比较，评标采用综合评分法。</w:t>
      </w:r>
    </w:p>
    <w:p w14:paraId="03F031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2.定标原则：</w:t>
      </w:r>
    </w:p>
    <w:p w14:paraId="31273F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二、综合评分标准</w:t>
      </w:r>
    </w:p>
    <w:p w14:paraId="218A61F5">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评标委员会将按下列评分具体办法和标准进行打分，总分值为100分。具体评分因素及评分明细如下：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4F9A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06D964E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序号</w:t>
            </w:r>
          </w:p>
        </w:tc>
        <w:tc>
          <w:tcPr>
            <w:tcW w:w="645" w:type="pct"/>
            <w:vAlign w:val="center"/>
          </w:tcPr>
          <w:p w14:paraId="007BF0B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w:t>
            </w:r>
          </w:p>
          <w:p w14:paraId="7441629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因素</w:t>
            </w:r>
          </w:p>
        </w:tc>
        <w:tc>
          <w:tcPr>
            <w:tcW w:w="3526" w:type="pct"/>
            <w:vAlign w:val="center"/>
          </w:tcPr>
          <w:p w14:paraId="6374D905">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评分明细</w:t>
            </w:r>
          </w:p>
        </w:tc>
        <w:tc>
          <w:tcPr>
            <w:tcW w:w="400" w:type="pct"/>
            <w:vAlign w:val="center"/>
          </w:tcPr>
          <w:p w14:paraId="74E5CC18">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分值</w:t>
            </w:r>
          </w:p>
        </w:tc>
      </w:tr>
      <w:tr w14:paraId="2ADA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DCD079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645" w:type="pct"/>
            <w:vAlign w:val="center"/>
          </w:tcPr>
          <w:p w14:paraId="5FAF14E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价格</w:t>
            </w:r>
          </w:p>
        </w:tc>
        <w:tc>
          <w:tcPr>
            <w:tcW w:w="3526" w:type="pct"/>
            <w:vAlign w:val="center"/>
          </w:tcPr>
          <w:p w14:paraId="09DEB54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采用低价优先法计算，即满足招标文件要求且投标价格最低的报价为评审基准价，其价格分为满分。</w:t>
            </w:r>
          </w:p>
          <w:p w14:paraId="3F30859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其他投标供应商的价格分统一按照下列公式计算：报价得分=（评审基准价/投标报价）×30。（小数点后保留两位）</w:t>
            </w:r>
          </w:p>
        </w:tc>
        <w:tc>
          <w:tcPr>
            <w:tcW w:w="400" w:type="pct"/>
            <w:vAlign w:val="center"/>
          </w:tcPr>
          <w:p w14:paraId="6BB00DB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30</w:t>
            </w:r>
          </w:p>
        </w:tc>
      </w:tr>
      <w:tr w14:paraId="46E7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68E9A64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645" w:type="pct"/>
            <w:vAlign w:val="center"/>
          </w:tcPr>
          <w:p w14:paraId="494369B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技术指标响应情况</w:t>
            </w:r>
          </w:p>
        </w:tc>
        <w:tc>
          <w:tcPr>
            <w:tcW w:w="3526" w:type="pct"/>
            <w:tcBorders>
              <w:bottom w:val="single" w:color="auto" w:sz="4" w:space="0"/>
            </w:tcBorders>
            <w:vAlign w:val="center"/>
          </w:tcPr>
          <w:p w14:paraId="1D05614C">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根据招标文件《第四章采购需求》的“技术指标明细”，对投标人所投产品技术指标满足程度进行评审：</w:t>
            </w:r>
          </w:p>
          <w:p w14:paraId="6734C29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完全满足招标文件“技术指标明细”要求的得30分；在此基础上，招标文件中标注“★”的内容为实质性要求，有一项不符合的，作无效投标处理；标注“▲”负偏离的，则每项扣</w:t>
            </w:r>
            <w:r>
              <w:rPr>
                <w:rFonts w:hint="eastAsia" w:ascii="宋体" w:hAnsi="宋体" w:cs="宋体"/>
                <w:color w:val="000000" w:themeColor="text1"/>
                <w:lang w:val="en-US" w:eastAsia="zh-CN"/>
                <w14:textFill>
                  <w14:solidFill>
                    <w14:schemeClr w14:val="tx1"/>
                  </w14:solidFill>
                </w14:textFill>
              </w:rPr>
              <w:t>3.6</w:t>
            </w:r>
            <w:r>
              <w:rPr>
                <w:rFonts w:hint="eastAsia" w:ascii="宋体" w:hAnsi="宋体" w:cs="宋体"/>
                <w:color w:val="000000" w:themeColor="text1"/>
                <w14:textFill>
                  <w14:solidFill>
                    <w14:schemeClr w14:val="tx1"/>
                  </w14:solidFill>
                </w14:textFill>
              </w:rPr>
              <w:t>分；其他非重要参数和商务条款负偏离的，则每项扣</w:t>
            </w:r>
            <w:r>
              <w:rPr>
                <w:rFonts w:hint="eastAsia" w:ascii="宋体" w:hAnsi="宋体" w:cs="宋体"/>
                <w:color w:val="000000" w:themeColor="text1"/>
                <w:lang w:val="en-US" w:eastAsia="zh-CN"/>
                <w14:textFill>
                  <w14:solidFill>
                    <w14:schemeClr w14:val="tx1"/>
                  </w14:solidFill>
                </w14:textFill>
              </w:rPr>
              <w:t>1.5</w:t>
            </w:r>
            <w:r>
              <w:rPr>
                <w:rFonts w:hint="eastAsia" w:ascii="宋体" w:hAnsi="宋体" w:cs="宋体"/>
                <w:color w:val="000000" w:themeColor="text1"/>
                <w14:textFill>
                  <w14:solidFill>
                    <w14:schemeClr w14:val="tx1"/>
                  </w14:solidFill>
                </w14:textFill>
              </w:rPr>
              <w:t>分，扣完为止。正偏离不加分，缺项漏项视为负偏离。</w:t>
            </w:r>
          </w:p>
          <w:p w14:paraId="6713715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投标人须提供《技术条款偏离表》针对“技术指标明细”的内容逐条响应，并说明所投产品的技术指标性能。如招标文件中要求提供支撑材料的，必须按要求提供支撑材料佐证，否则视为负偏离。</w:t>
            </w:r>
          </w:p>
          <w:p w14:paraId="732FBDC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vAlign w:val="center"/>
          </w:tcPr>
          <w:p w14:paraId="64D8E42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30</w:t>
            </w:r>
          </w:p>
        </w:tc>
      </w:tr>
      <w:tr w14:paraId="1B88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355DCD2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645" w:type="pct"/>
            <w:vAlign w:val="center"/>
          </w:tcPr>
          <w:p w14:paraId="0AEAE43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整体实施方案</w:t>
            </w:r>
          </w:p>
        </w:tc>
        <w:tc>
          <w:tcPr>
            <w:tcW w:w="3526" w:type="pct"/>
            <w:tcBorders>
              <w:bottom w:val="single" w:color="auto" w:sz="4" w:space="0"/>
            </w:tcBorders>
            <w:vAlign w:val="center"/>
          </w:tcPr>
          <w:p w14:paraId="7E33EDF7">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投标人应根据招标要求及项目实际，提供整体实施方案（包含人员安排、安装、调试、验收等），评委对投标人的整体实施方案进行评价。</w:t>
            </w:r>
          </w:p>
          <w:p w14:paraId="26AD3BC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方案贴合项目需求，完整全面、合理可行、针对性强的得6分；</w:t>
            </w:r>
          </w:p>
          <w:p w14:paraId="5598D60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方案完整性、合理性、针对性一般的得4分；</w:t>
            </w:r>
          </w:p>
          <w:p w14:paraId="1B2234B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方案仅满足基本要求的得2分；</w:t>
            </w:r>
          </w:p>
          <w:p w14:paraId="2FDB3F7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tcBorders>
              <w:bottom w:val="single" w:color="auto" w:sz="4" w:space="0"/>
            </w:tcBorders>
            <w:vAlign w:val="center"/>
          </w:tcPr>
          <w:p w14:paraId="52442AD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6523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vAlign w:val="center"/>
          </w:tcPr>
          <w:p w14:paraId="6A890BD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4</w:t>
            </w:r>
          </w:p>
        </w:tc>
        <w:tc>
          <w:tcPr>
            <w:tcW w:w="645" w:type="pct"/>
            <w:vAlign w:val="center"/>
          </w:tcPr>
          <w:p w14:paraId="08F6836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进度计划及保证措施</w:t>
            </w:r>
          </w:p>
        </w:tc>
        <w:tc>
          <w:tcPr>
            <w:tcW w:w="3526" w:type="pct"/>
            <w:vAlign w:val="center"/>
          </w:tcPr>
          <w:p w14:paraId="5BDC6F7C">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投标人应根据本项目情况，提供供货、安装进度计划及保证措施方案，评委对投标人的安装进度计划及保证措施进行评价。</w:t>
            </w:r>
          </w:p>
          <w:p w14:paraId="6985AC11">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计划及措施完整全面、描述详细、科学可行、针对性强的得6分；</w:t>
            </w:r>
          </w:p>
          <w:p w14:paraId="13B2142C">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计划及措施完整性一般、描述一般、可行性一般、针对性一般的得4分；</w:t>
            </w:r>
          </w:p>
          <w:p w14:paraId="28A2D57B">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安装进度计划及保证措施仅能满足项目基本要求的得2分；</w:t>
            </w:r>
          </w:p>
          <w:p w14:paraId="25655882">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7F4F148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4198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0209C79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5</w:t>
            </w:r>
          </w:p>
        </w:tc>
        <w:tc>
          <w:tcPr>
            <w:tcW w:w="645" w:type="pct"/>
            <w:vAlign w:val="center"/>
          </w:tcPr>
          <w:p w14:paraId="5042611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w:t>
            </w:r>
          </w:p>
        </w:tc>
        <w:tc>
          <w:tcPr>
            <w:tcW w:w="3526" w:type="pct"/>
            <w:vAlign w:val="center"/>
          </w:tcPr>
          <w:p w14:paraId="374A2409">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投标人应根据本项目情况，提供的突发情况应急处理方案，评委对投标人的突发情况应急处理措施进行评价。</w:t>
            </w:r>
          </w:p>
          <w:p w14:paraId="7256FB2A">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措施详细、考虑周全、对突发事件能迅速应对并能及时解决的得6分；</w:t>
            </w:r>
          </w:p>
          <w:p w14:paraId="40577217">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措施详细程度一般、对突发事件应对速度及解决时效性一般的得4分；</w:t>
            </w:r>
          </w:p>
          <w:p w14:paraId="3A6B25EA">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突发情况应急处理措施仅能满足项目基本要求的得2分；</w:t>
            </w:r>
          </w:p>
          <w:p w14:paraId="24C05465">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064286C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3658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24E0405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c>
          <w:tcPr>
            <w:tcW w:w="645" w:type="pct"/>
            <w:vAlign w:val="center"/>
          </w:tcPr>
          <w:p w14:paraId="64FA62D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w:t>
            </w:r>
          </w:p>
        </w:tc>
        <w:tc>
          <w:tcPr>
            <w:tcW w:w="3526" w:type="pct"/>
            <w:vAlign w:val="center"/>
          </w:tcPr>
          <w:p w14:paraId="2AEEAE8C">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投标人针对本项目需求提供完整的产品质保售后服务方案（包括响应时间、人员配置、保障措施方案等方面），评委根据产品质保售后服务方案进行评价。</w:t>
            </w:r>
          </w:p>
          <w:p w14:paraId="2668707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产品质保售后服务完整全面、考虑周到、合理可行、优于招标文件要求的得6分；</w:t>
            </w:r>
          </w:p>
          <w:p w14:paraId="69495B5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产品质保售后服务方案完整性一般、合理性一般、满足招标文件要求的得4分；</w:t>
            </w:r>
          </w:p>
          <w:p w14:paraId="6002B67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产品质保售后服务方案仅能满足项目基本要求的得2分；</w:t>
            </w:r>
          </w:p>
          <w:p w14:paraId="62BAB02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21F934E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585A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508EDED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w:t>
            </w:r>
          </w:p>
        </w:tc>
        <w:tc>
          <w:tcPr>
            <w:tcW w:w="645" w:type="pct"/>
            <w:vAlign w:val="center"/>
          </w:tcPr>
          <w:p w14:paraId="437DF34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用户培训方案</w:t>
            </w:r>
          </w:p>
        </w:tc>
        <w:tc>
          <w:tcPr>
            <w:tcW w:w="3526" w:type="pct"/>
            <w:vAlign w:val="center"/>
          </w:tcPr>
          <w:p w14:paraId="630C8B2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投标人应根据本项目情况，提供完善的项目培训计划和培训方案（包括人员安排、培训内容（含培训材料）及时间安排等方面），评委根据用户培训方案进行评价。</w:t>
            </w:r>
          </w:p>
          <w:p w14:paraId="38DD83E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培训方案全面，服务响应及时，可操作性强的得</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分；</w:t>
            </w:r>
          </w:p>
          <w:p w14:paraId="1A6B5CB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培训方案可行，服务响应较及时，具有可操作性的得</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分；</w:t>
            </w:r>
          </w:p>
          <w:p w14:paraId="1A34F72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培训方案一般，服务响应及时性一般，可操作性一般的得</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分；</w:t>
            </w:r>
          </w:p>
          <w:p w14:paraId="61E7171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08E40A1F">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6</w:t>
            </w:r>
          </w:p>
        </w:tc>
      </w:tr>
      <w:tr w14:paraId="5902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05030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w:t>
            </w:r>
          </w:p>
        </w:tc>
        <w:tc>
          <w:tcPr>
            <w:tcW w:w="645" w:type="pct"/>
            <w:vAlign w:val="center"/>
          </w:tcPr>
          <w:p w14:paraId="3CC9703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业绩</w:t>
            </w:r>
          </w:p>
        </w:tc>
        <w:tc>
          <w:tcPr>
            <w:tcW w:w="3526" w:type="pct"/>
            <w:vAlign w:val="center"/>
          </w:tcPr>
          <w:p w14:paraId="4A3095D7">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自2023年</w:t>
            </w:r>
            <w:r>
              <w:rPr>
                <w:rFonts w:hint="eastAsia" w:ascii="宋体" w:hAnsi="宋体" w:cs="宋体"/>
                <w:color w:val="000000" w:themeColor="text1"/>
                <w:lang w:val="en-US" w:eastAsia="zh-CN"/>
                <w14:textFill>
                  <w14:solidFill>
                    <w14:schemeClr w14:val="tx1"/>
                  </w14:solidFill>
                </w14:textFill>
              </w:rPr>
              <w:t>8</w:t>
            </w:r>
            <w:r>
              <w:rPr>
                <w:rFonts w:hint="eastAsia" w:ascii="宋体" w:hAnsi="宋体" w:cs="宋体"/>
                <w:color w:val="000000" w:themeColor="text1"/>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vAlign w:val="center"/>
          </w:tcPr>
          <w:p w14:paraId="491556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54A5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D963C8F">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w:t>
            </w:r>
          </w:p>
        </w:tc>
        <w:tc>
          <w:tcPr>
            <w:tcW w:w="645" w:type="pct"/>
            <w:vAlign w:val="center"/>
          </w:tcPr>
          <w:p w14:paraId="4561BB7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免费质保</w:t>
            </w:r>
          </w:p>
        </w:tc>
        <w:tc>
          <w:tcPr>
            <w:tcW w:w="3526" w:type="pct"/>
            <w:vAlign w:val="center"/>
          </w:tcPr>
          <w:p w14:paraId="41F873E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投标人所投所有产品均满足招标文件基本要求的，不得分；在此基础上，投标人所投所有产品均每增加1年免费质保得2分，最多得4分。</w:t>
            </w:r>
          </w:p>
          <w:p w14:paraId="2A5D9855">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（若投标文件中出现质保年限前后不一致或多个产品质保年限不统一的情况，以最低免费质保期作为评分依据）</w:t>
            </w:r>
          </w:p>
        </w:tc>
        <w:tc>
          <w:tcPr>
            <w:tcW w:w="400" w:type="pct"/>
            <w:vAlign w:val="center"/>
          </w:tcPr>
          <w:p w14:paraId="4069B92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p>
        </w:tc>
      </w:tr>
      <w:tr w14:paraId="36B2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vAlign w:val="center"/>
          </w:tcPr>
          <w:p w14:paraId="590BCCA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w:t>
            </w:r>
          </w:p>
        </w:tc>
        <w:tc>
          <w:tcPr>
            <w:tcW w:w="400" w:type="pct"/>
            <w:vAlign w:val="center"/>
          </w:tcPr>
          <w:p w14:paraId="7A5EE83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100</w:t>
            </w:r>
          </w:p>
        </w:tc>
      </w:tr>
    </w:tbl>
    <w:p w14:paraId="4AE120F8">
      <w:pPr>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政府采购政策功能落实：</w:t>
      </w:r>
    </w:p>
    <w:p w14:paraId="46402B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1.小微型企业价格扣除</w:t>
      </w:r>
    </w:p>
    <w:p w14:paraId="2379E4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（1）本项目对小型和微型企业产品给予10%的扣除价格，用扣除后的价格参与评审。</w:t>
      </w:r>
    </w:p>
    <w:p w14:paraId="3714D2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（2）投标人需按照招标文件的要求提供相应的《中小微企业声明函》。</w:t>
      </w:r>
    </w:p>
    <w:p w14:paraId="511A35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2.残疾人福利单位价格扣除</w:t>
      </w:r>
    </w:p>
    <w:p w14:paraId="19A4FA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（1）本项目对残疾人福利性单位视同小型、微型企业，给予10%的价格扣除，用扣除后的价格参与评审。货物采购项目中产品制造商须为残疾人福利性单位。</w:t>
      </w:r>
    </w:p>
    <w:p w14:paraId="24254F6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（2）残疾人福利单位需按照招标文件的要求提供《残疾人福利性单位声明函》。</w:t>
      </w:r>
    </w:p>
    <w:p w14:paraId="78ECEE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（3）残疾人福利单位标准请参照《关于促进残疾人就业政府采购政策的通知》（财库〔2017〕141号）。</w:t>
      </w:r>
    </w:p>
    <w:p w14:paraId="0B8FFD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3.监狱和戒毒企业价格扣除</w:t>
      </w:r>
    </w:p>
    <w:p w14:paraId="379517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（1）本项目对监狱和戒毒企业（简称监狱企业）视同小型、微型企业，给予10%的价格扣除，用扣除后的价格参与评审。货物采购项目中产品制造商须为监狱企业。</w:t>
      </w:r>
    </w:p>
    <w:p w14:paraId="5F43D2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（2）监狱企业参加政府采购活动时，需提供由省级以上监狱管理局、戒毒管理局（含新疆生产建设兵团）出具的属于监狱企业的证明文件。投标人如不提供上述证明文件，价格将不做相应扣除。</w:t>
      </w:r>
    </w:p>
    <w:p w14:paraId="63E517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（3）监狱企业标准请参照《关于政府采购支持监狱企业发展有关问题的通知》（财库〔2014〕68号）。</w:t>
      </w:r>
    </w:p>
    <w:p w14:paraId="600D50E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4.残疾人福利单位、监狱企业属于小型、微型企业的，不重复享受政策。</w:t>
      </w:r>
    </w:p>
    <w:p w14:paraId="1D95870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如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6.联合体各方均为小型、微型企业（残疾人福利单位、监狱企业）的，联合体享受10%价格扣除，用扣除后的价格参与评审。</w:t>
      </w:r>
    </w:p>
    <w:p w14:paraId="378CA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7.采购本国产品的支持政策</w:t>
      </w:r>
    </w:p>
    <w:p w14:paraId="7580E8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（1）本项目政府采购活动中既有本国产品又有非本国产品参与竞争的，依法对本国产品给予价格评审优惠，对本国产品的报价给予20%的价格扣除，用扣除后的价格参与评审。</w:t>
      </w:r>
    </w:p>
    <w:p w14:paraId="54B97A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（2）当采购项目或者采购包中含有多种产品，投标人为该采购项目或者采购包提供的符合本国产品标准的产品成本之和占该供应商提供的全部产品成本之和的比例达到80%以上时</w:t>
      </w:r>
      <w:r>
        <w:rPr>
          <w:rFonts w:hint="eastAsia"/>
          <w:b/>
          <w:bCs/>
          <w:color w:val="000000" w:themeColor="text1"/>
          <w14:textFill>
            <w14:solidFill>
              <w14:schemeClr w14:val="tx1"/>
            </w14:solidFill>
          </w14:textFill>
        </w:rPr>
        <w:t>（投标人需在“第六章 投标文件格式及附件”的“分项报价表”中填写比例数值）</w:t>
      </w:r>
      <w:r>
        <w:rPr>
          <w:rFonts w:hint="eastAsia"/>
          <w:color w:val="000000" w:themeColor="text1"/>
          <w14:textFill>
            <w14:solidFill>
              <w14:schemeClr w14:val="tx1"/>
            </w14:solidFill>
          </w14:textFill>
        </w:rPr>
        <w:t>，依法对该投标人提供的全部产品给予价格评审优惠，即对该投标人提供的全部产品的总报价给予20%的价格扣除，用扣除后的价格参与评审。投标人未填写比例数值，或比例数值未达到80%的，将不享受本国产品价格评审优惠。</w:t>
      </w:r>
    </w:p>
    <w:p w14:paraId="3FAD08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③投标人需按照招标文件的要求提供《关于符合本国产品标准的声明函》（以下简称《声明函》），如不提供将不享受本国产品价格评审优惠。</w:t>
      </w:r>
    </w:p>
    <w:p w14:paraId="550DBB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④投标人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⑤评标过程中，如发现投标人在《声明函》内容含义不明确、同类事项与投标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号）和招标文件规定的，投标人提供的相关产品视为不符合本国产品标准。</w:t>
      </w:r>
    </w:p>
    <w:p w14:paraId="7B765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7E447A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第四章  采购需求</w:t>
      </w:r>
    </w:p>
    <w:p w14:paraId="1B29B4F0">
      <w:pPr>
        <w:pStyle w:val="7"/>
        <w:tabs>
          <w:tab w:val="left" w:pos="960"/>
        </w:tabs>
        <w:ind w:firstLine="482"/>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szCs w:val="22"/>
          <w:lang w:val="zh-CN" w:bidi="zh-CN"/>
          <w14:textFill>
            <w14:solidFill>
              <w14:schemeClr w14:val="tx1"/>
            </w14:solidFill>
          </w14:textFill>
        </w:rPr>
        <w:t>一、</w:t>
      </w:r>
      <w:r>
        <w:rPr>
          <w:rFonts w:hint="eastAsia" w:ascii="宋体" w:hAnsi="宋体" w:cs="宋体"/>
          <w:b/>
          <w:bCs/>
          <w:color w:val="000000" w:themeColor="text1"/>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760"/>
        <w:gridCol w:w="2730"/>
        <w:gridCol w:w="1148"/>
        <w:gridCol w:w="1408"/>
        <w:gridCol w:w="1114"/>
        <w:gridCol w:w="1261"/>
      </w:tblGrid>
      <w:tr w14:paraId="0F69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14:paraId="10497A5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09" w:type="pct"/>
            <w:vAlign w:val="center"/>
          </w:tcPr>
          <w:p w14:paraId="613D2768">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470" w:type="pct"/>
            <w:vAlign w:val="center"/>
          </w:tcPr>
          <w:p w14:paraId="0B579AB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618" w:type="pct"/>
            <w:vAlign w:val="center"/>
          </w:tcPr>
          <w:p w14:paraId="4FB4C956">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4752723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758" w:type="pct"/>
            <w:vAlign w:val="center"/>
          </w:tcPr>
          <w:p w14:paraId="0855483D">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640413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600" w:type="pct"/>
            <w:vAlign w:val="center"/>
          </w:tcPr>
          <w:p w14:paraId="1168765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79" w:type="pct"/>
            <w:vAlign w:val="center"/>
          </w:tcPr>
          <w:p w14:paraId="723F4A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5801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14:paraId="6AB846C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409" w:type="pct"/>
            <w:vAlign w:val="center"/>
          </w:tcPr>
          <w:p w14:paraId="5B2BD57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470" w:type="pct"/>
            <w:vAlign w:val="center"/>
          </w:tcPr>
          <w:p w14:paraId="0CE3A11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阀门流量流阻试验装置</w:t>
            </w:r>
          </w:p>
        </w:tc>
        <w:tc>
          <w:tcPr>
            <w:tcW w:w="618" w:type="pct"/>
            <w:vAlign w:val="center"/>
          </w:tcPr>
          <w:p w14:paraId="630FBB8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06C3FA6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395</w:t>
            </w:r>
          </w:p>
        </w:tc>
        <w:tc>
          <w:tcPr>
            <w:tcW w:w="600" w:type="pct"/>
            <w:vAlign w:val="center"/>
          </w:tcPr>
          <w:p w14:paraId="263FDA1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79" w:type="pct"/>
            <w:vAlign w:val="center"/>
          </w:tcPr>
          <w:p w14:paraId="137AC812">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bl>
    <w:p w14:paraId="3FA19C7B">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注：</w:t>
      </w:r>
      <w:r>
        <w:rPr>
          <w:rFonts w:hint="eastAsia" w:ascii="宋体" w:hAnsi="宋体" w:cs="宋体"/>
          <w:b/>
          <w:color w:val="000000" w:themeColor="text1"/>
          <w:szCs w:val="22"/>
          <w:lang w:val="zh-CN" w:bidi="zh-CN"/>
          <w14:textFill>
            <w14:solidFill>
              <w14:schemeClr w14:val="tx1"/>
            </w14:solidFill>
          </w14:textFill>
        </w:rPr>
        <w:t>1.</w:t>
      </w:r>
      <w:r>
        <w:rPr>
          <w:rFonts w:hint="eastAsia" w:ascii="宋体" w:hAnsi="宋体" w:cs="宋体"/>
          <w:b/>
          <w:color w:val="000000" w:themeColor="text1"/>
          <w:szCs w:val="22"/>
          <w:lang w:bidi="zh-CN"/>
          <w14:textFill>
            <w14:solidFill>
              <w14:schemeClr w14:val="tx1"/>
            </w14:solidFill>
          </w14:textFill>
        </w:rPr>
        <w:t>投标人在《投标分项报价表》中填列的</w:t>
      </w:r>
      <w:r>
        <w:rPr>
          <w:rFonts w:hint="eastAsia" w:ascii="宋体" w:hAnsi="宋体" w:cs="宋体"/>
          <w:b/>
          <w:color w:val="000000" w:themeColor="text1"/>
          <w:szCs w:val="22"/>
          <w:lang w:val="zh-CN" w:bidi="zh-CN"/>
          <w14:textFill>
            <w14:solidFill>
              <w14:schemeClr w14:val="tx1"/>
            </w14:solidFill>
          </w14:textFill>
        </w:rPr>
        <w:t>数量不接受负偏离，否则按无效投标处理。</w:t>
      </w:r>
    </w:p>
    <w:p w14:paraId="3D2B1B43">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2.</w:t>
      </w:r>
      <w:r>
        <w:rPr>
          <w:rFonts w:hint="eastAsia"/>
          <w:b/>
          <w:bCs/>
          <w:color w:val="000000" w:themeColor="text1"/>
          <w14:textFill>
            <w14:solidFill>
              <w14:schemeClr w14:val="tx1"/>
            </w14:solidFill>
          </w14:textFill>
        </w:rPr>
        <w:t>投标人所投报价不得超过每个品目所对应的预算金额，否则作无效投标处理。</w:t>
      </w:r>
    </w:p>
    <w:p w14:paraId="69754C81">
      <w:pPr>
        <w:pStyle w:val="7"/>
        <w:tabs>
          <w:tab w:val="left" w:pos="960"/>
        </w:tabs>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技术指标明细</w:t>
      </w:r>
    </w:p>
    <w:p w14:paraId="5FF1443A">
      <w:pPr>
        <w:pStyle w:val="7"/>
        <w:tabs>
          <w:tab w:val="left" w:pos="960"/>
        </w:tabs>
        <w:ind w:firstLine="0" w:firstLineChars="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注: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57"/>
        <w:gridCol w:w="8374"/>
      </w:tblGrid>
      <w:tr w14:paraId="084A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4CEF4221">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46" w:type="pct"/>
            <w:vAlign w:val="center"/>
          </w:tcPr>
          <w:p w14:paraId="38BB090B">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4507" w:type="pct"/>
            <w:vAlign w:val="center"/>
          </w:tcPr>
          <w:p w14:paraId="5B4CAF29">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技术要求</w:t>
            </w:r>
          </w:p>
        </w:tc>
      </w:tr>
      <w:tr w14:paraId="5566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6" w:type="pct"/>
            <w:vAlign w:val="center"/>
          </w:tcPr>
          <w:p w14:paraId="470D04CC">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46" w:type="pct"/>
            <w:vAlign w:val="center"/>
          </w:tcPr>
          <w:p w14:paraId="07A943A0">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阀门流量流阻试验装置</w:t>
            </w:r>
          </w:p>
        </w:tc>
        <w:tc>
          <w:tcPr>
            <w:tcW w:w="4507" w:type="pct"/>
            <w:vAlign w:val="center"/>
          </w:tcPr>
          <w:p w14:paraId="040D6E3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1.主要技术参数</w:t>
            </w:r>
          </w:p>
          <w:p w14:paraId="6B23CDAB">
            <w:pPr>
              <w:spacing w:line="240" w:lineRule="auto"/>
              <w:ind w:firstLine="0" w:firstLineChars="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（1）试验系统可测试的产品：调节阀、通用阀门、减压阀及水力控制阀等阀门的流量系数和流阻系数；调节阀的流量特性曲线测试等。</w:t>
            </w:r>
          </w:p>
          <w:p w14:paraId="1CC536A0">
            <w:pPr>
              <w:spacing w:line="240" w:lineRule="auto"/>
              <w:ind w:firstLine="0" w:firstLineChars="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（2）试验系统可测试阀门的尺寸：DN15～DN300</w:t>
            </w:r>
          </w:p>
          <w:p w14:paraId="012770C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▲（3）试验压差范围：0～0.3MPa</w:t>
            </w:r>
          </w:p>
          <w:p w14:paraId="3709F80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▲（4）阀门连接方式：法兰连接</w:t>
            </w:r>
          </w:p>
          <w:p w14:paraId="3B8BBBD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（5）试验系统介质：清洁水</w:t>
            </w:r>
          </w:p>
          <w:p w14:paraId="42AE6DD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（6）试验系统储水系统：地下水池（甲方建设）</w:t>
            </w:r>
          </w:p>
          <w:p w14:paraId="78E41F5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（7）试验系统基本功能：</w:t>
            </w:r>
          </w:p>
          <w:p w14:paraId="086617A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①阀门压差-流量特性曲线；</w:t>
            </w:r>
          </w:p>
          <w:p w14:paraId="511A630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②阀门开度-流量特性曲线；</w:t>
            </w:r>
          </w:p>
          <w:p w14:paraId="38E52C6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③阀门流量系数；</w:t>
            </w:r>
          </w:p>
          <w:p w14:paraId="63C0FFA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④阀门流阻系数；</w:t>
            </w:r>
          </w:p>
          <w:p w14:paraId="2DEC26E5">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⑤调节阀的额定流量系数；</w:t>
            </w:r>
          </w:p>
          <w:p w14:paraId="17C3D0B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（8）主要技术指标：流量误差为±2%；压差误差为±2%；温度精度为±1℃。</w:t>
            </w:r>
          </w:p>
          <w:p w14:paraId="6EC9EB7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▲2.设计及制造要求</w:t>
            </w:r>
          </w:p>
          <w:p w14:paraId="65EE5D2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（1）系统设计要求</w:t>
            </w:r>
          </w:p>
          <w:p w14:paraId="4D52783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①试验装置按照GB/T 30832《阀门 流量系数和流阻系数试验方法》设计建造。</w:t>
            </w:r>
          </w:p>
          <w:p w14:paraId="46B2C60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②试验装置由机械循环部分、测控硬件部分、计算机测控软件部分组成，循环水源采用地下水池。</w:t>
            </w:r>
          </w:p>
          <w:p w14:paraId="2EAADF3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③整套装置配有视频监控系统，可监控被试阀、水泵和整个装置运行状况。</w:t>
            </w:r>
          </w:p>
          <w:p w14:paraId="081CF69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④控制系统包括现场控制柜、动力控制柜、以及试验控制台。</w:t>
            </w:r>
          </w:p>
          <w:p w14:paraId="50F70F0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（2）控制系统要求</w:t>
            </w:r>
          </w:p>
          <w:p w14:paraId="092525D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rFonts w:ascii="宋体" w:hAnsi="宋体" w:cs="宋体"/>
                <w:color w:val="000000" w:themeColor="text1"/>
                <w14:textFill>
                  <w14:solidFill>
                    <w14:schemeClr w14:val="tx1"/>
                  </w14:solidFill>
                </w14:textFill>
              </w:rPr>
              <w:t>依托组态软件开发上位程序，既可模拟流体流动状态，也可完成流体控制元件性能测试；能够实时采集各测点与试验设备运行数据，自动生成报表和趋势曲线。</w:t>
            </w:r>
          </w:p>
          <w:p w14:paraId="5FFB2F6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②控制系统后期需提供</w:t>
            </w:r>
            <w:r>
              <w:rPr>
                <w:rFonts w:ascii="宋体" w:hAnsi="宋体" w:cs="宋体"/>
                <w:color w:val="000000" w:themeColor="text1"/>
                <w14:textFill>
                  <w14:solidFill>
                    <w14:schemeClr w14:val="tx1"/>
                  </w14:solidFill>
                </w14:textFill>
              </w:rPr>
              <w:t>提供</w:t>
            </w:r>
            <w:r>
              <w:rPr>
                <w:rFonts w:hint="eastAsia" w:ascii="宋体" w:hAnsi="宋体" w:cs="宋体"/>
                <w:color w:val="000000" w:themeColor="text1"/>
                <w14:textFill>
                  <w14:solidFill>
                    <w14:schemeClr w14:val="tx1"/>
                  </w14:solidFill>
                </w14:textFill>
              </w:rPr>
              <w:t>不低于</w:t>
            </w:r>
            <w:r>
              <w:rPr>
                <w:rFonts w:ascii="宋体" w:hAnsi="宋体" w:cs="宋体"/>
                <w:color w:val="000000" w:themeColor="text1"/>
                <w14:textFill>
                  <w14:solidFill>
                    <w14:schemeClr w14:val="tx1"/>
                  </w14:solidFill>
                </w14:textFill>
              </w:rPr>
              <w:t>3年的免费升级服务</w:t>
            </w:r>
            <w:r>
              <w:rPr>
                <w:rFonts w:hint="eastAsia" w:ascii="宋体" w:hAnsi="宋体" w:cs="宋体"/>
                <w:color w:val="000000" w:themeColor="text1"/>
                <w14:textFill>
                  <w14:solidFill>
                    <w14:schemeClr w14:val="tx1"/>
                  </w14:solidFill>
                </w14:textFill>
              </w:rPr>
              <w:t>，满足测试技术发展的要求。</w:t>
            </w:r>
          </w:p>
          <w:p w14:paraId="51316E7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（3）硬件设备要求</w:t>
            </w:r>
          </w:p>
          <w:p w14:paraId="5FEC8C4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①测控硬件由水泵、试验管道、稳压罐、阀门、流量变送器、压力变送器、压差变送器、温度变送器、数据采集器、通讯串口、计算机、变频控制柜等组成。</w:t>
            </w:r>
          </w:p>
          <w:p w14:paraId="135777A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②动力系统为四台泵并联，为试验提供介质循环，满足试验要求的流量和压差。每台水泵均配备变频器，实现泵的变频启动和调节。</w:t>
            </w:r>
          </w:p>
          <w:p w14:paraId="1EE1AC6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③测试管路和稳压罐等均采用304不锈钢（06Cr19Ni10）材质。</w:t>
            </w:r>
          </w:p>
          <w:p w14:paraId="5537FB8F">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④现场截断阀、调节阀等阀门均采用电动阀，实现集控室集中控制方式。阀门必须开关灵活。</w:t>
            </w:r>
          </w:p>
          <w:p w14:paraId="2E1FD53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⑤试验装置最少设置五个规格的试验管道，可测验DN15-DN300全部规格的阀门。</w:t>
            </w:r>
          </w:p>
          <w:p w14:paraId="56BAC11B">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⑥各试验道路均安装有气动伸缩装置，保证不同结构长度的阀门都可安装测试。</w:t>
            </w:r>
          </w:p>
          <w:p w14:paraId="796131E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⑦现场控制柜设有接线快插接头，为不同电源要求的电动被试阀提供电源和信号接入。满足各种电源要求的被试阀现场就地接线，基本覆盖目前阀门行业电动阀门产品的全部电源要求。</w:t>
            </w:r>
          </w:p>
          <w:p w14:paraId="01EA83C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⑧试验装置选择的测量仪表精度不低于：流量计准确度等级1.0级；压力、压差传感器0.5级；温度传感器±1℃；压力表1.5级。</w:t>
            </w:r>
          </w:p>
          <w:p w14:paraId="5149681F">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▲3.设备安全系统技术要求</w:t>
            </w:r>
          </w:p>
          <w:p w14:paraId="40690F9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（1）电控系统设有安全联锁保护装置及声光报警装置。</w:t>
            </w:r>
          </w:p>
          <w:p w14:paraId="0396D5B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（2）对于可能会出现危险的位置，设置安全警示。</w:t>
            </w:r>
          </w:p>
          <w:p w14:paraId="4259F52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（3）控制台有紧急停机按钮，确保在紧急和危险的情况下，能使设备立即停止运行。</w:t>
            </w:r>
          </w:p>
          <w:p w14:paraId="6D9CF9B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▲5.产品配置清单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532"/>
              <w:gridCol w:w="3430"/>
              <w:gridCol w:w="1206"/>
              <w:gridCol w:w="1112"/>
            </w:tblGrid>
            <w:tr w14:paraId="4314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35A90EF8">
                  <w:pPr>
                    <w:adjustRightInd w:val="0"/>
                    <w:snapToGrid w:val="0"/>
                    <w:spacing w:line="240" w:lineRule="auto"/>
                    <w:ind w:firstLine="0" w:firstLineChars="0"/>
                    <w:jc w:val="center"/>
                    <w:rPr>
                      <w:rFonts w:hint="eastAsia" w:ascii="宋体" w:hAnsi="宋体" w:cs="宋体"/>
                      <w:b/>
                      <w:bCs/>
                    </w:rPr>
                  </w:pPr>
                  <w:r>
                    <w:rPr>
                      <w:rFonts w:hint="eastAsia" w:ascii="宋体" w:hAnsi="宋体" w:cs="宋体"/>
                      <w:b/>
                      <w:bCs/>
                    </w:rPr>
                    <w:t>序号</w:t>
                  </w:r>
                </w:p>
              </w:tc>
              <w:tc>
                <w:tcPr>
                  <w:tcW w:w="940" w:type="pct"/>
                  <w:vAlign w:val="center"/>
                </w:tcPr>
                <w:p w14:paraId="7E00935D">
                  <w:pPr>
                    <w:adjustRightInd w:val="0"/>
                    <w:snapToGrid w:val="0"/>
                    <w:spacing w:line="240" w:lineRule="auto"/>
                    <w:ind w:firstLine="0" w:firstLineChars="0"/>
                    <w:jc w:val="center"/>
                    <w:rPr>
                      <w:rFonts w:hint="eastAsia" w:ascii="宋体" w:hAnsi="宋体" w:cs="宋体"/>
                      <w:b/>
                      <w:bCs/>
                    </w:rPr>
                  </w:pPr>
                  <w:r>
                    <w:rPr>
                      <w:rFonts w:hint="eastAsia" w:ascii="宋体" w:hAnsi="宋体" w:cs="宋体"/>
                      <w:b/>
                      <w:bCs/>
                    </w:rPr>
                    <w:t>名称</w:t>
                  </w:r>
                </w:p>
              </w:tc>
              <w:tc>
                <w:tcPr>
                  <w:tcW w:w="2105" w:type="pct"/>
                  <w:vAlign w:val="center"/>
                </w:tcPr>
                <w:p w14:paraId="6E9BCCD5">
                  <w:pPr>
                    <w:adjustRightInd w:val="0"/>
                    <w:snapToGrid w:val="0"/>
                    <w:spacing w:line="240" w:lineRule="auto"/>
                    <w:ind w:firstLine="0" w:firstLineChars="0"/>
                    <w:jc w:val="center"/>
                    <w:rPr>
                      <w:rFonts w:hint="eastAsia" w:ascii="宋体" w:hAnsi="宋体" w:cs="宋体"/>
                      <w:b/>
                      <w:bCs/>
                    </w:rPr>
                  </w:pPr>
                  <w:r>
                    <w:rPr>
                      <w:rFonts w:hint="eastAsia" w:ascii="宋体" w:hAnsi="宋体" w:cs="宋体"/>
                      <w:b/>
                      <w:bCs/>
                    </w:rPr>
                    <w:t>内容</w:t>
                  </w:r>
                </w:p>
              </w:tc>
              <w:tc>
                <w:tcPr>
                  <w:tcW w:w="740" w:type="pct"/>
                  <w:vAlign w:val="center"/>
                </w:tcPr>
                <w:p w14:paraId="4C5C2C23">
                  <w:pPr>
                    <w:adjustRightInd w:val="0"/>
                    <w:snapToGrid w:val="0"/>
                    <w:spacing w:line="240" w:lineRule="auto"/>
                    <w:ind w:firstLine="0" w:firstLineChars="0"/>
                    <w:jc w:val="center"/>
                    <w:rPr>
                      <w:rFonts w:hint="eastAsia" w:ascii="宋体" w:hAnsi="宋体" w:cs="宋体"/>
                      <w:b/>
                      <w:bCs/>
                    </w:rPr>
                  </w:pPr>
                  <w:r>
                    <w:rPr>
                      <w:rFonts w:hint="eastAsia" w:ascii="宋体" w:hAnsi="宋体" w:cs="宋体"/>
                      <w:b/>
                      <w:bCs/>
                    </w:rPr>
                    <w:t>数量</w:t>
                  </w:r>
                </w:p>
              </w:tc>
              <w:tc>
                <w:tcPr>
                  <w:tcW w:w="682" w:type="pct"/>
                  <w:vAlign w:val="center"/>
                </w:tcPr>
                <w:p w14:paraId="6296DDFB">
                  <w:pPr>
                    <w:adjustRightInd w:val="0"/>
                    <w:snapToGrid w:val="0"/>
                    <w:spacing w:line="240" w:lineRule="auto"/>
                    <w:ind w:firstLine="0" w:firstLineChars="0"/>
                    <w:jc w:val="center"/>
                    <w:rPr>
                      <w:rFonts w:hint="eastAsia" w:ascii="宋体" w:hAnsi="宋体" w:cs="宋体"/>
                      <w:b/>
                      <w:bCs/>
                    </w:rPr>
                  </w:pPr>
                  <w:r>
                    <w:rPr>
                      <w:rFonts w:hint="eastAsia" w:ascii="宋体" w:hAnsi="宋体" w:cs="宋体"/>
                      <w:b/>
                      <w:bCs/>
                    </w:rPr>
                    <w:t>备注</w:t>
                  </w:r>
                </w:p>
              </w:tc>
            </w:tr>
            <w:tr w14:paraId="5D9D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392FC752">
                  <w:pPr>
                    <w:adjustRightInd w:val="0"/>
                    <w:snapToGrid w:val="0"/>
                    <w:spacing w:line="240" w:lineRule="auto"/>
                    <w:ind w:firstLine="0" w:firstLineChars="0"/>
                    <w:jc w:val="center"/>
                    <w:rPr>
                      <w:rFonts w:hint="eastAsia" w:ascii="宋体" w:hAnsi="宋体" w:cs="宋体"/>
                    </w:rPr>
                  </w:pPr>
                  <w:r>
                    <w:rPr>
                      <w:rFonts w:hint="eastAsia" w:ascii="宋体" w:hAnsi="宋体" w:cs="宋体"/>
                    </w:rPr>
                    <w:t>1</w:t>
                  </w:r>
                </w:p>
              </w:tc>
              <w:tc>
                <w:tcPr>
                  <w:tcW w:w="940" w:type="pct"/>
                  <w:vAlign w:val="center"/>
                </w:tcPr>
                <w:p w14:paraId="6D6C0C6F">
                  <w:pPr>
                    <w:adjustRightInd w:val="0"/>
                    <w:snapToGrid w:val="0"/>
                    <w:spacing w:line="240" w:lineRule="auto"/>
                    <w:ind w:firstLine="0" w:firstLineChars="0"/>
                    <w:jc w:val="center"/>
                    <w:rPr>
                      <w:rFonts w:hint="eastAsia" w:ascii="宋体" w:hAnsi="宋体" w:cs="宋体"/>
                    </w:rPr>
                  </w:pPr>
                  <w:r>
                    <w:rPr>
                      <w:rFonts w:hint="eastAsia" w:ascii="宋体" w:hAnsi="宋体" w:cs="宋体"/>
                    </w:rPr>
                    <w:t>离心水泵组</w:t>
                  </w:r>
                </w:p>
              </w:tc>
              <w:tc>
                <w:tcPr>
                  <w:tcW w:w="2105" w:type="pct"/>
                  <w:vAlign w:val="center"/>
                </w:tcPr>
                <w:p w14:paraId="531FB325">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740" w:type="pct"/>
                  <w:vAlign w:val="center"/>
                </w:tcPr>
                <w:p w14:paraId="0FB38D09">
                  <w:pPr>
                    <w:adjustRightInd w:val="0"/>
                    <w:snapToGrid w:val="0"/>
                    <w:spacing w:line="240" w:lineRule="auto"/>
                    <w:ind w:firstLine="0" w:firstLineChars="0"/>
                    <w:jc w:val="center"/>
                    <w:rPr>
                      <w:rFonts w:hint="eastAsia" w:ascii="宋体" w:hAnsi="宋体" w:cs="宋体"/>
                    </w:rPr>
                  </w:pPr>
                  <w:r>
                    <w:rPr>
                      <w:rFonts w:hint="eastAsia" w:ascii="宋体" w:hAnsi="宋体" w:cs="宋体"/>
                    </w:rPr>
                    <w:t>4</w:t>
                  </w:r>
                </w:p>
              </w:tc>
              <w:tc>
                <w:tcPr>
                  <w:tcW w:w="682" w:type="pct"/>
                  <w:vAlign w:val="center"/>
                </w:tcPr>
                <w:p w14:paraId="27982291">
                  <w:pPr>
                    <w:adjustRightInd w:val="0"/>
                    <w:snapToGrid w:val="0"/>
                    <w:spacing w:line="240" w:lineRule="auto"/>
                    <w:ind w:firstLine="0" w:firstLineChars="0"/>
                    <w:jc w:val="center"/>
                    <w:rPr>
                      <w:rFonts w:hint="eastAsia" w:ascii="宋体" w:hAnsi="宋体" w:cs="宋体"/>
                    </w:rPr>
                  </w:pPr>
                </w:p>
              </w:tc>
            </w:tr>
            <w:tr w14:paraId="37A3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2484D70A">
                  <w:pPr>
                    <w:adjustRightInd w:val="0"/>
                    <w:snapToGrid w:val="0"/>
                    <w:spacing w:line="240" w:lineRule="auto"/>
                    <w:ind w:firstLine="0" w:firstLineChars="0"/>
                    <w:jc w:val="center"/>
                    <w:rPr>
                      <w:rFonts w:hint="eastAsia" w:ascii="宋体" w:hAnsi="宋体" w:cs="宋体"/>
                    </w:rPr>
                  </w:pPr>
                  <w:r>
                    <w:rPr>
                      <w:rFonts w:hint="eastAsia" w:ascii="宋体" w:hAnsi="宋体" w:cs="宋体"/>
                    </w:rPr>
                    <w:t>2</w:t>
                  </w:r>
                </w:p>
              </w:tc>
              <w:tc>
                <w:tcPr>
                  <w:tcW w:w="940" w:type="pct"/>
                  <w:vAlign w:val="center"/>
                </w:tcPr>
                <w:p w14:paraId="4E394F1B">
                  <w:pPr>
                    <w:adjustRightInd w:val="0"/>
                    <w:snapToGrid w:val="0"/>
                    <w:spacing w:line="240" w:lineRule="auto"/>
                    <w:ind w:firstLine="0" w:firstLineChars="0"/>
                    <w:jc w:val="center"/>
                    <w:rPr>
                      <w:rFonts w:hint="eastAsia" w:ascii="宋体" w:hAnsi="宋体" w:cs="宋体"/>
                    </w:rPr>
                  </w:pPr>
                  <w:r>
                    <w:rPr>
                      <w:rFonts w:hint="eastAsia" w:ascii="宋体" w:hAnsi="宋体" w:cs="宋体"/>
                    </w:rPr>
                    <w:t>稳压系统</w:t>
                  </w:r>
                </w:p>
              </w:tc>
              <w:tc>
                <w:tcPr>
                  <w:tcW w:w="2105" w:type="pct"/>
                  <w:vAlign w:val="center"/>
                </w:tcPr>
                <w:p w14:paraId="61A8E3C7">
                  <w:pPr>
                    <w:adjustRightInd w:val="0"/>
                    <w:snapToGrid w:val="0"/>
                    <w:spacing w:line="240" w:lineRule="auto"/>
                    <w:ind w:firstLine="0" w:firstLineChars="0"/>
                    <w:jc w:val="center"/>
                    <w:rPr>
                      <w:rFonts w:hint="eastAsia" w:ascii="宋体" w:hAnsi="宋体" w:cs="宋体"/>
                    </w:rPr>
                  </w:pPr>
                  <w:r>
                    <w:rPr>
                      <w:rFonts w:hint="eastAsia" w:ascii="宋体" w:hAnsi="宋体" w:cs="宋体"/>
                    </w:rPr>
                    <w:t>稳压罐、集分水器等</w:t>
                  </w:r>
                </w:p>
              </w:tc>
              <w:tc>
                <w:tcPr>
                  <w:tcW w:w="740" w:type="pct"/>
                  <w:vAlign w:val="center"/>
                </w:tcPr>
                <w:p w14:paraId="300C6801">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682" w:type="pct"/>
                  <w:vAlign w:val="center"/>
                </w:tcPr>
                <w:p w14:paraId="5A0947AC">
                  <w:pPr>
                    <w:adjustRightInd w:val="0"/>
                    <w:snapToGrid w:val="0"/>
                    <w:spacing w:line="240" w:lineRule="auto"/>
                    <w:ind w:firstLine="0" w:firstLineChars="0"/>
                    <w:jc w:val="center"/>
                    <w:rPr>
                      <w:rFonts w:hint="eastAsia" w:ascii="宋体" w:hAnsi="宋体" w:cs="宋体"/>
                    </w:rPr>
                  </w:pPr>
                  <w:r>
                    <w:rPr>
                      <w:rFonts w:hint="eastAsia" w:ascii="宋体" w:hAnsi="宋体" w:cs="宋体"/>
                    </w:rPr>
                    <w:t>不锈钢</w:t>
                  </w:r>
                </w:p>
              </w:tc>
            </w:tr>
            <w:tr w14:paraId="08E6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66F65819">
                  <w:pPr>
                    <w:adjustRightInd w:val="0"/>
                    <w:snapToGrid w:val="0"/>
                    <w:spacing w:line="240" w:lineRule="auto"/>
                    <w:ind w:firstLine="0" w:firstLineChars="0"/>
                    <w:jc w:val="center"/>
                    <w:rPr>
                      <w:rFonts w:hint="eastAsia" w:ascii="宋体" w:hAnsi="宋体" w:cs="宋体"/>
                    </w:rPr>
                  </w:pPr>
                  <w:r>
                    <w:rPr>
                      <w:rFonts w:hint="eastAsia" w:ascii="宋体" w:hAnsi="宋体" w:cs="宋体"/>
                    </w:rPr>
                    <w:t>3</w:t>
                  </w:r>
                </w:p>
              </w:tc>
              <w:tc>
                <w:tcPr>
                  <w:tcW w:w="940" w:type="pct"/>
                  <w:vAlign w:val="center"/>
                </w:tcPr>
                <w:p w14:paraId="6F492B53">
                  <w:pPr>
                    <w:adjustRightInd w:val="0"/>
                    <w:snapToGrid w:val="0"/>
                    <w:spacing w:line="240" w:lineRule="auto"/>
                    <w:ind w:firstLine="0" w:firstLineChars="0"/>
                    <w:jc w:val="center"/>
                    <w:rPr>
                      <w:rFonts w:hint="eastAsia" w:ascii="宋体" w:hAnsi="宋体" w:cs="宋体"/>
                    </w:rPr>
                  </w:pPr>
                  <w:r>
                    <w:rPr>
                      <w:rFonts w:hint="eastAsia" w:ascii="宋体" w:hAnsi="宋体" w:cs="宋体"/>
                    </w:rPr>
                    <w:t>管路部件及附件</w:t>
                  </w:r>
                </w:p>
              </w:tc>
              <w:tc>
                <w:tcPr>
                  <w:tcW w:w="2105" w:type="pct"/>
                  <w:vAlign w:val="center"/>
                </w:tcPr>
                <w:p w14:paraId="22EE2789">
                  <w:pPr>
                    <w:adjustRightInd w:val="0"/>
                    <w:snapToGrid w:val="0"/>
                    <w:spacing w:line="240" w:lineRule="auto"/>
                    <w:ind w:firstLine="0" w:firstLineChars="0"/>
                    <w:jc w:val="center"/>
                    <w:rPr>
                      <w:rFonts w:hint="eastAsia" w:ascii="宋体" w:hAnsi="宋体" w:cs="宋体"/>
                    </w:rPr>
                  </w:pPr>
                  <w:r>
                    <w:rPr>
                      <w:rFonts w:hint="eastAsia" w:ascii="宋体" w:hAnsi="宋体" w:cs="宋体"/>
                    </w:rPr>
                    <w:t>管路部件、气动伸缩器、托架、变径管、法兰等</w:t>
                  </w:r>
                </w:p>
              </w:tc>
              <w:tc>
                <w:tcPr>
                  <w:tcW w:w="740" w:type="pct"/>
                  <w:vAlign w:val="center"/>
                </w:tcPr>
                <w:p w14:paraId="144B0AA6">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682" w:type="pct"/>
                  <w:vAlign w:val="center"/>
                </w:tcPr>
                <w:p w14:paraId="5BBF9257">
                  <w:pPr>
                    <w:adjustRightInd w:val="0"/>
                    <w:snapToGrid w:val="0"/>
                    <w:spacing w:line="240" w:lineRule="auto"/>
                    <w:ind w:firstLine="0" w:firstLineChars="0"/>
                    <w:jc w:val="center"/>
                    <w:rPr>
                      <w:rFonts w:hint="eastAsia" w:ascii="宋体" w:hAnsi="宋体" w:cs="宋体"/>
                    </w:rPr>
                  </w:pPr>
                  <w:r>
                    <w:rPr>
                      <w:rFonts w:hint="eastAsia" w:ascii="宋体" w:hAnsi="宋体" w:cs="宋体"/>
                    </w:rPr>
                    <w:t>不锈钢</w:t>
                  </w:r>
                </w:p>
              </w:tc>
            </w:tr>
            <w:tr w14:paraId="3A8F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2648CA68">
                  <w:pPr>
                    <w:adjustRightInd w:val="0"/>
                    <w:snapToGrid w:val="0"/>
                    <w:spacing w:line="240" w:lineRule="auto"/>
                    <w:ind w:firstLine="0" w:firstLineChars="0"/>
                    <w:jc w:val="center"/>
                    <w:rPr>
                      <w:rFonts w:hint="eastAsia" w:ascii="宋体" w:hAnsi="宋体" w:cs="宋体"/>
                    </w:rPr>
                  </w:pPr>
                  <w:r>
                    <w:rPr>
                      <w:rFonts w:hint="eastAsia" w:ascii="宋体" w:hAnsi="宋体" w:cs="宋体"/>
                    </w:rPr>
                    <w:t>4</w:t>
                  </w:r>
                </w:p>
              </w:tc>
              <w:tc>
                <w:tcPr>
                  <w:tcW w:w="940" w:type="pct"/>
                  <w:vAlign w:val="center"/>
                </w:tcPr>
                <w:p w14:paraId="508D832D">
                  <w:pPr>
                    <w:adjustRightInd w:val="0"/>
                    <w:snapToGrid w:val="0"/>
                    <w:spacing w:line="240" w:lineRule="auto"/>
                    <w:ind w:firstLine="0" w:firstLineChars="0"/>
                    <w:jc w:val="center"/>
                    <w:rPr>
                      <w:rFonts w:hint="eastAsia" w:ascii="宋体" w:hAnsi="宋体" w:cs="宋体"/>
                    </w:rPr>
                  </w:pPr>
                  <w:r>
                    <w:rPr>
                      <w:rFonts w:hint="eastAsia" w:ascii="宋体" w:hAnsi="宋体" w:cs="宋体"/>
                    </w:rPr>
                    <w:t>管路阀门</w:t>
                  </w:r>
                </w:p>
              </w:tc>
              <w:tc>
                <w:tcPr>
                  <w:tcW w:w="2105" w:type="pct"/>
                  <w:vAlign w:val="center"/>
                </w:tcPr>
                <w:p w14:paraId="68D2B054">
                  <w:pPr>
                    <w:adjustRightInd w:val="0"/>
                    <w:snapToGrid w:val="0"/>
                    <w:spacing w:line="240" w:lineRule="auto"/>
                    <w:ind w:firstLine="0" w:firstLineChars="0"/>
                    <w:jc w:val="center"/>
                    <w:rPr>
                      <w:rFonts w:hint="eastAsia" w:ascii="宋体" w:hAnsi="宋体" w:cs="宋体"/>
                    </w:rPr>
                  </w:pPr>
                  <w:r>
                    <w:rPr>
                      <w:rFonts w:hint="eastAsia" w:ascii="宋体" w:hAnsi="宋体" w:cs="宋体"/>
                    </w:rPr>
                    <w:t>调节阀、开关阀等</w:t>
                  </w:r>
                </w:p>
              </w:tc>
              <w:tc>
                <w:tcPr>
                  <w:tcW w:w="740" w:type="pct"/>
                  <w:vAlign w:val="center"/>
                </w:tcPr>
                <w:p w14:paraId="6F90A0B8">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682" w:type="pct"/>
                  <w:vAlign w:val="center"/>
                </w:tcPr>
                <w:p w14:paraId="7D7BFCEB">
                  <w:pPr>
                    <w:adjustRightInd w:val="0"/>
                    <w:snapToGrid w:val="0"/>
                    <w:spacing w:line="240" w:lineRule="auto"/>
                    <w:ind w:firstLine="0" w:firstLineChars="0"/>
                    <w:jc w:val="center"/>
                    <w:rPr>
                      <w:rFonts w:hint="eastAsia" w:ascii="宋体" w:hAnsi="宋体" w:cs="宋体"/>
                    </w:rPr>
                  </w:pPr>
                  <w:r>
                    <w:rPr>
                      <w:rFonts w:hint="eastAsia" w:ascii="宋体" w:hAnsi="宋体" w:cs="宋体"/>
                    </w:rPr>
                    <w:t>电动</w:t>
                  </w:r>
                </w:p>
              </w:tc>
            </w:tr>
            <w:tr w14:paraId="1486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71B7D776">
                  <w:pPr>
                    <w:adjustRightInd w:val="0"/>
                    <w:snapToGrid w:val="0"/>
                    <w:spacing w:line="240" w:lineRule="auto"/>
                    <w:ind w:firstLine="0" w:firstLineChars="0"/>
                    <w:jc w:val="center"/>
                    <w:rPr>
                      <w:rFonts w:hint="eastAsia" w:ascii="宋体" w:hAnsi="宋体" w:cs="宋体"/>
                    </w:rPr>
                  </w:pPr>
                  <w:r>
                    <w:rPr>
                      <w:rFonts w:hint="eastAsia" w:ascii="宋体" w:hAnsi="宋体" w:cs="宋体"/>
                    </w:rPr>
                    <w:t>5</w:t>
                  </w:r>
                </w:p>
              </w:tc>
              <w:tc>
                <w:tcPr>
                  <w:tcW w:w="940" w:type="pct"/>
                  <w:vAlign w:val="center"/>
                </w:tcPr>
                <w:p w14:paraId="28730163">
                  <w:pPr>
                    <w:adjustRightInd w:val="0"/>
                    <w:snapToGrid w:val="0"/>
                    <w:spacing w:line="240" w:lineRule="auto"/>
                    <w:ind w:firstLine="0" w:firstLineChars="0"/>
                    <w:jc w:val="center"/>
                    <w:rPr>
                      <w:rFonts w:hint="eastAsia" w:ascii="宋体" w:hAnsi="宋体" w:cs="宋体"/>
                    </w:rPr>
                  </w:pPr>
                  <w:r>
                    <w:rPr>
                      <w:rFonts w:hint="eastAsia" w:ascii="宋体" w:hAnsi="宋体" w:cs="宋体"/>
                    </w:rPr>
                    <w:t>测试仪器仪表</w:t>
                  </w:r>
                </w:p>
              </w:tc>
              <w:tc>
                <w:tcPr>
                  <w:tcW w:w="2105" w:type="pct"/>
                  <w:vAlign w:val="center"/>
                </w:tcPr>
                <w:p w14:paraId="7CB02B78">
                  <w:pPr>
                    <w:adjustRightInd w:val="0"/>
                    <w:snapToGrid w:val="0"/>
                    <w:spacing w:line="240" w:lineRule="auto"/>
                    <w:ind w:firstLine="0" w:firstLineChars="0"/>
                    <w:jc w:val="center"/>
                    <w:rPr>
                      <w:rFonts w:hint="eastAsia" w:ascii="宋体" w:hAnsi="宋体" w:cs="宋体"/>
                    </w:rPr>
                  </w:pPr>
                  <w:r>
                    <w:rPr>
                      <w:rFonts w:hint="eastAsia" w:ascii="宋体" w:hAnsi="宋体" w:cs="宋体"/>
                    </w:rPr>
                    <w:t xml:space="preserve">流量、压力、压差、温度变送器、变频器、工控机、数据采集器、PLC、监控等 </w:t>
                  </w:r>
                </w:p>
              </w:tc>
              <w:tc>
                <w:tcPr>
                  <w:tcW w:w="740" w:type="pct"/>
                  <w:vAlign w:val="center"/>
                </w:tcPr>
                <w:p w14:paraId="361F2359">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682" w:type="pct"/>
                  <w:vAlign w:val="center"/>
                </w:tcPr>
                <w:p w14:paraId="738EA7B8">
                  <w:pPr>
                    <w:adjustRightInd w:val="0"/>
                    <w:snapToGrid w:val="0"/>
                    <w:spacing w:line="240" w:lineRule="auto"/>
                    <w:ind w:firstLine="0" w:firstLineChars="0"/>
                    <w:jc w:val="center"/>
                    <w:rPr>
                      <w:rFonts w:hint="eastAsia" w:ascii="宋体" w:hAnsi="宋体" w:cs="宋体"/>
                    </w:rPr>
                  </w:pPr>
                </w:p>
              </w:tc>
            </w:tr>
            <w:tr w14:paraId="108C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1" w:type="pct"/>
                  <w:vAlign w:val="center"/>
                </w:tcPr>
                <w:p w14:paraId="3A50F0FE">
                  <w:pPr>
                    <w:adjustRightInd w:val="0"/>
                    <w:snapToGrid w:val="0"/>
                    <w:spacing w:line="240" w:lineRule="auto"/>
                    <w:ind w:firstLine="0" w:firstLineChars="0"/>
                    <w:jc w:val="center"/>
                    <w:rPr>
                      <w:rFonts w:hint="eastAsia" w:ascii="宋体" w:hAnsi="宋体" w:cs="宋体"/>
                    </w:rPr>
                  </w:pPr>
                  <w:r>
                    <w:rPr>
                      <w:rFonts w:hint="eastAsia" w:ascii="宋体" w:hAnsi="宋体" w:cs="宋体"/>
                    </w:rPr>
                    <w:t>6</w:t>
                  </w:r>
                </w:p>
              </w:tc>
              <w:tc>
                <w:tcPr>
                  <w:tcW w:w="940" w:type="pct"/>
                  <w:vAlign w:val="center"/>
                </w:tcPr>
                <w:p w14:paraId="0584DA06">
                  <w:pPr>
                    <w:adjustRightInd w:val="0"/>
                    <w:snapToGrid w:val="0"/>
                    <w:spacing w:line="240" w:lineRule="auto"/>
                    <w:ind w:firstLine="0" w:firstLineChars="0"/>
                    <w:jc w:val="center"/>
                    <w:rPr>
                      <w:rFonts w:hint="eastAsia" w:ascii="宋体" w:hAnsi="宋体" w:cs="宋体"/>
                    </w:rPr>
                  </w:pPr>
                  <w:r>
                    <w:rPr>
                      <w:rFonts w:hint="eastAsia" w:ascii="宋体" w:hAnsi="宋体" w:cs="宋体"/>
                    </w:rPr>
                    <w:t>控制柜</w:t>
                  </w:r>
                </w:p>
              </w:tc>
              <w:tc>
                <w:tcPr>
                  <w:tcW w:w="2105" w:type="pct"/>
                  <w:vAlign w:val="center"/>
                </w:tcPr>
                <w:p w14:paraId="7A65C057">
                  <w:pPr>
                    <w:adjustRightInd w:val="0"/>
                    <w:snapToGrid w:val="0"/>
                    <w:spacing w:line="240" w:lineRule="auto"/>
                    <w:ind w:firstLine="0" w:firstLineChars="0"/>
                    <w:jc w:val="center"/>
                    <w:rPr>
                      <w:rFonts w:hint="eastAsia" w:ascii="宋体" w:hAnsi="宋体" w:cs="宋体"/>
                    </w:rPr>
                  </w:pPr>
                  <w:r>
                    <w:rPr>
                      <w:rFonts w:hint="eastAsia" w:ascii="宋体" w:hAnsi="宋体" w:cs="宋体"/>
                    </w:rPr>
                    <w:t>动力柜、试验控制柜、调节表等</w:t>
                  </w:r>
                </w:p>
              </w:tc>
              <w:tc>
                <w:tcPr>
                  <w:tcW w:w="740" w:type="pct"/>
                  <w:vAlign w:val="center"/>
                </w:tcPr>
                <w:p w14:paraId="3094BC03">
                  <w:pPr>
                    <w:adjustRightInd w:val="0"/>
                    <w:snapToGrid w:val="0"/>
                    <w:spacing w:line="240" w:lineRule="auto"/>
                    <w:ind w:firstLine="0" w:firstLineChars="0"/>
                    <w:jc w:val="center"/>
                    <w:rPr>
                      <w:rFonts w:hint="eastAsia" w:ascii="宋体" w:hAnsi="宋体" w:cs="宋体"/>
                    </w:rPr>
                  </w:pPr>
                  <w:r>
                    <w:rPr>
                      <w:rFonts w:hint="eastAsia" w:ascii="宋体" w:hAnsi="宋体" w:cs="宋体"/>
                    </w:rPr>
                    <w:t>/</w:t>
                  </w:r>
                </w:p>
              </w:tc>
              <w:tc>
                <w:tcPr>
                  <w:tcW w:w="682" w:type="pct"/>
                  <w:vAlign w:val="center"/>
                </w:tcPr>
                <w:p w14:paraId="43BEB73B">
                  <w:pPr>
                    <w:adjustRightInd w:val="0"/>
                    <w:snapToGrid w:val="0"/>
                    <w:spacing w:line="240" w:lineRule="auto"/>
                    <w:ind w:firstLine="0" w:firstLineChars="0"/>
                    <w:jc w:val="center"/>
                    <w:rPr>
                      <w:rFonts w:hint="eastAsia" w:ascii="宋体" w:hAnsi="宋体" w:cs="宋体"/>
                    </w:rPr>
                  </w:pPr>
                </w:p>
              </w:tc>
            </w:tr>
          </w:tbl>
          <w:p w14:paraId="7616D611">
            <w:pPr>
              <w:spacing w:line="240" w:lineRule="auto"/>
              <w:ind w:firstLine="0" w:firstLineChars="0"/>
              <w:rPr>
                <w:rFonts w:hint="eastAsia" w:ascii="宋体" w:hAnsi="宋体" w:cs="宋体"/>
                <w:color w:val="000000" w:themeColor="text1"/>
                <w14:textFill>
                  <w14:solidFill>
                    <w14:schemeClr w14:val="tx1"/>
                  </w14:solidFill>
                </w14:textFill>
              </w:rPr>
            </w:pPr>
          </w:p>
        </w:tc>
      </w:tr>
    </w:tbl>
    <w:p w14:paraId="19CD7054">
      <w:pPr>
        <w:ind w:firstLine="480"/>
        <w:contextualSpacing/>
        <w:rPr>
          <w:b/>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b/>
          <w:color w:val="000000" w:themeColor="text1"/>
          <w14:textFill>
            <w14:solidFill>
              <w14:schemeClr w14:val="tx1"/>
            </w14:solidFill>
          </w14:textFill>
        </w:rPr>
        <w:t>商务要求：</w:t>
      </w:r>
    </w:p>
    <w:p w14:paraId="5677ACE3">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（一）</w:t>
      </w:r>
      <w:r>
        <w:rPr>
          <w:rFonts w:hint="eastAsia" w:ascii="宋体" w:hAnsi="宋体" w:cs="宋体"/>
          <w:b/>
          <w:color w:val="000000" w:themeColor="text1"/>
          <w14:textFill>
            <w14:solidFill>
              <w14:schemeClr w14:val="tx1"/>
            </w14:solidFill>
          </w14:textFill>
        </w:rPr>
        <w:t>服务要求：</w:t>
      </w:r>
    </w:p>
    <w:p w14:paraId="37C246C8">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ascii="宋体" w:hAnsi="宋体" w:cs="宋体"/>
          <w:bCs/>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w:t>
      </w:r>
      <w:r>
        <w:rPr>
          <w:rFonts w:hint="eastAsia" w:ascii="宋体" w:hAnsi="宋体" w:cs="宋体"/>
          <w:bCs/>
          <w:color w:val="000000" w:themeColor="text1"/>
          <w14:textFill>
            <w14:solidFill>
              <w14:schemeClr w14:val="tx1"/>
            </w14:solidFill>
          </w14:textFill>
        </w:rPr>
        <w:t>及交货地点：</w:t>
      </w:r>
    </w:p>
    <w:p w14:paraId="23D30D2D">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交付使用时间（合同履行期限）：</w:t>
      </w:r>
      <w:r>
        <w:rPr>
          <w:rFonts w:hint="eastAsia"/>
          <w:color w:val="000000" w:themeColor="text1"/>
          <w14:textFill>
            <w14:solidFill>
              <w14:schemeClr w14:val="tx1"/>
            </w14:solidFill>
          </w14:textFill>
        </w:rPr>
        <w:t>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bookmarkStart w:id="10" w:name="_GoBack"/>
      <w:bookmarkEnd w:id="10"/>
    </w:p>
    <w:p w14:paraId="39612B4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交货地点：采购人指定地点。</w:t>
      </w:r>
    </w:p>
    <w:p w14:paraId="368D92E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安装、调试和验收</w:t>
      </w:r>
    </w:p>
    <w:p w14:paraId="1E3B58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到达最终采购人现场并且现场条件合格后，在接到采购人通知后，供应商需安排有经验的工程技术人员到采购人现场指导安装、调试设备，按验收指标逐项测试，直至达到验收要求。如因产品质量导致产品无法正常使用，由供应商无偿更换。</w:t>
      </w:r>
    </w:p>
    <w:p w14:paraId="416D4AD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验收标准：按行业通行标准和供应商投标文件的承诺（不低于国家相关标准）。</w:t>
      </w:r>
    </w:p>
    <w:p w14:paraId="233BC05F">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ascii="宋体" w:hAnsi="宋体" w:cs="宋体"/>
          <w:b/>
          <w:color w:val="000000" w:themeColor="text1"/>
          <w:szCs w:val="22"/>
          <w:lang w:val="zh-CN" w:bidi="zh-CN"/>
          <w14:textFill>
            <w14:solidFill>
              <w14:schemeClr w14:val="tx1"/>
            </w14:solidFill>
          </w14:textFill>
        </w:rPr>
        <w:t>2.</w:t>
      </w:r>
      <w:r>
        <w:rPr>
          <w:rFonts w:hint="eastAsia" w:ascii="宋体" w:hAnsi="宋体" w:cs="宋体"/>
          <w:b/>
          <w:color w:val="000000" w:themeColor="text1"/>
          <w14:textFill>
            <w14:solidFill>
              <w14:schemeClr w14:val="tx1"/>
            </w14:solidFill>
          </w14:textFill>
        </w:rPr>
        <w:t>付款方式及履约保函：</w:t>
      </w:r>
    </w:p>
    <w:p w14:paraId="454342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合同签订生效后，采购人向中标人支付合同总价的50%；中标人在按照合同规定的期限内将设备、材料全部运抵交货地点，并安装调试结束，初步验收合格后，采购人收到中标人提供的合同总价10%的履约保函后向中标人支付合同总价的50%；在设备通过采购人验收合格且满12个月无质量问题后的15个工作日内，采购人将无息退还中标人的履约保函。</w:t>
      </w:r>
    </w:p>
    <w:p w14:paraId="2773AC0D">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2.2履约保函</w:t>
      </w:r>
    </w:p>
    <w:p w14:paraId="17D5155E">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（1）履约保函金额：合同总价10%；</w:t>
      </w:r>
    </w:p>
    <w:p w14:paraId="6BCDF85F">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（2）履约保函的形式：中标人应当以支票、汇票、本票或者金融机构、担保机构出具的保函等非现金形式提交；</w:t>
      </w:r>
    </w:p>
    <w:p w14:paraId="68D51A04">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（3）履约保函的退还：在设备通过采购人验收合格且满12个月无质量问题后的15个工作日内，采购人将无息退还中标人的履约保函；</w:t>
      </w:r>
    </w:p>
    <w:p w14:paraId="1810C0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（4）逾期退还履约保函的处理：采购人未按照规定退还履约保函的（因乙方自身原因导致无法及时退还的除外），由财政部门依照《中华人民共和国政府采购法》等有关规定处理；</w:t>
      </w:r>
    </w:p>
    <w:p w14:paraId="12D440D7">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hint="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（5）不予退还履约保函的处理：对于符合政府采购政策和招标文件规定不予退还的履约保函，甲方应当确认相关情形后按照财政非税收入管理等规定上缴采购人同级预算级次国库。</w:t>
      </w:r>
    </w:p>
    <w:p w14:paraId="057E1256">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3</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培训：</w:t>
      </w:r>
    </w:p>
    <w:p w14:paraId="6E01D55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现场培训：供应商在设备的组装、调试、验收完毕后即进行现场培训直至采购人基本掌握使用操作、维护保养技术。</w:t>
      </w:r>
    </w:p>
    <w:p w14:paraId="72B6B1C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专门培训：供应商就设备的组装、检验、调试、使用和维护等培训采购人不少于2名技术人员，直到采购人受训人员全部掌握运行操作、维护保养技术，并能达到正确检修、维护、排除一般故障为止。</w:t>
      </w:r>
    </w:p>
    <w:p w14:paraId="660E0D3B">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培训方式：理论知识技术培训、实际操作培训。</w:t>
      </w:r>
    </w:p>
    <w:p w14:paraId="067A41C3">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培训人员、地点和时间：受训人员及培训次数由采购人确定，培训地点和时间由双方商定。</w:t>
      </w:r>
    </w:p>
    <w:p w14:paraId="43DEC6D2">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4</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质保及维保：</w:t>
      </w:r>
    </w:p>
    <w:p w14:paraId="519612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免费质保期：供应商所供设备、材料及安装的质量保证期至少为综合验收合格后1年。</w:t>
      </w:r>
    </w:p>
    <w:p w14:paraId="2E76ED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（2）在质保期内，因</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所供设备、材料制造质量或安装问题出现设备故障时，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包括书面通知、电话、传真、电子邮件等</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（3）在质保期内，因</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使用不当原因出现设备故障时，乙方在接到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通知后，应在</w:t>
      </w:r>
      <w:r>
        <w:rPr>
          <w:rFonts w:hint="eastAsia" w:ascii="宋体" w:hAnsi="宋体" w:cs="宋体"/>
          <w:color w:val="000000" w:themeColor="text1"/>
          <w:szCs w:val="22"/>
          <w:lang w:bidi="zh-CN"/>
          <w14:textFill>
            <w14:solidFill>
              <w14:schemeClr w14:val="tx1"/>
            </w14:solidFill>
          </w14:textFill>
        </w:rPr>
        <w:t>上述序号（2）</w:t>
      </w:r>
      <w:r>
        <w:rPr>
          <w:rFonts w:ascii="宋体" w:hAnsi="宋体" w:cs="宋体"/>
          <w:color w:val="000000" w:themeColor="text1"/>
          <w:szCs w:val="22"/>
          <w:lang w:val="zh-CN" w:bidi="zh-CN"/>
          <w14:textFill>
            <w14:solidFill>
              <w14:schemeClr w14:val="tx1"/>
            </w14:solidFill>
          </w14:textFill>
        </w:rPr>
        <w:t>条款中所述的时限内响应并派设备厂家工程师赶到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现场，帮助排除故障、修复或更换零部件，需购买零部件时，仅收取成本费。</w:t>
      </w:r>
    </w:p>
    <w:p w14:paraId="4CF399A0">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（4）质保期满后，如设备出现故障，</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通知后，仍应在上述时限内响应、派设备厂家工程师赶到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现场，帮助排除故障、修复或更换零部件，需购买零部件时，酌情收取成本费。</w:t>
      </w:r>
    </w:p>
    <w:p w14:paraId="09F4905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设备维护保养：</w:t>
      </w:r>
    </w:p>
    <w:p w14:paraId="078D83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投标人应在设备质保期内每年免费提供全面的设备保养，在质保期外应根据采购人需要免费提供设备全面保养服务。在不涉及硬件更换条件下，投标人需无偿提供系统的升级服务。</w:t>
      </w:r>
    </w:p>
    <w:p w14:paraId="7D4E6BE4">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报价要求及违约责任：</w:t>
      </w:r>
    </w:p>
    <w:p w14:paraId="6E78F7AC">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本项目报价，应包括</w:t>
      </w:r>
      <w:r>
        <w:rPr>
          <w:rFonts w:hint="eastAsia" w:ascii="宋体" w:hAnsi="宋体" w:cs="宋体"/>
          <w:bCs/>
          <w:color w:val="000000" w:themeColor="text1"/>
          <w:kern w:val="0"/>
          <w:szCs w:val="21"/>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供应商认为需要的其他费用等，本合同执行期间合同总价款不变。</w:t>
      </w:r>
    </w:p>
    <w:p w14:paraId="3501A174">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2.在安装、调试、验收过程中，如发现有漏项、缺件，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应无条件、无偿补齐，所发生的一切费用，视为已包含在</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投标时的投标报价之中，且并不因此而影响交付</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使用的时间。</w:t>
      </w:r>
    </w:p>
    <w:p w14:paraId="57DEFC26">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供应商的任何错漏、优惠、竞争性报价不得作为减轻责任、减少服务、增加收费、降低质量的理由。</w:t>
      </w:r>
    </w:p>
    <w:p w14:paraId="67C7AF92">
      <w:pPr>
        <w:pStyle w:val="7"/>
        <w:tabs>
          <w:tab w:val="left" w:pos="780"/>
        </w:tabs>
        <w:spacing w:before="0" w:after="0" w:line="360" w:lineRule="auto"/>
        <w:ind w:firstLine="480"/>
        <w:rPr>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供应商报价除包含招标文件中列明的项目外还应包括保障服务正常运行应当具有的物资和服务，对服务正常运行应当具有的物资和服务理解不一致的以采购人理解为准。</w:t>
      </w:r>
    </w:p>
    <w:p w14:paraId="01F5FA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548DBC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第五章  合同主要条款及格式</w:t>
      </w:r>
    </w:p>
    <w:p w14:paraId="79D278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468" w:beforeLines="150" w:after="468" w:afterLines="150"/>
        <w:ind w:firstLine="560"/>
        <w:jc w:val="center"/>
        <w:rPr>
          <w:rFonts w:hint="eastAsia" w:ascii="宋体" w:hAnsi="宋体" w:cs="宋体"/>
          <w:color w:val="000000" w:themeColor="text1"/>
          <w:sz w:val="28"/>
          <w:szCs w:val="28"/>
          <w14:textFill>
            <w14:solidFill>
              <w14:schemeClr w14:val="tx1"/>
            </w14:solidFill>
          </w14:textFill>
        </w:rPr>
      </w:pPr>
      <w:bookmarkStart w:id="5" w:name="_Toc4445"/>
    </w:p>
    <w:p w14:paraId="77D52C2B">
      <w:pPr>
        <w:ind w:firstLine="480"/>
        <w:rPr>
          <w:color w:val="000000" w:themeColor="text1"/>
          <w14:textFill>
            <w14:solidFill>
              <w14:schemeClr w14:val="tx1"/>
            </w14:solidFill>
          </w14:textFill>
        </w:rPr>
      </w:pPr>
    </w:p>
    <w:p w14:paraId="52ADF883">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政府采购合同</w:t>
      </w:r>
    </w:p>
    <w:p w14:paraId="6838793F">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（拟签订的合同文本）</w:t>
      </w:r>
    </w:p>
    <w:p w14:paraId="6942924B">
      <w:pPr>
        <w:widowControl/>
        <w:ind w:firstLine="723"/>
        <w:rPr>
          <w:rFonts w:hint="eastAsia" w:ascii="宋体" w:hAnsi="宋体" w:cs="宋体"/>
          <w:b/>
          <w:bCs/>
          <w:color w:val="000000" w:themeColor="text1"/>
          <w:sz w:val="36"/>
          <w:szCs w:val="36"/>
          <w14:textFill>
            <w14:solidFill>
              <w14:schemeClr w14:val="tx1"/>
            </w14:solidFill>
          </w14:textFill>
        </w:rPr>
      </w:pPr>
    </w:p>
    <w:p w14:paraId="033D8576">
      <w:pPr>
        <w:widowControl/>
        <w:ind w:firstLine="480"/>
        <w:rPr>
          <w:rFonts w:hint="eastAsia" w:ascii="宋体" w:hAnsi="宋体" w:cs="宋体"/>
          <w:color w:val="000000" w:themeColor="text1"/>
          <w:szCs w:val="21"/>
          <w14:textFill>
            <w14:solidFill>
              <w14:schemeClr w14:val="tx1"/>
            </w14:solidFill>
          </w14:textFill>
        </w:rPr>
      </w:pPr>
    </w:p>
    <w:p w14:paraId="2EF6254C">
      <w:pPr>
        <w:widowControl/>
        <w:ind w:firstLine="480"/>
        <w:rPr>
          <w:rFonts w:hint="eastAsia" w:ascii="宋体" w:hAnsi="宋体" w:cs="宋体"/>
          <w:color w:val="000000" w:themeColor="text1"/>
          <w:szCs w:val="21"/>
          <w14:textFill>
            <w14:solidFill>
              <w14:schemeClr w14:val="tx1"/>
            </w14:solidFill>
          </w14:textFill>
        </w:rPr>
      </w:pPr>
    </w:p>
    <w:p w14:paraId="7FAA0F8D">
      <w:pPr>
        <w:widowControl/>
        <w:ind w:firstLine="480"/>
        <w:rPr>
          <w:rFonts w:hint="eastAsia" w:ascii="宋体" w:hAnsi="宋体" w:cs="宋体"/>
          <w:color w:val="000000" w:themeColor="text1"/>
          <w:szCs w:val="21"/>
          <w14:textFill>
            <w14:solidFill>
              <w14:schemeClr w14:val="tx1"/>
            </w14:solidFill>
          </w14:textFill>
        </w:rPr>
      </w:pPr>
    </w:p>
    <w:p w14:paraId="24D56B7B">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合同编号：</w:t>
      </w:r>
      <w:r>
        <w:rPr>
          <w:rFonts w:hint="eastAsia" w:ascii="宋体" w:hAnsi="宋体" w:cs="宋体"/>
          <w:b/>
          <w:bCs/>
          <w:color w:val="000000" w:themeColor="text1"/>
          <w:sz w:val="30"/>
          <w:szCs w:val="30"/>
          <w:u w:val="single"/>
          <w14:textFill>
            <w14:solidFill>
              <w14:schemeClr w14:val="tx1"/>
            </w14:solidFill>
          </w14:textFill>
        </w:rPr>
        <w:t>           </w:t>
      </w:r>
    </w:p>
    <w:p w14:paraId="0E696429">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项目名称：</w:t>
      </w:r>
      <w:r>
        <w:rPr>
          <w:rFonts w:hint="eastAsia" w:ascii="宋体" w:hAnsi="宋体" w:cs="宋体"/>
          <w:b/>
          <w:bCs/>
          <w:color w:val="000000" w:themeColor="text1"/>
          <w:sz w:val="30"/>
          <w:szCs w:val="30"/>
          <w:u w:val="single"/>
          <w14:textFill>
            <w14:solidFill>
              <w14:schemeClr w14:val="tx1"/>
            </w14:solidFill>
          </w14:textFill>
        </w:rPr>
        <w:t>           </w:t>
      </w:r>
    </w:p>
    <w:p w14:paraId="0F067197">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采购人（甲方）：</w:t>
      </w:r>
      <w:r>
        <w:rPr>
          <w:rFonts w:hint="eastAsia" w:ascii="宋体" w:hAnsi="宋体" w:cs="宋体"/>
          <w:b/>
          <w:bCs/>
          <w:color w:val="000000" w:themeColor="text1"/>
          <w:sz w:val="30"/>
          <w:szCs w:val="30"/>
          <w:u w:val="single"/>
          <w14:textFill>
            <w14:solidFill>
              <w14:schemeClr w14:val="tx1"/>
            </w14:solidFill>
          </w14:textFill>
        </w:rPr>
        <w:t>        </w:t>
      </w:r>
    </w:p>
    <w:p w14:paraId="5AB9670F">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供应商（乙方）：</w:t>
      </w:r>
      <w:r>
        <w:rPr>
          <w:rFonts w:hint="eastAsia" w:ascii="宋体" w:hAnsi="宋体" w:cs="宋体"/>
          <w:b/>
          <w:bCs/>
          <w:color w:val="000000" w:themeColor="text1"/>
          <w:sz w:val="30"/>
          <w:szCs w:val="30"/>
          <w:u w:val="single"/>
          <w14:textFill>
            <w14:solidFill>
              <w14:schemeClr w14:val="tx1"/>
            </w14:solidFill>
          </w14:textFill>
        </w:rPr>
        <w:t>        </w:t>
      </w:r>
    </w:p>
    <w:p w14:paraId="48B8D546">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签订日期：</w:t>
      </w:r>
      <w:r>
        <w:rPr>
          <w:rFonts w:hint="eastAsia" w:ascii="宋体" w:hAnsi="宋体" w:cs="宋体"/>
          <w:b/>
          <w:bCs/>
          <w:color w:val="000000" w:themeColor="text1"/>
          <w:sz w:val="30"/>
          <w:szCs w:val="30"/>
          <w:u w:val="single"/>
          <w14:textFill>
            <w14:solidFill>
              <w14:schemeClr w14:val="tx1"/>
            </w14:solidFill>
          </w14:textFill>
        </w:rPr>
        <w:t>           </w:t>
      </w:r>
    </w:p>
    <w:p w14:paraId="5A421AE3">
      <w:pPr>
        <w:ind w:firstLine="640"/>
        <w:rPr>
          <w:rFonts w:hint="eastAsia" w:ascii="宋体" w:hAnsi="宋体" w:cs="宋体"/>
          <w:color w:val="000000" w:themeColor="text1"/>
          <w:sz w:val="32"/>
          <w:szCs w:val="32"/>
          <w14:textFill>
            <w14:solidFill>
              <w14:schemeClr w14:val="tx1"/>
            </w14:solidFill>
          </w14:textFill>
        </w:rPr>
      </w:pPr>
    </w:p>
    <w:p w14:paraId="61D17B53">
      <w:pPr>
        <w:ind w:left="-480" w:leftChars="-200" w:right="-358" w:rightChars="-149" w:firstLine="241" w:firstLineChars="100"/>
        <w:rPr>
          <w:rFonts w:hint="eastAsia" w:ascii="宋体" w:hAnsi="宋体" w:cs="宋体"/>
          <w:b/>
          <w:bCs/>
          <w:color w:val="000000" w:themeColor="text1"/>
          <w14:textFill>
            <w14:solidFill>
              <w14:schemeClr w14:val="tx1"/>
            </w14:solidFill>
          </w14:textFill>
        </w:rPr>
      </w:pPr>
    </w:p>
    <w:p w14:paraId="5C98D575">
      <w:pPr>
        <w:tabs>
          <w:tab w:val="left" w:pos="4785"/>
        </w:tabs>
        <w:autoSpaceDE w:val="0"/>
        <w:autoSpaceDN w:val="0"/>
        <w:adjustRightInd w:val="0"/>
        <w:spacing w:line="480" w:lineRule="exact"/>
        <w:ind w:left="108"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t>注：</w:t>
      </w:r>
      <w:bookmarkEnd w:id="5"/>
      <w:r>
        <w:rPr>
          <w:rFonts w:hint="eastAsia" w:ascii="宋体" w:hAnsi="宋体" w:cs="宋体"/>
          <w:b/>
          <w:bCs/>
          <w:i/>
          <w:iCs/>
          <w:color w:val="000000" w:themeColor="text1"/>
          <w14:textFill>
            <w14:solidFill>
              <w14:schemeClr w14:val="tx1"/>
            </w14:solidFill>
          </w14:textFill>
        </w:rPr>
        <w:t>货物类采购合同参考格式，本合同内容条款在正式签署前可具体补充细化，仅作参考，最终合同以采购人法务审查通过的版本为准。</w:t>
      </w:r>
    </w:p>
    <w:p w14:paraId="1A30044E">
      <w:pPr>
        <w:ind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甲方：江苏省特种设备安全监督检验研究院</w:t>
      </w:r>
    </w:p>
    <w:p w14:paraId="0FEB98F8">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乙方：</w:t>
      </w:r>
    </w:p>
    <w:p w14:paraId="6A7F2AB3">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采购代理机构：南京苏宁工程咨询有限公司</w:t>
      </w:r>
    </w:p>
    <w:p w14:paraId="77AAA82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受甲方委托，采购代理机构于</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日组织了</w:t>
      </w:r>
      <w:r>
        <w:rPr>
          <w:rFonts w:hint="eastAsia" w:ascii="宋体" w:hAnsi="宋体" w:cs="宋体"/>
          <w:color w:val="000000" w:themeColor="text1"/>
          <w:kern w:val="0"/>
          <w:szCs w:val="21"/>
          <w:u w:val="single"/>
          <w14:textFill>
            <w14:solidFill>
              <w14:schemeClr w14:val="tx1"/>
            </w14:solidFill>
          </w14:textFill>
        </w:rPr>
        <w:t>江苏省特种设备安全监督检验研究院所需</w:t>
      </w:r>
      <w:r>
        <w:rPr>
          <w:rFonts w:hint="eastAsia" w:ascii="宋体" w:hAnsi="宋体" w:cs="宋体"/>
          <w:color w:val="000000" w:themeColor="text1"/>
          <w:kern w:val="0"/>
          <w:szCs w:val="21"/>
          <w:u w:val="single"/>
          <w:lang w:eastAsia="zh-CN"/>
          <w14:textFill>
            <w14:solidFill>
              <w14:schemeClr w14:val="tx1"/>
            </w14:solidFill>
          </w14:textFill>
        </w:rPr>
        <w:t>压力管道元件（金属阀门、燃气用聚乙烯管）型式试验能力提升设备采购</w:t>
      </w:r>
      <w:r>
        <w:rPr>
          <w:rFonts w:hint="eastAsia" w:ascii="宋体" w:hAnsi="宋体" w:cs="宋体"/>
          <w:color w:val="000000" w:themeColor="text1"/>
          <w:kern w:val="0"/>
          <w:szCs w:val="21"/>
          <w14:textFill>
            <w14:solidFill>
              <w14:schemeClr w14:val="tx1"/>
            </w14:solidFill>
          </w14:textFill>
        </w:rPr>
        <w:t>采购项目（项目编号：</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；采购包</w:t>
      </w:r>
      <w:r>
        <w:rPr>
          <w:rFonts w:hint="eastAsia" w:ascii="宋体" w:hAnsi="宋体" w:cs="宋体"/>
          <w:color w:val="000000" w:themeColor="text1"/>
          <w:kern w:val="0"/>
          <w:szCs w:val="21"/>
          <w:u w:val="single"/>
          <w14:textFill>
            <w14:solidFill>
              <w14:schemeClr w14:val="tx1"/>
            </w14:solidFill>
          </w14:textFill>
        </w:rPr>
        <w:t xml:space="preserve">号：     </w:t>
      </w:r>
      <w:r>
        <w:rPr>
          <w:rFonts w:hint="eastAsia" w:ascii="宋体" w:hAnsi="宋体" w:cs="宋体"/>
          <w:color w:val="000000" w:themeColor="text1"/>
          <w:kern w:val="0"/>
          <w:szCs w:val="21"/>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合同由甲乙双方签订，并依据</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5F4442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设备名称</w:t>
            </w:r>
          </w:p>
        </w:tc>
        <w:tc>
          <w:tcPr>
            <w:tcW w:w="802" w:type="pct"/>
            <w:vAlign w:val="center"/>
          </w:tcPr>
          <w:p w14:paraId="38485DD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品牌</w:t>
            </w:r>
          </w:p>
        </w:tc>
        <w:tc>
          <w:tcPr>
            <w:tcW w:w="682" w:type="pct"/>
            <w:vAlign w:val="center"/>
          </w:tcPr>
          <w:p w14:paraId="32923DC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型号</w:t>
            </w:r>
          </w:p>
        </w:tc>
        <w:tc>
          <w:tcPr>
            <w:tcW w:w="555" w:type="pct"/>
            <w:vAlign w:val="center"/>
          </w:tcPr>
          <w:p w14:paraId="08CAD37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p>
        </w:tc>
        <w:tc>
          <w:tcPr>
            <w:tcW w:w="497" w:type="pct"/>
            <w:vAlign w:val="center"/>
          </w:tcPr>
          <w:p w14:paraId="23FC5247">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tc>
        <w:tc>
          <w:tcPr>
            <w:tcW w:w="848" w:type="pct"/>
            <w:vAlign w:val="center"/>
          </w:tcPr>
          <w:p w14:paraId="450BBDE8">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单价（元）</w:t>
            </w:r>
          </w:p>
        </w:tc>
        <w:tc>
          <w:tcPr>
            <w:tcW w:w="806" w:type="pct"/>
            <w:vAlign w:val="center"/>
          </w:tcPr>
          <w:p w14:paraId="2996B51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4484FB">
            <w:pPr>
              <w:spacing w:line="240" w:lineRule="auto"/>
              <w:ind w:firstLine="0" w:firstLineChars="0"/>
              <w:rPr>
                <w:color w:val="000000" w:themeColor="text1"/>
                <w14:textFill>
                  <w14:solidFill>
                    <w14:schemeClr w14:val="tx1"/>
                  </w14:solidFill>
                </w14:textFill>
              </w:rPr>
            </w:pPr>
          </w:p>
        </w:tc>
        <w:tc>
          <w:tcPr>
            <w:tcW w:w="802" w:type="pct"/>
            <w:vAlign w:val="center"/>
          </w:tcPr>
          <w:p w14:paraId="2839479D">
            <w:pPr>
              <w:spacing w:line="240" w:lineRule="auto"/>
              <w:ind w:firstLine="0" w:firstLineChars="0"/>
              <w:rPr>
                <w:color w:val="000000" w:themeColor="text1"/>
                <w14:textFill>
                  <w14:solidFill>
                    <w14:schemeClr w14:val="tx1"/>
                  </w14:solidFill>
                </w14:textFill>
              </w:rPr>
            </w:pPr>
          </w:p>
        </w:tc>
        <w:tc>
          <w:tcPr>
            <w:tcW w:w="682" w:type="pct"/>
            <w:vAlign w:val="center"/>
          </w:tcPr>
          <w:p w14:paraId="5458B0BF">
            <w:pPr>
              <w:spacing w:line="240" w:lineRule="auto"/>
              <w:ind w:firstLine="0" w:firstLineChars="0"/>
              <w:rPr>
                <w:color w:val="000000" w:themeColor="text1"/>
                <w14:textFill>
                  <w14:solidFill>
                    <w14:schemeClr w14:val="tx1"/>
                  </w14:solidFill>
                </w14:textFill>
              </w:rPr>
            </w:pPr>
          </w:p>
        </w:tc>
        <w:tc>
          <w:tcPr>
            <w:tcW w:w="555" w:type="pct"/>
            <w:vAlign w:val="center"/>
          </w:tcPr>
          <w:p w14:paraId="16353226">
            <w:pPr>
              <w:spacing w:line="240" w:lineRule="auto"/>
              <w:ind w:firstLine="0" w:firstLineChars="0"/>
              <w:rPr>
                <w:color w:val="000000" w:themeColor="text1"/>
                <w14:textFill>
                  <w14:solidFill>
                    <w14:schemeClr w14:val="tx1"/>
                  </w14:solidFill>
                </w14:textFill>
              </w:rPr>
            </w:pPr>
          </w:p>
        </w:tc>
        <w:tc>
          <w:tcPr>
            <w:tcW w:w="497" w:type="pct"/>
            <w:vAlign w:val="center"/>
          </w:tcPr>
          <w:p w14:paraId="35703710">
            <w:pPr>
              <w:spacing w:line="240" w:lineRule="auto"/>
              <w:ind w:firstLine="0" w:firstLineChars="0"/>
              <w:rPr>
                <w:color w:val="000000" w:themeColor="text1"/>
                <w14:textFill>
                  <w14:solidFill>
                    <w14:schemeClr w14:val="tx1"/>
                  </w14:solidFill>
                </w14:textFill>
              </w:rPr>
            </w:pPr>
          </w:p>
        </w:tc>
        <w:tc>
          <w:tcPr>
            <w:tcW w:w="848" w:type="pct"/>
            <w:vAlign w:val="center"/>
          </w:tcPr>
          <w:p w14:paraId="776D9663">
            <w:pPr>
              <w:spacing w:line="240" w:lineRule="auto"/>
              <w:ind w:firstLine="0" w:firstLineChars="0"/>
              <w:rPr>
                <w:color w:val="000000" w:themeColor="text1"/>
                <w14:textFill>
                  <w14:solidFill>
                    <w14:schemeClr w14:val="tx1"/>
                  </w14:solidFill>
                </w14:textFill>
              </w:rPr>
            </w:pPr>
          </w:p>
        </w:tc>
        <w:tc>
          <w:tcPr>
            <w:tcW w:w="806" w:type="pct"/>
            <w:vAlign w:val="center"/>
          </w:tcPr>
          <w:p w14:paraId="0158AB94">
            <w:pPr>
              <w:spacing w:line="240" w:lineRule="auto"/>
              <w:ind w:firstLine="0" w:firstLineChars="0"/>
              <w:rPr>
                <w:color w:val="000000" w:themeColor="text1"/>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208A2257">
            <w:pPr>
              <w:spacing w:line="240" w:lineRule="auto"/>
              <w:ind w:firstLine="0" w:firstLineChars="0"/>
              <w:rPr>
                <w:color w:val="000000" w:themeColor="text1"/>
                <w14:textFill>
                  <w14:solidFill>
                    <w14:schemeClr w14:val="tx1"/>
                  </w14:solidFill>
                </w14:textFill>
              </w:rPr>
            </w:pPr>
          </w:p>
        </w:tc>
        <w:tc>
          <w:tcPr>
            <w:tcW w:w="802" w:type="pct"/>
            <w:vAlign w:val="center"/>
          </w:tcPr>
          <w:p w14:paraId="32CBABEB">
            <w:pPr>
              <w:spacing w:line="240" w:lineRule="auto"/>
              <w:ind w:firstLine="0" w:firstLineChars="0"/>
              <w:rPr>
                <w:color w:val="000000" w:themeColor="text1"/>
                <w14:textFill>
                  <w14:solidFill>
                    <w14:schemeClr w14:val="tx1"/>
                  </w14:solidFill>
                </w14:textFill>
              </w:rPr>
            </w:pPr>
          </w:p>
        </w:tc>
        <w:tc>
          <w:tcPr>
            <w:tcW w:w="682" w:type="pct"/>
            <w:vAlign w:val="center"/>
          </w:tcPr>
          <w:p w14:paraId="7565FC9E">
            <w:pPr>
              <w:spacing w:line="240" w:lineRule="auto"/>
              <w:ind w:firstLine="0" w:firstLineChars="0"/>
              <w:rPr>
                <w:color w:val="000000" w:themeColor="text1"/>
                <w14:textFill>
                  <w14:solidFill>
                    <w14:schemeClr w14:val="tx1"/>
                  </w14:solidFill>
                </w14:textFill>
              </w:rPr>
            </w:pPr>
          </w:p>
        </w:tc>
        <w:tc>
          <w:tcPr>
            <w:tcW w:w="555" w:type="pct"/>
            <w:vAlign w:val="center"/>
          </w:tcPr>
          <w:p w14:paraId="420FF4FA">
            <w:pPr>
              <w:spacing w:line="240" w:lineRule="auto"/>
              <w:ind w:firstLine="0" w:firstLineChars="0"/>
              <w:rPr>
                <w:color w:val="000000" w:themeColor="text1"/>
                <w14:textFill>
                  <w14:solidFill>
                    <w14:schemeClr w14:val="tx1"/>
                  </w14:solidFill>
                </w14:textFill>
              </w:rPr>
            </w:pPr>
          </w:p>
        </w:tc>
        <w:tc>
          <w:tcPr>
            <w:tcW w:w="497" w:type="pct"/>
            <w:vAlign w:val="center"/>
          </w:tcPr>
          <w:p w14:paraId="6E12E060">
            <w:pPr>
              <w:spacing w:line="240" w:lineRule="auto"/>
              <w:ind w:firstLine="0" w:firstLineChars="0"/>
              <w:rPr>
                <w:color w:val="000000" w:themeColor="text1"/>
                <w14:textFill>
                  <w14:solidFill>
                    <w14:schemeClr w14:val="tx1"/>
                  </w14:solidFill>
                </w14:textFill>
              </w:rPr>
            </w:pPr>
          </w:p>
        </w:tc>
        <w:tc>
          <w:tcPr>
            <w:tcW w:w="848" w:type="pct"/>
            <w:vAlign w:val="center"/>
          </w:tcPr>
          <w:p w14:paraId="588E1793">
            <w:pPr>
              <w:spacing w:line="240" w:lineRule="auto"/>
              <w:ind w:firstLine="0" w:firstLineChars="0"/>
              <w:rPr>
                <w:color w:val="000000" w:themeColor="text1"/>
                <w14:textFill>
                  <w14:solidFill>
                    <w14:schemeClr w14:val="tx1"/>
                  </w14:solidFill>
                </w14:textFill>
              </w:rPr>
            </w:pPr>
          </w:p>
        </w:tc>
        <w:tc>
          <w:tcPr>
            <w:tcW w:w="806" w:type="pct"/>
            <w:vAlign w:val="center"/>
          </w:tcPr>
          <w:p w14:paraId="7958B340">
            <w:pPr>
              <w:spacing w:line="240" w:lineRule="auto"/>
              <w:ind w:firstLine="0" w:firstLineChars="0"/>
              <w:rPr>
                <w:color w:val="000000" w:themeColor="text1"/>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C64A4F">
            <w:pPr>
              <w:spacing w:line="240" w:lineRule="auto"/>
              <w:ind w:firstLine="0" w:firstLineChars="0"/>
              <w:rPr>
                <w:color w:val="000000" w:themeColor="text1"/>
                <w14:textFill>
                  <w14:solidFill>
                    <w14:schemeClr w14:val="tx1"/>
                  </w14:solidFill>
                </w14:textFill>
              </w:rPr>
            </w:pPr>
          </w:p>
        </w:tc>
        <w:tc>
          <w:tcPr>
            <w:tcW w:w="802" w:type="pct"/>
            <w:vAlign w:val="center"/>
          </w:tcPr>
          <w:p w14:paraId="19BC4F26">
            <w:pPr>
              <w:spacing w:line="240" w:lineRule="auto"/>
              <w:ind w:firstLine="0" w:firstLineChars="0"/>
              <w:rPr>
                <w:color w:val="000000" w:themeColor="text1"/>
                <w14:textFill>
                  <w14:solidFill>
                    <w14:schemeClr w14:val="tx1"/>
                  </w14:solidFill>
                </w14:textFill>
              </w:rPr>
            </w:pPr>
          </w:p>
        </w:tc>
        <w:tc>
          <w:tcPr>
            <w:tcW w:w="682" w:type="pct"/>
            <w:vAlign w:val="center"/>
          </w:tcPr>
          <w:p w14:paraId="4DAFE182">
            <w:pPr>
              <w:spacing w:line="240" w:lineRule="auto"/>
              <w:ind w:firstLine="0" w:firstLineChars="0"/>
              <w:rPr>
                <w:color w:val="000000" w:themeColor="text1"/>
                <w14:textFill>
                  <w14:solidFill>
                    <w14:schemeClr w14:val="tx1"/>
                  </w14:solidFill>
                </w14:textFill>
              </w:rPr>
            </w:pPr>
          </w:p>
        </w:tc>
        <w:tc>
          <w:tcPr>
            <w:tcW w:w="555" w:type="pct"/>
            <w:vAlign w:val="center"/>
          </w:tcPr>
          <w:p w14:paraId="35B57D44">
            <w:pPr>
              <w:spacing w:line="240" w:lineRule="auto"/>
              <w:ind w:firstLine="0" w:firstLineChars="0"/>
              <w:rPr>
                <w:color w:val="000000" w:themeColor="text1"/>
                <w14:textFill>
                  <w14:solidFill>
                    <w14:schemeClr w14:val="tx1"/>
                  </w14:solidFill>
                </w14:textFill>
              </w:rPr>
            </w:pPr>
          </w:p>
        </w:tc>
        <w:tc>
          <w:tcPr>
            <w:tcW w:w="497" w:type="pct"/>
            <w:vAlign w:val="center"/>
          </w:tcPr>
          <w:p w14:paraId="5CA4D0BE">
            <w:pPr>
              <w:spacing w:line="240" w:lineRule="auto"/>
              <w:ind w:firstLine="0" w:firstLineChars="0"/>
              <w:rPr>
                <w:color w:val="000000" w:themeColor="text1"/>
                <w14:textFill>
                  <w14:solidFill>
                    <w14:schemeClr w14:val="tx1"/>
                  </w14:solidFill>
                </w14:textFill>
              </w:rPr>
            </w:pPr>
          </w:p>
        </w:tc>
        <w:tc>
          <w:tcPr>
            <w:tcW w:w="848" w:type="pct"/>
            <w:vAlign w:val="center"/>
          </w:tcPr>
          <w:p w14:paraId="4E676D56">
            <w:pPr>
              <w:spacing w:line="240" w:lineRule="auto"/>
              <w:ind w:firstLine="0" w:firstLineChars="0"/>
              <w:rPr>
                <w:color w:val="000000" w:themeColor="text1"/>
                <w14:textFill>
                  <w14:solidFill>
                    <w14:schemeClr w14:val="tx1"/>
                  </w14:solidFill>
                </w14:textFill>
              </w:rPr>
            </w:pPr>
          </w:p>
        </w:tc>
        <w:tc>
          <w:tcPr>
            <w:tcW w:w="806" w:type="pct"/>
            <w:vAlign w:val="center"/>
          </w:tcPr>
          <w:p w14:paraId="336BAB06">
            <w:pPr>
              <w:spacing w:line="240" w:lineRule="auto"/>
              <w:ind w:firstLine="0" w:firstLineChars="0"/>
              <w:rPr>
                <w:color w:val="000000" w:themeColor="text1"/>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B8BCD88">
            <w:pPr>
              <w:spacing w:line="240" w:lineRule="auto"/>
              <w:ind w:firstLine="0" w:firstLineChars="0"/>
              <w:rPr>
                <w:color w:val="000000" w:themeColor="text1"/>
                <w14:textFill>
                  <w14:solidFill>
                    <w14:schemeClr w14:val="tx1"/>
                  </w14:solidFill>
                </w14:textFill>
              </w:rPr>
            </w:pPr>
          </w:p>
        </w:tc>
        <w:tc>
          <w:tcPr>
            <w:tcW w:w="802" w:type="pct"/>
            <w:vAlign w:val="center"/>
          </w:tcPr>
          <w:p w14:paraId="4FA75A2A">
            <w:pPr>
              <w:spacing w:line="240" w:lineRule="auto"/>
              <w:ind w:firstLine="0" w:firstLineChars="0"/>
              <w:rPr>
                <w:color w:val="000000" w:themeColor="text1"/>
                <w14:textFill>
                  <w14:solidFill>
                    <w14:schemeClr w14:val="tx1"/>
                  </w14:solidFill>
                </w14:textFill>
              </w:rPr>
            </w:pPr>
          </w:p>
        </w:tc>
        <w:tc>
          <w:tcPr>
            <w:tcW w:w="682" w:type="pct"/>
            <w:vAlign w:val="center"/>
          </w:tcPr>
          <w:p w14:paraId="3E88BDF5">
            <w:pPr>
              <w:spacing w:line="240" w:lineRule="auto"/>
              <w:ind w:firstLine="0" w:firstLineChars="0"/>
              <w:rPr>
                <w:color w:val="000000" w:themeColor="text1"/>
                <w14:textFill>
                  <w14:solidFill>
                    <w14:schemeClr w14:val="tx1"/>
                  </w14:solidFill>
                </w14:textFill>
              </w:rPr>
            </w:pPr>
          </w:p>
        </w:tc>
        <w:tc>
          <w:tcPr>
            <w:tcW w:w="555" w:type="pct"/>
            <w:vAlign w:val="center"/>
          </w:tcPr>
          <w:p w14:paraId="6623617E">
            <w:pPr>
              <w:spacing w:line="240" w:lineRule="auto"/>
              <w:ind w:firstLine="0" w:firstLineChars="0"/>
              <w:rPr>
                <w:color w:val="000000" w:themeColor="text1"/>
                <w14:textFill>
                  <w14:solidFill>
                    <w14:schemeClr w14:val="tx1"/>
                  </w14:solidFill>
                </w14:textFill>
              </w:rPr>
            </w:pPr>
          </w:p>
        </w:tc>
        <w:tc>
          <w:tcPr>
            <w:tcW w:w="497" w:type="pct"/>
            <w:vAlign w:val="center"/>
          </w:tcPr>
          <w:p w14:paraId="52615CC6">
            <w:pPr>
              <w:spacing w:line="240" w:lineRule="auto"/>
              <w:ind w:firstLine="0" w:firstLineChars="0"/>
              <w:rPr>
                <w:color w:val="000000" w:themeColor="text1"/>
                <w14:textFill>
                  <w14:solidFill>
                    <w14:schemeClr w14:val="tx1"/>
                  </w14:solidFill>
                </w14:textFill>
              </w:rPr>
            </w:pPr>
          </w:p>
        </w:tc>
        <w:tc>
          <w:tcPr>
            <w:tcW w:w="848" w:type="pct"/>
            <w:vAlign w:val="center"/>
          </w:tcPr>
          <w:p w14:paraId="3489A6E7">
            <w:pPr>
              <w:spacing w:line="240" w:lineRule="auto"/>
              <w:ind w:firstLine="0" w:firstLineChars="0"/>
              <w:rPr>
                <w:color w:val="000000" w:themeColor="text1"/>
                <w14:textFill>
                  <w14:solidFill>
                    <w14:schemeClr w14:val="tx1"/>
                  </w14:solidFill>
                </w14:textFill>
              </w:rPr>
            </w:pPr>
          </w:p>
        </w:tc>
        <w:tc>
          <w:tcPr>
            <w:tcW w:w="806" w:type="pct"/>
            <w:vAlign w:val="center"/>
          </w:tcPr>
          <w:p w14:paraId="22B3A954">
            <w:pPr>
              <w:spacing w:line="240" w:lineRule="auto"/>
              <w:ind w:firstLine="0" w:firstLineChars="0"/>
              <w:rPr>
                <w:color w:val="000000" w:themeColor="text1"/>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vAlign w:val="center"/>
          </w:tcPr>
          <w:p w14:paraId="684AFE99">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合计（元）</w:t>
            </w:r>
          </w:p>
        </w:tc>
        <w:tc>
          <w:tcPr>
            <w:tcW w:w="2152" w:type="pct"/>
            <w:gridSpan w:val="3"/>
            <w:vAlign w:val="center"/>
          </w:tcPr>
          <w:p w14:paraId="02A876B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14:paraId="00527E1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14:textFill>
            <w14:solidFill>
              <w14:schemeClr w14:val="tx1"/>
            </w14:solidFill>
          </w14:textFill>
        </w:rPr>
        <w:t>。</w:t>
      </w:r>
      <w:r>
        <w:rPr>
          <w:rFonts w:hint="eastAsia" w:asciiTheme="minorEastAsia" w:hAnsiTheme="minorEastAsia" w:eastAsiaTheme="minorEastAsia" w:cstheme="minorEastAsia"/>
          <w:bCs/>
          <w:color w:val="000000" w:themeColor="text1"/>
          <w:kern w:val="0"/>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bCs/>
          <w:color w:val="000000" w:themeColor="text1"/>
          <w:kern w:val="0"/>
          <w14:textFill>
            <w14:solidFill>
              <w14:schemeClr w14:val="tx1"/>
            </w14:solidFill>
          </w14:textFill>
        </w:rPr>
        <w:t>（小写）：</w:t>
      </w:r>
      <w:r>
        <w:rPr>
          <w:rFonts w:hint="eastAsia" w:asciiTheme="minorEastAsia" w:hAnsiTheme="minorEastAsia" w:eastAsiaTheme="minorEastAsia" w:cstheme="minorEastAsia"/>
          <w:b/>
          <w:bCs/>
          <w:color w:val="000000" w:themeColor="text1"/>
          <w:kern w:val="0"/>
          <w14:textFill>
            <w14:solidFill>
              <w14:schemeClr w14:val="tx1"/>
            </w14:solidFill>
          </w14:textFill>
        </w:rPr>
        <w:t>￥</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14:textFill>
            <w14:solidFill>
              <w14:schemeClr w14:val="tx1"/>
            </w14:solidFill>
          </w14:textFill>
        </w:rPr>
        <w:t>元。</w:t>
      </w:r>
    </w:p>
    <w:p w14:paraId="408D158C">
      <w:pPr>
        <w:autoSpaceDE w:val="0"/>
        <w:autoSpaceDN w:val="0"/>
        <w:adjustRightInd w:val="0"/>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u w:val="single"/>
          <w14:textFill>
            <w14:solidFill>
              <w14:schemeClr w14:val="tx1"/>
            </w14:solidFill>
          </w14:textFill>
        </w:rPr>
        <w:t>合同签订后    日历天内供齐所有货物及服务，完成安装、调试及初步验收。</w:t>
      </w:r>
    </w:p>
    <w:p w14:paraId="76B0388F">
      <w:pPr>
        <w:autoSpaceDE w:val="0"/>
        <w:autoSpaceDN w:val="0"/>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 收货人：</w:t>
      </w:r>
      <w:r>
        <w:rPr>
          <w:rFonts w:hint="eastAsia" w:asciiTheme="minorEastAsia" w:hAnsiTheme="minorEastAsia" w:eastAsiaTheme="minorEastAsia" w:cstheme="minorEastAsia"/>
          <w:b/>
          <w:color w:val="000000" w:themeColor="text1"/>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u w:val="single"/>
          <w14:textFill>
            <w14:solidFill>
              <w14:schemeClr w14:val="tx1"/>
            </w14:solidFill>
          </w14:textFill>
        </w:rPr>
        <w:t>。</w:t>
      </w:r>
    </w:p>
    <w:p w14:paraId="72CED769">
      <w:pPr>
        <w:pStyle w:val="5"/>
        <w:tabs>
          <w:tab w:val="left" w:pos="-235"/>
        </w:tabs>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5. 交货地点：</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甲方指定地点。</w:t>
      </w:r>
    </w:p>
    <w:p w14:paraId="7F14857E">
      <w:pPr>
        <w:pStyle w:val="5"/>
        <w:tabs>
          <w:tab w:val="left" w:pos="-235"/>
        </w:tabs>
        <w:adjustRightInd w:val="0"/>
        <w:snapToGrid w:val="0"/>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Cs w:val="24"/>
          <w14:textFill>
            <w14:solidFill>
              <w14:schemeClr w14:val="tx1"/>
            </w14:solidFill>
          </w14:textFill>
        </w:rPr>
        <w:t>（上述标准或规范不一致时，则以要求较高者为准。）</w:t>
      </w:r>
    </w:p>
    <w:p w14:paraId="6DE7932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 付款方式及履约保函</w:t>
      </w:r>
    </w:p>
    <w:p w14:paraId="58E150B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8.2履约保函</w:t>
      </w:r>
    </w:p>
    <w:p w14:paraId="3B005262">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（1）履约保函金额：合同总价10%；</w:t>
      </w:r>
    </w:p>
    <w:p w14:paraId="74EBA150">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（2）履约保函的形式：乙方应当以支票、汇票、本票或者金融机构、担保机构出具的保函等非现金形式提交；</w:t>
      </w:r>
    </w:p>
    <w:p w14:paraId="46F2564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（3）履约保函的退还：在设备通过甲方验收合格且满12个月无质量问题后的15个工作日内，甲方将无息退还乙方的履约保函；</w:t>
      </w:r>
    </w:p>
    <w:p w14:paraId="4606EB3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 交付和验收</w:t>
      </w:r>
    </w:p>
    <w:p w14:paraId="73A4F9BC">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9.1乙方应当在合同签订后，根据招标文件及投标文件的要求完成服务事项。</w:t>
      </w:r>
    </w:p>
    <w:p w14:paraId="0F2B5DC1">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9.2验收标准：按行业通行标准和乙方投标文件的承诺（不低于国家相关标准）。</w:t>
      </w:r>
    </w:p>
    <w:p w14:paraId="76B322C5">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 质保期及售后服务</w:t>
      </w:r>
    </w:p>
    <w:p w14:paraId="4ADAE8BA">
      <w:pPr>
        <w:tabs>
          <w:tab w:val="left" w:pos="4785"/>
        </w:tabs>
        <w:spacing w:line="440" w:lineRule="exact"/>
        <w:ind w:firstLine="480"/>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u w:val="single"/>
          <w14:textFill>
            <w14:solidFill>
              <w14:schemeClr w14:val="tx1"/>
            </w14:solidFill>
          </w14:textFill>
        </w:rPr>
        <w:t>安装验收合格后1年。</w:t>
      </w:r>
    </w:p>
    <w:p w14:paraId="03072C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10.3 在质保期内，因甲方使用不当原因出现设备故障时，乙方在接到甲方通知后，应在10.2条款中所述的时限内响应并派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赶到甲方现场，帮助排除故障、修复或更换零部件，需购买零部件时，仅收取成本费。</w:t>
      </w:r>
    </w:p>
    <w:p w14:paraId="62E9B87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14:textFill>
            <w14:solidFill>
              <w14:schemeClr w14:val="tx1"/>
            </w14:solidFill>
          </w14:textFill>
        </w:rPr>
        <w:t>乙方</w:t>
      </w:r>
      <w:r>
        <w:rPr>
          <w:rFonts w:hint="eastAsia" w:asciiTheme="minorEastAsia" w:hAnsiTheme="minorEastAsia" w:eastAsiaTheme="minorEastAsia" w:cstheme="minorEastAsia"/>
          <w:color w:val="000000" w:themeColor="text1"/>
          <w:kern w:val="0"/>
          <w14:textFill>
            <w14:solidFill>
              <w14:schemeClr w14:val="tx1"/>
            </w14:solidFill>
          </w14:textFill>
        </w:rPr>
        <w:t>在接到甲方通知后，仍应在上述时限内响应、派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赶到甲方现场，帮助排除故障、修复或更换零部件，需购买零部件时，酌情收取成本费。</w:t>
      </w:r>
    </w:p>
    <w:p w14:paraId="1E12486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11. 技术资料</w:t>
      </w:r>
    </w:p>
    <w:p w14:paraId="52F9DFB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按第四章技术规格、参数及其他要求中的要求提供相关资料（见附件）。</w:t>
      </w:r>
    </w:p>
    <w:p w14:paraId="033584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12.货物风险承担</w:t>
      </w:r>
    </w:p>
    <w:p w14:paraId="5B1DBCA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12.1乙方应当按照甲方指定的地点交货，需要运输的货物，乙方应当妥善保障货物在运输过程中的安全。</w:t>
      </w:r>
    </w:p>
    <w:p w14:paraId="45C107E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12.2乙方将货物运输至甲方指定的地点后，应当及时通知甲方进行接收，由甲方进行检验。</w:t>
      </w:r>
    </w:p>
    <w:p w14:paraId="79F138B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12.3在货物验收合格之前毁损、灭失的风险由乙方承担，因甲方原因造成货物毁损、灭失的除外。</w:t>
      </w:r>
    </w:p>
    <w:p w14:paraId="60E5A78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 乙方的违约责任</w:t>
      </w:r>
    </w:p>
    <w:p w14:paraId="16D1AC9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13.1乙方未按合同规定的质量要求交货，甲方有权拒收，由此造成的直接损失和间接损失由乙方承担。</w:t>
      </w:r>
    </w:p>
    <w:p w14:paraId="41EEBC2D">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13.2</w:t>
      </w:r>
      <w:r>
        <w:rPr>
          <w:rFonts w:hint="eastAsia" w:asciiTheme="minorEastAsia" w:hAnsiTheme="minorEastAsia" w:eastAsiaTheme="minorEastAsia" w:cstheme="minorEastAsia"/>
          <w:color w:val="000000" w:themeColor="text1"/>
          <w14:textFill>
            <w14:solidFill>
              <w14:schemeClr w14:val="tx1"/>
            </w14:solidFill>
          </w14:textFill>
        </w:rPr>
        <w:t>乙方逾期交付的，每逾期1天，乙方应向甲方支付合同总价款的5‰的逾期违约金。</w:t>
      </w:r>
    </w:p>
    <w:p w14:paraId="285A7FC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27AF18CC">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13.7</w:t>
      </w:r>
      <w:r>
        <w:rPr>
          <w:rFonts w:hint="eastAsia" w:asciiTheme="minorEastAsia" w:hAnsiTheme="minorEastAsia" w:eastAsiaTheme="minorEastAsia" w:cstheme="minorEastAsia"/>
          <w:color w:val="000000" w:themeColor="text1"/>
          <w14:textFill>
            <w14:solidFill>
              <w14:schemeClr w14:val="tx1"/>
            </w14:solidFill>
          </w14:textFill>
        </w:rPr>
        <w:t>乙方所交付的货物或服务不符合合同规定的，甲方有权拒收。甲方拒收的，乙方应向甲方支付违约金</w:t>
      </w:r>
      <w:bookmarkStart w:id="6" w:name="OLE_LINK8"/>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bookmarkEnd w:id="6"/>
      <w:r>
        <w:rPr>
          <w:rFonts w:hint="eastAsia" w:asciiTheme="minorEastAsia" w:hAnsiTheme="minorEastAsia" w:eastAsiaTheme="minorEastAsia" w:cstheme="minorEastAsia"/>
          <w:color w:val="000000" w:themeColor="text1"/>
          <w14:textFill>
            <w14:solidFill>
              <w14:schemeClr w14:val="tx1"/>
            </w14:solidFill>
          </w14:textFill>
        </w:rPr>
        <w:t>。甲方未拒收的，采购代理机构发现后将向有关部门反映，并责成乙方按照采购结果提供服务。</w:t>
      </w:r>
    </w:p>
    <w:p w14:paraId="51FF32B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13.8乙方履行义务不符合合同约定时，甲方将扣减合同总价款10%的尾款，同时甲方有权按照本合同的约定追究乙方的违约责任。</w:t>
      </w:r>
    </w:p>
    <w:p w14:paraId="72626B6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13.9乙方应当向甲方提供合法且符合甲方要求的发票，在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14:textFill>
            <w14:solidFill>
              <w14:schemeClr w14:val="tx1"/>
            </w14:solidFill>
          </w14:textFill>
        </w:rPr>
        <w:tab/>
      </w:r>
    </w:p>
    <w:p w14:paraId="36BBD3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14.甲方的违约责任</w:t>
      </w:r>
    </w:p>
    <w:p w14:paraId="0DA0441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14.1甲方未按合同规定的时间和要求向乙方提供技术资料等，乙方交付时间顺延。</w:t>
      </w:r>
    </w:p>
    <w:p w14:paraId="5277219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52435C5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78AA36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三、合同的变更和终止</w:t>
      </w:r>
    </w:p>
    <w:p w14:paraId="7D3C4DB2">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1、除《政府采购法》第50条第二款规定的情形外，本合同一经签订，甲乙双方不得擅自变更、中止或终止合同。</w:t>
      </w:r>
    </w:p>
    <w:p w14:paraId="20CD3F6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2、除发生法律规定的不能预见、不能避免并不能克服的客观情况外，甲乙双方不得放弃或拒绝履行合同。</w:t>
      </w:r>
    </w:p>
    <w:p w14:paraId="0BDD3C6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7" w:name="_Toc19018"/>
      <w:r>
        <w:rPr>
          <w:rFonts w:hint="eastAsia" w:asciiTheme="minorEastAsia" w:hAnsiTheme="minorEastAsia" w:eastAsiaTheme="minorEastAsia" w:cstheme="minorEastAsia"/>
          <w:color w:val="000000" w:themeColor="text1"/>
          <w:kern w:val="0"/>
          <w14:textFill>
            <w14:solidFill>
              <w14:schemeClr w14:val="tx1"/>
            </w14:solidFill>
          </w14:textFill>
        </w:rPr>
        <w:t>四、合同权利义务的转让</w:t>
      </w:r>
      <w:bookmarkEnd w:id="7"/>
    </w:p>
    <w:p w14:paraId="10E5624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五、货物、服务的购买或租赁权利瑕疵</w:t>
      </w:r>
    </w:p>
    <w:p w14:paraId="64F6545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乙方应保证提供的货物、设备或服务不存在所有权、抵押权、使用权、知识产权等权利瑕疵。</w:t>
      </w:r>
    </w:p>
    <w:p w14:paraId="3E1F45F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8" w:name="_Toc30322"/>
      <w:r>
        <w:rPr>
          <w:rFonts w:hint="eastAsia" w:asciiTheme="minorEastAsia" w:hAnsiTheme="minorEastAsia" w:eastAsiaTheme="minorEastAsia" w:cstheme="minorEastAsia"/>
          <w:color w:val="000000" w:themeColor="text1"/>
          <w:kern w:val="0"/>
          <w14:textFill>
            <w14:solidFill>
              <w14:schemeClr w14:val="tx1"/>
            </w14:solidFill>
          </w14:textFill>
        </w:rPr>
        <w:t>六、争议解决条款</w:t>
      </w:r>
      <w:bookmarkEnd w:id="8"/>
    </w:p>
    <w:p w14:paraId="450CCEC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9" w:name="_Toc20895"/>
      <w:r>
        <w:rPr>
          <w:rFonts w:hint="eastAsia" w:asciiTheme="minorEastAsia" w:hAnsiTheme="minorEastAsia" w:eastAsiaTheme="minorEastAsia" w:cstheme="minorEastAsia"/>
          <w:color w:val="000000" w:themeColor="text1"/>
          <w:kern w:val="0"/>
          <w14:textFill>
            <w14:solidFill>
              <w14:schemeClr w14:val="tx1"/>
            </w14:solidFill>
          </w14:textFill>
        </w:rPr>
        <w:t>七、</w:t>
      </w:r>
      <w:bookmarkEnd w:id="9"/>
      <w:r>
        <w:rPr>
          <w:rFonts w:hint="eastAsia" w:asciiTheme="minorEastAsia" w:hAnsiTheme="minorEastAsia" w:eastAsiaTheme="minorEastAsia" w:cstheme="minorEastAsia"/>
          <w:color w:val="000000" w:themeColor="text1"/>
          <w:kern w:val="0"/>
          <w14:textFill>
            <w14:solidFill>
              <w14:schemeClr w14:val="tx1"/>
            </w14:solidFill>
          </w14:textFill>
        </w:rPr>
        <w:t>廉洁条款</w:t>
      </w:r>
    </w:p>
    <w:p w14:paraId="525A200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不得以任何理由为甲方工作人员报销应由个人支付的费用。一旦发生上述事由，甲方有权无条件解除本合同。</w:t>
      </w:r>
    </w:p>
    <w:p w14:paraId="1B57B95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八、保密条款</w:t>
      </w:r>
    </w:p>
    <w:p w14:paraId="7F70A30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九、不可抗力</w:t>
      </w:r>
    </w:p>
    <w:p w14:paraId="730EAF9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十、送达条款</w:t>
      </w:r>
    </w:p>
    <w:p w14:paraId="44D8149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十一、其他</w:t>
      </w:r>
    </w:p>
    <w:p w14:paraId="786CF01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11.1、合同的生效：本合同一式陆份，自甲乙双方签字并加盖骑缝章之日起生效。</w:t>
      </w:r>
    </w:p>
    <w:p w14:paraId="1AD339BA">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11.2、未尽事宜、双方协商解决，并按《中华人民共和国民法典》及相关法律、法规的规定调整。</w:t>
      </w:r>
    </w:p>
    <w:p w14:paraId="409ADC5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575D239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4D28055F">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tcPr>
          <w:p w14:paraId="27982EC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甲方（盖章）：</w:t>
            </w:r>
          </w:p>
          <w:p w14:paraId="19CE0CA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单位名称：江苏省特种设备安全监督检验研究院</w:t>
            </w:r>
          </w:p>
          <w:p w14:paraId="7AB4A93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单位地址：江苏省南京市鼓楼区草场门大街107号龙江大厦</w:t>
            </w:r>
          </w:p>
          <w:p w14:paraId="6640A9B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1236F88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2779DA0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p>
          <w:p w14:paraId="2FFDF0A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AD69CA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040606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796F5897">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c>
          <w:tcPr>
            <w:tcW w:w="4684" w:type="dxa"/>
          </w:tcPr>
          <w:p w14:paraId="601CECB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乙方（盖章）：</w:t>
            </w:r>
          </w:p>
          <w:p w14:paraId="70266662">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w:t>
            </w:r>
          </w:p>
          <w:p w14:paraId="23CF8A6D">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w:t>
            </w:r>
          </w:p>
          <w:p w14:paraId="19A5AE9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7CBF941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14D1812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p w14:paraId="4AFF849E">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p>
          <w:p w14:paraId="7B5EF42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p w14:paraId="462F850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帐号：</w:t>
            </w:r>
          </w:p>
          <w:p w14:paraId="1B05DC2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税号：</w:t>
            </w:r>
          </w:p>
          <w:p w14:paraId="399F573A">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r>
    </w:tbl>
    <w:p w14:paraId="3FCAEB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89031C6">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第六章  投标文件格式及附件</w:t>
      </w:r>
    </w:p>
    <w:p w14:paraId="302C6E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w:t>
      </w:r>
    </w:p>
    <w:p w14:paraId="0B8E9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1.本部分内容仅提供格式参考。</w:t>
      </w:r>
    </w:p>
    <w:p w14:paraId="2A7C2BB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2.所附表格中要求回答的全部问题和信息都必须正面回答。</w:t>
      </w:r>
    </w:p>
    <w:p w14:paraId="72DAC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52F391B">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投标文件封面格式：</w:t>
      </w:r>
    </w:p>
    <w:p w14:paraId="5739F514">
      <w:pPr>
        <w:ind w:firstLine="0" w:firstLineChars="0"/>
        <w:jc w:val="right"/>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正本/副本</w:t>
      </w:r>
    </w:p>
    <w:p w14:paraId="3CF20D68">
      <w:pPr>
        <w:ind w:firstLine="0" w:firstLineChars="0"/>
        <w:jc w:val="center"/>
        <w:rPr>
          <w:color w:val="000000" w:themeColor="text1"/>
          <w:sz w:val="44"/>
          <w:szCs w:val="44"/>
          <w14:textFill>
            <w14:solidFill>
              <w14:schemeClr w14:val="tx1"/>
            </w14:solidFill>
          </w14:textFill>
        </w:rPr>
      </w:pPr>
    </w:p>
    <w:p w14:paraId="19A5198B">
      <w:pPr>
        <w:ind w:firstLine="0" w:firstLineChars="0"/>
        <w:jc w:val="center"/>
        <w:rPr>
          <w:color w:val="000000" w:themeColor="text1"/>
          <w:sz w:val="44"/>
          <w:szCs w:val="44"/>
          <w14:textFill>
            <w14:solidFill>
              <w14:schemeClr w14:val="tx1"/>
            </w14:solidFill>
          </w14:textFill>
        </w:rPr>
      </w:pPr>
    </w:p>
    <w:p w14:paraId="7C5308D2">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投  标  文  件</w:t>
      </w:r>
    </w:p>
    <w:p w14:paraId="5C3E9E12">
      <w:pPr>
        <w:ind w:firstLine="0" w:firstLineChars="0"/>
        <w:jc w:val="center"/>
        <w:rPr>
          <w:b/>
          <w:bCs/>
          <w:color w:val="000000" w:themeColor="text1"/>
          <w:sz w:val="44"/>
          <w:szCs w:val="44"/>
          <w14:textFill>
            <w14:solidFill>
              <w14:schemeClr w14:val="tx1"/>
            </w14:solidFill>
          </w14:textFill>
        </w:rPr>
      </w:pPr>
    </w:p>
    <w:p w14:paraId="47E575B7">
      <w:pPr>
        <w:ind w:firstLine="0" w:firstLineChars="0"/>
        <w:jc w:val="center"/>
        <w:rPr>
          <w:b/>
          <w:bCs/>
          <w:color w:val="000000" w:themeColor="text1"/>
          <w:sz w:val="44"/>
          <w:szCs w:val="44"/>
          <w14:textFill>
            <w14:solidFill>
              <w14:schemeClr w14:val="tx1"/>
            </w14:solidFill>
          </w14:textFill>
        </w:rPr>
      </w:pPr>
    </w:p>
    <w:p w14:paraId="7133BC97">
      <w:pPr>
        <w:ind w:firstLine="0" w:firstLineChars="0"/>
        <w:jc w:val="center"/>
        <w:rPr>
          <w:b/>
          <w:bCs/>
          <w:color w:val="000000" w:themeColor="text1"/>
          <w:sz w:val="44"/>
          <w:szCs w:val="44"/>
          <w14:textFill>
            <w14:solidFill>
              <w14:schemeClr w14:val="tx1"/>
            </w14:solidFill>
          </w14:textFill>
        </w:rPr>
      </w:pPr>
    </w:p>
    <w:p w14:paraId="78D6276D">
      <w:pPr>
        <w:ind w:firstLine="0" w:firstLineChars="0"/>
        <w:jc w:val="center"/>
        <w:rPr>
          <w:b/>
          <w:bCs/>
          <w:color w:val="000000" w:themeColor="text1"/>
          <w:sz w:val="44"/>
          <w:szCs w:val="44"/>
          <w14:textFill>
            <w14:solidFill>
              <w14:schemeClr w14:val="tx1"/>
            </w14:solidFill>
          </w14:textFill>
        </w:rPr>
      </w:pPr>
    </w:p>
    <w:p w14:paraId="09841572">
      <w:pPr>
        <w:ind w:firstLine="0" w:firstLineChars="0"/>
        <w:jc w:val="center"/>
        <w:rPr>
          <w:b/>
          <w:bCs/>
          <w:color w:val="000000" w:themeColor="text1"/>
          <w:sz w:val="44"/>
          <w:szCs w:val="44"/>
          <w14:textFill>
            <w14:solidFill>
              <w14:schemeClr w14:val="tx1"/>
            </w14:solidFill>
          </w14:textFill>
        </w:rPr>
      </w:pPr>
    </w:p>
    <w:p w14:paraId="05A5FA3C">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项目编号：_______________</w:t>
      </w:r>
    </w:p>
    <w:p w14:paraId="1B21E99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项目名称：_______________</w:t>
      </w:r>
    </w:p>
    <w:p w14:paraId="1929AF64">
      <w:pPr>
        <w:ind w:firstLine="0" w:firstLineChars="0"/>
        <w:jc w:val="center"/>
        <w:rPr>
          <w:b/>
          <w:bCs/>
          <w:color w:val="000000" w:themeColor="text1"/>
          <w:sz w:val="44"/>
          <w:szCs w:val="44"/>
          <w14:textFill>
            <w14:solidFill>
              <w14:schemeClr w14:val="tx1"/>
            </w14:solidFill>
          </w14:textFill>
        </w:rPr>
      </w:pPr>
    </w:p>
    <w:p w14:paraId="56F13AFA">
      <w:pPr>
        <w:ind w:firstLine="0" w:firstLineChars="0"/>
        <w:jc w:val="center"/>
        <w:rPr>
          <w:b/>
          <w:bCs/>
          <w:color w:val="000000" w:themeColor="text1"/>
          <w:sz w:val="44"/>
          <w:szCs w:val="44"/>
          <w14:textFill>
            <w14:solidFill>
              <w14:schemeClr w14:val="tx1"/>
            </w14:solidFill>
          </w14:textFill>
        </w:rPr>
      </w:pPr>
    </w:p>
    <w:p w14:paraId="5F104841">
      <w:pPr>
        <w:ind w:firstLine="0" w:firstLineChars="0"/>
        <w:jc w:val="center"/>
        <w:rPr>
          <w:b/>
          <w:bCs/>
          <w:color w:val="000000" w:themeColor="text1"/>
          <w:sz w:val="44"/>
          <w:szCs w:val="44"/>
          <w14:textFill>
            <w14:solidFill>
              <w14:schemeClr w14:val="tx1"/>
            </w14:solidFill>
          </w14:textFill>
        </w:rPr>
      </w:pPr>
    </w:p>
    <w:p w14:paraId="15569833">
      <w:pPr>
        <w:ind w:firstLine="0" w:firstLineChars="0"/>
        <w:jc w:val="center"/>
        <w:rPr>
          <w:b/>
          <w:bCs/>
          <w:color w:val="000000" w:themeColor="text1"/>
          <w:sz w:val="44"/>
          <w:szCs w:val="44"/>
          <w14:textFill>
            <w14:solidFill>
              <w14:schemeClr w14:val="tx1"/>
            </w14:solidFill>
          </w14:textFill>
        </w:rPr>
      </w:pPr>
    </w:p>
    <w:p w14:paraId="61023176">
      <w:pPr>
        <w:ind w:firstLine="0" w:firstLineChars="0"/>
        <w:jc w:val="center"/>
        <w:rPr>
          <w:b/>
          <w:bCs/>
          <w:color w:val="000000" w:themeColor="text1"/>
          <w:sz w:val="44"/>
          <w:szCs w:val="44"/>
          <w14:textFill>
            <w14:solidFill>
              <w14:schemeClr w14:val="tx1"/>
            </w14:solidFill>
          </w14:textFill>
        </w:rPr>
      </w:pPr>
    </w:p>
    <w:p w14:paraId="20D6F6B1">
      <w:pPr>
        <w:ind w:firstLine="0" w:firstLineChars="0"/>
        <w:jc w:val="center"/>
        <w:rPr>
          <w:b/>
          <w:bCs/>
          <w:color w:val="000000" w:themeColor="text1"/>
          <w:sz w:val="44"/>
          <w:szCs w:val="44"/>
          <w14:textFill>
            <w14:solidFill>
              <w14:schemeClr w14:val="tx1"/>
            </w14:solidFill>
          </w14:textFill>
        </w:rPr>
      </w:pPr>
    </w:p>
    <w:p w14:paraId="75C674BE">
      <w:pPr>
        <w:ind w:firstLine="0" w:firstLineChars="0"/>
        <w:jc w:val="center"/>
        <w:rPr>
          <w:b/>
          <w:bCs/>
          <w:color w:val="000000" w:themeColor="text1"/>
          <w:sz w:val="44"/>
          <w:szCs w:val="44"/>
          <w14:textFill>
            <w14:solidFill>
              <w14:schemeClr w14:val="tx1"/>
            </w14:solidFill>
          </w14:textFill>
        </w:rPr>
      </w:pPr>
    </w:p>
    <w:p w14:paraId="1AC2CDF3">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投标人名称：</w:t>
      </w:r>
      <w:r>
        <w:rPr>
          <w:rFonts w:hint="eastAsia"/>
          <w:b/>
          <w:bCs/>
          <w:color w:val="000000" w:themeColor="text1"/>
          <w:sz w:val="44"/>
          <w:szCs w:val="44"/>
          <w:u w:val="single"/>
          <w14:textFill>
            <w14:solidFill>
              <w14:schemeClr w14:val="tx1"/>
            </w14:solidFill>
          </w14:textFill>
        </w:rPr>
        <w:t>（加盖电子公章）</w:t>
      </w:r>
    </w:p>
    <w:p w14:paraId="21FBB8A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日      期：________________</w:t>
      </w:r>
    </w:p>
    <w:p w14:paraId="7D2C6250">
      <w:pPr>
        <w:ind w:firstLine="883"/>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br w:type="page"/>
      </w:r>
    </w:p>
    <w:p w14:paraId="041BED41">
      <w:pPr>
        <w:ind w:firstLine="0" w:firstLineChars="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投标文件目录</w:t>
      </w:r>
    </w:p>
    <w:p w14:paraId="08DC469C">
      <w:pPr>
        <w:ind w:firstLine="0" w:firstLineChars="0"/>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（注：投标人根据附件编制投标文件并制作目录）</w:t>
      </w:r>
    </w:p>
    <w:p w14:paraId="32B3C367">
      <w:pPr>
        <w:ind w:firstLine="64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br w:type="page"/>
      </w:r>
    </w:p>
    <w:p w14:paraId="673065E6">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目录一、开标一览表</w:t>
      </w:r>
    </w:p>
    <w:p w14:paraId="1A619E64">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开标一览表（总价）</w:t>
      </w:r>
    </w:p>
    <w:p w14:paraId="7D56E7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61761E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428209B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p w14:paraId="05965E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分包号：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投标项目名称</w:t>
            </w:r>
          </w:p>
        </w:tc>
        <w:tc>
          <w:tcPr>
            <w:tcW w:w="4644" w:type="dxa"/>
            <w:vAlign w:val="center"/>
          </w:tcPr>
          <w:p w14:paraId="7D27B56C">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spacing w:line="240" w:lineRule="auto"/>
              <w:ind w:firstLine="0" w:firstLineChars="0"/>
              <w:jc w:val="center"/>
              <w:rPr>
                <w:color w:val="000000" w:themeColor="text1"/>
                <w14:textFill>
                  <w14:solidFill>
                    <w14:schemeClr w14:val="tx1"/>
                  </w14:solidFill>
                </w14:textFill>
              </w:rPr>
            </w:pPr>
          </w:p>
        </w:tc>
        <w:tc>
          <w:tcPr>
            <w:tcW w:w="4644" w:type="dxa"/>
            <w:vAlign w:val="center"/>
          </w:tcPr>
          <w:p w14:paraId="7647051D">
            <w:pPr>
              <w:spacing w:line="240" w:lineRule="auto"/>
              <w:ind w:firstLine="0" w:firstLineChars="0"/>
              <w:jc w:val="center"/>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元</w:t>
            </w:r>
          </w:p>
        </w:tc>
      </w:tr>
    </w:tbl>
    <w:p w14:paraId="2064B2E5">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年   月    日</w:t>
      </w:r>
    </w:p>
    <w:p w14:paraId="66996E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468E0A9">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目录二、投标分项报价表</w:t>
      </w:r>
    </w:p>
    <w:p w14:paraId="1E7B31C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投标分项报价表</w:t>
      </w:r>
    </w:p>
    <w:p w14:paraId="2A21F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3E03B7AF">
      <w:pPr>
        <w:ind w:firstLine="480"/>
        <w:rPr>
          <w:b/>
          <w:bCs/>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tcPr>
          <w:p w14:paraId="18F72B5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374" w:type="pct"/>
            <w:vAlign w:val="center"/>
          </w:tcPr>
          <w:p w14:paraId="6003F0D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46" w:type="pct"/>
            <w:vAlign w:val="center"/>
          </w:tcPr>
          <w:p w14:paraId="2EA4EF1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451" w:type="pct"/>
            <w:vAlign w:val="center"/>
          </w:tcPr>
          <w:p w14:paraId="5D72050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472" w:type="pct"/>
            <w:vAlign w:val="center"/>
          </w:tcPr>
          <w:p w14:paraId="0EBB3CC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533" w:type="pct"/>
            <w:vAlign w:val="center"/>
          </w:tcPr>
          <w:p w14:paraId="20B92CDD">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w:t>
            </w:r>
          </w:p>
        </w:tc>
        <w:tc>
          <w:tcPr>
            <w:tcW w:w="671" w:type="pct"/>
            <w:vAlign w:val="center"/>
          </w:tcPr>
          <w:p w14:paraId="6227101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p>
        </w:tc>
        <w:tc>
          <w:tcPr>
            <w:tcW w:w="447" w:type="pct"/>
            <w:vAlign w:val="center"/>
          </w:tcPr>
          <w:p w14:paraId="664808A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p>
        </w:tc>
        <w:tc>
          <w:tcPr>
            <w:tcW w:w="488" w:type="pct"/>
            <w:vAlign w:val="center"/>
          </w:tcPr>
          <w:p w14:paraId="38412E2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w:t>
            </w:r>
          </w:p>
        </w:tc>
        <w:tc>
          <w:tcPr>
            <w:tcW w:w="495" w:type="pct"/>
            <w:vAlign w:val="center"/>
          </w:tcPr>
          <w:p w14:paraId="73BC6672">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473" w:type="pct"/>
            <w:vAlign w:val="center"/>
          </w:tcPr>
          <w:p w14:paraId="3F6C475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vAlign w:val="center"/>
          </w:tcPr>
          <w:p w14:paraId="70D9534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74" w:type="pct"/>
            <w:vAlign w:val="center"/>
          </w:tcPr>
          <w:p w14:paraId="25D33E1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w:t>
            </w:r>
          </w:p>
          <w:p w14:paraId="7A1F77B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346" w:type="pct"/>
            <w:vAlign w:val="center"/>
          </w:tcPr>
          <w:p w14:paraId="0C44D70B">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品牌</w:t>
            </w:r>
          </w:p>
        </w:tc>
        <w:tc>
          <w:tcPr>
            <w:tcW w:w="451" w:type="pct"/>
            <w:vAlign w:val="center"/>
          </w:tcPr>
          <w:p w14:paraId="76D4372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规格</w:t>
            </w:r>
          </w:p>
          <w:p w14:paraId="7E67B22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型号</w:t>
            </w:r>
          </w:p>
        </w:tc>
        <w:tc>
          <w:tcPr>
            <w:tcW w:w="472" w:type="pct"/>
            <w:vAlign w:val="center"/>
          </w:tcPr>
          <w:p w14:paraId="4F528393">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制造商名称</w:t>
            </w:r>
          </w:p>
        </w:tc>
        <w:tc>
          <w:tcPr>
            <w:tcW w:w="533" w:type="pct"/>
            <w:vAlign w:val="center"/>
          </w:tcPr>
          <w:p w14:paraId="5626DFA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产地</w:t>
            </w:r>
          </w:p>
        </w:tc>
        <w:tc>
          <w:tcPr>
            <w:tcW w:w="671" w:type="pct"/>
            <w:vAlign w:val="center"/>
          </w:tcPr>
          <w:p w14:paraId="0F94E1D5">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交付期</w:t>
            </w:r>
          </w:p>
        </w:tc>
        <w:tc>
          <w:tcPr>
            <w:tcW w:w="447" w:type="pct"/>
            <w:vAlign w:val="center"/>
          </w:tcPr>
          <w:p w14:paraId="52A0D81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数量</w:t>
            </w:r>
          </w:p>
        </w:tc>
        <w:tc>
          <w:tcPr>
            <w:tcW w:w="488" w:type="pct"/>
            <w:vAlign w:val="center"/>
          </w:tcPr>
          <w:p w14:paraId="39B2BDB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p>
        </w:tc>
        <w:tc>
          <w:tcPr>
            <w:tcW w:w="495" w:type="pct"/>
            <w:vAlign w:val="center"/>
          </w:tcPr>
          <w:p w14:paraId="658C84DA">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3356BF5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单价</w:t>
            </w:r>
          </w:p>
        </w:tc>
        <w:tc>
          <w:tcPr>
            <w:tcW w:w="473" w:type="pct"/>
            <w:vAlign w:val="center"/>
          </w:tcPr>
          <w:p w14:paraId="4F02DAC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7E691C3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vAlign w:val="center"/>
          </w:tcPr>
          <w:p w14:paraId="07751FE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374" w:type="pct"/>
            <w:vAlign w:val="center"/>
          </w:tcPr>
          <w:p w14:paraId="2882035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31B45C1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7632BAC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093D9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60687B4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1DBAAD48">
            <w:pPr>
              <w:spacing w:line="240" w:lineRule="auto"/>
              <w:ind w:firstLine="0" w:firstLineChars="0"/>
              <w:jc w:val="center"/>
              <w:rPr>
                <w:rFonts w:hint="eastAsia" w:ascii="宋体" w:hAnsi="宋体"/>
                <w:color w:val="000000" w:themeColor="text1"/>
                <w:u w:val="single"/>
                <w14:textFill>
                  <w14:solidFill>
                    <w14:schemeClr w14:val="tx1"/>
                  </w14:solidFill>
                </w14:textFill>
              </w:rPr>
            </w:pPr>
          </w:p>
        </w:tc>
        <w:tc>
          <w:tcPr>
            <w:tcW w:w="447" w:type="pct"/>
            <w:vAlign w:val="center"/>
          </w:tcPr>
          <w:p w14:paraId="21C4A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333BC04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75A5F86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1387E69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vAlign w:val="center"/>
          </w:tcPr>
          <w:p w14:paraId="518D975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374" w:type="pct"/>
            <w:vAlign w:val="center"/>
          </w:tcPr>
          <w:p w14:paraId="7598208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04793A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0BD9968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1C447A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3664B2C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0925F49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6C3455A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6896F1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5B6A6B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075BE948">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vAlign w:val="center"/>
          </w:tcPr>
          <w:p w14:paraId="00CD0407">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374" w:type="pct"/>
            <w:vAlign w:val="center"/>
          </w:tcPr>
          <w:p w14:paraId="30F9E9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2393EE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688F8B1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739B847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07E1A1C0">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753E3CC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3B309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5BDD25B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72F74A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5BF017F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vAlign w:val="center"/>
          </w:tcPr>
          <w:p w14:paraId="4CFDC608">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74" w:type="pct"/>
            <w:vAlign w:val="center"/>
          </w:tcPr>
          <w:p w14:paraId="502E29F0">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46" w:type="pct"/>
            <w:vAlign w:val="center"/>
          </w:tcPr>
          <w:p w14:paraId="55CC41C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5ADC304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36B03E1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5683C2B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4C9EB7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5684839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7B1D24A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54882D5C">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345C3B02">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tcPr>
          <w:p w14:paraId="240A87D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投标总报价（人民币：元）</w:t>
            </w:r>
          </w:p>
        </w:tc>
        <w:tc>
          <w:tcPr>
            <w:tcW w:w="473" w:type="pct"/>
          </w:tcPr>
          <w:p w14:paraId="2089C7B6">
            <w:pPr>
              <w:spacing w:line="240" w:lineRule="auto"/>
              <w:ind w:firstLine="0" w:firstLineChars="0"/>
              <w:rPr>
                <w:rFonts w:hint="eastAsia" w:ascii="宋体" w:hAnsi="宋体"/>
                <w:color w:val="000000" w:themeColor="text1"/>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tcPr>
          <w:p w14:paraId="3317A63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本项目中提供的符合本国产品标准的产品成本之和占该项目提供的全部产品成本之和的比例为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tc>
      </w:tr>
    </w:tbl>
    <w:p w14:paraId="746C6C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330ECD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520BE25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目录三、投标函</w:t>
      </w:r>
    </w:p>
    <w:p w14:paraId="0222B2AB">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投标函</w:t>
      </w:r>
    </w:p>
    <w:p w14:paraId="567E54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致：江苏省特种设备安全监督检验研究院</w:t>
      </w:r>
    </w:p>
    <w:p w14:paraId="5DC808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根据贵方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（项目名称、项目编号）投标邀请，正式授权下述</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（签字人姓名、职务）代表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（投标人名称），提交投标文件。</w:t>
      </w:r>
    </w:p>
    <w:p w14:paraId="1F324F6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据此函，签字人兹宣布声明和承诺如下：</w:t>
      </w:r>
    </w:p>
    <w:p w14:paraId="48B23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1.我公司的资格条件符合政府采购法和本次招标要求，我公司同意并向贵方提供了与投标有关的所有证据和资料。</w:t>
      </w:r>
    </w:p>
    <w:p w14:paraId="7C843D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我公司已详细审阅全部招标文件及其有效补充文件，放弃对招标文件任何误解的权利，在提交投标文件后，不对招标文件本身提出质疑。否则，属于不诚信和故意扰乱政府采购活动行为，我们将无条件接受处罚。</w:t>
      </w:r>
    </w:p>
    <w:p w14:paraId="017B4F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3.我公司同意从规定的开标日期起遵循本投标文件，并在规定的投标有效期期满之前均具有约束力。</w:t>
      </w:r>
    </w:p>
    <w:p w14:paraId="0905AD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4.一旦我公司中标，将根据招标文件的规定严格履行合同，并保证在合同履行期内完成本项目所述内容。</w:t>
      </w:r>
    </w:p>
    <w:p w14:paraId="7D25FF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我公司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6.与本次投标有关的正式联系方式为：</w:t>
      </w:r>
    </w:p>
    <w:p w14:paraId="32071B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56BD60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固定电话：</w:t>
      </w:r>
    </w:p>
    <w:p w14:paraId="29F876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p>
    <w:p w14:paraId="081403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开户银行：</w:t>
      </w:r>
    </w:p>
    <w:p w14:paraId="7F2168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银行账号：</w:t>
      </w:r>
    </w:p>
    <w:p w14:paraId="3D588B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投标人授权代表姓名（签字）：</w:t>
      </w:r>
    </w:p>
    <w:p w14:paraId="32BCF4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2B9B4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435E01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8254075">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目录四、法定代表人身份证明格式或法定代表人授权书格式</w:t>
      </w:r>
    </w:p>
    <w:p w14:paraId="77DADBA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法定代表人身份证明（无授权委托的须提供）</w:t>
      </w:r>
    </w:p>
    <w:p w14:paraId="4784B1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w:t>
      </w:r>
    </w:p>
    <w:p w14:paraId="517A47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2F911D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姓名：          性别：        年龄：           职务：            </w:t>
      </w:r>
    </w:p>
    <w:p w14:paraId="5DC3A9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p w14:paraId="6392F68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系</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（投标人名称）的法定代表人。</w:t>
      </w:r>
    </w:p>
    <w:p w14:paraId="1A1CD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特此证明。</w:t>
      </w:r>
    </w:p>
    <w:p w14:paraId="365865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投标人：（盖章）</w:t>
      </w:r>
    </w:p>
    <w:p w14:paraId="718E5B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49E2C3E5">
      <w:pPr>
        <w:ind w:firstLine="48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62E29DC2">
      <w:pPr>
        <w:ind w:firstLine="480"/>
        <w:rPr>
          <w:color w:val="000000" w:themeColor="text1"/>
          <w14:textFill>
            <w14:solidFill>
              <w14:schemeClr w14:val="tx1"/>
            </w14:solidFill>
          </w14:textFill>
        </w:rPr>
      </w:pPr>
    </w:p>
    <w:p w14:paraId="05CBBB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附：法定代表人身份证扫描件</w:t>
      </w:r>
    </w:p>
    <w:p w14:paraId="35FD224C">
      <w:pPr>
        <w:ind w:firstLine="480"/>
        <w:rPr>
          <w:color w:val="000000" w:themeColor="text1"/>
          <w14:textFill>
            <w14:solidFill>
              <w14:schemeClr w14:val="tx1"/>
            </w14:solidFill>
          </w14:textFill>
        </w:rPr>
      </w:pPr>
    </w:p>
    <w:p w14:paraId="29C8D57C">
      <w:pPr>
        <w:ind w:firstLine="480"/>
        <w:rPr>
          <w:color w:val="000000" w:themeColor="text1"/>
          <w14:textFill>
            <w14:solidFill>
              <w14:schemeClr w14:val="tx1"/>
            </w14:solidFill>
          </w14:textFill>
        </w:rPr>
      </w:pPr>
    </w:p>
    <w:p w14:paraId="1153E619">
      <w:pPr>
        <w:ind w:firstLine="480"/>
        <w:rPr>
          <w:color w:val="000000" w:themeColor="text1"/>
          <w14:textFill>
            <w14:solidFill>
              <w14:schemeClr w14:val="tx1"/>
            </w14:solidFill>
          </w14:textFill>
        </w:rPr>
      </w:pPr>
    </w:p>
    <w:p w14:paraId="7C88B3F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br w:type="page"/>
      </w:r>
    </w:p>
    <w:p w14:paraId="03209D8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法定代表人授权委托书</w:t>
      </w:r>
    </w:p>
    <w:p w14:paraId="015F04B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334AE6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（投标人住址）的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（投标人名称）法定代表人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（法定代表人姓名、职务）代表我公司授权在下面签字的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（投标人代表姓名、职务）为我公司的合法代理人，就贵方组织的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（项目名称、项目编号）投标，以我公司名义处理一切与之有关的事务。</w:t>
      </w:r>
    </w:p>
    <w:p w14:paraId="526675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日签字生效，特此声明。</w:t>
      </w:r>
    </w:p>
    <w:p w14:paraId="72A1729F">
      <w:pPr>
        <w:ind w:firstLine="480"/>
        <w:rPr>
          <w:color w:val="000000" w:themeColor="text1"/>
          <w14:textFill>
            <w14:solidFill>
              <w14:schemeClr w14:val="tx1"/>
            </w14:solidFill>
          </w14:textFill>
        </w:rPr>
      </w:pPr>
    </w:p>
    <w:p w14:paraId="335E123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1EE8DC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授权委托人（签字或盖章）：</w:t>
      </w:r>
    </w:p>
    <w:p w14:paraId="6ABCF9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13E166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2D648A4B">
      <w:pPr>
        <w:ind w:firstLine="480"/>
        <w:rPr>
          <w:color w:val="000000" w:themeColor="text1"/>
          <w14:textFill>
            <w14:solidFill>
              <w14:schemeClr w14:val="tx1"/>
            </w14:solidFill>
          </w14:textFill>
        </w:rPr>
      </w:pPr>
    </w:p>
    <w:p w14:paraId="7A9FD2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法定代表人身份证扫描件：</w:t>
      </w:r>
    </w:p>
    <w:p w14:paraId="465F30FA">
      <w:pPr>
        <w:ind w:firstLine="480"/>
        <w:rPr>
          <w:color w:val="000000" w:themeColor="text1"/>
          <w14:textFill>
            <w14:solidFill>
              <w14:schemeClr w14:val="tx1"/>
            </w14:solidFill>
          </w14:textFill>
        </w:rPr>
      </w:pPr>
    </w:p>
    <w:p w14:paraId="5133D6A4">
      <w:pPr>
        <w:ind w:firstLine="480"/>
        <w:rPr>
          <w:color w:val="000000" w:themeColor="text1"/>
          <w14:textFill>
            <w14:solidFill>
              <w14:schemeClr w14:val="tx1"/>
            </w14:solidFill>
          </w14:textFill>
        </w:rPr>
      </w:pPr>
    </w:p>
    <w:p w14:paraId="33F3B0E4">
      <w:pPr>
        <w:ind w:firstLine="480"/>
        <w:rPr>
          <w:color w:val="000000" w:themeColor="text1"/>
          <w14:textFill>
            <w14:solidFill>
              <w14:schemeClr w14:val="tx1"/>
            </w14:solidFill>
          </w14:textFill>
        </w:rPr>
      </w:pPr>
    </w:p>
    <w:p w14:paraId="11D428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授权委托人身份证扫描件：</w:t>
      </w:r>
    </w:p>
    <w:p w14:paraId="23952005">
      <w:pPr>
        <w:ind w:firstLine="480"/>
        <w:rPr>
          <w:color w:val="000000" w:themeColor="text1"/>
          <w14:textFill>
            <w14:solidFill>
              <w14:schemeClr w14:val="tx1"/>
            </w14:solidFill>
          </w14:textFill>
        </w:rPr>
      </w:pPr>
    </w:p>
    <w:p w14:paraId="24523779">
      <w:pPr>
        <w:ind w:firstLine="480"/>
        <w:rPr>
          <w:color w:val="000000" w:themeColor="text1"/>
          <w14:textFill>
            <w14:solidFill>
              <w14:schemeClr w14:val="tx1"/>
            </w14:solidFill>
          </w14:textFill>
        </w:rPr>
      </w:pPr>
    </w:p>
    <w:p w14:paraId="7757BE42">
      <w:pPr>
        <w:ind w:firstLine="480"/>
        <w:rPr>
          <w:color w:val="000000" w:themeColor="text1"/>
          <w14:textFill>
            <w14:solidFill>
              <w14:schemeClr w14:val="tx1"/>
            </w14:solidFill>
          </w14:textFill>
        </w:rPr>
      </w:pPr>
    </w:p>
    <w:p w14:paraId="5DE9C5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投标人或分支机构近半年内任意一个月为授权委托人缴纳社保的证明：</w:t>
      </w:r>
    </w:p>
    <w:p w14:paraId="337C22C4">
      <w:pPr>
        <w:ind w:firstLine="480"/>
        <w:rPr>
          <w:color w:val="000000" w:themeColor="text1"/>
          <w14:textFill>
            <w14:solidFill>
              <w14:schemeClr w14:val="tx1"/>
            </w14:solidFill>
          </w14:textFill>
        </w:rPr>
      </w:pPr>
    </w:p>
    <w:p w14:paraId="5606E6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528933F">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目录</w:t>
      </w:r>
      <w:r>
        <w:rPr>
          <w:rFonts w:hint="eastAsia"/>
          <w:color w:val="000000" w:themeColor="text1"/>
          <w14:textFill>
            <w14:solidFill>
              <w14:schemeClr w14:val="tx1"/>
            </w14:solidFill>
          </w14:textFill>
        </w:rPr>
        <w:t>五</w:t>
      </w:r>
      <w:r>
        <w:rPr>
          <w:color w:val="000000" w:themeColor="text1"/>
          <w14:textFill>
            <w14:solidFill>
              <w14:schemeClr w14:val="tx1"/>
            </w14:solidFill>
          </w14:textFill>
        </w:rPr>
        <w:t>、资格证明文件</w:t>
      </w:r>
    </w:p>
    <w:p w14:paraId="4BD547CD">
      <w:pPr>
        <w:ind w:firstLine="0" w:firstLineChars="0"/>
        <w:jc w:val="center"/>
        <w:rPr>
          <w:b/>
          <w:bCs/>
          <w:color w:val="000000" w:themeColor="text1"/>
          <w14:textFill>
            <w14:solidFill>
              <w14:schemeClr w14:val="tx1"/>
            </w14:solidFill>
          </w14:textFill>
        </w:rPr>
      </w:pPr>
      <w:r>
        <w:rPr>
          <w:b/>
          <w:bCs/>
          <w:color w:val="000000" w:themeColor="text1"/>
          <w14:textFill>
            <w14:solidFill>
              <w14:schemeClr w14:val="tx1"/>
            </w14:solidFill>
          </w14:textFill>
        </w:rPr>
        <w:t>资格证明文件</w:t>
      </w:r>
    </w:p>
    <w:p w14:paraId="2A93C95B">
      <w:pPr>
        <w:ind w:firstLine="480"/>
        <w:rPr>
          <w:color w:val="000000" w:themeColor="text1"/>
          <w14:textFill>
            <w14:solidFill>
              <w14:schemeClr w14:val="tx1"/>
            </w14:solidFill>
          </w14:textFill>
        </w:rPr>
      </w:pPr>
      <w:r>
        <w:rPr>
          <w:color w:val="000000" w:themeColor="text1"/>
          <w14:textFill>
            <w14:solidFill>
              <w14:schemeClr w14:val="tx1"/>
            </w14:solidFill>
          </w14:textFill>
        </w:rPr>
        <w:t>1.具有独立承担民事责任的能力（提供法人或者其他组织的营业执照，自然人的身份证明）</w:t>
      </w:r>
    </w:p>
    <w:p w14:paraId="13140852">
      <w:pPr>
        <w:ind w:firstLine="480"/>
        <w:rPr>
          <w:color w:val="000000" w:themeColor="text1"/>
          <w14:textFill>
            <w14:solidFill>
              <w14:schemeClr w14:val="tx1"/>
            </w14:solidFill>
          </w14:textFill>
        </w:rPr>
      </w:pPr>
    </w:p>
    <w:p w14:paraId="3464FAE1">
      <w:pPr>
        <w:ind w:firstLine="480"/>
        <w:rPr>
          <w:color w:val="000000" w:themeColor="text1"/>
          <w14:textFill>
            <w14:solidFill>
              <w14:schemeClr w14:val="tx1"/>
            </w14:solidFill>
          </w14:textFill>
        </w:rPr>
      </w:pPr>
    </w:p>
    <w:p w14:paraId="16F9A2BC">
      <w:pPr>
        <w:ind w:firstLine="480"/>
        <w:rPr>
          <w:color w:val="000000" w:themeColor="text1"/>
          <w14:textFill>
            <w14:solidFill>
              <w14:schemeClr w14:val="tx1"/>
            </w14:solidFill>
          </w14:textFill>
        </w:rPr>
      </w:pPr>
    </w:p>
    <w:p w14:paraId="17B95756">
      <w:pPr>
        <w:ind w:firstLine="480"/>
        <w:rPr>
          <w:color w:val="000000" w:themeColor="text1"/>
          <w14:textFill>
            <w14:solidFill>
              <w14:schemeClr w14:val="tx1"/>
            </w14:solidFill>
          </w14:textFill>
        </w:rPr>
      </w:pPr>
    </w:p>
    <w:p w14:paraId="0EB73A87">
      <w:pPr>
        <w:ind w:firstLine="480"/>
        <w:rPr>
          <w:color w:val="000000" w:themeColor="text1"/>
          <w14:textFill>
            <w14:solidFill>
              <w14:schemeClr w14:val="tx1"/>
            </w14:solidFill>
          </w14:textFill>
        </w:rPr>
      </w:pPr>
    </w:p>
    <w:p w14:paraId="72DAE0BB">
      <w:pPr>
        <w:ind w:firstLine="480"/>
        <w:rPr>
          <w:color w:val="000000" w:themeColor="text1"/>
          <w14:textFill>
            <w14:solidFill>
              <w14:schemeClr w14:val="tx1"/>
            </w14:solidFill>
          </w14:textFill>
        </w:rPr>
      </w:pPr>
    </w:p>
    <w:p w14:paraId="6E925C11">
      <w:pPr>
        <w:ind w:firstLine="480"/>
        <w:rPr>
          <w:color w:val="000000" w:themeColor="text1"/>
          <w14:textFill>
            <w14:solidFill>
              <w14:schemeClr w14:val="tx1"/>
            </w14:solidFill>
          </w14:textFill>
        </w:rPr>
      </w:pPr>
    </w:p>
    <w:p w14:paraId="473F0517">
      <w:pPr>
        <w:ind w:firstLine="480"/>
        <w:rPr>
          <w:color w:val="000000" w:themeColor="text1"/>
          <w14:textFill>
            <w14:solidFill>
              <w14:schemeClr w14:val="tx1"/>
            </w14:solidFill>
          </w14:textFill>
        </w:rPr>
      </w:pPr>
    </w:p>
    <w:p w14:paraId="73EF9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具有良好的商业信誉和健全的财务会计制度（提供以下三种材料的任意一种，</w:t>
      </w:r>
      <w:r>
        <w:rPr>
          <w:rFonts w:hint="eastAsia"/>
          <w:color w:val="000000" w:themeColor="text1"/>
          <w14:textFill>
            <w14:solidFill>
              <w14:schemeClr w14:val="tx1"/>
            </w14:solidFill>
          </w14:textFill>
        </w:rPr>
        <w:t>扫描件</w:t>
      </w:r>
      <w:r>
        <w:rPr>
          <w:color w:val="000000" w:themeColor="text1"/>
          <w14:textFill>
            <w14:solidFill>
              <w14:schemeClr w14:val="tx1"/>
            </w14:solidFill>
          </w14:textFill>
        </w:rPr>
        <w:t>加盖公章）：</w:t>
      </w:r>
    </w:p>
    <w:p w14:paraId="0CD19526">
      <w:pPr>
        <w:ind w:firstLine="480"/>
        <w:rPr>
          <w:color w:val="000000" w:themeColor="text1"/>
          <w14:textFill>
            <w14:solidFill>
              <w14:schemeClr w14:val="tx1"/>
            </w14:solidFill>
          </w14:textFill>
        </w:rPr>
      </w:pPr>
      <w:r>
        <w:rPr>
          <w:color w:val="000000" w:themeColor="text1"/>
          <w14:textFill>
            <w14:solidFill>
              <w14:schemeClr w14:val="tx1"/>
            </w14:solidFill>
          </w14:textFill>
        </w:rPr>
        <w:t>①上一年度的经第三方会计师事务所审计的财务报告</w:t>
      </w:r>
      <w:r>
        <w:rPr>
          <w:rFonts w:hint="eastAsia"/>
          <w:color w:val="000000" w:themeColor="text1"/>
          <w14:textFill>
            <w14:solidFill>
              <w14:schemeClr w14:val="tx1"/>
            </w14:solidFill>
          </w14:textFill>
        </w:rPr>
        <w:t>扫描件（包括报告及报表等内容，并由注册会计师签名、盖章以及会计师事务所盖章）</w:t>
      </w:r>
      <w:r>
        <w:rPr>
          <w:color w:val="000000" w:themeColor="text1"/>
          <w14:textFill>
            <w14:solidFill>
              <w14:schemeClr w14:val="tx1"/>
            </w14:solidFill>
          </w14:textFill>
        </w:rPr>
        <w:t>；</w:t>
      </w:r>
    </w:p>
    <w:p w14:paraId="28764829">
      <w:pPr>
        <w:ind w:firstLine="480"/>
        <w:rPr>
          <w:color w:val="000000" w:themeColor="text1"/>
          <w14:textFill>
            <w14:solidFill>
              <w14:schemeClr w14:val="tx1"/>
            </w14:solidFill>
          </w14:textFill>
        </w:rPr>
      </w:pPr>
      <w:r>
        <w:rPr>
          <w:color w:val="000000" w:themeColor="text1"/>
          <w14:textFill>
            <w14:solidFill>
              <w14:schemeClr w14:val="tx1"/>
            </w14:solidFill>
          </w14:textFill>
        </w:rPr>
        <w:t>②提交投标文件截止日前六个月内基本开户银行出具的资信证明；</w:t>
      </w:r>
    </w:p>
    <w:p w14:paraId="59C9C49F">
      <w:pPr>
        <w:ind w:firstLine="480"/>
        <w:rPr>
          <w:color w:val="000000" w:themeColor="text1"/>
          <w14:textFill>
            <w14:solidFill>
              <w14:schemeClr w14:val="tx1"/>
            </w14:solidFill>
          </w14:textFill>
        </w:rPr>
      </w:pPr>
      <w:r>
        <w:rPr>
          <w:color w:val="000000" w:themeColor="text1"/>
          <w14:textFill>
            <w14:solidFill>
              <w14:schemeClr w14:val="tx1"/>
            </w14:solidFill>
          </w14:textFill>
        </w:rPr>
        <w:t>③提交投标文件截止时间前六个月内任意一个月的财务状况记录（至少包括资产负债表和损益表，并加盖公章）。</w:t>
      </w:r>
    </w:p>
    <w:p w14:paraId="60C413AA">
      <w:pPr>
        <w:ind w:firstLine="480"/>
        <w:rPr>
          <w:color w:val="000000" w:themeColor="text1"/>
          <w14:textFill>
            <w14:solidFill>
              <w14:schemeClr w14:val="tx1"/>
            </w14:solidFill>
          </w14:textFill>
        </w:rPr>
      </w:pPr>
    </w:p>
    <w:p w14:paraId="2ED359E8">
      <w:pPr>
        <w:ind w:firstLine="480"/>
        <w:rPr>
          <w:color w:val="000000" w:themeColor="text1"/>
          <w14:textFill>
            <w14:solidFill>
              <w14:schemeClr w14:val="tx1"/>
            </w14:solidFill>
          </w14:textFill>
        </w:rPr>
      </w:pPr>
    </w:p>
    <w:p w14:paraId="0E5F349A">
      <w:pPr>
        <w:ind w:firstLine="480"/>
        <w:rPr>
          <w:color w:val="000000" w:themeColor="text1"/>
          <w14:textFill>
            <w14:solidFill>
              <w14:schemeClr w14:val="tx1"/>
            </w14:solidFill>
          </w14:textFill>
        </w:rPr>
      </w:pPr>
    </w:p>
    <w:p w14:paraId="6ED47247">
      <w:pPr>
        <w:ind w:firstLine="480"/>
        <w:rPr>
          <w:color w:val="000000" w:themeColor="text1"/>
          <w14:textFill>
            <w14:solidFill>
              <w14:schemeClr w14:val="tx1"/>
            </w14:solidFill>
          </w14:textFill>
        </w:rPr>
      </w:pPr>
    </w:p>
    <w:p w14:paraId="6C2A13FA">
      <w:pPr>
        <w:ind w:firstLine="480"/>
        <w:rPr>
          <w:color w:val="000000" w:themeColor="text1"/>
          <w14:textFill>
            <w14:solidFill>
              <w14:schemeClr w14:val="tx1"/>
            </w14:solidFill>
          </w14:textFill>
        </w:rPr>
      </w:pPr>
    </w:p>
    <w:p w14:paraId="40D8A6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79EA2C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14:textFill>
            <w14:solidFill>
              <w14:schemeClr w14:val="tx1"/>
            </w14:solidFill>
          </w14:textFill>
        </w:rPr>
        <w:t>或</w:t>
      </w:r>
      <w:r>
        <w:rPr>
          <w:color w:val="000000" w:themeColor="text1"/>
          <w14:textFill>
            <w14:solidFill>
              <w14:schemeClr w14:val="tx1"/>
            </w14:solidFill>
          </w14:textFill>
        </w:rPr>
        <w:t>证明材料）</w:t>
      </w:r>
    </w:p>
    <w:p w14:paraId="600C2373">
      <w:pPr>
        <w:ind w:firstLine="480"/>
        <w:rPr>
          <w:color w:val="000000" w:themeColor="text1"/>
          <w14:textFill>
            <w14:solidFill>
              <w14:schemeClr w14:val="tx1"/>
            </w14:solidFill>
          </w14:textFill>
        </w:rPr>
      </w:pPr>
    </w:p>
    <w:p w14:paraId="10F4AF3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具备履行合同所必需的设备和专业技术能力的声明</w:t>
      </w:r>
    </w:p>
    <w:p w14:paraId="401A9A56">
      <w:pPr>
        <w:ind w:firstLine="480"/>
        <w:rPr>
          <w:color w:val="000000" w:themeColor="text1"/>
          <w14:textFill>
            <w14:solidFill>
              <w14:schemeClr w14:val="tx1"/>
            </w14:solidFill>
          </w14:textFill>
        </w:rPr>
      </w:pPr>
    </w:p>
    <w:p w14:paraId="0AD005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2AE5C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w:t>
      </w:r>
      <w:r>
        <w:rPr>
          <w:rFonts w:hint="eastAsia"/>
          <w:color w:val="000000" w:themeColor="text1"/>
          <w:u w:val="single"/>
          <w:lang w:val="zh-CN"/>
          <w14:textFill>
            <w14:solidFill>
              <w14:schemeClr w14:val="tx1"/>
            </w14:solidFill>
          </w14:textFill>
        </w:rPr>
        <w:t>投标人</w:t>
      </w:r>
      <w:r>
        <w:rPr>
          <w:rFonts w:hint="eastAsia"/>
          <w:color w:val="000000" w:themeColor="text1"/>
          <w:u w:val="single"/>
          <w14:textFill>
            <w14:solidFill>
              <w14:schemeClr w14:val="tx1"/>
            </w14:solidFill>
          </w14:textFill>
        </w:rPr>
        <w:t>名称）</w:t>
      </w:r>
      <w:r>
        <w:rPr>
          <w:rFonts w:hint="eastAsia"/>
          <w:color w:val="000000" w:themeColor="text1"/>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主要设备有：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46A372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主要专业技术能力有：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5AD19264">
      <w:pPr>
        <w:ind w:firstLine="480"/>
        <w:rPr>
          <w:color w:val="000000" w:themeColor="text1"/>
          <w14:textFill>
            <w14:solidFill>
              <w14:schemeClr w14:val="tx1"/>
            </w14:solidFill>
          </w14:textFill>
        </w:rPr>
      </w:pPr>
    </w:p>
    <w:p w14:paraId="7FF8D9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35E0B9C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年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月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p w14:paraId="7A39EBA5">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其他证明材料及文件：（如果</w:t>
      </w:r>
      <w:r>
        <w:rPr>
          <w:rFonts w:hint="eastAsia"/>
          <w:color w:val="000000" w:themeColor="text1"/>
          <w:lang w:val="zh-CN"/>
          <w14:textFill>
            <w14:solidFill>
              <w14:schemeClr w14:val="tx1"/>
            </w14:solidFill>
          </w14:textFill>
        </w:rPr>
        <w:t>投标人</w:t>
      </w:r>
      <w:r>
        <w:rPr>
          <w:rFonts w:hint="eastAsia"/>
          <w:color w:val="000000" w:themeColor="text1"/>
          <w14:textFill>
            <w14:solidFill>
              <w14:schemeClr w14:val="tx1"/>
            </w14:solidFill>
          </w14:textFill>
        </w:rPr>
        <w:t>认为需要提供的话）</w:t>
      </w:r>
    </w:p>
    <w:p w14:paraId="3C4CED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21B760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有依法缴纳税收和社会保障资金的良好记录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14:textFill>
            <w14:solidFill>
              <w14:schemeClr w14:val="tx1"/>
            </w14:solidFill>
          </w14:textFill>
        </w:rPr>
        <w:t>】</w:t>
      </w:r>
    </w:p>
    <w:p w14:paraId="6F0549A8">
      <w:pPr>
        <w:ind w:firstLine="480"/>
        <w:rPr>
          <w:color w:val="000000" w:themeColor="text1"/>
          <w14:textFill>
            <w14:solidFill>
              <w14:schemeClr w14:val="tx1"/>
            </w14:solidFill>
          </w14:textFill>
        </w:rPr>
      </w:pPr>
    </w:p>
    <w:p w14:paraId="5EB122C1">
      <w:pPr>
        <w:ind w:firstLine="480"/>
        <w:rPr>
          <w:color w:val="000000" w:themeColor="text1"/>
          <w14:textFill>
            <w14:solidFill>
              <w14:schemeClr w14:val="tx1"/>
            </w14:solidFill>
          </w14:textFill>
        </w:rPr>
      </w:pPr>
    </w:p>
    <w:p w14:paraId="062E61ED">
      <w:pPr>
        <w:ind w:firstLine="480"/>
        <w:rPr>
          <w:color w:val="000000" w:themeColor="text1"/>
          <w14:textFill>
            <w14:solidFill>
              <w14:schemeClr w14:val="tx1"/>
            </w14:solidFill>
          </w14:textFill>
        </w:rPr>
      </w:pPr>
    </w:p>
    <w:p w14:paraId="7E847537">
      <w:pPr>
        <w:ind w:firstLine="480"/>
        <w:rPr>
          <w:color w:val="000000" w:themeColor="text1"/>
          <w14:textFill>
            <w14:solidFill>
              <w14:schemeClr w14:val="tx1"/>
            </w14:solidFill>
          </w14:textFill>
        </w:rPr>
      </w:pPr>
    </w:p>
    <w:p w14:paraId="1E810895">
      <w:pPr>
        <w:ind w:firstLine="480"/>
        <w:rPr>
          <w:color w:val="000000" w:themeColor="text1"/>
          <w14:textFill>
            <w14:solidFill>
              <w14:schemeClr w14:val="tx1"/>
            </w14:solidFill>
          </w14:textFill>
        </w:rPr>
      </w:pPr>
    </w:p>
    <w:p w14:paraId="6565C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ind w:firstLine="480"/>
        <w:rPr>
          <w:color w:val="000000" w:themeColor="text1"/>
          <w14:textFill>
            <w14:solidFill>
              <w14:schemeClr w14:val="tx1"/>
            </w14:solidFill>
          </w14:textFill>
        </w:rPr>
      </w:pPr>
    </w:p>
    <w:p w14:paraId="16649C9E">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无重大违法记录声明</w:t>
      </w:r>
    </w:p>
    <w:p w14:paraId="25736ACC">
      <w:pPr>
        <w:ind w:firstLine="480"/>
        <w:rPr>
          <w:color w:val="000000" w:themeColor="text1"/>
          <w14:textFill>
            <w14:solidFill>
              <w14:schemeClr w14:val="tx1"/>
            </w14:solidFill>
          </w14:textFill>
        </w:rPr>
      </w:pPr>
    </w:p>
    <w:p w14:paraId="41948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42CE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（投标人名称）</w:t>
      </w:r>
      <w:r>
        <w:rPr>
          <w:rFonts w:hint="eastAsia"/>
          <w:color w:val="000000" w:themeColor="text1"/>
          <w14:textFill>
            <w14:solidFill>
              <w14:schemeClr w14:val="tx1"/>
            </w14:solidFill>
          </w14:textFill>
        </w:rPr>
        <w:t>郑重声明：</w:t>
      </w:r>
    </w:p>
    <w:p w14:paraId="64F2E2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参加政府采购活动前3年内在经营活动中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（在下划线上如实填写：有或没有）重大违法记录。</w:t>
      </w:r>
    </w:p>
    <w:p w14:paraId="2EA1E0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ind w:firstLine="480"/>
        <w:rPr>
          <w:color w:val="000000" w:themeColor="text1"/>
          <w14:textFill>
            <w14:solidFill>
              <w14:schemeClr w14:val="tx1"/>
            </w14:solidFill>
          </w14:textFill>
        </w:rPr>
      </w:pPr>
    </w:p>
    <w:p w14:paraId="009D27A3">
      <w:pPr>
        <w:ind w:firstLine="480"/>
        <w:rPr>
          <w:color w:val="000000" w:themeColor="text1"/>
          <w14:textFill>
            <w14:solidFill>
              <w14:schemeClr w14:val="tx1"/>
            </w14:solidFill>
          </w14:textFill>
        </w:rPr>
      </w:pPr>
    </w:p>
    <w:p w14:paraId="51330C93">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063BE23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727D24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F621C1D">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目录六、技术</w:t>
      </w:r>
      <w:r>
        <w:rPr>
          <w:rFonts w:hint="eastAsia"/>
          <w:color w:val="000000" w:themeColor="text1"/>
          <w14:textFill>
            <w14:solidFill>
              <w14:schemeClr w14:val="tx1"/>
            </w14:solidFill>
          </w14:textFill>
        </w:rPr>
        <w:t>条款偏离</w:t>
      </w:r>
      <w:r>
        <w:rPr>
          <w:rFonts w:hint="eastAsia"/>
          <w:color w:val="000000" w:themeColor="text1"/>
          <w:lang w:val="zh-CN"/>
          <w14:textFill>
            <w14:solidFill>
              <w14:schemeClr w14:val="tx1"/>
            </w14:solidFill>
          </w14:textFill>
        </w:rPr>
        <w:t>表格式</w:t>
      </w:r>
    </w:p>
    <w:p w14:paraId="2C75F377">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vAlign w:val="center"/>
          </w:tcPr>
          <w:p w14:paraId="1691D023">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vAlign w:val="center"/>
          </w:tcPr>
          <w:p w14:paraId="6360F48E">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493260E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vAlign w:val="center"/>
          </w:tcPr>
          <w:p w14:paraId="0A07213A">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vAlign w:val="center"/>
          </w:tcPr>
          <w:p w14:paraId="4F7E312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vAlign w:val="center"/>
          </w:tcPr>
          <w:p w14:paraId="7CDA052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0FC2FD49">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07E7190E">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F4637D0">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74C240B">
            <w:pPr>
              <w:spacing w:line="240" w:lineRule="auto"/>
              <w:ind w:firstLine="0" w:firstLineChars="0"/>
              <w:rPr>
                <w:color w:val="000000" w:themeColor="text1"/>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2A53CEA4">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7CECEB18">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572712C">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18B338D4">
            <w:pPr>
              <w:spacing w:line="240" w:lineRule="auto"/>
              <w:ind w:firstLine="0" w:firstLineChars="0"/>
              <w:rPr>
                <w:color w:val="000000" w:themeColor="text1"/>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54E3672C">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3D74432D">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7F47F7A3">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2ECB8EB">
            <w:pPr>
              <w:spacing w:line="240" w:lineRule="auto"/>
              <w:ind w:firstLine="0" w:firstLineChars="0"/>
              <w:rPr>
                <w:color w:val="000000" w:themeColor="text1"/>
                <w:lang w:val="zh-CN"/>
                <w14:textFill>
                  <w14:solidFill>
                    <w14:schemeClr w14:val="tx1"/>
                  </w14:solidFill>
                </w14:textFill>
              </w:rPr>
            </w:pPr>
          </w:p>
        </w:tc>
      </w:tr>
    </w:tbl>
    <w:p w14:paraId="776CA06B">
      <w:pPr>
        <w:ind w:firstLine="480"/>
        <w:rPr>
          <w:color w:val="000000" w:themeColor="text1"/>
          <w:lang w:val="zh-CN"/>
          <w14:textFill>
            <w14:solidFill>
              <w14:schemeClr w14:val="tx1"/>
            </w14:solidFill>
          </w14:textFill>
        </w:rPr>
      </w:pPr>
    </w:p>
    <w:p w14:paraId="5D5A9242">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D6B95B9">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0D8E0DA7">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针对第四章采购需求的技术部分内容</w:t>
      </w:r>
      <w:r>
        <w:rPr>
          <w:rFonts w:hint="eastAsia"/>
          <w:color w:val="000000" w:themeColor="text1"/>
          <w:lang w:val="zh-CN"/>
          <w14:textFill>
            <w14:solidFill>
              <w14:schemeClr w14:val="tx1"/>
            </w14:solidFill>
          </w14:textFill>
        </w:rPr>
        <w:t>逐一说明。</w:t>
      </w:r>
    </w:p>
    <w:p w14:paraId="424187FF">
      <w:pPr>
        <w:ind w:firstLine="480"/>
        <w:rPr>
          <w:color w:val="000000" w:themeColor="text1"/>
          <w:lang w:val="zh-CN"/>
          <w14:textFill>
            <w14:solidFill>
              <w14:schemeClr w14:val="tx1"/>
            </w14:solidFill>
          </w14:textFill>
        </w:rPr>
      </w:pPr>
    </w:p>
    <w:p w14:paraId="00861045">
      <w:pPr>
        <w:ind w:firstLine="480"/>
        <w:rPr>
          <w:color w:val="000000" w:themeColor="text1"/>
          <w:lang w:val="zh-CN"/>
          <w14:textFill>
            <w14:solidFill>
              <w14:schemeClr w14:val="tx1"/>
            </w14:solidFill>
          </w14:textFill>
        </w:rPr>
      </w:pPr>
    </w:p>
    <w:p w14:paraId="54D7364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附：证明材料1，证明材料2……（如招标文件要求提供佐证材料的，须将证明材料列于技术条款偏离表之下）</w:t>
      </w:r>
    </w:p>
    <w:p w14:paraId="28510763">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23BFCBBE">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目录七、商务条款</w:t>
      </w:r>
      <w:r>
        <w:rPr>
          <w:rFonts w:hint="eastAsia"/>
          <w:color w:val="000000" w:themeColor="text1"/>
          <w14:textFill>
            <w14:solidFill>
              <w14:schemeClr w14:val="tx1"/>
            </w14:solidFill>
          </w14:textFill>
        </w:rPr>
        <w:t>偏离</w:t>
      </w:r>
      <w:r>
        <w:rPr>
          <w:rFonts w:hint="eastAsia"/>
          <w:color w:val="000000" w:themeColor="text1"/>
          <w:lang w:val="zh-CN"/>
          <w14:textFill>
            <w14:solidFill>
              <w14:schemeClr w14:val="tx1"/>
            </w14:solidFill>
          </w14:textFill>
        </w:rPr>
        <w:t>表格式</w:t>
      </w:r>
    </w:p>
    <w:p w14:paraId="75CC773F">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商务条款</w:t>
      </w:r>
      <w:r>
        <w:rPr>
          <w:rFonts w:hint="eastAsia"/>
          <w:b/>
          <w:bCs/>
          <w:color w:val="000000" w:themeColor="text1"/>
          <w14:textFill>
            <w14:solidFill>
              <w14:schemeClr w14:val="tx1"/>
            </w14:solidFill>
          </w14:textFill>
        </w:rPr>
        <w:t>偏离</w:t>
      </w:r>
      <w:r>
        <w:rPr>
          <w:rFonts w:hint="eastAsia"/>
          <w:b/>
          <w:bCs/>
          <w:color w:val="000000" w:themeColor="text1"/>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vAlign w:val="center"/>
          </w:tcPr>
          <w:p w14:paraId="170E83B8">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vAlign w:val="center"/>
          </w:tcPr>
          <w:p w14:paraId="60F9637B">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5B14D370">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20" w:type="pct"/>
            <w:tcBorders>
              <w:left w:val="single" w:color="auto" w:sz="4" w:space="0"/>
              <w:right w:val="single" w:color="auto" w:sz="4" w:space="0"/>
            </w:tcBorders>
            <w:vAlign w:val="center"/>
          </w:tcPr>
          <w:p w14:paraId="6D1C61C6">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招标文件要求的商务条款</w:t>
            </w:r>
          </w:p>
        </w:tc>
        <w:tc>
          <w:tcPr>
            <w:tcW w:w="1694" w:type="pct"/>
            <w:tcBorders>
              <w:left w:val="single" w:color="auto" w:sz="4" w:space="0"/>
              <w:right w:val="single" w:color="auto" w:sz="4" w:space="0"/>
            </w:tcBorders>
            <w:vAlign w:val="center"/>
          </w:tcPr>
          <w:p w14:paraId="2EC87F1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866" w:type="pct"/>
            <w:tcBorders>
              <w:left w:val="single" w:color="auto" w:sz="4" w:space="0"/>
              <w:right w:val="single" w:color="auto" w:sz="4" w:space="0"/>
            </w:tcBorders>
            <w:vAlign w:val="center"/>
          </w:tcPr>
          <w:p w14:paraId="7B80B553">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38CD617E">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793D90E6">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4B8D75E8">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4F3CEC5D">
            <w:pPr>
              <w:spacing w:line="240" w:lineRule="auto"/>
              <w:ind w:firstLine="0" w:firstLineChars="0"/>
              <w:rPr>
                <w:color w:val="000000" w:themeColor="text1"/>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1A957194">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6C143718">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C095F33">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00E1ED15">
            <w:pPr>
              <w:spacing w:line="240" w:lineRule="auto"/>
              <w:ind w:firstLine="0" w:firstLineChars="0"/>
              <w:rPr>
                <w:color w:val="000000" w:themeColor="text1"/>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767EA8EA">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37EC9FBA">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8AF06E1">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1ABAE68B">
            <w:pPr>
              <w:spacing w:line="240" w:lineRule="auto"/>
              <w:ind w:firstLine="0" w:firstLineChars="0"/>
              <w:rPr>
                <w:color w:val="000000" w:themeColor="text1"/>
                <w:lang w:val="zh-CN"/>
                <w14:textFill>
                  <w14:solidFill>
                    <w14:schemeClr w14:val="tx1"/>
                  </w14:solidFill>
                </w14:textFill>
              </w:rPr>
            </w:pPr>
          </w:p>
        </w:tc>
      </w:tr>
    </w:tbl>
    <w:p w14:paraId="693B4A98">
      <w:pPr>
        <w:ind w:firstLine="480"/>
        <w:rPr>
          <w:color w:val="000000" w:themeColor="text1"/>
          <w:lang w:val="zh-CN"/>
          <w14:textFill>
            <w14:solidFill>
              <w14:schemeClr w14:val="tx1"/>
            </w14:solidFill>
          </w14:textFill>
        </w:rPr>
      </w:pPr>
    </w:p>
    <w:p w14:paraId="760A44BC">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051847F">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1929EB1E">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针对第四章采购需求的商务部分内容</w:t>
      </w:r>
      <w:r>
        <w:rPr>
          <w:rFonts w:hint="eastAsia"/>
          <w:color w:val="000000" w:themeColor="text1"/>
          <w:lang w:val="zh-CN"/>
          <w14:textFill>
            <w14:solidFill>
              <w14:schemeClr w14:val="tx1"/>
            </w14:solidFill>
          </w14:textFill>
        </w:rPr>
        <w:t>逐一说明。</w:t>
      </w:r>
    </w:p>
    <w:p w14:paraId="1332ED76">
      <w:pPr>
        <w:ind w:firstLine="480"/>
        <w:rPr>
          <w:color w:val="000000" w:themeColor="text1"/>
          <w:lang w:val="zh-CN"/>
          <w14:textFill>
            <w14:solidFill>
              <w14:schemeClr w14:val="tx1"/>
            </w14:solidFill>
          </w14:textFill>
        </w:rPr>
      </w:pPr>
    </w:p>
    <w:p w14:paraId="39BF3E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附：证明材料1，证明材料2……（如招标文件要求提供佐证材料的，须将证明材料列于商务条款偏离表之下）</w:t>
      </w:r>
    </w:p>
    <w:p w14:paraId="6960C8A0">
      <w:pPr>
        <w:ind w:firstLine="480"/>
        <w:rPr>
          <w:color w:val="000000" w:themeColor="text1"/>
          <w:lang w:val="zh-CN"/>
          <w14:textFill>
            <w14:solidFill>
              <w14:schemeClr w14:val="tx1"/>
            </w14:solidFill>
          </w14:textFill>
        </w:rPr>
      </w:pPr>
    </w:p>
    <w:p w14:paraId="7995BD64">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718A8117">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目录八、政府采购政策功能</w:t>
      </w:r>
    </w:p>
    <w:p w14:paraId="10852C5F">
      <w:pPr>
        <w:ind w:firstLine="0" w:firstLineChars="0"/>
        <w:jc w:val="center"/>
        <w:rPr>
          <w:b/>
          <w:bCs/>
          <w:color w:val="000000" w:themeColor="text1"/>
          <w:lang w:val="zh-CN"/>
          <w14:textFill>
            <w14:solidFill>
              <w14:schemeClr w14:val="tx1"/>
            </w14:solidFill>
          </w14:textFill>
        </w:rPr>
      </w:pPr>
      <w:r>
        <w:rPr>
          <w:rFonts w:hint="eastAsia"/>
          <w:b/>
          <w:bCs/>
          <w:color w:val="000000" w:themeColor="text1"/>
          <w14:textFill>
            <w14:solidFill>
              <w14:schemeClr w14:val="tx1"/>
            </w14:solidFill>
          </w14:textFill>
        </w:rPr>
        <w:t>（一）</w:t>
      </w:r>
      <w:r>
        <w:rPr>
          <w:rFonts w:hint="eastAsia"/>
          <w:b/>
          <w:bCs/>
          <w:color w:val="000000" w:themeColor="text1"/>
          <w:lang w:val="zh-CN"/>
          <w14:textFill>
            <w14:solidFill>
              <w14:schemeClr w14:val="tx1"/>
            </w14:solidFill>
          </w14:textFill>
        </w:rPr>
        <w:t>中小企业声明函（货物）</w:t>
      </w:r>
    </w:p>
    <w:p w14:paraId="7008BAEE">
      <w:pPr>
        <w:ind w:firstLine="0" w:firstLineChars="0"/>
        <w:rPr>
          <w:color w:val="000000" w:themeColor="text1"/>
          <w14:textFill>
            <w14:solidFill>
              <w14:schemeClr w14:val="tx1"/>
            </w14:solidFill>
          </w14:textFill>
        </w:rPr>
      </w:pPr>
    </w:p>
    <w:p w14:paraId="2A8B2F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（单位名称）的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2117E3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1C175A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4D77CC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12D1CB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本企业对上述声明内容的真实性负责。如有虚假，将依法承担相应责任。</w:t>
      </w:r>
    </w:p>
    <w:p w14:paraId="5566CE89">
      <w:pPr>
        <w:ind w:firstLine="480"/>
        <w:rPr>
          <w:color w:val="000000" w:themeColor="text1"/>
          <w14:textFill>
            <w14:solidFill>
              <w14:schemeClr w14:val="tx1"/>
            </w14:solidFill>
          </w14:textFill>
        </w:rPr>
      </w:pPr>
    </w:p>
    <w:p w14:paraId="043B4978">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692432FD">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482292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注2：从业人员、营业收入、资产总额填报上一年度数据，无上一年度数据的新成立企业可不填报。</w:t>
      </w:r>
    </w:p>
    <w:p w14:paraId="218DE3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注3：投标人如不提供此声明函，不享受中小企业扶持政策。</w:t>
      </w:r>
    </w:p>
    <w:p w14:paraId="2CFDDE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A56AB67">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（二）残疾人福利性单位声明函</w:t>
      </w:r>
    </w:p>
    <w:p w14:paraId="44FDFE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我公司对上述声明的真实性负责。如有虚假，将依法承担相应责任。</w:t>
      </w:r>
    </w:p>
    <w:p w14:paraId="270E815B">
      <w:pPr>
        <w:ind w:firstLine="480"/>
        <w:rPr>
          <w:color w:val="000000" w:themeColor="text1"/>
          <w14:textFill>
            <w14:solidFill>
              <w14:schemeClr w14:val="tx1"/>
            </w14:solidFill>
          </w14:textFill>
        </w:rPr>
      </w:pPr>
    </w:p>
    <w:p w14:paraId="5DDF268A">
      <w:pPr>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单位名称：（盖章）</w:t>
      </w:r>
    </w:p>
    <w:p w14:paraId="34DF1954">
      <w:pPr>
        <w:wordWrap w:val="0"/>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067101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注：非残疾人福利性单位无须提供。</w:t>
      </w:r>
    </w:p>
    <w:p w14:paraId="22EC50CF">
      <w:pPr>
        <w:ind w:firstLine="480"/>
        <w:rPr>
          <w:color w:val="000000" w:themeColor="text1"/>
          <w14:textFill>
            <w14:solidFill>
              <w14:schemeClr w14:val="tx1"/>
            </w14:solidFill>
          </w14:textFill>
        </w:rPr>
      </w:pPr>
    </w:p>
    <w:p w14:paraId="41C3ACD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（三）属于监狱企业的证明文件</w:t>
      </w:r>
    </w:p>
    <w:p w14:paraId="1FB34C46">
      <w:pPr>
        <w:ind w:firstLine="480"/>
        <w:rPr>
          <w:color w:val="000000" w:themeColor="text1"/>
          <w14:textFill>
            <w14:solidFill>
              <w14:schemeClr w14:val="tx1"/>
            </w14:solidFill>
          </w14:textFill>
        </w:rPr>
      </w:pPr>
      <w:r>
        <w:rPr>
          <w:color w:val="000000" w:themeColor="text1"/>
          <w14:textFill>
            <w14:solidFill>
              <w14:schemeClr w14:val="tx1"/>
            </w14:solidFill>
          </w14:textFill>
        </w:rPr>
        <w:t>提供由省级以上监狱管理局、戒毒管理局（含新疆生产建设兵团）出具的属于监狱企业的证明文件。</w:t>
      </w:r>
    </w:p>
    <w:p w14:paraId="479DAF8D">
      <w:pPr>
        <w:ind w:firstLine="480"/>
        <w:rPr>
          <w:color w:val="000000" w:themeColor="text1"/>
          <w14:textFill>
            <w14:solidFill>
              <w14:schemeClr w14:val="tx1"/>
            </w14:solidFill>
          </w14:textFill>
        </w:rPr>
      </w:pPr>
    </w:p>
    <w:p w14:paraId="635B193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注：非监狱企业无须提供。</w:t>
      </w:r>
    </w:p>
    <w:p w14:paraId="44FBDD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0544DCD">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（四）关于符合本国产品标准的声明函</w:t>
      </w:r>
    </w:p>
    <w:p w14:paraId="56FC2D40">
      <w:pPr>
        <w:ind w:firstLine="480"/>
        <w:rPr>
          <w:color w:val="000000" w:themeColor="text1"/>
          <w14:textFill>
            <w14:solidFill>
              <w14:schemeClr w14:val="tx1"/>
            </w14:solidFill>
          </w14:textFill>
        </w:rPr>
      </w:pPr>
    </w:p>
    <w:p w14:paraId="6B0646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b/>
          <w:bCs/>
          <w:color w:val="000000" w:themeColor="text1"/>
          <w:u w:val="single"/>
          <w14:textFill>
            <w14:solidFill>
              <w14:schemeClr w14:val="tx1"/>
            </w14:solidFill>
          </w14:textFill>
        </w:rPr>
        <w:t>（产品名称1）</w:t>
      </w:r>
      <w:r>
        <w:rPr>
          <w:rFonts w:hint="eastAsia"/>
          <w:b/>
          <w:bCs/>
          <w:color w:val="000000" w:themeColor="text1"/>
          <w:u w:val="single"/>
          <w:vertAlign w:val="superscript"/>
          <w14:textFill>
            <w14:solidFill>
              <w14:schemeClr w14:val="tx1"/>
            </w14:solidFill>
          </w14:textFill>
        </w:rPr>
        <w:t>1</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b/>
          <w:bCs/>
          <w:color w:val="000000" w:themeColor="text1"/>
          <w:u w:val="single"/>
          <w:vertAlign w:val="superscript"/>
          <w14:textFill>
            <w14:solidFill>
              <w14:schemeClr w14:val="tx1"/>
            </w14:solidFill>
          </w14:textFill>
        </w:rPr>
        <w:t>2</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3</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4</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b/>
          <w:bCs/>
          <w:strike/>
          <w:color w:val="000000" w:themeColor="text1"/>
          <w:u w:val="single"/>
          <w:vertAlign w:val="superscript"/>
          <w14:textFill>
            <w14:solidFill>
              <w14:schemeClr w14:val="tx1"/>
            </w14:solidFill>
          </w14:textFill>
        </w:rPr>
        <w:t>5</w:t>
      </w:r>
      <w:r>
        <w:rPr>
          <w:rFonts w:hint="eastAsia"/>
          <w:color w:val="000000" w:themeColor="text1"/>
          <w14:textFill>
            <w14:solidFill>
              <w14:schemeClr w14:val="tx1"/>
            </w14:solidFill>
          </w14:textFill>
        </w:rPr>
        <w:t>在中国境内完成。</w:t>
      </w:r>
    </w:p>
    <w:p w14:paraId="179835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b/>
          <w:bCs/>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color w:val="000000" w:themeColor="text1"/>
          <w14:textFill>
            <w14:solidFill>
              <w14:schemeClr w14:val="tx1"/>
            </w14:solidFill>
          </w14:textFill>
        </w:rPr>
        <w:t>在中国境内完成。</w:t>
      </w:r>
    </w:p>
    <w:p w14:paraId="0EE8C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38F36D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本公司（单位）对上述声明内容的真实性负责。如有虚假，愿承担相应法律责任。</w:t>
      </w:r>
    </w:p>
    <w:p w14:paraId="3B87B0BB">
      <w:pPr>
        <w:ind w:firstLine="480"/>
        <w:rPr>
          <w:color w:val="000000" w:themeColor="text1"/>
          <w14:textFill>
            <w14:solidFill>
              <w14:schemeClr w14:val="tx1"/>
            </w14:solidFill>
          </w14:textFill>
        </w:rPr>
      </w:pPr>
    </w:p>
    <w:p w14:paraId="46F1F4C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公司（单位）名称（盖章）：</w:t>
      </w:r>
    </w:p>
    <w:p w14:paraId="2BB5264E">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2FC4E0DF">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__________________</w:t>
      </w:r>
    </w:p>
    <w:p w14:paraId="5F7BB917">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1.产品如有型号，请在“产品名称”栏一并填写。</w:t>
      </w:r>
    </w:p>
    <w:p w14:paraId="3FEE022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2.生产厂名与厂址应与生产厂营业执照载明的相关信息保持一致。</w:t>
      </w:r>
    </w:p>
    <w:p w14:paraId="639BA8F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3.该产品的中国境内生产的组件成本占比相关要求实施前，“规定比例”栏可不填，下同。</w:t>
      </w:r>
    </w:p>
    <w:p w14:paraId="6BA4B563">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4.该产品的关键组件要求实施前，“关键组件”栏可不填，下同。</w:t>
      </w:r>
    </w:p>
    <w:p w14:paraId="4CEFC3FE">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5.该产品的关键工序要求实施前，“关键工序”栏可不填，下同。</w:t>
      </w:r>
    </w:p>
    <w:p w14:paraId="0A365348">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6.用删除线划除的地方无需填写。</w:t>
      </w:r>
    </w:p>
    <w:p w14:paraId="2978C28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793DD8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目录八、投标需要的其他证明文件及材料</w:t>
      </w:r>
    </w:p>
    <w:p w14:paraId="1D786A42">
      <w:pPr>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投标需要的其他证明文件及材料（若有）</w:t>
      </w:r>
    </w:p>
    <w:p w14:paraId="4DAE2485">
      <w:pPr>
        <w:ind w:firstLine="0" w:firstLineChars="0"/>
        <w:jc w:val="center"/>
        <w:rPr>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F3B8">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B573B">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ascii="微软雅黑" w:hAnsi="微软雅黑" w:eastAsia="微软雅黑"/>
        <w:b/>
        <w:bCs/>
        <w:sz w:val="21"/>
        <w:szCs w:val="21"/>
      </w:rPr>
      <w:t>认真 高效 廉洁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27CB">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5178">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DB"/>
    <w:rsid w:val="000059BB"/>
    <w:rsid w:val="00091B85"/>
    <w:rsid w:val="00096251"/>
    <w:rsid w:val="00164021"/>
    <w:rsid w:val="001A03DB"/>
    <w:rsid w:val="001A09FC"/>
    <w:rsid w:val="00221C10"/>
    <w:rsid w:val="0024707D"/>
    <w:rsid w:val="002A06BD"/>
    <w:rsid w:val="002F2150"/>
    <w:rsid w:val="00342594"/>
    <w:rsid w:val="00374BCE"/>
    <w:rsid w:val="003E3DA5"/>
    <w:rsid w:val="00475DA5"/>
    <w:rsid w:val="004B6027"/>
    <w:rsid w:val="005412CB"/>
    <w:rsid w:val="00546934"/>
    <w:rsid w:val="006025E6"/>
    <w:rsid w:val="00670ADC"/>
    <w:rsid w:val="006A5776"/>
    <w:rsid w:val="006F0118"/>
    <w:rsid w:val="007E62E0"/>
    <w:rsid w:val="00833155"/>
    <w:rsid w:val="00934D6C"/>
    <w:rsid w:val="00986DAC"/>
    <w:rsid w:val="00A02EC5"/>
    <w:rsid w:val="00A962EE"/>
    <w:rsid w:val="00AE1CBD"/>
    <w:rsid w:val="00AE6C68"/>
    <w:rsid w:val="00B177F7"/>
    <w:rsid w:val="00B405B9"/>
    <w:rsid w:val="00BB284C"/>
    <w:rsid w:val="00C143FB"/>
    <w:rsid w:val="00CE1B38"/>
    <w:rsid w:val="00D67D4C"/>
    <w:rsid w:val="00D839BE"/>
    <w:rsid w:val="00E1053D"/>
    <w:rsid w:val="00E40711"/>
    <w:rsid w:val="00EC0184"/>
    <w:rsid w:val="00EC4309"/>
    <w:rsid w:val="00F05904"/>
    <w:rsid w:val="00F7712C"/>
    <w:rsid w:val="01680BF0"/>
    <w:rsid w:val="01DB4007"/>
    <w:rsid w:val="01EF3F19"/>
    <w:rsid w:val="05E45E21"/>
    <w:rsid w:val="06187C8D"/>
    <w:rsid w:val="07F23A46"/>
    <w:rsid w:val="09BD20A0"/>
    <w:rsid w:val="0A2168AE"/>
    <w:rsid w:val="10814CB8"/>
    <w:rsid w:val="11785740"/>
    <w:rsid w:val="146223A3"/>
    <w:rsid w:val="155762E2"/>
    <w:rsid w:val="16B410DD"/>
    <w:rsid w:val="18030F17"/>
    <w:rsid w:val="18D019BE"/>
    <w:rsid w:val="19371A3D"/>
    <w:rsid w:val="1BF40817"/>
    <w:rsid w:val="1DDB2DCA"/>
    <w:rsid w:val="1F1C03B0"/>
    <w:rsid w:val="227745E1"/>
    <w:rsid w:val="229D5AD9"/>
    <w:rsid w:val="238514A5"/>
    <w:rsid w:val="23DC5A95"/>
    <w:rsid w:val="24057CE2"/>
    <w:rsid w:val="266A1297"/>
    <w:rsid w:val="28F0276B"/>
    <w:rsid w:val="294B1B64"/>
    <w:rsid w:val="296E0121"/>
    <w:rsid w:val="2AA2264C"/>
    <w:rsid w:val="2F3930BD"/>
    <w:rsid w:val="33C12A99"/>
    <w:rsid w:val="33D0351E"/>
    <w:rsid w:val="35971D6B"/>
    <w:rsid w:val="370E6B0D"/>
    <w:rsid w:val="3A2123ED"/>
    <w:rsid w:val="3B2614E4"/>
    <w:rsid w:val="3D896FA2"/>
    <w:rsid w:val="3E0A27B5"/>
    <w:rsid w:val="402E7E78"/>
    <w:rsid w:val="42954BE0"/>
    <w:rsid w:val="491A4480"/>
    <w:rsid w:val="4A954692"/>
    <w:rsid w:val="4AE62D96"/>
    <w:rsid w:val="54522D0A"/>
    <w:rsid w:val="5A1D5CA3"/>
    <w:rsid w:val="5CBD5A36"/>
    <w:rsid w:val="5EE914C3"/>
    <w:rsid w:val="5FDA5A30"/>
    <w:rsid w:val="5FF422AB"/>
    <w:rsid w:val="60C767CF"/>
    <w:rsid w:val="60E8411E"/>
    <w:rsid w:val="619239A0"/>
    <w:rsid w:val="61DF3A9F"/>
    <w:rsid w:val="631105C3"/>
    <w:rsid w:val="6329551F"/>
    <w:rsid w:val="66D257D8"/>
    <w:rsid w:val="6A350C4E"/>
    <w:rsid w:val="6AA55E35"/>
    <w:rsid w:val="6BB42384"/>
    <w:rsid w:val="6D6F67F4"/>
    <w:rsid w:val="6FE3259D"/>
    <w:rsid w:val="74FF25B3"/>
    <w:rsid w:val="7B6B0909"/>
    <w:rsid w:val="7E4C09C1"/>
    <w:rsid w:val="7E6E7A42"/>
    <w:rsid w:val="7EB637D8"/>
    <w:rsid w:val="7F374AB2"/>
    <w:rsid w:val="7F427FB8"/>
    <w:rsid w:val="7FEE4986"/>
    <w:rsid w:val="7FFA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after="10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outlineLvl w:val="1"/>
    </w:pPr>
    <w:rPr>
      <w:rFonts w:ascii="Arial" w:hAnsi="Arial"/>
      <w:b/>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rPr>
      <w:szCs w:val="20"/>
    </w:rPr>
  </w:style>
  <w:style w:type="paragraph" w:styleId="6">
    <w:name w:val="annotation text"/>
    <w:basedOn w:val="1"/>
    <w:link w:val="23"/>
    <w:qFormat/>
    <w:uiPriority w:val="0"/>
  </w:style>
  <w:style w:type="paragraph" w:styleId="7">
    <w:name w:val="Body Text"/>
    <w:basedOn w:val="1"/>
    <w:link w:val="25"/>
    <w:qFormat/>
    <w:uiPriority w:val="1"/>
    <w:pPr>
      <w:adjustRightInd w:val="0"/>
      <w:spacing w:before="100" w:after="100" w:line="300" w:lineRule="auto"/>
      <w:ind w:firstLine="1044"/>
      <w:jc w:val="both"/>
    </w:pPr>
    <w:rPr>
      <w:rFonts w:cs="Times New Roman"/>
    </w:rPr>
  </w:style>
  <w:style w:type="paragraph" w:styleId="8">
    <w:name w:val="Body Text Indent"/>
    <w:basedOn w:val="1"/>
    <w:qFormat/>
    <w:uiPriority w:val="99"/>
    <w:pPr>
      <w:spacing w:after="120"/>
      <w:ind w:left="420" w:leftChars="200"/>
    </w:pPr>
    <w:rPr>
      <w:kern w:val="0"/>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1">
    <w:name w:val="Normal (Web)"/>
    <w:basedOn w:val="1"/>
    <w:qFormat/>
    <w:uiPriority w:val="0"/>
    <w:pPr>
      <w:spacing w:beforeAutospacing="1" w:afterAutospacing="1"/>
    </w:pPr>
    <w:rPr>
      <w:rFonts w:cs="Times New Roman"/>
      <w:kern w:val="0"/>
    </w:rPr>
  </w:style>
  <w:style w:type="paragraph" w:styleId="12">
    <w:name w:val="annotation subject"/>
    <w:basedOn w:val="6"/>
    <w:next w:val="6"/>
    <w:link w:val="2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qFormat/>
    <w:uiPriority w:val="20"/>
    <w:rPr>
      <w:b/>
      <w:i/>
      <w:spacing w:val="10"/>
      <w:shd w:val="clear" w:color="auto" w:fill="auto"/>
    </w:rPr>
  </w:style>
  <w:style w:type="character" w:styleId="18">
    <w:name w:val="annotation reference"/>
    <w:qFormat/>
    <w:uiPriority w:val="0"/>
    <w:rPr>
      <w:sz w:val="21"/>
      <w:szCs w:val="21"/>
    </w:rPr>
  </w:style>
  <w:style w:type="paragraph" w:customStyle="1" w:styleId="19">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20">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character" w:customStyle="1" w:styleId="23">
    <w:name w:val="批注文字 字符"/>
    <w:basedOn w:val="15"/>
    <w:link w:val="6"/>
    <w:qFormat/>
    <w:uiPriority w:val="0"/>
    <w:rPr>
      <w:rFonts w:cstheme="minorBidi"/>
      <w:kern w:val="2"/>
      <w:sz w:val="24"/>
      <w:szCs w:val="24"/>
    </w:rPr>
  </w:style>
  <w:style w:type="character" w:customStyle="1" w:styleId="24">
    <w:name w:val="批注主题 字符"/>
    <w:basedOn w:val="23"/>
    <w:link w:val="12"/>
    <w:qFormat/>
    <w:uiPriority w:val="0"/>
    <w:rPr>
      <w:rFonts w:cstheme="minorBidi"/>
      <w:b/>
      <w:bCs/>
      <w:kern w:val="2"/>
      <w:sz w:val="24"/>
      <w:szCs w:val="24"/>
    </w:rPr>
  </w:style>
  <w:style w:type="character" w:customStyle="1" w:styleId="25">
    <w:name w:val="正文文本 字符"/>
    <w:basedOn w:val="15"/>
    <w:link w:val="7"/>
    <w:qFormat/>
    <w:uiPriority w:val="1"/>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Template>
  <Pages>55</Pages>
  <Words>18585</Words>
  <Characters>19603</Characters>
  <Lines>1268</Lines>
  <Paragraphs>1384</Paragraphs>
  <TotalTime>0</TotalTime>
  <ScaleCrop>false</ScaleCrop>
  <LinksUpToDate>false</LinksUpToDate>
  <CharactersWithSpaces>19740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2026-09-08T08:22:31Z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753821A60C00406CA0850AC9E5EAE7DA_13</vt:lpwstr>
  </property>
  <property fmtid="{D5CDD505-2E9C-101B-9397-08002B2CF9AE}" pid="4" name="KSOTemplateDocerSaveRecord">
    <vt:lpwstr>eyJoZGlkIjoiZGI4OGE1MzAzZDVmOTFjNmE2ZjdjMjE4MWFmMWJkZTAiLCJ1c2VySWQiOiIxMTc5MTU0ODc0In0=</vt:lpwstr>
  </property>
</Properties>
</file>