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项目编号：JSZC-321084-JSZC-G2026-0032 </w:t>
      </w:r>
      <w:r>
        <w:rPr>
          <w:color w:val="auto"/>
          <w:highlight w:val="white"/>
        </w:rPr>
      </w:r>
      <w:r/>
    </w:p>
    <w:p>
      <w:pPr>
        <w:ind w:left="0" w:right="0" w:firstLine="0"/>
        <w:jc w:val="right"/>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6"/>
          <w:highlight w:val="white"/>
        </w:rPr>
        <w:t xml:space="preserve"> </w:t>
      </w:r>
      <w:r>
        <w:rPr>
          <w:color w:val="auto"/>
          <w:highlight w:val="white"/>
        </w:rPr>
      </w:r>
      <w:r/>
    </w:p>
    <w:p>
      <w:pPr>
        <w:ind w:left="0" w:right="0" w:firstLine="0"/>
        <w:jc w:val="center"/>
        <w:spacing w:before="0" w:after="0" w:line="959"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56"/>
          <w:highlight w:val="white"/>
        </w:rPr>
        <w:t xml:space="preserve">高邮市农业农村领域低空数字化建设项目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white"/>
        </w:rPr>
        <w:t xml:space="preserve">招 标 文 件</w:t>
      </w:r>
      <w:r>
        <w:rPr>
          <w:color w:val="auto"/>
          <w:highlight w:val="white"/>
        </w:rPr>
      </w:r>
      <w:r/>
    </w:p>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white"/>
        </w:rPr>
        <w:t xml:space="preserve"> </w:t>
      </w:r>
      <w:r>
        <w:rPr>
          <w:color w:val="auto"/>
          <w:highlight w:val="white"/>
        </w:rPr>
      </w:r>
      <w:r/>
    </w:p>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0"/>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0"/>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0"/>
        <w:jc w:val="center"/>
        <w:spacing w:before="156" w:after="156" w:line="113"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采购人：高邮市农业农村局</w:t>
      </w:r>
      <w:r>
        <w:rPr>
          <w:color w:val="auto"/>
          <w:highlight w:val="white"/>
        </w:rPr>
      </w:r>
      <w:r/>
    </w:p>
    <w:p>
      <w:pPr>
        <w:ind w:left="0" w:right="0" w:firstLine="0"/>
        <w:jc w:val="center"/>
        <w:spacing w:before="156" w:after="156" w:line="600" w:lineRule="auto"/>
        <w:rPr>
          <w:rFonts w:ascii="SimSun" w:hAnsi="SimSun" w:eastAsia="SimSun" w:cs="SimSun"/>
          <w:color w:val="auto"/>
          <w:sz w:val="21"/>
          <w:szCs w:val="2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r>
      <w:r>
        <w:rPr>
          <w:rFonts w:ascii="SimSun" w:hAnsi="SimSun" w:eastAsia="SimSun" w:cs="SimSun"/>
          <w:b/>
          <w:color w:val="auto"/>
          <w:sz w:val="32"/>
          <w:highlight w:val="white"/>
        </w:rPr>
      </w:r>
      <w:r/>
    </w:p>
    <w:p>
      <w:pPr>
        <w:ind w:left="0" w:right="0" w:firstLine="0"/>
        <w:jc w:val="center"/>
        <w:spacing w:before="156" w:after="156" w:line="600" w:lineRule="auto"/>
        <w:rPr>
          <w:rFonts w:ascii="SimSun" w:hAnsi="SimSun" w:eastAsia="SimSun" w:cs="SimSun"/>
          <w:b/>
          <w:bCs/>
          <w:color w:val="auto"/>
          <w:sz w:val="32"/>
          <w:szCs w:val="32"/>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采购代理机构：江苏志诚工程咨询管理有限公司</w:t>
      </w:r>
      <w:r>
        <w:rPr>
          <w:color w:val="auto"/>
          <w:highlight w:val="white"/>
        </w:rPr>
      </w:r>
      <w:r/>
    </w:p>
    <w:p>
      <w:pPr>
        <w:ind w:left="0" w:right="0" w:firstLine="0"/>
        <w:jc w:val="center"/>
        <w:spacing w:before="156" w:after="156" w:line="113"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二零二六年九月</w:t>
      </w:r>
      <w:r>
        <w:rPr>
          <w:color w:val="auto"/>
          <w:highlight w:val="white"/>
        </w:rPr>
      </w:r>
      <w:r/>
    </w:p>
    <w:sdt>
      <w:sdtPr>
        <w15:appearance w15:val="boundingBox"/>
        <w:showingPlcHdr w:val="true"/>
        <w:rPr/>
      </w:sdtPr>
      <w:sdtContent>
        <w:p>
          <w:pPr>
            <w:rPr>
              <w:color w:val="auto"/>
              <w:highlight w:val="white"/>
            </w:rPr>
          </w:pPr>
          <w:r>
            <w:rPr>
              <w:color w:val="auto"/>
              <w:highlight w:val="white"/>
            </w:rPr>
            <w:t xml:space="preserve">    </w:t>
          </w:r>
          <w:r>
            <w:rPr>
              <w:color w:val="auto"/>
              <w:highlight w:val="white"/>
            </w:rPr>
          </w:r>
          <w:r/>
        </w:p>
      </w:sdtContent>
    </w:sdt>
    <w:p>
      <w:pPr>
        <w:ind w:left="0" w:right="0" w:firstLine="560"/>
        <w:jc w:val="left"/>
        <w:spacing w:before="0" w:after="0" w:line="315" w:lineRule="atLeast"/>
        <w:tabs>
          <w:tab w:val="left" w:pos="2871" w:leader="none"/>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r>
        <w:rPr>
          <w:color w:val="auto"/>
          <w:highlight w:val="white"/>
        </w:rPr>
        <w:tab/>
      </w:r>
      <w:r>
        <w:rPr>
          <w:rFonts w:ascii="SimSun" w:hAnsi="SimSun" w:eastAsia="SimSun" w:cs="SimSun"/>
          <w:color w:val="auto"/>
          <w:sz w:val="24"/>
          <w:szCs w:val="24"/>
          <w:highlight w:val="white"/>
        </w:rPr>
      </w:r>
    </w:p>
    <w:p>
      <w:pPr>
        <w:ind w:left="0" w:right="0" w:firstLine="560"/>
        <w:jc w:val="left"/>
        <w:spacing w:before="0" w:after="0" w:line="315" w:lineRule="atLeast"/>
        <w:tabs>
          <w:tab w:val="left" w:pos="2871" w:leader="none"/>
          <w:tab w:val="left" w:pos="8306" w:leader="none"/>
        </w:tabs>
        <w:rPr>
          <w:rFonts w:ascii="SimSun" w:hAnsi="SimSun" w:eastAsia="SimSun" w:cs="SimSun"/>
          <w:color w:val="auto"/>
          <w:sz w:val="24"/>
          <w:szCs w:val="24"/>
          <w:highlight w:val="white"/>
        </w:rPr>
        <w:pBdr>
          <w:top w:val="none" w:color="000000" w:sz="4" w:space="0"/>
          <w:left w:val="none" w:color="000000" w:sz="4" w:space="0"/>
          <w:bottom w:val="none" w:color="000000" w:sz="4" w:space="0"/>
          <w:right w:val="none" w:color="000000" w:sz="4" w:space="0"/>
        </w:pBdr>
      </w:pPr>
      <w:r>
        <w:rPr>
          <w:color w:val="auto"/>
          <w:sz w:val="24"/>
          <w:szCs w:val="24"/>
          <w:highlight w:val="none"/>
        </w:rPr>
      </w:r>
      <w:r>
        <w:rPr>
          <w:color w:val="auto"/>
          <w:sz w:val="24"/>
          <w:szCs w:val="24"/>
          <w:highlight w:val="none"/>
        </w:rPr>
      </w:r>
    </w:p>
    <w:p>
      <w:pPr>
        <w:ind w:left="0" w:right="0" w:firstLine="560"/>
        <w:jc w:val="center"/>
        <w:spacing w:before="0" w:after="0" w:line="315" w:lineRule="atLeast"/>
        <w:tabs>
          <w:tab w:val="left" w:pos="2871" w:leader="none"/>
          <w:tab w:val="left" w:pos="8306" w:leader="none"/>
        </w:tabs>
        <w:rPr>
          <w:color w:val="auto"/>
          <w:sz w:val="24"/>
          <w:szCs w:val="24"/>
          <w:highlight w:val="none"/>
        </w:rPr>
        <w:pBdr>
          <w:top w:val="none" w:color="000000" w:sz="4" w:space="0"/>
          <w:left w:val="none" w:color="000000" w:sz="4" w:space="0"/>
          <w:bottom w:val="none" w:color="000000" w:sz="4" w:space="0"/>
          <w:right w:val="none" w:color="000000" w:sz="4" w:space="0"/>
        </w:pBdr>
      </w:pPr>
      <w:r>
        <w:rPr>
          <w:color w:val="auto"/>
          <w:highlight w:val="white"/>
        </w:rPr>
      </w:r>
      <w:r>
        <w:rPr>
          <w:color w:val="auto"/>
          <w:sz w:val="24"/>
          <w:szCs w:val="24"/>
          <w:highlight w:val="white"/>
        </w:rPr>
        <w:t xml:space="preserve">目录</w:t>
      </w:r>
      <w:r/>
      <w:r/>
    </w:p>
    <w:p>
      <w:pPr>
        <w:ind w:left="0" w:right="0" w:firstLine="560"/>
        <w:jc w:val="both"/>
        <w:spacing w:before="0" w:after="0" w:line="315" w:lineRule="atLeast"/>
        <w:tabs>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hyperlink r:id="rId10" w:tooltip="https://jszfcg.jsczt.cn/jszc/onlyoffice/7.2.1-34/web-apps/apps/documenteditor/main/index_loader.html?_dc=7.2.1-34&amp;lang=zh&amp;customer=%20&amp;logo=%20&amp;headerlogo=%2Ffavicon.ico&amp;frameEditorId=iframePage&amp;compact=true&amp;parentOrigin=https://jszfcg.jsczt.cn#_Toc11767" w:history="1">
        <w:r>
          <w:rPr>
            <w:rStyle w:val="733"/>
            <w:rFonts w:ascii="SimSun" w:hAnsi="SimSun" w:eastAsia="SimSun" w:cs="SimSun"/>
            <w:color w:val="auto"/>
            <w:sz w:val="28"/>
            <w:highlight w:val="white"/>
            <w:u w:val="single"/>
          </w:rPr>
          <w:t xml:space="preserve">第一章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招标公告</w:t>
          <w:tab/>
          <w:t xml:space="preserve">3</w:t>
        </w:r>
      </w:hyperlink>
      <w:r>
        <w:rPr>
          <w:color w:val="auto"/>
          <w:highlight w:val="white"/>
        </w:rPr>
      </w:r>
      <w:r/>
    </w:p>
    <w:p>
      <w:pPr>
        <w:ind w:left="0" w:right="0" w:firstLine="560"/>
        <w:jc w:val="both"/>
        <w:spacing w:before="0" w:after="0" w:line="315" w:lineRule="atLeast"/>
        <w:tabs>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hyperlink r:id="rId11" w:tooltip="https://jszfcg.jsczt.cn/jszc/onlyoffice/7.2.1-34/web-apps/apps/documenteditor/main/index_loader.html?_dc=7.2.1-34&amp;lang=zh&amp;customer=%20&amp;logo=%20&amp;headerlogo=%2Ffavicon.ico&amp;frameEditorId=iframePage&amp;compact=true&amp;parentOrigin=https://jszfcg.jsczt.cn#_Toc10014" w:history="1">
        <w:r>
          <w:rPr>
            <w:rStyle w:val="733"/>
            <w:rFonts w:ascii="SimSun" w:hAnsi="SimSun" w:eastAsia="SimSun" w:cs="SimSun"/>
            <w:color w:val="auto"/>
            <w:sz w:val="28"/>
            <w:highlight w:val="white"/>
            <w:u w:val="single"/>
          </w:rPr>
          <w:t xml:space="preserve">第二章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投标人须知</w:t>
          <w:tab/>
          <w:t xml:space="preserve">7</w:t>
        </w:r>
      </w:hyperlink>
      <w:r>
        <w:rPr>
          <w:color w:val="auto"/>
          <w:highlight w:val="white"/>
        </w:rPr>
      </w:r>
      <w:r/>
    </w:p>
    <w:p>
      <w:pPr>
        <w:ind w:left="0" w:right="0" w:firstLine="560"/>
        <w:jc w:val="both"/>
        <w:spacing w:before="0" w:after="0" w:line="315" w:lineRule="atLeast"/>
        <w:tabs>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hyperlink r:id="rId12" w:tooltip="https://jszfcg.jsczt.cn/jszc/onlyoffice/7.2.1-34/web-apps/apps/documenteditor/main/index_loader.html?_dc=7.2.1-34&amp;lang=zh&amp;customer=%20&amp;logo=%20&amp;headerlogo=%2Ffavicon.ico&amp;frameEditorId=iframePage&amp;compact=true&amp;parentOrigin=https://jszfcg.jsczt.cn#_Toc11122" w:history="1">
        <w:r>
          <w:rPr>
            <w:rStyle w:val="733"/>
            <w:rFonts w:ascii="SimSun" w:hAnsi="SimSun" w:eastAsia="SimSun" w:cs="SimSun"/>
            <w:color w:val="auto"/>
            <w:sz w:val="28"/>
            <w:highlight w:val="white"/>
            <w:u w:val="single"/>
          </w:rPr>
          <w:t xml:space="preserve">第三章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合同条款及格式</w:t>
          <w:tab/>
          <w:t xml:space="preserve">18</w:t>
        </w:r>
      </w:hyperlink>
      <w:r>
        <w:rPr>
          <w:color w:val="auto"/>
          <w:highlight w:val="white"/>
        </w:rPr>
      </w:r>
      <w:r/>
    </w:p>
    <w:p>
      <w:pPr>
        <w:ind w:left="0" w:right="0" w:firstLine="560"/>
        <w:jc w:val="both"/>
        <w:spacing w:before="0" w:after="0" w:line="315" w:lineRule="atLeast"/>
        <w:tabs>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hyperlink r:id="rId13" w:tooltip="https://jszfcg.jsczt.cn/jszc/onlyoffice/7.2.1-34/web-apps/apps/documenteditor/main/index_loader.html?_dc=7.2.1-34&amp;lang=zh&amp;customer=%20&amp;logo=%20&amp;headerlogo=%2Ffavicon.ico&amp;frameEditorId=iframePage&amp;compact=true&amp;parentOrigin=https://jszfcg.jsczt.cn#_Toc9739" w:history="1">
        <w:r>
          <w:rPr>
            <w:rStyle w:val="733"/>
            <w:rFonts w:ascii="SimSun" w:hAnsi="SimSun" w:eastAsia="SimSun" w:cs="SimSun"/>
            <w:color w:val="auto"/>
            <w:sz w:val="28"/>
            <w:highlight w:val="white"/>
            <w:u w:val="single"/>
          </w:rPr>
          <w:t xml:space="preserve">第四章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项目需求</w:t>
          <w:tab/>
          <w:t xml:space="preserve">23</w:t>
        </w:r>
      </w:hyperlink>
      <w:r>
        <w:rPr>
          <w:color w:val="auto"/>
          <w:highlight w:val="white"/>
        </w:rPr>
      </w:r>
      <w:r/>
    </w:p>
    <w:p>
      <w:pPr>
        <w:ind w:left="0" w:right="0" w:firstLine="560"/>
        <w:jc w:val="both"/>
        <w:spacing w:before="0" w:after="0" w:line="315" w:lineRule="atLeast"/>
        <w:tabs>
          <w:tab w:val="left" w:pos="8306" w:leader="none"/>
        </w:tabs>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r>
      <w:hyperlink r:id="rId14" w:tooltip="https://jszfcg.jsczt.cn/jszc/onlyoffice/7.2.1-34/web-apps/apps/documenteditor/main/index_loader.html?_dc=7.2.1-34&amp;lang=zh&amp;customer=%20&amp;logo=%20&amp;headerlogo=%2Ffavicon.ico&amp;frameEditorId=iframePage&amp;compact=true&amp;parentOrigin=https://jszfcg.jsczt.cn#_Toc2326" w:history="1">
        <w:r>
          <w:rPr>
            <w:rStyle w:val="733"/>
            <w:rFonts w:ascii="SimSun" w:hAnsi="SimSun" w:eastAsia="SimSun" w:cs="SimSun"/>
            <w:color w:val="auto"/>
            <w:sz w:val="28"/>
            <w:highlight w:val="white"/>
            <w:u w:val="single"/>
          </w:rPr>
          <w:t xml:space="preserve">第五章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评标方法及评标标准</w:t>
          <w:tab/>
          <w:t xml:space="preserve">36</w:t>
        </w:r>
      </w:hyperlink>
      <w:r>
        <w:rPr>
          <w:color w:val="auto"/>
          <w:highlight w:val="white"/>
        </w:rPr>
      </w:r>
      <w:r/>
    </w:p>
    <w:p>
      <w:pPr>
        <w:pStyle w:val="740"/>
        <w:ind w:left="0" w:right="0" w:firstLine="0"/>
        <w:jc w:val="left"/>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t xml:space="preserve">   </w:t>
      </w:r>
      <w:hyperlink r:id="rId15" w:tooltip="https://jszfcg.jsczt.cn/jszc/onlyoffice/7.2.1-34/web-apps/apps/documenteditor/main/index_loader.html?_dc=7.2.1-34&amp;lang=zh&amp;customer=%20&amp;logo=%20&amp;headerlogo=%2Ffavicon.ico&amp;frameEditorId=iframePage&amp;compact=true&amp;parentOrigin=https://jszfcg.jsczt.cn#_Toc8674" w:history="1">
        <w:r>
          <w:rPr>
            <w:rStyle w:val="733"/>
            <w:rFonts w:ascii="SimSun" w:hAnsi="SimSun" w:eastAsia="SimSun" w:cs="SimSun"/>
            <w:color w:val="auto"/>
            <w:sz w:val="28"/>
            <w:highlight w:val="white"/>
            <w:u w:val="single"/>
          </w:rPr>
          <w:t xml:space="preserve">第六章</w:t>
        </w:r>
        <w:r>
          <w:rPr>
            <w:rStyle w:val="733"/>
            <w:rFonts w:ascii="SimSun" w:hAnsi="SimSun" w:eastAsia="SimSun" w:cs="SimSun"/>
            <w:color w:val="auto"/>
            <w:sz w:val="28"/>
            <w:highlight w:val="white"/>
            <w:u w:val="none"/>
          </w:rPr>
          <w:t xml:space="preserve"> </w:t>
        </w:r>
        <w:r>
          <w:rPr>
            <w:rStyle w:val="733"/>
            <w:rFonts w:ascii="SimSun" w:hAnsi="SimSun" w:eastAsia="SimSun" w:cs="SimSun"/>
            <w:color w:val="auto"/>
            <w:sz w:val="28"/>
            <w:highlight w:val="white"/>
            <w:u w:val="single"/>
          </w:rPr>
          <w:t xml:space="preserve">投标文件格式                                  41</w:t>
          <w:tab/>
        </w:r>
      </w:hyperlink>
      <w:r>
        <w:rPr>
          <w:color w:val="auto"/>
          <w:highlight w:val="white"/>
        </w:rPr>
        <w:t xml:space="preserve">       </w:t>
        <w:br w:type="page" w:clear="all"/>
      </w:r>
      <w:r>
        <w:rPr>
          <w:color w:val="auto"/>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u w:val="none"/>
        </w:rPr>
        <w:t xml:space="preserve">第一章招标公告</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受高邮市农业农村局的委托，江苏志诚工程咨询管理有限公司就高邮市农业农村领域低空数字化建设项目进行公开招标采购，欢迎符合条件的投标人投标。</w:t>
      </w:r>
      <w:r>
        <w:rPr>
          <w:color w:val="auto"/>
          <w:highlight w:val="white"/>
        </w:rPr>
      </w:r>
      <w:r/>
    </w:p>
    <w:p>
      <w:pPr>
        <w:ind w:left="0" w:right="0" w:firstLine="560"/>
        <w:jc w:val="both"/>
        <w:spacing w:before="0" w:after="0" w:line="419" w:lineRule="atLeast"/>
        <w:rPr>
          <w:color w:val="auto"/>
          <w:highlight w:val="white"/>
        </w:rPr>
        <w:pBdr>
          <w:top w:val="single" w:color="000000" w:sz="4" w:space="0"/>
          <w:left w:val="single" w:color="000000" w:sz="4" w:space="0"/>
          <w:bottom w:val="single" w:color="000000" w:sz="4" w:space="0"/>
          <w:right w:val="single" w:color="000000" w:sz="4" w:space="0"/>
        </w:pBdr>
      </w:pPr>
      <w:r>
        <w:rPr>
          <w:rFonts w:ascii="SimSun" w:hAnsi="SimSun" w:eastAsia="SimSun" w:cs="SimSun"/>
          <w:b/>
          <w:color w:val="auto"/>
          <w:sz w:val="21"/>
          <w:highlight w:val="white"/>
        </w:rPr>
        <w:t xml:space="preserve">项目概况：</w:t>
      </w:r>
      <w:r>
        <w:rPr>
          <w:rFonts w:ascii="SimSun" w:hAnsi="SimSun" w:eastAsia="SimSun" w:cs="SimSun"/>
          <w:color w:val="auto"/>
          <w:sz w:val="21"/>
          <w:highlight w:val="white"/>
        </w:rPr>
        <w:t xml:space="preserve">高邮市农业农村领域低空数字化建设项目的潜在投标人可在</w:t>
      </w:r>
      <w:r>
        <w:rPr>
          <w:rFonts w:ascii="SimSun" w:hAnsi="SimSun" w:eastAsia="SimSun" w:cs="SimSun"/>
          <w:color w:val="auto"/>
          <w:sz w:val="21"/>
          <w:highlight w:val="white"/>
          <w:u w:val="single"/>
        </w:rPr>
        <w:t xml:space="preserve"> 苏采云系统自行免费下载</w:t>
      </w:r>
      <w:r>
        <w:rPr>
          <w:rFonts w:ascii="SimSun" w:hAnsi="SimSun" w:eastAsia="SimSun" w:cs="SimSun"/>
          <w:color w:val="auto"/>
          <w:sz w:val="21"/>
          <w:highlight w:val="white"/>
        </w:rPr>
        <w:t xml:space="preserve">招标文件，并于</w:t>
      </w:r>
      <w:r>
        <w:rPr>
          <w:rFonts w:ascii="SimSun" w:hAnsi="SimSun" w:eastAsia="SimSun" w:cs="SimSun"/>
          <w:color w:val="auto"/>
          <w:sz w:val="21"/>
          <w:highlight w:val="white"/>
          <w:u w:val="single"/>
        </w:rPr>
        <w:t xml:space="preserve">2026年10月14日09时00分</w:t>
      </w:r>
      <w:r>
        <w:rPr>
          <w:rFonts w:ascii="SimSun" w:hAnsi="SimSun" w:eastAsia="SimSun" w:cs="SimSun"/>
          <w:color w:val="auto"/>
          <w:sz w:val="21"/>
          <w:highlight w:val="white"/>
        </w:rPr>
        <w:t xml:space="preserve">（北京时间）前递交投标响应文件。</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u w:val="none"/>
        </w:rPr>
      </w:r>
      <w:r>
        <w:rPr>
          <w:rFonts w:ascii="SimSun" w:hAnsi="SimSun" w:eastAsia="SimSun" w:cs="SimSun"/>
          <w:b/>
          <w:color w:val="auto"/>
          <w:sz w:val="21"/>
          <w:highlight w:val="none"/>
          <w:u w:val="none"/>
        </w:rPr>
      </w:r>
      <w:r/>
    </w:p>
    <w:p>
      <w:pPr>
        <w:pStyle w:val="742"/>
        <w:ind w:left="0" w:right="0" w:firstLine="560"/>
        <w:jc w:val="both"/>
        <w:spacing w:before="0" w:after="0" w:line="315" w:lineRule="atLeast"/>
        <w:rPr>
          <w:rFonts w:ascii="SimSun" w:hAnsi="SimSun" w:eastAsia="SimSun" w:cs="SimSun"/>
          <w:b/>
          <w:bCs/>
          <w:color w:val="auto"/>
          <w:sz w:val="21"/>
          <w:szCs w:val="21"/>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一、项目基本情况</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1.项目编号：JSZC-321084-JSZC-G2026-0032</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2.项目名称：高邮市农业农村领域低空数字化建设项目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3.预算金额：299.999999万元</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4.本项目设置最高限价：</w:t>
      </w:r>
      <w:r>
        <w:rPr>
          <w:rFonts w:ascii="SimSun" w:hAnsi="SimSun" w:eastAsia="SimSun" w:cs="SimSun"/>
          <w:color w:val="auto"/>
          <w:sz w:val="21"/>
          <w:highlight w:val="white"/>
        </w:rPr>
        <w:t xml:space="preserve">278万元</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5.采购需求：详见第四章采购需求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6.合同履行期限：自合同签订之日起45天验收通过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7.本项目</w:t>
      </w:r>
      <w:r>
        <w:rPr>
          <w:rFonts w:ascii="SimSun" w:hAnsi="SimSun" w:eastAsia="SimSun" w:cs="SimSun"/>
          <w:color w:val="auto"/>
          <w:sz w:val="21"/>
          <w:highlight w:val="white"/>
          <w:u w:val="single"/>
        </w:rPr>
        <w:t xml:space="preserve"> 不接受 </w:t>
      </w:r>
      <w:r>
        <w:rPr>
          <w:rFonts w:ascii="SimSun" w:hAnsi="SimSun" w:eastAsia="SimSun" w:cs="SimSun"/>
          <w:color w:val="auto"/>
          <w:sz w:val="21"/>
          <w:highlight w:val="white"/>
        </w:rPr>
        <w:t xml:space="preserve">联合体投标。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8.本项目</w:t>
      </w:r>
      <w:r>
        <w:rPr>
          <w:rFonts w:ascii="SimSun" w:hAnsi="SimSun" w:eastAsia="SimSun" w:cs="SimSun"/>
          <w:color w:val="auto"/>
          <w:sz w:val="21"/>
          <w:highlight w:val="white"/>
          <w:u w:val="single"/>
        </w:rPr>
        <w:t xml:space="preserve"> 不接受 </w:t>
      </w:r>
      <w:r>
        <w:rPr>
          <w:rFonts w:ascii="SimSun" w:hAnsi="SimSun" w:eastAsia="SimSun" w:cs="SimSun"/>
          <w:color w:val="auto"/>
          <w:sz w:val="21"/>
          <w:highlight w:val="white"/>
        </w:rPr>
        <w:t xml:space="preserve">进口产品投标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二、申请人的资格要求</w:t>
      </w:r>
      <w:r>
        <w:rPr>
          <w:rFonts w:ascii="SimSun" w:hAnsi="SimSun" w:eastAsia="SimSun" w:cs="SimSun"/>
          <w:color w:val="auto"/>
          <w:sz w:val="21"/>
          <w:highlight w:val="white"/>
        </w:rPr>
        <w:t xml:space="preserve">：</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1.满足《中华人民共和国政府采购法》第二十二条规定，并提供下列材料：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1.1法人或者其他组织的营业执照等证明文件，自然人的身份证明；</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1.2依法缴纳职工社会保障资金的证明材料(税务、银行或社会保险基金管理部门出具的近三个月内任意一个月缴纳职工社会保障资金的缴款凭证或缴款证明，投标人依法享受缓缴、免缴的提供证明材料）；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1.3投标人近三个月内任意一个月依法纳税的缴款凭证（投标人依法享受缓缴、免缴的提供证明材料）；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1.4 上一年度的财务报告情况（成立不满一年无需提供）；</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1.5 具备履行合同所必需的设备和专业技术能力的证明材料；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1.6 参加本次政府采购活动前3年内在经营活动中没有重大违法记录的书面声明；</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1.7未被“信用中国”网站(www.creditchina.gov.cn)、“中国政府采购网"(www.ccgp.gov.cn)列入失信被执行人、重大税收违法案件当事人名单、政府采购严重违法失信行为记录名单；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1.8投标人信用承诺函。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2、落实政府采购政策需满足的资格要求：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2.1本项目为非专门面向中小微企业采购项目。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2.2本项目属于货物类采购。根据《政府采购促进中小企业发展管理办法》（财库〔2020〕46号）、《关于做好政府采购支持企业发展有关事项的通知》(苏财购(2020)52号)的要求，小型、微型、残疾人福利企业、监狱和戒毒企业在评标时享受20%价格扣除优惠。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2.3中小微企业划型标准请对照《关于印发中小企业划型标准规定的通知》（工信部联企业〔2011〕300号）（详见格式）。本项目采购标的对应的行业主要为</w:t>
      </w:r>
      <w:r>
        <w:rPr>
          <w:rFonts w:ascii="SimSun" w:hAnsi="SimSun" w:eastAsia="SimSun" w:cs="SimSun"/>
          <w:b/>
          <w:i/>
          <w:color w:val="auto"/>
          <w:sz w:val="21"/>
          <w:highlight w:val="white"/>
          <w:u w:val="single"/>
        </w:rPr>
        <w:t xml:space="preserve">工业</w:t>
      </w:r>
      <w:r>
        <w:rPr>
          <w:rFonts w:ascii="SimSun" w:hAnsi="SimSun" w:eastAsia="SimSun" w:cs="SimSun"/>
          <w:i/>
          <w:color w:val="auto"/>
          <w:sz w:val="21"/>
          <w:highlight w:val="white"/>
          <w:u w:val="single"/>
        </w:rPr>
        <w:t xml:space="preserve">。</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3、本项目的特定资格要求：投标人需具备民用航空管理部门颁发的民用无人驾驶航空器运营合格证。</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三、获取招标文件</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1.时间：自招标公告发布之日起5个工作日。5个工作日后仍可下载采购文件，但不作为供应商权益受到损害的证明材料和依据。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2.地点：“苏采云”系统（网址：http://jszfcg.jsczt.cn/）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3.方式：自行免费下载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4.售价：0.00元</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四、提交投标文件截止时间、开标时间和地点</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1.时间：</w:t>
      </w:r>
      <w:r>
        <w:rPr>
          <w:rFonts w:ascii="SimSun" w:hAnsi="SimSun" w:eastAsia="SimSun" w:cs="SimSun"/>
          <w:color w:val="auto"/>
          <w:sz w:val="21"/>
          <w:highlight w:val="white"/>
        </w:rPr>
        <w:t xml:space="preserve">2026年10月14日09时00分</w:t>
      </w:r>
      <w:r>
        <w:rPr>
          <w:rFonts w:ascii="SimSun" w:hAnsi="SimSun" w:eastAsia="SimSun" w:cs="SimSun"/>
          <w:color w:val="auto"/>
          <w:sz w:val="21"/>
          <w:highlight w:val="white"/>
        </w:rPr>
        <w:t xml:space="preserve">（北京时间）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2.开标地点：“苏采云”系统（网址：http://jszfcg.jsczt.cn/）“开标大厅”</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五、公告期限</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招标公告及招标文件公告期限为自本公告发布之日起5个工作日。</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六、其他补充事宜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2.供应商如确定参加投标，可自行下载招标文件及有关资料，按照《操作手册》进行注册，领取CA和办理电子签章，并按《操作手册》要求制作、上传电子投标文件，技术支持联系方式：13813140731。</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4.潜在供应商对招标文件项目需求部分的询问、质疑请向采购人提出，由采购人负责答复。</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5.本次采购不收取投标保证金。</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6.有关本次采购的事项若存在变动或修改，敬请及时关注“扬州市政府采购网”、“江苏省政府采购网”发布的信息。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7.落实好政府采购履约资金扶持政策。中标/成交供应商可凭政府采购合同办理融资贷款，详见江苏政府采购网“政采贷”专栏。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auto"/>
          <w:sz w:val="21"/>
          <w:highlight w:val="white"/>
        </w:rPr>
        <w:t xml:space="preserve">采购节能产品、环境标志产品。</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10.潜在供应商访问政府采购管理交易系统（苏采云）的网络地址和方法：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（2）“CA数字证书”的获取：供应商需办理CA锁，“苏采云”系统目前仅支持“苏采云”系统下的政务CA，省内各地区办理的“苏采云”系统下的政务CA全省通用。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（3）“CA数字证书”的办理材料以及供应商操作手册详见：</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http://zfcg.yangzhou.gov.cn/zfcg/xzzx/202309/4d7de1f7865f4a2894fc22bc452f94d8.shtml。</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（4）潜在供应商访问“苏采云”系统的网络地址和方法：“苏采云”系统的网址：http://jszfcg.jsczt.cn/。</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（5）采购文件（后缀名为“.kedt”）、供应商操作手册及政府采购客户端工具也可通过“苏采云”系统--已报名项目--报名详情页面内相应链接进行下载。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（6）招标代理机构（采购代理机构）将数据电文形式的采购文件加载至“苏采云”系统，供潜在供应商下载或者查阅。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（7）苏采云系统使用谷歌浏览器参与不见面开标。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11.本项目严格按照财库[2026]2号文的规定，进行异常低价投标的审查程序。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12.拒绝下述供应商参加本次采购活动：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供应商单位负责人为同一人或者存在直接控股、管理关系的不同供应商，不得参加同一合同项下的政府采购活动。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w:t>
      </w:r>
      <w:r>
        <w:rPr>
          <w:rFonts w:ascii="SimSun" w:hAnsi="SimSun" w:eastAsia="SimSun" w:cs="SimSun"/>
          <w:b/>
          <w:i/>
          <w:color w:val="auto"/>
          <w:sz w:val="21"/>
          <w:highlight w:val="white"/>
          <w:u w:val="single"/>
        </w:rPr>
        <w:t xml:space="preserve">本项目采购文件中所有斜体下划线部分为实质性条款，如不满足，则为无效响应。</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七、本次招标联系方式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1.采购人信息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名称：</w:t>
      </w:r>
      <w:r>
        <w:rPr>
          <w:rFonts w:ascii="SimSun" w:hAnsi="SimSun" w:eastAsia="SimSun" w:cs="SimSun"/>
          <w:color w:val="auto"/>
          <w:sz w:val="21"/>
          <w:highlight w:val="white"/>
        </w:rPr>
        <w:t xml:space="preserve">高邮市农业农村局</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地址：江苏省扬州市高邮市文游中路173号</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联系人：杨女士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联系方式：15050751717</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2.代理机构信息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名称：江苏志诚工程咨询管理有限公司</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地址：高邮市</w:t>
      </w:r>
      <w:r>
        <w:rPr>
          <w:rFonts w:ascii="SimSun" w:hAnsi="SimSun" w:eastAsia="SimSun" w:cs="SimSun"/>
          <w:color w:val="auto"/>
          <w:sz w:val="21"/>
          <w:highlight w:val="white"/>
        </w:rPr>
        <w:t xml:space="preserve">金融大厦9楼902</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联系人：刘菁</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联系方式：</w:t>
      </w:r>
      <w:r>
        <w:rPr>
          <w:rFonts w:ascii="SimSun" w:hAnsi="SimSun" w:eastAsia="SimSun" w:cs="SimSun"/>
          <w:color w:val="auto"/>
          <w:sz w:val="21"/>
          <w:highlight w:val="none"/>
        </w:rPr>
        <w:t xml:space="preserve">17351355593</w:t>
      </w:r>
      <w:r/>
    </w:p>
    <w:p>
      <w:pPr>
        <w:ind w:left="0" w:right="0" w:firstLine="560"/>
        <w:jc w:val="right"/>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江苏志诚工程咨询管理有限公司</w:t>
      </w:r>
      <w:r>
        <w:rPr>
          <w:color w:val="auto"/>
          <w:highlight w:val="white"/>
        </w:rPr>
      </w:r>
      <w:r/>
    </w:p>
    <w:p>
      <w:pPr>
        <w:ind w:left="0" w:right="0" w:firstLine="560"/>
        <w:jc w:val="right"/>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2026年9月11日</w:t>
      </w:r>
      <w:r>
        <w:rPr>
          <w:color w:val="auto"/>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第二章 投标人须知</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1、招标方式</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1.1本次招标采取公开招标方式，本招标文件仅适用于JSZC-321084-JSZC-G2026-0032号项目。</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2、投标人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 本招标文件中“投标人”，即“投标人”，是指参加投标竞争，并符合招标文件规定资格条件的法人、其他组织或者自然人。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2.2合格的投标人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2.2.1 满足招标公告中投标人的资格条件要求的规定。</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2.2.2 满足本文件实质性条款的规定。</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3、适用法律</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 本次招标及由此产生的合同受中华人民共和国有关的法律法规制约和保护。</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4、投标费用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4.1 投标人应自行承担所有与参加投标有关的费用，无论投标过程中的做法和结果如 何，代理机构在任何情况下均无义务和责任承担这些费用。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4.2代理服务费：本次代理服务费由中标人在领取中标通知书前按照江苏省政府采购代理服务收费指导意见[苏政采协［2024］20号]的标准一次性支付给招标代理机构。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（1）代理服务费以人民币支付；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（2）代理服务费一次性以电汇、转账等非现金形式支付；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（3）招标代理服务费不在投标报价中单列，包含在投标总价中，由中标单位支付给代理机构。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4.3专家评审费按扬财购【2020】40 号文《关于进一步规范扬州市政府采购专家评审费标准的通知》执行。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5、招标文件的约束力</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5.1 投标人一旦参加本项目采购活动，即被认为接受了本招标文件的规定和约束。</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6、招标文件构成</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6.1 招标文件有以下部分组成：</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（1）招标公告</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（2）投标人须知</w:t>
        <w:tab/>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（3）合同条款及格式</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（4）项目需求</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（5）评标方法与评标标准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（6）投标文件格式</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请仔细检查招标文件是否齐全，如有缺漏请立即与代理机构联系解决。</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6.2 招标的最小单位是包。招标服务数量及技术要求中未分包的，投标人对要求提供的服务不得部分投标；招标服务数量及技术要求中已经分包的，应当以包为单位投标。</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6.3 招标文件如果要求投标人提交备选投标方案的，投标人可以提交备选方案；否则，备选方案将被拒绝。</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7、招标文件的澄清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7.1 任何要求对招标文件进行澄清的投标人，应在投标截止日期的十日前按招标公告中的通讯地址，以书面形式通知代理机构。</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8、招标文件的修改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8.1 在投标截止时间前，代理机构可以对招标文件进行修改。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8.2代理机构在招标文件要求提交投标文件截止时间前，有权按照法定要求推迟投标截止时间和开标时间。</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8.3招标文件的修改将在“扬州市政府采购网”、“江苏省政府采购网”公布，补充文件将作为招标文件的组成部分，并对投标人具有约束力。</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9、投标文件的语言、度量衡单位、货币</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9.1投标人提交的投标文件以及投标人与代理机构就有关投标的所有来往通知、函件和文件均应使用简体中文。</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9.2 除技术性能另有规定外，投标文件所使用的度量衡单位，均须采用国家法定计量单位。</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9.3投标人应使用人民币报价。</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10、投标文件构成</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10.1投标文件由以下部分组成</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（1）资格审查响应对照表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（2）符合性审查响应对照表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（3）非实质性响应对照表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（4）开标一览表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（5）分项报价表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（6）技术参数响应及偏离表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（7）商务条款响应及偏离表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（8）其他 （投标人认为有必要提供的声明和文件，如有自拟并自行添加）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10.2投标人应当根据招标文件要求编制投标文件，投标文件应对招标文件提出的要求和条件作出响应，并在相应的投标文件中逐条标明满足与否。</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11、证明投标人资格及符合招标文件规定的文件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11.1投标人应按要求提交资格证明文件及符合招标文件规定的文件。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11.2投标人应提交证明其有资格参加投标和中标后有能力独立履行合同的文件。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11.3投标人除必须具有履行合同所需提供的产品或服务的能力外，还必须具备相应的财务、技术方面的能力。</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11.4投标人应提交根据合同要求提供的证明服务质量合格以及符合招标文件规定的证明文件。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11.5证明投标人所提供服务与招标文件的要求相一致的文件可以是手册、图纸、文字资料和数据。</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12、分项报价表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12.2 标的物</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详见项目需求。</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12.3其它费用处理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招标文件未列明，而投标人认为必需的费用也需列入报价。</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12.4投标货币</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投标文件中的服务单价和总价无特殊规定的采用人民币报价，以元为单位标注。招标文件中另有规定的按规定执行。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13、技术参数响应及偏离表、商务条款响应及偏离表及投标货物说明</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13.1 对招标文件中的技术与商务条款要求逐项作出响应或偏离，并说明原因；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13.2 提供参加本项目类似案例简介；</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13.3 培训计划；</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13.4 投标人认为需要的其他技术文件或说明。</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14、服务承诺及售后服务机构、人员的情况介绍</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14.1投标人的服务承诺应按不低于招标文件中商务要求的标准。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14.2提供投标人有关售后服务的管理制度、售后服务机构的分布情况、售后服务人员的数量、素质、技术水平及售后服务的反应能力。</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15、投标函和开标一览表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15.1 投标人应按照招标文件中提供的格式完整、正确填写投标函、开标一览表。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15.2 开标一览表中的价格应与投标文件中分项报价表中的价格一致，如不一致，不作为无效投标处理，但评标时按开标一览表中价格为准。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16、投标有效期</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16.1 投标有效期为开标之日起九十（90）天。投标有效期比规定短的将被视为非响应性投标而予以拒绝。</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17、投标文件</w:t>
      </w:r>
      <w:r>
        <w:rPr>
          <w:rFonts w:ascii="SimSun" w:hAnsi="SimSun" w:eastAsia="SimSun" w:cs="SimSun"/>
          <w:b/>
          <w:color w:val="auto"/>
          <w:sz w:val="21"/>
          <w:highlight w:val="white"/>
        </w:rPr>
        <w:t xml:space="preserve">的递交</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17.1 电子投标文件的递交投标人应当按照《操作手册》规定，在投标截止时间前制作并上传电子投标文件。</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17.2政府采购管理交易系统（苏采云）相关要求是本招标文件的组成部分。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17.3投标人应对 CA 证书妥善保管，如被他人盗用投标，因此带来的结果均由投标人自行承担。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17.4投标人应当对招标文件提出的要求和条件作出实质性响应，并在电子投标系统逐条应答。</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17.5投标人应对要求提供的资格证明文件（如资质证书、资格证书）、技术资料（如白皮书、彩页、手册、检测报告等）扫描上传至投标系统。</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17.6投标人应当在招标文件要求提交投标文件的截止时间前，将投标文件提交至“苏采云”系统，逾期提交的投标文件，“苏采云”系统将自动拒收。</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17.7各投标人应在规定时间内凭CA证书进行网上解密。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18、投标截止日期</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i/>
          <w:color w:val="auto"/>
          <w:sz w:val="21"/>
          <w:highlight w:val="white"/>
          <w:u w:val="single"/>
        </w:rPr>
        <w:t xml:space="preserve">18.1 投标人上传电子投标文件的时间不得迟于招标公告中规定的投标截止时间。</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投标人应充分考虑到网络环境、网络带宽等风险因素，如因投标人自身原因造成的电子投标文件上传不成功由投标人自行承担全部责任。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18.2 代理机构可以按照规定，通过修改招标文件延长投标截止日期，在此情况下，投标人的所有权利和义务以及投标人受制的截止日期均应以延长后新的截止日期为准。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19、投标文件</w:t>
      </w:r>
      <w:r>
        <w:rPr>
          <w:rFonts w:ascii="SimSun" w:hAnsi="SimSun" w:eastAsia="SimSun" w:cs="SimSun"/>
          <w:b/>
          <w:color w:val="auto"/>
          <w:sz w:val="21"/>
          <w:highlight w:val="white"/>
        </w:rPr>
        <w:t xml:space="preserve">的拒收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19.1代理机构拒绝接收在其规定的投标截止时间后上传的任何投标文件。</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u w:val="none"/>
        </w:rPr>
        <w:t xml:space="preserve">20、投标文件的撤回和修改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20.1 投标文件的撤回</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20.1.1 电子投标文件的撤回</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投标人可在投标截止时间前，撤回其电子投标文件，具体操作方法见《操作手册》。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20.1.2 投标人撤回电子投标文件，则认为其不再参与本项目投标活动。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20.2 投标文件的修改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投标人可在投标截止时间前，对其电子投标文件进行修改，具体操作方法见《操作手册》。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20.3 在投标截止时间之后，投标人不得对其电子投标文件作任何修改。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20.4 在投标截止时间至招标文件中规定的投标有效期满之间的这段时间内，投标人不得撤回其投标。</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21、开标</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21.1 代理机构将在招标公告中规定的时间和地点组织公开开标。投标人应当按照《操作手册》规定，参加开标活动。投标人未参加开标的，视同认可开标结果。</w:t>
      </w:r>
      <w:r>
        <w:rPr>
          <w:color w:val="auto"/>
          <w:highlight w:val="white"/>
        </w:rPr>
      </w:r>
      <w:r/>
    </w:p>
    <w:p>
      <w:pPr>
        <w:ind w:left="0" w:right="0" w:firstLine="411"/>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21.2投标人不足3家的，不得开标。</w:t>
      </w:r>
      <w:r>
        <w:rPr>
          <w:color w:val="auto"/>
          <w:highlight w:val="white"/>
        </w:rPr>
      </w:r>
      <w:r/>
    </w:p>
    <w:p>
      <w:pPr>
        <w:ind w:left="0" w:right="0" w:firstLine="411"/>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21.3开标仪式由代理机构组织。“政府采购管理交易系统（苏采云）”将自动对项目进行开标，并宣读各投标人的《开标一览表》。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21.4投标人在开标过程中涉及到的投标文件解密、开标结果确认等工作，应按照《操作手册》规定执行。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22、评标委员会</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22.1 开标后，代理机构将立即组织评标委员会（以下简称评委会）进行评标。</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22.2 评委会由采购人代表和有关技术、经济等方面的专家组成，且人员构成符合政府采购有关规定。</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22.3评委会独立工作，负责评审所有投标文件并确定中标候选人。</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23、评标过程的保密与公正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23.1公开开标后，直至签订合同之日止，凡是与审查、澄清、评价和比较投标的有关资料以及授标建议等，采购人、评委、代理机构工作人员均不得向投标人或与评标无关的其他人员透露。</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23.2在评标过程中，投标人不得以任何行为影响评标过程，否则其投标文件将被作为无效投标文件。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23.3 在评标期间，代理机构将设专门工作人员与投标人联系。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23.4 代理机构和评委会不向未中标的投标人解释未中标原因，也不公布评标过程中的相关细节。</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23.5 采用综合评分法的项目，未中标的投标人可于中标结果公告期限届满之日起通过“政府采购管理交易系统（苏采云）”查看自己的评审得分及排序情况。</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24、投标的澄清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24.1评标期间，为有助于对投标文件的审查、评价和比较，评委会有权以电子函件形式要求投标人对其投标文件进行澄清，但并非对每个投标人都作澄清要求。</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24.3接到评委会澄清要求的投标人如未按规定做出澄清，其风险由投标人自行承担。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25、对投标文件的初审</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25.1投标文件初审分为资格审查和符合性审查。</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25.1.1资格审查：依据法律法规和招标文件的规定，由采购人对投标文件中的资格证明文件进行审查。并将审查结论以书面形式向评委会反馈。</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25.1.2符合性检查：依据招标文件的规定，由评委会从投标文件的有效性、完整性和对招标文件的响应程度进行审查，以确定是否对招标文件的实质性要求作出响应。</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25.3如果投标文件实质上没有响应招标文件的要求，评委会将予以拒绝，投标人不得通过修改或撤销不合要求的偏离或保留而使其投标成为实质性响应的投标。</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25.4评委会将对确定为实质性响应的投标进行进一步审核，看其是否有计算上或累加上的算术错误，修正错误的原则如下：</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（1）投标文件中开标一览表内容与投标文件中相应内容不一致的，以开标一览表为准。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（2）大写金额与小写金额不一致的，以大写金额为准。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（3）单价金额小数点或者百分比有明显错位的，以开标一览表的总价为准，并修改单价。</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（4）总价金额与按单价汇总金额不一致的，以单价金额计算结果为准。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同时出现两种以上错误的，按照前款规定的顺序修正。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25.6评委会将允许修正投标文件中不构成重大偏离的、微小的、非正规的、不一致的或不规则的地方，但这些修改不能影响任何投标人相应的名次排列。</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非单一产品采购项目，招标文件中将载明其中的核心产品。多家投标人提供的核心产品品牌相同的，按前两款规定处理。（本项目不适用）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25.8 投标人在开、评标全过程中应保持通讯畅通，并安排专人与代理机构及评委会联系。</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25.9 异常低价投标审查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25.9.1 评标过程中出现下列情形之一的，评标委员会应当启动异常低价投标审查程序：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（1）投标（响应）报价低于全部通过符合性审查供应商投标（响应）报价平均值65%的，即投标（响应）报价＜全部通过符合性审查供应商投标（响应）报价平均值×65%；</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（2）投标（响应）报价低于通过符合性审查的次低报价供应商投标（响应）报价65%的，即投标（响应）报价＜通过符合性审查的次低报价供应商投标（响应）报价×65%；</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（3）投标（响应）报价低于采购项目最高限价65%的，即投标（响应）报价＜采购项目最高限价×65%；</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（4）评标委员会基于专业判断，认为供应商报价过低、有可能影响产品质量或者不能诚信履约的其他情形。</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26、无效投标、废标及投标人不足三家的处理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26.1无效投标条款</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26.1.1 投标人未成功解密电子投标文件的。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26.1.2 投标人未按照招标文件要求上传电子投标文件的。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26.1.3 投标人在报价时采用选择性报价的。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26.1.4 投标人不具备招标文件中规定资格要求的。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26.1.5 投标人的报价超过了采购预算或最高限价的。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26.1.6 未通过符合性审查的。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26.1.7 不符合招标文件中规定的其他实质性要求和条件的（</w:t>
      </w:r>
      <w:r>
        <w:rPr>
          <w:rFonts w:ascii="SimSun" w:hAnsi="SimSun" w:eastAsia="SimSun" w:cs="SimSun"/>
          <w:i/>
          <w:color w:val="auto"/>
          <w:sz w:val="21"/>
          <w:highlight w:val="white"/>
          <w:u w:val="single"/>
        </w:rPr>
        <w:t xml:space="preserve">本招标文件中斜体且有下划线部分为实质性要求和条件</w:t>
      </w:r>
      <w:r>
        <w:rPr>
          <w:rFonts w:ascii="SimSun" w:hAnsi="SimSun" w:eastAsia="SimSun" w:cs="SimSun"/>
          <w:color w:val="auto"/>
          <w:sz w:val="21"/>
          <w:highlight w:val="white"/>
        </w:rPr>
        <w:t xml:space="preserve">）。</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26.1.8投标人被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26.1.9 投标文件含有采购人不能接受的附加条件的。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26.1.10本项目采购产品被财政部、国家发改委、生态环境部等列入“节能产品品目清单”、“环境标志产品品目清单”强制采购范围，而投标人所投标产品不在强制采购范围内的。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26.1.12 投标文件未按照招标文件要求加盖电子签章。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26.1.13 其他法律、法规及本招标文件规定的属无效投标的情形。</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26.2废标条款：</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26.2.1符合专业条件的投标人或者对招标文件作实质响应的投标人不足三家的。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26.2.2出现影响采购公正的违法、违规行为的。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26.2.3因重大变故，采购任务取消的。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26.2.4评委会认定招标文件存在歧义、重大缺陷导致评审工作无法进行。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26.3 投标截止时间结束后参加投标的投标人不足三家的处理：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26.3.1如出现投标截止时间结束后参加投标的投标人或者在评标期间对招标文件做出实质性响应的投标人不足三家情况，按政府采购相关规定执行。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27、确定中标单位</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27.1评委会根据本招标文件规定评标方法与评标标准向采购人推荐出中标候选人。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27.2 采购人应根据评委会推荐的中标候选人确定中标人。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27.3代理机构将在“扬州市政府采购网”、“江苏省政府采购网”发布中标公告，公告期限为1个工作日。</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27.4若有充分证据证明，中标人出现下列情况之一的，一经查实，将被取消中标资格：</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27.4.1提供虚假材料谋取中标的；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27.4.2向采购人、代理机构行贿或者提供其他不正当利益的；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27.4.3恶意竞争，投标总报价明显低于其自身合理成本且又无法提供证明的；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27.4.4属于本文件规定的无效条件，但在评标过程中又未被评委会发现的；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27.4.5与采购人或者其他投标人恶意串通的；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27.4.6采取不正当手段诋毁、排挤其他投标人的；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27.4.7不符合法律、法规的规定的。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 有下列情形之一的，视为投标人串通投标，投标无效：</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27.5.1不同投标人的投标文件由同一单位或者个人编制。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27.5.2不同投标人委托同一单位或者个人办理投标事宜。</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27.5.3 不同投标人的投标文件载明的项目管理成员或者联系人员为同一人。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27.5.4不同投标人的投标文件异常一致或者投标报价呈规律性差异。</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27.5.5不同投标人的投标文件相互混装。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28、质疑处理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28.1提出质疑的投标人应当是参与所质疑项目采购活动的投标人。潜在投标人依法获取其可质疑的招标文件的，可以对招标文件提出质疑。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对项目需求部分的质疑，潜在投标人应向采购人提出，由采购人负责答复。</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28.2投标人认为招标文件、采购过程和中标或成交结果使自己的权益受到损害的，可以在知道或应知其权益受到损害之日起7个工作日内，以书面形式向采购人或代理机构提出质疑。</w:t>
      </w:r>
      <w:r>
        <w:rPr>
          <w:color w:val="auto"/>
          <w:highlight w:val="white"/>
        </w:rPr>
      </w:r>
      <w:r/>
    </w:p>
    <w:p>
      <w:pPr>
        <w:ind w:left="0" w:right="0" w:firstLine="42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28.2.1对招标文件提出质疑的，应当在获取招标文件之日或者招标文件公告期限届满之日起7个工作日内提出。</w:t>
      </w:r>
      <w:r>
        <w:rPr>
          <w:color w:val="auto"/>
          <w:highlight w:val="white"/>
        </w:rPr>
      </w:r>
      <w:r/>
    </w:p>
    <w:p>
      <w:pPr>
        <w:ind w:left="0" w:right="0" w:firstLine="42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28.2.2对采购过程提出质疑的，为各采购程序环节结束之日起7个工作日内提出。</w:t>
      </w:r>
      <w:r>
        <w:rPr>
          <w:color w:val="auto"/>
          <w:highlight w:val="white"/>
        </w:rPr>
      </w:r>
      <w:r/>
    </w:p>
    <w:p>
      <w:pPr>
        <w:ind w:left="0" w:right="0" w:firstLine="42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28.2.3对中标结果提出质疑的，为中标结果公告期限届满之日起7个工作日内提出。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28.3投标人应在法定质疑期内一次性提出针对同一采购程序环节的质疑。投标人如在法定期限内对同一采购程序环节提出多次质疑的，代理机构、采购人将只对投标人第一次质疑作出答复。</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28.5代理机构及采购人只接收以纸质原件形式送达的质疑。采购人质疑接收人及联系方式见招标文件第一章。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28.6代理机构收到质疑申请后，将对质疑的形式和内容进行审查，如质疑内容、格式不符合规定，代理机构将告知质疑人进行补正。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28.7质疑人应当在法定质疑期限内进行补正并重新提交质疑函。</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28.8以下情形的质疑不予受理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28.8.1内容不符合《政府采购质疑和投诉办法》第十二条规定的质疑。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28.8.2超出政府采购法定期限的质疑。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28.8.3以传真、电子邮件等方式递交的非原件形式的质疑。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28.8.4未参加投标活动的投标人或在投标活动中自身权益未受到损害的投标人所提出的质疑。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28.8.5投标人组成联合体参加投标，联合体中任何一方或多方未按要求签字、盖章、加盖公章的质疑。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28.9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28.10代理机构应当在收到投标人的书面质疑后7个工作日内作出答复，并以书面形式通知质疑投标人和其他有关投标人，但答复的内容不得涉及商业秘密。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29、中标通知书</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29.l中标结果确定后，代理机构将向中标人发出中标通知书。</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29.2中标人可在“政府采购管理交易系统（苏采云）”中标通知书下载模块中自行下载中标通知书。</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29.3中标通知书将是合同的一个组成部分。对采购人和中标人均具有法律效力。中标通知书发出后，采购人改变中标结果的，或者中标人放弃中标项目的，应当依法承担法律责任。</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 签订合同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30.l中标人应在中标通知书发出之日起十五日内，按照招标文件确定的事项与采购人签订政府采购合同。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30.2 招标文件、中标人的投标文件及招标过程中有关澄清、承诺文件均应作为合同附件。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30.3 合同在“政府采购管理交易系统（苏采云）”中签订，签订合同后，</w:t>
      </w:r>
      <w:r>
        <w:rPr>
          <w:rFonts w:ascii="SimSun" w:hAnsi="SimSun" w:eastAsia="SimSun" w:cs="SimSun"/>
          <w:b/>
          <w:i/>
          <w:color w:val="auto"/>
          <w:sz w:val="21"/>
          <w:highlight w:val="white"/>
          <w:u w:val="single"/>
        </w:rPr>
        <w:t xml:space="preserve">中标人不得将货物或服务及其他服务进行转包</w:t>
      </w:r>
      <w:r>
        <w:rPr>
          <w:rFonts w:ascii="SimSun" w:hAnsi="SimSun" w:eastAsia="SimSun" w:cs="SimSun"/>
          <w:color w:val="auto"/>
          <w:sz w:val="21"/>
          <w:highlight w:val="white"/>
        </w:rPr>
        <w:t xml:space="preserve">。未经采购人同意，中标人也不得采用分包的形式履行合同，否则采购人有权终止合同，中标人的履约保证金将不予退还。转包或分包造成采购人损失的，中标人应承担赔偿责任。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31、电子投标文件要求</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31.1政府采购管理交易系统（苏采云）相关要求是本招标文件的组成部分。</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31.2投标人应对 CA 证书妥善保管，如被他人盗用投标，因此带来的结果均由投标人自行承担。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31.3投标人应当对招标文件提出的要求和条件作出实质性响应，并在电子投标系统逐条应答。</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31.4投标人应对要求提供的资格证明文件（如资质证书、资格证书）、技术资料（如白皮书、彩页、手册、检测报告等）扫描上传至投标系统。</w:t>
      </w:r>
      <w:r>
        <w:rPr>
          <w:color w:val="auto"/>
          <w:highlight w:val="white"/>
        </w:rPr>
      </w:r>
      <w:r/>
    </w:p>
    <w:p>
      <w:pPr>
        <w:ind w:left="0" w:right="0" w:firstLine="422"/>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32、其他</w:t>
        <w:br/>
      </w:r>
      <w:r>
        <w:rPr>
          <w:rFonts w:ascii="SimSun" w:hAnsi="SimSun" w:eastAsia="SimSun" w:cs="SimSun"/>
          <w:color w:val="auto"/>
          <w:sz w:val="21"/>
          <w:highlight w:val="white"/>
        </w:rPr>
        <w:t xml:space="preserve">    33.1 依据《政府采购促进中小企业发展管理办法》享受享受扶持政策获得政府采购合同的，小微企业不得将合同分包给大中型企业，中型企业不得将合同分包给大型企业。</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1"/>
          <w:highlight w:val="white"/>
        </w:rPr>
        <w:t xml:space="preserve"> </w:t>
      </w:r>
      <w:r>
        <w:rPr>
          <w:color w:val="auto"/>
          <w:highlight w:val="white"/>
        </w:rPr>
      </w:r>
      <w:r/>
    </w:p>
    <w:p>
      <w:pPr>
        <w:pStyle w:val="740"/>
        <w:ind w:left="0" w:right="0" w:firstLine="0"/>
        <w:jc w:val="center"/>
        <w:spacing w:before="0" w:after="0" w:line="113" w:lineRule="atLeast"/>
        <w:rPr>
          <w:rFonts w:ascii="SimSun" w:hAnsi="SimSun" w:eastAsia="SimSun" w:cs="SimSun"/>
          <w:b/>
          <w:bCs/>
          <w:color w:val="auto"/>
          <w:sz w:val="36"/>
          <w:szCs w:val="36"/>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u w:val="none"/>
        </w:rPr>
        <w:t xml:space="preserve">第三章合同条款及格式</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none"/>
        </w:rPr>
        <w:t xml:space="preserve">以下为中标后签定本项目合同的通用条款，中标人不得提出实质性的修改，关于专用条款将由采购人与中标人结合本项目具体情况协商后签订。</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项目名称：高邮市农业农村领域低空数字化建设项目</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编号：</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甲方（采购人/买方）：</w:t>
      </w:r>
      <w:r>
        <w:rPr>
          <w:rFonts w:ascii="SimSun" w:hAnsi="SimSun" w:eastAsia="SimSun" w:cs="SimSun"/>
          <w:color w:val="auto"/>
          <w:sz w:val="21"/>
          <w:highlight w:val="white"/>
          <w:u w:val="single"/>
        </w:rPr>
        <w:t xml:space="preserve">高邮市农业农村局</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乙方（投标人/卖方）：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根据《中华人民共和国政府采购法》、《中华人民共和国民法典》等法律法规的规定，甲乙双方按照江苏志诚工程咨询管理有限公司关于本项目招标结果签订本合同。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1、合同标的</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乙方根据甲方需求，提供下列货物：</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货物名称、规格及数量等要求详见招投标文件。</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2、合同总金额</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2.1 本合同金额为（大写</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）：元人民币（¥</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元）。</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2.2 本合同总金额包括乙方提供货物的产品费用、安装费、验收费、维护费用、税金及其他有关的为完成本项目发生的所有费用，招标文件中另有规定的除外。</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2.3 在招标文件未列明，而乙方认为履行本合同必需的费用也包含在合同总金额中。</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2.4 本合同总金额还包含乙方提供的伴随服务/售后服务费用。</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3、组成本合同的有关文件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3.1乙方应按招标文件规定的时间向甲方提供使用货物的有关技术资料。</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3.3 关于本项目政府采购的招投标文件或与本次采购活动方式相适应的文件及有关附件是本合同不可分割的组成部分，这些文件包括但不限于：</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（1）投标响应文件；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（2）投标产品配置与报价文件；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（3）供货一览表；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（4）技术参数响应表；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（5）服务承诺；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（6）中标通知书；</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（7）甲乙双方补充协议；</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（8）乙方投标时提供的响应文件。</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4、知识产权保证</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乙方保证甲方在使用、接受本合同货物和服务或其任何一部分时，不受第三方提出侵犯其专利权、版权、商标权和工业设计权等知识产权的起诉。一旦出现侵权，由乙方负全部责任。</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5、产权保证</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乙方保证所交付的货物的所有权无任何抵押、查封等权利瑕疵。</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6、转包或分包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6.1本合同禁止转包，本合同范围的货物，应由乙方直接供应的，不得转让他人供应。</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6.2 经甲方同意，乙方可以依法采取分包方式履行合同，但是分包方式履行的，乙方应就采购项目向甲方负全责。</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7、质保期</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7.1 质保期</w:t>
      </w:r>
      <w:r>
        <w:rPr>
          <w:rFonts w:ascii="SimSun" w:hAnsi="SimSun" w:eastAsia="SimSun" w:cs="SimSun"/>
          <w:b/>
          <w:color w:val="auto"/>
          <w:sz w:val="21"/>
          <w:highlight w:val="white"/>
          <w:u w:val="single"/>
        </w:rPr>
        <w:t xml:space="preserve">    </w:t>
      </w:r>
      <w:r>
        <w:rPr>
          <w:rFonts w:ascii="SimSun" w:hAnsi="SimSun" w:eastAsia="SimSun" w:cs="SimSun"/>
          <w:color w:val="auto"/>
          <w:sz w:val="21"/>
          <w:highlight w:val="white"/>
        </w:rPr>
        <w:t xml:space="preserve">年（自交付验收合格之日起计）</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8、交付期、交付方式及交货地点</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8.1 交付期：</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天</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8.3 交付地点：</w:t>
      </w:r>
      <w:r>
        <w:rPr>
          <w:rFonts w:ascii="SimSun" w:hAnsi="SimSun" w:eastAsia="SimSun" w:cs="SimSun"/>
          <w:color w:val="auto"/>
          <w:sz w:val="21"/>
          <w:highlight w:val="white"/>
          <w:u w:val="single"/>
        </w:rPr>
        <w:t xml:space="preserve">按采购人提供的信息指定地点。</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9、货款支付</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9.1 本合同项下所有款项均以人民币支付。</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9.2 本合同项下的采购资金由甲方支付，付款前乙方向甲方开具发票。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9.3 付款方式：签订合同后，乙方向甲方开具发票，甲方自收到发票之日起15个工作日内支付合同总价30%的预付款；验收合格后，乙方向甲方开具发票，甲方收到发票后支付余款。</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10、税费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本合同执行中相关的一切税费均由乙方负担。</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11、质量保证及售后服务</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11.1 乙方应按招标文件规定及响应文件承诺的技术性能、技术要求、质量标准向甲方提供服务；若无特殊说明，则按国家有关部门最新颁布的标准及规范为准。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11.3 乙方提供的货物在质保期内因货物本身的质量问题发生故障，乙方应负责免费更换。对达不到技术要求者，根据实际情况，经双方协商，可按以下办法处理：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⑴更换：由乙方承担所发生的全部费用。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⑵贬值处理：由甲乙双方合议定价。</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⑶退货处理：乙方应退还甲方支付的合同款，同时应承担该货物的直接费用（运输、保险、检验、货款利息及银行手续费等）。</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11.4 如在使用过程中发生质量问题，乙方在接到甲方通知后在</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小时内到达甲方现场。</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11.5 在质保期内，乙方应对货物出现的质量及安全问题负责处理解决并承担一切费用。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11.6上述的货物及服务免费保修期</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年，因人为因素出现的故障不在免费保修范围内。超过保修期的机器设备，终生维修，维修时只收部件成本费。</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12、交付、调试和验收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12.1乙方应当在合同签订后</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天将货物交付甲方，地点由甲方指定，招标文件有约定的，从其约定。在发货前，乙方应对产品作出全面检查和对验收文件进行整理，并列出清单，作为甲方收货初验收和使用的技术条件依据，检验的结果应随货物交甲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12.2 甲方对乙方提交的货物依据招标文件上的技术规格要求和国家有关质量标准进行现场初步验收，外观、说明书、包装符合招标文件技术要求的，给予签收，初步验收不合格的不予签收。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12.3 乙方按照招标文件要求负责产品安装并培训甲方的使用操作人员，乙方在甲方使用前进行调试，调试直到符合技术要求的甲方才做最终验收。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12.5 甲乙双方关于调试和验收的其他约定：。</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13、货物包装、发运及运输</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13.1 乙方应在货物发运前对其进行满足运输距离、防潮、防震、防锈和防破损装卸等要求包装，以保证货物安全运达甲方指定地点。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13.2 乙方发货时，产品使用说明书、检验证明书、随配附件和工具以及清单一并附于货物内。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13.4 货物在交付甲方前发生的风险均由乙方负责。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13.5 货物在规定的交付期限内由乙方送达甲方指定的地点，经初步验收即视为货物交付。</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14、违约责任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14.1 甲方无正当理由拒绝初验收和终验收货物的，甲方应按未付货款金额每日万分之五向乙方支付违约金。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14.2 甲方无故逾期验收和无故逾期办理货款支付手续的,甲方应按逾期付款金额每日万分之五向乙方支付违约金。</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14.3乙方违约，在消除违约情形前，应按货款总额每日万分之五向甲方支付违约金，甲方可以从待付货款中扣除。</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14.4乙方因逾期交付或因其他违约行为，导致甲方解除合同的，乙方应向甲方支付合同总值5%的违约金，如造成甲方损失超过违约金的，超出部分由乙方继续承担赔偿责任。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14.6合同生效后，发现乙方投标属虚假承诺，或经权威部门监测提供的货物不能满足招标文件要求，造成合同无法继续履行的，</w:t>
      </w:r>
      <w:r>
        <w:rPr>
          <w:rFonts w:ascii="SimSun" w:hAnsi="SimSun" w:eastAsia="SimSun" w:cs="SimSun"/>
          <w:color w:val="auto"/>
          <w:sz w:val="21"/>
          <w:highlight w:val="white"/>
        </w:rPr>
        <w:t xml:space="preserve">乙方应向甲方支付不少于合同总价</w:t>
      </w:r>
      <w:r>
        <w:rPr>
          <w:rFonts w:ascii="SimSun" w:hAnsi="SimSun" w:eastAsia="SimSun" w:cs="SimSun"/>
          <w:color w:val="auto"/>
          <w:sz w:val="21"/>
          <w:highlight w:val="white"/>
          <w:u w:val="single"/>
        </w:rPr>
        <w:t xml:space="preserve">10 %</w:t>
      </w:r>
      <w:r>
        <w:rPr>
          <w:rFonts w:ascii="SimSun" w:hAnsi="SimSun" w:eastAsia="SimSun" w:cs="SimSun"/>
          <w:color w:val="auto"/>
          <w:sz w:val="21"/>
          <w:highlight w:val="white"/>
        </w:rPr>
        <w:t xml:space="preserve">赔偿金，如赔偿金不足以赔偿甲方损失，甲方可继续追究赔偿费用</w:t>
      </w:r>
      <w:r>
        <w:rPr>
          <w:rFonts w:ascii="SimSun" w:hAnsi="SimSun" w:eastAsia="SimSun" w:cs="SimSun"/>
          <w:color w:val="auto"/>
          <w:sz w:val="21"/>
          <w:highlight w:val="white"/>
        </w:rPr>
        <w:t xml:space="preserve">。</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15、不可抗力事件处理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16、争议解决</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16.1 因货物的质量问题发生争议的，可在国家认可的质量检测机构对货物质量进行鉴定。货物符合标准的，鉴定费由甲方承担；货物不符合质量标准的，鉴定费由乙方承担。</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16.2 因履行本合同引起的或与本合同有关的争议，甲、乙双方应首先通过友好协商解决；如果协商不能解决争议，甲乙双方约定，按下列第（2）种方式解决争议：</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（1）将争议提交</w:t>
      </w:r>
      <w:r>
        <w:rPr>
          <w:rFonts w:ascii="SimSun" w:hAnsi="SimSun" w:eastAsia="SimSun" w:cs="SimSun"/>
          <w:color w:val="auto"/>
          <w:sz w:val="21"/>
          <w:highlight w:val="white"/>
          <w:u w:val="single"/>
        </w:rPr>
        <w:t xml:space="preserve">扬州</w:t>
      </w:r>
      <w:r>
        <w:rPr>
          <w:rFonts w:ascii="SimSun" w:hAnsi="SimSun" w:eastAsia="SimSun" w:cs="SimSun"/>
          <w:color w:val="auto"/>
          <w:sz w:val="21"/>
          <w:highlight w:val="white"/>
        </w:rPr>
        <w:t xml:space="preserve">仲裁委员会申请仲裁；</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（2）依法向合同履行地的人民法院提起诉讼。</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16.3 若甲乙双方任何一方都没有选择解除合同的，为避免扩大损失，在诉讼期间，双方应继续履行。</w:t>
      </w:r>
      <w:r>
        <w:rPr>
          <w:color w:val="auto"/>
          <w:highlight w:val="white"/>
        </w:rPr>
      </w:r>
      <w:r/>
    </w:p>
    <w:p>
      <w:pPr>
        <w:ind w:left="0" w:right="0" w:firstLine="42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17、合同其它</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17.1 乙方应诚实信用，严格按照招标文件要求和投标承诺履行合同，不向甲方进行商业贿赂或者提供不正当利益。</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17.2 合同经双方法定代表人或授权代表签字并加盖单位公章后生效。</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17.2本合同未尽事宜，遵照《民法典》有关条文执行。</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17.3 本合同正本一式陆份，具有同等法律效力，甲方二份，乙方二份，代理二份。</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甲方：高邮市农业农村局乙方：</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地址：                               地址：</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法定代表人或授权代表：法定代表人或授权代表：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联系电话：联系电话：</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日期： 年 月 日日期： 年 月 日</w:t>
      </w:r>
      <w:r>
        <w:rPr>
          <w:color w:val="auto"/>
          <w:highlight w:val="white"/>
        </w:rPr>
        <w:br w:type="page" w:clear="all"/>
      </w:r>
      <w:r>
        <w:rPr>
          <w:rFonts w:ascii="SimSun" w:hAnsi="SimSun" w:eastAsia="SimSun" w:cs="SimSun"/>
          <w:color w:val="auto"/>
          <w:sz w:val="21"/>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第四章 项目需求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项目属性：货物类项目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 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SimSun" w:hAnsi="SimSun" w:eastAsia="SimSun" w:cs="SimSun"/>
          <w:color w:val="auto"/>
          <w:sz w:val="21"/>
          <w:highlight w:val="white"/>
          <w:u w:val="single"/>
        </w:rPr>
        <w:t xml:space="preserve">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 供应商对于投标产品的包装应按照“财办库〔2020〕123号《关于印发《商品包装政府采购需求标准（试行）》、《快递包装政府采购需求标准（试行）》的通知》”执行。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 采购标的清单</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31"/>
        <w:gridCol w:w="35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采购标的</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对应中小企业划分标准所属行业</w:t>
            </w:r>
            <w:r>
              <w:rPr>
                <w:color w:val="auto"/>
                <w:highlight w:val="white"/>
              </w:rPr>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高邮市农业农村领域低空数字化建设项目</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0"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工业</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4．核心产品</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2"/>
        <w:gridCol w:w="3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3"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核心产品</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3"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一、项目背景</w:t>
      </w: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高邮市农业农村领域低空数字化建设项目是一次立足国家战略、回应地方需求的战略性、系统性布局，项目旨在探索数字乡村发展机制，破解现实难题的内在要求，通过技术与模式创新，构建覆盖全域、响应迅速、处置高效的无人机能力，深化区域乡村数字化发展策略，将低空经济与乡村有机结合应用落地。</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二、建设依据</w:t>
      </w: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本项目依据《关于高邮市2025年农村综合性改革试点试验分项项目实施方案的批复》中“高邮市2025年农业农村领域低空数字化建设项目实施方案”要求建设实施。</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三、建设目标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以乡镇为单元，以农业生产服务为主导，在全市13个涉农乡镇，系统化开展无人机应用场景建设与推广，目前拟建设13个无人机场。在基础设施建设方面，原则上涉农乡镇（街道）都有无人机场覆盖，初步测算，共需约13个无人机场，配备监测无人机 13台。在低空业务管理系统建设方面，构建县乡三级管理体系，集成任务规划、航线管理、实时监测、数据分析、预警提示等模块。在低空数字视频孪生系统建设方面，整合无人机采集的数据，实现对农业资源的可视化管理和动态监测。</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四、采购清单</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1"/>
        <w:gridCol w:w="2798"/>
        <w:gridCol w:w="3442"/>
        <w:gridCol w:w="586"/>
        <w:gridCol w:w="717"/>
      </w:tblGrid>
      <w:tr>
        <w:trPr>
          <w:trHeight w:val="3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采购项</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功能模块</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技术参数</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数量</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单位</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vMerge w:val="restart"/>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无人机设备</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无人机套装</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含机场、无人机及相关配件。详见技术参数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无人机遥控器</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台</w:t>
            </w:r>
            <w:r>
              <w:rPr>
                <w:color w:val="auto"/>
                <w:highlight w:val="white"/>
              </w:rPr>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保险</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1年，详见技术参数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台</w:t>
            </w:r>
            <w:r>
              <w:rPr>
                <w:color w:val="auto"/>
                <w:highlight w:val="white"/>
              </w:rPr>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现场部署</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根据采购人选址到现场自行查勘，部署</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无人机软件系统平台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数据接入，机库数据接入，无人机数据归一化处理，机库远程运维，任务公告牌操作管理，地图显示操作，机库航线显示及下载，机库航线新增，机库航线导入，机库航线飞行，机库指令飞行，指令飞行切换，机库负载摄像头控制</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视频孪生平台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无人机航线与数字孪生地图贴合处理，实时飞行态势孪生，历史飞行态势孪生回放，机库实时监控，多路实时直播图，媒体资源</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无人机模块开发</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组织架构管理，人员管理，设备管理，直播管理，作业项目管理，角色管理，菜单管理，算法管理，飞行计划管理，巡飞任务发起与查看，巡飞任务响应处理，无人机数据驾驶舱</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vMerge w:val="restart"/>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应用场景功能开发服务</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算法应用：运输车辆识别，垃圾堆放识别，河面垃圾识别，烟火识别</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智慧农业应用：农业数据驾驶舱、病虫害库、地块管理、农资管理、作物手册、作物农产、种植计划、农事管理、采收计划、农业系统数据配置管理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套</w:t>
            </w:r>
            <w:r>
              <w:rPr>
                <w:color w:val="auto"/>
                <w:highlight w:val="white"/>
              </w:rPr>
            </w:r>
            <w:r/>
          </w:p>
        </w:tc>
      </w:tr>
      <w:tr>
        <w:trPr>
          <w:trHeight w:val="5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vMerge w:val="restart"/>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集成服务</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农业农村人工智能技术中心</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详见技术参数</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w:t>
            </w:r>
            <w:r>
              <w:rPr>
                <w:color w:val="auto"/>
                <w:highlight w:val="white"/>
              </w:rPr>
            </w:r>
            <w:r/>
          </w:p>
        </w:tc>
      </w:tr>
      <w:tr>
        <w:trPr>
          <w:trHeight w:val="5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航线优化、系统测试等集成服务</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4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五、技术参数</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5.1无人机设备技术参数</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5.1.1机场技术参数</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72"/>
        <w:gridCol w:w="6482"/>
      </w:tblGrid>
      <w:tr>
        <w:trPr>
          <w:trHeight w:val="3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机场技术项</w:t>
            </w:r>
            <w:r>
              <w:rPr>
                <w:color w:val="auto"/>
                <w:highlight w:val="white"/>
              </w:rPr>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参数要求</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整机重量</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≤55kg</w:t>
            </w:r>
            <w:r>
              <w:rPr>
                <w:color w:val="auto"/>
                <w:highlight w:val="white"/>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工作环境温度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机场及无人机的设备工作温度范围都至少为-30°C 至 50° C</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防护等级</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不低于IP56</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最大允许降落风速</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设备最大允许降落风速不小于6级</w:t>
            </w:r>
            <w:r>
              <w:rPr>
                <w:color w:val="auto"/>
                <w:highlight w:val="white"/>
              </w:rPr>
            </w:r>
            <w:r/>
          </w:p>
        </w:tc>
      </w:tr>
      <w:tr>
        <w:trPr>
          <w:trHeight w:val="7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RTK 基站卫星接收频率</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设备所含RTK基站可同时接收GPS、GLONASS、BEIDOU、GALILEO四种卫星信号。</w:t>
            </w:r>
            <w:r>
              <w:rPr>
                <w:color w:val="auto"/>
                <w:highlight w:val="white"/>
              </w:rPr>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RTK 基站定位精准度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设备所含RTK基站定位精度：</w:t>
              <w:br/>
              <w:t xml:space="preserve">水平精度小于等于1 cm+1 ppm（RMS）</w:t>
              <w:br/>
              <w:t xml:space="preserve">垂直精度小于等于2 cm+1 ppm（RMS）</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单北斗定位(仅北斗版本硬件）</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支持单北斗定位模式</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充电时间</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从15% 充至 95%小于30分钟</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媒体下载速率（机场）</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无人机及机场间的最大下载速率不低于20MB/s</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空调类型</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需要内置压缩机空调</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续航时间</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备用电池续航不少于4小时</w:t>
            </w:r>
            <w:r>
              <w:rPr>
                <w:color w:val="auto"/>
                <w:highlight w:val="white"/>
              </w:rPr>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机场标识灯</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机场集成标识灯，可以用于夜间返航</w:t>
            </w:r>
            <w:r>
              <w:rPr>
                <w:color w:val="auto"/>
                <w:highlight w:val="white"/>
              </w:rPr>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4G 接入</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设备可使用蜂窝模块和SIM卡通过4G实现网络接入</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风速传感器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需要内置风速传感器</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雨量传感器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需要内置雨量传感器</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环境温度传感器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需要内置环境温度传感器</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水浸传感器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需要内置水浸传感器</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舱内温度传感器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需要内置舱内温度传感器</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舱内湿度传感器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需要内置舱内湿度传感器</w:t>
            </w:r>
            <w:r>
              <w:rPr>
                <w:color w:val="auto"/>
                <w:highlight w:val="white"/>
              </w:rPr>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分辨率</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设备同时配备内部及外部监控相机，且视频分辨率不低于1080P</w:t>
            </w:r>
            <w:r>
              <w:rPr>
                <w:color w:val="auto"/>
                <w:highlight w:val="white"/>
              </w:rPr>
            </w:r>
            <w:r/>
          </w:p>
        </w:tc>
      </w:tr>
      <w:tr>
        <w:trPr>
          <w:trHeight w:val="46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视角范围（FOV）</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设备同时配备内部及外部监控相机，且视角范围不低于150°</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平台扩展</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平台支持二次开发以及对接现有软件平台</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快速起飞</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下达任务后，需要15秒内起飞</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5.1.2无人机及配件</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77"/>
        <w:gridCol w:w="4766"/>
      </w:tblGrid>
      <w:tr>
        <w:trPr>
          <w:trHeight w:val="3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无人机技术项</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参数要求</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最大信号有效距离（无干扰、无遮挡）</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≥25km</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最长飞行时间</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≥54 分钟</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最大可抗风速</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≥12m/s</w:t>
            </w:r>
            <w:r>
              <w:rPr>
                <w:color w:val="auto"/>
                <w:highlight w:val="white"/>
              </w:rPr>
            </w:r>
            <w:r/>
          </w:p>
        </w:tc>
      </w:tr>
      <w:tr>
        <w:trPr>
          <w:trHeight w:val="10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全向感知系统</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支持全向双目视觉避障系统，下方具备三维红外传感器，能够在探测到障碍物时在App上进行提醒，并自动减速刹车或绕行</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单北斗定位(仅北斗版本硬件）</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支持单北斗定位模式</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单北斗定位(仅北斗版本硬件）</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单北斗定位模式，支持执行航点航线、面状航线等各类航线任务</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工作环境温度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工作温度范围覆盖-20°C 至 50°C</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防护等级</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不低于IP55</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GNSS定位悬停精度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垂直≤0.5 m，水平≤0.5 m</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RTK定位悬停精度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垂直≤0.1 m，水平≤0.1 m</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最大上升速度（配合遥控器）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 m/s</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最大下降速度（配合遥控器）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 m/s</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最大水平飞行速度（配合遥控器）</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≥20m/s</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最大上升速度（配合机场）</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 m/s</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最大下降速度（配合机场）</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 m/s</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最大水平飞行速度（配合机场）</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≥20m/s</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最大起飞海拔高度</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≥6500 米</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RTK</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RTK集成在无人机上</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避障雷达重量</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避障雷达重量 ≤230g</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避障雷达防护等级</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不低于IP55</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云台相机技术项</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参数要求</w:t>
            </w:r>
            <w:r>
              <w:rPr>
                <w:color w:val="auto"/>
                <w:highlight w:val="white"/>
              </w:rPr>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相机类型</w:t>
            </w:r>
            <w:r>
              <w:rPr>
                <w:color w:val="auto"/>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具有长焦可见光、中长焦可见光、广角可见光和红外热成像相机</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广角相机像素</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具备广角相机，有效像素不低于4800万</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中长焦相机像素</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像素数不低于4800万</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长焦相机像素</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像素数不低于4800万</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可见光相机变焦倍数</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变焦倍数不低于112倍</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红外传感器分辨率</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≥640*512，超分模式≥1280*1024</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红外热成像测温方式</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支持点测温和区域测温</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变焦方式</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支持可见光与红外热成像联动变焦</w:t>
            </w:r>
            <w:r>
              <w:rPr>
                <w:color w:val="auto"/>
                <w:highlight w:val="white"/>
              </w:rPr>
            </w:r>
            <w:r/>
          </w:p>
        </w:tc>
      </w:tr>
      <w:tr>
        <w:trPr>
          <w:trHeight w:val="6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稳定系统</w:t>
            </w:r>
            <w:r>
              <w:rPr>
                <w:color w:val="auto"/>
                <w:highlight w:val="white"/>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具备三轴机械增稳云台（俯仰、横滚、平移）</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可见光相机视频</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可见光相机支持4k30p视频录制</w:t>
            </w:r>
            <w:r>
              <w:rPr>
                <w:color w:val="auto"/>
                <w:highlight w:val="white"/>
              </w:rPr>
            </w: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红外补光</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支持近红外补光灯</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云台俯仰</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6"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支持-90°至90°的俯仰范围</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5.1.3遥控器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1"/>
        <w:gridCol w:w="5042"/>
      </w:tblGrid>
      <w:tr>
        <w:trPr>
          <w:trHeight w:val="3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遥控器技术项</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参数要求</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工作频段</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支持2.4G、5.8G图传</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一体化设计</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具备遥控器和显示屏一体化设计</w:t>
            </w:r>
            <w:r>
              <w:rPr>
                <w:color w:val="auto"/>
                <w:highlight w:val="white"/>
              </w:rPr>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接口</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支持HDMI，SD，Type-C，PD，USB-A</w:t>
            </w:r>
            <w:r>
              <w:rPr>
                <w:color w:val="auto"/>
                <w:highlight w:val="white"/>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遥控器外置电池</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遥控器支持选配37Wh外置电池</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遥控器防护等级</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2"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支持IP54防护等级</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5.1.4保险</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0"/>
        <w:gridCol w:w="5044"/>
      </w:tblGrid>
      <w:tr>
        <w:trPr>
          <w:trHeight w:val="3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保险</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要求</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机场保险</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1.保险时间：服务有效期为 12 个月。</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 提供保障额度内不限次数的免费维修服务，保障范围覆盖撞击、设备进水、信号干扰、操作失误等飞行意外场景。</w:t>
            </w:r>
            <w:r>
              <w:rPr>
                <w:color w:val="auto"/>
                <w:highlight w:val="white"/>
              </w:rPr>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无人机保险</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4"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1.保险时间：服务有效期为 12 个月。</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2.提供保障额度内不限次数的免费维修服务，保障范围覆盖撞击、设备进水、信号干扰、操作失误等飞行意外场景。</w:t>
            </w:r>
            <w:r>
              <w:rPr>
                <w:color w:val="auto"/>
                <w:highlight w:val="white"/>
              </w:rPr>
            </w:r>
            <w:r/>
          </w:p>
        </w:tc>
      </w:tr>
    </w:tbl>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5.2无人机软件系统平台</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5.2.1无人机数据接入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(1)可实现常见无人机品牌数据接入；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(2)编制无人机数据标准化接口，实现对其它品牌无人机及附属设备的接入，支持各类型无人机上传数据包。</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5.2.2机库数据接入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(1)可实现多厂家机库的接入，支持对机库全状态的监视；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(2)接收机库传回无人机飞行态势数据以及飞行成果数据，并按厂商提供接口实现无人机相关操控、管理功能。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5.2.3无人机数据归一化处理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(1)可对各类无人机接入标准格式及非标（图片、视频）等数据进行同一格式转换和处理；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(2)可对视频数据添加和视频时间对应的同步标签，视频分类标签，任务标签，自定义标签等；</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(3)可对视频格式统一化，提供M3U8加密格式或网络MP4格式。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5.2.4机库远程运维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(1)可对接入系统的机库进行远程运维，查看机库累计运行时长、网络、备降点、仓内稳定、空调状态信息；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(2)可查看仓内飞行器累计飞行时长、飞行架次、累计飞行距离信息；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(3)可对其远程调试。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5.2.5任务公告牌操作管理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(1)★可实现任务公告牌列表能够正常显示，包括计划、设备、航线、状态等信息，默认显示今日任务数据（提供第三方检测报告或系统截图，扫描件加盖投标人公章上传）；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(2)★可切换至昨日任务公告牌数据（提供第三方检测报告或系统截图，扫描件加盖投标人公章上传）；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(3)★任务自动执行状态能正常显示（提供第三方检测报告或系统截图，扫描件加盖投标人公章上传）；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(4)可对自动执行状态进行修改。</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5.2.6地图显示操作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(1)可对地图进行放大缩小；</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(2)可选择显示天地图矢量图或天地图影像图；</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(3)可选择显示天地图矢量标注或天地图影像标注；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(4)可在地图上显示机库位置和机库作业范围。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5.2.7机库航线显示及下载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(1)★可实现机库相关航线任务信息可正常显示（提供第三方检测报告或系统截图，扫描件加盖投标人公章上传）。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5.2.8机库航线新增</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(1)★可实现新增航线信息可正常保存并新增（提供第三方检测报告或系统截图，扫描件加盖投标人公章上传）。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5.2.9机库航线导入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(1)★航线能成功导入且在设备航线库中显示（提供第三方检测报告或系统截图，扫描件加盖投标人公章上传）。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5.2.10机库航线飞行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(1)★可实现航线成功执行，无人机按照选择的航线飞行且航线信息正常显示（提供第三方检测报告或系统截图，扫描件加盖投标人公章上传）；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(2)机载监控和直播画面正常播放，飞行控制页面相关数据信息正常显示；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(3)无人机成功执行后可立即返航任务。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5.2.11机库指令飞行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(1)★可实现机载监控和直播画面支持播放，能够获取键盘对飞机控制权及键盘操控权，能够支持键盘对无人机进行飞行操控（提供第三方检测报告或系统截图，扫描件加盖投标人公章上传）；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(2)飞行控制页面相关数据信息正常显示；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(3)无人机可执行立即返航任务；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(4)无人机可执行急停任务并悬停；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(5)无人机可执行取消返航任务并悬停。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5.2.12指令飞行切换</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键盘面板可成功显示，能够获取键盘对飞机的控制权及键盘操控权，能够支持键盘对无人机进行飞行操控，飞行控制页面相关数据信息正常显示（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5.2.13机库负载摄像头控制</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(1)可实现对机库无人机负载的摄像头控制，可调整摄像头角度；</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(2)可切换为广角摄像头；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(3)可切换红外摄像头；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(4)可切换变焦摄像头并进行变焦。</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5.3视频孪生平台服务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5.3.1无人机航线与数字孪生地图贴合处理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(1)可实现将无人机预设航线和实时航线与平面地图和正射影像地图叠加贴合显示。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5.3.2实时飞行态势孪生</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(1)可对无人机的飞行状态进行实时模拟，可在地图上查看飞行航迹、无人机飞行参数信息。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(2)可实现同步实时直播无人机画面，实时超视距平台操控机库无人机飞行。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5.3.3历史飞行态势孪生回放</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(1)★可根据项目及设备，正常搜索相关信息（提供第三方检测报告或系统截图，扫描件加盖投标人公章上传）；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(2)可对历史飞行态势数据和载荷数据进行归类存档；</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(3)按任务对历史飞行态势进行回放，回放内容包括飞行航迹，飞控数据，上传的媒体资源。</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5.3.4机库实时监控</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(1)可实现机载监控页面可正常显示；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(2)机载监控画面可正常刷新。</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5.3.5多路实时直播图传</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(1)可实时展示4路6路9路无人机图传画面，对画面比例进行缩放调整；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(2)支持二维码页面多人分享。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5.3.6媒体资源</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(1可统一归档无人机拍摄的照片、视频、全景照片数据，并可对媒体类型进行筛选搜索；</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(2)视频可正常下载。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5.4无人机模块开发服务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5.4.1组织架构管理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(1)可构建并维护一个可灵活调整的树状组织架构；</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(2)允许管理员对组织架构进行新增、删除、编辑、查看，并可对一级和二级组织机构进行菜单权限管理。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5.4.2人员管理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(1)可对系统中的账户依据组织架构进行新增、删除、编辑、查看；</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(2)可设置账户有效期限；可为账户关联角色；</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(3)可对账户中的飞手身份单独管理，并可将已有账户标记为飞手。</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5.4.3设备管理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(1)可对系统中的机库、多旋翼无人机、固定翼无人机依据组织架构进行新增、删除、编辑、查看；</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5.4.4直播管理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(1)可接入非机库无人机的直播视频。</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5.4.5作业项目管理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(1)可依据组织架构进行新增、删除、编辑、查看作业项目；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(2)可关联项目人员；在执行机库飞行时可关联作业项目。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5.4.6角色管理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(1)可在系统中新增、删除、编辑、查看角色，并为不同角色关联不同的菜单显示权限。</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5.4.7菜单管理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(1)可对系统导航结构的集中、动态配置；</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(2)管理员可新增、删除、编辑、查看前端菜单项，并定义其名称、菜单类型、层级关系、图标。</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5.4.8算法管理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(1)可在系统中为同一个机库配置多个算法，并可配置算法是否启用。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5.4.9飞行计划管理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(1)可新增、删除、编辑、查看飞行计划，飞行计划包含执行日期、操作员、飞行器、飞行负责人、起降点、飞行路径规划信息。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5.4.10巡飞任务发起与查看</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(1)可实现巡飞需求方发起巡飞任务。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(2)可实现需求方查看巡飞任务成果，并对巡飞成果是否可用予以判断。</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5.4.11巡飞任务响应处理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(1)可实现对巡飞任务进行接单操作，并按照巡飞任务要求执行任务，将巡飞成果反馈至巡飞需求方。</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5.4.12无人机数据驾驶舱</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(1)可实现对平台核心数据的集中汇聚与监管，将数据集中可视化呈现，业务状态数据实时监控，形成全平台统一数据驾驶舱。</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(2)可在地图上查看所有无人机的位置、状态、无人机在线情况统计。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(3)可将无人机飞行时长统计、无人机作业次数统计、无人机事件统计等信息汇聚至统一数据驾驶舱。</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5.5应用场景功能开发服务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5.5.1算法应用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5.5.1.1运输车辆算法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(1)可实现应用AI算法模型对无人机直播画面中的运输车辆进行识别；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(2)可在图片中对识别到的画面自动标注标签并显示。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5.5.1.2垃圾堆放识别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(1)可实现应用AI算法模型对无人机直播画面中的垃圾堆放进行识别；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(2)可在图片中对识别到的画面自动标注标签并显示。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5.5.1.3河面垃圾识别算法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(1)可实现应用AI算法模型对无人机直播画面中的河面垃圾进行识别；</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(2)可在图片中对识别到的画面自动标注标签并显示。</w:t>
      </w:r>
      <w:r>
        <w:rPr>
          <w:color w:val="auto"/>
          <w:highlight w:val="white"/>
        </w:rPr>
      </w:r>
      <w:r/>
    </w:p>
    <w:p>
      <w:pPr>
        <w:numPr>
          <w:ilvl w:val="2"/>
          <w:numId w:val="12"/>
        </w:numPr>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5.5.1.4烟火识别算法</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(1)可实现应用AI算法模型对无人机直播画面中的烟火进行识别；</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(2)可在图片中对识别到的画面自动标注标签并显示。</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5.5.2智慧农业应用</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5.5.2.1农业数据驾驶舱</w:t>
      </w:r>
      <w:r>
        <w:rPr>
          <w:color w:val="auto"/>
          <w:highlight w:val="white"/>
        </w:rPr>
      </w:r>
      <w:r/>
    </w:p>
    <w:p>
      <w:pPr>
        <w:numPr>
          <w:ilvl w:val="0"/>
          <w:numId w:val="13"/>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可对智慧农业各应用模块的相关业务数据进行整合汇总、统一归集；</w:t>
      </w:r>
      <w:r>
        <w:rPr>
          <w:color w:val="auto"/>
          <w:highlight w:val="white"/>
        </w:rPr>
      </w:r>
      <w:r/>
    </w:p>
    <w:p>
      <w:pPr>
        <w:numPr>
          <w:ilvl w:val="0"/>
          <w:numId w:val="13"/>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可通过可视化图表、数据看板等多种形式直观展示智慧农业应用模块数据，辅助管理人员实时掌握整体生产态势。</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5.5.2.2病虫害库</w:t>
      </w:r>
      <w:r>
        <w:rPr>
          <w:color w:val="auto"/>
          <w:highlight w:val="white"/>
        </w:rPr>
      </w:r>
      <w:r/>
    </w:p>
    <w:p>
      <w:pPr>
        <w:numPr>
          <w:ilvl w:val="0"/>
          <w:numId w:val="14"/>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可分类记录作物对应的病害、虫害详细文字信息，留存病虫害特征、危害表现等关键内容；</w:t>
      </w:r>
      <w:r>
        <w:rPr>
          <w:color w:val="auto"/>
          <w:highlight w:val="white"/>
        </w:rPr>
      </w:r>
      <w:r/>
    </w:p>
    <w:p>
      <w:pPr>
        <w:numPr>
          <w:ilvl w:val="0"/>
          <w:numId w:val="14"/>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可配套上传病虫害实拍图片、示例图片，形成图文结合的病虫害标准资料库，便于查询识别；</w:t>
      </w:r>
      <w:r>
        <w:rPr>
          <w:color w:val="auto"/>
          <w:highlight w:val="white"/>
        </w:rPr>
      </w:r>
      <w:r/>
    </w:p>
    <w:p>
      <w:pPr>
        <w:numPr>
          <w:ilvl w:val="0"/>
          <w:numId w:val="14"/>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可针对资料库内各类病害、虫害整理匹配科学有效的防治手段与处置方案。</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5.5.2.3地块管理</w:t>
      </w:r>
      <w:r>
        <w:rPr>
          <w:color w:val="auto"/>
          <w:highlight w:val="white"/>
        </w:rPr>
      </w:r>
      <w:r/>
    </w:p>
    <w:p>
      <w:pPr>
        <w:numPr>
          <w:ilvl w:val="0"/>
          <w:numId w:val="15"/>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可对辖区内所有农业生产用地的资源信息进行统一登记、录入与常态化数据维护；</w:t>
      </w:r>
      <w:r>
        <w:rPr>
          <w:color w:val="auto"/>
          <w:highlight w:val="white"/>
        </w:rPr>
      </w:r>
      <w:r/>
    </w:p>
    <w:p>
      <w:pPr>
        <w:numPr>
          <w:ilvl w:val="0"/>
          <w:numId w:val="15"/>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可对不同地块的实际用途进行分类登记、归档管理，实现农业用地资源信息规范化留存；</w:t>
      </w:r>
      <w:r>
        <w:rPr>
          <w:color w:val="auto"/>
          <w:highlight w:val="white"/>
        </w:rPr>
      </w:r>
      <w:r/>
    </w:p>
    <w:p>
      <w:pPr>
        <w:numPr>
          <w:ilvl w:val="0"/>
          <w:numId w:val="15"/>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可依托系统地图功能开展地块绘制作业，精准标注各地块边界范围与地理位置；</w:t>
      </w:r>
      <w:r>
        <w:rPr>
          <w:color w:val="auto"/>
          <w:highlight w:val="white"/>
        </w:rPr>
      </w:r>
      <w:r/>
    </w:p>
    <w:p>
      <w:pPr>
        <w:numPr>
          <w:ilvl w:val="0"/>
          <w:numId w:val="15"/>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可对所有生产地块的使用状态进行统一管控，支持启用、禁用状态进行标记；</w:t>
      </w:r>
      <w:r>
        <w:rPr>
          <w:color w:val="auto"/>
          <w:highlight w:val="white"/>
        </w:rPr>
      </w:r>
      <w:r/>
    </w:p>
    <w:p>
      <w:pPr>
        <w:numPr>
          <w:ilvl w:val="0"/>
          <w:numId w:val="15"/>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可根据生产实际需求动态调整地块状态信息，保障地块资源合理统筹利用。</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5.5.2.4农资管理</w:t>
      </w:r>
      <w:r>
        <w:rPr>
          <w:color w:val="auto"/>
          <w:highlight w:val="white"/>
        </w:rPr>
      </w:r>
      <w:r/>
    </w:p>
    <w:p>
      <w:pPr>
        <w:numPr>
          <w:ilvl w:val="0"/>
          <w:numId w:val="16"/>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可对种子、化肥、农药等各类农资基础信息进行标准化登记录入，建立农资信息台账；</w:t>
      </w:r>
      <w:r>
        <w:rPr>
          <w:color w:val="auto"/>
          <w:highlight w:val="white"/>
        </w:rPr>
      </w:r>
      <w:r/>
    </w:p>
    <w:p>
      <w:pPr>
        <w:numPr>
          <w:ilvl w:val="0"/>
          <w:numId w:val="16"/>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可对存量农资数据进行新增、修改、删除等常态化维护，保障农资数据真实准确、可查可溯。</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5.5.2.5作物手册</w:t>
      </w:r>
      <w:r>
        <w:rPr>
          <w:color w:val="auto"/>
          <w:highlight w:val="white"/>
        </w:rPr>
      </w:r>
      <w:r/>
    </w:p>
    <w:p>
      <w:pPr>
        <w:numPr>
          <w:ilvl w:val="0"/>
          <w:numId w:val="17"/>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可对作物的基础档案、生长物候期、适配种植方式等关键信息进行系统化记录归档；</w:t>
      </w:r>
      <w:r>
        <w:rPr>
          <w:color w:val="auto"/>
          <w:highlight w:val="white"/>
        </w:rPr>
      </w:r>
      <w:r/>
    </w:p>
    <w:p>
      <w:pPr>
        <w:numPr>
          <w:ilvl w:val="0"/>
          <w:numId w:val="17"/>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可关联匹配作物对应病害、虫害资料与防控知识，形成作物种植手册，指导田间标准化生产作业。</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5.5.2.6作物农产</w:t>
      </w:r>
      <w:r>
        <w:rPr>
          <w:color w:val="auto"/>
          <w:highlight w:val="white"/>
        </w:rPr>
      </w:r>
      <w:r/>
    </w:p>
    <w:p>
      <w:pPr>
        <w:numPr>
          <w:ilvl w:val="0"/>
          <w:numId w:val="18"/>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可对系统内各类作物农产的名称、计量单位、产品描述等基础字段进行统一录入整理；</w:t>
      </w:r>
      <w:r>
        <w:rPr>
          <w:color w:val="auto"/>
          <w:highlight w:val="white"/>
        </w:rPr>
      </w:r>
      <w:r/>
    </w:p>
    <w:p>
      <w:pPr>
        <w:numPr>
          <w:ilvl w:val="0"/>
          <w:numId w:val="18"/>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可常态化对农产基础数据进行修改、完善与维护，保证平台农产信息规范统一；</w:t>
      </w:r>
      <w:r>
        <w:rPr>
          <w:color w:val="auto"/>
          <w:highlight w:val="white"/>
        </w:rPr>
      </w:r>
      <w:r/>
    </w:p>
    <w:p>
      <w:pPr>
        <w:numPr>
          <w:ilvl w:val="0"/>
          <w:numId w:val="18"/>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可对平台所有作物农产信息进行统一的状态管控，支持启用或禁用操作；</w:t>
      </w:r>
      <w:r>
        <w:rPr>
          <w:color w:val="auto"/>
          <w:highlight w:val="white"/>
        </w:rPr>
      </w:r>
      <w:r/>
    </w:p>
    <w:p>
      <w:pPr>
        <w:numPr>
          <w:ilvl w:val="0"/>
          <w:numId w:val="18"/>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可根据实际种植品类迭代情况更新农产数据状态，确保系统数据贴合实际生产现状。</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5.5.2.7种植计划</w:t>
      </w:r>
      <w:r>
        <w:rPr>
          <w:color w:val="auto"/>
          <w:highlight w:val="white"/>
        </w:rPr>
      </w:r>
      <w:r/>
    </w:p>
    <w:p>
      <w:pPr>
        <w:numPr>
          <w:ilvl w:val="0"/>
          <w:numId w:val="19"/>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可自主添加各类种植任务，按需制定个性化种植作业内容；</w:t>
      </w:r>
      <w:r>
        <w:rPr>
          <w:color w:val="auto"/>
          <w:highlight w:val="white"/>
        </w:rPr>
      </w:r>
      <w:r/>
    </w:p>
    <w:p>
      <w:pPr>
        <w:numPr>
          <w:ilvl w:val="0"/>
          <w:numId w:val="19"/>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可实时记录每一项种植计划的推进进度与执行详情。</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5.5.2.8农事管理</w:t>
      </w:r>
      <w:r>
        <w:rPr>
          <w:color w:val="auto"/>
          <w:highlight w:val="white"/>
        </w:rPr>
      </w:r>
      <w:r/>
    </w:p>
    <w:p>
      <w:pPr>
        <w:numPr>
          <w:ilvl w:val="0"/>
          <w:numId w:val="20"/>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可展示各类种植作物的全生长周期时段划分，清晰呈现各阶段生长时长； </w:t>
      </w:r>
      <w:r>
        <w:rPr>
          <w:color w:val="auto"/>
          <w:highlight w:val="white"/>
        </w:rPr>
      </w:r>
      <w:r/>
    </w:p>
    <w:p>
      <w:pPr>
        <w:numPr>
          <w:ilvl w:val="0"/>
          <w:numId w:val="20"/>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可直观展示不同作物对应的生长节点与管理时段，为分时农事作业提供依据；</w:t>
      </w:r>
      <w:r>
        <w:rPr>
          <w:color w:val="auto"/>
          <w:highlight w:val="white"/>
        </w:rPr>
      </w:r>
      <w:r/>
    </w:p>
    <w:p>
      <w:pPr>
        <w:numPr>
          <w:ilvl w:val="0"/>
          <w:numId w:val="20"/>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可制定农事任务涉及的农资、农事人员。</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5.5.2.9采收计划</w:t>
      </w:r>
      <w:r>
        <w:rPr>
          <w:color w:val="auto"/>
          <w:highlight w:val="white"/>
        </w:rPr>
      </w:r>
      <w:r/>
    </w:p>
    <w:p>
      <w:pPr>
        <w:numPr>
          <w:ilvl w:val="0"/>
          <w:numId w:val="12"/>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可针对各地块、各品类作物的采收工作开展计划登记与信息录入；</w:t>
      </w:r>
      <w:r>
        <w:rPr>
          <w:color w:val="auto"/>
          <w:highlight w:val="white"/>
        </w:rPr>
      </w:r>
      <w:r/>
    </w:p>
    <w:p>
      <w:pPr>
        <w:numPr>
          <w:ilvl w:val="0"/>
          <w:numId w:val="12"/>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可常态化维护更新采收计划的各项内容与执行安排。 </w:t>
      </w:r>
      <w:r>
        <w:rPr>
          <w:color w:val="auto"/>
          <w:highlight w:val="white"/>
        </w:rPr>
      </w:r>
      <w:r/>
    </w:p>
    <w:p>
      <w:pPr>
        <w:ind w:left="315" w:right="0" w:firstLine="105"/>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5.5.2.10农业系统数据配置管理</w:t>
      </w:r>
      <w:r>
        <w:rPr>
          <w:color w:val="auto"/>
          <w:highlight w:val="white"/>
        </w:rPr>
      </w:r>
      <w:r/>
    </w:p>
    <w:p>
      <w:pPr>
        <w:numPr>
          <w:ilvl w:val="0"/>
          <w:numId w:val="12"/>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可对地块类型、农资分类、计量单位、设备分类、农事类型等各类基础数据字典进行统一管理；</w:t>
      </w:r>
      <w:r>
        <w:rPr>
          <w:color w:val="auto"/>
          <w:highlight w:val="white"/>
        </w:rPr>
      </w:r>
      <w:r/>
    </w:p>
    <w:p>
      <w:pPr>
        <w:numPr>
          <w:ilvl w:val="0"/>
          <w:numId w:val="12"/>
        </w:numPr>
        <w:jc w:val="both"/>
        <w:spacing w:before="0" w:after="0" w:line="315" w:lineRule="atLeast"/>
        <w:tabs>
          <w:tab w:val="left" w:pos="312"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可对系统字典数据进行新增、修改、启停等配置维护操作，统一平台基础数据规范，保障系统业务数据标准化运行。</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5.6农业农村人工智能技术中心</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(1)根据高邮农业农村局业务需要，可满足支持多系统整合后统一登录功能；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(2)可满足支持统一登录后，查看其他业务系统信息。</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六、服务要求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6.1进度要求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u w:val="single"/>
        </w:rPr>
        <w:t xml:space="preserve">1、项目服务周期：自合同签订之日起45天验收通过，免费质保期自项目验收通过之日起1年。</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6.2项目组成员配备要求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投标人需为本项目组建专业实施团队，项目团队成员不少于</w:t>
      </w:r>
      <w:r>
        <w:rPr>
          <w:rFonts w:ascii="SimSun" w:hAnsi="SimSun" w:eastAsia="SimSun" w:cs="SimSun"/>
          <w:color w:val="auto"/>
          <w:sz w:val="21"/>
          <w:highlight w:val="white"/>
        </w:rPr>
        <w:t xml:space="preserve">4人</w:t>
      </w:r>
      <w:r>
        <w:rPr>
          <w:rFonts w:ascii="SimSun" w:hAnsi="SimSun" w:eastAsia="SimSun" w:cs="SimSun"/>
          <w:color w:val="auto"/>
          <w:sz w:val="21"/>
          <w:highlight w:val="white"/>
        </w:rPr>
        <w:t xml:space="preserve">，且专业分配合理，包括项目经理、设计、开发、实施、安全保障、巡检运营等。</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6.3人员培训方案</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（1）投标人应对采购人委派的人员和系统操作人员进行技术培训，保证系统投入试运行后，系统各岗位操作人员能够胜任本岗位的运行、操作，管理员能够掌握系统的维护、设置、故障分析处理等工作。</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（2）投标人应提交详细的培训方案，要求叙述详尽、内容全面、计划合理、形式多样、措施得当，针对性强，且配备的师资力量雄厚，有一定的培训经验。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培训方案需要包括：</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①培训次数：至少开展1次。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②培训计划表：包含时间、地点、授课内容、讲师名单简介等，时间要求至少2课时，讲师要求熟悉本系统及有教学经验，地点可采取线上或者线下或者两者结合，授课内容要包括系统所有涉及的功能操作等。</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③培训材料：投标人应提供详细的培训教材，提供的教师熟悉本系统及有教学经验，分别要针对普通用户和管理人员分别出具培训资料，资料形式包括但不限于电子资料。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6.4售后服务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（1）质保期：中标人需提供软件平台、设备的免费质保服务。质保期内发生的任何异常故障和损坏（人为损坏除外）引起的费用应由中标人负责。</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w:t>
      </w:r>
      <w:r>
        <w:rPr>
          <w:rFonts w:ascii="SimSun" w:hAnsi="SimSun" w:eastAsia="SimSun" w:cs="SimSun"/>
          <w:color w:val="auto"/>
          <w:sz w:val="21"/>
          <w:highlight w:val="white"/>
        </w:rPr>
        <w:t xml:space="preserve">本项目质保期内免费提供每月至少1次（含国庆节与春节假期）的主动巡检服务，针对问题隐患提前采取应对措施。并根据甲方要求提供不定期巡检服务。</w:t>
      </w:r>
      <w:r>
        <w:rPr>
          <w:rFonts w:ascii="SimSun" w:hAnsi="SimSun" w:eastAsia="SimSun" w:cs="SimSun"/>
          <w:color w:val="auto"/>
          <w:sz w:val="21"/>
          <w:highlight w:val="white"/>
        </w:rPr>
        <w:t xml:space="preserve">在保修期内，根据用户的业务扩展情况及时调整软硬件配置，保证系统在最优的状态下稳定运行。</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质保期间免费提供系统维护服务，以及已有功能改进需求服务。后续维保期内中标人仍应提供与本次质保期内相同质量的售后服务。在售后服务过程中，中标人应具备较好的业务连续性管理体系，做好应急预案，减少业务活动的中断，使关键业务过程免受主要故障的影响，并确保及时恢复。</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6.5知识产权</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中标人应保证采购人在使用、接受本合同设备与服务或其任何一部分时不受第三方提出侵犯其专利权、版权、商标权和工业设计权等知识产权的起诉。一旦出现侵权，由中标人负全部责任。（提供承诺函，扫描上传，格式自拟）</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七、演示要求</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八、报价说明</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1、最高限价：278万元，投标人报价不得高于最高限价，否则作无效投标处理。</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2、投标报价应包含与本次采购项目有关的所有费用。包含但不限于人员、设备、安装调试、验收、售后服务、系统维护、伴随配套服务等所有含税费用。同时，还应包含支付给员工的工资和国家强制缴纳的各种社会保障资金，以及投标人认为需要的其他费用等。</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3、投标人的任何错漏、优惠、竞争性报价不得作为减轻责任、减少服务、增加收费、降低服务质量的理由。</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1"/>
          <w:highlight w:val="white"/>
          <w:u w:val="single"/>
        </w:rPr>
        <w:t xml:space="preserve">4、投标人报价除包含招标文件中列明的项目外还应包括保障服务正常运行应当具有的物资和服务，对项目正常运行应当具有的物资和服务理解不一致的以采购人理解为准。</w:t>
      </w:r>
      <w:r>
        <w:rPr>
          <w:color w:val="auto"/>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0"/>
        <w:ind w:left="0" w:right="0" w:firstLine="0"/>
        <w:jc w:val="center"/>
        <w:spacing w:before="0" w:after="0" w:line="113"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white"/>
        </w:rPr>
        <w:t xml:space="preserve">第五章 评标方法及评标标准</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一、评标方法</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二、政府采购政策功能落实</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1、小微型企业价格扣除</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（1）本项目对小型和微型企业产品给予</w:t>
      </w:r>
      <w:r>
        <w:rPr>
          <w:rFonts w:ascii="SimSun" w:hAnsi="SimSun" w:eastAsia="SimSun" w:cs="SimSun"/>
          <w:color w:val="auto"/>
          <w:sz w:val="21"/>
          <w:highlight w:val="white"/>
          <w:u w:val="single"/>
        </w:rPr>
        <w:t xml:space="preserve"> </w:t>
      </w:r>
      <w:r>
        <w:rPr>
          <w:rFonts w:ascii="SimSun" w:hAnsi="SimSun" w:eastAsia="SimSun" w:cs="SimSun"/>
          <w:b/>
          <w:color w:val="auto"/>
          <w:sz w:val="21"/>
          <w:highlight w:val="white"/>
          <w:u w:val="single"/>
        </w:rPr>
        <w:t xml:space="preserve">20% </w:t>
      </w:r>
      <w:r>
        <w:rPr>
          <w:rFonts w:ascii="SimSun" w:hAnsi="SimSun" w:eastAsia="SimSun" w:cs="SimSun"/>
          <w:color w:val="auto"/>
          <w:sz w:val="21"/>
          <w:highlight w:val="white"/>
        </w:rPr>
        <w:t xml:space="preserve">的扣除价格，用扣除后的价格参与评审。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（2）供应商需按照采购文件的要求提供相应的《中小企业声明函》。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（3）企业标准请参照《关于印发中小企业划型标准规定的通知》（工信部联企业[2011]300号）文件规定自行填写。</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2、残疾人福利单位价格扣除</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（1）本项目对残疾人福利性单位视同小型、微型企业，给予</w:t>
      </w:r>
      <w:r>
        <w:rPr>
          <w:rFonts w:ascii="SimSun" w:hAnsi="SimSun" w:eastAsia="SimSun" w:cs="SimSun"/>
          <w:color w:val="auto"/>
          <w:sz w:val="21"/>
          <w:highlight w:val="white"/>
          <w:u w:val="single"/>
        </w:rPr>
        <w:t xml:space="preserve"> </w:t>
      </w:r>
      <w:r>
        <w:rPr>
          <w:rFonts w:ascii="SimSun" w:hAnsi="SimSun" w:eastAsia="SimSun" w:cs="SimSun"/>
          <w:b/>
          <w:color w:val="auto"/>
          <w:sz w:val="21"/>
          <w:highlight w:val="white"/>
          <w:u w:val="single"/>
        </w:rPr>
        <w:t xml:space="preserve">20% </w:t>
      </w:r>
      <w:r>
        <w:rPr>
          <w:rFonts w:ascii="SimSun" w:hAnsi="SimSun" w:eastAsia="SimSun" w:cs="SimSun"/>
          <w:color w:val="auto"/>
          <w:sz w:val="21"/>
          <w:highlight w:val="white"/>
        </w:rPr>
        <w:t xml:space="preserve">的价格扣除，用扣除后的价格参与评审。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（2）残疾人福利单位需按照采购文件的要求提供《残疾人福利性单位声明函》。</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（3）残疾人福利单位标准请参照《关于促进残疾人就业政府采购政策的通知》（财库〔2017〕141号）。</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3、监狱和戒毒企业价格扣除</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（1）本项目对监狱和戒毒企业（简称监狱企业）视同小型、微型企业，给予</w:t>
      </w:r>
      <w:r>
        <w:rPr>
          <w:rFonts w:ascii="SimSun" w:hAnsi="SimSun" w:eastAsia="SimSun" w:cs="SimSun"/>
          <w:color w:val="auto"/>
          <w:sz w:val="21"/>
          <w:highlight w:val="white"/>
          <w:u w:val="single"/>
        </w:rPr>
        <w:t xml:space="preserve"> </w:t>
      </w:r>
      <w:r>
        <w:rPr>
          <w:rFonts w:ascii="SimSun" w:hAnsi="SimSun" w:eastAsia="SimSun" w:cs="SimSun"/>
          <w:b/>
          <w:color w:val="auto"/>
          <w:sz w:val="21"/>
          <w:highlight w:val="white"/>
          <w:u w:val="single"/>
        </w:rPr>
        <w:t xml:space="preserve">20% </w:t>
      </w:r>
      <w:r>
        <w:rPr>
          <w:rFonts w:ascii="SimSun" w:hAnsi="SimSun" w:eastAsia="SimSun" w:cs="SimSun"/>
          <w:color w:val="auto"/>
          <w:sz w:val="21"/>
          <w:highlight w:val="white"/>
        </w:rPr>
        <w:t xml:space="preserve">的价格扣除，用扣除后的价格参与评审。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（3）监狱企业标准请参照《关于政府采购支持监狱企业发展有关问题的通知》（财库〔2014〕68号）。</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4、残疾人福利单位、监狱企业属于小型、微型企业的，不重复享受政策。</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auto"/>
          <w:sz w:val="21"/>
          <w:highlight w:val="white"/>
          <w:u w:val="single"/>
        </w:rPr>
        <w:t xml:space="preserve">6%</w:t>
      </w:r>
      <w:r>
        <w:rPr>
          <w:rFonts w:ascii="SimSun" w:hAnsi="SimSun" w:eastAsia="SimSun" w:cs="SimSun"/>
          <w:color w:val="auto"/>
          <w:sz w:val="21"/>
          <w:highlight w:val="white"/>
        </w:rPr>
        <w:t xml:space="preserve">的价格扣除，用扣除后的价格参与评审。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6、联合体各方均为小型、微型企业（残疾人福利单位、监狱企业）的，联合体享受</w:t>
      </w:r>
      <w:r>
        <w:rPr>
          <w:rFonts w:ascii="SimSun" w:hAnsi="SimSun" w:eastAsia="SimSun" w:cs="SimSun"/>
          <w:color w:val="auto"/>
          <w:sz w:val="21"/>
          <w:highlight w:val="white"/>
          <w:u w:val="single"/>
        </w:rPr>
        <w:t xml:space="preserve">20%</w:t>
      </w:r>
      <w:r>
        <w:rPr>
          <w:rFonts w:ascii="SimSun" w:hAnsi="SimSun" w:eastAsia="SimSun" w:cs="SimSun"/>
          <w:color w:val="auto"/>
          <w:sz w:val="21"/>
          <w:highlight w:val="white"/>
        </w:rPr>
        <w:t xml:space="preserve">价格扣除，用扣除后的价格参与评审。</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7、大中型企业向小型、微型企业分包的，分包意向协议约定小型、微型企业合同份额占到合同总金额30%以上的，给予6%的价格扣除，用扣除后的价格参与评审。</w:t>
      </w:r>
      <w:r>
        <w:rPr>
          <w:color w:val="auto"/>
          <w:highlight w:val="white"/>
        </w:rPr>
      </w:r>
      <w:r/>
    </w:p>
    <w:p>
      <w:pPr>
        <w:pStyle w:val="742"/>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三、评标方法与评标标准</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70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评分项</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评分办法</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价格</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以满足招标文件要求的最低投标报价为评标基准价，得30分，其他得分＝（基准价/报价）×30×100％，保留小数点后两位。</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技术参数</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（15分）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根据投标人所投产品技术参数完全满足招标文件技术参数要求得15分。招标文件产品技术要求中加“★”号条款有一项不满足（负偏离）扣1分，其他条款有一条不满足（负偏离）扣0.5分，扣完为止。</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注：招标文件里项目需求和技术参数中标注需要提供证明材料的，均须提供相关证明材料扫描件加盖投标人公章。未提供证明材料的视为不满足，不得分；</w:t>
            </w:r>
            <w:r>
              <w:rPr>
                <w:rFonts w:ascii="SimSun" w:hAnsi="SimSun" w:eastAsia="SimSun" w:cs="SimSun"/>
                <w:b/>
                <w:color w:val="auto"/>
                <w:sz w:val="21"/>
                <w:highlight w:val="white"/>
              </w:rPr>
              <w:t xml:space="preserve">未要求提供证明材料的按技术参数响应及偏离表的响应情况进行评分。</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功能演示</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本项满分10分。使用真实系统演示或DEMO演示的，</w:t>
            </w:r>
            <w:r>
              <w:rPr>
                <w:rFonts w:ascii="SimSun" w:hAnsi="SimSun" w:eastAsia="SimSun" w:cs="SimSun"/>
                <w:b/>
                <w:color w:val="auto"/>
                <w:sz w:val="21"/>
                <w:highlight w:val="white"/>
              </w:rPr>
              <w:t xml:space="preserve">每个功能点得1分；不演示或不符合要求不得分。视频画面需清晰。视频随投标文件递交，未递交或无法播放或不满足要求的均不得分。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1、机库远程运维、实时监控、机库无人机负载摄像头控制：</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可远程查看机库和仓内飞行器状态信息、作业累计信息，并可对其远程调试。机载监控页面可正常显示；机载监控画面可正常刷新。可实现对机库无人机负载的摄像头类型切换、镜头变焦、云台操控；</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2、历史飞行态势回放：</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可对历史飞行态势数据和载荷数据进行归类存档，按任务对历史飞行态势进行回放，回放内容包括飞行航迹，飞控数据，上传的媒体资源。</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3、地图显示操作：</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可对地图进行放大缩小；可选择显示天地图矢量图或天地图影像图；可选择显示天地图矢量标注或天地图影像标注；可在地图上显示机库位置和机库作业范围；</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4、组织架构管理：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可实现对组织架构进行新增、删除、编辑、查看，并可对1级和2级组织机构进行菜单权限管理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5、人员管理：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可对系统中的账户依据组织架构进行新增、删除、编辑、查看,账户有效期限、角色设置；</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6、设备管理：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可对系统中的机库、多旋翼无人机、固定翼无人机依据组织架构进行新增、删除、编辑、查看；</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7、作业项目管理：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可依据组织架构进行新增、删除、编辑、查看作业项目，关联项目人员，并在执行机库飞行时可关联作业项目；</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8、角色管理：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可在系统中新增、删除、编辑、查看角色，并为不同角色关联不同的菜单显示权限；</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9、算法管理：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可在系统中为同一个机库配置多个算法，并可配置算法是否启用。</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10、飞行计划管理：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可新增、删除、编辑、查看飞行计划，飞行计划包含执行日期、操控员、飞行器、飞行负责人、起降点、飞行路径规划信息。</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技术方案</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（30分）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1、需求分析方案（6分）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投标人需根据本项目需求提供需求分析方案，方案包括但不限于项目总体理解与建设目标、总体建设思路与顶层架构、建设优势与创新。</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（1）方案科学严谨、逻辑严密、完全贴合项目实际需求，描述详尽且针对性强，完全具备可实施性的，得6分；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（2）方案基本合理，描述较为完整，具备可操作性，但细节或针对性略有不足的，得4分；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（3）方案存在明显不合理之处，或描述过于简略、内容欠缺，导致实施存在一定难度的，得2分；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（4）方案不合理，无实施性的或未提供的，不得分。</w:t>
            </w:r>
            <w:r>
              <w:rPr>
                <w:color w:val="auto"/>
                <w:highlight w:val="white"/>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2、平台建设方案（6分）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投标人需根据本项目需求提供平台建设方案，方案包括但不限于系统架构设计、功能建设方案、部署架构设计等。</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（1）方案科学严谨、逻辑严密、完全贴合项目实际需求，描述详尽且针对性强，完全具备可实施性的，得6分；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（2）方案基本合理，描述较为完整，具备可操作性，但细节或针对性略有不足的，得4分；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（3）方案存在明显不合理之处，或描述过于简略、内容欠缺，导致实施存在一定难度的，得2分；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（4）方案不合理，无实施性的或未提供的，不得分。</w:t>
            </w:r>
            <w:r>
              <w:rPr>
                <w:color w:val="auto"/>
                <w:highlight w:val="white"/>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3、系统安全解决方案（6分）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投标人需根据本项目需求提供系统安全解决方案，方案包括但不限于安全建设原则、网络安全管理原则、安全管理规范、网络安全保障措施。</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（1）方案科学严谨、逻辑严密、完全贴合项目实际需求，描述详尽且针对性强，完全具备可实施性的，得6分；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（2）方案基本合理，描述较为完整，具备可操作性，但细节或针对性略有不足的，得4分；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（3）方案存在明显不合理之处，或描述过于简略、内容欠缺，导致实施存在一定难度的，得2分； </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（4）方案不合理，无实施性的或未提供的，不得分。</w:t>
            </w:r>
            <w:r>
              <w:rPr>
                <w:color w:val="auto"/>
                <w:highlight w:val="white"/>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4、实施方案（6分）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投标人需根据本项目需求提供实施方案，方案包括但不限于项目实施计划、测试方案、验收方案、质量保障措施。</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（1）方案科学严谨、逻辑严密、完全贴合项目实际需求，描述详尽且针对性强，完全具备可实施性的，得6分；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（2）方案基本合理，描述较为完整，具备可操作性，但细节或针对性略有不足的，得4分；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（3）方案存在明显不合理之处，或描述过于简略、内容欠缺，导致实施存在一定难度的，得2分；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（4）方案不合理，无实施性的或未提供的，不得分。</w:t>
            </w:r>
            <w:r>
              <w:rPr>
                <w:color w:val="auto"/>
                <w:highlight w:val="white"/>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5、售后服务方案（6分）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投标人需根据本项目需求提供售后服务方案，方案包括但不限于：培训方案、故障处理响应时间、专业服务体系、专业技术人员、应急方案等。</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（1）方案科学严谨、逻辑严密、完全贴合项目实际需求，描述详尽且针对性强，完全具备可实施性的，得6分；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（2）方案基本合理，描述较为完整，具备可操作性，但细节或针对性略有不足的，得4分；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（3）方案存在明显不合理之处，或描述过于简略、内容欠缺，导致实施存在一定难度的，得2分；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（4）方案不合理，无实施性的或未提供的，不得分。</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企业实力</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1、投标人具有信息技术服务运行维护（ITSS）成熟度二级及以上证书得1分，不提供不得分；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2、投标人具有信息系统建设和服务能力基本级证书（CS2）及以上，得1分，不提供不得分；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3、投标人具有</w:t>
            </w:r>
            <w:r>
              <w:rPr>
                <w:rFonts w:ascii="SimSun" w:hAnsi="SimSun" w:eastAsia="SimSun" w:cs="SimSun"/>
                <w:color w:val="auto"/>
                <w:sz w:val="21"/>
                <w:highlight w:val="white"/>
              </w:rPr>
              <w:t xml:space="preserve">民用无人机企业服务能力等级资质证书</w:t>
            </w:r>
            <w:r>
              <w:rPr>
                <w:rFonts w:ascii="SimSun" w:hAnsi="SimSun" w:eastAsia="SimSun" w:cs="SimSun"/>
                <w:color w:val="auto"/>
                <w:sz w:val="21"/>
                <w:highlight w:val="white"/>
              </w:rPr>
              <w:t xml:space="preserve">的得1分，不提供不得分；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注：以上须提供证书，原件扫描上传，不提供不得分。</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项目组成员</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一、项目经理具有（每提供一个得1分，满分3分）：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1、信息系统项目管理师（须为相关行政部门颁发）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2、系统架构设计师（须为相关行政部门颁发）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3、系统分析师（须为相关行政部门颁发）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二、项目技术负责人具有（每提供一个得1分，满分2分）：</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1、软件设计师（须为相关行政部门颁发）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2、数据库系统工程师（须为相关行政部门颁发）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三、项目成员（项目经理、技术负责人除外）具有</w:t>
            </w:r>
            <w:r>
              <w:rPr>
                <w:rFonts w:ascii="SimSun" w:hAnsi="SimSun" w:eastAsia="SimSun" w:cs="SimSun"/>
                <w:color w:val="auto"/>
                <w:sz w:val="21"/>
                <w:highlight w:val="white"/>
              </w:rPr>
              <w:t xml:space="preserve">（每提供一个得0.5分，满分1分）</w:t>
            </w:r>
            <w:r>
              <w:rPr>
                <w:rFonts w:ascii="SimSun" w:hAnsi="SimSun" w:eastAsia="SimSun" w:cs="SimSun"/>
                <w:color w:val="auto"/>
                <w:sz w:val="21"/>
                <w:highlight w:val="white"/>
              </w:rPr>
              <w:t xml:space="preserve">：</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1、系统规划与管理师（须为相关行政部门颁发）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2、民用无人驾驶航空器操控员执照（中国民用航空局签发）</w:t>
            </w:r>
            <w:r>
              <w:rPr>
                <w:color w:val="auto"/>
                <w:highlight w:val="white"/>
              </w:rPr>
            </w:r>
            <w:r/>
          </w:p>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（注：以上人员不得重复，投标人须提供证书及投标人近三个月（</w:t>
            </w:r>
            <w:r>
              <w:rPr>
                <w:rFonts w:ascii="SimSun" w:hAnsi="SimSun" w:eastAsia="SimSun" w:cs="SimSun"/>
                <w:color w:val="auto"/>
                <w:sz w:val="21"/>
                <w:highlight w:val="white"/>
              </w:rPr>
              <w:t xml:space="preserve">2026年6月-2026年8月</w:t>
            </w:r>
            <w:r>
              <w:rPr>
                <w:rFonts w:ascii="SimSun" w:hAnsi="SimSun" w:eastAsia="SimSun" w:cs="SimSun"/>
                <w:color w:val="auto"/>
                <w:sz w:val="21"/>
                <w:highlight w:val="white"/>
              </w:rPr>
              <w:t xml:space="preserve">）任意一个月为上述持证人员缴纳社保的证明材料，扫描件加盖投标人公章上传）</w:t>
            </w:r>
            <w:r>
              <w:rPr>
                <w:color w:val="auto"/>
                <w:highlight w:val="whit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类似业绩</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（6分）</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7" w:type="dxa"/>
            <w:vAlign w:val="center"/>
            <w:textDirection w:val="lrTb"/>
            <w:noWrap w:val="false"/>
          </w:tcPr>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投标人提供2023年1月1日以来类似业绩，</w:t>
            </w:r>
            <w:r>
              <w:rPr>
                <w:rFonts w:ascii="SimSun" w:hAnsi="SimSun" w:eastAsia="SimSun" w:cs="SimSun"/>
                <w:color w:val="auto"/>
                <w:sz w:val="21"/>
                <w:highlight w:val="white"/>
              </w:rPr>
              <w:t xml:space="preserve">每提供1份合同得1分，满分6分</w:t>
            </w:r>
            <w:r>
              <w:rPr>
                <w:rFonts w:ascii="SimSun" w:hAnsi="SimSun" w:eastAsia="SimSun" w:cs="SimSun"/>
                <w:color w:val="auto"/>
                <w:sz w:val="21"/>
                <w:highlight w:val="white"/>
              </w:rPr>
              <w:t xml:space="preserve">。（提供合同原件扫描上传）</w:t>
            </w:r>
            <w:r>
              <w:rPr>
                <w:color w:val="auto"/>
                <w:highlight w:val="white"/>
              </w:rPr>
            </w:r>
            <w:r/>
          </w:p>
        </w:tc>
      </w:tr>
    </w:tbl>
    <w:p>
      <w:pPr>
        <w:ind w:left="0" w:right="0" w:firstLine="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pStyle w:val="740"/>
        <w:ind w:left="0" w:right="0" w:firstLine="560"/>
        <w:jc w:val="center"/>
        <w:spacing w:before="340" w:after="33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0"/>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第六章 投标文件格式</w:t>
      </w: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44"/>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white"/>
        </w:rPr>
        <w:t xml:space="preserve"> </w:t>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60"/>
          <w:highlight w:val="white"/>
        </w:rPr>
        <w:t xml:space="preserve">投标文件</w:t>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72"/>
          <w:highlight w:val="white"/>
        </w:rPr>
        <w:t xml:space="preserve"> </w:t>
      </w:r>
      <w:r>
        <w:rPr>
          <w:color w:val="auto"/>
          <w:highlight w:val="white"/>
        </w:rPr>
      </w:r>
      <w:r/>
    </w:p>
    <w:p>
      <w:pPr>
        <w:ind w:left="0" w:right="0" w:firstLine="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white"/>
        </w:rPr>
        <w:t xml:space="preserve"> </w:t>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项 目 名 称：</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招 标 编 号：</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投标人名称 ：</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日期 ：</w:t>
      </w:r>
      <w:r>
        <w:rPr>
          <w:color w:val="auto"/>
          <w:highlight w:val="white"/>
        </w:rPr>
      </w:r>
      <w:r/>
    </w:p>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投标人：（电子签章）</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投标主要文件目录</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一、资格审查响应对照表</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二、符合性审查响应对照表</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三、非实质性响应对照表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四</w:t>
      </w:r>
      <w:r>
        <w:rPr>
          <w:rFonts w:ascii="SimSun" w:hAnsi="SimSun" w:eastAsia="SimSun" w:cs="SimSun"/>
          <w:b/>
          <w:color w:val="auto"/>
          <w:sz w:val="24"/>
          <w:highlight w:val="white"/>
        </w:rPr>
        <w:t xml:space="preserve">、</w:t>
      </w:r>
      <w:r>
        <w:rPr>
          <w:rFonts w:ascii="SimSun" w:hAnsi="SimSun" w:eastAsia="SimSun" w:cs="SimSun"/>
          <w:i/>
          <w:color w:val="auto"/>
          <w:sz w:val="24"/>
          <w:highlight w:val="white"/>
          <w:u w:val="single"/>
        </w:rPr>
        <w:t xml:space="preserve">开标一览表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五、投标配置与分项报价表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六、技术参数响应及偏离表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七、商务条款响应及偏离表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八、拟投入人员一览表</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九、其他 （投标人认为有必要提供的声明和文件，如有自拟并自行添加）</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一、资格审查响应对照表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
        <w:gridCol w:w="8803"/>
        <w:gridCol w:w="325"/>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资格审查响应内容</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是否响应</w:t>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（填是或者否）</w:t>
            </w:r>
            <w:r>
              <w:rPr>
                <w:color w:val="auto"/>
                <w:highlight w:val="white"/>
              </w:rPr>
            </w:r>
            <w:r/>
          </w:p>
        </w:tc>
      </w:tr>
      <w:tr>
        <w:trPr>
          <w:trHeight w:val="57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通用资格条件</w:t>
            </w:r>
            <w:r>
              <w:rPr>
                <w:color w:val="auto"/>
                <w:highlight w:val="white"/>
              </w:rPr>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法人或者其他组织的营业执照等证明文件，自然人的身份证明（身份证为正、反面）</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依法缴纳职工社会保障资金的证明材料</w:t>
            </w:r>
            <w:r>
              <w:rPr>
                <w:rFonts w:ascii="SimSun" w:hAnsi="SimSun" w:eastAsia="SimSun" w:cs="SimSun"/>
                <w:b/>
                <w:color w:val="auto"/>
                <w:sz w:val="21"/>
                <w:highlight w:val="white"/>
              </w:rPr>
              <w:t xml:space="preserve">(税务、银行或社会保险基金管理部门出具的近三个月内任意一个月缴纳职工社会保障资金的缴款凭证或缴款证明，投标人依法享受缓缴、免缴的提供证明材料）</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投标人近三个月内任意一个月依法纳税的缴款凭证</w:t>
            </w:r>
            <w:r>
              <w:rPr>
                <w:rFonts w:ascii="SimSun" w:hAnsi="SimSun" w:eastAsia="SimSun" w:cs="SimSun"/>
                <w:b/>
                <w:color w:val="auto"/>
                <w:sz w:val="21"/>
                <w:highlight w:val="white"/>
              </w:rPr>
              <w:t xml:space="preserve">（投标人依法享受缓缴、免缴的提供证明材料）</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上一年度的财务报告情况</w:t>
            </w:r>
            <w:r>
              <w:rPr>
                <w:rFonts w:ascii="SimSun" w:hAnsi="SimSun" w:eastAsia="SimSun" w:cs="SimSun"/>
                <w:b/>
                <w:color w:val="auto"/>
                <w:sz w:val="21"/>
                <w:highlight w:val="white"/>
              </w:rPr>
              <w:t xml:space="preserve">（成立不满一年不需提供）</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具备履行合同所必需的设备和专业技术能力的证明材料</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参加本次政府采购活动前3年内在经营活动中没有重大违法记录的书面声明</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未被“信用中国”网站(www.creditchina.gov.cn)、“中国政府采购网"(www.ccgp.gov.cn)列入失信被执行人、重大税收违法案件当事人名单、政府采购严重违法失信行为记录名单</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8</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投标人信用承诺函。</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57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落实政府采购政策需满足的资格要求</w:t>
            </w:r>
            <w:r>
              <w:rPr>
                <w:color w:val="auto"/>
                <w:highlight w:val="white"/>
              </w:rPr>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9</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项目属于货物类采购。根据《政府采购促进中小企业发展管理办法》（财库〔2020〕46号）、《关于做好政府采购支持企业发展有关事项的通知》(苏财购(2020)52号)的要求，小型、微型、残疾人福利企业、监狱和戒毒企业在评标时享受20%价格扣除优惠。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3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特定资格条件</w:t>
            </w:r>
            <w:r>
              <w:rPr>
                <w:color w:val="auto"/>
                <w:highlight w:val="white"/>
              </w:rPr>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10</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投标人需具备民用航空管理部门颁发的民用无人驾驶航空器运营合格证。</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46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其他</w:t>
            </w:r>
            <w:r>
              <w:rPr>
                <w:color w:val="auto"/>
                <w:highlight w:val="white"/>
              </w:rPr>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11</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投标函</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12</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法人授权书</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bl>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具备履行合同所必需的设备和专业技术能力的书面声明</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9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我单位郑重声明：我单位具备履行本项采购合同所必需的设备和专业技术能力，为履行本项采购合同我公司具备如下主要设备和主要专业技术能力：</w:t>
      </w:r>
      <w:r>
        <w:rPr>
          <w:color w:val="auto"/>
          <w:highlight w:val="white"/>
        </w:rPr>
      </w:r>
      <w:r/>
    </w:p>
    <w:p>
      <w:pPr>
        <w:ind w:left="0" w:right="0" w:firstLine="49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主要设备有：</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w:t>
      </w:r>
      <w:r>
        <w:rPr>
          <w:color w:val="auto"/>
          <w:highlight w:val="white"/>
        </w:rPr>
      </w:r>
      <w:r/>
    </w:p>
    <w:p>
      <w:pPr>
        <w:ind w:left="0" w:right="0" w:firstLine="492"/>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主要专业技术能力有：</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参加本次政府采购活动前 3 年内在经营活动中没有重大违法记录的书面声明</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center"/>
        <w:spacing w:before="0" w:after="312"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声明</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我公司郑重声明：参加本次政府采购活动前 3 年内，我公司在经营活动中没有因违法经营受到刑事处罚或者责令停产停业、吊销许可证或者执照、较大数额罚款等行政处罚。</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投标人名称（公章）：</w:t>
      </w:r>
      <w:r>
        <w:rPr>
          <w:color w:val="auto"/>
          <w:highlight w:val="white"/>
        </w:rPr>
      </w:r>
      <w:r/>
    </w:p>
    <w:p>
      <w:pPr>
        <w:ind w:left="0" w:right="0" w:firstLine="560"/>
        <w:jc w:val="both"/>
        <w:spacing w:before="0" w:after="0" w:line="85" w:lineRule="atLeast"/>
        <w:rPr>
          <w:rFonts w:ascii="SimSun" w:hAnsi="SimSun" w:eastAsia="SimSun" w:cs="SimSun"/>
          <w:color w:val="auto"/>
          <w:sz w:val="21"/>
          <w:szCs w:val="2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法定代表人签章：</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                                 </w:t>
      </w:r>
      <w:r>
        <w:rPr>
          <w:rFonts w:ascii="SimSun" w:hAnsi="SimSun" w:eastAsia="SimSun" w:cs="SimSun"/>
          <w:color w:val="auto"/>
          <w:sz w:val="21"/>
          <w:highlight w:val="white"/>
        </w:rPr>
      </w:r>
      <w:r/>
    </w:p>
    <w:p>
      <w:pPr>
        <w:ind w:left="0" w:right="0" w:firstLine="560"/>
        <w:jc w:val="both"/>
        <w:spacing w:before="0" w:after="0" w:line="85" w:lineRule="atLeast"/>
        <w:rPr>
          <w:rFonts w:ascii="SimSun" w:hAnsi="SimSun" w:eastAsia="SimSun" w:cs="SimSun"/>
          <w:color w:val="auto"/>
          <w:sz w:val="21"/>
          <w:szCs w:val="2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日期：</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年</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月</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日</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投标人信用承诺书</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承诺主体名称：</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统一社会信用代码：</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一、对提供给注册登记部门、行业管理部门、司法部门、行业组织以及在政府采购活动中提交的所有资料的合法性、真实性、准确性和有效性负责；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二、严格按照国家法律、法规和规章开展采购活动，全面履行应尽的责任和义务，全面做到履约守信，具备《中华人民共和国政府采购法》第二十二条第一款规定的条件;</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三、严格依法开展生产经营活动，主动接受行业监管，自愿接受依法开展的日常检查；违法失信经营后将自愿接受约束和惩戒，并依法承担相应责任；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四、自觉接受行政管理部门、行业组织、社会公众、新闻舆论的监督；</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五、自觉做到自我约束、自我管理，不制假售假、商标侵权、虚假宣传、违约毁约、恶意逃债、偷税漏税、垄断和不正当竞争，维护经营者、消费者的合法权益；</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六、提出政府采购质疑和投诉坚持依法依规、诚实信用原则，在全国范围12个月内没有三次以上查无实据的政府采购投诉；</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七、严格遵守信用信息公示相关规定，向社会公示信用信息；</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八、在“信用中国”和“中国政府采购网”网站中无违法违规、较重或严重失信记录；</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九、如违反承诺，自愿接受管理部门依法给予的行政处罚，同意将违反承诺的行为作为不良记录记入信用档案，依法依规进行信息公示，并承担所产生的一切法律责任和经济损失。</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十、本承诺书自签订之日起生效。</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（注：法定代表人或负责人、主体名称发生变更的应当重新做出承诺。）</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承诺单位（签章）：      　　　　　　　　　   　  法定代表人（负责人）：</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年    月    日</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投标函格式</w:t>
      </w:r>
      <w:r>
        <w:rPr>
          <w:color w:val="auto"/>
          <w:highlight w:val="white"/>
        </w:rPr>
      </w:r>
      <w:r/>
    </w:p>
    <w:p>
      <w:pPr>
        <w:ind w:left="0" w:right="0" w:firstLine="0"/>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致：</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（采购人）</w:t>
      </w:r>
      <w:r>
        <w:rPr>
          <w:color w:val="auto"/>
          <w:highlight w:val="white"/>
        </w:rPr>
      </w:r>
      <w:r/>
    </w:p>
    <w:p>
      <w:pPr>
        <w:ind w:left="0" w:right="0" w:firstLine="42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根据贵方的</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号</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项目招标文件，正式授权下述签字人_________________(姓名)代表我方______________（投标人的名称），全权处理本次项目投标的有关事宜。</w:t>
      </w:r>
      <w:r>
        <w:rPr>
          <w:color w:val="auto"/>
          <w:highlight w:val="white"/>
        </w:rPr>
      </w:r>
      <w:r/>
    </w:p>
    <w:p>
      <w:pPr>
        <w:ind w:left="0" w:right="0" w:firstLine="42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据此函，__________签字人（姓名）兹宣布同意如下：</w:t>
      </w:r>
      <w:r>
        <w:rPr>
          <w:color w:val="auto"/>
          <w:highlight w:val="white"/>
        </w:rPr>
      </w:r>
      <w:r/>
    </w:p>
    <w:p>
      <w:pPr>
        <w:ind w:left="0" w:right="0" w:firstLine="42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1.按招标文件规定的各项要求，向买方提供所需货物与服务。</w:t>
      </w:r>
      <w:r>
        <w:rPr>
          <w:color w:val="auto"/>
          <w:highlight w:val="white"/>
        </w:rPr>
      </w:r>
      <w:r/>
    </w:p>
    <w:p>
      <w:pPr>
        <w:ind w:left="0" w:right="0" w:firstLine="42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2.我们完全理解贵方不一定将合同授予最低报价的投标人。</w:t>
      </w:r>
      <w:r>
        <w:rPr>
          <w:color w:val="auto"/>
          <w:highlight w:val="white"/>
        </w:rPr>
      </w:r>
      <w:r/>
    </w:p>
    <w:p>
      <w:pPr>
        <w:ind w:left="0" w:right="0" w:firstLine="42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3.我们已详细审核全部招标文件及其有效补充文件，我们知道必须放弃提出含糊不清或误解问题的权利。</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4.我们同意从规定的开标日期起遵循本投标文件，并在规定的投标有效期期满之前均具有约束力。</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5.同意向贵方提供贵方可能另外要求的与投标有关的任何证据或资料，并保证我方已提供和将要提供的文件是真实的、准确的。</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6.一旦我方中标,我方将根据招标文件的规定，严格履行合同的责任和义务,并保证在招标文件规定的时间完成项目，交付买方验收、使用。</w:t>
      </w:r>
      <w:r>
        <w:rPr>
          <w:color w:val="auto"/>
          <w:highlight w:val="white"/>
        </w:rPr>
      </w:r>
      <w:r/>
    </w:p>
    <w:p>
      <w:pPr>
        <w:ind w:left="425" w:right="0" w:firstLine="105"/>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7.与本投标有关的正式通讯地址为：</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地 址：</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邮 编：</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电 话： </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传 真： </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投标人开户行：</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账 户： </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行 号：</w:t>
      </w:r>
      <w:r>
        <w:rPr>
          <w:color w:val="auto"/>
          <w:highlight w:val="white"/>
        </w:rPr>
      </w:r>
      <w:r/>
    </w:p>
    <w:p>
      <w:pPr>
        <w:ind w:left="0" w:right="0" w:firstLine="479"/>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日 期：________年____月____日</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法人授权书</w:t>
      </w:r>
      <w:r>
        <w:rPr>
          <w:color w:val="auto"/>
          <w:highlight w:val="white"/>
        </w:rPr>
      </w:r>
      <w:r/>
    </w:p>
    <w:p>
      <w:pPr>
        <w:ind w:left="0" w:right="0" w:firstLine="560"/>
        <w:jc w:val="both"/>
        <w:spacing w:before="0" w:after="0" w:line="42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white"/>
        </w:rPr>
        <w:t xml:space="preserve"> </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本授权书声明：</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（投标人名称）授权</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（被授权人的姓名）为我方就</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（项目编号）号</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（项目名称）项目采购活动的合法代理人，以本公司名义全权处理一切与该项目采购有关的事务。</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本授权书于</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年</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月</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日起生效，特此声明。</w:t>
      </w:r>
      <w:r>
        <w:rPr>
          <w:color w:val="auto"/>
          <w:highlight w:val="white"/>
        </w:rPr>
      </w:r>
      <w:r/>
    </w:p>
    <w:p>
      <w:pPr>
        <w:ind w:left="0" w:right="0" w:firstLine="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被授权人姓名：</w:t>
      </w:r>
      <w:r>
        <w:rPr>
          <w:rFonts w:ascii="SimSun" w:hAnsi="SimSun" w:eastAsia="SimSun" w:cs="SimSun"/>
          <w:color w:val="auto"/>
          <w:sz w:val="21"/>
          <w:highlight w:val="white"/>
          <w:u w:val="single"/>
        </w:rPr>
        <w:t xml:space="preserve">                          </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联系电话（手机）：</w:t>
      </w:r>
      <w:r>
        <w:rPr>
          <w:rFonts w:ascii="SimSun" w:hAnsi="SimSun" w:eastAsia="SimSun" w:cs="SimSun"/>
          <w:color w:val="auto"/>
          <w:sz w:val="21"/>
          <w:highlight w:val="white"/>
          <w:u w:val="single"/>
        </w:rPr>
        <w:t xml:space="preserve">                       </w:t>
      </w:r>
      <w:r>
        <w:rPr>
          <w:color w:val="auto"/>
          <w:highlight w:val="white"/>
        </w:rPr>
      </w:r>
      <w:r/>
    </w:p>
    <w:p>
      <w:pPr>
        <w:ind w:left="0" w:right="0" w:firstLine="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单位名称：</w:t>
      </w:r>
      <w:r>
        <w:rPr>
          <w:rFonts w:ascii="SimSun" w:hAnsi="SimSun" w:eastAsia="SimSun" w:cs="SimSun"/>
          <w:color w:val="auto"/>
          <w:sz w:val="21"/>
          <w:highlight w:val="white"/>
          <w:u w:val="single"/>
        </w:rPr>
        <w:t xml:space="preserve">                              </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单位地址：</w:t>
      </w:r>
      <w:r>
        <w:rPr>
          <w:rFonts w:ascii="SimSun" w:hAnsi="SimSun" w:eastAsia="SimSun" w:cs="SimSun"/>
          <w:color w:val="auto"/>
          <w:sz w:val="21"/>
          <w:highlight w:val="white"/>
          <w:u w:val="single"/>
        </w:rPr>
        <w:t xml:space="preserve">                              </w:t>
      </w:r>
      <w:r>
        <w:rPr>
          <w:color w:val="auto"/>
          <w:highlight w:val="white"/>
        </w:rPr>
      </w:r>
      <w:r/>
    </w:p>
    <w:p>
      <w:pPr>
        <w:ind w:left="0" w:right="0" w:firstLine="420"/>
        <w:spacing w:before="240" w:after="240" w:line="85" w:lineRule="atLeast"/>
        <w:tabs>
          <w:tab w:val="left" w:pos="3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日期：</w:t>
      </w:r>
      <w:r>
        <w:rPr>
          <w:rFonts w:ascii="SimSun" w:hAnsi="SimSun" w:eastAsia="SimSun" w:cs="SimSun"/>
          <w:color w:val="auto"/>
          <w:sz w:val="21"/>
          <w:highlight w:val="white"/>
          <w:u w:val="singl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注：</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1、需同时提供法定代表人和被授权人身份证复印件，如法定代表人签署文件则无需出具授权书，仅需提供法定代表人身份证复印件</w:t>
      </w:r>
      <w:r>
        <w:rPr>
          <w:color w:val="auto"/>
          <w:highlight w:val="white"/>
        </w:rPr>
      </w:r>
      <w:r/>
    </w:p>
    <w:p>
      <w:pPr>
        <w:ind w:left="0" w:right="0" w:firstLine="42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需提供被授权人近三个月内任意一个月的投标人为其缴纳社会保障资金记录，如法定代表人签署文件则无需出具。投标人依法享受缓缴、免缴社会保障资金的提供证明材料，如若因成立时间未进行缴纳社会保障资金的，需提供说明。</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二、符合性审查响应对照表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
        <w:gridCol w:w="5707"/>
        <w:gridCol w:w="2038"/>
        <w:gridCol w:w="1077"/>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7"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符合性审查响应内容</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8"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是否响应（填是或者否）</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响应情况</w:t>
            </w:r>
            <w:r>
              <w:rPr>
                <w:color w:val="auto"/>
                <w:highlight w:val="white"/>
              </w:rPr>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7" w:type="dxa"/>
            <w:vAlign w:val="center"/>
            <w:textDirection w:val="lrTb"/>
            <w:noWrap/>
          </w:tcPr>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采购需求中必须满足的实质性要求（即加斜体下划线内容，每条详细列出）</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8"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7" w:type="dxa"/>
            <w:vAlign w:val="center"/>
            <w:textDirection w:val="lrTb"/>
            <w:noWrap/>
          </w:tcPr>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8"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7" w:type="dxa"/>
            <w:vAlign w:val="center"/>
            <w:textDirection w:val="lrTb"/>
            <w:noWrap/>
          </w:tcPr>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8"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7" w:type="dxa"/>
            <w:vAlign w:val="center"/>
            <w:textDirection w:val="lrTb"/>
            <w:noWrap/>
          </w:tcPr>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8"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三、非实质性响应对照表</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5159"/>
        <w:gridCol w:w="2344"/>
        <w:gridCol w:w="123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9"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非实质性响应内容</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是否响应（填是或者否）</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响应情况</w:t>
            </w:r>
            <w:r>
              <w:rPr>
                <w:color w:val="auto"/>
                <w:highlight w:val="whit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《企业声明函》</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《残疾人福利性单位声明函》</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4"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2"/>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312" w:after="312"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中小企业声明函（货物）</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本公司（联合体）郑重声明，根据《政府采购促进中小企业发展管理办法》（财库﹝2020﹞46 号）的规定，本公司（联合体）参加</w:t>
      </w:r>
      <w:r>
        <w:rPr>
          <w:rFonts w:ascii="SimSun" w:hAnsi="SimSun" w:eastAsia="SimSun" w:cs="SimSun"/>
          <w:color w:val="auto"/>
          <w:sz w:val="21"/>
          <w:highlight w:val="white"/>
          <w:u w:val="single"/>
        </w:rPr>
        <w:t xml:space="preserve">（单位名称）</w:t>
      </w:r>
      <w:r>
        <w:rPr>
          <w:rFonts w:ascii="SimSun" w:hAnsi="SimSun" w:eastAsia="SimSun" w:cs="SimSun"/>
          <w:color w:val="auto"/>
          <w:sz w:val="21"/>
          <w:highlight w:val="white"/>
        </w:rPr>
        <w:t xml:space="preserve">的</w:t>
      </w:r>
      <w:r>
        <w:rPr>
          <w:rFonts w:ascii="SimSun" w:hAnsi="SimSun" w:eastAsia="SimSun" w:cs="SimSun"/>
          <w:color w:val="auto"/>
          <w:sz w:val="21"/>
          <w:highlight w:val="white"/>
          <w:u w:val="single"/>
        </w:rPr>
        <w:t xml:space="preserve">（项目名称）</w:t>
      </w:r>
      <w:r>
        <w:rPr>
          <w:rFonts w:ascii="SimSun" w:hAnsi="SimSun" w:eastAsia="SimSun" w:cs="SimSun"/>
          <w:color w:val="auto"/>
          <w:sz w:val="21"/>
          <w:highlight w:val="white"/>
        </w:rPr>
        <w:t xml:space="preserve">采购活动，提供的货物全部由符合政策要求的中小企业制造。相关企业（含联合体中的中小企业、签订分包意向协议的中小企业）的具体情况如下：</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 </w:t>
      </w:r>
      <w:r>
        <w:rPr>
          <w:rFonts w:ascii="SimSun" w:hAnsi="SimSun" w:eastAsia="SimSun" w:cs="SimSun"/>
          <w:color w:val="auto"/>
          <w:sz w:val="21"/>
          <w:highlight w:val="white"/>
          <w:u w:val="single"/>
        </w:rPr>
        <w:t xml:space="preserve">（标的名称） </w:t>
      </w:r>
      <w:r>
        <w:rPr>
          <w:rFonts w:ascii="SimSun" w:hAnsi="SimSun" w:eastAsia="SimSun" w:cs="SimSun"/>
          <w:color w:val="auto"/>
          <w:sz w:val="21"/>
          <w:highlight w:val="white"/>
        </w:rPr>
        <w:t xml:space="preserve">，属于</w:t>
      </w:r>
      <w:r>
        <w:rPr>
          <w:rFonts w:ascii="SimSun" w:hAnsi="SimSun" w:eastAsia="SimSun" w:cs="SimSun"/>
          <w:color w:val="auto"/>
          <w:sz w:val="21"/>
          <w:highlight w:val="white"/>
          <w:u w:val="single"/>
        </w:rPr>
        <w:t xml:space="preserve">工业（不得对行业类别修改）</w:t>
      </w:r>
      <w:r>
        <w:rPr>
          <w:rFonts w:ascii="SimSun" w:hAnsi="SimSun" w:eastAsia="SimSun" w:cs="SimSun"/>
          <w:color w:val="auto"/>
          <w:sz w:val="21"/>
          <w:highlight w:val="white"/>
        </w:rPr>
        <w:t xml:space="preserve">；制造商为</w:t>
      </w:r>
      <w:r>
        <w:rPr>
          <w:rFonts w:ascii="SimSun" w:hAnsi="SimSun" w:eastAsia="SimSun" w:cs="SimSun"/>
          <w:color w:val="auto"/>
          <w:sz w:val="21"/>
          <w:highlight w:val="white"/>
          <w:u w:val="single"/>
        </w:rPr>
        <w:t xml:space="preserve">（企业名称）</w:t>
      </w:r>
      <w:r>
        <w:rPr>
          <w:rFonts w:ascii="SimSun" w:hAnsi="SimSun" w:eastAsia="SimSun" w:cs="SimSun"/>
          <w:color w:val="auto"/>
          <w:sz w:val="21"/>
          <w:highlight w:val="white"/>
        </w:rPr>
        <w:t xml:space="preserve">，从业人员</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人，营业收入为</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万元，资产总额为</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万元</w:t>
      </w:r>
      <w:hyperlink r:id="rId16" w:tooltip="https://jszfcg.jsczt.cn/jszc/onlyoffice/7.2.1-34/web-apps/apps/documenteditor/main/index_loader.html?_dc=7.2.1-34&amp;lang=zh&amp;customer=%20&amp;logo=%20&amp;headerlogo=%2Ffavicon.ico&amp;frameEditorId=iframePage&amp;compact=true&amp;parentOrigin=https://jszfcg.jsczt.cn#br1" w:history="1">
        <w:r>
          <w:rPr>
            <w:rStyle w:val="733"/>
            <w:rFonts w:ascii="SimSun" w:hAnsi="SimSun" w:eastAsia="SimSun" w:cs="SimSun"/>
            <w:color w:val="auto"/>
            <w:spacing w:val="-1"/>
            <w:sz w:val="21"/>
            <w:highlight w:val="white"/>
            <w:u w:val="single"/>
            <w:vertAlign w:val="superscript"/>
          </w:rPr>
          <w:t xml:space="preserve">1</w:t>
        </w:r>
      </w:hyperlink>
      <w:r>
        <w:rPr>
          <w:rFonts w:ascii="SimSun" w:hAnsi="SimSun" w:eastAsia="SimSun" w:cs="SimSun"/>
          <w:color w:val="auto"/>
          <w:sz w:val="21"/>
          <w:highlight w:val="white"/>
        </w:rPr>
        <w:t xml:space="preserve">，属于</w:t>
      </w:r>
      <w:r>
        <w:rPr>
          <w:rFonts w:ascii="SimSun" w:hAnsi="SimSun" w:eastAsia="SimSun" w:cs="SimSun"/>
          <w:color w:val="auto"/>
          <w:sz w:val="21"/>
          <w:highlight w:val="white"/>
          <w:u w:val="single"/>
        </w:rPr>
        <w:t xml:space="preserve">（中型企业、小型企业、微型企业）；</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 </w:t>
      </w:r>
      <w:r>
        <w:rPr>
          <w:rFonts w:ascii="SimSun" w:hAnsi="SimSun" w:eastAsia="SimSun" w:cs="SimSun"/>
          <w:color w:val="auto"/>
          <w:sz w:val="21"/>
          <w:highlight w:val="white"/>
          <w:u w:val="single"/>
        </w:rPr>
        <w:t xml:space="preserve">（标的名称） </w:t>
      </w:r>
      <w:r>
        <w:rPr>
          <w:rFonts w:ascii="SimSun" w:hAnsi="SimSun" w:eastAsia="SimSun" w:cs="SimSun"/>
          <w:color w:val="auto"/>
          <w:sz w:val="21"/>
          <w:highlight w:val="white"/>
        </w:rPr>
        <w:t xml:space="preserve">，属于</w:t>
      </w:r>
      <w:r>
        <w:rPr>
          <w:rFonts w:ascii="SimSun" w:hAnsi="SimSun" w:eastAsia="SimSun" w:cs="SimSun"/>
          <w:color w:val="auto"/>
          <w:sz w:val="21"/>
          <w:highlight w:val="white"/>
          <w:u w:val="single"/>
        </w:rPr>
        <w:t xml:space="preserve">（招标文件中明确的所属行业）行业（不得对行业类别修改）；</w:t>
      </w:r>
      <w:r>
        <w:rPr>
          <w:rFonts w:ascii="SimSun" w:hAnsi="SimSun" w:eastAsia="SimSun" w:cs="SimSun"/>
          <w:color w:val="auto"/>
          <w:sz w:val="21"/>
          <w:highlight w:val="white"/>
        </w:rPr>
        <w:t xml:space="preserve">制造商为</w:t>
      </w:r>
      <w:r>
        <w:rPr>
          <w:rFonts w:ascii="SimSun" w:hAnsi="SimSun" w:eastAsia="SimSun" w:cs="SimSun"/>
          <w:color w:val="auto"/>
          <w:sz w:val="21"/>
          <w:highlight w:val="white"/>
          <w:u w:val="single"/>
        </w:rPr>
        <w:t xml:space="preserve">（企业名称）</w:t>
      </w:r>
      <w:r>
        <w:rPr>
          <w:rFonts w:ascii="SimSun" w:hAnsi="SimSun" w:eastAsia="SimSun" w:cs="SimSun"/>
          <w:color w:val="auto"/>
          <w:sz w:val="21"/>
          <w:highlight w:val="white"/>
        </w:rPr>
        <w:t xml:space="preserve">，从业人员</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人，营业收入为</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万元，资产总额为</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万元，属于</w:t>
      </w:r>
      <w:r>
        <w:rPr>
          <w:rFonts w:ascii="SimSun" w:hAnsi="SimSun" w:eastAsia="SimSun" w:cs="SimSun"/>
          <w:color w:val="auto"/>
          <w:sz w:val="21"/>
          <w:highlight w:val="white"/>
          <w:u w:val="single"/>
        </w:rPr>
        <w:t xml:space="preserve">（中型企业、小型企业、微型企业）；</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以上企业，不属于大企业的分支机构，不存在控股股东为大企业的情形，也不存在与大企业的负责人为同一人的情形。</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本企业对上述声明内容的真实性负责。如有虚假，将依法承担相应责任。</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注： 1、从业人员（不仅指在职职工）、营业收入、资产总额填报上一年度数据，无上一年度数据的新成立企业可不填报。</w:t>
      </w:r>
      <w:r>
        <w:rPr>
          <w:color w:val="auto"/>
          <w:highlight w:val="white"/>
        </w:rPr>
      </w:r>
      <w:r/>
    </w:p>
    <w:p>
      <w:pPr>
        <w:ind w:left="0" w:right="0" w:firstLine="420"/>
        <w:jc w:val="both"/>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2、投标人如不提供此声明函，价格将不做相应扣除。</w:t>
      </w:r>
      <w:r>
        <w:rPr>
          <w:color w:val="auto"/>
          <w:highlight w:val="white"/>
        </w:rPr>
      </w:r>
      <w:r/>
    </w:p>
    <w:p>
      <w:pPr>
        <w:ind w:left="0" w:right="0" w:firstLine="560"/>
        <w:jc w:val="both"/>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3、企业声明函请完整填写，中标后将公示。</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5、声明函应涵盖本项目(分包)所有货物，否则价格不作扣除。</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6、中小企业不得属于大企业的分支机构，不得存在控股股东为大企业的情形，不得存在与大企业的负责人为同一人的情形。</w:t>
      </w:r>
      <w:r>
        <w:rPr>
          <w:color w:val="auto"/>
          <w:highlight w:val="white"/>
        </w:rPr>
      </w:r>
      <w:r/>
    </w:p>
    <w:p>
      <w:pPr>
        <w:ind w:left="0" w:right="0" w:firstLine="420"/>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7、</w:t>
      </w:r>
      <w:r>
        <w:rPr>
          <w:rFonts w:ascii="SimSun" w:hAnsi="SimSun" w:eastAsia="SimSun" w:cs="SimSun"/>
          <w:color w:val="auto"/>
          <w:sz w:val="21"/>
          <w:highlight w:val="whit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auto"/>
          <w:highlight w:val="white"/>
        </w:rPr>
      </w:r>
      <w:r/>
    </w:p>
    <w:p>
      <w:pPr>
        <w:ind w:left="0" w:right="0" w:firstLine="5250"/>
        <w:jc w:val="right"/>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250"/>
        <w:jc w:val="right"/>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企业名称（盖章）：              </w:t>
      </w:r>
      <w:r>
        <w:rPr>
          <w:color w:val="auto"/>
          <w:highlight w:val="white"/>
        </w:rPr>
      </w:r>
      <w:r/>
    </w:p>
    <w:p>
      <w:pPr>
        <w:ind w:left="0" w:right="0" w:firstLine="560"/>
        <w:jc w:val="center"/>
        <w:spacing w:before="0" w:after="0" w:line="74"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日 期：</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中小微企业划型标准</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rFonts w:ascii="SimSun" w:hAnsi="SimSun" w:eastAsia="SimSun" w:cs="SimSun"/>
          <w:b/>
          <w:color w:val="auto"/>
          <w:sz w:val="21"/>
          <w:highlight w:val="white"/>
        </w:rPr>
        <w:t xml:space="preserve">中小微企业划型标准如下：</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6"/>
        <w:gridCol w:w="1643"/>
        <w:gridCol w:w="851"/>
        <w:gridCol w:w="1702"/>
        <w:gridCol w:w="1615"/>
        <w:gridCol w:w="1418"/>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2126"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行业名称</w:t>
            </w:r>
            <w:r>
              <w:rPr>
                <w:color w:val="auto"/>
                <w:highlight w:val="white"/>
              </w:rPr>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指标名称</w:t>
            </w:r>
            <w:r>
              <w:rPr>
                <w:color w:val="auto"/>
                <w:highlight w:val="white"/>
              </w:rPr>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计量单位</w:t>
            </w:r>
            <w:r>
              <w:rPr>
                <w:color w:val="auto"/>
                <w:highlight w:val="white"/>
              </w:rPr>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中型</w:t>
            </w:r>
            <w:r>
              <w:rPr>
                <w:color w:val="auto"/>
                <w:highlight w:val="white"/>
              </w:rPr>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小型</w:t>
            </w:r>
            <w:r>
              <w:rPr>
                <w:color w:val="auto"/>
                <w:highlight w:val="white"/>
              </w:rPr>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微型</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农、林、牧、渔</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500≤Y＜20000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50≤Y＜500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Y＜50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工业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300≤X＜1000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X＜20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2000≤Y＜40000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300≤Y＜2000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Y＜300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建筑业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6000≤Y＜80000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300≤Y＜6000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Y＜300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资产总额（Z）</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5000≤Z＜80000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300≤Z＜5000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Z＜300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批发业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20≤X＜200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5≤X＜20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X＜5</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5000≤Y＜40000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1000≤Y＜5000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零售业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10≤X＜50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500≤Y＜20000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100≤Y＜500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交通运输业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300≤X＜1000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X＜20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3000≤Y＜30000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200≤Y＜3000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Y＜200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仓储业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100≤X＜200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X＜20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1000≤Y＜30000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邮政业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300≤X＜1000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X＜20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2000≤Y＜30000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100≤Y＜2000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住宿业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2000≤Y＜10000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100≤Y＜2000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餐饮业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2000≤Y＜10000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100≤Y＜2000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信息传输业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100≤X＜2000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1000≤Y＜100000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100≤Y＜1000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软件和信息技术服务业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1000≤Y＜10000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50≤Y＜1000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Y＜50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房地产开发经营</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1000≤Y＜200000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资产总额（Z）</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5000≤Z＜10000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2000≤Y＜5000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Y＜2000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物业管理</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300≤X＜1000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营业收入（Y）</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1000≤Y＜5000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500≤Y＜1000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Y＜500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vMerge w:val="restart"/>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租赁和商务服务业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资产总额（Z）</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万元</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8000≤Z＜120000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100≤Z＜8000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Y＜100</w:t>
            </w:r>
            <w:r>
              <w:rPr>
                <w:color w:val="auto"/>
                <w:highlight w:val="white"/>
              </w:rPr>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2126" w:type="dxa"/>
            <w:vAlign w:val="bottom"/>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其他未列明行业</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43"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从业人员（X）</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851"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人</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02"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100≤X＜300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15" w:type="dxa"/>
            <w:vAlign w:val="center"/>
            <w:textDirection w:val="lrTb"/>
            <w:noWrap/>
          </w:tcPr>
          <w:p>
            <w:pPr>
              <w:ind w:left="0" w:right="0" w:firstLine="0"/>
              <w:jc w:val="center"/>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10≤X＜100</w:t>
            </w:r>
            <w:r>
              <w:rPr>
                <w:color w:val="auto"/>
                <w:highlight w:val="white"/>
              </w:r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18" w:type="dxa"/>
            <w:vAlign w:val="center"/>
            <w:textDirection w:val="lrTb"/>
            <w:noWrap/>
          </w:tcPr>
          <w:p>
            <w:pPr>
              <w:ind w:left="0" w:right="0" w:firstLine="0"/>
              <w:jc w:val="both"/>
              <w:spacing w:before="0" w:after="0" w:line="360"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X＜10</w:t>
            </w:r>
            <w:r>
              <w:rPr>
                <w:color w:val="auto"/>
                <w:highlight w:val="white"/>
              </w:rPr>
            </w:r>
            <w:r/>
          </w:p>
        </w:tc>
      </w:tr>
    </w:tbl>
    <w:p>
      <w:pPr>
        <w:ind w:left="0" w:right="0" w:firstLine="810"/>
        <w:jc w:val="both"/>
        <w:spacing w:before="300" w:after="452"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white"/>
        </w:rPr>
      </w:r>
      <w:r/>
    </w:p>
    <w:p>
      <w:pPr>
        <w:pStyle w:val="744"/>
        <w:ind w:left="0" w:right="0" w:firstLine="560"/>
        <w:jc w:val="center"/>
        <w:spacing w:before="260" w:after="26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4"/>
        <w:ind w:left="0" w:right="0" w:firstLine="560"/>
        <w:jc w:val="center"/>
        <w:spacing w:before="260" w:after="26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残疾人福利性单位声明函</w:t>
      </w:r>
      <w:r>
        <w:rPr>
          <w:color w:val="auto"/>
          <w:highlight w:val="white"/>
        </w:rPr>
      </w:r>
      <w:r/>
    </w:p>
    <w:p>
      <w:pPr>
        <w:ind w:left="0" w:right="0" w:firstLine="624"/>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highlight w:val="white"/>
        </w:rPr>
        <w:t xml:space="preserve">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______项目采购活动提供本单位制造的产品或服务（由本单位承担工程/提供服务），或者提供其他残疾人福利性单位制造的产品或服务（不包括使用非残疾人福利性单位注册商标的产品或服务）。</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本单位在本次政府采购活动中提供的残疾人福利单位产品报价合计为人民币（大写）圆整（￥：</w:t>
      </w:r>
      <w:r>
        <w:rPr>
          <w:rFonts w:ascii="SimSun" w:hAnsi="SimSun" w:eastAsia="SimSun" w:cs="SimSun"/>
          <w:color w:val="auto"/>
          <w:sz w:val="21"/>
          <w:highlight w:val="white"/>
          <w:u w:val="single"/>
        </w:rPr>
        <w:t xml:space="preserve">     </w:t>
      </w:r>
      <w:r>
        <w:rPr>
          <w:rFonts w:ascii="SimSun" w:hAnsi="SimSun" w:eastAsia="SimSun" w:cs="SimSun"/>
          <w:color w:val="auto"/>
          <w:sz w:val="21"/>
          <w:highlight w:val="white"/>
        </w:rPr>
        <w:t xml:space="preserve">）。</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本单位对上述声明的真实性负责。如有虚假，将依法承担相应责任。</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（备注：1、投标人如不提供此声明函，价格将不做相应扣除。2、中标投标人为残疾人福利单位的，此声明函将随中标结果同时公告，接受社会监督）</w:t>
      </w:r>
      <w:r>
        <w:rPr>
          <w:color w:val="auto"/>
          <w:highlight w:val="white"/>
        </w:rPr>
      </w:r>
      <w:r/>
    </w:p>
    <w:p>
      <w:pPr>
        <w:ind w:left="0" w:right="0" w:firstLine="444"/>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1"/>
          <w:highlight w:val="white"/>
        </w:rPr>
        <w:t xml:space="preserve"> </w:t>
      </w:r>
      <w:r>
        <w:rPr>
          <w:color w:val="auto"/>
          <w:highlight w:val="white"/>
        </w:rPr>
      </w:r>
      <w:r/>
    </w:p>
    <w:p>
      <w:pPr>
        <w:ind w:left="0" w:right="1560" w:firstLine="444"/>
        <w:jc w:val="center"/>
        <w:spacing w:before="0" w:after="0" w:line="85" w:lineRule="atLeast"/>
        <w:tabs>
          <w:tab w:val="left" w:pos="48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投标人全称（盖章）：</w:t>
      </w:r>
      <w:r>
        <w:rPr>
          <w:color w:val="auto"/>
          <w:highlight w:val="white"/>
        </w:rPr>
      </w:r>
      <w:r/>
    </w:p>
    <w:p>
      <w:pPr>
        <w:ind w:left="0" w:right="1560" w:firstLine="420"/>
        <w:jc w:val="center"/>
        <w:spacing w:before="0" w:after="0" w:line="85" w:lineRule="atLeast"/>
        <w:tabs>
          <w:tab w:val="left" w:pos="4860" w:leader="none"/>
        </w:tabs>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日期：</w:t>
      </w:r>
      <w:r>
        <w:rPr>
          <w:color w:val="auto"/>
          <w:highlight w:val="white"/>
        </w:rPr>
      </w:r>
      <w:r/>
    </w:p>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四、开标一览表</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项目名称：</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项目编号：</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6"/>
        <w:gridCol w:w="7158"/>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6"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投标货物及服务名称</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8"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投标总报价</w:t>
            </w:r>
            <w:r>
              <w:rPr>
                <w:color w:val="auto"/>
                <w:highlight w:val="white"/>
              </w:rPr>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6"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8" w:type="dxa"/>
            <w:vAlign w:val="center"/>
            <w:textDirection w:val="lrTb"/>
            <w:noWrap/>
          </w:tcPr>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大写：</w:t>
            </w:r>
            <w:r>
              <w:rPr>
                <w:color w:val="auto"/>
                <w:highlight w:val="white"/>
              </w:rPr>
            </w:r>
            <w:r/>
          </w:p>
          <w:p>
            <w:pPr>
              <w:ind w:left="0" w:right="0" w:firstLine="0"/>
              <w:spacing w:before="0" w:after="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小写：                             （人民币：元）</w:t>
            </w:r>
            <w:r>
              <w:rPr>
                <w:color w:val="auto"/>
                <w:highlight w:val="white"/>
              </w:rPr>
            </w:r>
            <w:r/>
          </w:p>
        </w:tc>
      </w:tr>
    </w:tbl>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1"/>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1"/>
          <w:highlight w:val="white"/>
        </w:rPr>
        <w:t xml:space="preserve">                                             </w:t>
      </w:r>
      <w:r>
        <w:rPr>
          <w:rFonts w:ascii="SimSun" w:hAnsi="SimSun" w:eastAsia="SimSun" w:cs="SimSun"/>
          <w:color w:val="auto"/>
          <w:sz w:val="21"/>
          <w:highlight w:val="white"/>
        </w:rPr>
        <w:t xml:space="preserve"> 日期：年   月   日</w:t>
      </w:r>
      <w:r>
        <w:rPr>
          <w:color w:val="auto"/>
          <w:highlight w:val="white"/>
        </w:rPr>
      </w:r>
      <w:r/>
    </w:p>
    <w:p>
      <w:pPr>
        <w:ind w:left="0" w:right="0" w:firstLine="64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highlight w:val="white"/>
        </w:rPr>
        <w:t xml:space="preserve"> </w:t>
      </w:r>
      <w:r>
        <w:rPr>
          <w:color w:val="auto"/>
          <w:highlight w:val="white"/>
        </w:rPr>
      </w:r>
      <w:r/>
    </w:p>
    <w:p>
      <w:pPr>
        <w:ind w:left="0" w:right="0" w:firstLine="64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highlight w:val="white"/>
        </w:rPr>
        <w:t xml:space="preserve"> </w:t>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五、投标产品配置及分项报价表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5"/>
        <w:gridCol w:w="1320"/>
        <w:gridCol w:w="773"/>
        <w:gridCol w:w="1275"/>
        <w:gridCol w:w="913"/>
        <w:gridCol w:w="1547"/>
      </w:tblGrid>
      <w:tr>
        <w:trPr>
          <w:trHeight w:val="8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产品名称及规格、型号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数量</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产地</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交付期</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总价</w:t>
            </w:r>
            <w:r>
              <w:rPr>
                <w:color w:val="auto"/>
                <w:highlight w:val="white"/>
              </w:rPr>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9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7" w:type="dxa"/>
            <w:vAlign w:val="center"/>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10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合计</w:t>
            </w:r>
            <w:r>
              <w:rPr>
                <w:color w:val="auto"/>
                <w:highlight w:val="white"/>
              </w:rPr>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8" w:type="dxa"/>
            <w:vAlign w:val="top"/>
            <w:textDirection w:val="lrTb"/>
            <w:noWrap/>
          </w:tcPr>
          <w:p>
            <w:pPr>
              <w:ind w:left="0" w:right="0" w:firstLine="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21"/>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六、技术参数响应及偏离表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551"/>
        <w:gridCol w:w="2701"/>
        <w:gridCol w:w="1680"/>
        <w:gridCol w:w="12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招标要求</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投标响应</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超出、符合或偏离</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证明材料</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0" w:type="dxa"/>
            <w:vAlign w:val="top"/>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注：1、按照第四章技术要求逐条详细填列。</w:t>
      </w:r>
      <w:r>
        <w:rPr>
          <w:color w:val="auto"/>
          <w:highlight w:val="white"/>
        </w:rPr>
      </w:r>
      <w:r/>
    </w:p>
    <w:p>
      <w:pPr>
        <w:ind w:left="0" w:right="0" w:firstLine="9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2、行数不够，可自行添加。</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b/>
          <w:color w:val="auto"/>
          <w:sz w:val="36"/>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2"/>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pStyle w:val="742"/>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七、商务条款响应及偏离表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8"/>
        <w:gridCol w:w="2502"/>
        <w:gridCol w:w="2160"/>
        <w:gridCol w:w="2291"/>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项目</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招标文件要求</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投标人的承诺或说明</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是否响应</w:t>
            </w:r>
            <w:r>
              <w:rPr>
                <w:color w:val="auto"/>
                <w:highlight w:val="white"/>
              </w:rPr>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420"/>
              <w:jc w:val="center"/>
              <w:spacing w:before="156"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交付时间</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420"/>
              <w:jc w:val="center"/>
              <w:spacing w:before="156"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交货方式</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420"/>
              <w:jc w:val="center"/>
              <w:spacing w:before="156"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交货地点</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43"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43"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420"/>
              <w:jc w:val="center"/>
              <w:spacing w:before="156"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付款方式</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43"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43"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其他</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0"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注：1、按照第四章商务和服务需求逐条详细填列。</w:t>
      </w:r>
      <w:r>
        <w:rPr>
          <w:color w:val="auto"/>
          <w:highlight w:val="white"/>
        </w:rPr>
      </w:r>
      <w:r/>
    </w:p>
    <w:p>
      <w:pPr>
        <w:ind w:left="0" w:right="0" w:firstLine="9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2、行数不够，可自行添加。</w:t>
      </w:r>
      <w:r>
        <w:rPr>
          <w:color w:val="auto"/>
          <w:highlight w:val="white"/>
        </w:rPr>
      </w:r>
      <w:r/>
    </w:p>
    <w:p>
      <w:pPr>
        <w:ind w:left="0" w:right="0" w:firstLine="0"/>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0"/>
        <w:jc w:val="center"/>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八、拟投入人员一览表</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743"/>
        <w:gridCol w:w="744"/>
        <w:gridCol w:w="801"/>
        <w:gridCol w:w="727"/>
        <w:gridCol w:w="1365"/>
        <w:gridCol w:w="855"/>
        <w:gridCol w:w="1573"/>
        <w:gridCol w:w="871"/>
      </w:tblGrid>
      <w:tr>
        <w:trPr>
          <w:trHeight w:val="7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序号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岗位</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姓 名</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性别</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学历</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出生年月</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专业</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证书及编号</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备注</w:t>
            </w:r>
            <w:r>
              <w:rPr>
                <w:color w:val="auto"/>
                <w:highlight w:val="white"/>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tc>
      </w:tr>
    </w:tbl>
    <w:p>
      <w:pPr>
        <w:ind w:left="0" w:right="0" w:firstLine="560"/>
        <w:jc w:val="both"/>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right"/>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投标人名称（加盖CA电子公章）：____________</w:t>
      </w:r>
      <w:r>
        <w:rPr>
          <w:color w:val="auto"/>
          <w:highlight w:val="white"/>
        </w:rPr>
      </w:r>
      <w:r/>
    </w:p>
    <w:p>
      <w:pPr>
        <w:ind w:left="0" w:right="0" w:firstLine="560"/>
        <w:jc w:val="right"/>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日期：_____年______月______日   </w:t>
      </w:r>
      <w:r>
        <w:rPr>
          <w:color w:val="auto"/>
          <w:highlight w:val="white"/>
        </w:rPr>
      </w:r>
      <w:r/>
    </w:p>
    <w:p>
      <w:pPr>
        <w:ind w:left="0" w:right="0" w:firstLine="560"/>
        <w:jc w:val="right"/>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right"/>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right"/>
        <w:spacing w:before="25" w:after="25"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0"/>
        <w:jc w:val="center"/>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 </w:t>
      </w:r>
      <w:r>
        <w:rPr>
          <w:color w:val="auto"/>
          <w:highlight w:val="white"/>
        </w:rPr>
      </w:r>
      <w:r/>
    </w:p>
    <w:p>
      <w:pPr>
        <w:ind w:left="0" w:right="0" w:firstLine="0"/>
        <w:jc w:val="center"/>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0"/>
        <w:jc w:val="center"/>
        <w:spacing w:before="240" w:after="240"/>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white"/>
        </w:rPr>
        <w:t xml:space="preserve">九、其他</w:t>
      </w:r>
      <w:r>
        <w:rPr>
          <w:color w:val="auto"/>
          <w:highlight w:val="white"/>
        </w:rPr>
      </w:r>
      <w:r/>
    </w:p>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p>
      <w:pPr>
        <w:ind w:left="0" w:right="0" w:firstLine="56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p>
      <w:pPr>
        <w:ind w:left="0" w:right="0" w:firstLine="0"/>
        <w:jc w:val="center"/>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投标人认为有必要提供的声明和文件，如有自拟并自行添加</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30"/>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u w:val="non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48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white"/>
        </w:rPr>
        <w:t xml:space="preserve"> </w:t>
      </w:r>
      <w:r>
        <w:rPr>
          <w:color w:val="auto"/>
          <w:highlight w:val="white"/>
        </w:rPr>
      </w:r>
      <w:r/>
    </w:p>
    <w:p>
      <w:pPr>
        <w:ind w:left="0" w:right="0" w:firstLine="560"/>
        <w:jc w:val="both"/>
        <w:spacing w:before="0" w:after="0" w:line="31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312"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主要标的信息（中标后将公示）</w:t>
      </w:r>
      <w:r>
        <w:rPr>
          <w:color w:val="auto"/>
          <w:highlight w:val="white"/>
        </w:rPr>
      </w:r>
      <w:r/>
    </w:p>
    <w:p>
      <w:pPr>
        <w:ind w:left="0" w:right="0" w:firstLine="560"/>
        <w:jc w:val="both"/>
        <w:spacing w:before="0" w:after="312"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312"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投标人全称：</w:t>
      </w:r>
      <w:r>
        <w:rPr>
          <w:color w:val="auto"/>
          <w:highlight w:val="white"/>
        </w:rPr>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rHeight w:val="8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货物类</w:t>
            </w:r>
            <w:r>
              <w:rPr>
                <w:color w:val="auto"/>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tcPr>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服务类</w:t>
            </w:r>
            <w:r>
              <w:rPr>
                <w:color w:val="auto"/>
                <w:highlight w:val="white"/>
              </w:rPr>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center"/>
            <w:textDirection w:val="lrTb"/>
            <w:noWrap/>
          </w:tcPr>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名称：</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品牌（如有）：</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规格型号：</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数量：</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单价：</w:t>
            </w:r>
            <w:r>
              <w:rPr>
                <w:color w:val="auto"/>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0" w:type="dxa"/>
            <w:vAlign w:val="center"/>
            <w:textDirection w:val="lrTb"/>
            <w:noWrap/>
          </w:tcPr>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名称：</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服务范围：</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服务要求：</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服务时间：</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服务标准：</w:t>
            </w:r>
            <w:r>
              <w:rPr>
                <w:color w:val="auto"/>
                <w:highlight w:val="white"/>
              </w:rPr>
            </w:r>
            <w:r/>
          </w:p>
        </w:tc>
      </w:tr>
    </w:tbl>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color w:val="auto"/>
          <w:highlight w:val="white"/>
        </w:rPr>
        <w:br w:type="page" w:clear="all"/>
      </w:r>
      <w:r>
        <w:rPr>
          <w:color w:val="auto"/>
          <w:highlight w:val="white"/>
        </w:rPr>
      </w:r>
      <w:r/>
    </w:p>
    <w:p>
      <w:pPr>
        <w:ind w:left="0" w:right="0" w:firstLine="560"/>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联合体协议（如有）</w:t>
      </w:r>
      <w:r>
        <w:rPr>
          <w:color w:val="auto"/>
          <w:highlight w:val="white"/>
        </w:rPr>
      </w:r>
      <w:r/>
    </w:p>
    <w:p>
      <w:pPr>
        <w:ind w:left="0" w:right="0" w:firstLine="211"/>
        <w:jc w:val="center"/>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（联合体中各投标人全称）在此达成以下协议：</w:t>
      </w:r>
      <w:r>
        <w:rPr>
          <w:color w:val="auto"/>
          <w:highlight w:val="white"/>
        </w:rPr>
      </w:r>
      <w:r/>
    </w:p>
    <w:p>
      <w:pPr>
        <w:ind w:left="0" w:right="0" w:firstLine="645"/>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1、我们自愿组成联合体，参加代理机构组织的采购编号为（项目编号）（项目全称）的政府采购活动。</w:t>
      </w:r>
      <w:r>
        <w:rPr>
          <w:color w:val="auto"/>
          <w:highlight w:val="white"/>
        </w:rPr>
      </w:r>
      <w:r/>
    </w:p>
    <w:p>
      <w:pPr>
        <w:ind w:left="0" w:right="0" w:firstLine="645"/>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rPr>
          <w:color w:val="auto"/>
          <w:highlight w:val="white"/>
        </w:rPr>
      </w:r>
      <w:r/>
    </w:p>
    <w:p>
      <w:pPr>
        <w:ind w:left="0" w:right="0" w:firstLine="645"/>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462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所有投标人全称：</w:t>
      </w:r>
      <w:r>
        <w:rPr>
          <w:color w:val="auto"/>
          <w:highlight w:val="white"/>
        </w:rPr>
      </w:r>
      <w:r/>
    </w:p>
    <w:p>
      <w:pPr>
        <w:ind w:left="0" w:right="0" w:firstLine="645"/>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法定代表人：</w:t>
      </w:r>
      <w:r>
        <w:rPr>
          <w:color w:val="auto"/>
          <w:highlight w:val="white"/>
        </w:rPr>
      </w:r>
      <w:r/>
    </w:p>
    <w:p>
      <w:pPr>
        <w:ind w:left="0" w:right="0" w:firstLine="4620"/>
        <w:jc w:val="right"/>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日期：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spacing w:before="100" w:after="143"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ind w:left="0" w:right="0" w:firstLine="560"/>
        <w:jc w:val="both"/>
        <w:spacing w:before="0" w:after="0" w:line="85" w:lineRule="atLeast"/>
        <w:rPr>
          <w:color w:val="auto"/>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white"/>
        </w:rPr>
        <w:t xml:space="preserve"> </w:t>
      </w:r>
      <w:r>
        <w:rPr>
          <w:color w:val="auto"/>
          <w:highlight w:val="white"/>
        </w:rPr>
      </w:r>
      <w:r/>
    </w:p>
    <w:p>
      <w:pPr>
        <w:pStyle w:val="686"/>
        <w:ind w:firstLine="0"/>
        <w:jc w:val="left"/>
        <w:keepLines/>
        <w:keepNext/>
        <w:pageBreakBefore w:val="0"/>
        <w:spacing w:before="0" w:after="0" w:line="480" w:lineRule="auto"/>
        <w:widowControl w:val="off"/>
        <w:rPr>
          <w:rFonts w:ascii="楷体" w:hAnsi="楷体" w:eastAsia="楷体"/>
          <w:color w:val="auto"/>
          <w:szCs w:val="36"/>
          <w:highlight w:val="white"/>
        </w:rPr>
      </w:pPr>
      <w:r>
        <w:rPr>
          <w:color w:val="auto"/>
          <w:highlight w:val="white"/>
        </w:rPr>
      </w:r>
      <w:r>
        <w:rPr>
          <w:rFonts w:ascii="楷体" w:hAnsi="楷体" w:eastAsia="楷体"/>
          <w:color w:val="auto"/>
          <w:szCs w:val="36"/>
          <w:highlight w:val="white"/>
        </w:rPr>
      </w:r>
      <w:r/>
    </w:p>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spacing w:line="240" w:lineRule="auto"/>
      </w:pPr>
      <w:r>
        <w:separator/>
      </w:r>
      <w:r/>
    </w:p>
  </w:endnote>
  <w:endnote w:type="continuationSeparator" w:id="0">
    <w:p>
      <w:pPr>
        <w:ind w:firstLine="42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KaiTi">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MS Mincho">
    <w:panose1 w:val="02020603050405090304"/>
  </w:font>
  <w:font w:name="仿宋_GB2312">
    <w:panose1 w:val="02010609060101010101"/>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spacing w:line="360" w:lineRule="auto"/>
      </w:pPr>
      <w:r>
        <w:separator/>
      </w:r>
      <w:r/>
    </w:p>
  </w:footnote>
  <w:footnote w:type="continuationSeparator" w:id="0">
    <w:p>
      <w:pPr>
        <w:ind w:firstLine="42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ind w:firstLine="2700"/>
      <w:jc w:val="right"/>
      <w:rPr>
        <w:rFonts w:hint="eastAsia" w:eastAsia="宋体"/>
        <w:lang w:eastAsia="zh-CN"/>
      </w:rPr>
    </w:pPr>
    <w:r>
      <w:rPr>
        <w:rFonts w:hint="eastAsia"/>
      </w:rPr>
      <w:t xml:space="preserve">                              </w:t>
    </w:r>
    <w:r>
      <w:rPr>
        <w:rFonts w:hint="eastAsia"/>
        <w:lang w:eastAsia="zh-CN"/>
      </w:rPr>
      <w:t xml:space="preserve">江苏志诚工程咨询管理有限公司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425" w:hanging="425"/>
      </w:pPr>
      <w:rPr>
        <w:rFonts w:hint="default"/>
      </w:rPr>
    </w:lvl>
    <w:lvl w:ilvl="1">
      <w:start w:val="5"/>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425" w:hanging="425"/>
      </w:pPr>
    </w:lvl>
    <w:lvl w:ilvl="1">
      <w:start w:val="5"/>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7"/>
  </w:num>
  <w:num w:numId="6">
    <w:abstractNumId w:val="10"/>
  </w:num>
  <w:num w:numId="7">
    <w:abstractNumId w:val="8"/>
  </w:num>
  <w:num w:numId="8">
    <w:abstractNumId w:val="9"/>
  </w:num>
  <w:num w:numId="9">
    <w:abstractNumId w:val="4"/>
  </w:num>
  <w:num w:numId="10">
    <w:abstractNumId w:val="5"/>
  </w:num>
  <w:num w:numId="11">
    <w:abstractNumId w:val="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ind w:firstLine="560"/>
      <w:jc w:val="both"/>
      <w:spacing w:line="360" w:lineRule="auto"/>
      <w:widowControl w:val="off"/>
    </w:pPr>
    <w:rPr>
      <w:rFonts w:hint="default" w:ascii="宋体" w:hAnsi="宋体" w:eastAsia="宋体" w:cs="宋体"/>
      <w:sz w:val="21"/>
      <w:szCs w:val="21"/>
      <w:lang w:val="en-US" w:eastAsia="zh-CN" w:bidi="ar-SA"/>
    </w:rPr>
  </w:style>
  <w:style w:type="paragraph" w:styleId="686">
    <w:name w:val="Heading 1"/>
    <w:basedOn w:val="685"/>
    <w:next w:val="685"/>
    <w:uiPriority w:val="0"/>
    <w:qFormat/>
    <w:pPr>
      <w:keepLines/>
      <w:keepNext/>
      <w:spacing w:before="340" w:after="330" w:line="578" w:lineRule="auto"/>
      <w:outlineLvl w:val="0"/>
    </w:pPr>
    <w:rPr>
      <w:b/>
      <w:bCs/>
      <w:sz w:val="44"/>
      <w:szCs w:val="44"/>
    </w:rPr>
  </w:style>
  <w:style w:type="paragraph" w:styleId="687">
    <w:name w:val="Heading 2"/>
    <w:basedOn w:val="685"/>
    <w:next w:val="698"/>
    <w:link w:val="935"/>
    <w:uiPriority w:val="0"/>
    <w:qFormat/>
    <w:pPr>
      <w:jc w:val="both"/>
      <w:keepLines w:val="0"/>
      <w:keepNext/>
      <w:spacing w:line="360" w:lineRule="auto"/>
      <w:outlineLvl w:val="1"/>
    </w:pPr>
    <w:rPr>
      <w:rFonts w:ascii="宋体" w:hAnsi="宋体" w:eastAsia="宋体" w:cs="宋体"/>
      <w:b/>
      <w:bCs/>
      <w:sz w:val="21"/>
      <w:szCs w:val="44"/>
    </w:rPr>
  </w:style>
  <w:style w:type="paragraph" w:styleId="688">
    <w:name w:val="Heading 3"/>
    <w:basedOn w:val="685"/>
    <w:next w:val="685"/>
    <w:uiPriority w:val="0"/>
    <w:qFormat/>
    <w:pPr>
      <w:keepLines/>
      <w:keepNext/>
      <w:spacing w:before="260" w:after="260" w:line="416" w:lineRule="auto"/>
      <w:outlineLvl w:val="2"/>
    </w:pPr>
    <w:rPr>
      <w:b/>
      <w:bCs/>
      <w:sz w:val="32"/>
      <w:szCs w:val="32"/>
    </w:rPr>
  </w:style>
  <w:style w:type="paragraph" w:styleId="689">
    <w:name w:val="Heading 4"/>
    <w:basedOn w:val="685"/>
    <w:next w:val="698"/>
    <w:link w:val="901"/>
    <w:uiPriority w:val="0"/>
    <w:qFormat/>
    <w:pPr>
      <w:keepLines/>
      <w:keepNext/>
      <w:spacing w:before="280" w:after="290" w:line="372" w:lineRule="auto"/>
      <w:outlineLvl w:val="3"/>
    </w:pPr>
    <w:rPr>
      <w:rFonts w:ascii="Arial" w:hAnsi="Arial" w:eastAsia="黑体"/>
      <w:b/>
      <w:sz w:val="28"/>
      <w:szCs w:val="20"/>
    </w:rPr>
  </w:style>
  <w:style w:type="paragraph" w:styleId="690">
    <w:name w:val="Heading 5"/>
    <w:basedOn w:val="685"/>
    <w:next w:val="698"/>
    <w:link w:val="902"/>
    <w:uiPriority w:val="0"/>
    <w:qFormat/>
    <w:pPr>
      <w:keepLines/>
      <w:keepNext/>
      <w:spacing w:before="280" w:after="290" w:line="372" w:lineRule="auto"/>
      <w:outlineLvl w:val="4"/>
    </w:pPr>
    <w:rPr>
      <w:rFonts w:ascii="Times New Roman" w:hAnsi="Times New Roman"/>
      <w:b/>
      <w:sz w:val="28"/>
      <w:szCs w:val="20"/>
    </w:rPr>
  </w:style>
  <w:style w:type="paragraph" w:styleId="691">
    <w:name w:val="Heading 6"/>
    <w:basedOn w:val="685"/>
    <w:next w:val="698"/>
    <w:link w:val="903"/>
    <w:uiPriority w:val="0"/>
    <w:qFormat/>
    <w:pPr>
      <w:keepLines/>
      <w:keepNext/>
      <w:spacing w:before="240" w:after="64" w:line="317" w:lineRule="auto"/>
      <w:outlineLvl w:val="5"/>
    </w:pPr>
    <w:rPr>
      <w:rFonts w:ascii="Arial" w:hAnsi="Arial" w:eastAsia="黑体"/>
      <w:b/>
      <w:sz w:val="24"/>
      <w:szCs w:val="20"/>
    </w:rPr>
  </w:style>
  <w:style w:type="paragraph" w:styleId="692">
    <w:name w:val="Heading 7"/>
    <w:basedOn w:val="685"/>
    <w:next w:val="698"/>
    <w:link w:val="904"/>
    <w:uiPriority w:val="0"/>
    <w:qFormat/>
    <w:pPr>
      <w:keepLines/>
      <w:keepNext/>
      <w:spacing w:before="240" w:after="64" w:line="317" w:lineRule="auto"/>
      <w:outlineLvl w:val="6"/>
    </w:pPr>
    <w:rPr>
      <w:rFonts w:ascii="Times New Roman" w:hAnsi="Times New Roman"/>
      <w:b/>
      <w:sz w:val="24"/>
      <w:szCs w:val="20"/>
    </w:rPr>
  </w:style>
  <w:style w:type="paragraph" w:styleId="693">
    <w:name w:val="Heading 8"/>
    <w:basedOn w:val="685"/>
    <w:next w:val="698"/>
    <w:link w:val="905"/>
    <w:uiPriority w:val="0"/>
    <w:qFormat/>
    <w:pPr>
      <w:keepLines/>
      <w:keepNext/>
      <w:spacing w:before="240" w:after="64" w:line="317" w:lineRule="auto"/>
      <w:outlineLvl w:val="7"/>
    </w:pPr>
    <w:rPr>
      <w:rFonts w:ascii="Arial" w:hAnsi="Arial" w:eastAsia="黑体"/>
      <w:sz w:val="24"/>
      <w:szCs w:val="20"/>
    </w:rPr>
  </w:style>
  <w:style w:type="paragraph" w:styleId="694">
    <w:name w:val="Heading 9"/>
    <w:basedOn w:val="685"/>
    <w:next w:val="698"/>
    <w:link w:val="906"/>
    <w:uiPriority w:val="0"/>
    <w:qFormat/>
    <w:pPr>
      <w:keepLines/>
      <w:keepNext/>
      <w:spacing w:before="240" w:after="64" w:line="317" w:lineRule="auto"/>
      <w:outlineLvl w:val="8"/>
    </w:pPr>
    <w:rPr>
      <w:rFonts w:ascii="Arial" w:hAnsi="Arial" w:eastAsia="黑体"/>
      <w:szCs w:val="20"/>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Default"/>
    <w:next w:val="685"/>
    <w:uiPriority w:val="99"/>
    <w:qFormat/>
    <w:pPr>
      <w:widowControl w:val="off"/>
    </w:pPr>
    <w:rPr>
      <w:rFonts w:hint="default" w:ascii="MS Mincho" w:hAnsi="MS Mincho" w:eastAsia="宋体" w:cs="Times New Roman"/>
      <w:color w:val="000000"/>
      <w:sz w:val="21"/>
      <w:szCs w:val="24"/>
      <w:lang w:val="en-US" w:eastAsia="zh-CN" w:bidi="ar-SA"/>
    </w:rPr>
  </w:style>
  <w:style w:type="paragraph" w:styleId="698">
    <w:name w:val="Normal Indent"/>
    <w:basedOn w:val="685"/>
    <w:uiPriority w:val="0"/>
    <w:unhideWhenUsed/>
    <w:qFormat/>
    <w:pPr>
      <w:ind w:firstLine="420"/>
    </w:pPr>
  </w:style>
  <w:style w:type="paragraph" w:styleId="699">
    <w:name w:val="toc 7"/>
    <w:basedOn w:val="685"/>
    <w:next w:val="685"/>
    <w:uiPriority w:val="39"/>
    <w:unhideWhenUsed/>
    <w:qFormat/>
    <w:pPr>
      <w:ind w:left="1701"/>
      <w:spacing w:after="57"/>
    </w:pPr>
  </w:style>
  <w:style w:type="paragraph" w:styleId="700">
    <w:name w:val="annotation text"/>
    <w:basedOn w:val="685"/>
    <w:uiPriority w:val="0"/>
    <w:qFormat/>
    <w:pPr>
      <w:jc w:val="left"/>
    </w:pPr>
  </w:style>
  <w:style w:type="paragraph" w:styleId="701">
    <w:name w:val="Body Text"/>
    <w:basedOn w:val="685"/>
    <w:next w:val="685"/>
    <w:link w:val="900"/>
    <w:uiPriority w:val="0"/>
    <w:qFormat/>
    <w:rPr>
      <w:rFonts w:ascii="楷体_GB2312" w:hAnsi="Arial" w:eastAsia="楷体_GB2312"/>
      <w:sz w:val="28"/>
      <w:szCs w:val="28"/>
    </w:rPr>
  </w:style>
  <w:style w:type="paragraph" w:styleId="702">
    <w:name w:val="Body Text Indent"/>
    <w:basedOn w:val="685"/>
    <w:link w:val="907"/>
    <w:uiPriority w:val="0"/>
    <w:qFormat/>
    <w:pPr>
      <w:ind w:left="850" w:hanging="10"/>
      <w:spacing w:line="360" w:lineRule="auto"/>
    </w:pPr>
    <w:rPr>
      <w:rFonts w:ascii="Times New Roman" w:hAnsi="Times New Roman"/>
      <w:sz w:val="24"/>
      <w:szCs w:val="20"/>
    </w:rPr>
  </w:style>
  <w:style w:type="paragraph" w:styleId="703">
    <w:name w:val="Block Text"/>
    <w:basedOn w:val="685"/>
    <w:uiPriority w:val="0"/>
    <w:qFormat/>
    <w:pPr>
      <w:ind w:left="720" w:right="-48" w:hanging="720"/>
      <w:widowControl/>
    </w:pPr>
    <w:rPr>
      <w:rFonts w:ascii="Times New Roman" w:hAnsi="Times New Roman"/>
      <w:sz w:val="20"/>
      <w:szCs w:val="20"/>
    </w:rPr>
  </w:style>
  <w:style w:type="paragraph" w:styleId="704">
    <w:name w:val="index 4"/>
    <w:basedOn w:val="685"/>
    <w:next w:val="685"/>
    <w:uiPriority w:val="0"/>
    <w:qFormat/>
    <w:pPr>
      <w:ind w:left="600"/>
    </w:pPr>
    <w:rPr>
      <w:szCs w:val="24"/>
    </w:rPr>
  </w:style>
  <w:style w:type="paragraph" w:styleId="705">
    <w:name w:val="toc 5"/>
    <w:basedOn w:val="685"/>
    <w:next w:val="685"/>
    <w:uiPriority w:val="39"/>
    <w:unhideWhenUsed/>
    <w:qFormat/>
    <w:pPr>
      <w:ind w:left="1134"/>
      <w:spacing w:after="57"/>
    </w:pPr>
  </w:style>
  <w:style w:type="paragraph" w:styleId="706">
    <w:name w:val="toc 3"/>
    <w:basedOn w:val="685"/>
    <w:next w:val="685"/>
    <w:uiPriority w:val="39"/>
    <w:unhideWhenUsed/>
    <w:qFormat/>
    <w:pPr>
      <w:ind w:left="567"/>
      <w:spacing w:after="57"/>
    </w:pPr>
  </w:style>
  <w:style w:type="paragraph" w:styleId="707">
    <w:name w:val="Plain Text"/>
    <w:basedOn w:val="685"/>
    <w:uiPriority w:val="0"/>
    <w:qFormat/>
    <w:rPr>
      <w:rFonts w:ascii="宋体" w:hAnsi="Courier New"/>
      <w:sz w:val="20"/>
      <w:szCs w:val="21"/>
    </w:rPr>
  </w:style>
  <w:style w:type="paragraph" w:styleId="708">
    <w:name w:val="toc 8"/>
    <w:basedOn w:val="685"/>
    <w:next w:val="685"/>
    <w:uiPriority w:val="39"/>
    <w:unhideWhenUsed/>
    <w:qFormat/>
    <w:pPr>
      <w:ind w:left="1984"/>
      <w:spacing w:after="57"/>
    </w:pPr>
  </w:style>
  <w:style w:type="paragraph" w:styleId="709">
    <w:name w:val="Date"/>
    <w:basedOn w:val="685"/>
    <w:next w:val="685"/>
    <w:link w:val="908"/>
    <w:uiPriority w:val="0"/>
    <w:qFormat/>
    <w:rPr>
      <w:rFonts w:ascii="隶书" w:hAnsi="Times New Roman" w:eastAsia="隶书"/>
      <w:b/>
      <w:sz w:val="32"/>
      <w:szCs w:val="20"/>
    </w:rPr>
  </w:style>
  <w:style w:type="paragraph" w:styleId="710">
    <w:name w:val="endnote text"/>
    <w:basedOn w:val="685"/>
    <w:link w:val="898"/>
    <w:uiPriority w:val="99"/>
    <w:semiHidden/>
    <w:unhideWhenUsed/>
    <w:qFormat/>
    <w:rPr>
      <w:sz w:val="20"/>
    </w:rPr>
  </w:style>
  <w:style w:type="paragraph" w:styleId="711">
    <w:name w:val="Balloon Text"/>
    <w:basedOn w:val="685"/>
    <w:link w:val="909"/>
    <w:uiPriority w:val="0"/>
    <w:qFormat/>
    <w:rPr>
      <w:rFonts w:ascii="Times New Roman" w:hAnsi="Times New Roman"/>
      <w:sz w:val="18"/>
      <w:szCs w:val="18"/>
    </w:rPr>
  </w:style>
  <w:style w:type="paragraph" w:styleId="712">
    <w:name w:val="Footer"/>
    <w:basedOn w:val="685"/>
    <w:uiPriority w:val="0"/>
    <w:unhideWhenUsed/>
    <w:qFormat/>
    <w:pPr>
      <w:jc w:val="left"/>
      <w:tabs>
        <w:tab w:val="center" w:pos="4153" w:leader="none"/>
        <w:tab w:val="right" w:pos="8306" w:leader="none"/>
      </w:tabs>
    </w:pPr>
    <w:rPr>
      <w:sz w:val="18"/>
      <w:szCs w:val="18"/>
    </w:rPr>
  </w:style>
  <w:style w:type="paragraph" w:styleId="713">
    <w:name w:val="envelope return"/>
    <w:basedOn w:val="685"/>
    <w:uiPriority w:val="0"/>
    <w:qFormat/>
    <w:rPr>
      <w:rFonts w:ascii="Arial" w:hAnsi="Arial"/>
    </w:rPr>
  </w:style>
  <w:style w:type="paragraph" w:styleId="714">
    <w:name w:val="Header"/>
    <w:basedOn w:val="685"/>
    <w:link w:val="91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85"/>
    <w:next w:val="685"/>
    <w:uiPriority w:val="0"/>
    <w:unhideWhenUsed/>
    <w:qFormat/>
  </w:style>
  <w:style w:type="paragraph" w:styleId="716">
    <w:name w:val="toc 4"/>
    <w:basedOn w:val="685"/>
    <w:next w:val="685"/>
    <w:uiPriority w:val="39"/>
    <w:unhideWhenUsed/>
    <w:qFormat/>
    <w:pPr>
      <w:ind w:left="850"/>
      <w:spacing w:after="57"/>
    </w:pPr>
  </w:style>
  <w:style w:type="paragraph" w:styleId="717">
    <w:name w:val="Subtitle"/>
    <w:basedOn w:val="685"/>
    <w:next w:val="685"/>
    <w:link w:val="761"/>
    <w:uiPriority w:val="11"/>
    <w:qFormat/>
    <w:pPr>
      <w:spacing w:before="200" w:after="200"/>
    </w:pPr>
    <w:rPr>
      <w:sz w:val="24"/>
      <w:szCs w:val="24"/>
    </w:rPr>
  </w:style>
  <w:style w:type="paragraph" w:styleId="718">
    <w:name w:val="footnote text"/>
    <w:basedOn w:val="685"/>
    <w:link w:val="897"/>
    <w:uiPriority w:val="99"/>
    <w:semiHidden/>
    <w:unhideWhenUsed/>
    <w:qFormat/>
    <w:pPr>
      <w:spacing w:after="40"/>
    </w:pPr>
    <w:rPr>
      <w:sz w:val="18"/>
    </w:rPr>
  </w:style>
  <w:style w:type="paragraph" w:styleId="719">
    <w:name w:val="toc 6"/>
    <w:basedOn w:val="685"/>
    <w:next w:val="685"/>
    <w:uiPriority w:val="39"/>
    <w:unhideWhenUsed/>
    <w:qFormat/>
    <w:pPr>
      <w:ind w:left="1417"/>
      <w:spacing w:after="57"/>
    </w:pPr>
  </w:style>
  <w:style w:type="paragraph" w:styleId="720">
    <w:name w:val="table of figures"/>
    <w:basedOn w:val="685"/>
    <w:next w:val="685"/>
    <w:uiPriority w:val="99"/>
    <w:unhideWhenUsed/>
    <w:qFormat/>
  </w:style>
  <w:style w:type="paragraph" w:styleId="721">
    <w:name w:val="toc 2"/>
    <w:basedOn w:val="685"/>
    <w:next w:val="685"/>
    <w:uiPriority w:val="39"/>
    <w:unhideWhenUsed/>
    <w:qFormat/>
    <w:pPr>
      <w:ind w:left="283"/>
      <w:spacing w:after="57"/>
    </w:pPr>
  </w:style>
  <w:style w:type="paragraph" w:styleId="722">
    <w:name w:val="toc 9"/>
    <w:basedOn w:val="685"/>
    <w:next w:val="685"/>
    <w:uiPriority w:val="39"/>
    <w:unhideWhenUsed/>
    <w:qFormat/>
    <w:pPr>
      <w:ind w:left="2268"/>
      <w:spacing w:after="57"/>
    </w:pPr>
  </w:style>
  <w:style w:type="paragraph" w:styleId="723">
    <w:name w:val="Body Text 2"/>
    <w:basedOn w:val="685"/>
    <w:link w:val="911"/>
    <w:uiPriority w:val="0"/>
    <w:qFormat/>
    <w:pPr>
      <w:spacing w:after="120" w:line="480" w:lineRule="auto"/>
    </w:pPr>
    <w:rPr>
      <w:rFonts w:ascii="Times New Roman" w:hAnsi="Times New Roman"/>
      <w:szCs w:val="20"/>
    </w:rPr>
  </w:style>
  <w:style w:type="paragraph" w:styleId="724">
    <w:name w:val="Normal (Web)"/>
    <w:basedOn w:val="685"/>
    <w:uiPriority w:val="0"/>
    <w:qFormat/>
    <w:rPr>
      <w:rFonts w:ascii="Times New Roman" w:hAnsi="Times New Roman"/>
      <w:sz w:val="24"/>
    </w:rPr>
  </w:style>
  <w:style w:type="paragraph" w:styleId="725">
    <w:name w:val="Title"/>
    <w:basedOn w:val="685"/>
    <w:link w:val="912"/>
    <w:uiPriority w:val="0"/>
    <w:qFormat/>
    <w:pPr>
      <w:jc w:val="center"/>
      <w:widowControl/>
    </w:pPr>
    <w:rPr>
      <w:rFonts w:ascii="Times New Roman" w:hAnsi="Times New Roman"/>
      <w:b/>
      <w:sz w:val="24"/>
      <w:szCs w:val="20"/>
    </w:rPr>
  </w:style>
  <w:style w:type="paragraph" w:styleId="726">
    <w:name w:val="Body Text First Indent"/>
    <w:basedOn w:val="701"/>
    <w:next w:val="685"/>
    <w:uiPriority w:val="0"/>
    <w:qFormat/>
    <w:pPr>
      <w:ind w:firstLine="200"/>
      <w:spacing w:line="360" w:lineRule="auto"/>
    </w:pPr>
    <w:rPr>
      <w:rFonts w:ascii="仿宋_GB2312" w:hAnsi="Times New Roman" w:eastAsia="仿宋_GB2312" w:cs="Times New Roman"/>
      <w:sz w:val="30"/>
      <w:szCs w:val="30"/>
    </w:rPr>
  </w:style>
  <w:style w:type="paragraph" w:styleId="727">
    <w:name w:val="Body Text First Indent 2"/>
    <w:basedOn w:val="702"/>
    <w:uiPriority w:val="0"/>
    <w:qFormat/>
    <w:pPr>
      <w:ind w:firstLine="420"/>
    </w:pPr>
  </w:style>
  <w:style w:type="table" w:styleId="728">
    <w:name w:val="Table Grid"/>
    <w:basedOn w:val="696"/>
    <w:uiPriority w:val="59"/>
    <w:qFormat/>
    <w:tblPr>
      <w:tblCellMar>
        <w:left w:w="108" w:type="dxa"/>
        <w:top w:w="0" w:type="dxa"/>
        <w:right w:w="108" w:type="dxa"/>
        <w:bottom w:w="0" w:type="dxa"/>
      </w:tblCellMar>
    </w:tblPr>
  </w:style>
  <w:style w:type="character" w:styleId="729">
    <w:name w:val="Strong"/>
    <w:uiPriority w:val="0"/>
    <w:qFormat/>
    <w:rPr>
      <w:b/>
    </w:rPr>
  </w:style>
  <w:style w:type="character" w:styleId="730">
    <w:name w:val="endnote reference"/>
    <w:uiPriority w:val="99"/>
    <w:semiHidden/>
    <w:unhideWhenUsed/>
    <w:qFormat/>
    <w:rPr>
      <w:vertAlign w:val="superscript"/>
    </w:rPr>
  </w:style>
  <w:style w:type="character" w:styleId="731">
    <w:name w:val="page number"/>
    <w:uiPriority w:val="0"/>
    <w:qFormat/>
  </w:style>
  <w:style w:type="character" w:styleId="732">
    <w:name w:val="Emphasis"/>
    <w:uiPriority w:val="0"/>
    <w:qFormat/>
    <w:rPr>
      <w:rFonts w:ascii="Times New Roman" w:hAnsi="Times New Roman"/>
      <w:i/>
      <w:iCs/>
      <w:sz w:val="21"/>
      <w:szCs w:val="20"/>
    </w:rPr>
  </w:style>
  <w:style w:type="character" w:styleId="733">
    <w:name w:val="Hyperlink"/>
    <w:uiPriority w:val="0"/>
    <w:qFormat/>
    <w:rPr>
      <w:color w:val="0563c1"/>
      <w:u w:val="single"/>
    </w:rPr>
  </w:style>
  <w:style w:type="character" w:styleId="734">
    <w:name w:val="footnote reference"/>
    <w:uiPriority w:val="99"/>
    <w:unhideWhenUsed/>
    <w:qFormat/>
    <w:rPr>
      <w:vertAlign w:val="superscript"/>
    </w:rPr>
  </w:style>
  <w:style w:type="character" w:styleId="735" w:customStyle="1">
    <w:name w:val="Subtitle Char"/>
    <w:basedOn w:val="695"/>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Footnote Text Char"/>
    <w:uiPriority w:val="99"/>
    <w:qFormat/>
    <w:rPr>
      <w:sz w:val="18"/>
    </w:rPr>
  </w:style>
  <w:style w:type="character" w:styleId="739" w:customStyle="1">
    <w:name w:val="Endnote Text Char"/>
    <w:uiPriority w:val="99"/>
    <w:qFormat/>
    <w:rPr>
      <w:sz w:val="20"/>
    </w:rPr>
  </w:style>
  <w:style w:type="paragraph" w:styleId="740" w:customStyle="1">
    <w:name w:val="Heading 1"/>
    <w:basedOn w:val="685"/>
    <w:next w:val="685"/>
    <w:link w:val="741"/>
    <w:uiPriority w:val="9"/>
    <w:qFormat/>
    <w:pPr>
      <w:keepLines/>
      <w:keepNext/>
      <w:spacing w:before="480" w:after="200"/>
      <w:outlineLvl w:val="0"/>
    </w:pPr>
    <w:rPr>
      <w:rFonts w:ascii="Arial" w:hAnsi="Arial" w:eastAsia="Arial" w:cs="Arial"/>
      <w:sz w:val="40"/>
      <w:szCs w:val="40"/>
    </w:rPr>
  </w:style>
  <w:style w:type="character" w:styleId="741" w:customStyle="1">
    <w:name w:val="Heading 1 Char"/>
    <w:link w:val="740"/>
    <w:uiPriority w:val="9"/>
    <w:qFormat/>
    <w:rPr>
      <w:rFonts w:ascii="Arial" w:hAnsi="Arial" w:eastAsia="Arial" w:cs="Arial"/>
      <w:sz w:val="40"/>
      <w:szCs w:val="40"/>
    </w:rPr>
  </w:style>
  <w:style w:type="paragraph" w:styleId="742" w:customStyle="1">
    <w:name w:val="Heading 2"/>
    <w:basedOn w:val="685"/>
    <w:next w:val="685"/>
    <w:link w:val="743"/>
    <w:uiPriority w:val="9"/>
    <w:unhideWhenUsed/>
    <w:qFormat/>
    <w:pPr>
      <w:keepLines/>
      <w:keepNext/>
      <w:spacing w:before="360" w:after="200"/>
      <w:outlineLvl w:val="1"/>
    </w:pPr>
    <w:rPr>
      <w:rFonts w:ascii="Arial" w:hAnsi="Arial" w:eastAsia="Arial" w:cs="Arial"/>
      <w:sz w:val="34"/>
    </w:rPr>
  </w:style>
  <w:style w:type="character" w:styleId="743" w:customStyle="1">
    <w:name w:val="Heading 2 Char"/>
    <w:link w:val="742"/>
    <w:uiPriority w:val="9"/>
    <w:qFormat/>
    <w:rPr>
      <w:rFonts w:ascii="Arial" w:hAnsi="Arial" w:eastAsia="Arial" w:cs="Arial"/>
      <w:sz w:val="34"/>
    </w:rPr>
  </w:style>
  <w:style w:type="paragraph" w:styleId="744" w:customStyle="1">
    <w:name w:val="Heading 3"/>
    <w:basedOn w:val="685"/>
    <w:next w:val="685"/>
    <w:link w:val="745"/>
    <w:uiPriority w:val="9"/>
    <w:unhideWhenUsed/>
    <w:qFormat/>
    <w:pPr>
      <w:keepLines/>
      <w:keepNext/>
      <w:spacing w:before="320" w:after="200"/>
      <w:outlineLvl w:val="2"/>
    </w:pPr>
    <w:rPr>
      <w:rFonts w:ascii="Arial" w:hAnsi="Arial" w:eastAsia="Arial" w:cs="Arial"/>
      <w:sz w:val="30"/>
      <w:szCs w:val="30"/>
    </w:rPr>
  </w:style>
  <w:style w:type="character" w:styleId="745" w:customStyle="1">
    <w:name w:val="Heading 3 Char"/>
    <w:link w:val="744"/>
    <w:uiPriority w:val="9"/>
    <w:qFormat/>
    <w:rPr>
      <w:rFonts w:ascii="Arial" w:hAnsi="Arial" w:eastAsia="Arial" w:cs="Arial"/>
      <w:sz w:val="30"/>
      <w:szCs w:val="30"/>
    </w:rPr>
  </w:style>
  <w:style w:type="paragraph" w:styleId="746" w:customStyle="1">
    <w:name w:val="Heading 4"/>
    <w:basedOn w:val="685"/>
    <w:next w:val="685"/>
    <w:link w:val="747"/>
    <w:uiPriority w:val="9"/>
    <w:unhideWhenUsed/>
    <w:qFormat/>
    <w:pPr>
      <w:keepLines/>
      <w:keepNext/>
      <w:spacing w:before="320" w:after="200"/>
      <w:outlineLvl w:val="3"/>
    </w:pPr>
    <w:rPr>
      <w:rFonts w:ascii="Arial" w:hAnsi="Arial" w:eastAsia="Arial" w:cs="Arial"/>
      <w:b/>
      <w:bCs/>
      <w:sz w:val="26"/>
      <w:szCs w:val="26"/>
    </w:rPr>
  </w:style>
  <w:style w:type="character" w:styleId="747" w:customStyle="1">
    <w:name w:val="Heading 4 Char"/>
    <w:link w:val="746"/>
    <w:uiPriority w:val="9"/>
    <w:qFormat/>
    <w:rPr>
      <w:rFonts w:ascii="Arial" w:hAnsi="Arial" w:eastAsia="Arial" w:cs="Arial"/>
      <w:b/>
      <w:bCs/>
      <w:sz w:val="26"/>
      <w:szCs w:val="26"/>
    </w:rPr>
  </w:style>
  <w:style w:type="paragraph" w:styleId="748" w:customStyle="1">
    <w:name w:val="Heading 5"/>
    <w:basedOn w:val="685"/>
    <w:next w:val="685"/>
    <w:link w:val="749"/>
    <w:uiPriority w:val="9"/>
    <w:unhideWhenUsed/>
    <w:qFormat/>
    <w:pPr>
      <w:keepLines/>
      <w:keepNext/>
      <w:spacing w:before="320" w:after="200"/>
      <w:outlineLvl w:val="4"/>
    </w:pPr>
    <w:rPr>
      <w:rFonts w:ascii="Arial" w:hAnsi="Arial" w:eastAsia="Arial" w:cs="Arial"/>
      <w:b/>
      <w:bCs/>
      <w:sz w:val="24"/>
      <w:szCs w:val="24"/>
    </w:rPr>
  </w:style>
  <w:style w:type="character" w:styleId="749" w:customStyle="1">
    <w:name w:val="Heading 5 Char"/>
    <w:link w:val="748"/>
    <w:uiPriority w:val="9"/>
    <w:qFormat/>
    <w:rPr>
      <w:rFonts w:ascii="Arial" w:hAnsi="Arial" w:eastAsia="Arial" w:cs="Arial"/>
      <w:b/>
      <w:bCs/>
      <w:sz w:val="24"/>
      <w:szCs w:val="24"/>
    </w:rPr>
  </w:style>
  <w:style w:type="paragraph" w:styleId="750" w:customStyle="1">
    <w:name w:val="Heading 6"/>
    <w:basedOn w:val="685"/>
    <w:next w:val="685"/>
    <w:link w:val="751"/>
    <w:uiPriority w:val="9"/>
    <w:unhideWhenUsed/>
    <w:qFormat/>
    <w:pPr>
      <w:keepLines/>
      <w:keepNext/>
      <w:spacing w:before="320" w:after="200"/>
      <w:outlineLvl w:val="5"/>
    </w:pPr>
    <w:rPr>
      <w:rFonts w:ascii="Arial" w:hAnsi="Arial" w:eastAsia="Arial" w:cs="Arial"/>
      <w:b/>
      <w:bCs/>
      <w:sz w:val="22"/>
    </w:rPr>
  </w:style>
  <w:style w:type="character" w:styleId="751" w:customStyle="1">
    <w:name w:val="Heading 6 Char"/>
    <w:link w:val="750"/>
    <w:uiPriority w:val="9"/>
    <w:qFormat/>
    <w:rPr>
      <w:rFonts w:ascii="Arial" w:hAnsi="Arial" w:eastAsia="Arial" w:cs="Arial"/>
      <w:b/>
      <w:bCs/>
      <w:sz w:val="22"/>
      <w:szCs w:val="22"/>
    </w:rPr>
  </w:style>
  <w:style w:type="paragraph" w:styleId="752" w:customStyle="1">
    <w:name w:val="Heading 7"/>
    <w:basedOn w:val="685"/>
    <w:next w:val="685"/>
    <w:link w:val="753"/>
    <w:uiPriority w:val="9"/>
    <w:unhideWhenUsed/>
    <w:qFormat/>
    <w:pPr>
      <w:keepLines/>
      <w:keepNext/>
      <w:spacing w:before="320" w:after="200"/>
      <w:outlineLvl w:val="6"/>
    </w:pPr>
    <w:rPr>
      <w:rFonts w:ascii="Arial" w:hAnsi="Arial" w:eastAsia="Arial" w:cs="Arial"/>
      <w:b/>
      <w:bCs/>
      <w:i/>
      <w:iCs/>
      <w:sz w:val="22"/>
    </w:rPr>
  </w:style>
  <w:style w:type="character" w:styleId="753" w:customStyle="1">
    <w:name w:val="Heading 7 Char"/>
    <w:link w:val="752"/>
    <w:uiPriority w:val="9"/>
    <w:qFormat/>
    <w:rPr>
      <w:rFonts w:ascii="Arial" w:hAnsi="Arial" w:eastAsia="Arial" w:cs="Arial"/>
      <w:b/>
      <w:bCs/>
      <w:i/>
      <w:iCs/>
      <w:sz w:val="22"/>
      <w:szCs w:val="22"/>
    </w:rPr>
  </w:style>
  <w:style w:type="paragraph" w:styleId="754" w:customStyle="1">
    <w:name w:val="Heading 8"/>
    <w:basedOn w:val="685"/>
    <w:next w:val="685"/>
    <w:link w:val="755"/>
    <w:uiPriority w:val="9"/>
    <w:unhideWhenUsed/>
    <w:qFormat/>
    <w:pPr>
      <w:keepLines/>
      <w:keepNext/>
      <w:spacing w:before="320" w:after="200"/>
      <w:outlineLvl w:val="7"/>
    </w:pPr>
    <w:rPr>
      <w:rFonts w:ascii="Arial" w:hAnsi="Arial" w:eastAsia="Arial" w:cs="Arial"/>
      <w:i/>
      <w:iCs/>
      <w:sz w:val="22"/>
    </w:rPr>
  </w:style>
  <w:style w:type="character" w:styleId="755" w:customStyle="1">
    <w:name w:val="Heading 8 Char"/>
    <w:link w:val="754"/>
    <w:uiPriority w:val="9"/>
    <w:qFormat/>
    <w:rPr>
      <w:rFonts w:ascii="Arial" w:hAnsi="Arial" w:eastAsia="Arial" w:cs="Arial"/>
      <w:i/>
      <w:iCs/>
      <w:sz w:val="22"/>
      <w:szCs w:val="22"/>
    </w:rPr>
  </w:style>
  <w:style w:type="paragraph" w:styleId="756" w:customStyle="1">
    <w:name w:val="Heading 9"/>
    <w:basedOn w:val="685"/>
    <w:next w:val="685"/>
    <w:link w:val="757"/>
    <w:uiPriority w:val="9"/>
    <w:unhideWhenUsed/>
    <w:qFormat/>
    <w:pPr>
      <w:keepLines/>
      <w:keepNext/>
      <w:spacing w:before="320" w:after="200"/>
      <w:outlineLvl w:val="8"/>
    </w:pPr>
    <w:rPr>
      <w:rFonts w:ascii="Arial" w:hAnsi="Arial" w:eastAsia="Arial" w:cs="Arial"/>
      <w:i/>
      <w:iCs/>
      <w:szCs w:val="21"/>
    </w:rPr>
  </w:style>
  <w:style w:type="character" w:styleId="757" w:customStyle="1">
    <w:name w:val="Heading 9 Char"/>
    <w:link w:val="756"/>
    <w:uiPriority w:val="9"/>
    <w:qFormat/>
    <w:rPr>
      <w:rFonts w:ascii="Arial" w:hAnsi="Arial" w:eastAsia="Arial" w:cs="Arial"/>
      <w:i/>
      <w:iCs/>
      <w:sz w:val="21"/>
      <w:szCs w:val="21"/>
    </w:rPr>
  </w:style>
  <w:style w:type="paragraph" w:styleId="758">
    <w:name w:val="List Paragraph"/>
    <w:basedOn w:val="685"/>
    <w:uiPriority w:val="34"/>
    <w:qFormat/>
    <w:pPr>
      <w:contextualSpacing/>
      <w:ind w:left="720"/>
    </w:pPr>
  </w:style>
  <w:style w:type="paragraph" w:styleId="759">
    <w:name w:val="No Spacing"/>
    <w:uiPriority w:val="1"/>
    <w:qFormat/>
    <w:rPr>
      <w:rFonts w:hint="default" w:ascii="Calibri" w:hAnsi="Calibri" w:eastAsia="宋体" w:cs="Times New Roman"/>
      <w:lang w:val="en-US" w:eastAsia="zh-CN" w:bidi="ar-SA"/>
    </w:rPr>
  </w:style>
  <w:style w:type="character" w:styleId="760" w:customStyle="1">
    <w:name w:val="Title Char"/>
    <w:link w:val="725"/>
    <w:uiPriority w:val="10"/>
    <w:qFormat/>
    <w:rPr>
      <w:sz w:val="48"/>
      <w:szCs w:val="48"/>
    </w:rPr>
  </w:style>
  <w:style w:type="character" w:styleId="761" w:customStyle="1">
    <w:name w:val="副标题 Char"/>
    <w:link w:val="717"/>
    <w:uiPriority w:val="11"/>
    <w:qFormat/>
    <w:rPr>
      <w:sz w:val="24"/>
      <w:szCs w:val="24"/>
    </w:rPr>
  </w:style>
  <w:style w:type="paragraph" w:styleId="762">
    <w:name w:val="Quote"/>
    <w:basedOn w:val="685"/>
    <w:next w:val="685"/>
    <w:link w:val="763"/>
    <w:uiPriority w:val="29"/>
    <w:qFormat/>
    <w:pPr>
      <w:ind w:left="720" w:right="720"/>
    </w:pPr>
    <w:rPr>
      <w:i/>
    </w:rPr>
  </w:style>
  <w:style w:type="character" w:styleId="763" w:customStyle="1">
    <w:name w:val="引用 Char"/>
    <w:link w:val="762"/>
    <w:uiPriority w:val="29"/>
    <w:qFormat/>
    <w:rPr>
      <w:i/>
    </w:rPr>
  </w:style>
  <w:style w:type="paragraph" w:styleId="764">
    <w:name w:val="Intense Quote"/>
    <w:basedOn w:val="685"/>
    <w:next w:val="685"/>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link w:val="764"/>
    <w:uiPriority w:val="30"/>
    <w:qFormat/>
    <w:rPr>
      <w:i/>
    </w:rPr>
  </w:style>
  <w:style w:type="paragraph" w:styleId="766" w:customStyle="1">
    <w:name w:val="Header"/>
    <w:basedOn w:val="685"/>
    <w:link w:val="767"/>
    <w:uiPriority w:val="99"/>
    <w:unhideWhenUsed/>
    <w:qFormat/>
    <w:pPr>
      <w:tabs>
        <w:tab w:val="center" w:pos="7143" w:leader="none"/>
        <w:tab w:val="right" w:pos="14287" w:leader="none"/>
      </w:tabs>
    </w:pPr>
  </w:style>
  <w:style w:type="character" w:styleId="767" w:customStyle="1">
    <w:name w:val="Header Char"/>
    <w:link w:val="766"/>
    <w:uiPriority w:val="99"/>
    <w:qFormat/>
  </w:style>
  <w:style w:type="paragraph" w:styleId="768" w:customStyle="1">
    <w:name w:val="Footer"/>
    <w:basedOn w:val="685"/>
    <w:link w:val="771"/>
    <w:uiPriority w:val="99"/>
    <w:unhideWhenUsed/>
    <w:qFormat/>
    <w:pPr>
      <w:tabs>
        <w:tab w:val="center" w:pos="7143" w:leader="none"/>
        <w:tab w:val="right" w:pos="14287" w:leader="none"/>
      </w:tabs>
    </w:pPr>
  </w:style>
  <w:style w:type="character" w:styleId="769" w:customStyle="1">
    <w:name w:val="Footer Char"/>
    <w:link w:val="768"/>
    <w:uiPriority w:val="99"/>
    <w:qFormat/>
  </w:style>
  <w:style w:type="paragraph" w:styleId="770" w:customStyle="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71" w:customStyle="1">
    <w:name w:val="Caption Char"/>
    <w:link w:val="768"/>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Char"/>
    <w:link w:val="718"/>
    <w:uiPriority w:val="99"/>
    <w:qFormat/>
    <w:rPr>
      <w:sz w:val="18"/>
    </w:rPr>
  </w:style>
  <w:style w:type="character" w:styleId="898" w:customStyle="1">
    <w:name w:val="尾注文本 Char"/>
    <w:link w:val="710"/>
    <w:uiPriority w:val="99"/>
    <w:qFormat/>
    <w:rPr>
      <w:sz w:val="20"/>
    </w:rPr>
  </w:style>
  <w:style w:type="paragraph" w:styleId="899" w:customStyle="1">
    <w:name w:val="TOC Heading"/>
    <w:uiPriority w:val="39"/>
    <w:unhideWhenUsed/>
    <w:qFormat/>
    <w:rPr>
      <w:rFonts w:hint="default" w:ascii="Calibri" w:hAnsi="Calibri" w:eastAsia="宋体" w:cs="Times New Roman"/>
      <w:lang w:val="en-US" w:eastAsia="zh-CN" w:bidi="ar-SA"/>
    </w:rPr>
  </w:style>
  <w:style w:type="character" w:styleId="900" w:customStyle="1">
    <w:name w:val="正文文本 Char"/>
    <w:link w:val="701"/>
    <w:uiPriority w:val="0"/>
    <w:qFormat/>
    <w:rPr>
      <w:rFonts w:ascii="楷体_GB2312" w:hAnsi="Arial" w:eastAsia="楷体_GB2312"/>
      <w:sz w:val="28"/>
      <w:szCs w:val="28"/>
    </w:rPr>
  </w:style>
  <w:style w:type="character" w:styleId="901" w:customStyle="1">
    <w:name w:val="标题 4 Char"/>
    <w:link w:val="689"/>
    <w:uiPriority w:val="0"/>
    <w:qFormat/>
    <w:rPr>
      <w:rFonts w:ascii="Arial" w:hAnsi="Arial" w:eastAsia="黑体"/>
      <w:b/>
      <w:sz w:val="28"/>
    </w:rPr>
  </w:style>
  <w:style w:type="character" w:styleId="902" w:customStyle="1">
    <w:name w:val="标题 5 Char"/>
    <w:link w:val="690"/>
    <w:uiPriority w:val="0"/>
    <w:qFormat/>
    <w:rPr>
      <w:rFonts w:ascii="Times New Roman" w:hAnsi="Times New Roman"/>
      <w:b/>
      <w:sz w:val="28"/>
    </w:rPr>
  </w:style>
  <w:style w:type="character" w:styleId="903" w:customStyle="1">
    <w:name w:val="标题 6 Char"/>
    <w:link w:val="691"/>
    <w:uiPriority w:val="0"/>
    <w:qFormat/>
    <w:rPr>
      <w:rFonts w:ascii="Arial" w:hAnsi="Arial" w:eastAsia="黑体"/>
      <w:b/>
      <w:sz w:val="24"/>
    </w:rPr>
  </w:style>
  <w:style w:type="character" w:styleId="904" w:customStyle="1">
    <w:name w:val="标题 7 Char"/>
    <w:link w:val="692"/>
    <w:uiPriority w:val="0"/>
    <w:qFormat/>
    <w:rPr>
      <w:rFonts w:ascii="Times New Roman" w:hAnsi="Times New Roman"/>
      <w:b/>
      <w:sz w:val="24"/>
    </w:rPr>
  </w:style>
  <w:style w:type="character" w:styleId="905" w:customStyle="1">
    <w:name w:val="标题 8 Char"/>
    <w:link w:val="693"/>
    <w:uiPriority w:val="0"/>
    <w:qFormat/>
    <w:rPr>
      <w:rFonts w:ascii="Arial" w:hAnsi="Arial" w:eastAsia="黑体"/>
      <w:sz w:val="24"/>
    </w:rPr>
  </w:style>
  <w:style w:type="character" w:styleId="906" w:customStyle="1">
    <w:name w:val="标题 9 Char"/>
    <w:link w:val="694"/>
    <w:uiPriority w:val="0"/>
    <w:qFormat/>
    <w:rPr>
      <w:rFonts w:ascii="Arial" w:hAnsi="Arial" w:eastAsia="黑体"/>
      <w:sz w:val="21"/>
    </w:rPr>
  </w:style>
  <w:style w:type="character" w:styleId="907" w:customStyle="1">
    <w:name w:val="正文文本缩进 Char"/>
    <w:link w:val="702"/>
    <w:uiPriority w:val="0"/>
    <w:qFormat/>
    <w:rPr>
      <w:rFonts w:ascii="Times New Roman" w:hAnsi="Times New Roman"/>
      <w:sz w:val="24"/>
    </w:rPr>
  </w:style>
  <w:style w:type="character" w:styleId="908" w:customStyle="1">
    <w:name w:val="日期 Char"/>
    <w:link w:val="709"/>
    <w:uiPriority w:val="0"/>
    <w:qFormat/>
    <w:rPr>
      <w:rFonts w:ascii="隶书" w:hAnsi="Times New Roman" w:eastAsia="隶书"/>
      <w:b/>
      <w:sz w:val="32"/>
    </w:rPr>
  </w:style>
  <w:style w:type="character" w:styleId="909" w:customStyle="1">
    <w:name w:val="批注框文本 Char"/>
    <w:link w:val="711"/>
    <w:uiPriority w:val="0"/>
    <w:qFormat/>
    <w:rPr>
      <w:rFonts w:ascii="Times New Roman" w:hAnsi="Times New Roman"/>
      <w:sz w:val="18"/>
      <w:szCs w:val="18"/>
    </w:rPr>
  </w:style>
  <w:style w:type="character" w:styleId="910" w:customStyle="1">
    <w:name w:val="页眉 Char"/>
    <w:link w:val="714"/>
    <w:uiPriority w:val="99"/>
    <w:qFormat/>
    <w:rPr>
      <w:sz w:val="18"/>
      <w:szCs w:val="18"/>
    </w:rPr>
  </w:style>
  <w:style w:type="character" w:styleId="911" w:customStyle="1">
    <w:name w:val="正文文本 2 Char"/>
    <w:link w:val="723"/>
    <w:uiPriority w:val="0"/>
    <w:qFormat/>
    <w:rPr>
      <w:rFonts w:ascii="Times New Roman" w:hAnsi="Times New Roman"/>
      <w:sz w:val="21"/>
    </w:rPr>
  </w:style>
  <w:style w:type="character" w:styleId="912" w:customStyle="1">
    <w:name w:val="标题 Char"/>
    <w:link w:val="725"/>
    <w:uiPriority w:val="0"/>
    <w:qFormat/>
    <w:rPr>
      <w:rFonts w:ascii="Times New Roman" w:hAnsi="Times New Roman"/>
      <w:b/>
      <w:sz w:val="24"/>
    </w:rPr>
  </w:style>
  <w:style w:type="paragraph" w:styleId="913" w:customStyle="1">
    <w:name w:val="正文文本首行缩进"/>
    <w:basedOn w:val="701"/>
    <w:link w:val="914"/>
    <w:uiPriority w:val="0"/>
    <w:qFormat/>
    <w:pPr>
      <w:ind w:firstLine="420"/>
      <w:spacing w:after="120"/>
    </w:pPr>
    <w:rPr>
      <w:position w:val="-10"/>
      <w:sz w:val="21"/>
      <w:szCs w:val="24"/>
      <w:lang w:val="zh-CN"/>
    </w:rPr>
  </w:style>
  <w:style w:type="character" w:styleId="914" w:customStyle="1">
    <w:name w:val="正文文本首行缩进 字符"/>
    <w:link w:val="913"/>
    <w:uiPriority w:val="0"/>
    <w:qFormat/>
    <w:rPr>
      <w:rFonts w:ascii="楷体_GB2312" w:hAnsi="Arial" w:eastAsia="楷体_GB2312"/>
      <w:position w:val="-10"/>
      <w:sz w:val="21"/>
      <w:szCs w:val="24"/>
      <w:lang w:val="zh-CN"/>
    </w:rPr>
  </w:style>
  <w:style w:type="paragraph" w:styleId="915" w:customStyle="1">
    <w:name w:val="正文1"/>
    <w:basedOn w:val="685"/>
    <w:next w:val="916"/>
    <w:uiPriority w:val="0"/>
    <w:qFormat/>
    <w:pPr>
      <w:jc w:val="left"/>
      <w:spacing w:line="360" w:lineRule="atLeast"/>
    </w:pPr>
    <w:rPr>
      <w:rFonts w:ascii="宋体"/>
      <w:sz w:val="24"/>
      <w:szCs w:val="20"/>
    </w:rPr>
  </w:style>
  <w:style w:type="paragraph" w:styleId="916" w:customStyle="1">
    <w:name w:val="正文文本1"/>
    <w:basedOn w:val="915"/>
    <w:next w:val="917"/>
    <w:uiPriority w:val="0"/>
    <w:qFormat/>
    <w:pPr>
      <w:spacing w:after="120"/>
    </w:pPr>
    <w:rPr>
      <w:lang w:eastAsia="en-US"/>
    </w:rPr>
  </w:style>
  <w:style w:type="paragraph" w:styleId="917" w:customStyle="1">
    <w:name w:val="一级条标题"/>
    <w:basedOn w:val="918"/>
    <w:next w:val="9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8"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19" w:customStyle="1">
    <w:name w:val="段"/>
    <w:basedOn w:val="915"/>
    <w:next w:val="685"/>
    <w:uiPriority w:val="0"/>
    <w:qFormat/>
    <w:pPr>
      <w:ind w:firstLine="200"/>
      <w:widowControl/>
    </w:pPr>
    <w:rPr>
      <w:sz w:val="20"/>
    </w:rPr>
  </w:style>
  <w:style w:type="paragraph" w:styleId="920" w:customStyle="1">
    <w:name w:val="列表段落"/>
    <w:basedOn w:val="685"/>
    <w:uiPriority w:val="0"/>
    <w:qFormat/>
    <w:pPr>
      <w:ind w:left="720"/>
      <w:jc w:val="left"/>
      <w:widowControl/>
    </w:pPr>
    <w:rPr>
      <w:szCs w:val="24"/>
      <w:lang w:eastAsia="en-US" w:bidi="en-US"/>
    </w:rPr>
  </w:style>
  <w:style w:type="paragraph" w:styleId="921" w:customStyle="1">
    <w:name w:val="普通正文"/>
    <w:basedOn w:val="685"/>
    <w:uiPriority w:val="0"/>
    <w:qFormat/>
    <w:pPr>
      <w:ind w:firstLine="480"/>
      <w:jc w:val="left"/>
      <w:spacing w:before="120" w:after="120" w:line="360" w:lineRule="auto"/>
    </w:pPr>
    <w:rPr>
      <w:rFonts w:ascii="Arial" w:hAnsi="Arial"/>
      <w:sz w:val="24"/>
      <w:szCs w:val="24"/>
    </w:rPr>
  </w:style>
  <w:style w:type="paragraph" w:styleId="922" w:customStyle="1">
    <w:name w:val="Char"/>
    <w:basedOn w:val="685"/>
    <w:uiPriority w:val="0"/>
    <w:qFormat/>
    <w:pPr>
      <w:ind w:firstLine="200"/>
      <w:tabs>
        <w:tab w:val="left" w:pos="360" w:leader="none"/>
      </w:tabs>
    </w:pPr>
    <w:rPr>
      <w:rFonts w:ascii="Times New Roman" w:hAnsi="Times New Roman"/>
      <w:sz w:val="28"/>
      <w:szCs w:val="30"/>
    </w:rPr>
  </w:style>
  <w:style w:type="paragraph" w:styleId="923" w:customStyle="1">
    <w:name w:val="p0"/>
    <w:basedOn w:val="685"/>
    <w:uiPriority w:val="0"/>
    <w:qFormat/>
    <w:pPr>
      <w:jc w:val="left"/>
      <w:spacing w:before="100" w:beforeAutospacing="1" w:after="100" w:afterAutospacing="1"/>
      <w:widowControl/>
    </w:pPr>
    <w:rPr>
      <w:rFonts w:ascii="宋体" w:hAnsi="宋体" w:cs="宋体"/>
      <w:sz w:val="24"/>
      <w:szCs w:val="24"/>
    </w:rPr>
  </w:style>
  <w:style w:type="character" w:styleId="924" w:customStyle="1">
    <w:name w:val="未处理的提及"/>
    <w:uiPriority w:val="99"/>
    <w:unhideWhenUsed/>
    <w:qFormat/>
    <w:rPr>
      <w:color w:val="605e5c"/>
      <w:shd w:val="clear" w:color="auto" w:fill="e1dfdd"/>
    </w:rPr>
  </w:style>
  <w:style w:type="paragraph" w:styleId="925" w:customStyle="1">
    <w:name w:val="批注框文本 Char Char"/>
    <w:basedOn w:val="685"/>
    <w:uiPriority w:val="0"/>
    <w:qFormat/>
    <w:rPr>
      <w:rFonts w:ascii="Times New Roman" w:hAnsi="Times New Roman"/>
      <w:sz w:val="18"/>
      <w:szCs w:val="20"/>
    </w:rPr>
  </w:style>
  <w:style w:type="paragraph" w:styleId="926" w:customStyle="1">
    <w:name w:val="H-TextFormat"/>
    <w:uiPriority w:val="0"/>
    <w:qFormat/>
    <w:rPr>
      <w:rFonts w:hint="default" w:ascii="Arial" w:hAnsi="Arial" w:eastAsia="宋体" w:cs="Arial"/>
      <w:sz w:val="22"/>
      <w:szCs w:val="22"/>
      <w:lang w:val="en-US" w:eastAsia="en-US" w:bidi="ar-SA"/>
    </w:rPr>
  </w:style>
  <w:style w:type="character" w:styleId="927" w:customStyle="1">
    <w:name w:val="Anrede1IhrZeichen"/>
    <w:uiPriority w:val="0"/>
    <w:qFormat/>
    <w:rPr>
      <w:rFonts w:ascii="Arial" w:hAnsi="Arial"/>
      <w:sz w:val="20"/>
    </w:rPr>
  </w:style>
  <w:style w:type="paragraph" w:styleId="928" w:customStyle="1">
    <w:name w:val="AbsatzTableFormat"/>
    <w:basedOn w:val="685"/>
    <w:uiPriority w:val="0"/>
    <w:qFormat/>
    <w:pPr>
      <w:jc w:val="left"/>
      <w:widowControl/>
    </w:pPr>
    <w:rPr>
      <w:rFonts w:ascii="Times New Roman" w:hAnsi="Times New Roman"/>
      <w:bCs/>
      <w:sz w:val="22"/>
      <w:szCs w:val="20"/>
      <w:lang w:val="pt-BR" w:eastAsia="en-US"/>
    </w:rPr>
  </w:style>
  <w:style w:type="character" w:styleId="929" w:customStyle="1">
    <w:name w:val="ec_431051805-23112007"/>
    <w:uiPriority w:val="0"/>
    <w:qFormat/>
  </w:style>
  <w:style w:type="paragraph" w:styleId="930" w:customStyle="1">
    <w:name w:val="纯文本1"/>
    <w:basedOn w:val="685"/>
    <w:uiPriority w:val="0"/>
    <w:qFormat/>
    <w:pPr>
      <w:jc w:val="left"/>
      <w:widowControl/>
    </w:pPr>
    <w:rPr>
      <w:rFonts w:ascii="宋体" w:hAnsi="Courier New"/>
      <w:szCs w:val="20"/>
    </w:rPr>
  </w:style>
  <w:style w:type="paragraph" w:styleId="931" w:customStyle="1">
    <w:name w:val="普通(网站)1"/>
    <w:basedOn w:val="685"/>
    <w:uiPriority w:val="0"/>
    <w:qFormat/>
    <w:pPr>
      <w:jc w:val="left"/>
      <w:spacing w:before="100" w:beforeAutospacing="1" w:after="100" w:afterAutospacing="1"/>
      <w:widowControl/>
    </w:pPr>
    <w:rPr>
      <w:rFonts w:ascii="宋体" w:hAnsi="Times New Roman"/>
      <w:sz w:val="24"/>
      <w:szCs w:val="20"/>
    </w:rPr>
  </w:style>
  <w:style w:type="character" w:styleId="932" w:customStyle="1">
    <w:name w:val="font61"/>
    <w:basedOn w:val="695"/>
    <w:uiPriority w:val="0"/>
    <w:qFormat/>
    <w:rPr>
      <w:rFonts w:hint="eastAsia" w:ascii="宋体" w:hAnsi="宋体" w:eastAsia="宋体" w:cs="宋体"/>
      <w:b/>
      <w:bCs/>
      <w:i/>
      <w:iCs/>
      <w:color w:val="0066cc"/>
      <w:sz w:val="22"/>
      <w:szCs w:val="22"/>
      <w:u w:val="single"/>
    </w:rPr>
  </w:style>
  <w:style w:type="character" w:styleId="933" w:customStyle="1">
    <w:name w:val="font11"/>
    <w:basedOn w:val="695"/>
    <w:uiPriority w:val="0"/>
    <w:qFormat/>
    <w:rPr>
      <w:rFonts w:hint="eastAsia" w:ascii="宋体" w:hAnsi="宋体" w:eastAsia="宋体" w:cs="宋体"/>
      <w:color w:val="000000"/>
      <w:sz w:val="22"/>
      <w:szCs w:val="22"/>
      <w:u w:val="none"/>
    </w:rPr>
  </w:style>
  <w:style w:type="paragraph" w:styleId="934" w:customStyle="1">
    <w:name w:val="图例"/>
    <w:basedOn w:val="685"/>
    <w:uiPriority w:val="0"/>
    <w:qFormat/>
    <w:pPr>
      <w:jc w:val="center"/>
      <w:spacing w:before="120" w:after="120" w:line="360" w:lineRule="auto"/>
    </w:pPr>
    <w:rPr>
      <w:rFonts w:ascii="Times New Roman" w:hAnsi="Times New Roman" w:eastAsia="仿宋_GB2312" w:cs="Times New Roman"/>
      <w:b/>
      <w:sz w:val="24"/>
    </w:rPr>
  </w:style>
  <w:style w:type="character" w:styleId="935" w:customStyle="1">
    <w:name w:val="标题 2 Char"/>
    <w:link w:val="687"/>
    <w:uiPriority w:val="0"/>
    <w:qFormat/>
    <w:rPr>
      <w:rFonts w:ascii="宋体" w:hAnsi="宋体" w:eastAsia="宋体" w:cs="宋体"/>
      <w:b/>
      <w:bCs/>
      <w:sz w:val="21"/>
      <w:szCs w:val="44"/>
    </w:rPr>
  </w:style>
  <w:style w:type="paragraph" w:styleId="936" w:customStyle="1">
    <w:name w:val="标题 31"/>
    <w:basedOn w:val="685"/>
    <w:next w:val="698"/>
    <w:uiPriority w:val="0"/>
    <w:qFormat/>
    <w:pPr>
      <w:keepLines/>
      <w:keepNext/>
      <w:spacing w:before="260" w:after="260" w:line="416" w:lineRule="auto"/>
      <w:outlineLvl w:val="2"/>
    </w:pPr>
    <w:rPr>
      <w:b/>
      <w:bCs/>
      <w:sz w:val="32"/>
      <w:szCs w:val="32"/>
    </w:rPr>
  </w:style>
  <w:style w:type="paragraph" w:styleId="937" w:customStyle="1">
    <w:name w:val="批注文字1"/>
    <w:basedOn w:val="685"/>
    <w:uiPriority w:val="99"/>
    <w:qFormat/>
    <w:pPr>
      <w:jc w:val="left"/>
    </w:pPr>
  </w:style>
  <w:style w:type="paragraph" w:styleId="938" w:customStyle="1">
    <w:name w:val="正文缩进1"/>
    <w:basedOn w:val="685"/>
    <w:uiPriority w:val="0"/>
    <w:unhideWhenUsed/>
    <w:qFormat/>
    <w:pPr>
      <w:ind w:firstLine="420"/>
    </w:p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76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1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2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73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26"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7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br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孙伟</cp:lastModifiedBy>
  <cp:revision>8</cp:revision>
  <dcterms:created xsi:type="dcterms:W3CDTF">2025-04-27T01:01:00Z</dcterms:created>
  <dcterms:modified xsi:type="dcterms:W3CDTF">2026-09-11T01:41:00Z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eyJoZGlkIjoiNmEwN2Q3YzUxMmFmNDMzYTNjMmIzYTEwMmE0N2EwZDMiLCJ1c2VySWQiOiI5MTcwMDU2MjgifQ==</vt:lpwstr>
  </property>
  <property fmtid="{D5CDD505-2E9C-101B-9397-08002B2CF9AE}" pid="3" name="KSOProductBuildVer">
    <vt:lpwstr>2052-12.1.0.26895</vt:lpwstr>
  </property>
  <property fmtid="{D5CDD505-2E9C-101B-9397-08002B2CF9AE}" pid="4" name="ICV">
    <vt:lpwstr>0CF3394074C04F328AF4A481B3649550_13</vt:lpwstr>
  </property>
</Properties>
</file>