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Arial" w:hAnsi="Arial" w:eastAsia="黑体"/>
          <w:b/>
          <w:bCs/>
          <w:color w:val="000000"/>
          <w:sz w:val="84"/>
          <w:szCs w:val="24"/>
          <w:highlight w:val="none"/>
        </w:rPr>
      </w:r>
      <w:r/>
    </w:p>
    <w:p>
      <w:pPr>
        <w:pStyle w:val="951"/>
        <w:rPr>
          <w:rFonts w:hint="eastAsia"/>
          <w:highlight w:val="none"/>
        </w:rPr>
      </w:pPr>
      <w:r>
        <w:rPr>
          <w:rFonts w:hint="eastAsia"/>
          <w:highlight w:val="none"/>
        </w:rPr>
      </w:r>
      <w:r/>
    </w:p>
    <w:p>
      <w:pPr>
        <w:pStyle w:val="96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项目名称：南京鼓楼医院多组织主体协同管理平台建设</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6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JSZC-320100-JZCG-G2026-0302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1"/>
        <w:rPr>
          <w:rFonts w:hint="eastAsia"/>
        </w:rPr>
      </w:pPr>
      <w:r>
        <w:rPr>
          <w:rFonts w:hint="eastAsia"/>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6"/>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1"/>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941"/>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941"/>
        <w:rPr>
          <w:rFonts w:hint="eastAsia" w:ascii="Arial" w:hAnsi="Arial"/>
          <w:color w:val="000000"/>
          <w:sz w:val="24"/>
          <w:szCs w:val="24"/>
          <w:highlight w:val="none"/>
        </w:rPr>
      </w:pPr>
      <w:r>
        <w:rPr>
          <w:rFonts w:hint="eastAsia" w:ascii="Arial" w:hAnsi="Arial"/>
          <w:color w:val="000000"/>
          <w:sz w:val="24"/>
          <w:szCs w:val="24"/>
          <w:highlight w:val="none"/>
        </w:rPr>
      </w:r>
      <w:r/>
    </w:p>
    <w:p>
      <w:pPr>
        <w:pStyle w:val="869"/>
        <w:rPr>
          <w:rFonts w:hint="eastAsia"/>
        </w:rPr>
      </w:pPr>
      <w:r>
        <w:rPr>
          <w:rFonts w:hint="eastAsia"/>
        </w:rPr>
      </w:r>
      <w:r/>
    </w:p>
    <w:p>
      <w:pPr>
        <w:pStyle w:val="951"/>
        <w:rPr>
          <w:rFonts w:hint="eastAsia"/>
          <w:highlight w:val="none"/>
        </w:rPr>
      </w:pPr>
      <w:r>
        <w:rPr>
          <w:rFonts w:hint="eastAsia"/>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1.项目编号：JSZC-320100-JZCG-G2026-0302</w:t>
      </w:r>
      <w:r>
        <w:rPr>
          <w:rFonts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2.项目名称：南京鼓楼医院多组织主体协同管理平台建设</w:t>
      </w:r>
      <w:r>
        <w:rPr>
          <w:rFonts w:hint="eastAsia" w:ascii="宋体" w:hAnsi="宋体"/>
          <w:color w:val="000000"/>
          <w:sz w:val="24"/>
          <w:szCs w:val="24"/>
          <w:highlight w:val="none"/>
          <w:lang w:eastAsia="zh-CN"/>
        </w:rPr>
        <w:t xml:space="preserve">项目</w:t>
      </w:r>
      <w:r>
        <w:rPr>
          <w:rFonts w:hint="eastAsia" w:ascii="宋体" w:hAnsi="宋体" w:eastAsia="宋体"/>
          <w:color w:val="000000"/>
          <w:sz w:val="24"/>
          <w:szCs w:val="24"/>
          <w:highlight w:val="none"/>
          <w:lang w:eastAsia="zh-CN"/>
        </w:rPr>
      </w:r>
      <w:r/>
    </w:p>
    <w:p>
      <w:pPr>
        <w:pStyle w:val="869"/>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35万元</w:t>
      </w:r>
      <w:r>
        <w:rPr>
          <w:rFonts w:ascii="宋体" w:hAnsi="宋体"/>
          <w:color w:val="000000"/>
          <w:sz w:val="24"/>
          <w:szCs w:val="24"/>
          <w:highlight w:val="none"/>
        </w:rPr>
      </w:r>
      <w:r/>
    </w:p>
    <w:p>
      <w:pPr>
        <w:pStyle w:val="869"/>
        <w:ind w:firstLine="480"/>
        <w:pageBreakBefore w:val="0"/>
        <w:spacing w:line="240" w:lineRule="auto"/>
        <w:widowControl w:val="off"/>
        <w:rPr>
          <w:rFonts w:ascii="宋体" w:hAnsi="宋体" w:eastAsia="宋体" w:cs="宋体"/>
          <w:color w:val="000000"/>
          <w:sz w:val="24"/>
          <w:szCs w:val="24"/>
          <w:highlight w:val="none"/>
          <w:lang w:val="en-US"/>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35万元</w:t>
      </w:r>
      <w:r>
        <w:rPr>
          <w:rFonts w:ascii="宋体" w:hAnsi="宋体" w:eastAsia="宋体" w:cs="宋体"/>
          <w:color w:val="000000"/>
          <w:sz w:val="24"/>
          <w:szCs w:val="24"/>
          <w:highlight w:val="none"/>
          <w:lang w:val="en-US"/>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南京鼓楼医院</w:t>
      </w:r>
      <w:r>
        <w:rPr>
          <w:rFonts w:hint="eastAsia" w:ascii="宋体" w:hAnsi="宋体"/>
          <w:color w:val="000000"/>
          <w:sz w:val="24"/>
          <w:szCs w:val="24"/>
          <w:highlight w:val="none"/>
          <w:lang w:val="en-US" w:eastAsia="zh-CN"/>
        </w:rPr>
        <w:t xml:space="preserve">为实现多组织主体协同管理，提高医院运营效益和经济效益，采购一体化管理系统。该系统需支持在单一平台内为各实体分别建立独立且完整的组织账套，每个组织账套应具备独立的会计核算体系与业务数据隔离机制，确保各实体间财务与业务数据的独立性与保密性，满足其作为独立运营主体的管理要求。</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150天（系统开发及验收时间为合同签订后150天内）</w:t>
      </w:r>
      <w:r>
        <w:rPr>
          <w:rFonts w:hint="eastAsia" w:ascii="宋体" w:hAnsi="宋体" w:cs="宋体"/>
          <w:color w:val="000000"/>
          <w:sz w:val="24"/>
          <w:szCs w:val="24"/>
          <w:highlight w:val="none"/>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69"/>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28359084"/>
      <w:r/>
      <w:bookmarkStart w:id="29" w:name="_Toc28359007"/>
      <w:r/>
      <w:bookmarkStart w:id="30" w:name="_Toc35393625"/>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17</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69"/>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w:t>
      </w:r>
      <w:r>
        <w:rPr>
          <w:rFonts w:hint="eastAsia" w:ascii="宋体" w:hAnsi="宋体" w:eastAsia="宋体" w:cs="宋体"/>
          <w:sz w:val="24"/>
          <w:szCs w:val="24"/>
          <w:highlight w:val="none"/>
          <w:lang w:val="en-US" w:eastAsia="zh-CN"/>
        </w:rPr>
        <w:t xml:space="preserve">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采购人《质疑函》收件人：张老师，收件地址：</w:t>
      </w:r>
      <w:r>
        <w:rPr>
          <w:rFonts w:hint="eastAsia" w:ascii="宋体" w:hAnsi="宋体" w:eastAsia="宋体" w:cs="Times New Roman"/>
          <w:color w:val="000000"/>
          <w:sz w:val="24"/>
          <w:szCs w:val="21"/>
          <w:highlight w:val="none"/>
          <w:u w:val="none"/>
          <w:lang w:val="en-US" w:eastAsia="zh-CN"/>
        </w:rPr>
        <w:t xml:space="preserve">南京市玄武区双龙巷5号4楼410，</w:t>
      </w:r>
      <w:r>
        <w:rPr>
          <w:rFonts w:hint="eastAsia" w:ascii="宋体" w:hAnsi="宋体" w:eastAsia="宋体" w:cs="Times New Roman"/>
          <w:b w:val="0"/>
          <w:bCs w:val="0"/>
          <w:color w:val="000000"/>
          <w:sz w:val="24"/>
          <w:highlight w:val="none"/>
          <w:lang w:val="en-US" w:eastAsia="zh-CN"/>
        </w:rPr>
        <w:t xml:space="preserve">联系电话：025-83105006。</w:t>
      </w:r>
      <w:r>
        <w:rPr>
          <w:rFonts w:hint="eastAsia" w:ascii="宋体" w:hAnsi="宋体" w:eastAsia="宋体" w:cs="Times New Roman"/>
          <w:b w:val="0"/>
          <w:bCs w:val="0"/>
          <w:color w:val="000000"/>
          <w:sz w:val="24"/>
          <w:highlight w:val="none"/>
          <w:lang w:val="en-US" w:eastAsia="zh-CN"/>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南京市鼓楼区中山路321号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025-83105006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联系电话：025-68505967</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9"/>
        <w:ind w:firstLine="492"/>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w:t>
      </w:r>
      <w:r>
        <w:rPr>
          <w:rFonts w:hint="eastAsia" w:ascii="宋体" w:hAnsi="宋体" w:eastAsia="宋体" w:cs="Times New Roman"/>
          <w:color w:val="000000"/>
          <w:sz w:val="24"/>
          <w:szCs w:val="22"/>
          <w:highlight w:val="none"/>
          <w:lang w:val="zh-CN"/>
        </w:rPr>
        <w:t xml:space="preserve">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   22.1.10 投标人串通投标。</w:t>
      </w:r>
      <w:r>
        <w:rPr>
          <w:rFonts w:hint="eastAsia" w:ascii="宋体" w:hAnsi="宋体" w:eastAsia="宋体" w:cs="Times New Roman"/>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6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3"/>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6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6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6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6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69"/>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479757207"/>
      <w:r/>
      <w:bookmarkStart w:id="50" w:name="_Toc20823314"/>
      <w:r/>
      <w:bookmarkStart w:id="51" w:name="_Toc513029242"/>
      <w:r/>
      <w:bookmarkStart w:id="52" w:name="_Toc16938558"/>
      <w:r/>
      <w:bookmarkStart w:id="53" w:name="_Toc120614221"/>
      <w:r>
        <w:rPr>
          <w:highlight w:val="none"/>
        </w:rPr>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1"/>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1"/>
        <w:spacing w:line="264" w:lineRule="auto"/>
        <w:rPr>
          <w:rFonts w:hint="eastAsia"/>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ff"/>
          <w:sz w:val="24"/>
          <w:szCs w:val="24"/>
          <w:highlight w:val="none"/>
          <w:lang w:val="en-US" w:eastAsia="zh-CN"/>
        </w:rPr>
      </w:r>
      <w:r/>
    </w:p>
    <w:p>
      <w:pPr>
        <w:pStyle w:val="869"/>
        <w:rPr>
          <w:rFonts w:hint="eastAsia" w:ascii="宋体" w:hAnsi="宋体" w:eastAsia="宋体" w:cs="Courier New"/>
          <w:color w:val="0000ff"/>
          <w:sz w:val="24"/>
          <w:szCs w:val="24"/>
          <w:highlight w:val="none"/>
          <w:lang w:val="zh-CN" w:eastAsia="zh-CN"/>
        </w:rPr>
      </w:pPr>
      <w:r>
        <w:rPr>
          <w:rFonts w:hint="eastAsia" w:ascii="宋体" w:hAnsi="宋体" w:eastAsia="宋体" w:cs="Courier New"/>
          <w:color w:val="0000ff"/>
          <w:sz w:val="24"/>
          <w:szCs w:val="24"/>
          <w:highlight w:val="none"/>
          <w:lang w:val="zh-CN" w:eastAsia="zh-CN"/>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随着医疗行业的快速发展和公立医院改革的深入推进，医疗机构集团化已成为提升医疗服务效率与资源整合能力的重要战略方向。南京鼓楼医院作为区域性医疗中心，正积极推动集团化战略实施，通过扩大业务规模与多组织协同运营，以增强整体市场竞争力与服务水平。然而，在集团化进程中，南京鼓楼医院管理公司、工会、基金会、医院集团及钟楼中心等多个核心组织面临运营管理上的显著挑战。</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为实</w:t>
      </w:r>
      <w:r>
        <w:rPr>
          <w:rFonts w:hint="eastAsia" w:ascii="宋体" w:hAnsi="宋体" w:eastAsia="宋体" w:cs="Times New Roman"/>
          <w:color w:val="000000"/>
          <w:sz w:val="24"/>
          <w:szCs w:val="24"/>
          <w:highlight w:val="none"/>
          <w:lang w:val="en-US" w:eastAsia="zh-CN"/>
        </w:rPr>
        <w:t xml:space="preserve">现南京鼓楼医院多组织主体协同管理，提高医院运营效益和经济效益，南京鼓楼医院计划对以下组织进行系统一体化管理，包括：南京鼓楼医院集团医院管理有限公司及其下属持股公司、南京鼓楼医院工会委员会、南京鼓楼医院集团、南京钟楼医学研究及技术服务中心、江苏省宁爱医学发展医疗救助基金会，本次旨在实现总账、财务报表、存货核算、费用管理、合同管理、采购管理、库存管理、资产管理、医院预算管理、资金管理与本部集团进行一体化管理，形成与本部集团层面下的综合运营管理，满足财务部门整体运营监管，支持医院科学决策。目前涉及的组织具体如下：</w:t>
      </w:r>
      <w:r>
        <w:rPr>
          <w:rFonts w:hint="eastAsia" w:ascii="宋体" w:hAnsi="宋体" w:eastAsia="宋体" w:cs="Times New Roman"/>
          <w:color w:val="000000"/>
          <w:sz w:val="24"/>
          <w:szCs w:val="24"/>
          <w:highlight w:val="none"/>
          <w:lang w:val="en-US" w:eastAsia="zh-CN"/>
        </w:rPr>
      </w:r>
      <w:r/>
    </w:p>
    <w:tbl>
      <w:tblPr>
        <w:tblW w:w="88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6"/>
        <w:gridCol w:w="4466"/>
        <w:gridCol w:w="3390"/>
      </w:tblGrid>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组织名称</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备注</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南京鼓楼医院集团医院管理有限公司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bottom"/>
            <w:textDirection w:val="lrTb"/>
            <w:noWrap/>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南京鼓小咖文化创意有限公司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管理公司100%持股子公司</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南京鼓小咖餐饮管理有限公司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管理公司100%持股子公司</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南京鼓小咖食品贸易有限公司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管理公司100%持股子公司</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南京鼓医健康科技发展有限公司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管理公司100%持股子公司</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南京市转化医学研究院有限公司</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center"/>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鼓医健康50%持股子公司</w:t>
            </w: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南京鼓楼医院工会委员会</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bottom"/>
            <w:textDirection w:val="lrTb"/>
            <w:noWrap/>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江苏省宁爱医学发展医疗救助基金会</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bottom"/>
            <w:textDirection w:val="lrTb"/>
            <w:noWrap/>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南京鼓楼医院集团</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bottom"/>
            <w:textDirection w:val="lrTb"/>
            <w:noWrap/>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1036" w:type="dxa"/>
            <w:vAlign w:val="bottom"/>
            <w:textDirection w:val="lrTb"/>
            <w:noWrap/>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466" w:type="dxa"/>
            <w:vAlign w:val="center"/>
            <w:textDirection w:val="lrTb"/>
            <w:noWrap/>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南京钟楼医学研究及技术服务中心</w:t>
            </w:r>
            <w:r>
              <w:rPr>
                <w:rFonts w:hint="eastAsia" w:ascii="宋体" w:hAnsi="宋体" w:eastAsia="宋体" w:cs="Times New Roman"/>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90" w:type="dxa"/>
            <w:vAlign w:val="bottom"/>
            <w:textDirection w:val="lrTb"/>
            <w:noWrap/>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highlight w:val="none"/>
          <w:lang w:val="en-US" w:eastAsia="zh-CN"/>
        </w:rPr>
        <w:t xml:space="preserve">注：</w:t>
      </w:r>
      <w:r>
        <w:rPr>
          <w:rFonts w:hint="eastAsia" w:ascii="宋体" w:hAnsi="宋体" w:eastAsia="宋体" w:cs="Times New Roman"/>
          <w:color w:val="000000"/>
          <w:sz w:val="24"/>
          <w:szCs w:val="24"/>
          <w:highlight w:val="none"/>
          <w:lang w:val="en-US" w:eastAsia="zh-CN"/>
        </w:rPr>
        <w:t xml:space="preserve">本项目质保期内，如采购人根据业务发展需要新增账套及所需功能（账套规模以南京鼓楼医院集团管理医院管理公司及其关联公司整体最大规模为参照），</w:t>
      </w:r>
      <w:r>
        <w:rPr>
          <w:rFonts w:hint="eastAsia" w:ascii="宋体" w:hAnsi="宋体" w:eastAsia="宋体" w:cs="Times New Roman"/>
          <w:color w:val="000000"/>
          <w:sz w:val="24"/>
          <w:szCs w:val="24"/>
          <w:highlight w:val="none"/>
          <w:lang w:val="en-US" w:eastAsia="zh-CN"/>
        </w:rPr>
      </w:r>
      <w:r>
        <w:rPr>
          <w:rFonts w:ascii="SimSun" w:hAnsi="SimSun" w:eastAsia="SimSun" w:cs="SimSun"/>
          <w:color w:val="000000"/>
          <w:sz w:val="24"/>
        </w:rPr>
        <w:t xml:space="preserve">不再额外增加费用</w:t>
      </w:r>
      <w: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sz w:val="24"/>
          <w:szCs w:val="24"/>
          <w:highlight w:val="none"/>
          <w:lang w:val="en-US" w:eastAsia="zh-CN"/>
        </w:rPr>
        <w:t xml:space="preserve">。</w:t>
      </w:r>
      <w:r/>
      <w:r/>
      <w:r>
        <w:rPr>
          <w:sz w:val="21"/>
        </w:rP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3"/>
        <w:tblW w:w="507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91"/>
        <w:gridCol w:w="2181"/>
        <w:gridCol w:w="870"/>
        <w:gridCol w:w="1033"/>
        <w:gridCol w:w="1537"/>
        <w:gridCol w:w="1913"/>
        <w:gridCol w:w="1581"/>
      </w:tblGrid>
      <w:tr>
        <w:trPr>
          <w:trHeight w:val="845"/>
        </w:trPr>
        <w:tc>
          <w:tcPr>
            <w:tcW w:w="39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1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52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75"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9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690"/>
        </w:trPr>
        <w:tc>
          <w:tcPr>
            <w:tcW w:w="39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10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多组织协同管理平台</w:t>
            </w:r>
            <w:r>
              <w:rPr>
                <w:rFonts w:hint="eastAsia" w:ascii="宋体" w:hAnsi="宋体" w:eastAsia="宋体" w:cs="Times New Roman"/>
                <w:bCs/>
                <w:color w:val="000000"/>
                <w:sz w:val="24"/>
                <w:szCs w:val="24"/>
                <w:highlight w:val="none"/>
              </w:rPr>
            </w:r>
            <w:r/>
          </w:p>
        </w:tc>
        <w:tc>
          <w:tcPr>
            <w:tcW w:w="43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52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7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9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9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1.财务会计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▲1.1总账系统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多组织账套管理功能，支持独立核算，提供并账功能；支持总部、本部、各分院在总系统中查询多院明细(在总部系统中查询本部、分院区各自明细)，符合财务制度要求多院区可分可合的管理模式，实现期初建账、基础资料、凭证填制、出纳签字、会计确认、凭证审核、记账、对账、结账、反结账、明细账、总账、备查账、报表、查询等功</w:t>
      </w:r>
      <w:r>
        <w:rPr>
          <w:rFonts w:hint="eastAsia" w:ascii="宋体" w:hAnsi="宋体" w:eastAsia="宋体" w:cs="Times New Roman"/>
          <w:color w:val="000000"/>
          <w:sz w:val="24"/>
          <w:szCs w:val="24"/>
          <w:highlight w:val="none"/>
          <w:lang w:val="en-US" w:eastAsia="zh-CN"/>
        </w:rPr>
        <w:t xml:space="preserve">能；支持处理现金、银行存款的管理、现金流量的分析与查询、财务会计与预算会计并行记账核对查询；支持凭证管理、现金银行、财务折算、往来核销、月末结转、现金流量、账簿查询等功能；完成医院的全部财务核算工作，明细核算到科室单元，做好科室的核算管理工作；支持期初余额录入与上年年末余额自动结转本年年初余额；支持包括三栏式总账、三栏式明细账、多栏式明细账、科目余额表等各种账簿的查询；通过支持月末、年末各种收支自动结转，结余自动分配，会计期结束时进行试算平衡与结账处理，实现复杂并且规范业务的自动化处理，提高财务核算效率；支</w:t>
      </w:r>
      <w:r>
        <w:rPr>
          <w:rFonts w:hint="eastAsia" w:ascii="宋体" w:hAnsi="宋体" w:eastAsia="宋体" w:cs="Times New Roman"/>
          <w:color w:val="000000"/>
          <w:sz w:val="24"/>
          <w:szCs w:val="24"/>
          <w:highlight w:val="none"/>
          <w:lang w:val="en-US" w:eastAsia="zh-CN"/>
        </w:rPr>
        <w:t xml:space="preserve">持通过提供科目辅助核算及多种账表查询功能，满足医院细化核算的要求，提供往来备查账；支持将基本档案、自定义档案设置为科目辅助核算项的功能；支持收支按照资金来源进行区分；支持凭证和报表导入、导出功能；支持丰富的报表计算公式以及灵活的报表格式定义，格式编制类似于 excel 表操作，简单易用，报表公式取数灵活，可跨年度、跨账套取数；支持凭证、账簿跨年查询功能；提供银行对账模块。自动生成银行余额调节表，并能保存查询各月生成后的银行余额调节表；提供从 EXCEL 导入银行对账单功能,支持跨月导入、可选定需要导入月份。</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1.2财务报表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多维度财务分析查询：支持分析报表样式灵活多样；支持格式设置丰富多彩；支持灵活的查询条件；支持自动生成财务分析报告，计算能力高效稳定；支持权限控制；编制各类财务报表资产负债表、利润表、现金流量表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▲1.3应收应付</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应收、应付款申请单的录入、供应商付款的处理、单据核销处理等功能；支持形成的应收、应付款、付款和预付款业务的管理，并及时提供完整、正确的往来款项资料，加强对往来款项的监督管理，提高工作效率；支持与业务系统的无缝集成，可以根据业务系统直接生成应收款也可以在应付系统中录入相应的应付款内容；根据应收情况、应付情况和付款条件，支</w:t>
      </w:r>
      <w:r>
        <w:rPr>
          <w:rFonts w:hint="eastAsia" w:ascii="宋体" w:hAnsi="宋体" w:eastAsia="宋体" w:cs="Times New Roman"/>
          <w:color w:val="000000"/>
          <w:sz w:val="24"/>
          <w:szCs w:val="24"/>
          <w:highlight w:val="none"/>
          <w:lang w:val="en-US" w:eastAsia="zh-CN"/>
        </w:rPr>
        <w:t xml:space="preserve">持批量付款。支持对预付款的管理；提供多种结算方式的付款处理，支持应付系统与采购系统、固定资产系统等集成使用采购发票传递应付系统形成应付款申请单，应付款申请单中必须含有供应商名称及发票号码审核后将自动生成应付凭证；应收账款、应付账款支持自动核销和手工核销两种方式。手工核销就是由用户人工进行应付款与付款之间的匹配，每次核销操作均生成核销单据号。支持通过应付系统查询发票、付款时间、会计凭证；反向通过会计凭证查询到发票明细；支持往来辅助核算科目在查询时可查看到前期往来凭证；支持往来核算同前端业务相关联自动生成凭证。</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▲1.4存货核算</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核算医院存货的入库成本、出库成本和结余成本，完成对采购暂估业务的处理，在采购环节实现与财务的、存货成本的调整、材料成本差异的计算分摊支持各种计价方式下的存货成本核算，并可提供实时的出库动态成本及对成本的模拟计算。存货核算暂估方式支持单到补差、单到回冲方式；支持材料出入库凭证自动生成；支持应付供应商款项挂账、付款可灵活选择核销方式；支持会计付款、记账后信息返回物流系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▲2.费用管理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报账平</w:t>
      </w:r>
      <w:r>
        <w:rPr>
          <w:rFonts w:hint="eastAsia" w:ascii="宋体" w:hAnsi="宋体" w:eastAsia="宋体" w:cs="Times New Roman"/>
          <w:color w:val="000000"/>
          <w:sz w:val="24"/>
          <w:szCs w:val="24"/>
          <w:highlight w:val="none"/>
          <w:lang w:val="en-US" w:eastAsia="zh-CN"/>
        </w:rPr>
        <w:t xml:space="preserve">台主要提供报销人员填制日常单据的入口；报账平台作为医院财务数据的采集入口，可以有效避免一个角色多入口的弊端，提升用户体验。通过报账业务统一管理，实现报账业务统一控制，自动生成相关凭证，帮助医院实现报账业务标准化及规则化。需要与HRP 财务系统实现集成，做到报销核算一体化；支持提供费用明细、费用汇总查询；支持多种报销单的单据大类；支持丰富详尽的统计分析（员工借款账龄分析、员工欠款分析、收入支出项目分析等分析内容，为员工的管理提供了丰富详实的信息）；支持自定义工作流、可灵活扩展流程制定的需求；支持费用报表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3.物资管理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3.1合同管理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（1）合同准备</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模板管理：提供对合同模板的编辑和管理功能；合同甲方信息维护：提供对甲方信息的维护功能；合同对方产品信息维护：提供按供应商对产品信息进行维护的功能；合同项目信息维护：提供对合同项目信息进行维护，根据项目关联合同的功能。合同管理入库：实现合同系统与物资入库、验收、付款环节的管理。能够按合同查询付款进度。</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审批：提供合同的审批、批量审批以及驳回的功能，根据合同编制时指定的审批流程进行审批，也支持合同线上线下结合的方式进行审批；合同签订确认后，付款后上传文件不得改动。合同对不同项目负责人开放，互相不交叉重叠。合同归档：提供合同的归档和归档回转功能，可以支持系统内网上审批；盖章生效后，签字归档，上传到 HRP 系统（不再重复录入相关信息）；合同录入HRP 系统，支持多部门多条件查询共享、支持库房字典库自动生成；合同制作到生效完成全流程系统记录，处理节点的负责人和时间。</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（3）合同变更管理：支持合同的变更、解除、终止、冻结等状态管理。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（4）合同附件管理：支持采购合同挂载付款协议，包括但不限于以下信息：付款期、付款比例、是否预付款、起效日期、起效日期延期天数、结算方式、是否质保金、资金来源等。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（5）合同预付款管理：支持合同预付款管理及查询等。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（6）合同查询：支持多维度的合同台账查询，执行进度、付款进度等。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3.2采购管理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支持对物资采购领用的各个环节及状态进行跟踪管理的系统模块，如请购、订货、收货、入库、收票、结算等。供应管理可通过与计划的集成应用，达到在保障供应的前提下，降低库存积压。此外集中管理下的供应业务往往对管控有较高的要求，需要提供灵活多样的个性化管控解决方案：为满足未来发展，系统需支持配置单院区采购流程、跨院区集中采购流程、设备类采购、费用类采购。</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（2）采购退货业务：支持库存区退货。</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（3）采购暂估和结算：支持货票同到、先货后票，自由结算、先货后票，结算受控、先货后票、部分货票同到、采购费用的暂估与结算等多种结算场景。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（4）付款协议付款：采购订单、采购合同基于付款协议，拆解出付款计划，依据付款计划提出付款申请，安排后续的付款。</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3.3库存管理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日常库存管理：满足日常库存管理，限制部分品种生成计划，入库不得超出采购总量上限，支持库位、效期、安全库存管理，提供库存查询、分析；多角度统计分析：计价材料与 HIS 收费项目实现对应；针对医院库房出入库业务需求，满足：采购入库、零价格入库、其他入库捐赠入库、盘盈、材料出库、盘亏、采购退货、材料退库、报废、盘点等。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4.资产管理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（1）设备采购</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支持设备按年度可查询；支持定制审批流程，可进行各类申购(包括设备/器械申购，耗材/试剂申购，维修/保修申请，报废申请等)。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（2）设备安装验收</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与设备购置申请、采购合同关联，根据合同设置的付款进度自动生成付款单据及首付款、各个阶段的付款可以与财务付款对接并有付款进度及结果反馈。</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（3）设备出入库</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合同进行资产入库，可定制库房类型（医疗设备库，捐赠物资库，低值易耗库，高值易耗库等）；卡片管理：支持以资产卡片为中心的档案管理，能够实现资产卡片的自定义，根据不同资产的管理要求定义资产卡片模板；支持资产档案管理；支持查询设备的档案存放位置，可具体到文件柜、文件夹等。条码（二维码）管理：支持资产条码管理，支持资产编码和资产条码关键字段的自定义，根据实际情况进行设置，将账面资产卡片与实物资产卡片一一对应起来；利用手机 APP 扫描固定资产条码。</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（4）设备处置</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记录设备的处置日期、原因、处置类别、处置依据、上报人、审批人、审批意见、技术状况、资产状况信息等，同时可上传照片等该设备处置相关文档供参考，并进行处置论证，当资产状态为“报废”时，设备状态自动更新为“报废”。支持和医院OA报废审批流程对接。</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（5）单机效益/使用效率分析（报表制作）</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支持资产管理与财务成本管理的紧密集成，资产的折旧、维修等涉及到财务成本业务的生成对应的财务成本凭证，并分摊至相应科室，提高核算效率和信息共享程度。</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（6）资产变动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资产的多种变动操作，比如资产的人员变动、部门变动、地点变动、单位变动、价值变动等操作，支持综合变动和批量变动操作；支持多种资产增加、内部调整、减少等变动的定义方式，并且这些变动完全与财务处理同步，保证资产的实际与资产的账面处理严格一致，明确资产的状态和责任人。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（7）综合查询</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支持设备所有相关信息（设备申请，采购合同，安装时间，验收记录，保修时间，使用登记，维修记录，不良事件记录，报废处置记录）可查询、统计；支持建立资产管理动态台账，全程跟踪管理资产的采购、领用、验收、使用、变动、处置，即时明确资产的状态、价值、位置、使用科室、责任人，实现资产全员管理，彻底打破传统的资产管理模式（支持合同管理，合同电子版收入，保修付款，保修期到期等相关提醒功能）；支持固定资产报表查询、统计、分析、导出。</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5.预算管理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基本资料管理能够将历年的基础数据维护或导入，支持公式运算、审核，以历史预算执行情况建立预算编制作为依据和参考，满足预算编制、审核、汇总的管理需要；根据预算准备的基础资料，建立覆盖全院的三级预算管理体系，包括医院级、归口部门级、业务科室级；支持业务部门在线进行预算填制，归口部门汇总形成归口预算，并最终形成全院预算；与0A 系统对接，预算的编制、申报、调整、审核等业务流都通过0A系统传输至预算系统，实现全流程电子审批。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预算系统能满足医院各种样表个性化定制；支持设置预算样表、维度、维度成员的编制权限、归口审核权限；对编制权限、审核权限进行维护管理，实现职能科室代编、业务科室编制的模式，并能够按权限进行汇总审核；预算编制实现收入预算、支出预算、项目预算、财务预算、采购预算、资本性预算等各类预算信息的编制，并能够按不同的预算类型配置审批流程，实现预算的编制、审核、汇总、批复、下达等全过程管理。支持两上两下、多上多下的管理模式；支持预算号管理，能按照医院编号规则编制预算号；支持预算的控制，面向业务单据的自动预算控制</w:t>
      </w:r>
      <w:r>
        <w:rPr>
          <w:rFonts w:hint="eastAsia" w:ascii="宋体" w:hAnsi="宋体" w:eastAsia="宋体" w:cs="Times New Roman"/>
          <w:color w:val="000000"/>
          <w:sz w:val="24"/>
          <w:szCs w:val="24"/>
          <w:highlight w:val="none"/>
          <w:lang w:val="en-US" w:eastAsia="zh-CN"/>
        </w:rPr>
        <w:t xml:space="preserve">，控制方式灵活多样，控制环节可结合工作流进行配置，避免出现控制僵化的管理瓶颈，实现对总账凭证控制、费用申请单、报销单预算额度控制、预算与执行分析比较。预算控制渗透到每个管理环节，比如：会计凭证、日常报销，采购合同等。加强运营的计划性，可以对任何一件经济事件进行事前计划、事中监控、事后分析；支持预算的分析查询，提供各种预算分析查询功能，如执行情况分析，各个下级单位的预算或执行情况的对比分析。提供预算执行数据和预算控制数据到业务执行明细数据和业务单据的追踪，实现对医院全面预算管理实施过程和实施效果的考核和评价。</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6.资金管理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6.1现金管理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现金管理是医院资金流入流出的平台，管理医院自有资金存量与流量，强化医院资金管理，实现对日常业务引起的收付款项以及内部往来款项划拨的控制与管理，并提供了对集团医疗机构资金的自动核算和管理功能。现金管理的主要组成部分：日常业务管理、结算管理、银行对账、票据管理、账表查询等。出纳支付便捷，不需要登录不同的网银（不同银行账户），同一结算界面，完成支付不同银行账户的支付。</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（2）支持从业务系统发起付款申请，实现业务审批和资金结算、财务核算一体化的闭环管理应用场景。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（3）支持单据审批流设置，满足医院各类资金业务审批工作。</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（4）支持审批支持 CA 认证、数字签名，保障数据安全性。</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（5）支持月末可将未制单的银行回单显示列表。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（6）支持关联付款时间、凭证号、付款状态给业务端。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（7）支持收款认领并确认后显示经办人和经办部门。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（8）接口对接：系统支持与医院现有统一支付对账平台系统对接并自动生成凭证。</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6.2银医直联</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院可以随时通过银医互联系统查询医院在不同银行的业务交易数据，定时（时间可自行设定）或实时读取各家银行资金收支业务信息，并可将数据保存在医院端数据库中。此外，医院还可以进行账户余额、明细以及单笔交易的查询和转账等业务。银医直联账户资金管理服务提供资金收、付、余额查询、余额监控、交易流水、电子回单等银医直联数据。</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（2）银医结算直联管理：包括对公单笔支付、对私单笔支付、对公批量支付、对私批量支付、代发工资金支付、员工报销支付等支付业务。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（3）账户余额查询：可在线查询银行账户的当前余额和离线查询银行账户的当前和历史余额。</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（4）支付指令状态：通过银医互联接口实时查询指令状态和支付状态，指令状态是指银行是否已受理付款指令，支付状态是指付款指令是否已支付成功。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（5）自动下载日志查询：根据定义好的数据下载规则，进行下载日志的查看，包括手动下载和通过预警平台自动下载两种情况。</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（6）工资清单：支持直接在系统中编制工资清单，或通过标准模板文件向系统导入工资清单，提交工资清单后，可通过网上银行对工资清单进行支付，支付后可在工资清单的支付状态中查询工资支付状态结果。</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（7）支持确认单：在系统中可以通过支付确认单来将这些支付不明的支付指令确认为成功或失败。支付确认单支持保存、提交、审批等操作。</w:t>
      </w:r>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（2）供应商的任何错漏、优惠、竞争性报价不得作为减轻责任、减少服务、增加收费、降低服务质量的理由。</w:t>
      </w:r>
      <w:r>
        <w:rPr>
          <w:rFonts w:hint="eastAsia" w:ascii="宋体" w:hAnsi="宋体" w:eastAsia="宋体" w:cs="宋体"/>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①供应商提供的系统能够根据采购人实际需求与医院各院区所有信息系统、集成</w:t>
      </w:r>
      <w:r>
        <w:rPr>
          <w:rFonts w:hint="eastAsia" w:ascii="宋体" w:hAnsi="宋体" w:eastAsia="宋体" w:cs="宋体"/>
          <w:color w:val="000000"/>
          <w:sz w:val="24"/>
          <w:szCs w:val="24"/>
          <w:highlight w:val="none"/>
          <w:lang w:val="en-US" w:eastAsia="zh-CN"/>
        </w:rPr>
        <w:t xml:space="preserve">平台做对接及集成（对接人：宋工；联系电话：025-83106666转60617 ）：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②本章中所列技术要求为医院项目初步需求，具体需求以国家最新政策标准为准。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（4）运维要求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运维期：供应商应确保本次采购所有项目的安全稳定运行，提供3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⑤本采购项目出保后每年的维护费不超过合同总金额的5%。</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⑥运维期内供应商提供的系统软件升级，保证采购人使用最新版本软件。运维期满后软件版本内终身升级。</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（5）人员要求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本项目实施期间至本项目验收合格之日止要求服务人数不低于4人（含项目经理1人），且项目实施期内提供不低于2人的驻场服务。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（6）知识产权及保密要求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满足采购人需求的、完整的、可最终良好运行的系统。</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提供项目的最终版本部署包及产品永久授权。</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①项目启动阶段：项目实施方案。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②业务需求分析阶段：需求调研方案、需求分析说明书。</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ascii="宋体" w:hAnsi="宋体" w:eastAsia="宋体" w:cs="Times New Roman"/>
          <w:color w:val="000000"/>
          <w:sz w:val="24"/>
          <w:szCs w:val="24"/>
          <w:highlight w:val="none"/>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（10）系统培训要求</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负责对采购人相关人员（包括但不限于使用科室、项目主管科室等至少50人）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（11）网络安全和数据安全要求，外包网络安全管理要求</w:t>
      </w: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合同签订后150天内完成系统开发及整体交付验收工作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highlight w:val="none"/>
        </w:rPr>
      </w:pPr>
      <w:r>
        <w:rPr>
          <w:rFonts w:hint="eastAsia"/>
          <w:highlight w:val="none"/>
        </w:rPr>
      </w:r>
      <w:r/>
    </w:p>
    <w:p>
      <w:pPr>
        <w:pStyle w:val="9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Times New Roman"/>
          <w:b w:val="0"/>
          <w:bCs w:val="0"/>
          <w:color w:val="000000"/>
          <w:sz w:val="24"/>
          <w:szCs w:val="24"/>
          <w:highlight w:val="none"/>
          <w:u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w:t>
      </w:r>
      <w:r>
        <w:rPr>
          <w:rFonts w:hint="eastAsia" w:ascii="宋体" w:hAnsi="宋体" w:eastAsia="宋体" w:cs="宋体"/>
          <w:sz w:val="24"/>
          <w:szCs w:val="24"/>
          <w:highlight w:val="none"/>
        </w:rPr>
        <w:t xml:space="preserve">价格参与评审。</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50"/>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rPr>
            </w:pPr>
            <w:r>
              <w:rPr>
                <w:rFonts w:ascii="宋体" w:hAnsi="宋体" w:eastAsia="宋体" w:cs="宋体"/>
                <w:color w:val="000000"/>
                <w:spacing w:val="-6"/>
                <w:sz w:val="21"/>
                <w:szCs w:val="21"/>
                <w:highlight w:val="none"/>
              </w:rPr>
              <w:t xml:space="preserve">2.1</w:t>
            </w:r>
            <w:r>
              <w:rPr>
                <w:rFonts w:ascii="宋体" w:hAnsi="宋体" w:eastAsia="宋体" w:cs="宋体"/>
                <w:color w:val="000000"/>
                <w:spacing w:val="-6"/>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val="en-US" w:eastAsia="zh-CN"/>
              </w:rPr>
              <w:t xml:space="preserve">产品技术参数</w:t>
            </w:r>
            <w:r>
              <w:rPr>
                <w:rFonts w:hint="eastAsia" w:ascii="宋体" w:hAnsi="宋体" w:eastAsia="宋体" w:cs="宋体"/>
                <w:color w:val="000000"/>
                <w:spacing w:val="-6"/>
                <w:sz w:val="21"/>
                <w:szCs w:val="21"/>
                <w:highlight w:val="none"/>
                <w:lang w:eastAsia="zh-CN"/>
              </w:rPr>
            </w:r>
            <w:r/>
          </w:p>
        </w:tc>
        <w:tc>
          <w:tcPr>
            <w:tcW w:w="6330"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产品</w:t>
            </w:r>
            <w:r>
              <w:rPr>
                <w:rFonts w:ascii="宋体" w:hAnsi="宋体" w:eastAsia="宋体" w:cs="宋体"/>
                <w:color w:val="000000"/>
                <w:spacing w:val="-6"/>
                <w:sz w:val="21"/>
                <w:szCs w:val="21"/>
                <w:highlight w:val="none"/>
              </w:rPr>
              <w:t xml:space="preserve">技术参数全部满足招标要求的得满分</w:t>
            </w:r>
            <w:r>
              <w:rPr>
                <w:rFonts w:hint="eastAsia" w:ascii="宋体" w:hAnsi="宋体" w:eastAsia="宋体" w:cs="宋体"/>
                <w:color w:val="000000"/>
                <w:spacing w:val="-6"/>
                <w:sz w:val="21"/>
                <w:szCs w:val="21"/>
                <w:highlight w:val="none"/>
              </w:rPr>
              <w:t xml:space="preserve">，</w:t>
            </w:r>
            <w:r>
              <w:rPr>
                <w:rFonts w:ascii="宋体" w:hAnsi="宋体" w:eastAsia="宋体" w:cs="宋体"/>
                <w:color w:val="000000"/>
                <w:spacing w:val="-6"/>
                <w:sz w:val="21"/>
                <w:szCs w:val="21"/>
                <w:highlight w:val="none"/>
              </w:rPr>
              <w:t xml:space="preserve">打★指标为必须满足项，如有负偏离将作为无效投标</w:t>
            </w:r>
            <w:r>
              <w:rPr>
                <w:rFonts w:hint="eastAsia" w:ascii="宋体" w:hAnsi="宋体" w:eastAsia="宋体" w:cs="宋体"/>
                <w:color w:val="000000"/>
                <w:spacing w:val="-6"/>
                <w:sz w:val="21"/>
                <w:szCs w:val="21"/>
                <w:highlight w:val="none"/>
              </w:rPr>
              <w:t xml:space="preserve">，</w:t>
            </w:r>
            <w:r>
              <w:rPr>
                <w:rFonts w:ascii="宋体" w:hAnsi="宋体" w:eastAsia="宋体" w:cs="宋体"/>
                <w:color w:val="000000"/>
                <w:spacing w:val="-6"/>
                <w:sz w:val="21"/>
                <w:szCs w:val="21"/>
                <w:highlight w:val="none"/>
              </w:rPr>
              <w:t xml:space="preserve">打▲（7</w:t>
            </w:r>
            <w:r>
              <w:rPr>
                <w:rFonts w:hint="eastAsia" w:ascii="宋体" w:hAnsi="宋体" w:eastAsia="宋体" w:cs="宋体"/>
                <w:color w:val="000000"/>
                <w:spacing w:val="-6"/>
                <w:sz w:val="21"/>
                <w:szCs w:val="21"/>
                <w:highlight w:val="none"/>
                <w:lang w:eastAsia="zh-CN"/>
              </w:rPr>
              <w:t xml:space="preserve">项</w:t>
            </w:r>
            <w:r>
              <w:rPr>
                <w:rFonts w:ascii="宋体" w:hAnsi="宋体" w:eastAsia="宋体" w:cs="宋体"/>
                <w:color w:val="000000"/>
                <w:spacing w:val="-6"/>
                <w:sz w:val="21"/>
                <w:szCs w:val="21"/>
                <w:highlight w:val="none"/>
              </w:rPr>
              <w:t xml:space="preserve">）指标为重要指标，</w:t>
            </w:r>
            <w:r>
              <w:rPr>
                <w:rFonts w:hint="eastAsia" w:ascii="宋体" w:hAnsi="宋体" w:eastAsia="宋体" w:cs="宋体"/>
                <w:color w:val="000000"/>
                <w:spacing w:val="-6"/>
                <w:sz w:val="21"/>
                <w:szCs w:val="21"/>
                <w:highlight w:val="none"/>
              </w:rPr>
              <w:t xml:space="preserve">有1项负偏离扣</w:t>
            </w:r>
            <w:r>
              <w:rPr>
                <w:rFonts w:ascii="宋体" w:hAnsi="宋体" w:eastAsia="宋体" w:cs="宋体"/>
                <w:color w:val="000000"/>
                <w:spacing w:val="-6"/>
                <w:sz w:val="21"/>
                <w:szCs w:val="21"/>
                <w:highlight w:val="none"/>
              </w:rPr>
              <w:t xml:space="preserve">1.5</w:t>
            </w:r>
            <w:r>
              <w:rPr>
                <w:rFonts w:hint="eastAsia" w:ascii="宋体" w:hAnsi="宋体" w:eastAsia="宋体" w:cs="宋体"/>
                <w:color w:val="000000"/>
                <w:spacing w:val="-6"/>
                <w:sz w:val="21"/>
                <w:szCs w:val="21"/>
                <w:highlight w:val="none"/>
              </w:rPr>
              <w:t xml:space="preserve">分，其余指标</w:t>
            </w:r>
            <w:r>
              <w:rPr>
                <w:rFonts w:hint="eastAsia" w:ascii="宋体" w:hAnsi="宋体" w:eastAsia="宋体" w:cs="宋体"/>
                <w:color w:val="000000"/>
                <w:spacing w:val="-6"/>
                <w:sz w:val="21"/>
                <w:szCs w:val="21"/>
                <w:highlight w:val="none"/>
              </w:rPr>
              <w:t xml:space="preserve">有1项负偏离扣</w:t>
            </w:r>
            <w:r>
              <w:rPr>
                <w:rFonts w:ascii="宋体" w:hAnsi="宋体" w:eastAsia="宋体" w:cs="宋体"/>
                <w:color w:val="000000"/>
                <w:spacing w:val="-6"/>
                <w:sz w:val="21"/>
                <w:szCs w:val="21"/>
                <w:highlight w:val="none"/>
              </w:rPr>
              <w:t xml:space="preserve">0.5</w:t>
            </w:r>
            <w:r>
              <w:rPr>
                <w:rFonts w:hint="eastAsia" w:ascii="宋体" w:hAnsi="宋体" w:eastAsia="宋体" w:cs="宋体"/>
                <w:color w:val="000000"/>
                <w:spacing w:val="-6"/>
                <w:sz w:val="21"/>
                <w:szCs w:val="21"/>
                <w:highlight w:val="none"/>
              </w:rPr>
              <w:t xml:space="preserve">分。</w:t>
            </w:r>
            <w:r>
              <w:rPr>
                <w:rFonts w:ascii="宋体" w:hAnsi="宋体" w:eastAsia="宋体" w:cs="宋体"/>
                <w:color w:val="000000"/>
                <w:spacing w:val="-6"/>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rPr>
              <w:t xml:space="preserve">27</w:t>
            </w:r>
            <w:r>
              <w:rPr>
                <w:rFonts w:ascii="宋体" w:hAnsi="宋体" w:eastAsia="宋体" w:cs="宋体"/>
                <w:color w:val="000000"/>
                <w:spacing w:val="-6"/>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6"/>
                <w:sz w:val="21"/>
                <w:szCs w:val="21"/>
                <w:highlight w:val="none"/>
              </w:rPr>
              <w:t xml:space="preserve">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需求理解</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99"/>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根据本项目采购需求及相关要求编制方案，内容包含：1.业务需求分析；2.建设目标分析；3.建设依据、必要性分析。以上每项内容逐项评分：</w:t>
            </w:r>
            <w:r>
              <w:rPr>
                <w:rFonts w:hint="eastAsia"/>
                <w:color w:val="000000"/>
                <w:sz w:val="21"/>
                <w:szCs w:val="21"/>
                <w:highlight w:val="none"/>
                <w:lang w:val="en-US" w:bidi="ar-SA"/>
              </w:rPr>
            </w:r>
            <w:r/>
          </w:p>
          <w:p>
            <w:pPr>
              <w:pStyle w:val="899"/>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方案内容完整深刻、针对性强、紧贴采购需求，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bidi="ar-SA"/>
              </w:rPr>
            </w:r>
            <w:r/>
          </w:p>
          <w:p>
            <w:pPr>
              <w:pStyle w:val="899"/>
              <w:spacing w:line="264" w:lineRule="auto"/>
              <w:rPr>
                <w:rFonts w:hint="eastAsia" w:eastAsia="宋体"/>
                <w:color w:val="000000"/>
                <w:sz w:val="21"/>
                <w:szCs w:val="21"/>
                <w:highlight w:val="none"/>
                <w:lang w:val="en-US" w:eastAsia="zh-CN"/>
              </w:rPr>
            </w:pPr>
            <w:r>
              <w:rPr>
                <w:rFonts w:hint="eastAsia"/>
                <w:color w:val="000000"/>
                <w:sz w:val="21"/>
                <w:szCs w:val="21"/>
                <w:highlight w:val="none"/>
                <w:lang w:val="en-US" w:bidi="ar-SA"/>
              </w:rPr>
              <w:t xml:space="preserve">上述每项内容符合得2分；部分符合得1分；不符合或不提供不得分。    </w:t>
            </w:r>
            <w:r>
              <w:rPr>
                <w:rFonts w:hint="eastAsia" w:eastAsia="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根据本项目采购需求及相关要求编制方案，内容包括：1.总体架构和性能设计；2.用户界面和应用功能设计；3.系统部署和安全防护设计。以上每项内容逐项评分：</w:t>
            </w:r>
            <w:r>
              <w:rPr>
                <w:rFonts w:hint="eastAsia" w:ascii="Times New Roman" w:hAnsi="Times New Roman" w:eastAsia="宋体" w:cs="Times New Roman"/>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方案内容清晰完整，提供架构图层次分明，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highlight w:val="none"/>
                <w:lang w:val="en-US" w:eastAsia="zh-CN"/>
              </w:rPr>
            </w:r>
            <w:r/>
          </w:p>
          <w:p>
            <w:pPr>
              <w:pStyle w:val="869"/>
              <w:jc w:val="left"/>
              <w:keepLines w:val="0"/>
              <w:keepNext w:val="0"/>
              <w:pageBreakBefore w:val="0"/>
              <w:spacing w:line="264" w:lineRule="auto"/>
              <w:widowControl w:val="off"/>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上述每项内容符合得2分；部分符合得1分；不符合或不提供不得分</w:t>
            </w:r>
            <w:r>
              <w:rPr>
                <w:rFonts w:hint="eastAsia" w:ascii="宋体" w:hAnsi="宋体" w:eastAsia="宋体" w:cs="宋体"/>
                <w:color w:val="000000"/>
                <w:sz w:val="21"/>
                <w:szCs w:val="21"/>
                <w:highlight w:val="none"/>
                <w:lang w:val="en-US" w:eastAsia="zh-CN"/>
              </w:rPr>
              <w:t xml:space="preserve">。 </w:t>
            </w:r>
            <w:r>
              <w:rPr>
                <w:color w:val="000000"/>
                <w:sz w:val="21"/>
                <w:szCs w:val="21"/>
                <w:highlight w:val="none"/>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2.4</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99"/>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根据本项目采购需求及相关要求编制方案，内容包含：1.实施流程；2.实施进度安排；3.验收措施。以上每项内容逐项评分：</w:t>
            </w:r>
            <w:r>
              <w:rPr>
                <w:rFonts w:hint="eastAsia"/>
                <w:color w:val="000000"/>
                <w:sz w:val="21"/>
                <w:szCs w:val="21"/>
                <w:highlight w:val="none"/>
                <w:lang w:val="en-US" w:bidi="ar-SA"/>
              </w:rPr>
            </w:r>
            <w:r/>
          </w:p>
          <w:p>
            <w:pPr>
              <w:pStyle w:val="899"/>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方案内容规范、完整，各环节衔接顺畅，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bidi="ar-SA"/>
              </w:rPr>
            </w:r>
            <w:r/>
          </w:p>
          <w:p>
            <w:pPr>
              <w:pStyle w:val="899"/>
              <w:ind w:left="0" w:right="0"/>
              <w:spacing w:line="264" w:lineRule="auto"/>
              <w:rPr>
                <w:rFonts w:hint="eastAsia" w:ascii="Times New Roman" w:hAnsi="Times New Roman" w:eastAsia="宋体" w:cs="Times New Roman"/>
                <w:color w:val="000000"/>
                <w:sz w:val="21"/>
                <w:szCs w:val="21"/>
                <w:highlight w:val="none"/>
                <w:lang w:val="en-US" w:eastAsia="zh-CN" w:bidi="ar"/>
              </w:rPr>
            </w:pPr>
            <w:r>
              <w:rPr>
                <w:rFonts w:hint="eastAsia"/>
                <w:color w:val="000000"/>
                <w:sz w:val="21"/>
                <w:szCs w:val="21"/>
                <w:highlight w:val="none"/>
                <w:lang w:val="en-US" w:bidi="ar-SA"/>
              </w:rPr>
              <w:t xml:space="preserve">上述每项内容符合得2分；部分符合得1分；不符合或不提供不得分</w:t>
            </w:r>
            <w:r>
              <w:rPr>
                <w:rFonts w:hint="eastAsia"/>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运维服务方案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951"/>
              <w:ind w:left="0"/>
              <w:spacing w:line="264" w:lineRule="auto"/>
              <w:rPr>
                <w:rFonts w:hint="eastAsia"/>
                <w:color w:val="000000"/>
                <w:sz w:val="21"/>
                <w:szCs w:val="21"/>
                <w:highlight w:val="none"/>
                <w:lang w:val="en-US" w:eastAsia="zh-CN" w:bidi="ar-SA"/>
              </w:rPr>
            </w:pPr>
            <w:r>
              <w:rPr>
                <w:rFonts w:hint="eastAsia"/>
                <w:color w:val="000000"/>
                <w:sz w:val="21"/>
                <w:szCs w:val="21"/>
                <w:highlight w:val="none"/>
                <w:lang w:val="en-US" w:eastAsia="zh-CN" w:bidi="ar-SA"/>
              </w:rPr>
              <w:t xml:space="preserve">根据本项目采购需求及相关要求编制方案，内容包含：1.技术支持；2.保障措施。以上每项内容逐项评分：</w:t>
            </w:r>
            <w:r>
              <w:rPr>
                <w:rFonts w:hint="eastAsia"/>
                <w:color w:val="000000"/>
                <w:sz w:val="21"/>
                <w:szCs w:val="21"/>
                <w:highlight w:val="none"/>
                <w:lang w:val="en-US" w:eastAsia="zh-CN" w:bidi="ar-SA"/>
              </w:rPr>
            </w:r>
            <w:r/>
          </w:p>
          <w:p>
            <w:pPr>
              <w:pStyle w:val="951"/>
              <w:ind w:left="0"/>
              <w:spacing w:line="264" w:lineRule="auto"/>
              <w:rPr>
                <w:rFonts w:hint="eastAsia"/>
                <w:color w:val="000000"/>
                <w:sz w:val="21"/>
                <w:szCs w:val="21"/>
                <w:highlight w:val="none"/>
                <w:lang w:val="en-US" w:eastAsia="zh-CN" w:bidi="ar-SA"/>
              </w:rPr>
            </w:pPr>
            <w:r>
              <w:rPr>
                <w:rFonts w:hint="eastAsia"/>
                <w:color w:val="000000"/>
                <w:sz w:val="21"/>
                <w:szCs w:val="21"/>
                <w:highlight w:val="none"/>
                <w:lang w:val="en-US" w:eastAsia="zh-CN" w:bidi="ar-SA"/>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eastAsia="zh-CN" w:bidi="ar-SA"/>
              </w:rPr>
            </w:r>
            <w:r/>
          </w:p>
          <w:p>
            <w:pPr>
              <w:pStyle w:val="951"/>
              <w:ind w:left="0"/>
              <w:spacing w:line="264" w:lineRule="auto"/>
              <w:rPr>
                <w:color w:val="000000"/>
                <w:sz w:val="21"/>
                <w:szCs w:val="21"/>
                <w:highlight w:val="none"/>
                <w:lang w:val="zh-CN" w:eastAsia="zh-CN"/>
              </w:rPr>
            </w:pPr>
            <w:r>
              <w:rPr>
                <w:rFonts w:hint="eastAsia"/>
                <w:color w:val="000000"/>
                <w:sz w:val="21"/>
                <w:szCs w:val="21"/>
                <w:highlight w:val="none"/>
                <w:lang w:val="en-US" w:eastAsia="zh-CN" w:bidi="ar-SA"/>
              </w:rPr>
              <w:t xml:space="preserve">上述每项内容符合得2分；部分符合得1分；不符合或不提供不得分。</w:t>
            </w:r>
            <w:r>
              <w:rPr>
                <w:color w:val="000000"/>
                <w:sz w:val="21"/>
                <w:szCs w:val="21"/>
                <w:highlight w:val="none"/>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培训方案</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根据本项目采购需求及相关要求编制方案，内容包含：1.培训计划；2.培训质量保障措施。以上每项内容逐项评分：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投标人提供2022年1月1日（含）以来类似</w:t>
            </w:r>
            <w:r>
              <w:rPr>
                <w:rFonts w:hint="eastAsia" w:ascii="宋体" w:hAnsi="宋体" w:eastAsia="宋体" w:cs="宋体"/>
                <w:color w:val="000000"/>
                <w:sz w:val="21"/>
                <w:szCs w:val="21"/>
                <w:highlight w:val="none"/>
                <w:lang w:val="en-US" w:eastAsia="zh-CN"/>
              </w:rPr>
              <w:t xml:space="preserve">软件开发</w:t>
            </w:r>
            <w:r>
              <w:rPr>
                <w:rFonts w:ascii="宋体" w:hAnsi="宋体" w:eastAsia="宋体" w:cs="宋体"/>
                <w:color w:val="000000"/>
                <w:sz w:val="21"/>
                <w:szCs w:val="21"/>
                <w:highlight w:val="none"/>
                <w:lang w:val="en-US" w:eastAsia="zh-CN"/>
              </w:rPr>
              <w:t xml:space="preserve">项目业绩，每提供1个得2分，最多得6分。</w:t>
            </w:r>
            <w:r>
              <w:rPr>
                <w:rFonts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（时间以合同签订时间为准，提供有效合同，合同页须清晰可见相应内容）</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项目经理能力：</w:t>
            </w:r>
            <w:r>
              <w:rPr>
                <w:rFonts w:hint="eastAsia"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项目经理具有工信部和人社部颁发的信息系统项目管理师证书，得3分。</w:t>
            </w:r>
            <w:r>
              <w:rPr>
                <w:rFonts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（提供人员证书</w:t>
            </w:r>
            <w:r>
              <w:rPr>
                <w:rFonts w:hint="eastAsia" w:ascii="宋体" w:hAnsi="宋体" w:eastAsia="宋体" w:cs="宋体"/>
                <w:color w:val="000000"/>
                <w:sz w:val="21"/>
                <w:szCs w:val="21"/>
                <w:highlight w:val="none"/>
                <w:lang w:val="en-US" w:eastAsia="zh-CN"/>
              </w:rPr>
              <w:t xml:space="preserve">及</w:t>
            </w:r>
            <w:r>
              <w:rPr>
                <w:rFonts w:ascii="宋体" w:hAnsi="宋体" w:eastAsia="宋体" w:cs="宋体"/>
                <w:color w:val="000000"/>
                <w:sz w:val="21"/>
                <w:szCs w:val="21"/>
                <w:highlight w:val="none"/>
                <w:lang w:val="en-US" w:eastAsia="zh-CN"/>
              </w:rPr>
              <w:t xml:space="preserve">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供应商拟投入本项目团队成员（不含项目经理）：</w:t>
            </w:r>
            <w:r>
              <w:rPr>
                <w:rFonts w:hint="eastAsia"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具有工信部和人社部颁发的系统分析师得3分。</w:t>
            </w:r>
            <w:r>
              <w:rPr>
                <w:rFonts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具有工信部和人社部颁发的软件设计师、系统集成项目管理工程师证书，每提供1个证书得1.5分，最多得3分。</w:t>
            </w:r>
            <w:r>
              <w:rPr>
                <w:rFonts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rPr>
              <w:t xml:space="preserve">（一人多证及一证多人不重复得分。提供上述人员证书及投标人为其缴纳的2026年1月以来任意一个月的社保证明材料，缺一不可）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投标人拟投入本项目的相关产品具有软件著作权证书，包含财务类或物资类或资产类或预算类或资金类等相关内容，每提供1个证书得2分，最多得4分。</w:t>
            </w:r>
            <w:r>
              <w:rPr>
                <w:rFonts w:hint="eastAsia"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（所提供证书“软件名称”与评分细则规定不同时，应提供符合上述要求的内容（功能）说明及关键信息，否则不予认可）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69"/>
        <w:keepLines w:val="0"/>
        <w:keepNext w:val="0"/>
        <w:pageBreakBefore w:val="0"/>
        <w:spacing w:line="264" w:lineRule="auto"/>
        <w:widowControl w:val="off"/>
        <w:rPr>
          <w:rFonts w:hint="eastAsia"/>
          <w:highlight w:val="none"/>
        </w:rPr>
      </w:pPr>
      <w:r>
        <w:rPr>
          <w:rFonts w:hint="eastAsia"/>
          <w:highlight w:val="none"/>
        </w:rPr>
      </w:r>
      <w:r/>
    </w:p>
    <w:p>
      <w:pPr>
        <w:pStyle w:val="869"/>
        <w:keepLines w:val="0"/>
        <w:keepNext w:val="0"/>
        <w:pageBreakBefore w:val="0"/>
        <w:spacing w:line="264" w:lineRule="auto"/>
        <w:widowControl w:val="off"/>
        <w:rPr>
          <w:rFonts w:hint="eastAsia"/>
          <w:highlight w:val="none"/>
        </w:rPr>
      </w:pPr>
      <w:r>
        <w:rPr>
          <w:rFonts w:hint="eastAsia"/>
          <w:highlight w:val="none"/>
        </w:rPr>
      </w:r>
      <w:r/>
    </w:p>
    <w:p>
      <w:pPr>
        <w:pStyle w:val="869"/>
        <w:keepLines w:val="0"/>
        <w:keepNext w:val="0"/>
        <w:pageBreakBefore w:val="0"/>
        <w:spacing w:line="264" w:lineRule="auto"/>
        <w:widowControl w:val="off"/>
        <w:rPr>
          <w:rFonts w:hint="eastAsia"/>
          <w:highlight w:val="none"/>
        </w:rPr>
      </w:pPr>
      <w:r>
        <w:rPr>
          <w:rFonts w:hint="eastAsia"/>
          <w:highlight w:val="none"/>
        </w:rPr>
      </w:r>
      <w:r/>
    </w:p>
    <w:p>
      <w:pPr>
        <w:pStyle w:val="951"/>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51"/>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51"/>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951"/>
        <w:rPr>
          <w:rFonts w:hint="eastAsia"/>
          <w:highlight w:val="none"/>
        </w:rPr>
      </w:pPr>
      <w:r>
        <w:rPr>
          <w:rFonts w:hint="eastAsia"/>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sz w:val="72"/>
          <w:highlight w:val="none"/>
        </w:rPr>
      </w:pPr>
      <w:r/>
      <w:bookmarkStart w:id="60" w:name="_Hlt26955039"/>
      <w:r/>
      <w:bookmarkEnd w:id="60"/>
      <w:r/>
      <w:bookmarkStart w:id="61" w:name="_Toc26554094"/>
      <w:r/>
      <w:bookmarkStart w:id="62" w:name="_Toc49090576"/>
      <w:r/>
      <w:bookmarkStart w:id="63" w:name="_Toc120614282"/>
      <w:r/>
      <w:bookmarkStart w:id="64" w:name="_Hlt26671244"/>
      <w:r/>
      <w:bookmarkEnd w:id="64"/>
      <w:r>
        <w:rPr>
          <w:rFonts w:hint="eastAsia" w:ascii="宋体" w:hAnsi="宋体"/>
          <w:b/>
          <w:sz w:val="72"/>
          <w:highlight w:val="none"/>
        </w:rPr>
      </w:r>
      <w:r/>
    </w:p>
    <w:p>
      <w:pPr>
        <w:pStyle w:val="869"/>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69"/>
        <w:jc w:val="center"/>
        <w:rPr>
          <w:rFonts w:hint="eastAsia" w:ascii="宋体" w:hAnsi="宋体"/>
          <w:b/>
          <w:sz w:val="72"/>
          <w:highlight w:val="none"/>
        </w:rPr>
      </w:pPr>
      <w:r>
        <w:rPr>
          <w:rFonts w:hint="eastAsia" w:ascii="宋体" w:hAnsi="宋体"/>
          <w:b/>
          <w:sz w:val="72"/>
          <w:highlight w:val="none"/>
        </w:rPr>
      </w:r>
      <w:r/>
    </w:p>
    <w:p>
      <w:pPr>
        <w:pStyle w:val="869"/>
        <w:jc w:val="center"/>
        <w:rPr>
          <w:rFonts w:hint="eastAsia" w:ascii="宋体" w:hAnsi="宋体"/>
          <w:b/>
          <w:sz w:val="72"/>
          <w:highlight w:val="none"/>
        </w:rPr>
      </w:pPr>
      <w:r>
        <w:rPr>
          <w:rFonts w:hint="eastAsia" w:ascii="宋体" w:hAnsi="宋体"/>
          <w:b/>
          <w:sz w:val="72"/>
          <w:highlight w:val="none"/>
        </w:rPr>
      </w:r>
      <w:r/>
    </w:p>
    <w:p>
      <w:pPr>
        <w:pStyle w:val="869"/>
        <w:jc w:val="center"/>
        <w:rPr>
          <w:rFonts w:hint="eastAsia" w:ascii="宋体" w:hAnsi="宋体"/>
          <w:b/>
          <w:sz w:val="36"/>
          <w:highlight w:val="none"/>
        </w:rPr>
      </w:pPr>
      <w:r>
        <w:rPr>
          <w:rFonts w:hint="eastAsia" w:ascii="宋体" w:hAnsi="宋体"/>
          <w:b/>
          <w:sz w:val="36"/>
          <w:highlight w:val="none"/>
        </w:rPr>
      </w:r>
      <w:r/>
    </w:p>
    <w:p>
      <w:pPr>
        <w:pStyle w:val="869"/>
        <w:jc w:val="center"/>
        <w:rPr>
          <w:rFonts w:hint="eastAsia" w:ascii="宋体" w:hAnsi="宋体"/>
          <w:b/>
          <w:sz w:val="36"/>
          <w:highlight w:val="none"/>
        </w:rPr>
      </w:pPr>
      <w:r>
        <w:rPr>
          <w:rFonts w:hint="eastAsia" w:ascii="宋体" w:hAnsi="宋体"/>
          <w:b/>
          <w:sz w:val="36"/>
          <w:highlight w:val="none"/>
        </w:rPr>
      </w:r>
      <w:r/>
    </w:p>
    <w:p>
      <w:pPr>
        <w:pStyle w:val="869"/>
        <w:jc w:val="center"/>
        <w:rPr>
          <w:rFonts w:hint="eastAsia" w:ascii="宋体" w:hAnsi="宋体"/>
          <w:b/>
          <w:sz w:val="36"/>
          <w:highlight w:val="none"/>
        </w:rPr>
      </w:pPr>
      <w:r>
        <w:rPr>
          <w:rFonts w:hint="eastAsia" w:ascii="宋体" w:hAnsi="宋体"/>
          <w:b/>
          <w:sz w:val="36"/>
          <w:highlight w:val="none"/>
        </w:rPr>
      </w:r>
      <w:r/>
    </w:p>
    <w:p>
      <w:pPr>
        <w:pStyle w:val="869"/>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69"/>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9"/>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9"/>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highlight w:val="none"/>
        </w:rPr>
      </w:pPr>
      <w:r>
        <w:rPr>
          <w:rFonts w:ascii="宋体" w:hAnsi="宋体"/>
          <w:highlight w:val="none"/>
        </w:rPr>
      </w:r>
      <w:r/>
    </w:p>
    <w:p>
      <w:pPr>
        <w:pStyle w:val="869"/>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480"/>
        <w:spacing w:line="440" w:lineRule="exact"/>
        <w:rPr>
          <w:rFonts w:ascii="宋体" w:hAnsi="宋体"/>
          <w:sz w:val="24"/>
          <w:highlight w:val="none"/>
        </w:rPr>
      </w:pPr>
      <w:r>
        <w:rPr>
          <w:rFonts w:ascii="宋体" w:hAnsi="宋体"/>
          <w:sz w:val="24"/>
          <w:highlight w:val="none"/>
        </w:rPr>
      </w:r>
      <w:r/>
    </w:p>
    <w:p>
      <w:pPr>
        <w:pStyle w:val="869"/>
        <w:ind w:firstLine="480"/>
        <w:spacing w:line="440" w:lineRule="exact"/>
        <w:rPr>
          <w:rFonts w:ascii="宋体" w:hAnsi="宋体"/>
          <w:sz w:val="24"/>
          <w:highlight w:val="none"/>
        </w:rPr>
      </w:pPr>
      <w:r>
        <w:rPr>
          <w:rFonts w:ascii="宋体" w:hAnsi="宋体"/>
          <w:sz w:val="24"/>
          <w:highlight w:val="none"/>
        </w:rPr>
      </w:r>
      <w:r/>
    </w:p>
    <w:p>
      <w:pPr>
        <w:pStyle w:val="955"/>
        <w:rPr>
          <w:rFonts w:ascii="宋体" w:hAnsi="宋体"/>
          <w:sz w:val="24"/>
          <w:highlight w:val="none"/>
        </w:rPr>
      </w:pPr>
      <w:r>
        <w:rPr>
          <w:rFonts w:ascii="宋体" w:hAnsi="宋体"/>
          <w:sz w:val="24"/>
          <w:highlight w:val="none"/>
        </w:rPr>
      </w:r>
      <w:r/>
    </w:p>
    <w:p>
      <w:pPr>
        <w:pStyle w:val="955"/>
        <w:rPr>
          <w:rFonts w:ascii="宋体" w:hAnsi="宋体"/>
          <w:sz w:val="24"/>
          <w:highlight w:val="none"/>
        </w:rPr>
      </w:pPr>
      <w:r>
        <w:rPr>
          <w:rFonts w:ascii="宋体" w:hAnsi="宋体"/>
          <w:sz w:val="24"/>
          <w:highlight w:val="none"/>
        </w:rPr>
      </w:r>
      <w:r/>
    </w:p>
    <w:p>
      <w:pPr>
        <w:pStyle w:val="955"/>
        <w:rPr>
          <w:rFonts w:ascii="宋体" w:hAnsi="宋体"/>
          <w:sz w:val="24"/>
          <w:highlight w:val="none"/>
        </w:rPr>
      </w:pPr>
      <w:r>
        <w:rPr>
          <w:rFonts w:ascii="宋体" w:hAnsi="宋体"/>
          <w:sz w:val="24"/>
          <w:highlight w:val="none"/>
        </w:rPr>
      </w:r>
      <w:r/>
    </w:p>
    <w:p>
      <w:pPr>
        <w:pStyle w:val="955"/>
        <w:rPr>
          <w:rFonts w:ascii="宋体" w:hAnsi="宋体"/>
          <w:sz w:val="24"/>
          <w:highlight w:val="none"/>
        </w:rPr>
      </w:pPr>
      <w:r>
        <w:rPr>
          <w:rFonts w:ascii="宋体" w:hAnsi="宋体"/>
          <w:sz w:val="24"/>
          <w:highlight w:val="none"/>
        </w:rPr>
      </w:r>
      <w:r/>
    </w:p>
    <w:p>
      <w:pPr>
        <w:pStyle w:val="955"/>
        <w:rPr>
          <w:rFonts w:ascii="宋体" w:hAnsi="宋体"/>
          <w:sz w:val="24"/>
          <w:highlight w:val="none"/>
        </w:rPr>
      </w:pPr>
      <w:r>
        <w:rPr>
          <w:rFonts w:ascii="宋体" w:hAnsi="宋体"/>
          <w:sz w:val="24"/>
          <w:highlight w:val="none"/>
        </w:rPr>
      </w:r>
      <w:r/>
    </w:p>
    <w:p>
      <w:pPr>
        <w:pStyle w:val="869"/>
        <w:ind w:firstLine="480"/>
        <w:spacing w:line="440" w:lineRule="exact"/>
        <w:rPr>
          <w:rFonts w:ascii="宋体" w:hAnsi="宋体"/>
          <w:sz w:val="24"/>
          <w:highlight w:val="none"/>
        </w:rPr>
      </w:pPr>
      <w:r>
        <w:rPr>
          <w:rFonts w:ascii="宋体" w:hAnsi="宋体"/>
          <w:sz w:val="24"/>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bookmarkEnd w:id="61"/>
      <w:r/>
      <w:bookmarkEnd w:id="62"/>
      <w:r/>
      <w:bookmarkEnd w:id="63"/>
      <w:r/>
      <w:bookmarkStart w:id="65"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4"/>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6"/>
        <w:ind w:firstLine="0"/>
        <w:rPr>
          <w:rFonts w:hint="eastAsia"/>
          <w:highlight w:val="none"/>
        </w:rPr>
      </w:pPr>
      <w:r>
        <w:rPr>
          <w:rFonts w:hint="eastAsia"/>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6"/>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69"/>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6"/>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6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69"/>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69"/>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1"/>
        <w:rPr>
          <w:rFonts w:hint="eastAsia"/>
          <w:highlight w:val="none"/>
        </w:rPr>
      </w:pPr>
      <w:r>
        <w:rPr>
          <w:rFonts w:hint="eastAsia"/>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6"/>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5"/>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5"/>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67" w:name="_Hlt24879081"/>
            <w:r/>
            <w:bookmarkEnd w:id="67"/>
            <w:r/>
            <w:bookmarkStart w:id="68" w:name="_Hlt26955056"/>
            <w:r/>
            <w:bookmarkEnd w:id="68"/>
            <w:r/>
            <w:bookmarkStart w:id="69" w:name="_Hlt26955064"/>
            <w:r/>
            <w:bookmarkEnd w:id="69"/>
            <w:r/>
            <w:bookmarkStart w:id="70" w:name="_Hlt26782999"/>
            <w:r/>
            <w:bookmarkEnd w:id="70"/>
            <w:r/>
            <w:bookmarkStart w:id="71" w:name="_Hlt26580838"/>
            <w:r/>
            <w:bookmarkEnd w:id="71"/>
            <w:r/>
            <w:bookmarkStart w:id="72" w:name="_Hlt26671372"/>
            <w:r/>
            <w:bookmarkEnd w:id="72"/>
            <w:r/>
            <w:bookmarkStart w:id="73" w:name="_Hlt26671343"/>
            <w:r/>
            <w:bookmarkEnd w:id="73"/>
            <w:r/>
            <w:bookmarkStart w:id="74" w:name="_Hlt26609391"/>
            <w:r/>
            <w:bookmarkEnd w:id="7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1"/>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1"/>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spacing w:line="480" w:lineRule="exact"/>
        <w:rPr>
          <w:rFonts w:ascii="宋体" w:hAnsi="宋体"/>
          <w:sz w:val="24"/>
          <w:highlight w:val="none"/>
        </w:rPr>
      </w:pPr>
      <w:r>
        <w:rPr>
          <w:rFonts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41"/>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69"/>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41"/>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69"/>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41"/>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p>
      <w:pPr>
        <w:pStyle w:val="869"/>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41"/>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69"/>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941"/>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69"/>
        <w:rPr>
          <w:rFonts w:hint="eastAsia"/>
          <w:lang w:val="en-US" w:eastAsia="zh-CN"/>
        </w:rPr>
      </w:pPr>
      <w:r>
        <w:rPr>
          <w:rFonts w:hint="eastAsia"/>
          <w:lang w:val="en-US" w:eastAsia="zh-CN"/>
        </w:rPr>
      </w:r>
      <w:r/>
    </w:p>
    <w:p>
      <w:pPr>
        <w:pStyle w:val="869"/>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4"/>
    <w:qFormat/>
    <w:pPr>
      <w:jc w:val="center"/>
      <w:keepNext/>
      <w:outlineLvl w:val="0"/>
    </w:pPr>
    <w:rPr>
      <w:rFonts w:ascii="楷体_GB2312" w:eastAsia="楷体_GB2312"/>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
    <w:basedOn w:val="882"/>
    <w:next w:val="869"/>
    <w:link w:val="869"/>
    <w:qFormat/>
    <w:pPr>
      <w:ind w:firstLine="420"/>
      <w:spacing w:line="360" w:lineRule="auto"/>
    </w:pPr>
    <w:rPr>
      <w:rFonts w:ascii="宋体" w:hAnsi="宋体" w:eastAsia="宋体"/>
      <w:sz w:val="21"/>
      <w:szCs w:val="20"/>
    </w:rPr>
  </w:style>
  <w:style w:type="paragraph" w:styleId="882">
    <w:name w:val="正文文本缩进1"/>
    <w:basedOn w:val="869"/>
    <w:next w:val="883"/>
    <w:link w:val="869"/>
    <w:uiPriority w:val="99"/>
    <w:unhideWhenUsed/>
    <w:qFormat/>
    <w:pPr>
      <w:ind w:left="420"/>
      <w:spacing w:after="120"/>
    </w:pPr>
  </w:style>
  <w:style w:type="paragraph" w:styleId="883">
    <w:name w:val="寄信人地址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paragraph" w:styleId="886">
    <w:name w:val="正文缩进"/>
    <w:basedOn w:val="869"/>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2"/>
    <w:rPr>
      <w:rFonts w:ascii="Times New Roman" w:hAnsi="Times New Roman" w:eastAsia="宋体" w:cs="Times New Roman"/>
      <w:b/>
      <w:bCs/>
      <w:sz w:val="32"/>
      <w:szCs w:val="32"/>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style>
  <w:style w:type="paragraph" w:styleId="896">
    <w:name w:val="目录 7"/>
    <w:basedOn w:val="869"/>
    <w:next w:val="869"/>
    <w:link w:val="869"/>
    <w:semiHidden/>
    <w:pPr>
      <w:ind w:left="1260"/>
      <w:jc w:val="left"/>
    </w:pPr>
  </w:style>
  <w:style w:type="paragraph" w:styleId="897">
    <w:name w:val="文档结构图"/>
    <w:basedOn w:val="869"/>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69"/>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style>
  <w:style w:type="paragraph" w:styleId="909">
    <w:name w:val="目录 5"/>
    <w:basedOn w:val="869"/>
    <w:next w:val="869"/>
    <w:link w:val="869"/>
    <w:semiHidden/>
    <w:pPr>
      <w:ind w:left="840"/>
      <w:jc w:val="left"/>
    </w:pPr>
  </w:style>
  <w:style w:type="paragraph" w:styleId="910">
    <w:name w:val="目录 3"/>
    <w:basedOn w:val="869"/>
    <w:next w:val="869"/>
    <w:link w:val="869"/>
    <w:semiHidden/>
    <w:pPr>
      <w:ind w:left="420"/>
      <w:jc w:val="left"/>
    </w:pPr>
    <w:rPr>
      <w:i/>
      <w:iCs/>
      <w:szCs w:val="24"/>
    </w:rPr>
  </w:style>
  <w:style w:type="paragraph" w:styleId="911">
    <w:name w:val="纯文本"/>
    <w:basedOn w:val="869"/>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style>
  <w:style w:type="paragraph" w:styleId="914">
    <w:name w:val="日期"/>
    <w:basedOn w:val="869"/>
    <w:next w:val="869"/>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69"/>
    <w:next w:val="869"/>
    <w:link w:val="869"/>
    <w:semiHidden/>
    <w:pPr>
      <w:ind w:left="630"/>
      <w:jc w:val="left"/>
    </w:pPr>
  </w:style>
  <w:style w:type="paragraph" w:styleId="926">
    <w:name w:val="列表"/>
    <w:basedOn w:val="869"/>
    <w:next w:val="926"/>
    <w:link w:val="869"/>
    <w:pPr>
      <w:ind w:left="200" w:hanging="200"/>
    </w:pPr>
  </w:style>
  <w:style w:type="paragraph" w:styleId="927">
    <w:name w:val="目录 6"/>
    <w:basedOn w:val="869"/>
    <w:next w:val="869"/>
    <w:link w:val="869"/>
    <w:semiHidden/>
    <w:pPr>
      <w:ind w:left="1050"/>
      <w:jc w:val="left"/>
    </w:p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style>
  <w:style w:type="paragraph" w:styleId="931">
    <w:name w:val="目录 2"/>
    <w:basedOn w:val="869"/>
    <w:next w:val="869"/>
    <w:link w:val="869"/>
    <w:semiHidden/>
    <w:pPr>
      <w:ind w:left="210"/>
      <w:jc w:val="left"/>
    </w:pPr>
    <w:rPr>
      <w:smallCaps/>
      <w:szCs w:val="24"/>
    </w:rPr>
  </w:style>
  <w:style w:type="paragraph" w:styleId="932">
    <w:name w:val="目录 9"/>
    <w:basedOn w:val="869"/>
    <w:next w:val="869"/>
    <w:link w:val="869"/>
    <w:semiHidden/>
    <w:pPr>
      <w:ind w:left="1680"/>
      <w:jc w:val="left"/>
    </w:pPr>
  </w:style>
  <w:style w:type="paragraph" w:styleId="933">
    <w:name w:val="正文文本 2"/>
    <w:basedOn w:val="869"/>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cs="宋体"/>
      <w:sz w:val="24"/>
      <w:szCs w:val="24"/>
    </w:rPr>
  </w:style>
  <w:style w:type="paragraph" w:styleId="936">
    <w:name w:val="索引 1"/>
    <w:basedOn w:val="869"/>
    <w:next w:val="869"/>
    <w:link w:val="869"/>
    <w:semiHidden/>
    <w:pPr>
      <w:spacing w:line="240" w:lineRule="atLeast"/>
    </w:pPr>
    <w:rPr>
      <w:b/>
      <w:bCs/>
    </w:rPr>
  </w:style>
  <w:style w:type="paragraph" w:styleId="937">
    <w:name w:val="批注主题"/>
    <w:basedOn w:val="899"/>
    <w:next w:val="899"/>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强调"/>
    <w:next w:val="947"/>
    <w:link w:val="869"/>
    <w:qFormat/>
    <w:rPr>
      <w:i/>
    </w:rPr>
  </w:style>
  <w:style w:type="character" w:styleId="948">
    <w:name w:val="超链接"/>
    <w:next w:val="948"/>
    <w:link w:val="869"/>
    <w:rPr>
      <w:color w:val="0000ff"/>
      <w:u w:val="single"/>
    </w:rPr>
  </w:style>
  <w:style w:type="character" w:styleId="949">
    <w:name w:val="批注引用"/>
    <w:next w:val="949"/>
    <w:link w:val="869"/>
    <w:semiHidden/>
    <w:rPr>
      <w:sz w:val="21"/>
      <w:szCs w:val="21"/>
    </w:rPr>
  </w:style>
  <w:style w:type="paragraph" w:styleId="950">
    <w:name w:val="正文1"/>
    <w:basedOn w:val="869"/>
    <w:next w:val="950"/>
    <w:link w:val="869"/>
    <w:qFormat/>
    <w:pPr>
      <w:ind w:left="350" w:firstLine="0"/>
    </w:pPr>
    <w:rPr>
      <w:rFonts w:cs="Times New Roman"/>
      <w:sz w:val="20"/>
      <w:szCs w:val="24"/>
    </w:rPr>
  </w:style>
  <w:style w:type="paragraph" w:styleId="951">
    <w:name w:val="索引 41"/>
    <w:basedOn w:val="869"/>
    <w:next w:val="869"/>
    <w:link w:val="869"/>
    <w:semiHidden/>
    <w:qFormat/>
    <w:pPr>
      <w:ind w:left="1260"/>
    </w:pPr>
    <w:rPr>
      <w:rFonts w:ascii="Calibri" w:hAnsi="Calibri" w:eastAsia="Calibri" w:cs="宋体"/>
      <w:sz w:val="20"/>
      <w:lang w:val="zh-CN"/>
    </w:rPr>
  </w:style>
  <w:style w:type="paragraph" w:styleId="952">
    <w:name w:val="正文文本缩进11"/>
    <w:basedOn w:val="869"/>
    <w:next w:val="883"/>
    <w:link w:val="869"/>
    <w:qFormat/>
    <w:pPr>
      <w:ind w:firstLine="645"/>
    </w:pPr>
    <w:rPr>
      <w:rFonts w:ascii="楷体_GB2312" w:eastAsia="楷体_GB2312"/>
      <w:sz w:val="32"/>
      <w:szCs w:val="32"/>
    </w:rPr>
  </w:style>
  <w:style w:type="paragraph" w:styleId="953">
    <w:name w:val="标题 41"/>
    <w:basedOn w:val="869"/>
    <w:next w:val="954"/>
    <w:link w:val="869"/>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69"/>
    <w:next w:val="954"/>
    <w:link w:val="869"/>
    <w:qFormat/>
    <w:pPr>
      <w:ind w:firstLine="420"/>
    </w:pPr>
  </w:style>
  <w:style w:type="paragraph" w:styleId="955">
    <w:name w:val="正文文本12"/>
    <w:basedOn w:val="869"/>
    <w:next w:val="955"/>
    <w:link w:val="869"/>
    <w:uiPriority w:val="1"/>
    <w:qFormat/>
    <w:pPr>
      <w:ind w:left="120"/>
    </w:pPr>
    <w:rPr>
      <w:rFonts w:ascii="宋体" w:hAnsi="宋体" w:eastAsia="宋体" w:cs="宋体"/>
      <w:sz w:val="21"/>
      <w:szCs w:val="21"/>
      <w:lang w:val="zh-CN" w:eastAsia="zh-CN" w:bidi="zh-CN"/>
    </w:rPr>
  </w:style>
  <w:style w:type="character" w:styleId="956">
    <w:name w:val="font5 Char"/>
    <w:next w:val="956"/>
    <w:link w:val="869"/>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69"/>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69"/>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69"/>
    <w:next w:val="903"/>
    <w:link w:val="869"/>
    <w:pPr>
      <w:spacing w:after="120"/>
    </w:pPr>
    <w:rPr>
      <w:rFonts w:ascii="宋体" w:hAnsi="Arial"/>
      <w:bCs/>
      <w:iCs/>
      <w:szCs w:val="24"/>
    </w:rPr>
  </w:style>
  <w:style w:type="paragraph" w:styleId="962">
    <w:name w:val="xl27"/>
    <w:basedOn w:val="869"/>
    <w:next w:val="96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69"/>
    <w:next w:val="96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69"/>
    <w:next w:val="964"/>
    <w:link w:val="869"/>
    <w:pPr>
      <w:ind w:firstLine="200"/>
      <w:tabs>
        <w:tab w:val="left" w:pos="360" w:leader="none"/>
      </w:tabs>
    </w:pPr>
    <w:rPr>
      <w:sz w:val="28"/>
      <w:szCs w:val="30"/>
    </w:rPr>
  </w:style>
  <w:style w:type="paragraph" w:styleId="965">
    <w:name w:val=" Char"/>
    <w:basedOn w:val="897"/>
    <w:next w:val="965"/>
    <w:link w:val="869"/>
    <w:rPr>
      <w:rFonts w:ascii="Tahoma" w:hAnsi="Tahoma"/>
      <w:sz w:val="24"/>
      <w:szCs w:val="24"/>
    </w:rPr>
  </w:style>
  <w:style w:type="paragraph" w:styleId="966">
    <w:name w:val="普通正文"/>
    <w:basedOn w:val="869"/>
    <w:next w:val="966"/>
    <w:link w:val="869"/>
    <w:pPr>
      <w:ind w:firstLine="480"/>
      <w:jc w:val="left"/>
      <w:spacing w:before="120" w:after="120" w:line="360" w:lineRule="auto"/>
    </w:pPr>
    <w:rPr>
      <w:rFonts w:ascii="Arial" w:hAnsi="Arial"/>
      <w:sz w:val="24"/>
      <w:szCs w:val="24"/>
    </w:rPr>
  </w:style>
  <w:style w:type="paragraph" w:styleId="967">
    <w:name w:val="table_lines"/>
    <w:basedOn w:val="869"/>
    <w:next w:val="967"/>
    <w:link w:val="869"/>
    <w:pPr>
      <w:jc w:val="left"/>
      <w:widowControl/>
    </w:pPr>
    <w:rPr>
      <w:sz w:val="20"/>
      <w:szCs w:val="20"/>
      <w:lang w:val="de-DE" w:eastAsia="de-DE"/>
    </w:rPr>
  </w:style>
  <w:style w:type="paragraph" w:styleId="968">
    <w:name w:val="附录1"/>
    <w:next w:val="968"/>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69"/>
    <w:next w:val="969"/>
    <w:link w:val="869"/>
    <w:pPr>
      <w:jc w:val="left"/>
      <w:spacing w:before="100" w:beforeAutospacing="1" w:after="100" w:afterAutospacing="1"/>
      <w:widowControl/>
    </w:pPr>
    <w:rPr>
      <w:rFonts w:hint="eastAsia" w:ascii="宋体" w:hAnsi="宋体"/>
      <w:sz w:val="18"/>
      <w:szCs w:val="18"/>
    </w:rPr>
  </w:style>
  <w:style w:type="paragraph" w:styleId="970">
    <w:name w:val=" Char Char Char Char"/>
    <w:basedOn w:val="897"/>
    <w:next w:val="970"/>
    <w:link w:val="869"/>
    <w:pPr>
      <w:spacing w:line="360" w:lineRule="auto"/>
    </w:pPr>
    <w:rPr>
      <w:rFonts w:ascii="Tahoma" w:hAnsi="Tahoma"/>
      <w:sz w:val="24"/>
      <w:szCs w:val="24"/>
    </w:rPr>
  </w:style>
  <w:style w:type="paragraph" w:styleId="971">
    <w:name w:val="列出段落"/>
    <w:basedOn w:val="869"/>
    <w:next w:val="971"/>
    <w:link w:val="869"/>
    <w:qFormat/>
    <w:pPr>
      <w:contextualSpacing/>
      <w:ind w:left="720"/>
      <w:jc w:val="left"/>
      <w:widowControl/>
    </w:pPr>
    <w:rPr>
      <w:rFonts w:ascii="Calibri" w:hAnsi="Calibri"/>
      <w:sz w:val="24"/>
      <w:szCs w:val="24"/>
      <w:lang w:eastAsia="en-US" w:bidi="en-US"/>
    </w:rPr>
  </w:style>
  <w:style w:type="paragraph" w:styleId="972">
    <w:name w:val="4"/>
    <w:basedOn w:val="869"/>
    <w:next w:val="928"/>
    <w:link w:val="869"/>
    <w:pPr>
      <w:ind w:firstLine="420"/>
      <w:spacing w:line="360" w:lineRule="auto"/>
    </w:pPr>
    <w:rPr>
      <w:color w:val="ff0000"/>
      <w:sz w:val="24"/>
      <w:szCs w:val="24"/>
    </w:rPr>
  </w:style>
  <w:style w:type="paragraph" w:styleId="973">
    <w:name w:val="普通 (Web)"/>
    <w:basedOn w:val="869"/>
    <w:next w:val="973"/>
    <w:link w:val="869"/>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69"/>
    <w:next w:val="974"/>
    <w:link w:val="869"/>
    <w:pPr>
      <w:spacing w:line="360" w:lineRule="auto"/>
    </w:pPr>
    <w:rPr>
      <w:sz w:val="24"/>
      <w:szCs w:val="20"/>
    </w:rPr>
  </w:style>
  <w:style w:type="paragraph" w:styleId="975">
    <w:name w:val="样式1"/>
    <w:basedOn w:val="869"/>
    <w:next w:val="975"/>
    <w:link w:val="869"/>
    <w:pPr>
      <w:numPr>
        <w:ilvl w:val="0"/>
        <w:numId w:val="3"/>
      </w:numPr>
      <w:tabs>
        <w:tab w:val="left" w:pos="709" w:leader="none"/>
      </w:tabs>
    </w:pPr>
    <w:rPr>
      <w:rFonts w:ascii="宋体" w:hAnsi="宋体"/>
    </w:rPr>
  </w:style>
  <w:style w:type="paragraph" w:styleId="976">
    <w:name w:val="font6"/>
    <w:basedOn w:val="869"/>
    <w:next w:val="976"/>
    <w:link w:val="869"/>
    <w:pPr>
      <w:jc w:val="left"/>
      <w:spacing w:before="100" w:beforeAutospacing="1" w:after="100" w:afterAutospacing="1"/>
      <w:widowControl/>
    </w:pPr>
    <w:rPr>
      <w:rFonts w:hint="eastAsia" w:ascii="宋体" w:hAnsi="宋体"/>
      <w:sz w:val="28"/>
      <w:szCs w:val="28"/>
      <w:u w:val="single"/>
    </w:rPr>
  </w:style>
  <w:style w:type="paragraph" w:styleId="977">
    <w:name w:val="xl25"/>
    <w:basedOn w:val="869"/>
    <w:next w:val="97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69"/>
    <w:next w:val="869"/>
    <w:link w:val="869"/>
    <w:pPr>
      <w:ind w:firstLine="624"/>
      <w:spacing w:line="590" w:lineRule="atLeast"/>
    </w:pPr>
    <w:rPr>
      <w:rFonts w:ascii="方正黑体_GBK" w:eastAsia="方正黑体_GBK"/>
      <w:sz w:val="32"/>
      <w:szCs w:val="32"/>
    </w:rPr>
  </w:style>
  <w:style w:type="paragraph" w:styleId="980">
    <w:name w:val="xl24"/>
    <w:basedOn w:val="869"/>
    <w:next w:val="98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69"/>
    <w:next w:val="981"/>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28"/>
    <w:basedOn w:val="869"/>
    <w:next w:val="98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69"/>
    <w:next w:val="984"/>
    <w:link w:val="869"/>
    <w:pPr>
      <w:jc w:val="left"/>
      <w:spacing w:after="160" w:line="240" w:lineRule="exact"/>
      <w:widowControl/>
    </w:pPr>
    <w:rPr>
      <w:rFonts w:ascii="Verdana" w:hAnsi="Verdana"/>
      <w:sz w:val="20"/>
      <w:szCs w:val="20"/>
      <w:lang w:eastAsia="en-US"/>
    </w:rPr>
  </w:style>
  <w:style w:type="paragraph" w:styleId="985">
    <w:name w:val="xl30"/>
    <w:basedOn w:val="869"/>
    <w:next w:val="985"/>
    <w:link w:val="869"/>
    <w:pPr>
      <w:jc w:val="center"/>
      <w:spacing w:before="100" w:beforeAutospacing="1" w:after="100" w:afterAutospacing="1"/>
      <w:widowControl/>
    </w:pPr>
    <w:rPr>
      <w:rFonts w:ascii="宋体" w:hAnsi="宋体"/>
      <w:b/>
      <w:bCs/>
      <w:sz w:val="36"/>
      <w:szCs w:val="36"/>
    </w:rPr>
  </w:style>
  <w:style w:type="paragraph" w:styleId="986">
    <w:name w:val="Char Char Char Char"/>
    <w:basedOn w:val="897"/>
    <w:next w:val="986"/>
    <w:link w:val="869"/>
    <w:pPr>
      <w:spacing w:line="360" w:lineRule="auto"/>
    </w:pPr>
    <w:rPr>
      <w:rFonts w:ascii="Tahoma" w:hAnsi="Tahoma"/>
      <w:sz w:val="24"/>
      <w:szCs w:val="24"/>
    </w:rPr>
  </w:style>
  <w:style w:type="paragraph" w:styleId="987">
    <w:name w:val="table_1stline"/>
    <w:basedOn w:val="869"/>
    <w:next w:val="987"/>
    <w:link w:val="869"/>
    <w:pPr>
      <w:jc w:val="left"/>
      <w:spacing w:before="120"/>
      <w:widowControl/>
    </w:pPr>
    <w:rPr>
      <w:bCs/>
      <w:sz w:val="20"/>
      <w:szCs w:val="20"/>
      <w:lang w:val="de-DE" w:eastAsia="de-DE"/>
    </w:rPr>
  </w:style>
  <w:style w:type="paragraph" w:styleId="988">
    <w:name w:val="font5"/>
    <w:basedOn w:val="869"/>
    <w:next w:val="988"/>
    <w:link w:val="869"/>
    <w:pPr>
      <w:jc w:val="left"/>
      <w:spacing w:before="100" w:beforeAutospacing="1" w:after="100" w:afterAutospacing="1"/>
      <w:widowControl/>
    </w:pPr>
    <w:rPr>
      <w:rFonts w:hint="eastAsia" w:ascii="宋体" w:hAnsi="宋体"/>
      <w:sz w:val="28"/>
      <w:szCs w:val="28"/>
    </w:rPr>
  </w:style>
  <w:style w:type="paragraph" w:styleId="989">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69"/>
    <w:uiPriority w:val="99"/>
    <w:semiHidden/>
    <w:rPr>
      <w:rFonts w:ascii="Times New Roman" w:hAnsi="Times New Roman"/>
      <w:sz w:val="21"/>
      <w:szCs w:val="21"/>
      <w:lang w:val="en-US" w:eastAsia="zh-CN" w:bidi="ar-SA"/>
    </w:rPr>
  </w:style>
  <w:style w:type="paragraph" w:styleId="991">
    <w:name w:val="无间隔"/>
    <w:next w:val="991"/>
    <w:link w:val="869"/>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69"/>
    <w:next w:val="992"/>
    <w:link w:val="869"/>
    <w:uiPriority w:val="99"/>
    <w:qFormat/>
    <w:pPr>
      <w:jc w:val="center"/>
    </w:pPr>
    <w:rPr>
      <w:b/>
      <w:bCs/>
      <w:sz w:val="20"/>
      <w:szCs w:val="20"/>
    </w:rPr>
  </w:style>
  <w:style w:type="table" w:styleId="993">
    <w:name w:val="Table Normal"/>
    <w:next w:val="993"/>
    <w:link w:val="869"/>
    <w:qFormat/>
    <w:tblPr/>
  </w:style>
  <w:style w:type="paragraph" w:styleId="994">
    <w:name w:val="正文文本1"/>
    <w:basedOn w:val="869"/>
    <w:next w:val="869"/>
    <w:link w:val="869"/>
    <w:semiHidden/>
    <w:qFormat/>
    <w:rPr>
      <w:rFonts w:ascii="Arial" w:hAnsi="Arial" w:eastAsia="Arial" w:cs="Arial"/>
      <w:sz w:val="21"/>
      <w:szCs w:val="21"/>
      <w:lang w:val="en-US" w:eastAsia="en-US" w:bidi="ar-SA"/>
    </w:rPr>
  </w:style>
  <w:style w:type="paragraph" w:styleId="995">
    <w:name w:val="纯文本1"/>
    <w:basedOn w:val="869"/>
    <w:next w:val="995"/>
    <w:link w:val="869"/>
    <w:qFormat/>
    <w:rPr>
      <w:rFonts w:ascii="宋体" w:hAnsi="Courier New" w:cs="Courier New"/>
    </w:rPr>
  </w:style>
  <w:style w:type="table" w:styleId="996">
    <w:name w:val="网格型1"/>
    <w:basedOn w:val="997"/>
    <w:next w:val="996"/>
    <w:link w:val="869"/>
    <w:qFormat/>
    <w:pPr>
      <w:jc w:val="both"/>
      <w:widowControl w:val="off"/>
    </w:pPr>
    <w:tblPr/>
  </w:style>
  <w:style w:type="table" w:styleId="997">
    <w:name w:val="普通表格1"/>
    <w:next w:val="997"/>
    <w:link w:val="869"/>
    <w:uiPriority w:val="99"/>
    <w:unhideWhenUsed/>
    <w:qFormat/>
    <w:tblPr/>
  </w:style>
  <w:style w:type="character" w:styleId="998">
    <w:name w:val="15"/>
    <w:basedOn w:val="879"/>
    <w:next w:val="998"/>
    <w:link w:val="869"/>
    <w:rPr>
      <w:rFonts w:ascii="Times New Roman" w:hAnsi="Times New Roman" w:cs="Times New Roman"/>
    </w:rPr>
  </w:style>
  <w:style w:type="paragraph" w:styleId="999">
    <w:name w:val="正文首行缩进 211"/>
    <w:basedOn w:val="952"/>
    <w:next w:val="869"/>
    <w:link w:val="869"/>
    <w:qFormat/>
    <w:pPr>
      <w:ind w:left="0" w:firstLine="420"/>
      <w:spacing w:after="0" w:line="360" w:lineRule="auto"/>
    </w:pPr>
    <w:rPr>
      <w:rFonts w:ascii="宋体" w:hAnsi="宋体" w:eastAsia="宋体" w:cs="Times New Roman"/>
      <w:szCs w:val="20"/>
    </w:rPr>
  </w:style>
  <w:style w:type="paragraph" w:styleId="1000">
    <w:name w:val="Table Paragraph"/>
    <w:basedOn w:val="869"/>
    <w:next w:val="1000"/>
    <w:link w:val="869"/>
    <w:uiPriority w:val="1"/>
    <w:qFormat/>
    <w:pPr>
      <w:jc w:val="left"/>
    </w:pPr>
    <w:rPr>
      <w:rFonts w:ascii="宋体" w:hAnsi="宋体" w:eastAsia="宋体" w:cs="宋体"/>
      <w:sz w:val="22"/>
      <w:szCs w:val="22"/>
      <w:lang w:val="zh-CN" w:bidi="zh-CN"/>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2023-03-16T02:16:00Z</dcterms:created>
  <dcterms:modified xsi:type="dcterms:W3CDTF">2026-08-25T04:34:11Z</dcterms:modified>
</cp:coreProperties>
</file>