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9"/>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129"/>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129"/>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12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129"/>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12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12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129"/>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129"/>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2026-2029年度10KV变电所运行值班服务项目</w:t>
      </w:r>
      <w:r>
        <w:rPr>
          <w:rFonts w:hint="eastAsia" w:ascii="宋体" w:hAnsi="宋体" w:eastAsia="宋体"/>
          <w:bCs/>
          <w:color w:val="000000"/>
          <w:sz w:val="36"/>
          <w:szCs w:val="36"/>
          <w:highlight w:val="none"/>
          <w:lang w:eastAsia="zh-CN"/>
        </w:rPr>
      </w:r>
      <w:r/>
    </w:p>
    <w:p>
      <w:pPr>
        <w:pStyle w:val="1129"/>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JSZC-320400-CTZB-G2026-0123</w:t>
      </w:r>
      <w:r>
        <w:rPr>
          <w:rFonts w:ascii="宋体" w:hAnsi="宋体"/>
          <w:bCs/>
          <w:color w:val="000000"/>
          <w:sz w:val="36"/>
          <w:szCs w:val="36"/>
          <w:highlight w:val="none"/>
        </w:rPr>
      </w:r>
      <w:r/>
    </w:p>
    <w:p>
      <w:pPr>
        <w:pStyle w:val="1129"/>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常州市儿童医院</w:t>
      </w:r>
      <w:r>
        <w:rPr>
          <w:rFonts w:ascii="宋体" w:hAnsi="宋体"/>
          <w:bCs/>
          <w:color w:val="000000"/>
          <w:sz w:val="36"/>
          <w:szCs w:val="36"/>
          <w:highlight w:val="none"/>
        </w:rPr>
      </w:r>
      <w:r/>
    </w:p>
    <w:p>
      <w:pPr>
        <w:pStyle w:val="1129"/>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129"/>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129"/>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129"/>
        <w:rPr>
          <w:rFonts w:ascii="宋体" w:hAnsi="宋体"/>
          <w:color w:val="000000"/>
          <w:highlight w:val="none"/>
        </w:rPr>
      </w:pPr>
      <w:r>
        <w:rPr>
          <w:rFonts w:ascii="宋体" w:hAnsi="宋体"/>
          <w:color w:val="000000"/>
          <w:highlight w:val="none"/>
        </w:rPr>
      </w:r>
      <w:r/>
    </w:p>
    <w:p>
      <w:pPr>
        <w:pStyle w:val="1129"/>
        <w:rPr>
          <w:rFonts w:ascii="宋体" w:hAnsi="宋体"/>
          <w:color w:val="000000"/>
          <w:highlight w:val="none"/>
        </w:rPr>
      </w:pPr>
      <w:r>
        <w:rPr>
          <w:rFonts w:ascii="宋体" w:hAnsi="宋体"/>
          <w:color w:val="000000"/>
          <w:highlight w:val="none"/>
        </w:rPr>
      </w:r>
      <w:r/>
    </w:p>
    <w:p>
      <w:pPr>
        <w:pStyle w:val="1129"/>
        <w:rPr>
          <w:rFonts w:ascii="宋体" w:hAnsi="宋体"/>
          <w:color w:val="000000"/>
          <w:highlight w:val="none"/>
        </w:rPr>
      </w:pPr>
      <w:r>
        <w:rPr>
          <w:rFonts w:ascii="宋体" w:hAnsi="宋体"/>
          <w:color w:val="000000"/>
          <w:highlight w:val="none"/>
        </w:rPr>
      </w:r>
      <w:r/>
    </w:p>
    <w:p>
      <w:pPr>
        <w:pStyle w:val="1181"/>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204"/>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204"/>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204"/>
          <w:color w:val="000000"/>
          <w:sz w:val="32"/>
          <w:szCs w:val="32"/>
          <w:highlight w:val="none"/>
        </w:rPr>
        <w:t xml:space="preserve">第三章   资</w:t>
      </w:r>
      <w:bookmarkStart w:id="1" w:name="_Hlt100754117"/>
      <w:r>
        <w:rPr>
          <w:rStyle w:val="1204"/>
          <w:color w:val="000000"/>
          <w:sz w:val="32"/>
          <w:szCs w:val="32"/>
          <w:highlight w:val="none"/>
        </w:rPr>
        <w:t xml:space="preserve">格</w:t>
      </w:r>
      <w:bookmarkEnd w:id="1"/>
      <w:r>
        <w:rPr>
          <w:rStyle w:val="1204"/>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204"/>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204"/>
          <w:color w:val="000000"/>
          <w:sz w:val="32"/>
          <w:szCs w:val="32"/>
          <w:highlight w:val="none"/>
        </w:rPr>
        <w:t xml:space="preserve">第五章   采购</w:t>
      </w:r>
      <w:bookmarkStart w:id="2" w:name="_Hlt100754102"/>
      <w:r/>
      <w:bookmarkStart w:id="3" w:name="_Hlt100754103"/>
      <w:r>
        <w:rPr>
          <w:rStyle w:val="1204"/>
          <w:color w:val="000000"/>
          <w:sz w:val="32"/>
          <w:szCs w:val="32"/>
          <w:highlight w:val="none"/>
        </w:rPr>
        <w:t xml:space="preserve">需</w:t>
      </w:r>
      <w:bookmarkEnd w:id="2"/>
      <w:r/>
      <w:bookmarkEnd w:id="3"/>
      <w:r>
        <w:rPr>
          <w:rStyle w:val="1204"/>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204"/>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204"/>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81"/>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129"/>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129"/>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常州市儿童医院</w:t>
      </w:r>
      <w:r>
        <w:rPr>
          <w:rFonts w:hint="eastAsia" w:ascii="仿宋" w:hAnsi="仿宋" w:eastAsia="仿宋"/>
          <w:color w:val="000000"/>
          <w:sz w:val="32"/>
          <w:szCs w:val="32"/>
          <w:highlight w:val="none"/>
          <w:lang w:eastAsia="zh-CN"/>
        </w:rPr>
        <w:t xml:space="preserve">2026-2029年度10KV变电所运行值班服务项目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131"/>
        <w:ind w:firstLine="643"/>
        <w:jc w:val="left"/>
        <w:spacing w:before="240" w:line="360" w:lineRule="auto"/>
        <w:rPr>
          <w:rFonts w:ascii="仿宋" w:hAnsi="仿宋" w:eastAsia="仿宋"/>
          <w:color w:val="000000"/>
          <w:sz w:val="32"/>
          <w:szCs w:val="32"/>
          <w:highlight w:val="none"/>
        </w:rPr>
      </w:pPr>
      <w:r/>
      <w:bookmarkStart w:id="5" w:name="_Toc35393790"/>
      <w:r/>
      <w:bookmarkStart w:id="6" w:name="_Toc35393621"/>
      <w:r/>
      <w:bookmarkStart w:id="7" w:name="_Toc28359002"/>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JSZC-320400-CTZB-G2026-0123</w:t>
      </w:r>
      <w:r>
        <w:rPr>
          <w:rFonts w:ascii="仿宋" w:hAnsi="仿宋" w:eastAsia="仿宋"/>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常州市儿童医院</w:t>
      </w:r>
      <w:r>
        <w:rPr>
          <w:rFonts w:hint="eastAsia" w:ascii="仿宋" w:hAnsi="仿宋" w:eastAsia="仿宋"/>
          <w:color w:val="000000"/>
          <w:sz w:val="32"/>
          <w:szCs w:val="32"/>
          <w:highlight w:val="none"/>
          <w:lang w:eastAsia="zh-CN"/>
        </w:rPr>
        <w:t xml:space="preserve">2026-2029年度10KV变电所运行值班服务项目</w:t>
      </w:r>
      <w:r>
        <w:rPr>
          <w:rFonts w:hint="eastAsia" w:ascii="仿宋" w:hAnsi="仿宋" w:eastAsia="仿宋"/>
          <w:color w:val="000000"/>
          <w:sz w:val="32"/>
          <w:szCs w:val="32"/>
          <w:highlight w:val="none"/>
          <w:lang w:eastAsia="zh-CN"/>
        </w:rPr>
      </w:r>
      <w:r/>
    </w:p>
    <w:p>
      <w:pPr>
        <w:pStyle w:val="1129"/>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120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/三年</w:t>
      </w:r>
      <w:r>
        <w:rPr>
          <w:rFonts w:hint="eastAsia"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120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/三年</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12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12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12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12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12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129"/>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129"/>
              <w:jc w:val="center"/>
              <w:spacing w:line="600" w:lineRule="exact"/>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129"/>
              <w:jc w:val="center"/>
              <w:spacing w:line="600" w:lineRule="exact"/>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10KV变电所运行值班服务</w:t>
            </w:r>
            <w:r>
              <w:rPr>
                <w:rFonts w:ascii="仿宋" w:hAnsi="仿宋" w:eastAsia="仿宋"/>
                <w:bCs/>
                <w:color w:val="000000"/>
                <w:sz w:val="32"/>
                <w:szCs w:val="32"/>
                <w:highlight w:val="none"/>
              </w:rPr>
            </w:r>
            <w:r/>
          </w:p>
        </w:tc>
        <w:tc>
          <w:tcPr>
            <w:tcW w:w="920" w:type="dxa"/>
            <w:vAlign w:val="center"/>
            <w:textDirection w:val="lrTb"/>
            <w:noWrap w:val="false"/>
          </w:tcPr>
          <w:p>
            <w:pPr>
              <w:pStyle w:val="1129"/>
              <w:jc w:val="center"/>
              <w:spacing w:line="600" w:lineRule="exact"/>
              <w:rPr>
                <w:rFonts w:ascii="仿宋" w:hAnsi="仿宋" w:eastAsia="仿宋"/>
                <w:bCs/>
                <w:color w:val="000000"/>
                <w:sz w:val="32"/>
                <w:szCs w:val="32"/>
                <w:highlight w:val="none"/>
              </w:rPr>
            </w:pPr>
            <w:r>
              <w:rPr>
                <w:rFonts w:hint="eastAsia" w:ascii="仿宋" w:hAnsi="仿宋" w:eastAsia="仿宋"/>
                <w:color w:val="000000"/>
                <w:sz w:val="32"/>
                <w:szCs w:val="32"/>
                <w:highlight w:val="none"/>
                <w:lang w:val="en-US" w:eastAsia="zh-CN"/>
              </w:rPr>
              <w:t xml:space="preserve">120</w:t>
            </w:r>
            <w:r>
              <w:rPr>
                <w:rFonts w:ascii="仿宋" w:hAnsi="仿宋" w:eastAsia="仿宋"/>
                <w:bCs/>
                <w:color w:val="000000"/>
                <w:sz w:val="32"/>
                <w:szCs w:val="32"/>
                <w:highlight w:val="none"/>
              </w:rPr>
            </w:r>
            <w:r/>
          </w:p>
        </w:tc>
        <w:tc>
          <w:tcPr>
            <w:tcW w:w="539" w:type="dxa"/>
            <w:vAlign w:val="center"/>
            <w:textDirection w:val="lrTb"/>
            <w:noWrap w:val="false"/>
          </w:tcPr>
          <w:p>
            <w:pPr>
              <w:pStyle w:val="1129"/>
              <w:jc w:val="center"/>
              <w:spacing w:line="600" w:lineRule="exact"/>
              <w:rPr>
                <w:rFonts w:ascii="仿宋" w:hAnsi="仿宋" w:eastAsia="仿宋"/>
                <w:bCs/>
                <w:color w:val="000000"/>
                <w:sz w:val="32"/>
                <w:szCs w:val="32"/>
                <w:highlight w:val="none"/>
              </w:rPr>
            </w:pPr>
            <w:r>
              <w:rPr>
                <w:rFonts w:hint="eastAsia" w:ascii="仿宋" w:hAnsi="仿宋" w:eastAsia="仿宋"/>
                <w:bCs/>
                <w:color w:val="000000"/>
                <w:sz w:val="32"/>
                <w:szCs w:val="32"/>
                <w:highlight w:val="none"/>
                <w:lang w:val="en-US" w:eastAsia="zh-CN"/>
              </w:rPr>
              <w:t xml:space="preserve">3年</w:t>
            </w:r>
            <w:r>
              <w:rPr>
                <w:rFonts w:ascii="仿宋" w:hAnsi="仿宋" w:eastAsia="仿宋"/>
                <w:bCs/>
                <w:color w:val="000000"/>
                <w:sz w:val="32"/>
                <w:szCs w:val="32"/>
                <w:highlight w:val="none"/>
              </w:rPr>
            </w:r>
            <w:r/>
          </w:p>
        </w:tc>
        <w:tc>
          <w:tcPr>
            <w:tcW w:w="2314" w:type="dxa"/>
            <w:vAlign w:val="center"/>
            <w:textDirection w:val="lrTb"/>
            <w:noWrap w:val="false"/>
          </w:tcPr>
          <w:p>
            <w:pPr>
              <w:pStyle w:val="1129"/>
              <w:jc w:val="center"/>
              <w:spacing w:line="6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lang w:val="en-US" w:eastAsia="zh-CN"/>
              </w:rPr>
              <w:t xml:space="preserve">提供一座</w:t>
            </w:r>
            <w:r>
              <w:rPr>
                <w:rFonts w:hint="eastAsia" w:ascii="仿宋" w:hAnsi="仿宋" w:eastAsia="仿宋"/>
                <w:color w:val="000000"/>
                <w:sz w:val="32"/>
                <w:szCs w:val="32"/>
                <w:highlight w:val="none"/>
              </w:rPr>
              <w:t xml:space="preserve">10KV变电所24小时运行值班服务</w:t>
            </w:r>
            <w:r>
              <w:rPr>
                <w:rFonts w:ascii="仿宋" w:hAnsi="仿宋" w:eastAsia="仿宋"/>
                <w:color w:val="000000"/>
                <w:sz w:val="32"/>
                <w:szCs w:val="32"/>
                <w:highlight w:val="none"/>
              </w:rPr>
            </w:r>
            <w:r/>
          </w:p>
        </w:tc>
      </w:tr>
    </w:tbl>
    <w:p>
      <w:pPr>
        <w:pStyle w:val="1129"/>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服务期限为三年，合同一年一签，每年合同期满经采购人考核合格后续签下一年度合同。</w:t>
      </w:r>
      <w:r>
        <w:rPr>
          <w:rFonts w:ascii="仿宋" w:hAnsi="仿宋" w:eastAsia="仿宋"/>
          <w:color w:val="000000"/>
          <w:sz w:val="32"/>
          <w:szCs w:val="32"/>
          <w:highlight w:val="none"/>
          <w:u w:val="singl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131"/>
        <w:ind w:firstLine="643"/>
        <w:jc w:val="left"/>
        <w:spacing w:before="0" w:line="360" w:lineRule="auto"/>
        <w:rPr>
          <w:rFonts w:ascii="仿宋" w:hAnsi="仿宋" w:eastAsia="仿宋"/>
          <w:color w:val="000000"/>
          <w:sz w:val="32"/>
          <w:szCs w:val="32"/>
          <w:highlight w:val="none"/>
        </w:rPr>
      </w:pPr>
      <w:r/>
      <w:bookmarkStart w:id="10" w:name="_Toc35393622"/>
      <w:r/>
      <w:bookmarkStart w:id="11" w:name="_Toc28359080"/>
      <w:r/>
      <w:bookmarkStart w:id="12" w:name="_Toc28359003"/>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129"/>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w:t>
      </w:r>
      <w:r>
        <w:rPr>
          <w:rFonts w:ascii="仿宋" w:hAnsi="仿宋" w:eastAsia="仿宋"/>
          <w:b/>
          <w:color w:val="000000"/>
          <w:sz w:val="32"/>
          <w:szCs w:val="32"/>
          <w:highlight w:val="none"/>
        </w:rPr>
        <w:t xml:space="preserve">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w:t>
      </w:r>
      <w:r>
        <w:rPr>
          <w:rFonts w:ascii="仿宋" w:hAnsi="仿宋" w:eastAsia="仿宋"/>
          <w:color w:val="000000"/>
          <w:sz w:val="32"/>
          <w:szCs w:val="32"/>
          <w:highlight w:val="none"/>
        </w:rPr>
        <w:t xml:space="preserve">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129"/>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12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w:t>
      </w:r>
      <w:r>
        <w:rPr>
          <w:rFonts w:ascii="仿宋" w:hAnsi="仿宋" w:eastAsia="仿宋"/>
          <w:color w:val="000000"/>
          <w:sz w:val="32"/>
          <w:szCs w:val="32"/>
          <w:highlight w:val="none"/>
        </w:rPr>
        <w:t xml:space="preserve">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12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12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12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129"/>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i/>
          <w:iCs/>
          <w:color w:val="000000"/>
          <w:sz w:val="32"/>
          <w:szCs w:val="32"/>
          <w:highlight w:val="none"/>
          <w:u w:val="single"/>
        </w:rPr>
      </w:r>
      <w:r/>
    </w:p>
    <w:p>
      <w:pPr>
        <w:pStyle w:val="1131"/>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ascii="仿宋" w:hAnsi="仿宋" w:eastAsia="仿宋"/>
          <w:color w:val="000000"/>
          <w:sz w:val="32"/>
          <w:szCs w:val="32"/>
          <w:highlight w:val="none"/>
          <w:lang w:bidi="ar"/>
        </w:rPr>
        <w:t xml:space="preserve">：</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16</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129"/>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129"/>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131"/>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129"/>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129"/>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w:t>
      </w:r>
      <w:r>
        <w:rPr>
          <w:rFonts w:hint="eastAsia" w:ascii="仿宋" w:hAnsi="仿宋" w:eastAsia="仿宋"/>
          <w:color w:val="000000"/>
          <w:sz w:val="32"/>
          <w:szCs w:val="32"/>
          <w:highlight w:val="none"/>
          <w:lang w:bidi="ar"/>
        </w:rPr>
        <w:t xml:space="preserve">台。</w:t>
      </w:r>
      <w:r>
        <w:rPr>
          <w:rFonts w:ascii="仿宋" w:hAnsi="仿宋" w:eastAsia="仿宋"/>
          <w:b/>
          <w:bCs/>
          <w:color w:val="000000"/>
          <w:sz w:val="32"/>
          <w:szCs w:val="32"/>
          <w:highlight w:val="none"/>
        </w:rPr>
      </w:r>
      <w:r/>
    </w:p>
    <w:p>
      <w:pPr>
        <w:pStyle w:val="1131"/>
        <w:ind w:firstLine="643"/>
        <w:jc w:val="left"/>
        <w:spacing w:before="0" w:line="360" w:lineRule="auto"/>
        <w:rPr>
          <w:rFonts w:ascii="仿宋" w:hAnsi="仿宋" w:eastAsia="仿宋"/>
          <w:color w:val="000000"/>
          <w:sz w:val="32"/>
          <w:szCs w:val="32"/>
          <w:highlight w:val="none"/>
        </w:rPr>
      </w:pPr>
      <w:r/>
      <w:bookmarkStart w:id="22" w:name="_Toc28359084"/>
      <w:r/>
      <w:bookmarkStart w:id="23" w:name="_Toc28359007"/>
      <w:r/>
      <w:bookmarkStart w:id="24" w:name="_Toc35393625"/>
      <w:r/>
      <w:bookmarkStart w:id="25" w:name="_Toc3539379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131"/>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12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w:t>
      </w:r>
      <w:r>
        <w:rPr>
          <w:rFonts w:ascii="仿宋" w:hAnsi="仿宋" w:eastAsia="仿宋"/>
          <w:color w:val="000000"/>
          <w:sz w:val="32"/>
          <w:szCs w:val="32"/>
          <w:highlight w:val="none"/>
        </w:rPr>
        <w:t xml:space="preserve">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.根据省财政厅《关于更换全</w:t>
      </w:r>
      <w:r>
        <w:rPr>
          <w:rFonts w:hint="eastAsia" w:ascii="仿宋" w:hAnsi="仿宋" w:eastAsia="仿宋"/>
          <w:color w:val="000000"/>
          <w:sz w:val="32"/>
          <w:szCs w:val="32"/>
          <w:highlight w:val="none"/>
          <w:lang w:bidi="ar"/>
        </w:rPr>
        <w:t xml:space="preserve">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12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129"/>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129"/>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131"/>
        <w:ind w:firstLine="643"/>
        <w:jc w:val="left"/>
        <w:spacing w:before="0" w:line="360" w:lineRule="auto"/>
        <w:rPr>
          <w:rFonts w:ascii="仿宋" w:hAnsi="仿宋" w:eastAsia="仿宋"/>
          <w:color w:val="000000"/>
          <w:sz w:val="32"/>
          <w:szCs w:val="32"/>
          <w:highlight w:val="none"/>
        </w:rPr>
      </w:pPr>
      <w:r/>
      <w:bookmarkStart w:id="28" w:name="_Toc35393796"/>
      <w:r/>
      <w:bookmarkStart w:id="29" w:name="_Toc28359085"/>
      <w:r/>
      <w:bookmarkStart w:id="30" w:name="_Toc28359008"/>
      <w:r/>
      <w:bookmarkStart w:id="31" w:name="_Toc35393627"/>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129"/>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129"/>
        <w:ind w:left="-2"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w:t>
      </w:r>
      <w:r>
        <w:rPr>
          <w:rFonts w:hint="eastAsia" w:ascii="仿宋" w:hAnsi="仿宋" w:eastAsia="仿宋" w:cs="Times New Roman"/>
          <w:color w:val="000000"/>
          <w:sz w:val="32"/>
          <w:szCs w:val="32"/>
          <w:highlight w:val="none"/>
        </w:rPr>
        <w:t xml:space="preserve">常州市儿童医院</w:t>
      </w:r>
      <w:r>
        <w:rPr>
          <w:rFonts w:hint="eastAsia" w:ascii="仿宋" w:hAnsi="仿宋" w:eastAsia="仿宋"/>
          <w:color w:val="000000"/>
          <w:sz w:val="32"/>
          <w:szCs w:val="32"/>
          <w:highlight w:val="none"/>
        </w:rPr>
        <w:t xml:space="preserve"> </w:t>
      </w:r>
      <w:r>
        <w:rPr>
          <w:rFonts w:hint="eastAsia" w:ascii="仿宋" w:hAnsi="仿宋" w:eastAsia="仿宋"/>
          <w:color w:val="000000"/>
          <w:sz w:val="32"/>
          <w:szCs w:val="32"/>
          <w:highlight w:val="none"/>
        </w:rPr>
      </w:r>
      <w:r/>
    </w:p>
    <w:p>
      <w:pPr>
        <w:pStyle w:val="1129"/>
        <w:ind w:left="-2"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址：江苏省常州市天宁区雕庄街道中吴大道958号</w:t>
      </w:r>
      <w:r>
        <w:rPr>
          <w:rFonts w:hint="eastAsia" w:ascii="仿宋" w:hAnsi="仿宋" w:eastAsia="仿宋"/>
          <w:color w:val="000000"/>
          <w:sz w:val="32"/>
          <w:szCs w:val="32"/>
          <w:highlight w:val="none"/>
        </w:rPr>
      </w:r>
      <w:r/>
    </w:p>
    <w:p>
      <w:pPr>
        <w:pStyle w:val="1129"/>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s="Times New Roman"/>
          <w:color w:val="000000"/>
          <w:sz w:val="32"/>
          <w:szCs w:val="32"/>
          <w:highlight w:val="none"/>
        </w:rPr>
        <w:t xml:space="preserve">联系方式：</w:t>
      </w:r>
      <w:r>
        <w:rPr>
          <w:rFonts w:hint="eastAsia" w:ascii="仿宋" w:hAnsi="仿宋" w:eastAsia="仿宋" w:cs="Times New Roman"/>
          <w:color w:val="000000"/>
          <w:sz w:val="32"/>
          <w:szCs w:val="32"/>
          <w:highlight w:val="none"/>
          <w:lang w:val="en-US" w:eastAsia="zh-CN"/>
        </w:rPr>
        <w:t xml:space="preserve">梁先生 0519-69808175</w:t>
      </w:r>
      <w:r>
        <w:rPr>
          <w:rFonts w:hint="eastAsia" w:ascii="仿宋" w:hAnsi="仿宋" w:eastAsia="仿宋"/>
          <w:color w:val="000000"/>
          <w:sz w:val="32"/>
          <w:szCs w:val="32"/>
          <w:highlight w:val="none"/>
        </w:rPr>
      </w:r>
      <w:r/>
    </w:p>
    <w:p>
      <w:pPr>
        <w:pStyle w:val="1129"/>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129"/>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w:t>
      </w:r>
      <w:r>
        <w:rPr>
          <w:rFonts w:hint="eastAsia" w:ascii="仿宋" w:hAnsi="仿宋" w:eastAsia="仿宋"/>
          <w:color w:val="000000"/>
          <w:sz w:val="32"/>
          <w:szCs w:val="32"/>
          <w:highlight w:val="none"/>
        </w:rPr>
        <w:t xml:space="preserve">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129"/>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12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12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129"/>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w:t>
      </w:r>
      <w:r>
        <w:rPr>
          <w:rFonts w:hint="eastAsia" w:ascii="仿宋" w:hAnsi="仿宋" w:eastAsia="仿宋"/>
          <w:color w:val="000000"/>
          <w:sz w:val="32"/>
          <w:szCs w:val="32"/>
          <w:highlight w:val="none"/>
        </w:rPr>
        <w:t xml:space="preserve">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129"/>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27161488"/>
      <w:r/>
      <w:bookmarkStart w:id="37" w:name="_Toc305158854"/>
      <w:r/>
      <w:bookmarkStart w:id="38" w:name="_Toc353873938"/>
      <w:r/>
      <w:bookmarkStart w:id="39" w:name="_Toc512937850"/>
      <w:r/>
      <w:bookmarkStart w:id="40" w:name="_Toc226965856"/>
      <w:r/>
      <w:bookmarkStart w:id="41" w:name="_Toc150774783"/>
      <w:r/>
      <w:bookmarkStart w:id="42" w:name="_Toc127151777"/>
      <w:r/>
      <w:bookmarkStart w:id="43" w:name="_Toc264969275"/>
      <w:r/>
      <w:bookmarkStart w:id="44" w:name="_Toc265228423"/>
      <w:r/>
      <w:bookmarkStart w:id="45" w:name="_Toc353825548"/>
      <w:r/>
      <w:bookmarkStart w:id="46" w:name="_Toc195842950"/>
      <w:r/>
      <w:bookmarkStart w:id="47" w:name="_Toc305158928"/>
      <w:r/>
      <w:bookmarkStart w:id="48" w:name="_Toc9930142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131"/>
        <w:spacing w:before="0" w:line="360" w:lineRule="auto"/>
        <w:tabs>
          <w:tab w:val="center" w:pos="4592" w:leader="none"/>
          <w:tab w:val="left" w:pos="7860" w:leader="none"/>
        </w:tabs>
        <w:rPr>
          <w:rFonts w:ascii="宋体" w:hAnsi="宋体" w:eastAsia="宋体"/>
          <w:color w:val="000000"/>
          <w:sz w:val="28"/>
          <w:highlight w:val="none"/>
        </w:rPr>
      </w:pPr>
      <w:r/>
      <w:bookmarkStart w:id="49" w:name="_Toc150509270"/>
      <w:r/>
      <w:bookmarkStart w:id="50" w:name="_Toc150480757"/>
      <w:r/>
      <w:bookmarkStart w:id="51" w:name="_Toc149720812"/>
      <w:r/>
      <w:bookmarkStart w:id="52" w:name="_Toc151193689"/>
      <w:r/>
      <w:bookmarkStart w:id="53" w:name="_Toc520356144"/>
      <w:r/>
      <w:bookmarkStart w:id="54" w:name="_Toc164229214"/>
      <w:r/>
      <w:bookmarkStart w:id="55" w:name="_Toc226337215"/>
      <w:r/>
      <w:bookmarkStart w:id="56" w:name="_Toc164608788"/>
      <w:r/>
      <w:bookmarkStart w:id="57" w:name="_Toc195842884"/>
      <w:r/>
      <w:bookmarkStart w:id="58" w:name="_Toc127161433"/>
      <w:r/>
      <w:bookmarkStart w:id="59" w:name="_Toc164608633"/>
      <w:r/>
      <w:bookmarkStart w:id="60" w:name="_Toc150774619"/>
      <w:r/>
      <w:bookmarkStart w:id="61" w:name="_Toc151193761"/>
      <w:r/>
      <w:bookmarkStart w:id="62" w:name="_Toc151190146"/>
      <w:r/>
      <w:bookmarkStart w:id="63" w:name="_Toc150774724"/>
      <w:r/>
      <w:bookmarkStart w:id="64" w:name="_Toc164229360"/>
      <w:r/>
      <w:bookmarkStart w:id="65" w:name="_Toc151193907"/>
      <w:r/>
      <w:bookmarkStart w:id="66" w:name="_Toc151193833"/>
      <w:r/>
      <w:bookmarkStart w:id="67" w:name="_Toc151193617"/>
      <w:r/>
      <w:bookmarkStart w:id="68" w:name="_Toc226309763"/>
      <w:r/>
      <w:bookmarkStart w:id="69" w:name="_Toc127151519"/>
      <w:r/>
      <w:bookmarkStart w:id="70" w:name="_Toc142311021"/>
      <w:r/>
      <w:bookmarkStart w:id="71" w:name="_Toc226965709"/>
      <w:r/>
      <w:bookmarkStart w:id="72" w:name="_Toc226965792"/>
      <w:r/>
      <w:bookmarkStart w:id="73" w:name="_Toc127151720"/>
      <w:r/>
      <w:bookmarkStart w:id="74" w:name="_Toc164351613"/>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129"/>
        <w:jc w:val="center"/>
        <w:rPr>
          <w:rFonts w:ascii="宋体" w:hAnsi="宋体"/>
          <w:b/>
          <w:color w:val="000000"/>
          <w:sz w:val="28"/>
          <w:szCs w:val="28"/>
          <w:highlight w:val="none"/>
        </w:rPr>
      </w:pPr>
      <w:r>
        <w:rPr>
          <w:rFonts w:ascii="宋体" w:hAnsi="宋体"/>
          <w:b/>
          <w:color w:val="000000"/>
          <w:sz w:val="28"/>
          <w:szCs w:val="28"/>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29"/>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129"/>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129"/>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68"/>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68"/>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129"/>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129"/>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68"/>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w:t>
            </w:r>
            <w:r>
              <w:rPr>
                <w:rFonts w:hint="eastAsia" w:ascii="宋体" w:hAnsi="宋体" w:cs="宋体"/>
                <w:color w:val="000000"/>
                <w:sz w:val="24"/>
                <w:highlight w:val="none"/>
              </w:rPr>
              <w:t xml:space="preserve">标准所属行业：</w:t>
            </w:r>
            <w:r>
              <w:rPr>
                <w:rFonts w:hint="eastAsia" w:ascii="宋体" w:hAnsi="宋体" w:cs="宋体"/>
                <w:b/>
                <w:bCs/>
                <w:color w:val="000000"/>
                <w:sz w:val="24"/>
                <w:highlight w:val="none"/>
              </w:rPr>
              <w:t xml:space="preserve">租赁和商务服务业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129"/>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129"/>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w:t>
            </w:r>
            <w:r>
              <w:rPr>
                <w:rFonts w:hint="eastAsia"/>
                <w:color w:val="000000"/>
                <w:sz w:val="24"/>
                <w:highlight w:val="none"/>
              </w:rPr>
              <w:t xml:space="preserve">适用 </w:t>
            </w:r>
            <w:r>
              <w:rPr>
                <w:rFonts w:hint="eastAsia" w:ascii="宋体" w:hAnsi="宋体" w:cs="宋体"/>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131"/>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09</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17</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129"/>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color w:val="000000"/>
                <w:sz w:val="24"/>
                <w:highlight w:val="none"/>
              </w:rPr>
              <w:t xml:space="preserve">□采</w:t>
            </w:r>
            <w:r>
              <w:rPr>
                <w:rFonts w:hint="eastAsia" w:ascii="宋体" w:hAnsi="宋体" w:cs="宋体"/>
                <w:color w:val="000000"/>
                <w:sz w:val="24"/>
                <w:highlight w:val="none"/>
              </w:rPr>
              <w:t xml:space="preserve">购人</w:t>
            </w:r>
            <w:r>
              <w:rPr>
                <w:rFonts w:hint="eastAsia" w:ascii="宋体" w:hAnsi="宋体" w:cs="宋体"/>
                <w:color w:val="000000"/>
                <w:sz w:val="24"/>
                <w:highlight w:val="none"/>
              </w:rPr>
            </w:r>
            <w:r/>
          </w:p>
          <w:p>
            <w:pPr>
              <w:pStyle w:val="1129"/>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29"/>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129"/>
              <w:ind w:firstLine="480"/>
              <w:jc w:val="left"/>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须按其</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金额的0.8%计算并支付</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服务费，按上述计算方法不足人民币 3000 元的，按人民币 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129"/>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w:t>
            </w:r>
            <w:r>
              <w:rPr>
                <w:rFonts w:hint="eastAsia" w:ascii="宋体" w:hAnsi="宋体" w:cs="宋体"/>
                <w:color w:val="000000"/>
                <w:sz w:val="24"/>
                <w:highlight w:val="none"/>
              </w:rPr>
              <w:t xml:space="preserve">领取中标通知书时将</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年代理费支付至常州市城投建设工程招标有限公司</w:t>
            </w:r>
            <w:r>
              <w:rPr>
                <w:rFonts w:hint="eastAsia" w:ascii="宋体" w:hAnsi="宋体" w:cs="宋体"/>
                <w:color w:val="000000"/>
                <w:sz w:val="24"/>
                <w:highlight w:val="none"/>
              </w:rPr>
              <w:t xml:space="preserve">账户。</w:t>
            </w:r>
            <w:r>
              <w:rPr>
                <w:rFonts w:hint="eastAsia" w:ascii="宋体" w:hAnsi="宋体" w:cs="宋体"/>
                <w:color w:val="000000"/>
                <w:sz w:val="24"/>
                <w:highlight w:val="none"/>
              </w:rPr>
            </w:r>
            <w:r/>
          </w:p>
          <w:p>
            <w:pPr>
              <w:pStyle w:val="112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12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12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68"/>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129"/>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129"/>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129"/>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21"/>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129"/>
        <w:jc w:val="center"/>
        <w:spacing w:before="240" w:after="240"/>
        <w:rPr>
          <w:rFonts w:hint="eastAsia" w:ascii="宋体" w:hAnsi="宋体" w:cs="宋体"/>
          <w:b/>
          <w:color w:val="000000"/>
          <w:sz w:val="28"/>
          <w:szCs w:val="28"/>
          <w:highlight w:val="none"/>
        </w:rPr>
      </w:pPr>
      <w:r/>
      <w:bookmarkStart w:id="75" w:name="_Toc265228355"/>
      <w:r/>
      <w:bookmarkStart w:id="76" w:name="_Toc226965790"/>
      <w:r/>
      <w:bookmarkStart w:id="77" w:name="_Toc150480755"/>
      <w:r/>
      <w:bookmarkStart w:id="78" w:name="_Toc353873662"/>
      <w:r/>
      <w:bookmarkStart w:id="79" w:name="_Toc353825542"/>
      <w:r/>
      <w:bookmarkStart w:id="80" w:name="_Toc264969207"/>
      <w:r/>
      <w:bookmarkStart w:id="81" w:name="_Toc305158859"/>
      <w:r/>
      <w:bookmarkStart w:id="82" w:name="_Toc142311019"/>
      <w:r/>
      <w:bookmarkStart w:id="83" w:name="_Toc150774722"/>
      <w:r/>
      <w:bookmarkStart w:id="84" w:name="_Toc305158785"/>
      <w:r/>
      <w:bookmarkStart w:id="85" w:name="_Toc353873932"/>
      <w:r/>
      <w:bookmarkStart w:id="86" w:name="_Toc127151517"/>
      <w:r/>
      <w:bookmarkStart w:id="87" w:name="_Toc195842882"/>
      <w:r/>
      <w:bookmarkStart w:id="88" w:name="_Toc226337213"/>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131"/>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1190145"/>
      <w:r/>
      <w:bookmarkStart w:id="92" w:name="_Toc150480756"/>
      <w:r/>
      <w:bookmarkStart w:id="93" w:name="_Toc150509269"/>
      <w:r/>
      <w:bookmarkStart w:id="94" w:name="_Toc151193760"/>
      <w:r/>
      <w:bookmarkStart w:id="95" w:name="_Toc150774618"/>
      <w:r/>
      <w:bookmarkStart w:id="96" w:name="_Toc226309762"/>
      <w:r/>
      <w:bookmarkStart w:id="97" w:name="_Toc150774723"/>
      <w:r/>
      <w:bookmarkStart w:id="98" w:name="_Toc305158860"/>
      <w:r/>
      <w:bookmarkStart w:id="99" w:name="_Toc142311020"/>
      <w:r/>
      <w:bookmarkStart w:id="100" w:name="_Toc265228356"/>
      <w:r/>
      <w:bookmarkStart w:id="101" w:name="_Toc226965791"/>
      <w:r/>
      <w:bookmarkStart w:id="102" w:name="_Toc264969208"/>
      <w:r/>
      <w:bookmarkStart w:id="103" w:name="_Toc151193688"/>
      <w:r/>
      <w:bookmarkStart w:id="104" w:name="_Toc305158786"/>
      <w:r/>
      <w:bookmarkStart w:id="105" w:name="_Toc151193616"/>
      <w:r/>
      <w:bookmarkStart w:id="106" w:name="_Toc151193906"/>
      <w:r/>
      <w:bookmarkStart w:id="107" w:name="_Toc195842883"/>
      <w:r/>
      <w:bookmarkStart w:id="108" w:name="_Toc226965708"/>
      <w:r/>
      <w:bookmarkStart w:id="109" w:name="_Toc151193832"/>
      <w:r/>
      <w:bookmarkStart w:id="110" w:name="_Toc226337214"/>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4969209"/>
      <w:r/>
      <w:bookmarkStart w:id="112" w:name="_Toc305158787"/>
      <w:r/>
      <w:bookmarkStart w:id="113" w:name="_Toc265228357"/>
      <w:r/>
      <w:bookmarkStart w:id="114" w:name="_Toc305158861"/>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305158862"/>
      <w:r/>
      <w:bookmarkStart w:id="116" w:name="_Toc150774620"/>
      <w:r/>
      <w:bookmarkStart w:id="117" w:name="_Toc151190147"/>
      <w:r/>
      <w:bookmarkStart w:id="118" w:name="_Toc265228358"/>
      <w:r/>
      <w:bookmarkStart w:id="119" w:name="_Toc151193908"/>
      <w:r/>
      <w:bookmarkStart w:id="120" w:name="_Toc151193690"/>
      <w:r/>
      <w:bookmarkStart w:id="121" w:name="_Toc226337216"/>
      <w:r/>
      <w:bookmarkStart w:id="122" w:name="_Toc226965710"/>
      <w:r/>
      <w:bookmarkStart w:id="123" w:name="_Toc150509271"/>
      <w:r/>
      <w:bookmarkStart w:id="124" w:name="_Toc164229215"/>
      <w:r/>
      <w:bookmarkStart w:id="125" w:name="_Toc164608634"/>
      <w:r/>
      <w:bookmarkStart w:id="126" w:name="_Toc151193762"/>
      <w:r/>
      <w:bookmarkStart w:id="127" w:name="_Toc164608789"/>
      <w:r/>
      <w:bookmarkStart w:id="128" w:name="_Toc127151520"/>
      <w:r/>
      <w:bookmarkStart w:id="129" w:name="_Toc151193834"/>
      <w:r/>
      <w:bookmarkStart w:id="130" w:name="_Toc305158788"/>
      <w:r/>
      <w:bookmarkStart w:id="131" w:name="_Toc142311022"/>
      <w:r/>
      <w:bookmarkStart w:id="132" w:name="_Toc195842885"/>
      <w:r/>
      <w:bookmarkStart w:id="133" w:name="_Toc127161434"/>
      <w:r/>
      <w:bookmarkStart w:id="134" w:name="_Toc264969210"/>
      <w:r/>
      <w:bookmarkStart w:id="135" w:name="_Toc164229361"/>
      <w:r/>
      <w:bookmarkStart w:id="136" w:name="_Toc226309764"/>
      <w:r/>
      <w:bookmarkStart w:id="137" w:name="_Toc150774725"/>
      <w:r/>
      <w:bookmarkStart w:id="138" w:name="_Toc150480758"/>
      <w:r/>
      <w:bookmarkStart w:id="139" w:name="_Toc226965793"/>
      <w:r/>
      <w:bookmarkStart w:id="140" w:name="_Toc127151721"/>
      <w:r/>
      <w:bookmarkStart w:id="141" w:name="_Toc151193618"/>
      <w:r/>
      <w:bookmarkStart w:id="142" w:name="_Toc164351614"/>
      <w:r/>
      <w:bookmarkStart w:id="143" w:name="_Toc149720813"/>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95842887"/>
      <w:r/>
      <w:bookmarkStart w:id="145" w:name="_Toc150480760"/>
      <w:r/>
      <w:bookmarkStart w:id="146" w:name="_Toc150509273"/>
      <w:r/>
      <w:bookmarkStart w:id="147" w:name="_Toc265228360"/>
      <w:r/>
      <w:bookmarkStart w:id="148" w:name="_Toc226965712"/>
      <w:r/>
      <w:bookmarkStart w:id="149" w:name="_Toc127151522"/>
      <w:r/>
      <w:bookmarkStart w:id="150" w:name="_Toc151193620"/>
      <w:r/>
      <w:bookmarkStart w:id="151" w:name="_Toc226965795"/>
      <w:r/>
      <w:bookmarkStart w:id="152" w:name="_Toc151190149"/>
      <w:r/>
      <w:bookmarkStart w:id="153" w:name="_Toc226337218"/>
      <w:r/>
      <w:bookmarkStart w:id="154" w:name="_Toc151193764"/>
      <w:r/>
      <w:bookmarkStart w:id="155" w:name="_Toc151193692"/>
      <w:r/>
      <w:bookmarkStart w:id="156" w:name="_Toc151193910"/>
      <w:r/>
      <w:bookmarkStart w:id="157" w:name="_Toc520356146"/>
      <w:r/>
      <w:bookmarkStart w:id="158" w:name="_Toc305158864"/>
      <w:r/>
      <w:bookmarkStart w:id="159" w:name="_Toc226309766"/>
      <w:r/>
      <w:bookmarkStart w:id="160" w:name="_Toc150774622"/>
      <w:r/>
      <w:bookmarkStart w:id="161" w:name="_Toc305158790"/>
      <w:r/>
      <w:bookmarkStart w:id="162" w:name="_Toc150774727"/>
      <w:r/>
      <w:bookmarkStart w:id="163" w:name="_Toc151193836"/>
      <w:r/>
      <w:bookmarkStart w:id="164" w:name="_Toc142311024"/>
      <w:r/>
      <w:bookmarkStart w:id="165" w:name="_Toc264969212"/>
      <w:r>
        <w:rPr>
          <w:rFonts w:hint="eastAsia" w:ascii="宋体" w:hAnsi="宋体" w:cs="宋体"/>
          <w:color w:val="000000"/>
          <w:sz w:val="28"/>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22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29"/>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12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12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12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223"/>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23"/>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129"/>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129"/>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129"/>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12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12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12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w:t>
      </w:r>
      <w:r>
        <w:rPr>
          <w:rFonts w:hint="eastAsia" w:ascii="宋体" w:hAnsi="宋体"/>
          <w:color w:val="000000"/>
          <w:sz w:val="24"/>
          <w:highlight w:val="none"/>
        </w:rPr>
        <w:t xml:space="preserve">的产品；属于推荐性标准的，应当在采购文件中载明低VOCs的优惠幅度、评审标准等，以体现优先采购。</w:t>
      </w:r>
      <w:r>
        <w:rPr>
          <w:rFonts w:hint="eastAsia" w:ascii="宋体" w:hAnsi="宋体"/>
          <w:color w:val="000000"/>
          <w:sz w:val="24"/>
          <w:highlight w:val="none"/>
        </w:rPr>
      </w:r>
      <w:r/>
    </w:p>
    <w:p>
      <w:pPr>
        <w:pStyle w:val="1129"/>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12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129"/>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131"/>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621"/>
      <w:r/>
      <w:bookmarkStart w:id="168" w:name="_Toc127161437"/>
      <w:r/>
      <w:bookmarkStart w:id="169" w:name="_Toc151193765"/>
      <w:r/>
      <w:bookmarkStart w:id="170" w:name="_Toc164351617"/>
      <w:r/>
      <w:bookmarkStart w:id="171" w:name="_Toc150509274"/>
      <w:r/>
      <w:bookmarkStart w:id="172" w:name="_Toc226337219"/>
      <w:r/>
      <w:bookmarkStart w:id="173" w:name="_Toc142311025"/>
      <w:r/>
      <w:bookmarkStart w:id="174" w:name="_Toc164229218"/>
      <w:r/>
      <w:bookmarkStart w:id="175" w:name="_Toc226309767"/>
      <w:r/>
      <w:bookmarkStart w:id="176" w:name="_Toc150774728"/>
      <w:r/>
      <w:bookmarkStart w:id="177" w:name="_Toc164608637"/>
      <w:r/>
      <w:bookmarkStart w:id="178" w:name="_Toc520356147"/>
      <w:r/>
      <w:bookmarkStart w:id="179" w:name="_Toc305158791"/>
      <w:r/>
      <w:bookmarkStart w:id="180" w:name="_Toc127151724"/>
      <w:r/>
      <w:bookmarkStart w:id="181" w:name="_Toc151190150"/>
      <w:r/>
      <w:bookmarkStart w:id="182" w:name="_Toc305158865"/>
      <w:r/>
      <w:bookmarkStart w:id="183" w:name="_Toc150774623"/>
      <w:r/>
      <w:bookmarkStart w:id="184" w:name="_Toc265228361"/>
      <w:r/>
      <w:bookmarkStart w:id="185" w:name="_Toc151193911"/>
      <w:r/>
      <w:bookmarkStart w:id="186" w:name="_Toc164229364"/>
      <w:r/>
      <w:bookmarkStart w:id="187" w:name="_Toc127151523"/>
      <w:r/>
      <w:bookmarkStart w:id="188" w:name="_Toc150480761"/>
      <w:r/>
      <w:bookmarkStart w:id="189" w:name="_Toc164608792"/>
      <w:r/>
      <w:bookmarkStart w:id="190" w:name="_Toc195842888"/>
      <w:r/>
      <w:bookmarkStart w:id="191" w:name="_Toc151193693"/>
      <w:r/>
      <w:bookmarkStart w:id="192" w:name="_Toc151193837"/>
      <w:r/>
      <w:bookmarkStart w:id="193" w:name="_Toc264969213"/>
      <w:r/>
      <w:bookmarkStart w:id="194" w:name="_Toc226965796"/>
      <w:r/>
      <w:bookmarkStart w:id="195" w:name="_Toc149720816"/>
      <w:r/>
      <w:bookmarkStart w:id="196" w:name="_Toc226965713"/>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129"/>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131"/>
        <w:ind w:firstLine="562"/>
        <w:spacing w:before="0" w:line="360" w:lineRule="auto"/>
        <w:rPr>
          <w:rFonts w:hint="eastAsia" w:ascii="宋体" w:hAnsi="宋体" w:eastAsia="宋体" w:cs="宋体"/>
          <w:color w:val="000000"/>
          <w:sz w:val="28"/>
          <w:highlight w:val="none"/>
        </w:rPr>
      </w:pPr>
      <w:r/>
      <w:bookmarkStart w:id="197" w:name="_Toc226965716"/>
      <w:r/>
      <w:bookmarkStart w:id="198" w:name="_Toc151193624"/>
      <w:r/>
      <w:bookmarkStart w:id="199" w:name="_Toc150774626"/>
      <w:r/>
      <w:bookmarkStart w:id="200" w:name="_Toc265228364"/>
      <w:r/>
      <w:bookmarkStart w:id="201" w:name="_Toc226309770"/>
      <w:r/>
      <w:bookmarkStart w:id="202" w:name="_Toc151193696"/>
      <w:r/>
      <w:bookmarkStart w:id="203" w:name="_Toc226965799"/>
      <w:r/>
      <w:bookmarkStart w:id="204" w:name="_Toc151193840"/>
      <w:r/>
      <w:bookmarkStart w:id="205" w:name="_Toc151193914"/>
      <w:r/>
      <w:bookmarkStart w:id="206" w:name="_Toc151193768"/>
      <w:r/>
      <w:bookmarkStart w:id="207" w:name="_Toc142311028"/>
      <w:r/>
      <w:bookmarkStart w:id="208" w:name="_Toc150509277"/>
      <w:r/>
      <w:bookmarkStart w:id="209" w:name="_Toc150480764"/>
      <w:r/>
      <w:bookmarkStart w:id="210" w:name="_Toc516367020"/>
      <w:r/>
      <w:bookmarkStart w:id="211" w:name="_Toc150774731"/>
      <w:r/>
      <w:bookmarkStart w:id="212" w:name="_Toc195842891"/>
      <w:r/>
      <w:bookmarkStart w:id="213" w:name="_Toc305158794"/>
      <w:r/>
      <w:bookmarkStart w:id="214" w:name="_Toc264969216"/>
      <w:r/>
      <w:bookmarkStart w:id="215" w:name="_Toc127151526"/>
      <w:r/>
      <w:bookmarkStart w:id="216" w:name="_Toc520356150"/>
      <w:r/>
      <w:bookmarkStart w:id="217" w:name="_Toc151190153"/>
      <w:r/>
      <w:bookmarkStart w:id="218" w:name="_Toc226337222"/>
      <w:r/>
      <w:bookmarkStart w:id="219" w:name="_Toc305158868"/>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265228365"/>
      <w:r/>
      <w:bookmarkStart w:id="221" w:name="_Toc164351621"/>
      <w:r/>
      <w:bookmarkStart w:id="222" w:name="_Toc164229222"/>
      <w:r/>
      <w:bookmarkStart w:id="223" w:name="_Toc151193769"/>
      <w:r/>
      <w:bookmarkStart w:id="224" w:name="_Toc226965800"/>
      <w:r/>
      <w:bookmarkStart w:id="225" w:name="_Toc226337223"/>
      <w:r/>
      <w:bookmarkStart w:id="226" w:name="_Toc127151728"/>
      <w:r/>
      <w:bookmarkStart w:id="227" w:name="_Toc264969217"/>
      <w:r/>
      <w:bookmarkStart w:id="228" w:name="_Toc195842892"/>
      <w:r/>
      <w:bookmarkStart w:id="229" w:name="_Toc150480765"/>
      <w:r/>
      <w:bookmarkStart w:id="230" w:name="_Toc164608641"/>
      <w:r/>
      <w:bookmarkStart w:id="231" w:name="_Toc305158869"/>
      <w:r/>
      <w:bookmarkStart w:id="232" w:name="_Toc149720820"/>
      <w:r/>
      <w:bookmarkStart w:id="233" w:name="_Toc226309771"/>
      <w:r/>
      <w:bookmarkStart w:id="234" w:name="_Toc151193625"/>
      <w:r/>
      <w:bookmarkStart w:id="235" w:name="_Toc226965717"/>
      <w:r/>
      <w:bookmarkStart w:id="236" w:name="_Toc151193841"/>
      <w:r/>
      <w:bookmarkStart w:id="237" w:name="_Toc164229368"/>
      <w:r/>
      <w:bookmarkStart w:id="238" w:name="_Toc151193915"/>
      <w:r/>
      <w:bookmarkStart w:id="239" w:name="_Toc164608796"/>
      <w:r/>
      <w:bookmarkStart w:id="240" w:name="_Toc516367021"/>
      <w:r/>
      <w:bookmarkStart w:id="241" w:name="_Toc127161441"/>
      <w:r/>
      <w:bookmarkStart w:id="242" w:name="_Toc520356151"/>
      <w:r/>
      <w:bookmarkStart w:id="243" w:name="_Toc127151527"/>
      <w:r/>
      <w:bookmarkStart w:id="244" w:name="_Toc150774732"/>
      <w:r/>
      <w:bookmarkStart w:id="245" w:name="_Toc151190154"/>
      <w:r/>
      <w:bookmarkStart w:id="246" w:name="_Toc142311029"/>
      <w:r/>
      <w:bookmarkStart w:id="247" w:name="_Toc150509278"/>
      <w:r/>
      <w:bookmarkStart w:id="248" w:name="_Toc305158795"/>
      <w:r/>
      <w:bookmarkStart w:id="249" w:name="_Toc151193697"/>
      <w:r/>
      <w:bookmarkStart w:id="250" w:name="_Toc150774627"/>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226965718"/>
      <w:r/>
      <w:bookmarkStart w:id="252" w:name="_Toc164351622"/>
      <w:r/>
      <w:bookmarkStart w:id="253" w:name="_Toc150509279"/>
      <w:r/>
      <w:bookmarkStart w:id="254" w:name="_Toc150774628"/>
      <w:r/>
      <w:bookmarkStart w:id="255" w:name="_Toc151193842"/>
      <w:r/>
      <w:bookmarkStart w:id="256" w:name="_Toc127151729"/>
      <w:r/>
      <w:bookmarkStart w:id="257" w:name="_Toc142311030"/>
      <w:r/>
      <w:bookmarkStart w:id="258" w:name="_Ref467306676"/>
      <w:r/>
      <w:bookmarkStart w:id="259" w:name="_Ref467306195"/>
      <w:r/>
      <w:bookmarkStart w:id="260" w:name="_Toc516367022"/>
      <w:r/>
      <w:bookmarkStart w:id="261" w:name="_Toc265228366"/>
      <w:r/>
      <w:bookmarkStart w:id="262" w:name="_Toc151190155"/>
      <w:r/>
      <w:bookmarkStart w:id="263" w:name="_Toc164229369"/>
      <w:r/>
      <w:bookmarkStart w:id="264" w:name="_Toc226309772"/>
      <w:r/>
      <w:bookmarkStart w:id="265" w:name="_Toc127161442"/>
      <w:r/>
      <w:bookmarkStart w:id="266" w:name="_Toc164608797"/>
      <w:r/>
      <w:bookmarkStart w:id="267" w:name="_Toc151193770"/>
      <w:r/>
      <w:bookmarkStart w:id="268" w:name="_Toc151193916"/>
      <w:r/>
      <w:bookmarkStart w:id="269" w:name="_Toc151193626"/>
      <w:r/>
      <w:bookmarkStart w:id="270" w:name="_Toc226965801"/>
      <w:r/>
      <w:bookmarkStart w:id="271" w:name="_Toc305158796"/>
      <w:r/>
      <w:bookmarkStart w:id="272" w:name="_Toc195842893"/>
      <w:r/>
      <w:bookmarkStart w:id="273" w:name="_Toc150774733"/>
      <w:r/>
      <w:bookmarkStart w:id="274" w:name="_Toc164229223"/>
      <w:r/>
      <w:bookmarkStart w:id="275" w:name="_Toc127151528"/>
      <w:r/>
      <w:bookmarkStart w:id="276" w:name="_Toc305158870"/>
      <w:r/>
      <w:bookmarkStart w:id="277" w:name="_Toc226337224"/>
      <w:r/>
      <w:bookmarkStart w:id="278" w:name="_Toc520356152"/>
      <w:r/>
      <w:bookmarkStart w:id="279" w:name="_Toc164608642"/>
      <w:r/>
      <w:bookmarkStart w:id="280" w:name="_Toc264969218"/>
      <w:r/>
      <w:bookmarkStart w:id="281" w:name="_Toc149720821"/>
      <w:r/>
      <w:bookmarkStart w:id="282" w:name="_Toc150480766"/>
      <w:r/>
      <w:bookmarkStart w:id="283" w:name="_Toc151193698"/>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0774630"/>
      <w:r/>
      <w:bookmarkStart w:id="286" w:name="_Toc151193700"/>
      <w:r/>
      <w:bookmarkStart w:id="287" w:name="_Toc150509281"/>
      <w:r/>
      <w:bookmarkStart w:id="288" w:name="_Toc151190157"/>
      <w:r/>
      <w:bookmarkStart w:id="289" w:name="_Toc149720823"/>
      <w:r/>
      <w:bookmarkStart w:id="290" w:name="_Toc164608644"/>
      <w:r/>
      <w:bookmarkStart w:id="291" w:name="_Toc127151731"/>
      <w:r/>
      <w:bookmarkStart w:id="292" w:name="_Toc520356155"/>
      <w:r/>
      <w:bookmarkStart w:id="293" w:name="_Toc151193844"/>
      <w:r/>
      <w:bookmarkStart w:id="294" w:name="_Toc127151530"/>
      <w:r/>
      <w:bookmarkStart w:id="295" w:name="_Toc164608799"/>
      <w:r/>
      <w:bookmarkStart w:id="296" w:name="_Toc151193628"/>
      <w:r/>
      <w:bookmarkStart w:id="297" w:name="_Toc142311032"/>
      <w:r/>
      <w:bookmarkStart w:id="298" w:name="_Toc151193918"/>
      <w:r/>
      <w:bookmarkStart w:id="299" w:name="_Toc151193772"/>
      <w:r/>
      <w:bookmarkStart w:id="300" w:name="_Toc127161444"/>
      <w:r/>
      <w:bookmarkStart w:id="301" w:name="_Toc195842895"/>
      <w:r/>
      <w:bookmarkStart w:id="302" w:name="_Toc164351624"/>
      <w:r/>
      <w:bookmarkStart w:id="303" w:name="_Toc150774735"/>
      <w:r/>
      <w:bookmarkStart w:id="304" w:name="_Toc164229371"/>
      <w:r/>
      <w:bookmarkStart w:id="305" w:name="_Toc150480768"/>
      <w:r/>
      <w:bookmarkStart w:id="306" w:name="_Toc164229225"/>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64608645"/>
      <w:r/>
      <w:bookmarkStart w:id="308" w:name="_Toc127161445"/>
      <w:r/>
      <w:bookmarkStart w:id="309" w:name="_Toc226337227"/>
      <w:r/>
      <w:bookmarkStart w:id="310" w:name="_Toc151193773"/>
      <w:r/>
      <w:bookmarkStart w:id="311" w:name="_Toc150774736"/>
      <w:r/>
      <w:bookmarkStart w:id="312" w:name="_Ref467306513"/>
      <w:r/>
      <w:bookmarkStart w:id="313" w:name="_Toc151193845"/>
      <w:r/>
      <w:bookmarkStart w:id="314" w:name="_Toc305158873"/>
      <w:r/>
      <w:bookmarkStart w:id="315" w:name="_Toc520356156"/>
      <w:r/>
      <w:bookmarkStart w:id="316" w:name="_Toc226965804"/>
      <w:r/>
      <w:bookmarkStart w:id="317" w:name="_Toc195842896"/>
      <w:r/>
      <w:bookmarkStart w:id="318" w:name="_Toc151193701"/>
      <w:r/>
      <w:bookmarkStart w:id="319" w:name="_Toc151190158"/>
      <w:r/>
      <w:bookmarkStart w:id="320" w:name="_Toc150774631"/>
      <w:r/>
      <w:bookmarkStart w:id="321" w:name="_Toc164608800"/>
      <w:r/>
      <w:bookmarkStart w:id="322" w:name="_Toc164351625"/>
      <w:r/>
      <w:bookmarkStart w:id="323" w:name="_Toc149720824"/>
      <w:r/>
      <w:bookmarkStart w:id="324" w:name="_Toc150509282"/>
      <w:r/>
      <w:bookmarkStart w:id="325" w:name="_Toc226965721"/>
      <w:r/>
      <w:bookmarkStart w:id="326" w:name="_Toc142311033"/>
      <w:r/>
      <w:bookmarkStart w:id="327" w:name="_Toc150480769"/>
      <w:r/>
      <w:bookmarkStart w:id="328" w:name="_Toc264969221"/>
      <w:r/>
      <w:bookmarkStart w:id="329" w:name="_Toc265228369"/>
      <w:r/>
      <w:bookmarkStart w:id="330" w:name="_Toc151193629"/>
      <w:r/>
      <w:bookmarkStart w:id="331" w:name="_Toc127151531"/>
      <w:r/>
      <w:bookmarkStart w:id="332" w:name="_Toc164229226"/>
      <w:r/>
      <w:bookmarkStart w:id="333" w:name="_Toc151193919"/>
      <w:r/>
      <w:bookmarkStart w:id="334" w:name="_Toc226309775"/>
      <w:r/>
      <w:bookmarkStart w:id="335" w:name="_Toc164229372"/>
      <w:r/>
      <w:bookmarkStart w:id="336" w:name="_Toc305158799"/>
      <w:r/>
      <w:bookmarkStart w:id="337" w:name="_Toc127151732"/>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129"/>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0480770"/>
      <w:r/>
      <w:bookmarkStart w:id="339" w:name="_Toc151193630"/>
      <w:r/>
      <w:bookmarkStart w:id="340" w:name="_Toc520356157"/>
      <w:r/>
      <w:bookmarkStart w:id="341" w:name="_Toc226965805"/>
      <w:r/>
      <w:bookmarkStart w:id="342" w:name="_Toc149720825"/>
      <w:r/>
      <w:bookmarkStart w:id="343" w:name="_Toc151193920"/>
      <w:r/>
      <w:bookmarkStart w:id="344" w:name="_Toc226309776"/>
      <w:r/>
      <w:bookmarkStart w:id="345" w:name="_Toc142311034"/>
      <w:r/>
      <w:bookmarkStart w:id="346" w:name="_Toc164229227"/>
      <w:r/>
      <w:bookmarkStart w:id="347" w:name="_Toc150774737"/>
      <w:r/>
      <w:bookmarkStart w:id="348" w:name="_Toc164351626"/>
      <w:r/>
      <w:bookmarkStart w:id="349" w:name="_Toc151193702"/>
      <w:r/>
      <w:bookmarkStart w:id="350" w:name="_Toc305158800"/>
      <w:r/>
      <w:bookmarkStart w:id="351" w:name="_Toc305158874"/>
      <w:r/>
      <w:bookmarkStart w:id="352" w:name="_Toc127151733"/>
      <w:r/>
      <w:bookmarkStart w:id="353" w:name="_Toc151193846"/>
      <w:r/>
      <w:bookmarkStart w:id="354" w:name="_Toc164608801"/>
      <w:r/>
      <w:bookmarkStart w:id="355" w:name="_Toc127161446"/>
      <w:r/>
      <w:bookmarkStart w:id="356" w:name="_Toc265228370"/>
      <w:r/>
      <w:bookmarkStart w:id="357" w:name="_Toc150774632"/>
      <w:r/>
      <w:bookmarkStart w:id="358" w:name="_Toc164229373"/>
      <w:r/>
      <w:bookmarkStart w:id="359" w:name="_Toc164608646"/>
      <w:r/>
      <w:bookmarkStart w:id="360" w:name="_Toc264969222"/>
      <w:r/>
      <w:bookmarkStart w:id="361" w:name="_Toc226337228"/>
      <w:r/>
      <w:bookmarkStart w:id="362" w:name="_Toc151193774"/>
      <w:r/>
      <w:bookmarkStart w:id="363" w:name="_Toc127151532"/>
      <w:r/>
      <w:bookmarkStart w:id="364" w:name="_Toc150509283"/>
      <w:r/>
      <w:bookmarkStart w:id="365" w:name="_Toc151190159"/>
      <w:r/>
      <w:bookmarkStart w:id="366" w:name="_Toc195842897"/>
      <w:r/>
      <w:bookmarkStart w:id="367" w:name="_Toc226965722"/>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64608647"/>
      <w:r/>
      <w:bookmarkStart w:id="369" w:name="_Toc151190160"/>
      <w:r/>
      <w:bookmarkStart w:id="370" w:name="_Toc226337229"/>
      <w:r/>
      <w:bookmarkStart w:id="371" w:name="_Toc520356158"/>
      <w:r/>
      <w:bookmarkStart w:id="372" w:name="_Toc164351627"/>
      <w:r/>
      <w:bookmarkStart w:id="373" w:name="_Toc226309777"/>
      <w:r/>
      <w:bookmarkStart w:id="374" w:name="_Toc127151734"/>
      <w:r/>
      <w:bookmarkStart w:id="375" w:name="_Toc151193631"/>
      <w:r/>
      <w:bookmarkStart w:id="376" w:name="_Toc195842898"/>
      <w:r/>
      <w:bookmarkStart w:id="377" w:name="_Toc226965806"/>
      <w:r/>
      <w:bookmarkStart w:id="378" w:name="_Toc265228371"/>
      <w:r/>
      <w:bookmarkStart w:id="379" w:name="_Toc164229374"/>
      <w:r/>
      <w:bookmarkStart w:id="380" w:name="_Toc305158801"/>
      <w:r/>
      <w:bookmarkStart w:id="381" w:name="_Toc150774633"/>
      <w:r/>
      <w:bookmarkStart w:id="382" w:name="_Toc151193847"/>
      <w:r/>
      <w:bookmarkStart w:id="383" w:name="_Toc226965723"/>
      <w:r/>
      <w:bookmarkStart w:id="384" w:name="_Toc305158875"/>
      <w:r/>
      <w:bookmarkStart w:id="385" w:name="_Toc127151533"/>
      <w:r/>
      <w:bookmarkStart w:id="386" w:name="_Toc127161447"/>
      <w:r/>
      <w:bookmarkStart w:id="387" w:name="_Toc151193775"/>
      <w:r/>
      <w:bookmarkStart w:id="388" w:name="_Toc151193703"/>
      <w:r/>
      <w:bookmarkStart w:id="389" w:name="_Toc150509284"/>
      <w:r/>
      <w:bookmarkStart w:id="390" w:name="_Toc150774738"/>
      <w:r/>
      <w:bookmarkStart w:id="391" w:name="_Toc264969223"/>
      <w:r/>
      <w:bookmarkStart w:id="392" w:name="_Toc142311035"/>
      <w:r/>
      <w:bookmarkStart w:id="393" w:name="_Toc150480771"/>
      <w:r/>
      <w:bookmarkStart w:id="394" w:name="_Toc149720826"/>
      <w:r/>
      <w:bookmarkStart w:id="395" w:name="_Toc164608802"/>
      <w:r/>
      <w:bookmarkStart w:id="396" w:name="_Toc164229228"/>
      <w:r/>
      <w:bookmarkStart w:id="397" w:name="_Toc151193921"/>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848"/>
      <w:r/>
      <w:bookmarkStart w:id="399" w:name="_Toc127151534"/>
      <w:r/>
      <w:bookmarkStart w:id="400" w:name="_Toc151193776"/>
      <w:r/>
      <w:bookmarkStart w:id="401" w:name="_Toc226965724"/>
      <w:r/>
      <w:bookmarkStart w:id="402" w:name="_Toc195842899"/>
      <w:r/>
      <w:bookmarkStart w:id="403" w:name="_Toc226337230"/>
      <w:r/>
      <w:bookmarkStart w:id="404" w:name="_Toc305158802"/>
      <w:r/>
      <w:bookmarkStart w:id="405" w:name="_Toc305158876"/>
      <w:r/>
      <w:bookmarkStart w:id="406" w:name="_Toc150774634"/>
      <w:r/>
      <w:bookmarkStart w:id="407" w:name="_Toc151193922"/>
      <w:r/>
      <w:bookmarkStart w:id="408" w:name="_Toc150774739"/>
      <w:r/>
      <w:bookmarkStart w:id="409" w:name="_Toc226965807"/>
      <w:r/>
      <w:bookmarkStart w:id="410" w:name="_Toc150509285"/>
      <w:r/>
      <w:bookmarkStart w:id="411" w:name="_Toc150480772"/>
      <w:r/>
      <w:bookmarkStart w:id="412" w:name="_Toc264969224"/>
      <w:r/>
      <w:bookmarkStart w:id="413" w:name="_Toc226309778"/>
      <w:r/>
      <w:bookmarkStart w:id="414" w:name="_Toc151193632"/>
      <w:r/>
      <w:bookmarkStart w:id="415" w:name="_Toc520356159"/>
      <w:r/>
      <w:bookmarkStart w:id="416" w:name="_Toc151193704"/>
      <w:r/>
      <w:bookmarkStart w:id="417" w:name="_Toc151190161"/>
      <w:r/>
      <w:bookmarkStart w:id="418" w:name="_Toc142311036"/>
      <w:r/>
      <w:bookmarkStart w:id="419" w:name="_Toc26522837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129"/>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131"/>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226965808"/>
      <w:r/>
      <w:bookmarkStart w:id="421" w:name="_Toc150774635"/>
      <w:r/>
      <w:bookmarkStart w:id="422" w:name="_Toc164608649"/>
      <w:r/>
      <w:bookmarkStart w:id="423" w:name="_Toc150509286"/>
      <w:r/>
      <w:bookmarkStart w:id="424" w:name="_Toc305158877"/>
      <w:r/>
      <w:bookmarkStart w:id="425" w:name="_Toc127161449"/>
      <w:r/>
      <w:bookmarkStart w:id="426" w:name="_Toc264969225"/>
      <w:r/>
      <w:bookmarkStart w:id="427" w:name="_Toc164229376"/>
      <w:r/>
      <w:bookmarkStart w:id="428" w:name="_Toc226965725"/>
      <w:r/>
      <w:bookmarkStart w:id="429" w:name="_Toc151193923"/>
      <w:r/>
      <w:bookmarkStart w:id="430" w:name="_Toc127151736"/>
      <w:r/>
      <w:bookmarkStart w:id="431" w:name="_Toc151193705"/>
      <w:r/>
      <w:bookmarkStart w:id="432" w:name="_Toc520356160"/>
      <w:r/>
      <w:bookmarkStart w:id="433" w:name="_Toc150774740"/>
      <w:r/>
      <w:bookmarkStart w:id="434" w:name="_Toc149720828"/>
      <w:r/>
      <w:bookmarkStart w:id="435" w:name="_Toc226337231"/>
      <w:r/>
      <w:bookmarkStart w:id="436" w:name="_Toc164608804"/>
      <w:r/>
      <w:bookmarkStart w:id="437" w:name="_Toc151193633"/>
      <w:r/>
      <w:bookmarkStart w:id="438" w:name="_Toc150480773"/>
      <w:r/>
      <w:bookmarkStart w:id="439" w:name="_Toc265228373"/>
      <w:r/>
      <w:bookmarkStart w:id="440" w:name="_Toc151190162"/>
      <w:r/>
      <w:bookmarkStart w:id="441" w:name="_Toc142311037"/>
      <w:r/>
      <w:bookmarkStart w:id="442" w:name="_Toc127151535"/>
      <w:r/>
      <w:bookmarkStart w:id="443" w:name="_Toc151193777"/>
      <w:r/>
      <w:bookmarkStart w:id="444" w:name="_Toc305158803"/>
      <w:r/>
      <w:bookmarkStart w:id="445" w:name="_Toc195842900"/>
      <w:r/>
      <w:bookmarkStart w:id="446" w:name="_Toc164351629"/>
      <w:r/>
      <w:bookmarkStart w:id="447" w:name="_Toc151193849"/>
      <w:r/>
      <w:bookmarkStart w:id="448" w:name="_Toc226309779"/>
      <w:r/>
      <w:bookmarkStart w:id="449" w:name="_Toc164229230"/>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1193706"/>
      <w:r/>
      <w:bookmarkStart w:id="451" w:name="_Toc226337232"/>
      <w:r/>
      <w:bookmarkStart w:id="452" w:name="_Toc195842901"/>
      <w:r/>
      <w:bookmarkStart w:id="453" w:name="_Toc164351630"/>
      <w:r/>
      <w:bookmarkStart w:id="454" w:name="_Toc151193850"/>
      <w:r/>
      <w:bookmarkStart w:id="455" w:name="_Toc151193778"/>
      <w:r/>
      <w:bookmarkStart w:id="456" w:name="_Toc127151737"/>
      <w:r/>
      <w:bookmarkStart w:id="457" w:name="_Toc151190163"/>
      <w:r/>
      <w:bookmarkStart w:id="458" w:name="_Toc150509287"/>
      <w:r/>
      <w:bookmarkStart w:id="459" w:name="_Toc305158878"/>
      <w:r/>
      <w:bookmarkStart w:id="460" w:name="_Toc305158804"/>
      <w:r/>
      <w:bookmarkStart w:id="461" w:name="_Toc520356161"/>
      <w:r/>
      <w:bookmarkStart w:id="462" w:name="_Toc164608650"/>
      <w:r/>
      <w:bookmarkStart w:id="463" w:name="_Toc151193924"/>
      <w:r/>
      <w:bookmarkStart w:id="464" w:name="_Toc150480774"/>
      <w:r/>
      <w:bookmarkStart w:id="465" w:name="_Toc264969226"/>
      <w:r/>
      <w:bookmarkStart w:id="466" w:name="_Toc127161450"/>
      <w:r/>
      <w:bookmarkStart w:id="467" w:name="_Toc226965726"/>
      <w:r/>
      <w:bookmarkStart w:id="468" w:name="_Toc149720829"/>
      <w:r/>
      <w:bookmarkStart w:id="469" w:name="_Toc226965809"/>
      <w:r/>
      <w:bookmarkStart w:id="470" w:name="_Toc150774636"/>
      <w:r/>
      <w:bookmarkStart w:id="471" w:name="_Toc164608805"/>
      <w:r/>
      <w:bookmarkStart w:id="472" w:name="_Toc164229377"/>
      <w:r/>
      <w:bookmarkStart w:id="473" w:name="_Toc127151536"/>
      <w:r/>
      <w:bookmarkStart w:id="474" w:name="_Toc265228374"/>
      <w:r/>
      <w:bookmarkStart w:id="475" w:name="_Toc151193634"/>
      <w:r/>
      <w:bookmarkStart w:id="476" w:name="_Toc142311038"/>
      <w:r/>
      <w:bookmarkStart w:id="477" w:name="_Toc150774741"/>
      <w:r/>
      <w:bookmarkStart w:id="478" w:name="_Toc226309780"/>
      <w:r/>
      <w:bookmarkStart w:id="479" w:name="_Toc164229231"/>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226337233"/>
      <w:r/>
      <w:bookmarkStart w:id="481" w:name="_Toc151193925"/>
      <w:r/>
      <w:bookmarkStart w:id="482" w:name="_Toc305158805"/>
      <w:r/>
      <w:bookmarkStart w:id="483" w:name="_Toc164229378"/>
      <w:r/>
      <w:bookmarkStart w:id="484" w:name="_Toc149720830"/>
      <w:r/>
      <w:bookmarkStart w:id="485" w:name="_Toc150480775"/>
      <w:r/>
      <w:bookmarkStart w:id="486" w:name="_Toc150509288"/>
      <w:r/>
      <w:bookmarkStart w:id="487" w:name="_Toc127161451"/>
      <w:r/>
      <w:bookmarkStart w:id="488" w:name="_Toc164608806"/>
      <w:r/>
      <w:bookmarkStart w:id="489" w:name="_Toc264969227"/>
      <w:r/>
      <w:bookmarkStart w:id="490" w:name="_Toc305158879"/>
      <w:r/>
      <w:bookmarkStart w:id="491" w:name="_Toc265228375"/>
      <w:r/>
      <w:bookmarkStart w:id="492" w:name="_Toc226965727"/>
      <w:r/>
      <w:bookmarkStart w:id="493" w:name="_Toc142311039"/>
      <w:r/>
      <w:bookmarkStart w:id="494" w:name="_Toc150774742"/>
      <w:r/>
      <w:bookmarkStart w:id="495" w:name="_Toc151193851"/>
      <w:r/>
      <w:bookmarkStart w:id="496" w:name="_Toc164229232"/>
      <w:r/>
      <w:bookmarkStart w:id="497" w:name="_Toc150774637"/>
      <w:r/>
      <w:bookmarkStart w:id="498" w:name="_Toc226965810"/>
      <w:r/>
      <w:bookmarkStart w:id="499" w:name="_Toc195842902"/>
      <w:r/>
      <w:bookmarkStart w:id="500" w:name="_Toc151193779"/>
      <w:r/>
      <w:bookmarkStart w:id="501" w:name="_Toc151190164"/>
      <w:r/>
      <w:bookmarkStart w:id="502" w:name="_Toc164608651"/>
      <w:r/>
      <w:bookmarkStart w:id="503" w:name="_Toc127151537"/>
      <w:r/>
      <w:bookmarkStart w:id="504" w:name="_Toc164351631"/>
      <w:r/>
      <w:bookmarkStart w:id="505" w:name="_Toc520356162"/>
      <w:r/>
      <w:bookmarkStart w:id="506" w:name="_Toc127151738"/>
      <w:r/>
      <w:bookmarkStart w:id="507" w:name="_Toc151193635"/>
      <w:r/>
      <w:bookmarkStart w:id="508" w:name="_Toc151193707"/>
      <w:r/>
      <w:bookmarkStart w:id="509" w:name="_Toc226309781"/>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31"/>
        <w:ind w:firstLine="562"/>
        <w:spacing w:before="0" w:line="360" w:lineRule="auto"/>
        <w:rPr>
          <w:rFonts w:hint="eastAsia" w:ascii="宋体" w:hAnsi="宋体" w:eastAsia="宋体" w:cs="宋体"/>
          <w:color w:val="000000"/>
          <w:sz w:val="28"/>
          <w:highlight w:val="none"/>
        </w:rPr>
      </w:pPr>
      <w:r/>
      <w:bookmarkStart w:id="510" w:name="_Toc151193852"/>
      <w:r/>
      <w:bookmarkStart w:id="511" w:name="_Toc150774743"/>
      <w:r/>
      <w:bookmarkStart w:id="512" w:name="_Toc151193708"/>
      <w:r/>
      <w:bookmarkStart w:id="513" w:name="_Toc151193926"/>
      <w:r/>
      <w:bookmarkStart w:id="514" w:name="_Toc226965728"/>
      <w:r/>
      <w:bookmarkStart w:id="515" w:name="_Toc195842903"/>
      <w:r/>
      <w:bookmarkStart w:id="516" w:name="_Toc127151538"/>
      <w:r/>
      <w:bookmarkStart w:id="517" w:name="_Toc226337234"/>
      <w:r/>
      <w:bookmarkStart w:id="518" w:name="_Toc226309782"/>
      <w:r/>
      <w:bookmarkStart w:id="519" w:name="_Toc226965811"/>
      <w:r/>
      <w:bookmarkStart w:id="520" w:name="_Toc151193780"/>
      <w:r/>
      <w:bookmarkStart w:id="521" w:name="_Toc264969228"/>
      <w:r/>
      <w:bookmarkStart w:id="522" w:name="_Toc305158880"/>
      <w:r/>
      <w:bookmarkStart w:id="523" w:name="_Toc150774638"/>
      <w:r/>
      <w:bookmarkStart w:id="524" w:name="_Toc265228376"/>
      <w:r/>
      <w:bookmarkStart w:id="525" w:name="_Toc150480776"/>
      <w:r/>
      <w:bookmarkStart w:id="526" w:name="_Toc520356163"/>
      <w:r/>
      <w:bookmarkStart w:id="527" w:name="_Toc305158806"/>
      <w:r/>
      <w:bookmarkStart w:id="528" w:name="_Toc142311040"/>
      <w:r/>
      <w:bookmarkStart w:id="529" w:name="_Toc150509289"/>
      <w:r/>
      <w:bookmarkStart w:id="530" w:name="_Toc151190165"/>
      <w:r/>
      <w:bookmarkStart w:id="531" w:name="_Toc15119363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265228377"/>
      <w:r/>
      <w:bookmarkStart w:id="533" w:name="_Toc150480777"/>
      <w:r/>
      <w:bookmarkStart w:id="534" w:name="_Toc164608653"/>
      <w:r/>
      <w:bookmarkStart w:id="535" w:name="_Toc150774744"/>
      <w:r/>
      <w:bookmarkStart w:id="536" w:name="_Toc127151740"/>
      <w:r/>
      <w:bookmarkStart w:id="537" w:name="_Toc127151539"/>
      <w:r/>
      <w:bookmarkStart w:id="538" w:name="_Toc164351633"/>
      <w:r/>
      <w:bookmarkStart w:id="539" w:name="_Toc151193853"/>
      <w:r/>
      <w:bookmarkStart w:id="540" w:name="_Toc151190166"/>
      <w:r/>
      <w:bookmarkStart w:id="541" w:name="_Toc151193927"/>
      <w:r/>
      <w:bookmarkStart w:id="542" w:name="_Toc226309783"/>
      <w:r/>
      <w:bookmarkStart w:id="543" w:name="_Toc150774639"/>
      <w:r/>
      <w:bookmarkStart w:id="544" w:name="_Toc127161453"/>
      <w:r/>
      <w:bookmarkStart w:id="545" w:name="_Toc195842904"/>
      <w:r/>
      <w:bookmarkStart w:id="546" w:name="_Toc305158881"/>
      <w:r/>
      <w:bookmarkStart w:id="547" w:name="_Toc520356164"/>
      <w:r/>
      <w:bookmarkStart w:id="548" w:name="_Toc151193637"/>
      <w:r/>
      <w:bookmarkStart w:id="549" w:name="_Toc264969229"/>
      <w:r/>
      <w:bookmarkStart w:id="550" w:name="_Toc226965729"/>
      <w:r/>
      <w:bookmarkStart w:id="551" w:name="_Toc226337235"/>
      <w:r/>
      <w:bookmarkStart w:id="552" w:name="_Toc151193709"/>
      <w:r/>
      <w:bookmarkStart w:id="553" w:name="_Toc164229234"/>
      <w:r/>
      <w:bookmarkStart w:id="554" w:name="_Toc149720832"/>
      <w:r/>
      <w:bookmarkStart w:id="555" w:name="_Toc164229380"/>
      <w:r/>
      <w:bookmarkStart w:id="556" w:name="_Toc142311041"/>
      <w:r/>
      <w:bookmarkStart w:id="557" w:name="_Toc164608808"/>
      <w:r/>
      <w:bookmarkStart w:id="558" w:name="_Toc305158807"/>
      <w:r/>
      <w:bookmarkStart w:id="559" w:name="_Toc150509290"/>
      <w:r/>
      <w:bookmarkStart w:id="560" w:name="_Toc226965812"/>
      <w:r/>
      <w:bookmarkStart w:id="561" w:name="_Toc151193781"/>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129"/>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12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12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12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12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129"/>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49720833"/>
      <w:r/>
      <w:bookmarkStart w:id="564" w:name="_Toc127151741"/>
      <w:r/>
      <w:bookmarkStart w:id="565" w:name="_Toc305158808"/>
      <w:r/>
      <w:bookmarkStart w:id="566" w:name="_Toc195842905"/>
      <w:r/>
      <w:bookmarkStart w:id="567" w:name="_Toc164608809"/>
      <w:r/>
      <w:bookmarkStart w:id="568" w:name="_Toc226965813"/>
      <w:r/>
      <w:bookmarkStart w:id="569" w:name="_Toc150774745"/>
      <w:r/>
      <w:bookmarkStart w:id="570" w:name="_Toc150774640"/>
      <w:r/>
      <w:bookmarkStart w:id="571" w:name="_Toc164229235"/>
      <w:r/>
      <w:bookmarkStart w:id="572" w:name="_Toc305158882"/>
      <w:r/>
      <w:bookmarkStart w:id="573" w:name="_Toc264969230"/>
      <w:r/>
      <w:bookmarkStart w:id="574" w:name="_Toc226965730"/>
      <w:r/>
      <w:bookmarkStart w:id="575" w:name="_Toc151190167"/>
      <w:r/>
      <w:bookmarkStart w:id="576" w:name="_Toc151193710"/>
      <w:r/>
      <w:bookmarkStart w:id="577" w:name="_Toc151193638"/>
      <w:r/>
      <w:bookmarkStart w:id="578" w:name="_Toc164229381"/>
      <w:r/>
      <w:bookmarkStart w:id="579" w:name="_Toc127151540"/>
      <w:r/>
      <w:bookmarkStart w:id="580" w:name="_Toc142311042"/>
      <w:r/>
      <w:bookmarkStart w:id="581" w:name="_Toc151193854"/>
      <w:r/>
      <w:bookmarkStart w:id="582" w:name="_Toc226309784"/>
      <w:r/>
      <w:bookmarkStart w:id="583" w:name="_Toc151193782"/>
      <w:r/>
      <w:bookmarkStart w:id="584" w:name="_Toc164351634"/>
      <w:r/>
      <w:bookmarkStart w:id="585" w:name="_Toc151193928"/>
      <w:r/>
      <w:bookmarkStart w:id="586" w:name="_Toc150480778"/>
      <w:r/>
      <w:bookmarkStart w:id="587" w:name="_Toc127161454"/>
      <w:r/>
      <w:bookmarkStart w:id="588" w:name="_Toc150509291"/>
      <w:r/>
      <w:bookmarkStart w:id="589" w:name="_Toc265228378"/>
      <w:r/>
      <w:bookmarkStart w:id="590" w:name="_Toc226337236"/>
      <w:r/>
      <w:bookmarkStart w:id="591" w:name="_Toc164608654"/>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129"/>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131"/>
        <w:ind w:firstLine="562"/>
        <w:spacing w:before="0" w:line="360" w:lineRule="auto"/>
        <w:rPr>
          <w:rFonts w:hint="eastAsia" w:ascii="宋体" w:hAnsi="宋体" w:eastAsia="宋体" w:cs="宋体"/>
          <w:color w:val="000000"/>
          <w:sz w:val="28"/>
          <w:highlight w:val="none"/>
        </w:rPr>
      </w:pPr>
      <w:r/>
      <w:bookmarkStart w:id="594" w:name="_Toc226337241"/>
      <w:r/>
      <w:bookmarkStart w:id="595" w:name="_Toc305158887"/>
      <w:r/>
      <w:bookmarkStart w:id="596" w:name="_Toc150480783"/>
      <w:r/>
      <w:bookmarkStart w:id="597" w:name="_Toc151193859"/>
      <w:r/>
      <w:bookmarkStart w:id="598" w:name="_Toc151190172"/>
      <w:r/>
      <w:bookmarkStart w:id="599" w:name="_Toc226309789"/>
      <w:r/>
      <w:bookmarkStart w:id="600" w:name="_Toc226965818"/>
      <w:r/>
      <w:bookmarkStart w:id="601" w:name="_Toc151193787"/>
      <w:r/>
      <w:bookmarkStart w:id="602" w:name="_Toc150774750"/>
      <w:r/>
      <w:bookmarkStart w:id="603" w:name="_Toc195842910"/>
      <w:r/>
      <w:bookmarkStart w:id="604" w:name="_Toc264969235"/>
      <w:r/>
      <w:bookmarkStart w:id="605" w:name="_Toc142311047"/>
      <w:r/>
      <w:bookmarkStart w:id="606" w:name="_Toc150509296"/>
      <w:r/>
      <w:bookmarkStart w:id="607" w:name="_Toc151193643"/>
      <w:r/>
      <w:bookmarkStart w:id="608" w:name="_Toc305158813"/>
      <w:r/>
      <w:bookmarkStart w:id="609" w:name="_Toc151193715"/>
      <w:r/>
      <w:bookmarkStart w:id="610" w:name="_Toc226965735"/>
      <w:r/>
      <w:bookmarkStart w:id="611" w:name="_Toc150774645"/>
      <w:r/>
      <w:bookmarkStart w:id="612" w:name="_Toc265228383"/>
      <w:r/>
      <w:bookmarkStart w:id="613" w:name="_Toc127151545"/>
      <w:r/>
      <w:bookmarkStart w:id="614" w:name="_Toc151193933"/>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351641"/>
      <w:r/>
      <w:bookmarkStart w:id="616" w:name="_Toc164229388"/>
      <w:r/>
      <w:bookmarkStart w:id="617" w:name="_Toc127161461"/>
      <w:r/>
      <w:bookmarkStart w:id="618" w:name="_Toc150509298"/>
      <w:r/>
      <w:bookmarkStart w:id="619" w:name="_Toc150774647"/>
      <w:r/>
      <w:bookmarkStart w:id="620" w:name="_Toc226309791"/>
      <w:r/>
      <w:bookmarkStart w:id="621" w:name="_Toc127151547"/>
      <w:r/>
      <w:bookmarkStart w:id="622" w:name="_Toc149720840"/>
      <w:r/>
      <w:bookmarkStart w:id="623" w:name="_Toc195842912"/>
      <w:r/>
      <w:bookmarkStart w:id="624" w:name="_Toc265228385"/>
      <w:r/>
      <w:bookmarkStart w:id="625" w:name="_Toc151193861"/>
      <w:r/>
      <w:bookmarkStart w:id="626" w:name="_Toc150480785"/>
      <w:r/>
      <w:bookmarkStart w:id="627" w:name="_Toc151193717"/>
      <w:r/>
      <w:bookmarkStart w:id="628" w:name="_Toc164608661"/>
      <w:r/>
      <w:bookmarkStart w:id="629" w:name="_Toc226337243"/>
      <w:r/>
      <w:bookmarkStart w:id="630" w:name="_Toc164229242"/>
      <w:r/>
      <w:bookmarkStart w:id="631" w:name="_Toc305158889"/>
      <w:r/>
      <w:bookmarkStart w:id="632" w:name="_Toc150774752"/>
      <w:r/>
      <w:bookmarkStart w:id="633" w:name="_Toc142311049"/>
      <w:r/>
      <w:bookmarkStart w:id="634" w:name="_Toc305158815"/>
      <w:r/>
      <w:bookmarkStart w:id="635" w:name="_Toc226965737"/>
      <w:r/>
      <w:bookmarkStart w:id="636" w:name="_Toc151193935"/>
      <w:r/>
      <w:bookmarkStart w:id="637" w:name="_Toc127151748"/>
      <w:r/>
      <w:bookmarkStart w:id="638" w:name="_Toc151193789"/>
      <w:r/>
      <w:bookmarkStart w:id="639" w:name="_Toc151190174"/>
      <w:r/>
      <w:bookmarkStart w:id="640" w:name="_Toc164608816"/>
      <w:r/>
      <w:bookmarkStart w:id="641" w:name="_Toc226965820"/>
      <w:r/>
      <w:bookmarkStart w:id="642" w:name="_Toc151193645"/>
      <w:r/>
      <w:bookmarkStart w:id="643" w:name="_Toc264969237"/>
      <w:r>
        <w:rPr>
          <w:rFonts w:hint="eastAsia" w:ascii="宋体" w:hAnsi="宋体" w:eastAsia="宋体" w:cs="宋体"/>
          <w:color w:val="000000"/>
          <w:sz w:val="28"/>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64608663"/>
      <w:r/>
      <w:bookmarkStart w:id="645" w:name="_Toc150509300"/>
      <w:r/>
      <w:bookmarkStart w:id="646" w:name="_Toc151193937"/>
      <w:r/>
      <w:bookmarkStart w:id="647" w:name="_Toc305158817"/>
      <w:r/>
      <w:bookmarkStart w:id="648" w:name="_Toc127161463"/>
      <w:r/>
      <w:bookmarkStart w:id="649" w:name="_Toc164229390"/>
      <w:r/>
      <w:bookmarkStart w:id="650" w:name="_Toc226965739"/>
      <w:r/>
      <w:bookmarkStart w:id="651" w:name="_Toc142311051"/>
      <w:r/>
      <w:bookmarkStart w:id="652" w:name="_Ref467307090"/>
      <w:r/>
      <w:bookmarkStart w:id="653" w:name="_Ref467306425"/>
      <w:r/>
      <w:bookmarkStart w:id="654" w:name="_Toc520356176"/>
      <w:r/>
      <w:bookmarkStart w:id="655" w:name="_Toc127151750"/>
      <w:r/>
      <w:bookmarkStart w:id="656" w:name="_Toc164229244"/>
      <w:r/>
      <w:bookmarkStart w:id="657" w:name="_Toc226337245"/>
      <w:r/>
      <w:bookmarkStart w:id="658" w:name="_Toc127151549"/>
      <w:r/>
      <w:bookmarkStart w:id="659" w:name="_Toc265228387"/>
      <w:r/>
      <w:bookmarkStart w:id="660" w:name="_Toc149720842"/>
      <w:r/>
      <w:bookmarkStart w:id="661" w:name="_Toc305158891"/>
      <w:r/>
      <w:bookmarkStart w:id="662" w:name="_Toc264969239"/>
      <w:r/>
      <w:bookmarkStart w:id="663" w:name="_Toc226965822"/>
      <w:r/>
      <w:bookmarkStart w:id="664" w:name="_Toc151193791"/>
      <w:r/>
      <w:bookmarkStart w:id="665" w:name="_Toc150774754"/>
      <w:r/>
      <w:bookmarkStart w:id="666" w:name="_Toc195842914"/>
      <w:r/>
      <w:bookmarkStart w:id="667" w:name="_Toc151193863"/>
      <w:r/>
      <w:bookmarkStart w:id="668" w:name="_Toc150774649"/>
      <w:r/>
      <w:bookmarkStart w:id="669" w:name="_Toc151193719"/>
      <w:r/>
      <w:bookmarkStart w:id="670" w:name="_Toc164608818"/>
      <w:r/>
      <w:bookmarkStart w:id="671" w:name="_Toc150480787"/>
      <w:r/>
      <w:bookmarkStart w:id="672" w:name="_Toc226309793"/>
      <w:r/>
      <w:bookmarkStart w:id="673" w:name="_Toc164351643"/>
      <w:r/>
      <w:bookmarkStart w:id="674" w:name="_Toc151193647"/>
      <w:r/>
      <w:bookmarkStart w:id="675" w:name="_Toc151190176"/>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129"/>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229245"/>
      <w:r/>
      <w:bookmarkStart w:id="677" w:name="_Toc305158818"/>
      <w:r/>
      <w:bookmarkStart w:id="678" w:name="_Toc164608819"/>
      <w:r/>
      <w:bookmarkStart w:id="679" w:name="_Toc150509301"/>
      <w:r/>
      <w:bookmarkStart w:id="680" w:name="_Toc151193648"/>
      <w:r/>
      <w:bookmarkStart w:id="681" w:name="_Toc226965740"/>
      <w:r/>
      <w:bookmarkStart w:id="682" w:name="_Toc150774755"/>
      <w:r/>
      <w:bookmarkStart w:id="683" w:name="_Toc151193938"/>
      <w:r/>
      <w:bookmarkStart w:id="684" w:name="_Toc150774650"/>
      <w:r/>
      <w:bookmarkStart w:id="685" w:name="_Toc127161464"/>
      <w:r/>
      <w:bookmarkStart w:id="686" w:name="_Ref467307062"/>
      <w:r/>
      <w:bookmarkStart w:id="687" w:name="_Toc151193864"/>
      <w:r/>
      <w:bookmarkStart w:id="688" w:name="_Toc226965823"/>
      <w:r/>
      <w:bookmarkStart w:id="689" w:name="_Toc142311052"/>
      <w:r/>
      <w:bookmarkStart w:id="690" w:name="_Toc150480788"/>
      <w:r/>
      <w:bookmarkStart w:id="691" w:name="_Toc226309794"/>
      <w:r/>
      <w:bookmarkStart w:id="692" w:name="_Toc164351644"/>
      <w:r/>
      <w:bookmarkStart w:id="693" w:name="_Toc164608664"/>
      <w:r/>
      <w:bookmarkStart w:id="694" w:name="_Toc195842915"/>
      <w:r/>
      <w:bookmarkStart w:id="695" w:name="_Toc127151550"/>
      <w:r/>
      <w:bookmarkStart w:id="696" w:name="_Ref467307204"/>
      <w:r/>
      <w:bookmarkStart w:id="697" w:name="_Toc127151751"/>
      <w:r/>
      <w:bookmarkStart w:id="698" w:name="_Toc264969240"/>
      <w:r/>
      <w:bookmarkStart w:id="699" w:name="_Toc226337246"/>
      <w:r/>
      <w:bookmarkStart w:id="700" w:name="_Toc149720843"/>
      <w:r/>
      <w:bookmarkStart w:id="701" w:name="_Toc151193720"/>
      <w:r/>
      <w:bookmarkStart w:id="702" w:name="_Toc151190177"/>
      <w:r/>
      <w:bookmarkStart w:id="703" w:name="_Toc151193792"/>
      <w:r/>
      <w:bookmarkStart w:id="704" w:name="_Ref467306377"/>
      <w:r/>
      <w:bookmarkStart w:id="705" w:name="_Toc520356175"/>
      <w:r/>
      <w:bookmarkStart w:id="706" w:name="_Ref467306978"/>
      <w:r/>
      <w:bookmarkStart w:id="707" w:name="_Toc305158892"/>
      <w:r/>
      <w:bookmarkStart w:id="708" w:name="_Toc265228388"/>
      <w:r/>
      <w:bookmarkStart w:id="709" w:name="_Toc164229391"/>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129"/>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204"/>
          <w:rFonts w:hint="eastAsia" w:ascii="宋体" w:hAnsi="宋体" w:cs="宋体"/>
          <w:color w:val="000000"/>
          <w:highlight w:val="none"/>
        </w:rPr>
        <w:t xml:space="preserve">http://gk</w:t>
      </w:r>
      <w:bookmarkStart w:id="710" w:name="_Hlt100654014"/>
      <w:r>
        <w:rPr>
          <w:rStyle w:val="1204"/>
          <w:rFonts w:hint="eastAsia" w:ascii="宋体" w:hAnsi="宋体" w:cs="宋体"/>
          <w:color w:val="000000"/>
          <w:highlight w:val="none"/>
        </w:rPr>
        <w:t xml:space="preserve">s</w:t>
      </w:r>
      <w:bookmarkEnd w:id="710"/>
      <w:r>
        <w:rPr>
          <w:rStyle w:val="1204"/>
          <w:rFonts w:hint="eastAsia" w:ascii="宋体" w:hAnsi="宋体" w:cs="宋体"/>
          <w:color w:val="000000"/>
          <w:highlight w:val="none"/>
        </w:rPr>
        <w:t xml:space="preserve">.m</w:t>
      </w:r>
      <w:bookmarkStart w:id="711" w:name="_Hlt100653994"/>
      <w:r/>
      <w:bookmarkStart w:id="712" w:name="_Hlt100653993"/>
      <w:r>
        <w:rPr>
          <w:rStyle w:val="1204"/>
          <w:rFonts w:hint="eastAsia" w:ascii="宋体" w:hAnsi="宋体" w:cs="宋体"/>
          <w:color w:val="000000"/>
          <w:highlight w:val="none"/>
        </w:rPr>
        <w:t xml:space="preserve">o</w:t>
      </w:r>
      <w:bookmarkEnd w:id="711"/>
      <w:r/>
      <w:bookmarkEnd w:id="712"/>
      <w:r>
        <w:rPr>
          <w:rStyle w:val="1204"/>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129"/>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129"/>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129"/>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129"/>
        <w:jc w:val="center"/>
        <w:spacing w:line="360" w:lineRule="auto"/>
        <w:rPr>
          <w:rFonts w:hint="eastAsia" w:ascii="宋体" w:hAnsi="宋体" w:cs="宋体"/>
          <w:b/>
          <w:color w:val="000000"/>
          <w:sz w:val="36"/>
          <w:szCs w:val="36"/>
          <w:highlight w:val="none"/>
        </w:rPr>
        <w:outlineLvl w:val="0"/>
      </w:pPr>
      <w:r/>
      <w:bookmarkStart w:id="713" w:name="_Toc150480792"/>
      <w:r/>
      <w:bookmarkStart w:id="714" w:name="_Toc142311056"/>
      <w:r/>
      <w:bookmarkStart w:id="715" w:name="_Toc226337250"/>
      <w:r/>
      <w:bookmarkStart w:id="716" w:name="_Toc353873664"/>
      <w:r/>
      <w:bookmarkStart w:id="717" w:name="_Toc150774759"/>
      <w:r/>
      <w:bookmarkStart w:id="718" w:name="_Toc305158896"/>
      <w:r/>
      <w:bookmarkStart w:id="719" w:name="_Toc305158822"/>
      <w:r/>
      <w:bookmarkStart w:id="720" w:name="_Toc265228392"/>
      <w:r/>
      <w:bookmarkStart w:id="721" w:name="_Toc127151554"/>
      <w:r/>
      <w:bookmarkStart w:id="722" w:name="_Toc353873934"/>
      <w:r/>
      <w:bookmarkStart w:id="723" w:name="_Toc226965827"/>
      <w:r/>
      <w:bookmarkStart w:id="724" w:name="_Toc264969244"/>
      <w:r/>
      <w:bookmarkStart w:id="725" w:name="_Toc353825544"/>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129"/>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129"/>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129"/>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129"/>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129"/>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129"/>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12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12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12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129"/>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cs="宋体"/>
                <w:color w:val="000000"/>
                <w:sz w:val="24"/>
                <w:highlight w:val="none"/>
              </w:rPr>
            </w:r>
            <w:r/>
          </w:p>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color w:val="000000"/>
                <w:sz w:val="24"/>
                <w:highlight w:val="none"/>
              </w:rPr>
            </w:r>
            <w:r/>
          </w:p>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color w:val="000000"/>
                <w:sz w:val="24"/>
                <w:highlight w:val="none"/>
              </w:rPr>
            </w:r>
            <w:r/>
          </w:p>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注2：残疾人福利性单位须按招标文件要求提供《残疾人福利性单位声明函》。</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12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112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129"/>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73940"/>
      <w:r/>
      <w:bookmarkStart w:id="732" w:name="_Toc353825550"/>
      <w:r/>
      <w:bookmarkStart w:id="733" w:name="_Toc127161490"/>
      <w:r/>
      <w:bookmarkStart w:id="734"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129"/>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129"/>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129"/>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64608810"/>
      <w:r/>
      <w:bookmarkStart w:id="738" w:name="_Toc151190168"/>
      <w:r/>
      <w:bookmarkStart w:id="739" w:name="_Toc151193929"/>
      <w:r/>
      <w:bookmarkStart w:id="740" w:name="_Toc127161455"/>
      <w:r/>
      <w:bookmarkStart w:id="741" w:name="_Toc226309785"/>
      <w:r/>
      <w:bookmarkStart w:id="742" w:name="_Toc127151742"/>
      <w:r/>
      <w:bookmarkStart w:id="743" w:name="_Toc195842906"/>
      <w:r/>
      <w:bookmarkStart w:id="744" w:name="_Toc142311043"/>
      <w:r/>
      <w:bookmarkStart w:id="745" w:name="_Toc226965731"/>
      <w:r/>
      <w:bookmarkStart w:id="746" w:name="_Toc150774746"/>
      <w:r/>
      <w:bookmarkStart w:id="747" w:name="_Toc164229236"/>
      <w:r/>
      <w:bookmarkStart w:id="748" w:name="_Toc151193783"/>
      <w:r/>
      <w:bookmarkStart w:id="749" w:name="_Toc151193711"/>
      <w:r/>
      <w:bookmarkStart w:id="750" w:name="_Toc151193855"/>
      <w:r/>
      <w:bookmarkStart w:id="751" w:name="_Toc164608655"/>
      <w:r/>
      <w:bookmarkStart w:id="752" w:name="_Toc264969231"/>
      <w:r/>
      <w:bookmarkStart w:id="753" w:name="_Toc150480779"/>
      <w:r/>
      <w:bookmarkStart w:id="754" w:name="_Toc305158809"/>
      <w:r/>
      <w:bookmarkStart w:id="755" w:name="_Toc164351635"/>
      <w:r/>
      <w:bookmarkStart w:id="756" w:name="_Toc265228379"/>
      <w:r/>
      <w:bookmarkStart w:id="757" w:name="_Toc226337237"/>
      <w:r/>
      <w:bookmarkStart w:id="758" w:name="_Toc127151541"/>
      <w:r/>
      <w:bookmarkStart w:id="759" w:name="_Toc150509292"/>
      <w:r/>
      <w:bookmarkStart w:id="760" w:name="_Toc149720834"/>
      <w:r/>
      <w:bookmarkStart w:id="761" w:name="_Toc164229382"/>
      <w:r/>
      <w:bookmarkStart w:id="762" w:name="_Toc150774641"/>
      <w:r/>
      <w:bookmarkStart w:id="763" w:name="_Toc305158883"/>
      <w:r/>
      <w:bookmarkStart w:id="764" w:name="_Toc226965814"/>
      <w:r/>
      <w:bookmarkStart w:id="765" w:name="_Toc151193639"/>
      <w:r/>
      <w:bookmarkStart w:id="766" w:name="_Toc353873941"/>
      <w:r/>
      <w:bookmarkStart w:id="767" w:name="_Toc353825551"/>
      <w:r/>
      <w:bookmarkStart w:id="768" w:name="_Toc353825545"/>
      <w:r/>
      <w:bookmarkStart w:id="769" w:name="_Toc353873935"/>
      <w:r/>
      <w:bookmarkStart w:id="770" w:name="_Toc226965828"/>
      <w:r/>
      <w:bookmarkStart w:id="771" w:name="_Toc305158823"/>
      <w:r/>
      <w:bookmarkStart w:id="772" w:name="_Toc195842920"/>
      <w:r/>
      <w:bookmarkStart w:id="773" w:name="_Toc127151555"/>
      <w:r/>
      <w:bookmarkStart w:id="774" w:name="_Toc150774760"/>
      <w:r/>
      <w:bookmarkStart w:id="775" w:name="_Toc265228393"/>
      <w:r/>
      <w:bookmarkStart w:id="776" w:name="_Toc353873665"/>
      <w:r/>
      <w:bookmarkStart w:id="777" w:name="_Toc142311057"/>
      <w:r/>
      <w:bookmarkStart w:id="778" w:name="_Toc305158897"/>
      <w:r/>
      <w:bookmarkStart w:id="779" w:name="_Toc264969245"/>
      <w:r/>
      <w:bookmarkStart w:id="780" w:name="_Toc150480793"/>
      <w:r/>
      <w:bookmarkStart w:id="781" w:name="_Toc226337251"/>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129"/>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129"/>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12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12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12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color w:val="000000"/>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color w:val="000000"/>
                <w:sz w:val="24"/>
                <w:highlight w:val="none"/>
              </w:rPr>
              <w:t xml:space="preserve">（包含使用同一MAC地址的计算机提交或者解密电子响应文件的情形）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12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12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129"/>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129"/>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w:t>
      </w:r>
      <w:r>
        <w:rPr>
          <w:rFonts w:hint="eastAsia" w:ascii="宋体" w:hAnsi="宋体" w:cs="宋体"/>
          <w:color w:val="000000"/>
          <w:sz w:val="24"/>
          <w:highlight w:val="none"/>
        </w:rPr>
        <w:t xml:space="preserve">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129"/>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129"/>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129"/>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129"/>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12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12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129"/>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w:t>
      </w:r>
      <w:r>
        <w:rPr>
          <w:rFonts w:hint="eastAsia" w:ascii="宋体" w:hAnsi="宋体" w:cs="宋体"/>
          <w:color w:val="000000"/>
          <w:sz w:val="24"/>
          <w:highlight w:val="none"/>
        </w:rPr>
        <w:t xml:space="preserve">招标文件要求提供了《残疾人福利性单位声明函》（见附件）的，视同小微企业。</w:t>
      </w:r>
      <w:r>
        <w:rPr>
          <w:rFonts w:hint="eastAsia" w:ascii="宋体" w:hAnsi="宋体" w:cs="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129"/>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129"/>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129"/>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12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12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w:t>
      </w:r>
      <w:r>
        <w:rPr>
          <w:rFonts w:hint="eastAsia" w:ascii="宋体" w:hAnsi="宋体" w:cs="宋体"/>
          <w:b/>
          <w:color w:val="000000"/>
          <w:sz w:val="24"/>
          <w:highlight w:val="none"/>
        </w:rPr>
        <w:t xml:space="preserve">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12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226309790"/>
      <w:r/>
      <w:bookmarkStart w:id="784" w:name="_Toc305158888"/>
      <w:r/>
      <w:bookmarkStart w:id="785" w:name="_Toc151193716"/>
      <w:r/>
      <w:bookmarkStart w:id="786" w:name="_Toc151190173"/>
      <w:r/>
      <w:bookmarkStart w:id="787" w:name="_Toc520356170"/>
      <w:r/>
      <w:bookmarkStart w:id="788" w:name="_Toc142311048"/>
      <w:r/>
      <w:bookmarkStart w:id="789" w:name="_Toc164608815"/>
      <w:r/>
      <w:bookmarkStart w:id="790" w:name="_Toc264969236"/>
      <w:r/>
      <w:bookmarkStart w:id="791" w:name="_Toc150774751"/>
      <w:r/>
      <w:bookmarkStart w:id="792" w:name="_Toc265228384"/>
      <w:r/>
      <w:bookmarkStart w:id="793" w:name="_Toc127151546"/>
      <w:r/>
      <w:bookmarkStart w:id="794" w:name="_Toc150774646"/>
      <w:r/>
      <w:bookmarkStart w:id="795" w:name="_Ref467307010"/>
      <w:r/>
      <w:bookmarkStart w:id="796" w:name="_Toc226965736"/>
      <w:r/>
      <w:bookmarkStart w:id="797" w:name="_Toc127151747"/>
      <w:r/>
      <w:bookmarkStart w:id="798" w:name="_Toc164229387"/>
      <w:r/>
      <w:bookmarkStart w:id="799" w:name="_Toc151193788"/>
      <w:r/>
      <w:bookmarkStart w:id="800" w:name="_Toc151193644"/>
      <w:r/>
      <w:bookmarkStart w:id="801" w:name="_Toc151193860"/>
      <w:r/>
      <w:bookmarkStart w:id="802" w:name="_Toc164351640"/>
      <w:r/>
      <w:bookmarkStart w:id="803" w:name="_Toc195842911"/>
      <w:r/>
      <w:bookmarkStart w:id="804" w:name="_Toc151193934"/>
      <w:r/>
      <w:bookmarkStart w:id="805" w:name="_Toc305158814"/>
      <w:r/>
      <w:bookmarkStart w:id="806" w:name="_Toc149720839"/>
      <w:r/>
      <w:bookmarkStart w:id="807" w:name="_Toc226337242"/>
      <w:r/>
      <w:bookmarkStart w:id="808" w:name="_Toc150509297"/>
      <w:r/>
      <w:bookmarkStart w:id="809" w:name="_Toc164608660"/>
      <w:r/>
      <w:bookmarkStart w:id="810" w:name="_Toc164229241"/>
      <w:r/>
      <w:bookmarkStart w:id="811" w:name="_Toc127161460"/>
      <w:r/>
      <w:bookmarkStart w:id="812" w:name="_Toc150480784"/>
      <w:r/>
      <w:bookmarkStart w:id="813" w:name="_Toc226965819"/>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68"/>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68"/>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129"/>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129"/>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129"/>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129"/>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129"/>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294"/>
        <w:gridCol w:w="808"/>
        <w:gridCol w:w="3521"/>
        <w:gridCol w:w="2159"/>
      </w:tblGrid>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2066"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266" w:type="dxa"/>
            <w:vAlign w:val="center"/>
            <w:textDirection w:val="lrTb"/>
            <w:noWrap w:val="false"/>
          </w:tcPr>
          <w:p>
            <w:pPr>
              <w:pStyle w:val="1373"/>
              <w:ind w:left="0"/>
              <w:keepLines w:val="0"/>
              <w:keepNext w:val="0"/>
              <w:pageBreakBefore w:val="0"/>
              <w:spacing w:before="0" w:after="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1"/>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color w:val="000000"/>
                <w:sz w:val="24"/>
                <w:szCs w:val="24"/>
                <w:highlight w:val="none"/>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3521" w:type="dxa"/>
            <w:vAlign w:val="center"/>
            <w:textDirection w:val="lrTb"/>
            <w:noWrap w:val="false"/>
          </w:tcPr>
          <w:p>
            <w:pPr>
              <w:pStyle w:val="1129"/>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129"/>
              <w:rPr>
                <w:rFonts w:hint="eastAsia" w:ascii="宋体" w:hAnsi="宋体" w:eastAsia="宋体" w:cs="宋体"/>
                <w:color w:val="000000"/>
                <w:sz w:val="24"/>
                <w:szCs w:val="24"/>
                <w:highlight w:val="none"/>
              </w:rPr>
            </w:pPr>
            <w:r>
              <w:rPr>
                <w:rFonts w:ascii="宋体" w:hAnsi="宋体"/>
                <w:color w:val="000000"/>
                <w:sz w:val="24"/>
                <w:highlight w:val="none"/>
              </w:rPr>
              <w:t xml:space="preserve">投标报价得分＝（评标基准价/投标报价）×分值。</w:t>
            </w:r>
            <w:r>
              <w:rPr>
                <w:rFonts w:hint="eastAsia" w:ascii="宋体" w:hAnsi="宋体" w:eastAsia="宋体" w:cs="宋体"/>
                <w:color w:val="000000"/>
                <w:sz w:val="24"/>
                <w:szCs w:val="24"/>
                <w:highlight w:val="none"/>
              </w:rPr>
            </w:r>
            <w:r/>
          </w:p>
        </w:tc>
        <w:tc>
          <w:tcPr>
            <w:tcW w:w="2159" w:type="dxa"/>
            <w:vAlign w:val="center"/>
            <w:textDirection w:val="lrTb"/>
            <w:noWrap w:val="false"/>
          </w:tcPr>
          <w:p>
            <w:pPr>
              <w:pStyle w:val="1129"/>
              <w:ind w:left="-38"/>
              <w:rPr>
                <w:rFonts w:hint="eastAsia" w:ascii="宋体" w:hAnsi="宋体" w:eastAsia="宋体" w:cs="宋体"/>
                <w:color w:val="000000"/>
                <w:sz w:val="24"/>
                <w:szCs w:val="24"/>
                <w:highlight w:val="none"/>
              </w:rPr>
            </w:pPr>
            <w:r>
              <w:rPr>
                <w:rFonts w:hint="eastAsia" w:ascii="宋体" w:hAnsi="宋体"/>
                <w:color w:val="000000"/>
                <w:sz w:val="24"/>
                <w:highlight w:val="none"/>
              </w:rPr>
              <w:t xml:space="preserve">此处投标报价指经过报价修正，及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及</w:t>
            </w:r>
            <w:r>
              <w:rPr>
                <w:rFonts w:ascii="宋体" w:hAnsi="宋体"/>
                <w:color w:val="000000"/>
                <w:sz w:val="24"/>
                <w:highlight w:val="none"/>
              </w:rPr>
              <w:t xml:space="preserve">2.5。</w:t>
            </w: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维保、运行、检修抢修实施方案</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维保、运行、检修抢修实施方案</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针对本项目</w:t>
            </w:r>
            <w:r>
              <w:rPr>
                <w:rFonts w:hint="eastAsia" w:ascii="宋体" w:hAnsi="宋体" w:cs="宋体"/>
                <w:color w:val="000000"/>
                <w:sz w:val="24"/>
                <w:szCs w:val="24"/>
                <w:highlight w:val="none"/>
                <w:lang w:eastAsia="zh-CN" w:bidi="ar"/>
              </w:rPr>
              <w:t xml:space="preserve">投标人</w:t>
            </w:r>
            <w:r>
              <w:rPr>
                <w:rFonts w:hint="eastAsia" w:ascii="宋体" w:hAnsi="宋体" w:cs="宋体"/>
                <w:color w:val="000000"/>
                <w:sz w:val="24"/>
                <w:szCs w:val="24"/>
                <w:highlight w:val="none"/>
                <w:lang w:bidi="ar"/>
              </w:rPr>
              <w:t xml:space="preserve">提供变电所运行维护总体管理设想，采提供总体服务和管理模式方案（须包含主要工作和任务）</w:t>
            </w:r>
            <w:r>
              <w:rPr>
                <w:rFonts w:hint="eastAsia"/>
                <w:color w:val="000000"/>
                <w:highlight w:val="none"/>
              </w:rPr>
              <w:t xml:space="preserve">，</w:t>
            </w:r>
            <w:r>
              <w:rPr>
                <w:rFonts w:hint="eastAsia" w:ascii="宋体" w:hAnsi="宋体" w:cs="宋体"/>
                <w:color w:val="000000"/>
                <w:sz w:val="24"/>
                <w:szCs w:val="24"/>
                <w:highlight w:val="none"/>
                <w:lang w:bidi="ar"/>
              </w:rPr>
              <w:t xml:space="preserve">实施过程中的维修保养、变电所运行、检修抢修等内容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方案详细具体，针对性、可操作性强，思路合理，得</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分；方案较详细，针对性、可操作性较强，思路较合理，得</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分；方案简单，针对性、可操作性一般，思路可行性不高，得</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分；方案可操作较差，思路不尽合理，制作方案较差，得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分；方案无可操作性，思路不合理或未提供执行方案，不得分。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针对本项目的特点、重点和难点，质量管理措施</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针对本项目的特点、重点和难点，质量管理措施</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在维保、运行、检修抢修等与本项目相关方面的服务特点、重点和难点以及服务质量管理措施。</w:t>
            </w:r>
            <w:r>
              <w:rPr>
                <w:rFonts w:hint="eastAsia" w:ascii="宋体" w:hAnsi="宋体" w:eastAsia="宋体" w:cs="宋体"/>
                <w:color w:val="000000"/>
                <w:sz w:val="24"/>
                <w:szCs w:val="24"/>
                <w:highlight w:val="none"/>
              </w:rPr>
            </w:r>
            <w:r/>
          </w:p>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管理措施详细具体，针对性、可操作性强，思路合理，得</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分；管理措施较详细，针对性、可操作性较强，思路较合理，得</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分；管理措施简单，针对性、可操作性一般，思路可行性不高，得</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分；管理措施可操作较差，思路不尽合理，制作方案较差，得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分；管理措施无可操作性，思路不合理或未提供管理措施，不得分。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特殊情况的应急预案措施</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特殊情况的应急预案措施</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针对本项目发生紧急故障时的抢修人员组织、响应时间、安全防护措施和物资配备方案等。到岗抢修方案以及针对各种特发故障情况做出的应急预案。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预案措施详细具体，针对性、可操作性强，思路合理，得</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分；预案措施较详细，针对性、可操作性较强，思路较合理，得</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分；预案措施简单，针对性、可操作性一般，思路可行性不高，得</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分；预案措施可操作较差，思路不尽合理，制作方案较差，得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分；预案措施无可操作性，思路不合理或未提供预案措施，不得分。</w:t>
            </w:r>
            <w:r>
              <w:rPr>
                <w:rFonts w:hint="eastAsia" w:ascii="宋体" w:hAnsi="宋体" w:eastAsia="宋体" w:cs="宋体"/>
                <w:color w:val="000000"/>
                <w:sz w:val="24"/>
                <w:szCs w:val="24"/>
                <w:highlight w:val="none"/>
                <w:lang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服务团队配备</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jc w:val="left"/>
              <w:keepLines w:val="0"/>
              <w:keepNext w:val="0"/>
              <w:pageBreakBefore w:val="0"/>
              <w:spacing w:line="400" w:lineRule="exact"/>
              <w:widowControl w:val="off"/>
              <w:tabs>
                <w:tab w:val="left" w:pos="5940"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服务团队配备</w:t>
            </w:r>
            <w:r>
              <w:rPr>
                <w:rFonts w:hint="eastAsia" w:ascii="宋体" w:hAnsi="宋体" w:eastAsia="宋体" w:cs="宋体"/>
                <w:b w:val="0"/>
                <w:bCs/>
                <w:color w:val="000000"/>
                <w:sz w:val="24"/>
                <w:szCs w:val="24"/>
                <w:highlight w:val="none"/>
                <w:lang w:eastAsia="zh-CN"/>
              </w:rPr>
              <w:t xml:space="preserve">，</w:t>
            </w:r>
            <w:r>
              <w:rPr>
                <w:rFonts w:hint="eastAsia" w:ascii="宋体" w:hAnsi="宋体" w:cs="宋体"/>
                <w:color w:val="000000"/>
                <w:sz w:val="24"/>
                <w:szCs w:val="24"/>
                <w:highlight w:val="none"/>
                <w:lang w:bidi="ar"/>
              </w:rPr>
              <w:t xml:space="preserve">投标</w:t>
            </w:r>
            <w:r>
              <w:rPr>
                <w:rFonts w:hint="eastAsia" w:ascii="宋体" w:hAnsi="宋体" w:cs="宋体"/>
                <w:color w:val="000000"/>
                <w:sz w:val="24"/>
                <w:szCs w:val="24"/>
                <w:highlight w:val="none"/>
                <w:lang w:eastAsia="zh-CN" w:bidi="ar"/>
              </w:rPr>
              <w:t xml:space="preserve">投标人</w:t>
            </w:r>
            <w:r>
              <w:rPr>
                <w:rFonts w:hint="eastAsia" w:ascii="宋体" w:hAnsi="宋体" w:cs="宋体"/>
                <w:color w:val="000000"/>
                <w:sz w:val="24"/>
                <w:szCs w:val="24"/>
                <w:highlight w:val="none"/>
                <w:lang w:val="en-US" w:eastAsia="zh-CN" w:bidi="ar"/>
              </w:rPr>
              <w:t xml:space="preserve">针对本项目设立的</w:t>
            </w:r>
            <w:r>
              <w:rPr>
                <w:rFonts w:hint="eastAsia" w:ascii="宋体" w:hAnsi="宋体" w:cs="宋体"/>
                <w:color w:val="000000"/>
                <w:sz w:val="24"/>
                <w:szCs w:val="24"/>
                <w:highlight w:val="none"/>
                <w:lang w:bidi="ar"/>
              </w:rPr>
              <w:t xml:space="preserve">组织架构、各岗位职责分工、管理机制</w:t>
            </w:r>
            <w:r>
              <w:rPr>
                <w:rFonts w:hint="eastAsia" w:ascii="宋体" w:hAnsi="宋体" w:cs="宋体"/>
                <w:color w:val="000000"/>
                <w:sz w:val="24"/>
                <w:szCs w:val="24"/>
                <w:highlight w:val="none"/>
                <w:lang w:val="en-US" w:eastAsia="zh-CN" w:bidi="ar"/>
              </w:rPr>
              <w:t xml:space="preserve">等。</w:t>
            </w:r>
            <w:r>
              <w:rPr>
                <w:rFonts w:hint="eastAsia" w:ascii="宋体" w:hAnsi="宋体" w:eastAsia="宋体" w:cs="宋体"/>
                <w:b w:val="0"/>
                <w:bCs/>
                <w:color w:val="000000"/>
                <w:sz w:val="24"/>
                <w:szCs w:val="24"/>
                <w:highlight w:val="none"/>
                <w:lang w:val="en-US" w:eastAsia="zh-CN"/>
              </w:rPr>
            </w:r>
            <w:r/>
          </w:p>
          <w:p>
            <w:pPr>
              <w:pStyle w:val="1129"/>
              <w:ind w:firstLine="0"/>
              <w:jc w:val="left"/>
              <w:keepLines w:val="0"/>
              <w:keepNext w:val="0"/>
              <w:pageBreakBefore w:val="0"/>
              <w:spacing w:line="400" w:lineRule="exact"/>
              <w:widowControl w:val="off"/>
              <w:tabs>
                <w:tab w:val="left" w:pos="59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有投入本项目配备人员分工安排，岗位管理制度合理、完整，配置方案能够有效实施本项目的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129"/>
              <w:ind w:firstLine="0"/>
              <w:jc w:val="left"/>
              <w:keepLines w:val="0"/>
              <w:keepNext w:val="0"/>
              <w:pageBreakBefore w:val="0"/>
              <w:spacing w:line="400" w:lineRule="exact"/>
              <w:widowControl w:val="off"/>
              <w:tabs>
                <w:tab w:val="left" w:pos="59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有投入本项目配备人员分工安排，岗位管理制度具备可操作性，配置方案基本能够实施本项目的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129"/>
              <w:ind w:firstLine="0"/>
              <w:jc w:val="left"/>
              <w:keepLines w:val="0"/>
              <w:keepNext w:val="0"/>
              <w:pageBreakBefore w:val="0"/>
              <w:spacing w:line="400" w:lineRule="exact"/>
              <w:widowControl w:val="off"/>
              <w:tabs>
                <w:tab w:val="left" w:pos="59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人员配置方案缺漏、可操作性一般的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129"/>
              <w:ind w:firstLine="0"/>
              <w:jc w:val="left"/>
              <w:keepLines w:val="0"/>
              <w:keepNext w:val="0"/>
              <w:pageBreakBefore w:val="0"/>
              <w:spacing w:line="400" w:lineRule="exact"/>
              <w:widowControl w:val="off"/>
              <w:tabs>
                <w:tab w:val="left" w:pos="5940" w:leader="none"/>
              </w:tabs>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lang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bidi="ar-SA"/>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岗前培训及阶段性培训管理</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keepLines w:val="0"/>
              <w:keepNext w:val="0"/>
              <w:pageBreakBefore w:val="0"/>
              <w:spacing w:line="400" w:lineRule="exact"/>
              <w:widowControl w:val="off"/>
              <w:rPr>
                <w:rFonts w:hint="eastAsia" w:ascii="宋体" w:hAnsi="宋体" w:cs="宋体"/>
                <w:color w:val="000000"/>
                <w:sz w:val="24"/>
                <w:szCs w:val="24"/>
                <w:highlight w:val="none"/>
                <w:lang w:eastAsia="zh-CN" w:bidi="ar"/>
              </w:rPr>
            </w:pPr>
            <w:r>
              <w:rPr>
                <w:rFonts w:hint="eastAsia" w:ascii="宋体" w:hAnsi="宋体" w:cs="宋体"/>
                <w:color w:val="000000"/>
                <w:sz w:val="24"/>
                <w:szCs w:val="24"/>
                <w:highlight w:val="none"/>
                <w:lang w:bidi="ar"/>
              </w:rPr>
              <w:t xml:space="preserve">岗前培训及阶段性培训管理</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highlight w:val="none"/>
              </w:rPr>
              <w:t xml:space="preserve">熟练掌握运用变电所现有运行系统包括监控平台及设备报警平台。</w:t>
            </w:r>
            <w:r>
              <w:rPr>
                <w:rFonts w:hint="eastAsia" w:ascii="宋体" w:hAnsi="宋体" w:cs="宋体"/>
                <w:color w:val="000000"/>
                <w:sz w:val="24"/>
                <w:szCs w:val="24"/>
                <w:highlight w:val="none"/>
                <w:lang w:bidi="ar"/>
              </w:rPr>
              <w:t xml:space="preserve">维保、运行、检修抢修的岗前人员操作培训及平时分段性监控平台</w:t>
            </w:r>
            <w:r>
              <w:rPr>
                <w:rFonts w:hint="eastAsia" w:ascii="宋体" w:hAnsi="宋体" w:cs="宋体"/>
                <w:color w:val="000000"/>
                <w:sz w:val="24"/>
                <w:highlight w:val="none"/>
              </w:rPr>
              <w:t xml:space="preserve">数据应用等</w:t>
            </w:r>
            <w:r>
              <w:rPr>
                <w:rFonts w:hint="eastAsia" w:ascii="宋体" w:hAnsi="宋体" w:cs="宋体"/>
                <w:color w:val="000000"/>
                <w:sz w:val="24"/>
                <w:szCs w:val="24"/>
                <w:highlight w:val="none"/>
                <w:lang w:bidi="ar"/>
              </w:rPr>
              <w:t xml:space="preserve">培训管理方案。</w:t>
            </w:r>
            <w:r>
              <w:rPr>
                <w:rFonts w:hint="eastAsia" w:ascii="宋体" w:hAnsi="宋体" w:cs="宋体"/>
                <w:color w:val="000000"/>
                <w:sz w:val="24"/>
                <w:szCs w:val="24"/>
                <w:highlight w:val="none"/>
                <w:lang w:eastAsia="zh-CN" w:bidi="ar"/>
              </w:rPr>
            </w:r>
            <w:r/>
          </w:p>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bidi="ar"/>
              </w:rPr>
              <w:t xml:space="preserve">培训方案、管理详细完整，针对性、可操作性强，思路合理，得</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分；培训方案、管理较详细，针对性、可操作性较强，思路较合理，得</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分；培训方案、管理简单，针对性、可操作性一般，思路可行性不高，得</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分；培训方案、管理可操作较差，思路不尽合理，制作方案较差，得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分；培训方案、管理无可操作性，思路不合理或未提供执行方案，不得分。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433"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bidi="ar-SA"/>
              </w:rPr>
            </w:r>
            <w:r/>
          </w:p>
        </w:tc>
        <w:tc>
          <w:tcPr>
            <w:tcW w:w="759"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进场</w:t>
            </w:r>
            <w:r>
              <w:rPr>
                <w:rFonts w:hint="eastAsia" w:ascii="宋体" w:hAnsi="宋体" w:eastAsia="宋体" w:cs="宋体"/>
                <w:color w:val="000000"/>
                <w:sz w:val="24"/>
                <w:szCs w:val="24"/>
                <w:highlight w:val="none"/>
              </w:rPr>
              <w:t xml:space="preserve">交接方案</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进场</w:t>
            </w:r>
            <w:r>
              <w:rPr>
                <w:rFonts w:hint="eastAsia" w:ascii="宋体" w:hAnsi="宋体" w:eastAsia="宋体" w:cs="宋体"/>
                <w:color w:val="000000"/>
                <w:sz w:val="24"/>
                <w:szCs w:val="24"/>
                <w:highlight w:val="none"/>
              </w:rPr>
              <w:t xml:space="preserve">交接方案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在交接过程保障项目的正常运行。方案中应包括进场工作安排、交接内容（工程、财务、档案、人事等）、接后管理与甲方工作沟通等内容，提供符合采购需求的内容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9"/>
              <w:ind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内容详实、需求贴合度高且条理清晰的得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分；内容较为简单、可行、细节待完善的得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分；内容粗略、无针对性、基本满足采购需求的得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认证证书</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rPr>
              <w:t xml:space="preserve">质量管理体系认证、环境管理体系认证、职业健康安全管理体系认证证书，</w:t>
            </w:r>
            <w:r>
              <w:rPr>
                <w:rFonts w:hint="eastAsia" w:ascii="宋体" w:hAnsi="宋体" w:eastAsia="宋体" w:cs="宋体"/>
                <w:color w:val="000000"/>
                <w:sz w:val="24"/>
                <w:szCs w:val="24"/>
                <w:highlight w:val="none"/>
                <w:lang w:val="en-US" w:eastAsia="zh-CN"/>
              </w:rPr>
              <w:t xml:space="preserve">每有1项</w:t>
            </w:r>
            <w:r>
              <w:rPr>
                <w:rFonts w:hint="eastAsia" w:ascii="宋体" w:hAnsi="宋体" w:eastAsia="宋体" w:cs="宋体"/>
                <w:color w:val="000000"/>
                <w:sz w:val="24"/>
                <w:szCs w:val="24"/>
                <w:highlight w:val="none"/>
              </w:rPr>
              <w:t xml:space="preserve">得3分，</w:t>
            </w:r>
            <w:r>
              <w:rPr>
                <w:rFonts w:hint="eastAsia" w:ascii="宋体" w:hAnsi="宋体" w:eastAsia="宋体" w:cs="宋体"/>
                <w:color w:val="000000"/>
                <w:sz w:val="24"/>
                <w:szCs w:val="24"/>
                <w:highlight w:val="none"/>
                <w:lang w:val="en-US" w:eastAsia="zh-CN"/>
              </w:rPr>
              <w:t xml:space="preserve">满分</w:t>
            </w:r>
            <w:r>
              <w:rPr>
                <w:rFonts w:hint="eastAsia" w:ascii="宋体" w:hAnsi="宋体" w:eastAsia="宋体" w:cs="宋体"/>
                <w:color w:val="000000"/>
                <w:sz w:val="24"/>
                <w:szCs w:val="24"/>
                <w:highlight w:val="none"/>
              </w:rPr>
              <w:t xml:space="preserve">9分。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b w:val="0"/>
                <w:bCs/>
                <w:color w:val="000000"/>
                <w:sz w:val="24"/>
                <w:highlight w:val="none"/>
                <w:lang w:val="en-US" w:eastAsia="zh-CN"/>
              </w:rPr>
              <w:t xml:space="preserve">提供证书扫描件和国家认证认可监督管理委员会网站查询证书状态为“有效”的截图，缺项不得分</w:t>
            </w:r>
            <w:r>
              <w:rPr>
                <w:rFonts w:hint="eastAsia" w:ascii="宋体" w:hAnsi="宋体"/>
                <w:b w:val="0"/>
                <w:bCs/>
                <w:color w:val="000000"/>
                <w:sz w:val="24"/>
                <w:highlight w:val="none"/>
              </w:rPr>
              <w:t xml:space="preserve">。</w:t>
            </w:r>
            <w:r>
              <w:rPr>
                <w:rFonts w:hint="eastAsia" w:ascii="宋体" w:hAnsi="宋体" w:eastAsia="宋体" w:cs="宋体"/>
                <w:color w:val="000000"/>
                <w:sz w:val="24"/>
                <w:szCs w:val="24"/>
                <w:highlight w:val="none"/>
                <w:lang w:val="en-US" w:eastAsia="zh-CN"/>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投标人提供自2023年1月1日以来承接的</w:t>
            </w:r>
            <w:r>
              <w:rPr>
                <w:rFonts w:hint="eastAsia" w:ascii="宋体" w:hAnsi="宋体" w:eastAsia="宋体" w:cs="宋体"/>
                <w:b w:val="0"/>
                <w:bCs w:val="0"/>
                <w:color w:val="000000"/>
                <w:sz w:val="24"/>
                <w:szCs w:val="24"/>
                <w:highlight w:val="none"/>
              </w:rPr>
              <w:t xml:space="preserve">行政事业单位</w:t>
            </w:r>
            <w:r>
              <w:rPr>
                <w:rFonts w:hint="eastAsia" w:ascii="宋体" w:hAnsi="宋体" w:eastAsia="宋体" w:cs="宋体"/>
                <w:color w:val="000000"/>
                <w:sz w:val="24"/>
                <w:szCs w:val="24"/>
                <w:highlight w:val="none"/>
              </w:rPr>
              <w:t xml:space="preserve">10KV及以上电压等级的变电所委托管理案例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每提供1份完整案例合同得1分，满分6分。</w:t>
            </w:r>
            <w:r>
              <w:rPr>
                <w:rFonts w:hint="eastAsia" w:ascii="宋体" w:hAnsi="宋体" w:eastAsia="宋体" w:cs="宋体"/>
                <w:color w:val="000000"/>
                <w:sz w:val="24"/>
                <w:szCs w:val="24"/>
                <w:highlight w:val="none"/>
                <w:lang w:val="en-US"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变电所委托管理案例</w:t>
            </w:r>
            <w:r>
              <w:rPr>
                <w:rFonts w:hint="eastAsia" w:ascii="宋体" w:hAnsi="宋体" w:eastAsia="宋体" w:cs="宋体"/>
                <w:color w:val="000000"/>
                <w:sz w:val="24"/>
                <w:szCs w:val="24"/>
                <w:highlight w:val="none"/>
                <w:lang w:val="en-US" w:eastAsia="zh-CN"/>
              </w:rPr>
              <w:t xml:space="preserve">完整合同扫描件并加盖投标人公章</w:t>
            </w:r>
            <w:r>
              <w:rPr>
                <w:rFonts w:hint="eastAsia" w:ascii="宋体" w:hAnsi="宋体" w:eastAsia="宋体" w:cs="宋体"/>
                <w:color w:val="000000"/>
                <w:sz w:val="24"/>
                <w:szCs w:val="24"/>
                <w:highlight w:val="none"/>
                <w:lang w:val="en-US" w:eastAsia="zh-CN"/>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业绩2</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投标人提供自2023年1月1日以来承接的</w:t>
            </w:r>
            <w:r>
              <w:rPr>
                <w:rFonts w:hint="eastAsia" w:ascii="宋体" w:hAnsi="宋体" w:eastAsia="宋体" w:cs="宋体"/>
                <w:color w:val="000000"/>
                <w:sz w:val="24"/>
                <w:szCs w:val="24"/>
                <w:highlight w:val="none"/>
              </w:rPr>
              <w:t xml:space="preserve">10KV及以上电压等级两路同供的变电所委托管理案例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每提供1份完整案例合同得1分，满分5分。</w:t>
            </w:r>
            <w:r>
              <w:rPr>
                <w:rFonts w:hint="eastAsia" w:ascii="宋体" w:hAnsi="宋体" w:eastAsia="宋体" w:cs="宋体"/>
                <w:color w:val="000000"/>
                <w:sz w:val="24"/>
                <w:szCs w:val="24"/>
                <w:highlight w:val="none"/>
                <w:lang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变电所委托管理案例</w:t>
            </w:r>
            <w:r>
              <w:rPr>
                <w:rFonts w:hint="eastAsia" w:ascii="宋体" w:hAnsi="宋体" w:eastAsia="宋体" w:cs="宋体"/>
                <w:color w:val="000000"/>
                <w:sz w:val="24"/>
                <w:szCs w:val="24"/>
                <w:highlight w:val="none"/>
                <w:lang w:val="en-US" w:eastAsia="zh-CN"/>
              </w:rPr>
              <w:t xml:space="preserve">完整合同扫描件并加盖投标人公章</w:t>
            </w: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拟派项目负责人</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拟派项目负责人（限评1人）：</w:t>
            </w:r>
            <w:r>
              <w:rPr>
                <w:rFonts w:hint="eastAsia" w:ascii="宋体" w:hAnsi="宋体" w:eastAsia="宋体" w:cs="宋体"/>
                <w:color w:val="000000"/>
                <w:sz w:val="24"/>
                <w:szCs w:val="24"/>
                <w:highlight w:val="none"/>
                <w:lang w:val="en-US" w:eastAsia="zh-CN"/>
              </w:rPr>
            </w:r>
            <w:r/>
          </w:p>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具有高压电工作业许可证及特种作业许可证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得2分。</w:t>
            </w:r>
            <w:r>
              <w:rPr>
                <w:rFonts w:hint="eastAsia" w:ascii="宋体" w:hAnsi="宋体" w:eastAsia="宋体" w:cs="宋体"/>
                <w:color w:val="000000"/>
                <w:sz w:val="24"/>
                <w:szCs w:val="24"/>
                <w:highlight w:val="none"/>
                <w:lang w:val="en-US" w:eastAsia="zh-CN"/>
              </w:rPr>
            </w:r>
            <w:r/>
          </w:p>
          <w:p>
            <w:pPr>
              <w:pStyle w:val="1160"/>
              <w:tabs>
                <w:tab w:val="left" w:pos="567" w:leader="none"/>
              </w:tabs>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②具有</w:t>
            </w:r>
            <w:r>
              <w:rPr>
                <w:rFonts w:hint="eastAsia" w:ascii="宋体" w:hAnsi="宋体" w:eastAsia="宋体" w:cs="宋体"/>
                <w:color w:val="000000"/>
                <w:sz w:val="24"/>
                <w:szCs w:val="24"/>
                <w:highlight w:val="none"/>
              </w:rPr>
              <w:t xml:space="preserve">中级及以上</w:t>
            </w:r>
            <w:r>
              <w:rPr>
                <w:rFonts w:hint="eastAsia" w:ascii="宋体" w:hAnsi="宋体" w:eastAsia="宋体" w:cs="宋体"/>
                <w:color w:val="000000"/>
                <w:sz w:val="24"/>
                <w:szCs w:val="24"/>
                <w:highlight w:val="none"/>
                <w:lang w:val="en-US" w:eastAsia="zh-CN"/>
              </w:rPr>
              <w:t xml:space="preserve">工程师</w:t>
            </w: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lang w:val="en-US" w:eastAsia="zh-CN"/>
              </w:rPr>
              <w:t xml:space="preserve">证书，得2分。</w:t>
            </w:r>
            <w:r>
              <w:rPr>
                <w:rFonts w:hint="eastAsia" w:ascii="宋体" w:hAnsi="宋体" w:eastAsia="宋体" w:cs="宋体"/>
                <w:color w:val="000000"/>
                <w:sz w:val="24"/>
                <w:szCs w:val="24"/>
                <w:highlight w:val="none"/>
                <w:lang w:val="en-US" w:eastAsia="zh-CN"/>
              </w:rPr>
            </w:r>
            <w:r/>
          </w:p>
          <w:p>
            <w:pPr>
              <w:pStyle w:val="1129"/>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本项满分4分。</w:t>
            </w:r>
            <w:r>
              <w:rPr>
                <w:color w:val="000000"/>
                <w:highlight w:val="none"/>
                <w:lang w:val="en-US"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提供证书扫描件和投标人近三个月内任意一个月为其缴纳</w:t>
            </w:r>
            <w:r>
              <w:rPr>
                <w:rFonts w:hint="eastAsia" w:ascii="宋体" w:hAnsi="宋体" w:eastAsia="宋体" w:cs="宋体"/>
                <w:color w:val="000000"/>
                <w:sz w:val="24"/>
                <w:szCs w:val="24"/>
                <w:highlight w:val="none"/>
              </w:rPr>
              <w:t xml:space="preserve">缴纳的社保证明材料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加盖投标人公章</w:t>
            </w:r>
            <w:r>
              <w:rPr>
                <w:rFonts w:hint="eastAsia" w:ascii="宋体" w:hAnsi="宋体" w:eastAsia="宋体" w:cs="宋体"/>
                <w:color w:val="000000"/>
                <w:sz w:val="24"/>
                <w:szCs w:val="24"/>
                <w:highlight w:val="none"/>
                <w:lang w:val="en-US" w:eastAsia="zh-CN"/>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拟派团队成员</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拟派团队成员（除项目负责人外）：</w:t>
            </w:r>
            <w:r>
              <w:rPr>
                <w:rFonts w:hint="eastAsia" w:ascii="宋体" w:hAnsi="宋体" w:eastAsia="宋体" w:cs="宋体"/>
                <w:color w:val="000000"/>
                <w:sz w:val="24"/>
                <w:szCs w:val="24"/>
                <w:highlight w:val="none"/>
                <w:lang w:val="en-US" w:eastAsia="zh-CN"/>
              </w:rPr>
            </w:r>
            <w:r/>
          </w:p>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具有特种作业许可证及高压电工作业许可证的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每配备1人得1分，满分4分。</w:t>
            </w:r>
            <w:r>
              <w:rPr>
                <w:rFonts w:hint="eastAsia" w:ascii="宋体" w:hAnsi="宋体" w:eastAsia="宋体" w:cs="宋体"/>
                <w:color w:val="000000"/>
                <w:sz w:val="24"/>
                <w:szCs w:val="24"/>
                <w:highlight w:val="none"/>
                <w:lang w:val="en-US"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提供证书扫描件和投标人近三个月内任意一个月为其缴纳</w:t>
            </w:r>
            <w:r>
              <w:rPr>
                <w:rFonts w:hint="eastAsia" w:ascii="宋体" w:hAnsi="宋体" w:eastAsia="宋体" w:cs="宋体"/>
                <w:color w:val="000000"/>
                <w:sz w:val="24"/>
                <w:szCs w:val="24"/>
                <w:highlight w:val="none"/>
              </w:rPr>
              <w:t xml:space="preserve">缴纳的社保证明材料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加盖投标人公章</w:t>
            </w: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专职安全团队</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投标人配备专职安全团队，具有</w:t>
            </w:r>
            <w:r>
              <w:rPr>
                <w:rFonts w:hint="eastAsia" w:ascii="宋体" w:hAnsi="宋体" w:eastAsia="宋体" w:cs="宋体"/>
                <w:color w:val="000000"/>
                <w:sz w:val="24"/>
                <w:szCs w:val="24"/>
                <w:highlight w:val="none"/>
              </w:rPr>
              <w:t xml:space="preserve">安全员</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注册安全工程师</w:t>
            </w:r>
            <w:r>
              <w:rPr>
                <w:rFonts w:hint="eastAsia" w:ascii="宋体" w:hAnsi="宋体" w:eastAsia="宋体" w:cs="宋体"/>
                <w:color w:val="000000"/>
                <w:sz w:val="24"/>
                <w:szCs w:val="24"/>
                <w:highlight w:val="none"/>
                <w:lang w:val="en-US" w:eastAsia="zh-CN"/>
              </w:rPr>
              <w:t xml:space="preserve">证书，每有1项得2分，满分4分。</w:t>
            </w:r>
            <w:r>
              <w:rPr>
                <w:rFonts w:hint="eastAsia" w:ascii="宋体" w:hAnsi="宋体" w:eastAsia="宋体" w:cs="宋体"/>
                <w:color w:val="000000"/>
                <w:sz w:val="24"/>
                <w:szCs w:val="24"/>
                <w:highlight w:val="none"/>
                <w:lang w:val="en-US" w:eastAsia="zh-CN"/>
              </w:rPr>
            </w:r>
            <w:r/>
          </w:p>
        </w:tc>
        <w:tc>
          <w:tcPr>
            <w:tcW w:w="1266" w:type="dxa"/>
            <w:vAlign w:val="center"/>
            <w:textDirection w:val="lrTb"/>
            <w:noWrap w:val="false"/>
          </w:tcPr>
          <w:p>
            <w:pPr>
              <w:pStyle w:val="1129"/>
              <w:ind w:left="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提供证书扫描件和投标人近三个月内任意一个月为其缴纳</w:t>
            </w:r>
            <w:r>
              <w:rPr>
                <w:rFonts w:hint="eastAsia" w:ascii="宋体" w:hAnsi="宋体" w:eastAsia="宋体" w:cs="宋体"/>
                <w:color w:val="000000"/>
                <w:sz w:val="24"/>
                <w:szCs w:val="24"/>
                <w:highlight w:val="none"/>
              </w:rPr>
              <w:t xml:space="preserve">缴纳的社保证明材料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加盖投标人公章</w:t>
            </w:r>
            <w:r>
              <w:rPr>
                <w:rFonts w:hint="eastAsia" w:ascii="宋体" w:hAnsi="宋体" w:eastAsia="宋体" w:cs="宋体"/>
                <w:color w:val="000000"/>
                <w:sz w:val="24"/>
                <w:szCs w:val="24"/>
                <w:highlight w:val="none"/>
              </w:rPr>
            </w:r>
            <w:r/>
          </w:p>
        </w:tc>
      </w:tr>
      <w:tr>
        <w:trPr/>
        <w:tc>
          <w:tcPr>
            <w:gridSpan w:val="2"/>
            <w:tcW w:w="2032"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129"/>
              <w:ind w:left="0" w:firstLine="28"/>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5680" w:type="dxa"/>
            <w:vAlign w:val="center"/>
            <w:textDirection w:val="lrTb"/>
            <w:noWrap w:val="false"/>
          </w:tcPr>
          <w:p>
            <w:pPr>
              <w:pStyle w:val="1129"/>
              <w:ind w:left="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2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99301424"/>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129"/>
        <w:contextualSpacing/>
        <w:spacing w:line="360" w:lineRule="auto"/>
        <w:rPr>
          <w:rFonts w:ascii="宋体" w:hAnsi="宋体"/>
          <w:color w:val="000000"/>
          <w:sz w:val="24"/>
          <w:highlight w:val="none"/>
        </w:rPr>
      </w:pPr>
      <w:r>
        <w:rPr>
          <w:rFonts w:ascii="宋体" w:hAnsi="宋体"/>
          <w:color w:val="000000"/>
          <w:sz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一、项目概况</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项目内容：提供10KV变电所（一座）24小时运行值班服务</w:t>
      </w:r>
      <w:r>
        <w:rPr>
          <w:rFonts w:ascii="宋体" w:hAnsi="宋体" w:eastAsia="宋体"/>
          <w:color w:val="000000"/>
          <w:sz w:val="24"/>
          <w:szCs w:val="24"/>
          <w:highlight w:val="none"/>
          <w:lang w:val="en-US" w:eastAsia="zh-CN"/>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项目地点：天宁区优胜路与光华路交叉口南 </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服务期限：服务期限为三年，合同一年一签，每年合同期满经采购人考核合格后续签下一年度合同。</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二、技术要求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（一）10KV变电所运行值班服务的工作内容</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依照采购人规定与管理要求，结合医院工作实际情况，制订切实可行的医院安全用电工作整体方案。具体服务内容工作内容如下：</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1.对医院10KV变电所的管理实行24小时值班管理。</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2.对设备的运行进行日常巡视并对设备进行仔细的检查和维护。定期对设备进行特殊巡视及必要的诊断工作。</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3.降低系统运行成本，定期根据运行记录对变电所的运行情况进行分析，对运行的经济性、安全性进行评估，根据用电现状及今后的发展提出合理化建议供院方参考。</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 4</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负责对安全保护工器具的检测工作</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（二）10KV变电所运行值班服务的工作要求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1.质量目标要求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依照行业标准，根据采购人管理规定与服务要求，制订切实可行的停电安全工作整体方案和应急预案，突发事件反应迅速，预案处置有力。</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依法办事，文明执勤，严格管理，保障医院医疗秩序的正常运转。</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全年无责任事故的发生。</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有及时发现故障及时排除故障的能力。</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负责对值班及操作人员专业技能的定期培训和严格的考核。</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2.服务要求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严格遵守值班纪律，按时下班接班，工作时不得擅离岗位，值班员要认真填写工作记录，保持对外联系电话的畅通，发现问题及时解决。</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严格交接班手续，交接时，必须把电器设备运行情况的记录向接班员交代清楚。</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除值班人员和直属专职技术人员外，其他人员一律不准进入高压配电室，经批准需进配电室的，必须办理出人登记手续。</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10KV变电所负责人为安全责任人，要定期进行安全教育、安全检查，发现问题，做好记录，及时向主管部门和保卫部门报告。</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坚持文明上岗。上岗人员要仪表整洁卫生，语言要文明。</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3、队伍建设与管理要求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熟悉各种有关规程和制度及反事故措施，熟悉触电急救法和人工呼吸法，熟悉变、配电房内的设备规范一般构造原理、操作方法和运行注意事项。</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熟识一次接线运作方式，熟识变配电房继电保护的动作原理及保护方式，熟悉消防器材使用方法。</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内部管理体制健全，设立10KV变电所负责人一名，全面负责日常工作的规范化管理。</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4、人员素质要求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派驻医院的值班人员应知法、懂法、守法、依法办事，必须严格遵守电工从业规范，模范遵守医院安全管理规定。</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10KV变电所负责人应具备有较高的政治思想素养和业务水平，有较强的组织协调能力，受过专门的业务培训。</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派驻医院的值班人员，年龄60周岁以下，身体健康，无传染病及精神病史，体貌端正，无犯罪记录。</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5、值班人员要求</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值班人员5名（其中1人兼任10KV变电所负责人）</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值班人员每班不少于2人。</w:t>
      </w:r>
      <w:r>
        <w:rPr>
          <w:rFonts w:hint="eastAsia" w:ascii="宋体" w:hAnsi="宋体"/>
          <w:color w:val="000000"/>
          <w:sz w:val="24"/>
          <w:szCs w:val="24"/>
          <w:highlight w:val="none"/>
          <w:lang w:val="en-US" w:eastAsia="zh-CN"/>
        </w:rPr>
        <w:t xml:space="preserve">中标人</w:t>
      </w:r>
      <w:r>
        <w:rPr>
          <w:rFonts w:hint="eastAsia" w:ascii="宋体" w:hAnsi="宋体"/>
          <w:color w:val="000000"/>
          <w:sz w:val="24"/>
          <w:szCs w:val="24"/>
          <w:highlight w:val="none"/>
        </w:rPr>
        <w:t xml:space="preserve">必须按岗位要求，配备值班人员，并保证实际到岗人数。</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在组织、安排值班工作时，应符合国家相关法规，维护值班人员的正当权益。</w:t>
      </w:r>
      <w:r>
        <w:rPr>
          <w:rFonts w:hint="eastAsia" w:ascii="宋体" w:hAnsi="宋体"/>
          <w:color w:val="000000"/>
          <w:sz w:val="24"/>
          <w:szCs w:val="24"/>
          <w:highlight w:val="none"/>
          <w:lang w:val="en-US" w:eastAsia="zh-CN"/>
        </w:rPr>
        <w:t xml:space="preserve">中标人</w:t>
      </w:r>
      <w:r>
        <w:rPr>
          <w:rFonts w:hint="eastAsia" w:ascii="宋体" w:hAnsi="宋体"/>
          <w:color w:val="000000"/>
          <w:sz w:val="24"/>
          <w:szCs w:val="24"/>
          <w:highlight w:val="none"/>
        </w:rPr>
        <w:t xml:space="preserve">对其用工行为承担一切法律责任。</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olor w:val="000000"/>
          <w:sz w:val="24"/>
          <w:szCs w:val="24"/>
          <w:highlight w:val="none"/>
          <w:lang w:eastAsia="zh-CN"/>
        </w:rPr>
      </w:pPr>
      <w:r>
        <w:rPr>
          <w:rFonts w:ascii="Segoe UI Symbol" w:hAnsi="Segoe UI Symbol" w:eastAsia="宋体" w:cs="Segoe UI Symbol"/>
          <w:b/>
          <w:bCs/>
          <w:color w:val="000000"/>
          <w:sz w:val="24"/>
          <w:highlight w:val="none"/>
        </w:rPr>
        <w:t xml:space="preserve">★</w:t>
      </w:r>
      <w:r>
        <w:rPr>
          <w:rFonts w:hint="eastAsia" w:ascii="宋体" w:hAnsi="宋体"/>
          <w:b/>
          <w:bCs/>
          <w:color w:val="000000"/>
          <w:sz w:val="24"/>
          <w:szCs w:val="24"/>
          <w:highlight w:val="none"/>
        </w:rPr>
        <w:t xml:space="preserve">值班人员均需持有江苏省安全生产监督管理局颁发的</w:t>
      </w:r>
      <w:r>
        <w:rPr>
          <w:rFonts w:hint="eastAsia" w:ascii="Segoe UI Symbol" w:hAnsi="Segoe UI Symbol" w:eastAsia="宋体" w:cs="Segoe UI Symbol"/>
          <w:b/>
          <w:bCs/>
          <w:color w:val="000000"/>
          <w:sz w:val="24"/>
          <w:highlight w:val="none"/>
        </w:rPr>
        <w:t xml:space="preserve">高压电工作业许可证</w:t>
      </w:r>
      <w:r>
        <w:rPr>
          <w:rFonts w:hint="eastAsia" w:ascii="宋体" w:hAnsi="宋体"/>
          <w:b/>
          <w:bCs/>
          <w:color w:val="000000"/>
          <w:sz w:val="24"/>
          <w:szCs w:val="24"/>
          <w:highlight w:val="none"/>
        </w:rPr>
        <w:t xml:space="preserve">，持证人员不得在其他单位注册登记。</w:t>
      </w:r>
      <w:r>
        <w:rPr>
          <w:rFonts w:hint="eastAsia" w:ascii="宋体" w:hAnsi="宋体"/>
          <w:b/>
          <w:bCs/>
          <w:color w:val="000000"/>
          <w:sz w:val="24"/>
          <w:szCs w:val="24"/>
          <w:highlight w:val="none"/>
          <w:lang w:val="en-US" w:eastAsia="zh-CN"/>
        </w:rPr>
        <w:t xml:space="preserve">中标人</w:t>
      </w:r>
      <w:r>
        <w:rPr>
          <w:rFonts w:hint="eastAsia" w:ascii="宋体" w:hAnsi="宋体"/>
          <w:b/>
          <w:bCs/>
          <w:color w:val="000000"/>
          <w:sz w:val="24"/>
          <w:szCs w:val="24"/>
          <w:highlight w:val="none"/>
        </w:rPr>
        <w:t xml:space="preserve">须在签订合同前须将企业资质原件、人员资质证书报采购人审批。</w:t>
      </w:r>
      <w:r>
        <w:rPr>
          <w:rFonts w:hint="eastAsia" w:ascii="宋体" w:hAnsi="宋体"/>
          <w:b/>
          <w:bCs/>
          <w:color w:val="000000"/>
          <w:sz w:val="24"/>
          <w:szCs w:val="24"/>
          <w:highlight w:val="none"/>
          <w:lang w:eastAsia="zh-CN"/>
        </w:rPr>
        <w:t xml:space="preserve">（</w:t>
      </w:r>
      <w:r>
        <w:rPr>
          <w:rFonts w:hint="eastAsia" w:ascii="Segoe UI Symbol" w:hAnsi="Segoe UI Symbol" w:eastAsia="宋体" w:cs="Segoe UI Symbol"/>
          <w:b/>
          <w:bCs/>
          <w:color w:val="000000"/>
          <w:sz w:val="24"/>
          <w:highlight w:val="none"/>
          <w:lang w:val="en-US" w:eastAsia="zh-CN"/>
        </w:rPr>
        <w:t xml:space="preserve">提供承诺函，格式自拟</w:t>
      </w:r>
      <w:r>
        <w:rPr>
          <w:rFonts w:hint="eastAsia" w:ascii="宋体" w:hAnsi="宋体"/>
          <w:b/>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三、报价方式</w:t>
      </w:r>
      <w:r>
        <w:rPr>
          <w:rFonts w:hint="eastAsia" w:ascii="宋体" w:hAnsi="宋体" w:eastAsia="宋体" w:cs="Times New Roman"/>
          <w:b/>
          <w:bCs/>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Times New Roman"/>
          <w:color w:val="000000"/>
          <w:sz w:val="24"/>
          <w:szCs w:val="24"/>
          <w:highlight w:val="none"/>
        </w:rPr>
        <w:t xml:space="preserve">本项目报价为</w:t>
      </w:r>
      <w:r>
        <w:rPr>
          <w:rFonts w:hint="eastAsia" w:ascii="宋体" w:hAnsi="宋体" w:eastAsia="宋体" w:cs="Times New Roman"/>
          <w:b/>
          <w:bCs/>
          <w:color w:val="000000"/>
          <w:sz w:val="24"/>
          <w:szCs w:val="24"/>
          <w:highlight w:val="none"/>
          <w:u w:val="single"/>
        </w:rPr>
        <w:t xml:space="preserve">固定总价</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报价应包括</w:t>
      </w:r>
      <w:r>
        <w:rPr>
          <w:rFonts w:hint="eastAsia" w:ascii="宋体" w:hAnsi="宋体" w:eastAsia="宋体" w:cs="Times New Roman"/>
          <w:color w:val="000000"/>
          <w:sz w:val="24"/>
          <w:szCs w:val="24"/>
          <w:highlight w:val="none"/>
          <w:lang w:val="en-US" w:eastAsia="zh-CN"/>
        </w:rPr>
        <w:t xml:space="preserve">招标</w:t>
      </w:r>
      <w:r>
        <w:rPr>
          <w:rFonts w:hint="eastAsia" w:ascii="宋体" w:hAnsi="宋体" w:eastAsia="宋体" w:cs="Times New Roman"/>
          <w:color w:val="000000"/>
          <w:sz w:val="24"/>
          <w:szCs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1"/>
          <w:szCs w:val="21"/>
          <w:highlight w:val="none"/>
        </w:rPr>
      </w:r>
      <w:r/>
    </w:p>
    <w:p>
      <w:pPr>
        <w:pStyle w:val="1129"/>
        <w:ind w:right="0" w:firstLine="480"/>
        <w:jc w:val="left"/>
        <w:keepLines w:val="0"/>
        <w:keepNext w:val="0"/>
        <w:pageBreakBefore w:val="0"/>
        <w:spacing w:line="360" w:lineRule="exact"/>
        <w:widowControl w:val="off"/>
        <w:rPr>
          <w:rFonts w:hint="eastAsia" w:ascii="宋体" w:hAnsi="宋体" w:eastAsia="宋体" w:cs="宋体"/>
          <w:b/>
          <w:color w:val="000000"/>
          <w:sz w:val="21"/>
          <w:szCs w:val="21"/>
          <w:highlight w:val="none"/>
        </w:rPr>
      </w:pPr>
      <w:r>
        <w:rPr>
          <w:rFonts w:hint="eastAsia" w:ascii="宋体" w:hAnsi="宋体" w:cs="宋体"/>
          <w:color w:val="000000"/>
          <w:sz w:val="24"/>
          <w:szCs w:val="24"/>
          <w:highlight w:val="none"/>
        </w:rPr>
        <w:t xml:space="preserve">报价货币为人民币，评标时以人民币为准。</w:t>
      </w:r>
      <w:r>
        <w:rPr>
          <w:rFonts w:hint="eastAsia" w:ascii="宋体" w:hAnsi="宋体" w:eastAsia="宋体" w:cs="宋体"/>
          <w:b/>
          <w:color w:val="000000"/>
          <w:sz w:val="21"/>
          <w:szCs w:val="21"/>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四、付款方式</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本项目服务费按季度付款，采购人于每季度结束后5日内对</w:t>
      </w:r>
      <w:r>
        <w:rPr>
          <w:rFonts w:hint="eastAsia" w:ascii="宋体" w:hAnsi="宋体" w:eastAsia="宋体" w:cs="Times New Roman"/>
          <w:color w:val="000000"/>
          <w:sz w:val="24"/>
          <w:szCs w:val="24"/>
          <w:highlight w:val="none"/>
          <w:lang w:val="en-US" w:eastAsia="zh-CN"/>
        </w:rPr>
        <w:t xml:space="preserve">中标人</w:t>
      </w:r>
      <w:r>
        <w:rPr>
          <w:rFonts w:hint="eastAsia" w:ascii="宋体" w:hAnsi="宋体" w:eastAsia="宋体" w:cs="Times New Roman"/>
          <w:color w:val="000000"/>
          <w:sz w:val="24"/>
          <w:szCs w:val="24"/>
          <w:highlight w:val="none"/>
        </w:rPr>
        <w:t xml:space="preserve">进行考核,根据考核得分等级支付上一季度的托管费用。</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w:t>
      </w:r>
      <w:r>
        <w:rPr>
          <w:rFonts w:hint="eastAsia" w:ascii="宋体" w:hAnsi="宋体" w:cs="宋体"/>
          <w:color w:val="000000"/>
          <w:sz w:val="24"/>
          <w:highlight w:val="none"/>
          <w:lang w:val="en-US" w:eastAsia="zh-CN"/>
        </w:rPr>
        <w:t xml:space="preserve">合同期内如果因医院工作需要而增减的人员，医院与成交供应商结算费用时将按照人均月单价与实际派驻人员按实结算。</w:t>
      </w:r>
      <w:r>
        <w:rPr>
          <w:rFonts w:hint="eastAsia" w:ascii="宋体" w:hAnsi="宋体" w:eastAsia="宋体" w:cs="Times New Roman"/>
          <w:color w:val="000000"/>
          <w:sz w:val="24"/>
          <w:szCs w:val="24"/>
          <w:highlight w:val="none"/>
          <w:lang w:val="en-US" w:eastAsia="zh-CN"/>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eastAsia="zh-CN"/>
        </w:rPr>
        <w:t xml:space="preserve">五、</w:t>
      </w:r>
      <w:r>
        <w:rPr>
          <w:rFonts w:hint="eastAsia" w:ascii="宋体" w:hAnsi="宋体" w:eastAsia="宋体" w:cs="Times New Roman"/>
          <w:b/>
          <w:bCs/>
          <w:color w:val="000000"/>
          <w:sz w:val="24"/>
          <w:szCs w:val="24"/>
          <w:highlight w:val="none"/>
        </w:rPr>
        <w:t xml:space="preserve">考核要求</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（一）考核等级</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考核分在 85分及以上的，全额支付服务费；考核在85分以下75分及以上的，每降1分，支付金额在100%的</w:t>
      </w:r>
      <w:r>
        <w:rPr>
          <w:rFonts w:hint="eastAsia" w:ascii="宋体" w:hAnsi="宋体" w:eastAsia="宋体" w:cs="Times New Roman"/>
          <w:color w:val="000000"/>
          <w:sz w:val="24"/>
          <w:szCs w:val="24"/>
          <w:highlight w:val="none"/>
        </w:rPr>
        <w:t xml:space="preserve">基础上相应扣减1%；考核分在75分以下65分及以上，每降1分，支付金额在90%的基础上相应扣减2%；考核分在65分以下60分及以上，每降1分，支付金额在70%的基础上相应扣减3%；考核分数在60分以下，采购人有权单方面终止服务合同，采购人不负任何责任。合同期内连续2个月考核均在 65 分以下的，采购人发警告通知书，合同期内发出3次警告通知书后，采购人有权单方面终止服务合同, 采购人不负任何责任。全年考核分数平均在80分及以上的可续签合同，在65 分以下的终止合同。如果保安管理服务质量严重与双方达成协议偏离，</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rPr>
        <w:t xml:space="preserve">有权扣除上季度的服务费，造成重大损失将追究责任并赔偿损失。</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（二）考核细则</w:t>
      </w:r>
      <w:r>
        <w:rPr>
          <w:rFonts w:hint="eastAsia" w:ascii="宋体" w:hAnsi="宋体" w:eastAsia="宋体" w:cs="Times New Roman"/>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910"/>
        <w:gridCol w:w="5722"/>
        <w:gridCol w:w="1139"/>
      </w:tblGrid>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4"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类别</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违规情况</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考核扣分</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管理制度</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未建立设备管理制度、运行管理制度或未按制度建立相关台帐</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未制定设备维修保养计划及实施方案</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工作票、操作票保存不完整</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消防器具未定期清点或无检查记录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安全工具存放混乱、无台账或记录不全</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安全工器具未按规定周期进行试验或无试验记录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外来人员进出未按要求进行登记或无登记记录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未按计划每月检查、试验报警装置的完好性或无检查记录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未进行春、秋安全大检查或无检查记录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下雨时未及时对房屋渗漏情况进行检查，并采取措施</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雨季来临前未对地下室、电缆沟、电缆隧道等排水设施进行检查和疏通</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雨后未及时解决地下室、电缆沟、电缆隧道等的积水问题</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配电室、蓄电池室、电缆层室等出入门防鼠板缺失</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停电工作时无临时遮拦或未悬挂警示牌</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设备室或设备区有易燃易爆物品</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重要节假日、活动、会议期间未按医院要求实施保电措施</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值班人员出现脱岗情况</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处理事故或倒闸操作时进行交、接班</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未按运行规程进行定期定点巡视或无巡视检查记录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大风、雷雨、冰雪等异常天气未进行特殊巡视</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发生故障或接到抢修要求后未在合同约定时间内到场解决</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发生事故不及时报告或瞒报</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因管理不善或操作不当造成事故或财产损失</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未定期巡视检查，导致设备工作异常时不能及时发现</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未按规定程序操作开关柜，造成元器件损坏</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未制定设备维护计划</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未按计划进行维护或无维护记录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bl>
    <w:p>
      <w:pPr>
        <w:pStyle w:val="1129"/>
        <w:rPr>
          <w:rFonts w:hint="eastAsia"/>
          <w:color w:val="000000"/>
          <w:highlight w:val="none"/>
        </w:rPr>
      </w:pPr>
      <w:r>
        <w:rPr>
          <w:rFonts w:hint="eastAsia"/>
          <w:color w:val="000000"/>
          <w:highlight w:val="none"/>
        </w:rPr>
      </w:r>
      <w:r/>
    </w:p>
    <w:p>
      <w:pPr>
        <w:pStyle w:val="1130"/>
        <w:rPr>
          <w:rFonts w:ascii="宋体" w:hAnsi="宋体" w:cs="宋体"/>
          <w:color w:val="000000"/>
          <w:highlight w:val="none"/>
        </w:rPr>
        <w:sectPr>
          <w:headerReference w:type="even" r:id="rId14"/>
          <w:headerReference w:type="first" r:id="rId15"/>
          <w:footerReference w:type="even" r:id="rId24"/>
          <w:footnotePr/>
          <w:endnotePr/>
          <w:type w:val="nextPage"/>
          <w:pgSz w:w="11907" w:h="16839" w:orient="portrait"/>
          <w:pgMar w:top="1440" w:right="1800" w:bottom="1440" w:left="1800" w:header="851" w:footer="992" w:gutter="0"/>
          <w:cols w:num="1" w:sep="0" w:space="1701" w:equalWidth="1"/>
          <w:docGrid w:linePitch="360"/>
        </w:sectPr>
      </w:pPr>
      <w:r>
        <w:rPr>
          <w:rFonts w:ascii="宋体" w:hAnsi="宋体" w:cs="宋体"/>
          <w:color w:val="000000"/>
          <w:highlight w:val="none"/>
        </w:rPr>
      </w:r>
      <w:r/>
    </w:p>
    <w:p>
      <w:pPr>
        <w:pStyle w:val="1129"/>
        <w:jc w:val="center"/>
        <w:spacing w:line="360" w:lineRule="auto"/>
        <w:rPr>
          <w:rFonts w:ascii="宋体" w:hAnsi="宋体"/>
          <w:b/>
          <w:color w:val="000000"/>
          <w:sz w:val="36"/>
          <w:szCs w:val="36"/>
          <w:highlight w:val="none"/>
        </w:rPr>
        <w:outlineLvl w:val="0"/>
      </w:pPr>
      <w:r/>
      <w:bookmarkStart w:id="815" w:name="_Toc99301425"/>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1168"/>
        <w:spacing w:line="360" w:lineRule="auto"/>
        <w:rPr>
          <w:rFonts w:cs="宋体"/>
          <w:color w:val="000000"/>
          <w:sz w:val="24"/>
          <w:szCs w:val="24"/>
          <w:highlight w:val="none"/>
        </w:rPr>
      </w:pPr>
      <w:r>
        <w:rPr>
          <w:rFonts w:cs="宋体"/>
          <w:b/>
          <w:color w:val="000000"/>
          <w:sz w:val="24"/>
          <w:szCs w:val="24"/>
          <w:highlight w:val="none"/>
          <w:lang w:val="zh-CN"/>
        </w:rPr>
        <w:t xml:space="preserve">采购人（以下称甲</w:t>
      </w:r>
      <w:r>
        <w:rPr>
          <w:rFonts w:cs="宋体"/>
          <w:b/>
          <w:color w:val="000000"/>
          <w:sz w:val="24"/>
          <w:szCs w:val="24"/>
          <w:highlight w:val="none"/>
        </w:rPr>
        <w:t xml:space="preserve">方）:                       </w:t>
      </w:r>
      <w:r>
        <w:rPr>
          <w:rFonts w:cs="宋体"/>
          <w:color w:val="000000"/>
          <w:sz w:val="24"/>
          <w:szCs w:val="24"/>
          <w:highlight w:val="none"/>
        </w:rPr>
        <w:t xml:space="preserve">合同编号：</w:t>
      </w:r>
      <w:r>
        <w:rPr>
          <w:rFonts w:cs="宋体"/>
          <w:color w:val="000000"/>
          <w:sz w:val="24"/>
          <w:szCs w:val="24"/>
          <w:highlight w:val="none"/>
        </w:rPr>
      </w:r>
      <w:r/>
    </w:p>
    <w:p>
      <w:pPr>
        <w:pStyle w:val="1168"/>
        <w:spacing w:line="360" w:lineRule="auto"/>
        <w:rPr>
          <w:rFonts w:cs="宋体"/>
          <w:color w:val="000000"/>
          <w:sz w:val="24"/>
          <w:szCs w:val="24"/>
          <w:highlight w:val="none"/>
          <w:u w:val="single"/>
        </w:rPr>
      </w:pPr>
      <w:r>
        <w:rPr>
          <w:rFonts w:cs="宋体"/>
          <w:b/>
          <w:color w:val="000000"/>
          <w:sz w:val="24"/>
          <w:szCs w:val="24"/>
          <w:highlight w:val="none"/>
        </w:rPr>
        <w:t xml:space="preserve">供应商（</w:t>
      </w:r>
      <w:r>
        <w:rPr>
          <w:rFonts w:cs="宋体"/>
          <w:b/>
          <w:color w:val="000000"/>
          <w:sz w:val="24"/>
          <w:szCs w:val="24"/>
          <w:highlight w:val="none"/>
          <w:lang w:val="zh-CN"/>
        </w:rPr>
        <w:t xml:space="preserve">以下称</w:t>
      </w:r>
      <w:r>
        <w:rPr>
          <w:rFonts w:cs="宋体"/>
          <w:b/>
          <w:color w:val="000000"/>
          <w:sz w:val="24"/>
          <w:szCs w:val="24"/>
          <w:highlight w:val="none"/>
        </w:rPr>
        <w:t xml:space="preserve">乙方）:                       </w:t>
      </w:r>
      <w:r>
        <w:rPr>
          <w:rFonts w:cs="宋体"/>
          <w:color w:val="000000"/>
          <w:sz w:val="24"/>
          <w:szCs w:val="24"/>
          <w:highlight w:val="none"/>
        </w:rPr>
        <w:t xml:space="preserve">签订地点：</w:t>
      </w:r>
      <w:r>
        <w:rPr>
          <w:rFonts w:cs="宋体"/>
          <w:color w:val="000000"/>
          <w:sz w:val="24"/>
          <w:szCs w:val="24"/>
          <w:highlight w:val="none"/>
          <w:u w:val="single"/>
        </w:rPr>
      </w:r>
      <w:r/>
    </w:p>
    <w:p>
      <w:pPr>
        <w:pStyle w:val="1143"/>
        <w:ind w:firstLine="528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168"/>
        <w:ind w:firstLine="484"/>
        <w:spacing w:line="360" w:lineRule="auto"/>
        <w:rPr>
          <w:rFonts w:cs="宋体"/>
          <w:color w:val="000000"/>
          <w:sz w:val="24"/>
          <w:szCs w:val="24"/>
          <w:highlight w:val="none"/>
        </w:rPr>
      </w:pPr>
      <w:r>
        <w:rPr>
          <w:rFonts w:cs="宋体"/>
          <w:color w:val="000000"/>
          <w:sz w:val="24"/>
          <w:szCs w:val="24"/>
          <w:highlight w:val="none"/>
        </w:rPr>
        <w:t xml:space="preserve">甲乙双方依据《中华人民共和国民法典》以及有关法律、法规的规定，经协商一致，订立本合同，以便共同遵守。</w:t>
      </w:r>
      <w:r>
        <w:rPr>
          <w:rFonts w:cs="宋体"/>
          <w:color w:val="000000"/>
          <w:sz w:val="24"/>
          <w:szCs w:val="24"/>
          <w:highlight w:val="none"/>
        </w:rPr>
      </w:r>
      <w:r/>
    </w:p>
    <w:p>
      <w:pPr>
        <w:pStyle w:val="1168"/>
        <w:ind w:firstLine="487"/>
        <w:spacing w:line="360" w:lineRule="auto"/>
        <w:rPr>
          <w:rFonts w:cs="宋体"/>
          <w:b/>
          <w:color w:val="000000"/>
          <w:sz w:val="24"/>
          <w:szCs w:val="24"/>
          <w:highlight w:val="none"/>
        </w:rPr>
      </w:pPr>
      <w:r>
        <w:rPr>
          <w:rFonts w:cs="宋体"/>
          <w:b/>
          <w:color w:val="000000"/>
          <w:sz w:val="24"/>
          <w:szCs w:val="24"/>
          <w:highlight w:val="none"/>
        </w:rPr>
        <w:t xml:space="preserve">第一条 合同标的</w:t>
      </w:r>
      <w:r>
        <w:rPr>
          <w:rFonts w:cs="宋体"/>
          <w:b/>
          <w:color w:val="000000"/>
          <w:sz w:val="24"/>
          <w:szCs w:val="24"/>
          <w:highlight w:val="none"/>
        </w:rPr>
      </w:r>
      <w:r/>
    </w:p>
    <w:p>
      <w:pPr>
        <w:pStyle w:val="1129"/>
        <w:ind w:firstLine="484"/>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乙方根据甲方需求提供下列服务：10KV变电所运行值班服务，</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（一）10KV变电所运行值班服务的工作内容</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依照</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规定与管理要求，结合医院工作实际情况，制订切实可行的医院安全用电工作整体方案。具体服务内容工作内容如下：</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1.对医院10KV变电所的管理实行24小时值班管理。</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2.对设备的运行进行日常巡视并对设备进行仔细的检查和维护。定期对设备进行特殊巡视及必要的诊断工作。</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3.降低系统运行成本，定期根据运行记录对变电所的运行情况进行分析，对运行的经济性、安全性进行评估，根据用电现状及今后的发展提出合理化建议供院方参考。</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负责对安全保护工器具的检测工作</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值班人员要求</w:t>
      </w:r>
      <w:r>
        <w:rPr>
          <w:rFonts w:ascii="宋体" w:hAnsi="宋体" w:eastAsia="宋体"/>
          <w:color w:val="000000"/>
          <w:sz w:val="24"/>
          <w:szCs w:val="24"/>
          <w:highlight w:val="none"/>
          <w:lang w:val="en-US" w:eastAsia="zh-CN"/>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值班人员5名（其中1人兼任10KV变电所负责人）</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值班人员每班不少于2人。</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必须按岗位要求，配备值班人员，并保证实际到岗人数。</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在组织、安排值班工作时，应符合国家相关法规，维护值班人员的正当权益。</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对其用工行为承担一切法律责任。</w:t>
      </w:r>
      <w:r>
        <w:rPr>
          <w:rFonts w:hint="eastAsia" w:ascii="宋体" w:hAnsi="宋体"/>
          <w:color w:val="000000"/>
          <w:sz w:val="24"/>
          <w:szCs w:val="24"/>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值班人员均需持有江苏省安全生产监督管理局颁发的高压电工证，持证人员不得在其他单位注册登记。</w:t>
      </w:r>
      <w:r>
        <w:rPr>
          <w:rFonts w:hint="eastAsia" w:ascii="宋体" w:hAnsi="宋体"/>
          <w:color w:val="000000"/>
          <w:sz w:val="24"/>
          <w:szCs w:val="24"/>
          <w:highlight w:val="none"/>
        </w:rPr>
      </w:r>
      <w:r/>
    </w:p>
    <w:p>
      <w:pPr>
        <w:pStyle w:val="1168"/>
        <w:ind w:firstLine="484"/>
        <w:spacing w:line="360" w:lineRule="auto"/>
        <w:rPr>
          <w:rFonts w:cs="宋体"/>
          <w:b/>
          <w:color w:val="000000"/>
          <w:sz w:val="24"/>
          <w:szCs w:val="24"/>
          <w:highlight w:val="none"/>
        </w:rPr>
      </w:pPr>
      <w:r>
        <w:rPr>
          <w:rFonts w:hint="eastAsia" w:ascii="宋体" w:hAnsi="宋体" w:eastAsia="宋体" w:cs="宋体"/>
          <w:color w:val="000000"/>
          <w:sz w:val="24"/>
          <w:highlight w:val="none"/>
          <w:lang w:val="en-US" w:eastAsia="zh-CN"/>
        </w:rPr>
        <w:t xml:space="preserve">（三）服务期限：服务期限为三年（   年  月   日-   年  月  日），合同一年一签，本合同履行期限自    年  月  日至   年  月  日。每年合同期满经</w:t>
      </w:r>
      <w:r>
        <w:rPr>
          <w:rFonts w:hint="eastAsia"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lang w:val="en-US" w:eastAsia="zh-CN"/>
        </w:rPr>
        <w:t xml:space="preserve">考核合格后续签下一年度合同。</w:t>
      </w:r>
      <w:r>
        <w:rPr>
          <w:rFonts w:cs="宋体"/>
          <w:b/>
          <w:color w:val="000000"/>
          <w:sz w:val="24"/>
          <w:szCs w:val="24"/>
          <w:highlight w:val="none"/>
        </w:rPr>
      </w:r>
      <w:r/>
    </w:p>
    <w:p>
      <w:pPr>
        <w:pStyle w:val="1168"/>
        <w:ind w:firstLine="487"/>
        <w:spacing w:line="360" w:lineRule="auto"/>
        <w:rPr>
          <w:rFonts w:cs="宋体"/>
          <w:b/>
          <w:color w:val="000000"/>
          <w:sz w:val="24"/>
          <w:szCs w:val="24"/>
          <w:highlight w:val="none"/>
        </w:rPr>
      </w:pPr>
      <w:r>
        <w:rPr>
          <w:rFonts w:cs="宋体"/>
          <w:b/>
          <w:color w:val="000000"/>
          <w:sz w:val="24"/>
          <w:szCs w:val="24"/>
          <w:highlight w:val="none"/>
        </w:rPr>
        <w:t xml:space="preserve">第二条 合同价格</w:t>
      </w:r>
      <w:r>
        <w:rPr>
          <w:rFonts w:cs="宋体"/>
          <w:b/>
          <w:color w:val="000000"/>
          <w:sz w:val="24"/>
          <w:szCs w:val="24"/>
          <w:highlight w:val="none"/>
        </w:rPr>
      </w:r>
      <w:r/>
    </w:p>
    <w:p>
      <w:pPr>
        <w:pStyle w:val="1168"/>
        <w:ind w:firstLine="487"/>
        <w:jc w:val="left"/>
        <w:spacing w:line="360" w:lineRule="auto"/>
        <w:rPr>
          <w:rFonts w:cs="宋体"/>
          <w:b/>
          <w:color w:val="000000"/>
          <w:sz w:val="24"/>
          <w:szCs w:val="24"/>
          <w:highlight w:val="none"/>
        </w:rPr>
      </w:pPr>
      <w:r>
        <w:rPr>
          <w:rFonts w:cs="宋体"/>
          <w:b/>
          <w:color w:val="000000"/>
          <w:sz w:val="24"/>
          <w:szCs w:val="24"/>
          <w:highlight w:val="none"/>
        </w:rPr>
        <w:t xml:space="preserve">签约合同总价（</w:t>
      </w:r>
      <w:r>
        <w:rPr>
          <w:rFonts w:cs="宋体"/>
          <w:b/>
          <w:color w:val="000000"/>
          <w:sz w:val="24"/>
          <w:szCs w:val="24"/>
          <w:highlight w:val="none"/>
        </w:rPr>
        <w:t xml:space="preserve">人民币，下同）：</w:t>
      </w:r>
      <w:r>
        <w:rPr>
          <w:rFonts w:cs="宋体"/>
          <w:b/>
          <w:color w:val="000000"/>
          <w:sz w:val="24"/>
          <w:szCs w:val="24"/>
          <w:highlight w:val="none"/>
          <w:u w:val="single"/>
        </w:rPr>
        <w:t xml:space="preserve">             元</w:t>
      </w:r>
      <w:r>
        <w:rPr>
          <w:rFonts w:cs="宋体"/>
          <w:b/>
          <w:color w:val="000000"/>
          <w:sz w:val="24"/>
          <w:szCs w:val="24"/>
          <w:highlight w:val="none"/>
        </w:rPr>
        <w:t xml:space="preserve">（小写       ）。 </w:t>
      </w:r>
      <w:r>
        <w:rPr>
          <w:rFonts w:cs="宋体"/>
          <w:b/>
          <w:color w:val="000000"/>
          <w:sz w:val="24"/>
          <w:szCs w:val="24"/>
          <w:highlight w:val="none"/>
        </w:rPr>
      </w:r>
      <w:r/>
    </w:p>
    <w:p>
      <w:pPr>
        <w:pStyle w:val="1168"/>
        <w:ind w:firstLine="484"/>
        <w:spacing w:line="360" w:lineRule="auto"/>
        <w:rPr>
          <w:rFonts w:hint="eastAsia" w:cs="宋体"/>
          <w:color w:val="000000"/>
          <w:sz w:val="24"/>
          <w:szCs w:val="24"/>
          <w:highlight w:val="none"/>
        </w:rPr>
      </w:pPr>
      <w:r>
        <w:rPr>
          <w:rFonts w:cs="宋体"/>
          <w:color w:val="000000"/>
          <w:sz w:val="24"/>
          <w:szCs w:val="24"/>
          <w:highlight w:val="none"/>
        </w:rPr>
        <w:t xml:space="preserve">本合同总价</w:t>
      </w:r>
      <w:r>
        <w:rPr>
          <w:rFonts w:hint="eastAsia" w:cs="宋体"/>
          <w:color w:val="000000"/>
          <w:sz w:val="24"/>
          <w:szCs w:val="24"/>
          <w:highlight w:val="none"/>
        </w:rPr>
        <w:t xml:space="preserve">包括</w:t>
      </w:r>
      <w:r>
        <w:rPr>
          <w:rFonts w:hint="eastAsia" w:cs="宋体"/>
          <w:color w:val="000000"/>
          <w:sz w:val="24"/>
          <w:szCs w:val="24"/>
          <w:highlight w:val="none"/>
          <w:lang w:val="en-US" w:eastAsia="zh-CN"/>
        </w:rPr>
        <w:t xml:space="preserve">招标</w:t>
      </w:r>
      <w:r>
        <w:rPr>
          <w:rFonts w:hint="eastAsia" w:cs="宋体"/>
          <w:color w:val="000000"/>
          <w:sz w:val="24"/>
          <w:szCs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cs="宋体"/>
          <w:color w:val="000000"/>
          <w:sz w:val="24"/>
          <w:szCs w:val="24"/>
          <w:highlight w:val="none"/>
        </w:rPr>
      </w:r>
      <w:r/>
    </w:p>
    <w:p>
      <w:pPr>
        <w:pStyle w:val="1168"/>
        <w:ind w:firstLine="484"/>
        <w:spacing w:line="360" w:lineRule="auto"/>
        <w:rPr>
          <w:rFonts w:cs="宋体"/>
          <w:color w:val="000000"/>
          <w:sz w:val="24"/>
          <w:szCs w:val="24"/>
          <w:highlight w:val="none"/>
        </w:rPr>
      </w:pPr>
      <w:r>
        <w:rPr>
          <w:rFonts w:cs="宋体"/>
          <w:color w:val="000000"/>
          <w:sz w:val="24"/>
          <w:szCs w:val="24"/>
          <w:highlight w:val="none"/>
        </w:rPr>
        <w:t xml:space="preserve">本合同总价款还包含乙方应当提供的伴随服务/售后服务费用。</w:t>
      </w:r>
      <w:r>
        <w:rPr>
          <w:rFonts w:cs="宋体"/>
          <w:color w:val="000000"/>
          <w:sz w:val="24"/>
          <w:szCs w:val="24"/>
          <w:highlight w:val="none"/>
        </w:rPr>
      </w:r>
      <w:r/>
    </w:p>
    <w:p>
      <w:pPr>
        <w:pStyle w:val="1168"/>
        <w:ind w:firstLine="487"/>
        <w:spacing w:line="360" w:lineRule="auto"/>
        <w:rPr>
          <w:rFonts w:cs="宋体"/>
          <w:b/>
          <w:color w:val="000000"/>
          <w:sz w:val="24"/>
          <w:szCs w:val="24"/>
          <w:highlight w:val="none"/>
        </w:rPr>
      </w:pPr>
      <w:r>
        <w:rPr>
          <w:rFonts w:cs="宋体"/>
          <w:b/>
          <w:color w:val="000000"/>
          <w:sz w:val="24"/>
          <w:szCs w:val="24"/>
          <w:highlight w:val="none"/>
        </w:rPr>
        <w:t xml:space="preserve">第三条 组成本合同的有关文件</w:t>
      </w:r>
      <w:r>
        <w:rPr>
          <w:rFonts w:cs="宋体"/>
          <w:b/>
          <w:color w:val="000000"/>
          <w:sz w:val="24"/>
          <w:szCs w:val="24"/>
          <w:highlight w:val="none"/>
        </w:rPr>
      </w:r>
      <w:r/>
    </w:p>
    <w:p>
      <w:pPr>
        <w:pStyle w:val="1168"/>
        <w:ind w:firstLine="484"/>
        <w:spacing w:line="360" w:lineRule="auto"/>
        <w:rPr>
          <w:rFonts w:cs="宋体"/>
          <w:color w:val="000000"/>
          <w:sz w:val="24"/>
          <w:szCs w:val="24"/>
          <w:highlight w:val="none"/>
        </w:rPr>
      </w:pPr>
      <w:r>
        <w:rPr>
          <w:rFonts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cs="宋体"/>
          <w:color w:val="000000"/>
          <w:sz w:val="24"/>
          <w:szCs w:val="24"/>
          <w:highlight w:val="none"/>
        </w:rPr>
      </w:r>
      <w:r/>
    </w:p>
    <w:p>
      <w:pPr>
        <w:pStyle w:val="1168"/>
        <w:ind w:firstLine="484"/>
        <w:spacing w:line="360" w:lineRule="auto"/>
        <w:rPr>
          <w:rFonts w:cs="宋体"/>
          <w:color w:val="000000"/>
          <w:sz w:val="24"/>
          <w:szCs w:val="24"/>
          <w:highlight w:val="none"/>
        </w:rPr>
      </w:pPr>
      <w:r>
        <w:rPr>
          <w:rFonts w:cs="宋体"/>
          <w:color w:val="000000"/>
          <w:sz w:val="24"/>
          <w:szCs w:val="24"/>
          <w:highlight w:val="none"/>
        </w:rPr>
        <w:t xml:space="preserve">（1）</w:t>
      </w:r>
      <w:r>
        <w:rPr>
          <w:rFonts w:hint="eastAsia" w:cs="宋体"/>
          <w:color w:val="000000"/>
          <w:sz w:val="24"/>
          <w:szCs w:val="24"/>
          <w:highlight w:val="none"/>
          <w:lang w:val="en-US" w:eastAsia="zh-CN"/>
        </w:rPr>
        <w:t xml:space="preserve">招标</w:t>
      </w:r>
      <w:r>
        <w:rPr>
          <w:rFonts w:cs="宋体"/>
          <w:color w:val="000000"/>
          <w:sz w:val="24"/>
          <w:szCs w:val="24"/>
          <w:highlight w:val="none"/>
        </w:rPr>
        <w:t xml:space="preserve">文件（编号：   ）          </w:t>
      </w:r>
      <w:r>
        <w:rPr>
          <w:rFonts w:hint="eastAsia" w:cs="宋体"/>
          <w:color w:val="000000"/>
          <w:sz w:val="24"/>
          <w:szCs w:val="24"/>
          <w:highlight w:val="none"/>
          <w:lang w:val="en-US" w:eastAsia="zh-CN"/>
        </w:rPr>
        <w:t xml:space="preserve">      </w:t>
      </w:r>
      <w:r>
        <w:rPr>
          <w:rFonts w:cs="宋体"/>
          <w:color w:val="000000"/>
          <w:sz w:val="24"/>
          <w:szCs w:val="24"/>
          <w:highlight w:val="none"/>
        </w:rPr>
        <w:t xml:space="preserve">（2）乙方提供的</w:t>
      </w:r>
      <w:r>
        <w:rPr>
          <w:rFonts w:hint="eastAsia" w:cs="宋体"/>
          <w:color w:val="000000"/>
          <w:sz w:val="24"/>
          <w:szCs w:val="24"/>
          <w:highlight w:val="none"/>
          <w:lang w:val="en-US" w:eastAsia="zh-CN"/>
        </w:rPr>
        <w:t xml:space="preserve">投标</w:t>
      </w:r>
      <w:r>
        <w:rPr>
          <w:rFonts w:cs="宋体"/>
          <w:color w:val="000000"/>
          <w:sz w:val="24"/>
          <w:szCs w:val="24"/>
          <w:highlight w:val="none"/>
        </w:rPr>
        <w:t xml:space="preserve">文件； </w:t>
      </w:r>
      <w:r>
        <w:rPr>
          <w:rFonts w:cs="宋体"/>
          <w:color w:val="000000"/>
          <w:sz w:val="24"/>
          <w:szCs w:val="24"/>
          <w:highlight w:val="none"/>
        </w:rPr>
      </w:r>
      <w:r/>
    </w:p>
    <w:p>
      <w:pPr>
        <w:pStyle w:val="1168"/>
        <w:ind w:firstLine="484"/>
        <w:spacing w:line="360" w:lineRule="auto"/>
        <w:rPr>
          <w:rFonts w:cs="宋体"/>
          <w:color w:val="000000"/>
          <w:sz w:val="24"/>
          <w:szCs w:val="24"/>
          <w:highlight w:val="none"/>
        </w:rPr>
      </w:pPr>
      <w:r>
        <w:rPr>
          <w:rFonts w:cs="宋体"/>
          <w:color w:val="000000"/>
          <w:sz w:val="24"/>
          <w:szCs w:val="24"/>
          <w:highlight w:val="none"/>
        </w:rPr>
        <w:t xml:space="preserve">（3）</w:t>
      </w:r>
      <w:r>
        <w:rPr>
          <w:rFonts w:hint="eastAsia" w:cs="宋体"/>
          <w:color w:val="000000"/>
          <w:sz w:val="24"/>
          <w:szCs w:val="24"/>
          <w:highlight w:val="none"/>
          <w:lang w:val="en-US" w:eastAsia="zh-CN"/>
        </w:rPr>
        <w:t xml:space="preserve">中标</w:t>
      </w:r>
      <w:r>
        <w:rPr>
          <w:rFonts w:cs="宋体"/>
          <w:color w:val="000000"/>
          <w:sz w:val="24"/>
          <w:szCs w:val="24"/>
          <w:highlight w:val="none"/>
        </w:rPr>
        <w:t xml:space="preserve">通知书；                         （4）甲乙双方商定的其他文件等。</w:t>
      </w:r>
      <w:r>
        <w:rPr>
          <w:rFonts w:cs="宋体"/>
          <w:color w:val="000000"/>
          <w:sz w:val="24"/>
          <w:szCs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第四条 合同款结算及支付</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3.结算原则：</w:t>
      </w:r>
      <w:r>
        <w:rPr>
          <w:rFonts w:hint="eastAsia" w:ascii="宋体" w:hAnsi="宋体" w:cs="宋体"/>
          <w:color w:val="000000"/>
          <w:sz w:val="24"/>
          <w:highlight w:val="none"/>
          <w:lang w:val="en-US" w:eastAsia="zh-CN"/>
        </w:rPr>
        <w:t xml:space="preserve">固定总价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4.付款方式：本项目服务费按季度付款，</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于每季度结束后5日内对</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进行考核,根据考核得分等级支付上一季度的托管费用。</w:t>
      </w:r>
      <w:r>
        <w:rPr>
          <w:rFonts w:hint="eastAsia" w:ascii="宋体" w:hAnsi="宋体" w:cs="宋体"/>
          <w:color w:val="000000"/>
          <w:sz w:val="24"/>
          <w:highlight w:val="none"/>
        </w:rPr>
      </w:r>
      <w:r/>
    </w:p>
    <w:p>
      <w:pPr>
        <w:pStyle w:val="1129"/>
        <w:ind w:firstLine="484"/>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注：</w:t>
      </w:r>
      <w:r>
        <w:rPr>
          <w:rFonts w:hint="eastAsia" w:ascii="宋体" w:hAnsi="宋体" w:cs="宋体"/>
          <w:color w:val="000000"/>
          <w:sz w:val="24"/>
          <w:highlight w:val="none"/>
          <w:lang w:val="en-US" w:eastAsia="zh-CN"/>
        </w:rPr>
        <w:t xml:space="preserve">合同期内如果因甲方工作需要而增减的人员，甲方与乙方结算费用时将按照人均月单价与实际派驻人员按实结算。</w:t>
      </w:r>
      <w:r>
        <w:rPr>
          <w:rFonts w:hint="eastAsia" w:ascii="宋体" w:hAnsi="宋体" w:eastAsia="宋体" w:cs="宋体"/>
          <w:color w:val="000000"/>
          <w:sz w:val="24"/>
          <w:highlight w:val="none"/>
          <w:lang w:val="en-US" w:eastAsia="zh-CN"/>
        </w:rPr>
      </w:r>
      <w:r/>
    </w:p>
    <w:p>
      <w:pPr>
        <w:pStyle w:val="1129"/>
        <w:ind w:firstLine="48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5.考核要求：考核分在 85分及以上的，全额支付服务费；考核在85分以下75分及以上的，每降1分，支付金额在100%的基础上相应扣减1%；考核分在75分以下65分及以上，每降1分，支</w:t>
      </w:r>
      <w:r>
        <w:rPr>
          <w:rFonts w:hint="eastAsia" w:ascii="宋体" w:hAnsi="宋体" w:eastAsia="宋体" w:cs="宋体"/>
          <w:color w:val="000000"/>
          <w:sz w:val="24"/>
          <w:highlight w:val="none"/>
          <w:lang w:val="en-US" w:eastAsia="zh-CN"/>
        </w:rPr>
        <w:t xml:space="preserve">付金额在90%的基础上相应扣减2%；考核分在65分以下60分及以上，每降1分，支付金额在70%的基础上相应扣减3%；考核分数在60分以下，采购人有权单方面终止服务合同，采购人不负任何责任。合同期内连续2个月考核均在 65 分以下的，采购人发警告通知书，合同期内发出3次警告通知书后，采购人有权单方面终止服务合同, 采购人不负任何责任。全年考核分数平均在80分及以上的可续签合同，在65 分以下的终止合同。如果保安管理服务质量严重与双方达成协议偏离，招标人有权扣除上季度的服务费，造成重大损失将追究责任并赔偿损失。</w:t>
      </w:r>
      <w:r>
        <w:rPr>
          <w:rFonts w:hint="eastAsia" w:ascii="宋体" w:hAnsi="宋体" w:eastAsia="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违约责任</w:t>
      </w:r>
      <w:r>
        <w:rPr>
          <w:rFonts w:hint="eastAsia" w:ascii="宋体" w:hAnsi="宋体" w:cs="宋体"/>
          <w:b/>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.乙方未按本合同的规定和“服务承诺”提供伴随服务的，甲方有权提前解除本合同，同时乙方应按合同总价款的5%向甲方承担违约责任。</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.乙方属虚假承诺，或是由于乙方的过错造成合同无法继续履行的，应向甲方支付不少于合同总价30%违约金，若该违约金不足以弥补甲方损失，则应当赔偿甲方所有损失。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112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.其他未尽事宜，以《民法典》等有关法律法规规定为准，无相关规定的，双方协商解决。</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合同的变更和终止</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合同</w:t>
      </w:r>
      <w:r>
        <w:rPr>
          <w:rFonts w:hint="eastAsia" w:ascii="宋体" w:hAnsi="宋体" w:cs="宋体"/>
          <w:b/>
          <w:color w:val="000000"/>
          <w:sz w:val="24"/>
          <w:highlight w:val="none"/>
        </w:rPr>
        <w:t xml:space="preserve">的转让</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不可抗力</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争议的解决</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诚实信用 </w:t>
      </w:r>
      <w:r>
        <w:rPr>
          <w:rFonts w:hint="eastAsia" w:ascii="宋体" w:hAnsi="宋体" w:cs="宋体"/>
          <w:b/>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文件要求和</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承诺履行合同，不向甲方进行商业贿赂或者提供不正当利益。</w:t>
      </w:r>
      <w:r>
        <w:rPr>
          <w:rFonts w:hint="eastAsia" w:ascii="宋体" w:hAnsi="宋体" w:cs="宋体"/>
          <w:color w:val="000000"/>
          <w:sz w:val="24"/>
          <w:highlight w:val="none"/>
        </w:rPr>
      </w:r>
      <w:r/>
    </w:p>
    <w:p>
      <w:pPr>
        <w:pStyle w:val="1129"/>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合同生效及其他</w:t>
      </w:r>
      <w:r>
        <w:rPr>
          <w:rFonts w:hint="eastAsia" w:ascii="宋体" w:hAnsi="宋体" w:cs="宋体"/>
          <w:b/>
          <w:color w:val="000000"/>
          <w:sz w:val="24"/>
          <w:highlight w:val="none"/>
        </w:rPr>
      </w:r>
      <w:r/>
    </w:p>
    <w:p>
      <w:pPr>
        <w:pStyle w:val="1129"/>
        <w:ind w:firstLine="48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hint="eastAsia" w:ascii="宋体" w:hAnsi="宋体" w:cs="宋体"/>
          <w:color w:val="000000"/>
          <w:sz w:val="24"/>
          <w:highlight w:val="none"/>
        </w:rPr>
      </w:r>
      <w:r/>
    </w:p>
    <w:p>
      <w:pPr>
        <w:pStyle w:val="1129"/>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112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9"/>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9"/>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hint="eastAsia" w:ascii="宋体" w:hAnsi="宋体" w:cs="宋体"/>
          <w:color w:val="000000"/>
          <w:sz w:val="24"/>
          <w:highlight w:val="none"/>
          <w:u w:val="single"/>
        </w:rPr>
      </w:r>
      <w:r/>
    </w:p>
    <w:p>
      <w:pPr>
        <w:pStyle w:val="1129"/>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hint="eastAsia" w:ascii="宋体" w:hAnsi="宋体" w:cs="宋体"/>
          <w:color w:val="000000"/>
          <w:sz w:val="24"/>
          <w:highlight w:val="none"/>
          <w:u w:val="single"/>
        </w:rPr>
      </w:r>
      <w:r/>
    </w:p>
    <w:p>
      <w:pPr>
        <w:pStyle w:val="11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hint="eastAsia" w:ascii="宋体" w:hAnsi="宋体" w:cs="宋体"/>
          <w:color w:val="000000"/>
          <w:sz w:val="24"/>
          <w:highlight w:val="none"/>
        </w:rPr>
      </w:r>
      <w:r/>
    </w:p>
    <w:p>
      <w:pPr>
        <w:pStyle w:val="11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                                   电话：            传真：</w:t>
      </w:r>
      <w:r>
        <w:rPr>
          <w:rFonts w:hint="eastAsia" w:ascii="宋体" w:hAnsi="宋体" w:cs="宋体"/>
          <w:color w:val="000000"/>
          <w:sz w:val="24"/>
          <w:highlight w:val="none"/>
        </w:rPr>
      </w:r>
      <w:r/>
    </w:p>
    <w:p>
      <w:pPr>
        <w:pStyle w:val="11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r>
      <w:r/>
    </w:p>
    <w:p>
      <w:pPr>
        <w:pStyle w:val="112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29"/>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29"/>
        <w:jc w:val="left"/>
        <w:widowControl/>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223"/>
        <w:contextualSpacing/>
        <w:ind w:left="-1" w:firstLine="480"/>
        <w:jc w:val="left"/>
        <w:spacing w:line="360" w:lineRule="auto"/>
        <w:tabs>
          <w:tab w:val="left" w:pos="567" w:leader="none"/>
          <w:tab w:val="left" w:pos="1134" w:leader="none"/>
        </w:tabs>
        <w:rPr>
          <w:rFonts w:hint="eastAsia" w:ascii="宋体" w:hAnsi="宋体" w:eastAsia="宋体" w:cs="Times New Roman"/>
          <w:color w:val="000000"/>
          <w:sz w:val="24"/>
          <w:szCs w:val="24"/>
          <w:highlight w:val="none"/>
        </w:rPr>
      </w:pPr>
      <w:r>
        <w:rPr>
          <w:rFonts w:hint="eastAsia" w:ascii="宋体" w:hAnsi="宋体"/>
          <w:b/>
          <w:color w:val="000000"/>
          <w:sz w:val="36"/>
          <w:szCs w:val="36"/>
          <w:highlight w:val="none"/>
        </w:rPr>
        <w:br w:type="page" w:clear="all"/>
      </w:r>
      <w:r>
        <w:rPr>
          <w:rFonts w:hint="eastAsia" w:ascii="宋体" w:hAnsi="宋体" w:eastAsia="宋体" w:cs="Times New Roman"/>
          <w:color w:val="000000"/>
          <w:sz w:val="24"/>
          <w:szCs w:val="24"/>
          <w:highlight w:val="none"/>
          <w:lang w:val="en-US" w:eastAsia="zh-CN"/>
        </w:rPr>
        <w:t xml:space="preserve">附件：</w:t>
      </w:r>
      <w:r>
        <w:rPr>
          <w:rFonts w:hint="eastAsia" w:ascii="宋体" w:hAnsi="宋体" w:eastAsia="宋体" w:cs="Times New Roman"/>
          <w:color w:val="000000"/>
          <w:sz w:val="24"/>
          <w:szCs w:val="24"/>
          <w:highlight w:val="none"/>
        </w:rPr>
        <w:t xml:space="preserve">考核细则</w:t>
      </w:r>
      <w:r>
        <w:rPr>
          <w:rFonts w:hint="eastAsia" w:ascii="宋体" w:hAnsi="宋体" w:eastAsia="宋体" w:cs="Times New Roman"/>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992"/>
        <w:gridCol w:w="6236"/>
        <w:gridCol w:w="1241"/>
      </w:tblGrid>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4"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类别</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违规情况</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考核扣分</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管理制度</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未建立设备管理制度、运行管理制度或未按制度建立相关台帐</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未制定设备维修保养计划及实施方案</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工作票、操作票保存不完整</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消防器具未定期清点或无检查记录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安全工具存放混乱、无台账或记录不全</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安全工器具未按规定周期进行试验或无试验记录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外来人员进出未按要求进行登记或无登记记录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未按计划每月检查、试验报警装置的完好性或无检查记录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未进行春、秋安全大检查或无检查记录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下雨时未及时对房屋渗漏情况进行检查，并采取措施</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雨季来临前未对地下室、电缆沟、电缆隧道等排水设施进行检查和疏通</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雨后未及时解决地下室、电缆沟、电缆隧道等的积水问题</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配电室、蓄电池室、电缆层室等出入门防鼠板缺失</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停电工作时无临时遮拦或未悬挂警示牌</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设备室或设备区有易燃易爆物品</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重要节假日、活动、会议期间未按医院要求实施保电措施</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值班人员出现脱岗情况</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处理事故或倒闸操作时进行交、接班</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未按运行规程进行定期定点巡视或无巡视检查记录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大风、雷雨、冰雪等异常天气未进行特殊巡视</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发生故障或接到抢修要求后未在合同约定时间内到场解决</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发生事故不及时报告或瞒报</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因管理不善或操作不当造成事故或财产损失</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534" w:type="dxa"/>
            <w:vAlign w:val="center"/>
            <w:vMerge w:val="restart"/>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设备管理</w:t>
            </w: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未定期巡视检查，导致设备工作异常时不能及时发现</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未按规定程序操作开关柜，造成元器件损坏</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未制定设备维护计划</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170"/>
        </w:trPr>
        <w:tc>
          <w:tcPr>
            <w:tcW w:w="441"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534" w:type="dxa"/>
            <w:vAlign w:val="center"/>
            <w:vMerge w:val="continue"/>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7"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未按计划进行维护或无维护记录</w:t>
            </w:r>
            <w:r>
              <w:rPr>
                <w:rFonts w:hint="eastAsia" w:ascii="宋体" w:hAnsi="宋体" w:eastAsia="宋体" w:cs="宋体"/>
                <w:color w:val="000000"/>
                <w:sz w:val="24"/>
                <w:szCs w:val="24"/>
                <w:highlight w:val="none"/>
              </w:rPr>
            </w:r>
            <w:r/>
          </w:p>
        </w:tc>
        <w:tc>
          <w:tcPr>
            <w:tcW w:w="669" w:type="dxa"/>
            <w:vAlign w:val="center"/>
            <w:textDirection w:val="lrTb"/>
            <w:noWrap w:val="false"/>
          </w:tcPr>
          <w:p>
            <w:pPr>
              <w:pStyle w:val="1307"/>
              <w:ind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bl>
    <w:p>
      <w:pPr>
        <w:pStyle w:val="1129"/>
        <w:jc w:val="center"/>
        <w:spacing w:line="360" w:lineRule="auto"/>
        <w:rPr>
          <w:rFonts w:hint="eastAsia" w:eastAsia="宋体"/>
          <w:b/>
          <w:color w:val="000000"/>
          <w:sz w:val="36"/>
          <w:szCs w:val="36"/>
          <w:highlight w:val="none"/>
          <w:lang w:val="en-US" w:eastAsia="zh-CN"/>
        </w:rPr>
        <w:outlineLvl w:val="0"/>
      </w:pPr>
      <w:r>
        <w:rPr>
          <w:rFonts w:hint="eastAsia" w:eastAsia="宋体"/>
          <w:b/>
          <w:color w:val="000000"/>
          <w:sz w:val="36"/>
          <w:szCs w:val="36"/>
          <w:highlight w:val="none"/>
          <w:lang w:val="en-US" w:eastAsia="zh-CN"/>
        </w:rPr>
      </w:r>
      <w:r/>
    </w:p>
    <w:p>
      <w:pPr>
        <w:pStyle w:val="1129"/>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bookmarkStart w:id="816" w:name="_Toc99301426"/>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112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12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129"/>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12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12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129"/>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129"/>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29"/>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129"/>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129"/>
        <w:rPr>
          <w:rFonts w:ascii="宋体" w:hAnsi="宋体"/>
          <w:b/>
          <w:color w:val="000000"/>
          <w:spacing w:val="20"/>
          <w:szCs w:val="21"/>
          <w:highlight w:val="none"/>
        </w:rPr>
      </w:pPr>
      <w:r>
        <w:rPr>
          <w:rFonts w:ascii="宋体" w:hAnsi="宋体"/>
          <w:b/>
          <w:color w:val="000000"/>
          <w:spacing w:val="20"/>
          <w:szCs w:val="21"/>
          <w:highlight w:val="none"/>
        </w:rPr>
      </w:r>
      <w:r/>
    </w:p>
    <w:p>
      <w:pPr>
        <w:pStyle w:val="1129"/>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129"/>
        <w:jc w:val="center"/>
        <w:rPr>
          <w:rFonts w:ascii="宋体" w:hAnsi="宋体"/>
          <w:color w:val="000000"/>
          <w:szCs w:val="21"/>
          <w:highlight w:val="none"/>
        </w:rPr>
      </w:pPr>
      <w:r>
        <w:rPr>
          <w:rFonts w:ascii="宋体" w:hAnsi="宋体"/>
          <w:color w:val="000000"/>
          <w:szCs w:val="21"/>
          <w:highlight w:val="none"/>
        </w:rPr>
      </w:r>
      <w:r/>
    </w:p>
    <w:p>
      <w:pPr>
        <w:pStyle w:val="1129"/>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12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12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12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12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12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9"/>
        <w:jc w:val="center"/>
        <w:rPr>
          <w:rFonts w:ascii="宋体" w:hAnsi="宋体"/>
          <w:b/>
          <w:color w:val="000000"/>
          <w:sz w:val="32"/>
          <w:szCs w:val="32"/>
          <w:highlight w:val="none"/>
        </w:rPr>
      </w:pPr>
      <w:r>
        <w:rPr>
          <w:rFonts w:ascii="宋体" w:hAnsi="宋体"/>
          <w:b/>
          <w:color w:val="000000"/>
          <w:sz w:val="32"/>
          <w:szCs w:val="32"/>
          <w:highlight w:val="none"/>
        </w:rPr>
      </w:r>
      <w:r/>
    </w:p>
    <w:p>
      <w:pPr>
        <w:pStyle w:val="1129"/>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129"/>
        <w:rPr>
          <w:rFonts w:ascii="宋体" w:hAnsi="宋体"/>
          <w:b/>
          <w:color w:val="000000"/>
          <w:highlight w:val="none"/>
        </w:rPr>
      </w:pPr>
      <w:r>
        <w:rPr>
          <w:rFonts w:ascii="宋体" w:hAnsi="宋体"/>
          <w:b/>
          <w:color w:val="000000"/>
          <w:highlight w:val="none"/>
        </w:rPr>
      </w:r>
      <w:r/>
    </w:p>
    <w:p>
      <w:pPr>
        <w:pStyle w:val="1129"/>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132"/>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12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12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43"/>
        <w:ind w:firstLine="480"/>
        <w:spacing w:line="460" w:lineRule="exact"/>
        <w:rPr>
          <w:rFonts w:hAnsi="宋体"/>
          <w:color w:val="000000"/>
          <w:highlight w:val="none"/>
        </w:rPr>
      </w:pP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43"/>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43"/>
        <w:ind w:firstLine="480"/>
        <w:spacing w:line="460" w:lineRule="exact"/>
        <w:rPr>
          <w:rFonts w:hAnsi="宋体"/>
          <w:color w:val="000000"/>
          <w:highlight w:val="none"/>
        </w:rPr>
      </w:pP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r>
      <w:r/>
    </w:p>
    <w:p>
      <w:pPr>
        <w:pStyle w:val="1143"/>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r>
      <w:r/>
    </w:p>
    <w:p>
      <w:pPr>
        <w:pStyle w:val="1143"/>
        <w:ind w:firstLine="480"/>
        <w:spacing w:line="460" w:lineRule="exact"/>
        <w:rPr>
          <w:rFonts w:hAnsi="宋体"/>
          <w:color w:val="000000"/>
          <w:highlight w:val="none"/>
        </w:rPr>
      </w:pPr>
      <w:r>
        <w:rPr>
          <w:rFonts w:hAnsi="宋体"/>
          <w:color w:val="000000"/>
          <w:highlight w:val="none"/>
        </w:rPr>
      </w:r>
      <w:r/>
    </w:p>
    <w:p>
      <w:pPr>
        <w:pStyle w:val="1143"/>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43"/>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43"/>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12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2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2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29"/>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12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129"/>
        <w:spacing w:line="360" w:lineRule="auto"/>
        <w:rPr>
          <w:rFonts w:ascii="宋体" w:hAnsi="宋体"/>
          <w:color w:val="000000"/>
          <w:sz w:val="24"/>
          <w:szCs w:val="20"/>
          <w:highlight w:val="none"/>
        </w:rPr>
        <w:outlineLvl w:val="2"/>
      </w:pPr>
      <w:r>
        <w:rPr>
          <w:rFonts w:ascii="宋体" w:hAnsi="宋体"/>
          <w:b/>
          <w:color w:val="000000"/>
          <w:sz w:val="24"/>
          <w:szCs w:val="20"/>
          <w:highlight w:val="none"/>
        </w:rPr>
        <w:t xml:space="preserve">2-1中小企业声明函</w:t>
      </w:r>
      <w:r>
        <w:rPr>
          <w:rFonts w:ascii="宋体" w:hAnsi="宋体"/>
          <w:color w:val="000000"/>
          <w:sz w:val="24"/>
          <w:szCs w:val="20"/>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（1）如本项目（包）不专门面向中小企业预留采购份额，</w:t>
      </w:r>
      <w:r>
        <w:rPr>
          <w:rFonts w:hint="eastAsia" w:ascii="宋体" w:hAnsi="宋体"/>
          <w:color w:val="000000"/>
          <w:sz w:val="24"/>
          <w:highlight w:val="none"/>
        </w:rPr>
        <w:t xml:space="preserve">资格证明文件部分</w:t>
      </w:r>
      <w:r>
        <w:rPr>
          <w:rFonts w:ascii="宋体" w:hAnsi="宋体"/>
          <w:color w:val="000000"/>
          <w:sz w:val="24"/>
          <w:highlight w:val="none"/>
        </w:rPr>
        <w:t xml:space="preserve">无需提供《中小企业声明函》。</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（2）如本项目（包）专门面向中小/小微企业采购，须提供《中小企业声明函》</w:t>
      </w:r>
      <w:r>
        <w:rPr>
          <w:rFonts w:ascii="宋体" w:hAnsi="宋体"/>
          <w:color w:val="000000"/>
          <w:sz w:val="24"/>
          <w:szCs w:val="20"/>
          <w:highlight w:val="none"/>
        </w:rPr>
        <w:t xml:space="preserve">（实质性格式）</w:t>
      </w:r>
      <w:r>
        <w:rPr>
          <w:rFonts w:ascii="宋体" w:hAnsi="宋体"/>
          <w:color w:val="000000"/>
          <w:sz w:val="24"/>
          <w:highlight w:val="none"/>
        </w:rPr>
        <w:t xml:space="preserve">。</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（4）其他</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1）中小企业参加政府采购活动，应当出具此格式文件。《中小企业声明函》由参加政府采购活动的投标人出具。联合体投标的，《中小企业声明函》由牵头人出具。</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ascii="宋体" w:hAnsi="宋体"/>
          <w:color w:val="000000"/>
          <w:sz w:val="24"/>
          <w:highlight w:val="none"/>
        </w:rPr>
      </w:r>
      <w:r/>
    </w:p>
    <w:p>
      <w:pPr>
        <w:pStyle w:val="112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129"/>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129"/>
        <w:jc w:val="center"/>
        <w:spacing w:before="240" w:after="240"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112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12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12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12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129"/>
        <w:jc w:val="left"/>
        <w:rPr>
          <w:rFonts w:ascii="宋体" w:hAnsi="宋体"/>
          <w:color w:val="000000"/>
          <w:sz w:val="24"/>
          <w:szCs w:val="21"/>
          <w:highlight w:val="none"/>
        </w:rPr>
      </w:pPr>
      <w:r>
        <w:rPr>
          <w:rFonts w:ascii="宋体" w:hAnsi="宋体"/>
          <w:color w:val="000000"/>
          <w:sz w:val="24"/>
          <w:szCs w:val="21"/>
          <w:highlight w:val="none"/>
        </w:rPr>
      </w:r>
      <w:r/>
    </w:p>
    <w:p>
      <w:pPr>
        <w:pStyle w:val="1129"/>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29"/>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129"/>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12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12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12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129"/>
        <w:jc w:val="center"/>
        <w:spacing w:before="240" w:after="240" w:line="360" w:lineRule="auto"/>
        <w:rPr>
          <w:rFonts w:ascii="宋体" w:hAnsi="宋体"/>
          <w:b/>
          <w:color w:val="000000"/>
          <w:sz w:val="36"/>
          <w:szCs w:val="36"/>
          <w:highlight w:val="none"/>
        </w:rPr>
      </w:pPr>
      <w:r>
        <w:rPr>
          <w:rFonts w:hint="eastAsia" w:ascii="宋体" w:hAnsi="宋体"/>
          <w:b/>
          <w:bCs/>
          <w:color w:val="000000"/>
          <w:sz w:val="36"/>
          <w:szCs w:val="36"/>
          <w:highlight w:val="none"/>
        </w:rPr>
        <w:t xml:space="preserve">残疾人福利性单位声明函格式</w:t>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12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2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12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12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12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2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2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129"/>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日  期：</w:t>
      </w:r>
      <w:r>
        <w:rPr>
          <w:rFonts w:hint="eastAsia" w:ascii="宋体" w:hAnsi="宋体"/>
          <w:color w:val="000000"/>
          <w:spacing w:val="6"/>
          <w:sz w:val="24"/>
          <w:highlight w:val="none"/>
        </w:rPr>
      </w:r>
      <w:r/>
    </w:p>
    <w:p>
      <w:pPr>
        <w:pStyle w:val="1129"/>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129"/>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129"/>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12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r>
      <w:r/>
    </w:p>
    <w:p>
      <w:pPr>
        <w:pStyle w:val="1129"/>
        <w:jc w:val="left"/>
        <w:widowControl/>
        <w:rPr>
          <w:rFonts w:ascii="宋体" w:hAnsi="宋体"/>
          <w:color w:val="000000"/>
          <w:sz w:val="24"/>
          <w:szCs w:val="20"/>
          <w:highlight w:val="none"/>
        </w:rPr>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12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2-2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129"/>
        <w:jc w:val="left"/>
        <w:widowControl/>
        <w:rPr>
          <w:rFonts w:ascii="宋体" w:hAnsi="宋体"/>
          <w:color w:val="000000"/>
          <w:sz w:val="24"/>
          <w:highlight w:val="none"/>
        </w:rPr>
      </w:pPr>
      <w:r>
        <w:rPr>
          <w:rFonts w:ascii="宋体" w:hAnsi="宋体"/>
          <w:color w:val="000000"/>
          <w:sz w:val="24"/>
          <w:highlight w:val="none"/>
        </w:rPr>
      </w:r>
      <w:r/>
    </w:p>
    <w:p>
      <w:pPr>
        <w:pStyle w:val="1129"/>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129"/>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29"/>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7" w:name="_Toc520356217"/>
      <w:r/>
      <w:bookmarkStart w:id="818" w:name="_Toc150480794"/>
      <w:r/>
      <w:bookmarkStart w:id="819" w:name="_Toc127151556"/>
      <w:r/>
      <w:bookmarkStart w:id="820" w:name="_Ref467988698"/>
      <w:r/>
      <w:bookmarkStart w:id="821" w:name="_Toc226965746"/>
      <w:r/>
      <w:bookmarkStart w:id="822" w:name="_Toc480942349"/>
      <w:r/>
      <w:bookmarkStart w:id="823" w:name="_Toc226337252"/>
      <w:r/>
      <w:bookmarkStart w:id="824" w:name="_Toc150774761"/>
      <w:r/>
      <w:bookmarkStart w:id="825" w:name="_Toc226309800"/>
      <w:r/>
      <w:bookmarkStart w:id="826" w:name="_Toc226965829"/>
      <w:r/>
      <w:bookmarkStart w:id="827" w:name="_Toc195842921"/>
      <w:r/>
      <w:bookmarkStart w:id="828" w:name="_Toc142311058"/>
      <w:r>
        <w:rPr>
          <w:rFonts w:hint="eastAsia" w:ascii="宋体" w:hAnsi="宋体"/>
          <w:b/>
          <w:color w:val="000000"/>
          <w:sz w:val="32"/>
          <w:szCs w:val="32"/>
          <w:highlight w:val="none"/>
        </w:rPr>
      </w:r>
      <w:r/>
    </w:p>
    <w:p>
      <w:pPr>
        <w:pStyle w:val="112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9"/>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12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12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12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12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12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12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129"/>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129"/>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129"/>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129"/>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129"/>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129"/>
        <w:jc w:val="left"/>
        <w:widowControl/>
        <w:rPr>
          <w:rFonts w:hint="eastAsia" w:ascii="宋体" w:hAnsi="宋体"/>
          <w:b/>
          <w:color w:val="000000"/>
          <w:sz w:val="24"/>
          <w:highlight w:val="none"/>
        </w:rPr>
      </w:pPr>
      <w:r/>
      <w:bookmarkStart w:id="829" w:name="_Hlt520356243"/>
      <w:r/>
      <w:bookmarkEnd w:id="829"/>
      <w:r/>
      <w:bookmarkStart w:id="830" w:name="_Hlt520355938"/>
      <w:r/>
      <w:bookmarkEnd w:id="830"/>
      <w:r>
        <w:rPr>
          <w:rFonts w:ascii="宋体" w:hAnsi="宋体"/>
          <w:color w:val="000000"/>
          <w:sz w:val="24"/>
          <w:highlight w:val="none"/>
        </w:rPr>
        <w:br w:type="page" w:clear="all"/>
      </w:r>
      <w:r>
        <w:rPr>
          <w:rFonts w:hint="eastAsia" w:ascii="宋体" w:hAnsi="宋体"/>
          <w:b/>
          <w:color w:val="000000"/>
          <w:sz w:val="24"/>
          <w:highlight w:val="none"/>
        </w:rPr>
      </w:r>
      <w:r/>
    </w:p>
    <w:p>
      <w:pPr>
        <w:pStyle w:val="1129"/>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12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ascii="宋体" w:hAnsi="宋体"/>
          <w:color w:val="000000"/>
          <w:sz w:val="24"/>
          <w:highlight w:val="none"/>
        </w:rPr>
      </w:r>
      <w:r/>
    </w:p>
    <w:p>
      <w:pPr>
        <w:pStyle w:val="116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12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2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2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129"/>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12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81"/>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12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12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12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1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1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307"/>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129"/>
        <w:spacing w:line="400" w:lineRule="exact"/>
        <w:rPr>
          <w:rFonts w:ascii="宋体" w:hAnsi="宋体" w:cs="宋体"/>
          <w:color w:val="000000"/>
          <w:sz w:val="24"/>
          <w:highlight w:val="none"/>
        </w:rPr>
      </w:pPr>
      <w:r>
        <w:rPr>
          <w:rFonts w:ascii="宋体" w:hAnsi="宋体" w:cs="宋体"/>
          <w:color w:val="000000"/>
          <w:sz w:val="24"/>
          <w:highlight w:val="none"/>
        </w:rPr>
      </w:r>
      <w:r/>
    </w:p>
    <w:p>
      <w:pPr>
        <w:pStyle w:val="1160"/>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1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60"/>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1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2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12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81"/>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12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129"/>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129"/>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9"/>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129"/>
        <w:ind w:firstLine="640"/>
        <w:rPr>
          <w:rFonts w:ascii="宋体" w:hAnsi="宋体"/>
          <w:color w:val="000000"/>
          <w:highlight w:val="none"/>
        </w:rPr>
      </w:pPr>
      <w:r>
        <w:rPr>
          <w:rFonts w:ascii="宋体" w:hAnsi="宋体"/>
          <w:color w:val="000000"/>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2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76"/>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bookmarkStart w:id="831" w:name="_Hlt520274121"/>
      <w:r/>
      <w:bookmarkEnd w:id="831"/>
      <w:r/>
      <w:bookmarkStart w:id="832" w:name="_Hlt520273711"/>
      <w:r/>
      <w:bookmarkEnd w:id="832"/>
      <w:r/>
      <w:bookmarkStart w:id="833" w:name="_Hlt520274393"/>
      <w:r/>
      <w:bookmarkEnd w:id="833"/>
      <w:r/>
      <w:bookmarkStart w:id="834" w:name="_Hlt520350918"/>
      <w:r/>
      <w:bookmarkEnd w:id="834"/>
      <w:r/>
      <w:bookmarkStart w:id="835" w:name="_Hlt520343392"/>
      <w:r/>
      <w:bookmarkEnd w:id="835"/>
      <w:r/>
      <w:bookmarkStart w:id="836" w:name="_Hlt520271212"/>
      <w:r/>
      <w:bookmarkEnd w:id="836"/>
      <w:r/>
      <w:bookmarkStart w:id="837" w:name="_Hlt520274407"/>
      <w:r/>
      <w:bookmarkEnd w:id="837"/>
      <w:r/>
      <w:bookmarkStart w:id="838" w:name="_Hlt520274065"/>
      <w:r/>
      <w:bookmarkEnd w:id="838"/>
      <w:r/>
      <w:bookmarkStart w:id="839" w:name="_Hlt520343000"/>
      <w:r/>
      <w:bookmarkEnd w:id="839"/>
      <w:r/>
      <w:bookmarkStart w:id="840" w:name="_Hlt520355504"/>
      <w:r/>
      <w:bookmarkEnd w:id="840"/>
      <w:r/>
      <w:bookmarkStart w:id="841" w:name="_Toc226965830"/>
      <w:r/>
      <w:bookmarkStart w:id="842" w:name="_Ref467988705"/>
      <w:r/>
      <w:bookmarkStart w:id="843" w:name="_Toc480942350"/>
      <w:r/>
      <w:bookmarkStart w:id="844" w:name="_Toc226337253"/>
      <w:r/>
      <w:bookmarkStart w:id="845" w:name="_Toc150774762"/>
      <w:r/>
      <w:bookmarkStart w:id="846" w:name="_Toc305158899"/>
      <w:r/>
      <w:bookmarkStart w:id="847" w:name="_Toc226309801"/>
      <w:r/>
      <w:bookmarkStart w:id="848" w:name="_Toc226965747"/>
      <w:r/>
      <w:bookmarkStart w:id="849" w:name="_Toc265228395"/>
      <w:r/>
      <w:bookmarkStart w:id="850" w:name="_Toc264969247"/>
      <w:r/>
      <w:bookmarkStart w:id="851" w:name="_Toc127151557"/>
      <w:r/>
      <w:bookmarkStart w:id="852" w:name="_Toc150480795"/>
      <w:r/>
      <w:bookmarkStart w:id="853" w:name="_Toc520356218"/>
      <w:r/>
      <w:bookmarkStart w:id="854" w:name="_Toc142311059"/>
      <w:r/>
      <w:bookmarkStart w:id="855" w:name="_Toc305158825"/>
      <w:r/>
      <w:bookmarkStart w:id="856" w:name="_Toc19584292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129"/>
        <w:jc w:val="center"/>
        <w:spacing w:line="360" w:lineRule="exact"/>
        <w:rPr>
          <w:rFonts w:ascii="宋体" w:hAnsi="宋体"/>
          <w:b/>
          <w:color w:val="000000"/>
          <w:sz w:val="36"/>
          <w:szCs w:val="36"/>
          <w:highlight w:val="none"/>
        </w:rPr>
      </w:pPr>
      <w:r/>
      <w:bookmarkStart w:id="857" w:name="_Toc226309802"/>
      <w:r/>
      <w:bookmarkStart w:id="858" w:name="_Toc226337254"/>
      <w:r/>
      <w:bookmarkStart w:id="859" w:name="_Toc265228396"/>
      <w:r/>
      <w:bookmarkStart w:id="860" w:name="_Toc226965831"/>
      <w:r/>
      <w:bookmarkStart w:id="861" w:name="_Toc164608827"/>
      <w:r/>
      <w:bookmarkStart w:id="862" w:name="_Toc164608672"/>
      <w:r/>
      <w:bookmarkStart w:id="863" w:name="_Toc195842923"/>
      <w:r/>
      <w:bookmarkStart w:id="864" w:name="_Toc264969248"/>
      <w:r/>
      <w:bookmarkStart w:id="865" w:name="_Toc226965748"/>
      <w:r/>
      <w:bookmarkStart w:id="866" w:name="_Toc305158900"/>
      <w:r/>
      <w:bookmarkStart w:id="867" w:name="_Toc305158826"/>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112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129"/>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12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12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12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12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12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129"/>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129"/>
        <w:jc w:val="left"/>
        <w:rPr>
          <w:rFonts w:ascii="宋体" w:hAnsi="宋体"/>
          <w:color w:val="000000"/>
          <w:sz w:val="24"/>
          <w:highlight w:val="none"/>
        </w:rPr>
      </w:pPr>
      <w:r>
        <w:rPr>
          <w:rFonts w:ascii="宋体" w:hAnsi="宋体"/>
          <w:color w:val="000000"/>
          <w:sz w:val="24"/>
          <w:highlight w:val="none"/>
        </w:rPr>
      </w:r>
      <w:r/>
    </w:p>
    <w:p>
      <w:pPr>
        <w:pStyle w:val="1129"/>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129"/>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bookmarkStart w:id="868" w:name="_Toc226965832"/>
      <w:r/>
      <w:bookmarkStart w:id="869" w:name="_Toc226965749"/>
      <w:r/>
      <w:bookmarkStart w:id="870" w:name="_Toc150774763"/>
      <w:r/>
      <w:bookmarkStart w:id="871" w:name="_Toc305158901"/>
      <w:r/>
      <w:bookmarkStart w:id="872" w:name="_Toc195842924"/>
      <w:r/>
      <w:bookmarkStart w:id="873" w:name="_Toc127151558"/>
      <w:r/>
      <w:bookmarkStart w:id="874" w:name="_Toc226337255"/>
      <w:r/>
      <w:bookmarkStart w:id="875" w:name="_Toc265228397"/>
      <w:r/>
      <w:bookmarkStart w:id="876" w:name="_Toc264969249"/>
      <w:r/>
      <w:bookmarkStart w:id="877" w:name="_Toc150480796"/>
      <w:r/>
      <w:bookmarkStart w:id="878" w:name="_Toc226309803"/>
      <w:r/>
      <w:bookmarkStart w:id="879" w:name="_Toc142311060"/>
      <w:r/>
      <w:bookmarkStart w:id="880" w:name="_Toc305158827"/>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129"/>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129"/>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129"/>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129"/>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129"/>
              <w:jc w:val="left"/>
              <w:widowControl/>
              <w:rPr>
                <w:rFonts w:ascii="宋体" w:hAnsi="宋体" w:cs="Arial"/>
                <w:color w:val="000000"/>
                <w:sz w:val="24"/>
                <w:highlight w:val="none"/>
              </w:rPr>
            </w:pPr>
            <w:r>
              <w:rPr>
                <w:rFonts w:ascii="宋体" w:hAnsi="宋体" w:cs="Arial"/>
                <w:color w:val="000000"/>
                <w:sz w:val="24"/>
                <w:highlight w:val="none"/>
              </w:rPr>
            </w:r>
            <w:r/>
          </w:p>
        </w:tc>
        <w:tc>
          <w:tcPr>
            <w:tcW w:w="1423" w:type="dxa"/>
            <w:vAlign w:val="center"/>
            <w:vMerge w:val="continue"/>
            <w:textDirection w:val="lrTb"/>
            <w:noWrap w:val="false"/>
          </w:tcPr>
          <w:p>
            <w:pPr>
              <w:pStyle w:val="1129"/>
              <w:jc w:val="left"/>
              <w:widowControl/>
              <w:rPr>
                <w:rFonts w:ascii="宋体" w:hAnsi="宋体" w:cs="Arial"/>
                <w:color w:val="000000"/>
                <w:sz w:val="24"/>
                <w:highlight w:val="none"/>
              </w:rPr>
            </w:pPr>
            <w:r>
              <w:rPr>
                <w:rFonts w:ascii="宋体" w:hAnsi="宋体" w:cs="Arial"/>
                <w:color w:val="000000"/>
                <w:sz w:val="24"/>
                <w:highlight w:val="none"/>
              </w:rPr>
            </w:r>
            <w:r/>
          </w:p>
        </w:tc>
        <w:tc>
          <w:tcPr>
            <w:tcW w:w="2533" w:type="dxa"/>
            <w:vAlign w:val="center"/>
            <w:vMerge w:val="continue"/>
            <w:textDirection w:val="lrTb"/>
            <w:noWrap w:val="false"/>
          </w:tcPr>
          <w:p>
            <w:pPr>
              <w:pStyle w:val="1129"/>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1129"/>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1129"/>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112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625"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4"/>
            <w:tcW w:w="4025" w:type="dxa"/>
            <w:vAlign w:val="center"/>
            <w:textDirection w:val="lrTb"/>
            <w:noWrap w:val="false"/>
          </w:tcPr>
          <w:p>
            <w:pPr>
              <w:pStyle w:val="112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129"/>
        <w:jc w:val="left"/>
        <w:tabs>
          <w:tab w:val="left" w:pos="1800" w:leader="none"/>
          <w:tab w:val="left" w:pos="5580" w:leader="none"/>
        </w:tabs>
        <w:rPr>
          <w:rFonts w:hint="eastAsia" w:ascii="宋体" w:hAnsi="宋体"/>
          <w:color w:val="000000"/>
          <w:sz w:val="24"/>
          <w:highlight w:val="none"/>
        </w:rPr>
      </w:pPr>
      <w:r/>
      <w:bookmarkStart w:id="881" w:name="_Toc265228400"/>
      <w:r/>
      <w:bookmarkStart w:id="882" w:name="_Toc226309806"/>
      <w:r/>
      <w:bookmarkStart w:id="883" w:name="_Toc150480798"/>
      <w:r/>
      <w:bookmarkStart w:id="884" w:name="_Toc226337258"/>
      <w:r/>
      <w:bookmarkStart w:id="885" w:name="_Toc195842927"/>
      <w:r/>
      <w:bookmarkStart w:id="886" w:name="_Toc226965752"/>
      <w:r/>
      <w:bookmarkStart w:id="887" w:name="_Toc142311062"/>
      <w:r/>
      <w:bookmarkStart w:id="888" w:name="_Toc305158904"/>
      <w:r/>
      <w:bookmarkStart w:id="889" w:name="_Toc264969252"/>
      <w:r/>
      <w:bookmarkStart w:id="890" w:name="_Toc150774765"/>
      <w:r/>
      <w:bookmarkStart w:id="891" w:name="_Toc305158830"/>
      <w:r/>
      <w:bookmarkStart w:id="892" w:name="_Toc127151562"/>
      <w:r/>
      <w:bookmarkStart w:id="893" w:name="_Toc226965835"/>
      <w:r/>
      <w:bookmarkStart w:id="894" w:name="_Toc195842926"/>
      <w:r/>
      <w:bookmarkStart w:id="895" w:name="_Toc264969251"/>
      <w:r/>
      <w:bookmarkStart w:id="896" w:name="_Toc305158829"/>
      <w:r/>
      <w:bookmarkStart w:id="897" w:name="_Toc265228399"/>
      <w:r/>
      <w:bookmarkStart w:id="898" w:name="_Toc305158903"/>
      <w:r/>
      <w:bookmarkStart w:id="899" w:name="_Toc226965834"/>
      <w:r/>
      <w:bookmarkStart w:id="900" w:name="_Toc127151561"/>
      <w:r/>
      <w:bookmarkStart w:id="901" w:name="_Toc226337257"/>
      <w:r/>
      <w:bookmarkStart w:id="902" w:name="_Toc150480797"/>
      <w:r/>
      <w:bookmarkStart w:id="903" w:name="_Toc226965751"/>
      <w:r/>
      <w:bookmarkStart w:id="904" w:name="_Toc226309805"/>
      <w:r/>
      <w:bookmarkStart w:id="905" w:name="_Toc142311061"/>
      <w:r/>
      <w:bookmarkStart w:id="906" w:name="_Toc150774764"/>
      <w:r>
        <w:rPr>
          <w:rFonts w:hint="eastAsia" w:ascii="宋体" w:hAnsi="宋体"/>
          <w:color w:val="000000"/>
          <w:sz w:val="24"/>
          <w:highlight w:val="none"/>
        </w:rPr>
      </w:r>
      <w:r/>
    </w:p>
    <w:p>
      <w:pPr>
        <w:pStyle w:val="1129"/>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129"/>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129"/>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129"/>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12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129"/>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12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129"/>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12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12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12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bl>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hint="eastAsia"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12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129"/>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12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12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12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12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12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129"/>
              <w:jc w:val="center"/>
              <w:rPr>
                <w:rFonts w:ascii="宋体" w:hAnsi="宋体"/>
                <w:color w:val="000000"/>
                <w:sz w:val="24"/>
                <w:highlight w:val="none"/>
              </w:rPr>
            </w:pPr>
            <w:r>
              <w:rPr>
                <w:rFonts w:ascii="宋体" w:hAnsi="宋体"/>
                <w:color w:val="000000"/>
                <w:sz w:val="24"/>
                <w:highlight w:val="none"/>
              </w:rPr>
            </w:r>
            <w:r/>
          </w:p>
        </w:tc>
      </w:tr>
    </w:tbl>
    <w:p>
      <w:pPr>
        <w:pStyle w:val="112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hint="eastAsia"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12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lang w:val="en-US" w:eastAsia="zh-CN"/>
        </w:rPr>
        <w:t xml:space="preserve">9</w:t>
      </w:r>
      <w:r>
        <w:rPr>
          <w:rFonts w:hint="eastAsia" w:ascii="宋体" w:hAnsi="宋体"/>
          <w:b/>
          <w:color w:val="000000"/>
          <w:sz w:val="24"/>
          <w:szCs w:val="20"/>
          <w:highlight w:val="none"/>
        </w:rPr>
        <w:t xml:space="preserve">  关于符合</w:t>
      </w:r>
      <w:r>
        <w:rPr>
          <w:rFonts w:hint="eastAsia" w:ascii="宋体" w:hAnsi="宋体"/>
          <w:b/>
          <w:color w:val="000000"/>
          <w:sz w:val="24"/>
          <w:szCs w:val="20"/>
          <w:highlight w:val="none"/>
        </w:rPr>
        <w:t xml:space="preserve">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90"/>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90"/>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9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203"/>
          <w:rFonts w:hint="eastAsia" w:ascii="方正魏碑_GBK" w:hAnsi="方正魏碑_GBK" w:eastAsia="方正魏碑_GBK" w:cs="方正魏碑_GBK"/>
          <w:color w:val="000000"/>
          <w:highlight w:val="none"/>
          <w:u w:val="single"/>
          <w:shd w:val="clear" w:color="auto" w:fill="ffffff"/>
        </w:rPr>
        <w:t xml:space="preserve">（产品名称1）</w:t>
      </w:r>
      <w:r>
        <w:rPr>
          <w:rStyle w:val="1203"/>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203"/>
          <w:rFonts w:hint="eastAsia" w:ascii="方正魏碑_GBK" w:hAnsi="方正魏碑_GBK" w:eastAsia="方正魏碑_GBK" w:cs="方正魏碑_GBK"/>
          <w:color w:val="000000"/>
          <w:highlight w:val="none"/>
          <w:u w:val="single"/>
          <w:shd w:val="clear" w:color="auto" w:fill="ffffff"/>
        </w:rPr>
        <w:t xml:space="preserve">（厂名）</w:t>
      </w:r>
      <w:r>
        <w:rPr>
          <w:rStyle w:val="1203"/>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20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203"/>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203"/>
          <w:rFonts w:hint="eastAsia" w:ascii="方正魏碑_GBK" w:hAnsi="方正魏碑_GBK" w:eastAsia="方正魏碑_GBK" w:cs="方正魏碑_GBK"/>
          <w:color w:val="000000"/>
          <w:highlight w:val="none"/>
          <w:u w:val="single"/>
          <w:shd w:val="clear" w:color="auto" w:fill="ffffff"/>
        </w:rPr>
        <w:t xml:space="preserve">（规定</w:t>
      </w:r>
      <w:r>
        <w:rPr>
          <w:rStyle w:val="1203"/>
          <w:rFonts w:ascii="方正魏碑_GBK" w:hAnsi="方正魏碑_GBK" w:eastAsia="方正魏碑_GBK" w:cs="方正魏碑_GBK"/>
          <w:color w:val="000000"/>
          <w:highlight w:val="none"/>
          <w:u w:val="single"/>
          <w:shd w:val="clear" w:color="auto" w:fill="ffffff"/>
        </w:rPr>
        <w:t xml:space="preserve">比例</w:t>
      </w:r>
      <w:r>
        <w:rPr>
          <w:rStyle w:val="1203"/>
          <w:rFonts w:hint="eastAsia" w:ascii="方正魏碑_GBK" w:hAnsi="方正魏碑_GBK" w:eastAsia="方正魏碑_GBK" w:cs="方正魏碑_GBK"/>
          <w:color w:val="000000"/>
          <w:highlight w:val="none"/>
          <w:u w:val="single"/>
          <w:shd w:val="clear" w:color="auto" w:fill="ffffff"/>
        </w:rPr>
        <w:t xml:space="preserve">）</w:t>
      </w:r>
      <w:r>
        <w:rPr>
          <w:rStyle w:val="1203"/>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20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203"/>
          <w:rFonts w:hint="eastAsia" w:ascii="方正魏碑_GBK" w:hAnsi="方正魏碑_GBK" w:eastAsia="方正魏碑_GBK" w:cs="方正魏碑_GBK"/>
          <w:color w:val="000000"/>
          <w:highlight w:val="none"/>
          <w:u w:val="single"/>
          <w:shd w:val="clear" w:color="auto" w:fill="ffffff"/>
        </w:rPr>
        <w:t xml:space="preserve">（关键</w:t>
      </w:r>
      <w:r>
        <w:rPr>
          <w:rStyle w:val="1203"/>
          <w:rFonts w:ascii="方正魏碑_GBK" w:hAnsi="方正魏碑_GBK" w:eastAsia="方正魏碑_GBK" w:cs="方正魏碑_GBK"/>
          <w:color w:val="000000"/>
          <w:highlight w:val="none"/>
          <w:u w:val="single"/>
          <w:shd w:val="clear" w:color="auto" w:fill="ffffff"/>
        </w:rPr>
        <w:t xml:space="preserve">组件</w:t>
      </w:r>
      <w:r>
        <w:rPr>
          <w:rStyle w:val="1203"/>
          <w:rFonts w:hint="eastAsia" w:ascii="方正魏碑_GBK" w:hAnsi="方正魏碑_GBK" w:eastAsia="方正魏碑_GBK" w:cs="方正魏碑_GBK"/>
          <w:color w:val="000000"/>
          <w:highlight w:val="none"/>
          <w:u w:val="single"/>
          <w:shd w:val="clear" w:color="auto" w:fill="ffffff"/>
        </w:rPr>
        <w:t xml:space="preserve">）</w:t>
      </w:r>
      <w:r>
        <w:rPr>
          <w:rStyle w:val="1203"/>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20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203"/>
          <w:rFonts w:hint="eastAsia" w:ascii="方正魏碑_GBK" w:hAnsi="方正魏碑_GBK" w:eastAsia="方正魏碑_GBK" w:cs="方正魏碑_GBK"/>
          <w:color w:val="000000"/>
          <w:highlight w:val="none"/>
          <w:u w:val="single"/>
          <w:shd w:val="clear" w:color="auto" w:fill="ffffff"/>
        </w:rPr>
        <w:t xml:space="preserve">（关键工序）</w:t>
      </w:r>
      <w:r>
        <w:rPr>
          <w:rStyle w:val="1203"/>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9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20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203"/>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20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20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203"/>
          <w:rFonts w:hint="eastAsia" w:ascii="方正魏碑_GBK" w:hAnsi="方正魏碑_GBK" w:eastAsia="方正魏碑_GBK" w:cs="方正魏碑_GBK"/>
          <w:color w:val="000000"/>
          <w:highlight w:val="none"/>
          <w:u w:val="single"/>
          <w:shd w:val="clear" w:color="auto" w:fill="ffffff"/>
        </w:rPr>
        <w:t xml:space="preserve">（规定</w:t>
      </w:r>
      <w:r>
        <w:rPr>
          <w:rStyle w:val="1203"/>
          <w:rFonts w:ascii="方正魏碑_GBK" w:hAnsi="方正魏碑_GBK" w:eastAsia="方正魏碑_GBK" w:cs="方正魏碑_GBK"/>
          <w:color w:val="000000"/>
          <w:highlight w:val="none"/>
          <w:u w:val="single"/>
          <w:shd w:val="clear" w:color="auto" w:fill="ffffff"/>
        </w:rPr>
        <w:t xml:space="preserve">比例</w:t>
      </w:r>
      <w:r>
        <w:rPr>
          <w:rStyle w:val="120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20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203"/>
          <w:rFonts w:hint="eastAsia" w:ascii="方正魏碑_GBK" w:hAnsi="方正魏碑_GBK" w:eastAsia="方正魏碑_GBK" w:cs="方正魏碑_GBK"/>
          <w:color w:val="000000"/>
          <w:highlight w:val="none"/>
          <w:u w:val="single"/>
          <w:shd w:val="clear" w:color="auto" w:fill="ffffff"/>
        </w:rPr>
        <w:t xml:space="preserve">（关键</w:t>
      </w:r>
      <w:r>
        <w:rPr>
          <w:rStyle w:val="1203"/>
          <w:rFonts w:ascii="方正魏碑_GBK" w:hAnsi="方正魏碑_GBK" w:eastAsia="方正魏碑_GBK" w:cs="方正魏碑_GBK"/>
          <w:color w:val="000000"/>
          <w:highlight w:val="none"/>
          <w:u w:val="single"/>
          <w:shd w:val="clear" w:color="auto" w:fill="ffffff"/>
        </w:rPr>
        <w:t xml:space="preserve">组件</w:t>
      </w:r>
      <w:r>
        <w:rPr>
          <w:rStyle w:val="120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203"/>
          <w:rFonts w:hint="eastAsia" w:ascii="方正魏碑_GBK" w:hAnsi="方正魏碑_GBK" w:eastAsia="方正魏碑_GBK" w:cs="方正魏碑_GBK"/>
          <w:color w:val="000000"/>
          <w:highlight w:val="none"/>
          <w:u w:val="single"/>
          <w:shd w:val="clear" w:color="auto" w:fill="ffffff"/>
        </w:rPr>
        <w:t xml:space="preserve">（产品名称</w:t>
      </w:r>
      <w:r>
        <w:rPr>
          <w:rStyle w:val="1203"/>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20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203"/>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9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9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90"/>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90"/>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9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90"/>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90"/>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129"/>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129"/>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12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12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12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12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129"/>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12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129"/>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12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29"/>
        <w:spacing w:line="360" w:lineRule="auto"/>
        <w:rPr>
          <w:rFonts w:ascii="宋体" w:hAnsi="宋体"/>
          <w:color w:val="000000"/>
          <w:sz w:val="22"/>
          <w:highlight w:val="none"/>
        </w:rPr>
      </w:pPr>
      <w:r>
        <w:rPr>
          <w:rFonts w:ascii="宋体" w:hAnsi="宋体"/>
          <w:color w:val="000000"/>
          <w:sz w:val="22"/>
          <w:highlight w:val="none"/>
        </w:rPr>
      </w:r>
      <w:r/>
    </w:p>
    <w:p>
      <w:pPr>
        <w:pStyle w:val="11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2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2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12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129"/>
        <w:spacing w:line="360" w:lineRule="auto"/>
        <w:rPr>
          <w:rFonts w:ascii="宋体" w:hAnsi="宋体"/>
          <w:color w:val="000000"/>
          <w:sz w:val="24"/>
          <w:highlight w:val="none"/>
        </w:rPr>
      </w:pPr>
      <w:r>
        <w:rPr>
          <w:rFonts w:ascii="宋体" w:hAnsi="宋体"/>
          <w:color w:val="000000"/>
          <w:sz w:val="24"/>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7" w:name="_Toc288738839"/>
      <w:r/>
      <w:bookmarkStart w:id="908" w:name="_Toc288738397"/>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129"/>
        <w:rPr>
          <w:rFonts w:ascii="宋体" w:hAnsi="宋体"/>
          <w:color w:val="000000"/>
          <w:sz w:val="24"/>
          <w:szCs w:val="20"/>
          <w:highlight w:val="none"/>
        </w:rPr>
      </w:pPr>
      <w:r>
        <w:rPr>
          <w:rFonts w:ascii="宋体" w:hAnsi="宋体"/>
          <w:color w:val="000000"/>
          <w:sz w:val="24"/>
          <w:szCs w:val="20"/>
          <w:highlight w:val="none"/>
        </w:rPr>
      </w:r>
      <w:r/>
    </w:p>
    <w:p>
      <w:pPr>
        <w:pStyle w:val="112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12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2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2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129"/>
        <w:spacing w:line="360" w:lineRule="auto"/>
        <w:rPr>
          <w:rFonts w:ascii="宋体" w:hAnsi="宋体" w:cs="宋体"/>
          <w:color w:val="000000"/>
          <w:sz w:val="24"/>
          <w:highlight w:val="none"/>
        </w:rPr>
      </w:pPr>
      <w:r>
        <w:rPr>
          <w:rFonts w:ascii="宋体" w:hAnsi="宋体" w:cs="宋体"/>
          <w:color w:val="000000"/>
          <w:sz w:val="24"/>
          <w:highlight w:val="none"/>
        </w:rPr>
      </w:r>
      <w:r/>
    </w:p>
    <w:p>
      <w:pPr>
        <w:pStyle w:val="112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12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129"/>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12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12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12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12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12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12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rPr>
          <w:rFonts w:ascii="宋体" w:hAnsi="宋体"/>
          <w:color w:val="000000"/>
          <w:sz w:val="36"/>
          <w:szCs w:val="36"/>
          <w:highlight w:val="none"/>
        </w:rPr>
      </w:pPr>
      <w:r>
        <w:rPr>
          <w:rFonts w:ascii="宋体" w:hAnsi="宋体"/>
          <w:color w:val="000000"/>
          <w:sz w:val="36"/>
          <w:szCs w:val="36"/>
          <w:highlight w:val="none"/>
        </w:rPr>
      </w:r>
      <w:r/>
    </w:p>
    <w:p>
      <w:pPr>
        <w:pStyle w:val="1129"/>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129"/>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6"/>
      <w:headerReference w:type="first" r:id="rId17"/>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ind w:right="360"/>
      <w:tabs>
        <w:tab w:val="center" w:pos="4153" w:leader="none"/>
        <w:tab w:val="right" w:pos="8306" w:leader="none"/>
      </w:tabs>
      <w:rPr>
        <w:rStyle w:val="1201"/>
      </w:rPr>
      <w:framePr w:wrap="around" w:vAnchor="text" w:hAnchor="margin" w:y="1"/>
    </w:pPr>
    <w:r>
      <w:rPr>
        <w:rStyle w:val="1201"/>
      </w:rPr>
    </w:r>
    <w:r/>
  </w:p>
  <w:p>
    <w:pPr>
      <w:pStyle w:val="1177"/>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rPr>
        <w:rStyle w:val="1201"/>
      </w:rPr>
      <w:framePr w:wrap="around" w:vAnchor="text" w:hAnchor="margin" w:xAlign="center" w:y="1"/>
    </w:pPr>
    <w:r>
      <w:fldChar w:fldCharType="begin"/>
    </w:r>
    <w:r>
      <w:rPr>
        <w:rStyle w:val="1201"/>
      </w:rPr>
      <w:instrText xml:space="preserve">PAGE  </w:instrText>
    </w:r>
    <w:r>
      <w:fldChar w:fldCharType="end"/>
    </w:r>
    <w:r>
      <w:rPr>
        <w:rStyle w:val="1201"/>
      </w:rPr>
    </w:r>
    <w:r/>
  </w:p>
  <w:p>
    <w:pPr>
      <w:pStyle w:val="117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rPr>
        <w:rStyle w:val="1201"/>
      </w:rPr>
      <w:framePr w:wrap="around" w:vAnchor="text" w:hAnchor="margin" w:xAlign="right" w:y="1"/>
    </w:pPr>
    <w:r>
      <w:rPr>
        <w:rStyle w:val="1201"/>
      </w:rPr>
    </w:r>
    <w:r/>
  </w:p>
  <w:p>
    <w:pPr>
      <w:pStyle w:val="1177"/>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rPr>
        <w:rStyle w:val="1201"/>
      </w:rPr>
      <w:framePr w:wrap="around" w:vAnchor="text" w:hAnchor="margin" w:xAlign="right" w:y="1"/>
    </w:pPr>
    <w:r>
      <w:rPr>
        <w:rStyle w:val="1201"/>
      </w:rPr>
      <w:fldChar w:fldCharType="begin"/>
    </w:r>
    <w:r>
      <w:rPr>
        <w:rStyle w:val="1201"/>
      </w:rPr>
      <w:instrText xml:space="preserve">PAGE  </w:instrText>
    </w:r>
    <w:r>
      <w:rPr>
        <w:rStyle w:val="1201"/>
      </w:rPr>
      <w:fldChar w:fldCharType="end"/>
    </w:r>
    <w:r>
      <w:rPr>
        <w:rStyle w:val="1201"/>
      </w:rPr>
    </w:r>
    <w:r/>
  </w:p>
  <w:p>
    <w:pPr>
      <w:pStyle w:val="1177"/>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7" w:leader="none"/>
      </w:tabs>
      <w:rPr>
        <w:rStyle w:val="1383"/>
      </w:rPr>
      <w:framePr w:wrap="around" w:vAnchor="text" w:hAnchor="margin" w:xAlign="outside" w:y="1"/>
    </w:pPr>
    <w:r>
      <w:fldChar w:fldCharType="begin"/>
    </w:r>
    <w:r>
      <w:rPr>
        <w:rStyle w:val="1383"/>
      </w:rPr>
      <w:instrText xml:space="preserve">PAGE  </w:instrText>
    </w:r>
    <w:r>
      <w:fldChar w:fldCharType="end"/>
    </w:r>
    <w:r>
      <w:rPr>
        <w:rStyle w:val="1383"/>
      </w:rPr>
    </w:r>
    <w:r/>
  </w:p>
  <w:p>
    <w:pPr>
      <w:pStyle w:val="1177"/>
      <w:ind w:right="360" w:firstLine="360"/>
      <w:tabs>
        <w:tab w:val="center" w:pos="4153" w:leader="none"/>
        <w:tab w:val="right" w:pos="830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rPr>
        <w:rStyle w:val="1201"/>
      </w:rPr>
      <w:framePr w:wrap="around" w:vAnchor="text" w:hAnchor="margin" w:xAlign="right" w:y="1"/>
    </w:pPr>
    <w:r>
      <w:rPr>
        <w:rStyle w:val="1201"/>
      </w:rPr>
      <w:fldChar w:fldCharType="begin"/>
    </w:r>
    <w:r>
      <w:rPr>
        <w:rStyle w:val="1201"/>
      </w:rPr>
      <w:instrText xml:space="preserve">PAGE  </w:instrText>
    </w:r>
    <w:r>
      <w:rPr>
        <w:rStyle w:val="1201"/>
      </w:rPr>
      <w:fldChar w:fldCharType="end"/>
    </w:r>
    <w:r>
      <w:rPr>
        <w:rStyle w:val="1201"/>
      </w:rPr>
    </w:r>
    <w:r/>
  </w:p>
  <w:p>
    <w:pPr>
      <w:pStyle w:val="1177"/>
      <w:ind w:right="360"/>
      <w:tabs>
        <w:tab w:val="center" w:pos="4153" w:leader="none"/>
        <w:tab w:val="right" w:pos="8306" w:leader="none"/>
      </w:tabs>
    </w:pPr>
    <w:r/>
    <w:r/>
  </w:p>
  <w:p>
    <w:pPr>
      <w:pStyle w:val="112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0" allowOverlap="1">
              <wp:simplePos x="0" y="0"/>
              <wp:positionH relativeFrom="margin">
                <wp:align>center</wp:align>
              </wp:positionH>
              <wp:positionV relativeFrom="margin">
                <wp:align>center</wp:align>
              </wp:positionV>
              <wp:extent cx="5401310" cy="5401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0;o:allowoverlap:true;o:allowincell:false;mso-position-horizontal-relative:margin;mso-position-horizontal:center;mso-position-vertical-relative:margin;mso-position-vertical:center;width:425.3pt;height:425.3pt;mso-wrap-distance-left:9.0pt;mso-wrap-distance-top:0.0pt;mso-wrap-distance-right:9.0pt;mso-wrap-distance-bottom:0.0pt;" stroked="f">
              <v:path textboxrect="0,0,0,0"/>
              <v:imagedata r:id="rId1" o:title=""/>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margin">
                <wp:align>center</wp:align>
              </wp:positionH>
              <wp:positionV relativeFrom="margin">
                <wp:align>center</wp:align>
              </wp:positionV>
              <wp:extent cx="5401310" cy="5401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61;o:allowoverlap:true;o:allowincell:false;mso-position-horizontal-relative:margin;mso-position-horizontal:center;mso-position-vertical-relative:margin;mso-position-vertical:center;width:425.3pt;height:425.3pt;mso-wrap-distance-left:9.0pt;mso-wrap-distance-top:0.0pt;mso-wrap-distance-right:9.0pt;mso-wrap-distance-bottom:0.0pt;" stroked="f">
              <v:path textboxrect="0,0,0,0"/>
              <v:imagedata r:id="rId1" o:title=""/>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Pr>
    <w:r/>
    <w:r/>
  </w:p>
  <w:p>
    <w:pPr>
      <w:pStyle w:val="1129"/>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1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129"/>
        <w:ind w:left="4941" w:hanging="1140"/>
        <w:tabs>
          <w:tab w:val="num" w:pos="4941" w:leader="none"/>
        </w:tabs>
      </w:pPr>
      <w:rPr>
        <w:rFonts w:hint="eastAsia"/>
      </w:rPr>
    </w:lvl>
    <w:lvl w:ilvl="1">
      <w:start w:val="1"/>
      <w:numFmt w:val="lowerLetter"/>
      <w:isLgl w:val="false"/>
      <w:suff w:val="tab"/>
      <w:lvlText w:val="%2)"/>
      <w:lvlJc w:val="left"/>
      <w:pPr>
        <w:pStyle w:val="1129"/>
        <w:ind w:left="4641" w:hanging="420"/>
        <w:tabs>
          <w:tab w:val="num" w:pos="4641" w:leader="none"/>
        </w:tabs>
      </w:pPr>
    </w:lvl>
    <w:lvl w:ilvl="2">
      <w:start w:val="1"/>
      <w:numFmt w:val="lowerRoman"/>
      <w:isLgl w:val="false"/>
      <w:suff w:val="tab"/>
      <w:lvlText w:val="%3."/>
      <w:lvlJc w:val="right"/>
      <w:pPr>
        <w:pStyle w:val="1129"/>
        <w:ind w:left="5061" w:hanging="420"/>
        <w:tabs>
          <w:tab w:val="num" w:pos="5061" w:leader="none"/>
        </w:tabs>
      </w:pPr>
    </w:lvl>
    <w:lvl w:ilvl="3">
      <w:start w:val="1"/>
      <w:numFmt w:val="decimal"/>
      <w:isLgl w:val="false"/>
      <w:suff w:val="tab"/>
      <w:lvlText w:val="%4."/>
      <w:lvlJc w:val="left"/>
      <w:pPr>
        <w:pStyle w:val="1129"/>
        <w:ind w:left="5481" w:hanging="420"/>
        <w:tabs>
          <w:tab w:val="num" w:pos="5481" w:leader="none"/>
        </w:tabs>
      </w:pPr>
    </w:lvl>
    <w:lvl w:ilvl="4">
      <w:start w:val="1"/>
      <w:numFmt w:val="lowerLetter"/>
      <w:isLgl w:val="false"/>
      <w:suff w:val="tab"/>
      <w:lvlText w:val="%5)"/>
      <w:lvlJc w:val="left"/>
      <w:pPr>
        <w:pStyle w:val="1129"/>
        <w:ind w:left="5901" w:hanging="420"/>
        <w:tabs>
          <w:tab w:val="num" w:pos="5901" w:leader="none"/>
        </w:tabs>
      </w:pPr>
    </w:lvl>
    <w:lvl w:ilvl="5">
      <w:start w:val="1"/>
      <w:numFmt w:val="lowerRoman"/>
      <w:isLgl w:val="false"/>
      <w:suff w:val="tab"/>
      <w:lvlText w:val="%6."/>
      <w:lvlJc w:val="right"/>
      <w:pPr>
        <w:pStyle w:val="1129"/>
        <w:ind w:left="6321" w:hanging="420"/>
        <w:tabs>
          <w:tab w:val="num" w:pos="6321" w:leader="none"/>
        </w:tabs>
      </w:pPr>
    </w:lvl>
    <w:lvl w:ilvl="6">
      <w:start w:val="1"/>
      <w:numFmt w:val="decimal"/>
      <w:isLgl w:val="false"/>
      <w:suff w:val="tab"/>
      <w:lvlText w:val="%7."/>
      <w:lvlJc w:val="left"/>
      <w:pPr>
        <w:pStyle w:val="1129"/>
        <w:ind w:left="6741" w:hanging="420"/>
        <w:tabs>
          <w:tab w:val="num" w:pos="6741" w:leader="none"/>
        </w:tabs>
      </w:pPr>
    </w:lvl>
    <w:lvl w:ilvl="7">
      <w:start w:val="1"/>
      <w:numFmt w:val="lowerLetter"/>
      <w:isLgl w:val="false"/>
      <w:suff w:val="tab"/>
      <w:lvlText w:val="%8)"/>
      <w:lvlJc w:val="left"/>
      <w:pPr>
        <w:pStyle w:val="1129"/>
        <w:ind w:left="7161" w:hanging="420"/>
        <w:tabs>
          <w:tab w:val="num" w:pos="7161" w:leader="none"/>
        </w:tabs>
      </w:pPr>
    </w:lvl>
    <w:lvl w:ilvl="8">
      <w:start w:val="1"/>
      <w:numFmt w:val="lowerRoman"/>
      <w:isLgl w:val="false"/>
      <w:suff w:val="tab"/>
      <w:lvlText w:val="%9."/>
      <w:lvlJc w:val="right"/>
      <w:pPr>
        <w:pStyle w:val="1129"/>
        <w:ind w:left="7581" w:hanging="420"/>
        <w:tabs>
          <w:tab w:val="num" w:pos="7581" w:leader="none"/>
        </w:tabs>
      </w:pPr>
    </w:lvl>
  </w:abstractNum>
  <w:abstractNum w:abstractNumId="2">
    <w:multiLevelType w:val="hybridMultilevel"/>
    <w:lvl w:ilvl="0">
      <w:start w:val="1"/>
      <w:numFmt w:val="decimal"/>
      <w:pStyle w:val="1237"/>
      <w:isLgl w:val="false"/>
      <w:suff w:val="tab"/>
      <w:lvlText w:val="%1."/>
      <w:lvlJc w:val="left"/>
      <w:pPr>
        <w:pStyle w:val="1129"/>
        <w:ind w:left="420" w:hanging="420"/>
      </w:pPr>
    </w:lvl>
    <w:lvl w:ilvl="1">
      <w:start w:val="1"/>
      <w:numFmt w:val="decimal"/>
      <w:isLgl w:val="false"/>
      <w:suff w:val="tab"/>
      <w:lvlText w:val="（%2）"/>
      <w:lvlJc w:val="left"/>
      <w:pPr>
        <w:pStyle w:val="1129"/>
        <w:ind w:left="1140" w:hanging="720"/>
        <w:tabs>
          <w:tab w:val="num" w:pos="1140" w:leader="none"/>
        </w:tabs>
      </w:pPr>
      <w:rPr>
        <w:rFonts w:hint="eastAsia"/>
      </w:rPr>
    </w:lvl>
    <w:lvl w:ilvl="2">
      <w:start w:val="1"/>
      <w:numFmt w:val="lowerRoman"/>
      <w:isLgl w:val="false"/>
      <w:suff w:val="tab"/>
      <w:lvlText w:val="%3."/>
      <w:lvlJc w:val="right"/>
      <w:pPr>
        <w:pStyle w:val="1129"/>
        <w:ind w:left="1260" w:hanging="420"/>
      </w:pPr>
    </w:lvl>
    <w:lvl w:ilvl="3">
      <w:start w:val="1"/>
      <w:numFmt w:val="decimal"/>
      <w:isLgl w:val="false"/>
      <w:suff w:val="tab"/>
      <w:lvlText w:val="%4."/>
      <w:lvlJc w:val="left"/>
      <w:pPr>
        <w:pStyle w:val="1129"/>
        <w:ind w:left="1680" w:hanging="420"/>
      </w:pPr>
    </w:lvl>
    <w:lvl w:ilvl="4">
      <w:start w:val="1"/>
      <w:numFmt w:val="lowerLetter"/>
      <w:isLgl w:val="false"/>
      <w:suff w:val="tab"/>
      <w:lvlText w:val="%5)"/>
      <w:lvlJc w:val="left"/>
      <w:pPr>
        <w:pStyle w:val="1129"/>
        <w:ind w:left="2100" w:hanging="420"/>
      </w:pPr>
    </w:lvl>
    <w:lvl w:ilvl="5">
      <w:start w:val="1"/>
      <w:numFmt w:val="lowerRoman"/>
      <w:isLgl w:val="false"/>
      <w:suff w:val="tab"/>
      <w:lvlText w:val="%6."/>
      <w:lvlJc w:val="right"/>
      <w:pPr>
        <w:pStyle w:val="1129"/>
        <w:ind w:left="2520" w:hanging="420"/>
      </w:pPr>
    </w:lvl>
    <w:lvl w:ilvl="6">
      <w:start w:val="1"/>
      <w:numFmt w:val="decimal"/>
      <w:isLgl w:val="false"/>
      <w:suff w:val="tab"/>
      <w:lvlText w:val="%7."/>
      <w:lvlJc w:val="left"/>
      <w:pPr>
        <w:pStyle w:val="1129"/>
        <w:ind w:left="2940" w:hanging="420"/>
      </w:pPr>
    </w:lvl>
    <w:lvl w:ilvl="7">
      <w:start w:val="1"/>
      <w:numFmt w:val="lowerLetter"/>
      <w:isLgl w:val="false"/>
      <w:suff w:val="tab"/>
      <w:lvlText w:val="%8)"/>
      <w:lvlJc w:val="left"/>
      <w:pPr>
        <w:pStyle w:val="1129"/>
        <w:ind w:left="3360" w:hanging="420"/>
      </w:pPr>
    </w:lvl>
    <w:lvl w:ilvl="8">
      <w:start w:val="1"/>
      <w:numFmt w:val="lowerRoman"/>
      <w:isLgl w:val="false"/>
      <w:suff w:val="tab"/>
      <w:lvlText w:val="%9."/>
      <w:lvlJc w:val="right"/>
      <w:pPr>
        <w:pStyle w:val="1129"/>
        <w:ind w:left="3780" w:hanging="420"/>
      </w:pPr>
    </w:lvl>
  </w:abstractNum>
  <w:abstractNum w:abstractNumId="3">
    <w:multiLevelType w:val="hybridMultilevel"/>
    <w:lvl w:ilvl="0">
      <w:start w:val="1"/>
      <w:numFmt w:val="lowerLetter"/>
      <w:pStyle w:val="1312"/>
      <w:isLgl w:val="false"/>
      <w:suff w:val="tab"/>
      <w:lvlText w:val="%1)"/>
      <w:lvlJc w:val="left"/>
      <w:pPr>
        <w:pStyle w:val="1129"/>
        <w:ind w:left="902" w:hanging="420"/>
      </w:pPr>
      <w:rPr>
        <w:color w:val="000000"/>
      </w:rPr>
    </w:lvl>
    <w:lvl w:ilvl="1">
      <w:start w:val="1"/>
      <w:numFmt w:val="lowerLetter"/>
      <w:isLgl w:val="false"/>
      <w:suff w:val="tab"/>
      <w:lvlText w:val="%2)"/>
      <w:lvlJc w:val="left"/>
      <w:pPr>
        <w:pStyle w:val="1129"/>
        <w:ind w:left="1322" w:hanging="420"/>
      </w:pPr>
    </w:lvl>
    <w:lvl w:ilvl="2">
      <w:start w:val="1"/>
      <w:numFmt w:val="lowerRoman"/>
      <w:isLgl w:val="false"/>
      <w:suff w:val="tab"/>
      <w:lvlText w:val="%3."/>
      <w:lvlJc w:val="right"/>
      <w:pPr>
        <w:pStyle w:val="1129"/>
        <w:ind w:left="1742" w:hanging="420"/>
      </w:pPr>
    </w:lvl>
    <w:lvl w:ilvl="3">
      <w:start w:val="1"/>
      <w:numFmt w:val="decimal"/>
      <w:isLgl w:val="false"/>
      <w:suff w:val="tab"/>
      <w:lvlText w:val="%4."/>
      <w:lvlJc w:val="left"/>
      <w:pPr>
        <w:pStyle w:val="1129"/>
        <w:ind w:left="2162" w:hanging="420"/>
      </w:pPr>
    </w:lvl>
    <w:lvl w:ilvl="4">
      <w:start w:val="1"/>
      <w:numFmt w:val="lowerLetter"/>
      <w:isLgl w:val="false"/>
      <w:suff w:val="tab"/>
      <w:lvlText w:val="%5)"/>
      <w:lvlJc w:val="left"/>
      <w:pPr>
        <w:pStyle w:val="1129"/>
        <w:ind w:left="2582" w:hanging="420"/>
      </w:pPr>
    </w:lvl>
    <w:lvl w:ilvl="5">
      <w:start w:val="1"/>
      <w:numFmt w:val="lowerRoman"/>
      <w:isLgl w:val="false"/>
      <w:suff w:val="tab"/>
      <w:lvlText w:val="%6."/>
      <w:lvlJc w:val="right"/>
      <w:pPr>
        <w:pStyle w:val="1129"/>
        <w:ind w:left="3002" w:hanging="420"/>
      </w:pPr>
    </w:lvl>
    <w:lvl w:ilvl="6">
      <w:start w:val="1"/>
      <w:numFmt w:val="decimal"/>
      <w:isLgl w:val="false"/>
      <w:suff w:val="tab"/>
      <w:lvlText w:val="%7."/>
      <w:lvlJc w:val="left"/>
      <w:pPr>
        <w:pStyle w:val="1129"/>
        <w:ind w:left="3422" w:hanging="420"/>
      </w:pPr>
    </w:lvl>
    <w:lvl w:ilvl="7">
      <w:start w:val="1"/>
      <w:numFmt w:val="lowerLetter"/>
      <w:isLgl w:val="false"/>
      <w:suff w:val="tab"/>
      <w:lvlText w:val="%8)"/>
      <w:lvlJc w:val="left"/>
      <w:pPr>
        <w:pStyle w:val="1129"/>
        <w:ind w:left="3842" w:hanging="420"/>
      </w:pPr>
    </w:lvl>
    <w:lvl w:ilvl="8">
      <w:start w:val="1"/>
      <w:numFmt w:val="lowerRoman"/>
      <w:isLgl w:val="false"/>
      <w:suff w:val="tab"/>
      <w:lvlText w:val="%9."/>
      <w:lvlJc w:val="right"/>
      <w:pPr>
        <w:pStyle w:val="1129"/>
        <w:ind w:left="4262" w:hanging="420"/>
      </w:pPr>
    </w:lvl>
  </w:abstractNum>
  <w:abstractNum w:abstractNumId="4">
    <w:multiLevelType w:val="hybridMultilevel"/>
    <w:lvl w:ilvl="0">
      <w:start w:val="1"/>
      <w:numFmt w:val="decimal"/>
      <w:pStyle w:val="1282"/>
      <w:isLgl w:val="false"/>
      <w:suff w:val="tab"/>
      <w:lvlText w:val="%1."/>
      <w:lvlJc w:val="left"/>
      <w:pPr>
        <w:pStyle w:val="112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31"/>
      <w:isLgl w:val="false"/>
      <w:suff w:val="nothing"/>
      <w:lvlText w:val="%1　"/>
      <w:lvlJc w:val="left"/>
      <w:pPr>
        <w:pStyle w:val="112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9"/>
        <w:ind w:left="-25" w:firstLine="0"/>
      </w:pPr>
      <w:rPr>
        <w:rFonts w:ascii="Times New Roman" w:hAnsi="Times New Roman" w:eastAsia="黑体"/>
        <w:b/>
        <w:i w:val="0"/>
        <w:sz w:val="28"/>
      </w:rPr>
    </w:lvl>
    <w:lvl w:ilvl="3">
      <w:start w:val="1"/>
      <w:numFmt w:val="decimal"/>
      <w:pStyle w:val="1267"/>
      <w:isLgl w:val="false"/>
      <w:suff w:val="nothing"/>
      <w:lvlText w:val="%1.%2.%3.%4　"/>
      <w:lvlJc w:val="left"/>
      <w:pPr>
        <w:pStyle w:val="112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9"/>
        <w:ind w:left="-25" w:firstLine="0"/>
      </w:pPr>
      <w:rPr>
        <w:rFonts w:ascii="Times New Roman" w:hAnsi="Times New Roman" w:eastAsia="宋体"/>
        <w:b/>
        <w:i w:val="0"/>
        <w:sz w:val="28"/>
      </w:rPr>
    </w:lvl>
    <w:lvl w:ilvl="6">
      <w:start w:val="1"/>
      <w:numFmt w:val="lowerLetter"/>
      <w:pStyle w:val="1288"/>
      <w:isLgl w:val="false"/>
      <w:suff w:val="tab"/>
      <w:lvlText w:val="%7) "/>
      <w:lvlJc w:val="left"/>
      <w:pPr>
        <w:pStyle w:val="1129"/>
        <w:ind w:left="-125" w:firstLine="400"/>
        <w:tabs>
          <w:tab w:val="num" w:pos="635" w:leader="none"/>
        </w:tabs>
      </w:pPr>
      <w:rPr>
        <w:rFonts w:ascii="Times New Roman" w:hAnsi="Times New Roman" w:eastAsia="宋体"/>
        <w:b/>
        <w:i w:val="0"/>
        <w:color w:val="000000"/>
        <w:sz w:val="28"/>
        <w:u w:val="none"/>
      </w:rPr>
    </w:lvl>
    <w:lvl w:ilvl="7">
      <w:start w:val="1"/>
      <w:numFmt w:val="decimal"/>
      <w:pStyle w:val="1251"/>
      <w:isLgl w:val="false"/>
      <w:suff w:val="tab"/>
      <w:lvlText w:val="%8) "/>
      <w:lvlJc w:val="left"/>
      <w:pPr>
        <w:pStyle w:val="112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2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29"/>
        <w:ind w:left="768" w:hanging="360"/>
        <w:tabs>
          <w:tab w:val="num" w:pos="768" w:leader="none"/>
        </w:tabs>
      </w:pPr>
      <w:rPr>
        <w:rFonts w:hint="eastAsia"/>
      </w:rPr>
    </w:lvl>
    <w:lvl w:ilvl="1">
      <w:start w:val="1"/>
      <w:numFmt w:val="decimal"/>
      <w:pStyle w:val="1269"/>
      <w:isLgl w:val="false"/>
      <w:suff w:val="tab"/>
      <w:lvlText w:val="%2、"/>
      <w:lvlJc w:val="left"/>
      <w:pPr>
        <w:pStyle w:val="1129"/>
        <w:ind w:left="1188" w:hanging="360"/>
        <w:tabs>
          <w:tab w:val="num" w:pos="1188" w:leader="none"/>
        </w:tabs>
      </w:pPr>
      <w:rPr>
        <w:rFonts w:hint="eastAsia"/>
      </w:rPr>
    </w:lvl>
    <w:lvl w:ilvl="2">
      <w:start w:val="1"/>
      <w:numFmt w:val="decimal"/>
      <w:isLgl w:val="false"/>
      <w:suff w:val="tab"/>
      <w:lvlText w:val="（%3）"/>
      <w:lvlJc w:val="left"/>
      <w:pPr>
        <w:pStyle w:val="1129"/>
        <w:ind w:left="1968" w:hanging="720"/>
        <w:tabs>
          <w:tab w:val="num" w:pos="1968" w:leader="none"/>
        </w:tabs>
      </w:pPr>
      <w:rPr>
        <w:rFonts w:hint="eastAsia"/>
        <w:u w:val="none"/>
      </w:rPr>
    </w:lvl>
    <w:lvl w:ilvl="3">
      <w:start w:val="1"/>
      <w:numFmt w:val="decimal"/>
      <w:isLgl w:val="false"/>
      <w:suff w:val="tab"/>
      <w:lvlText w:val="%4."/>
      <w:lvlJc w:val="left"/>
      <w:pPr>
        <w:pStyle w:val="1129"/>
        <w:ind w:left="2088" w:hanging="420"/>
        <w:tabs>
          <w:tab w:val="num" w:pos="2088" w:leader="none"/>
        </w:tabs>
      </w:pPr>
    </w:lvl>
    <w:lvl w:ilvl="4">
      <w:start w:val="1"/>
      <w:numFmt w:val="lowerLetter"/>
      <w:isLgl w:val="false"/>
      <w:suff w:val="tab"/>
      <w:lvlText w:val="%5)"/>
      <w:lvlJc w:val="left"/>
      <w:pPr>
        <w:pStyle w:val="1129"/>
        <w:ind w:left="2508" w:hanging="420"/>
        <w:tabs>
          <w:tab w:val="num" w:pos="2508" w:leader="none"/>
        </w:tabs>
      </w:pPr>
    </w:lvl>
    <w:lvl w:ilvl="5">
      <w:start w:val="1"/>
      <w:numFmt w:val="lowerRoman"/>
      <w:isLgl w:val="false"/>
      <w:suff w:val="tab"/>
      <w:lvlText w:val="%6."/>
      <w:lvlJc w:val="right"/>
      <w:pPr>
        <w:pStyle w:val="1129"/>
        <w:ind w:left="2928" w:hanging="420"/>
        <w:tabs>
          <w:tab w:val="num" w:pos="2928" w:leader="none"/>
        </w:tabs>
      </w:pPr>
    </w:lvl>
    <w:lvl w:ilvl="6">
      <w:start w:val="1"/>
      <w:numFmt w:val="decimal"/>
      <w:isLgl w:val="false"/>
      <w:suff w:val="tab"/>
      <w:lvlText w:val="%7."/>
      <w:lvlJc w:val="left"/>
      <w:pPr>
        <w:pStyle w:val="1129"/>
        <w:ind w:left="3348" w:hanging="420"/>
        <w:tabs>
          <w:tab w:val="num" w:pos="3348" w:leader="none"/>
        </w:tabs>
      </w:pPr>
    </w:lvl>
    <w:lvl w:ilvl="7">
      <w:start w:val="1"/>
      <w:numFmt w:val="lowerLetter"/>
      <w:isLgl w:val="false"/>
      <w:suff w:val="tab"/>
      <w:lvlText w:val="%8)"/>
      <w:lvlJc w:val="left"/>
      <w:pPr>
        <w:pStyle w:val="1129"/>
        <w:ind w:left="3768" w:hanging="420"/>
        <w:tabs>
          <w:tab w:val="num" w:pos="3768" w:leader="none"/>
        </w:tabs>
      </w:pPr>
    </w:lvl>
    <w:lvl w:ilvl="8">
      <w:start w:val="1"/>
      <w:numFmt w:val="lowerRoman"/>
      <w:isLgl w:val="false"/>
      <w:suff w:val="tab"/>
      <w:lvlText w:val="%9."/>
      <w:lvlJc w:val="right"/>
      <w:pPr>
        <w:pStyle w:val="1129"/>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129"/>
        <w:ind w:left="900" w:hanging="900"/>
        <w:tabs>
          <w:tab w:val="num" w:pos="900" w:leader="none"/>
        </w:tabs>
      </w:pPr>
      <w:rPr>
        <w:rFonts w:hint="eastAsia"/>
        <w:b/>
      </w:rPr>
    </w:lvl>
    <w:lvl w:ilvl="1">
      <w:start w:val="1"/>
      <w:numFmt w:val="decimal"/>
      <w:isLgl w:val="false"/>
      <w:suff w:val="tab"/>
      <w:lvlText w:val="%1.%2"/>
      <w:lvlJc w:val="left"/>
      <w:pPr>
        <w:pStyle w:val="112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29"/>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129"/>
        <w:ind w:left="900" w:hanging="900"/>
        <w:tabs>
          <w:tab w:val="num" w:pos="900" w:leader="none"/>
        </w:tabs>
      </w:pPr>
      <w:rPr>
        <w:rFonts w:hint="eastAsia"/>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abstractNum w:abstractNumId="8">
    <w:multiLevelType w:val="hybridMultilevel"/>
    <w:lvl w:ilvl="0">
      <w:start w:val="1"/>
      <w:numFmt w:val="decimal"/>
      <w:pStyle w:val="1236"/>
      <w:isLgl w:val="false"/>
      <w:suff w:val="tab"/>
      <w:lvlText w:val="%1)"/>
      <w:lvlJc w:val="left"/>
      <w:pPr>
        <w:pStyle w:val="1129"/>
        <w:ind w:left="420" w:hanging="420"/>
      </w:pPr>
    </w:lvl>
    <w:lvl w:ilvl="1">
      <w:start w:val="1"/>
      <w:numFmt w:val="lowerLetter"/>
      <w:isLgl w:val="false"/>
      <w:suff w:val="tab"/>
      <w:lvlText w:val="%2)"/>
      <w:lvlJc w:val="left"/>
      <w:pPr>
        <w:pStyle w:val="1129"/>
        <w:ind w:left="840" w:hanging="420"/>
      </w:pPr>
    </w:lvl>
    <w:lvl w:ilvl="2">
      <w:start w:val="1"/>
      <w:numFmt w:val="lowerRoman"/>
      <w:isLgl w:val="false"/>
      <w:suff w:val="tab"/>
      <w:lvlText w:val="%3."/>
      <w:lvlJc w:val="right"/>
      <w:pPr>
        <w:pStyle w:val="1129"/>
        <w:ind w:left="1260" w:hanging="420"/>
      </w:pPr>
    </w:lvl>
    <w:lvl w:ilvl="3">
      <w:start w:val="1"/>
      <w:numFmt w:val="decimal"/>
      <w:isLgl w:val="false"/>
      <w:suff w:val="tab"/>
      <w:lvlText w:val="%4."/>
      <w:lvlJc w:val="left"/>
      <w:pPr>
        <w:pStyle w:val="1129"/>
        <w:ind w:left="1680" w:hanging="420"/>
      </w:pPr>
    </w:lvl>
    <w:lvl w:ilvl="4">
      <w:start w:val="1"/>
      <w:numFmt w:val="lowerLetter"/>
      <w:isLgl w:val="false"/>
      <w:suff w:val="tab"/>
      <w:lvlText w:val="%5)"/>
      <w:lvlJc w:val="left"/>
      <w:pPr>
        <w:pStyle w:val="1129"/>
        <w:ind w:left="2100" w:hanging="420"/>
      </w:pPr>
    </w:lvl>
    <w:lvl w:ilvl="5">
      <w:start w:val="1"/>
      <w:numFmt w:val="lowerRoman"/>
      <w:isLgl w:val="false"/>
      <w:suff w:val="tab"/>
      <w:lvlText w:val="%6."/>
      <w:lvlJc w:val="right"/>
      <w:pPr>
        <w:pStyle w:val="1129"/>
        <w:ind w:left="2520" w:hanging="420"/>
      </w:pPr>
    </w:lvl>
    <w:lvl w:ilvl="6">
      <w:start w:val="1"/>
      <w:numFmt w:val="decimal"/>
      <w:isLgl w:val="false"/>
      <w:suff w:val="tab"/>
      <w:lvlText w:val="%7."/>
      <w:lvlJc w:val="left"/>
      <w:pPr>
        <w:pStyle w:val="1129"/>
        <w:ind w:left="2940" w:hanging="420"/>
      </w:pPr>
    </w:lvl>
    <w:lvl w:ilvl="7">
      <w:start w:val="1"/>
      <w:numFmt w:val="lowerLetter"/>
      <w:isLgl w:val="false"/>
      <w:suff w:val="tab"/>
      <w:lvlText w:val="%8)"/>
      <w:lvlJc w:val="left"/>
      <w:pPr>
        <w:pStyle w:val="1129"/>
        <w:ind w:left="3360" w:hanging="420"/>
      </w:pPr>
    </w:lvl>
    <w:lvl w:ilvl="8">
      <w:start w:val="1"/>
      <w:numFmt w:val="lowerRoman"/>
      <w:isLgl w:val="false"/>
      <w:suff w:val="tab"/>
      <w:lvlText w:val="%9."/>
      <w:lvlJc w:val="right"/>
      <w:pPr>
        <w:pStyle w:val="1129"/>
        <w:ind w:left="3780" w:hanging="420"/>
      </w:pPr>
    </w:lvl>
  </w:abstractNum>
  <w:abstractNum w:abstractNumId="9">
    <w:multiLevelType w:val="hybridMultilevel"/>
    <w:lvl w:ilvl="0">
      <w:start w:val="1"/>
      <w:numFmt w:val="decimal"/>
      <w:pStyle w:val="1337"/>
      <w:isLgl w:val="false"/>
      <w:suff w:val="tab"/>
      <w:lvlText w:val="%1"/>
      <w:lvlJc w:val="left"/>
      <w:pPr>
        <w:pStyle w:val="1129"/>
        <w:ind w:left="680" w:hanging="680"/>
      </w:pPr>
      <w:rPr>
        <w:rFonts w:hint="eastAsia" w:ascii="宋体" w:hAnsi="宋体" w:eastAsia="宋体"/>
      </w:rPr>
    </w:lvl>
    <w:lvl w:ilvl="1">
      <w:start w:val="1"/>
      <w:numFmt w:val="decimal"/>
      <w:pStyle w:val="1338"/>
      <w:isLgl w:val="false"/>
      <w:suff w:val="tab"/>
      <w:lvlText w:val="%1.%2"/>
      <w:lvlJc w:val="left"/>
      <w:pPr>
        <w:pStyle w:val="1129"/>
        <w:ind w:left="851" w:hanging="851"/>
      </w:pPr>
      <w:rPr>
        <w:rFonts w:hint="eastAsia" w:ascii="宋体" w:hAnsi="宋体" w:eastAsia="宋体"/>
        <w:color w:val="000000"/>
      </w:rPr>
    </w:lvl>
    <w:lvl w:ilvl="2">
      <w:start w:val="1"/>
      <w:numFmt w:val="decimal"/>
      <w:pStyle w:val="1339"/>
      <w:isLgl w:val="false"/>
      <w:suff w:val="tab"/>
      <w:lvlText w:val="%1.%2.%3"/>
      <w:lvlJc w:val="left"/>
      <w:pPr>
        <w:pStyle w:val="1129"/>
        <w:ind w:left="851" w:hanging="851"/>
      </w:pPr>
      <w:rPr>
        <w:rFonts w:hint="eastAsia"/>
      </w:rPr>
    </w:lvl>
    <w:lvl w:ilvl="3">
      <w:start w:val="1"/>
      <w:numFmt w:val="decimal"/>
      <w:isLgl w:val="false"/>
      <w:suff w:val="tab"/>
      <w:lvlText w:val="%1.%2.%3.%4"/>
      <w:lvlJc w:val="left"/>
      <w:pPr>
        <w:pStyle w:val="1129"/>
        <w:ind w:left="680" w:hanging="680"/>
      </w:pPr>
      <w:rPr>
        <w:rFonts w:hint="eastAsia"/>
      </w:rPr>
    </w:lvl>
    <w:lvl w:ilvl="4">
      <w:start w:val="1"/>
      <w:numFmt w:val="decimal"/>
      <w:isLgl w:val="false"/>
      <w:suff w:val="tab"/>
      <w:lvlText w:val="%1.%2.%3.%4.%5"/>
      <w:lvlJc w:val="left"/>
      <w:pPr>
        <w:pStyle w:val="1129"/>
        <w:ind w:left="680" w:hanging="680"/>
      </w:pPr>
      <w:rPr>
        <w:rFonts w:hint="eastAsia"/>
      </w:rPr>
    </w:lvl>
    <w:lvl w:ilvl="5">
      <w:start w:val="1"/>
      <w:numFmt w:val="decimal"/>
      <w:isLgl w:val="false"/>
      <w:suff w:val="tab"/>
      <w:lvlText w:val="%1.%2.%3.%4.%5.%6"/>
      <w:lvlJc w:val="left"/>
      <w:pPr>
        <w:pStyle w:val="1129"/>
        <w:ind w:left="680" w:hanging="680"/>
      </w:pPr>
      <w:rPr>
        <w:rFonts w:hint="eastAsia"/>
      </w:rPr>
    </w:lvl>
    <w:lvl w:ilvl="6">
      <w:start w:val="1"/>
      <w:numFmt w:val="decimal"/>
      <w:isLgl w:val="false"/>
      <w:suff w:val="tab"/>
      <w:lvlText w:val="%1.%2.%3.%4.%5.%6.%7"/>
      <w:lvlJc w:val="left"/>
      <w:pPr>
        <w:pStyle w:val="1129"/>
        <w:ind w:left="680" w:hanging="680"/>
      </w:pPr>
      <w:rPr>
        <w:rFonts w:hint="eastAsia"/>
      </w:rPr>
    </w:lvl>
    <w:lvl w:ilvl="7">
      <w:start w:val="1"/>
      <w:numFmt w:val="decimal"/>
      <w:isLgl w:val="false"/>
      <w:suff w:val="tab"/>
      <w:lvlText w:val="%1.%2.%3.%4.%5.%6.%7.%8"/>
      <w:lvlJc w:val="left"/>
      <w:pPr>
        <w:pStyle w:val="1129"/>
        <w:ind w:left="680" w:hanging="680"/>
      </w:pPr>
      <w:rPr>
        <w:rFonts w:hint="eastAsia"/>
      </w:rPr>
    </w:lvl>
    <w:lvl w:ilvl="8">
      <w:start w:val="1"/>
      <w:numFmt w:val="decimal"/>
      <w:isLgl w:val="false"/>
      <w:suff w:val="tab"/>
      <w:lvlText w:val="%1.%2.%3.%4.%5.%6.%7.%8.%9"/>
      <w:lvlJc w:val="left"/>
      <w:pPr>
        <w:pStyle w:val="1129"/>
        <w:ind w:left="680" w:hanging="680"/>
      </w:pPr>
      <w:rPr>
        <w:rFonts w:hint="eastAsia"/>
      </w:rPr>
    </w:lvl>
  </w:abstractNum>
  <w:abstractNum w:abstractNumId="10">
    <w:multiLevelType w:val="hybridMultilevel"/>
    <w:lvl w:ilvl="0">
      <w:start w:val="1"/>
      <w:numFmt w:val="decimal"/>
      <w:isLgl w:val="false"/>
      <w:suff w:val="tab"/>
      <w:lvlText w:val="%1."/>
      <w:lvlJc w:val="left"/>
      <w:pPr>
        <w:pStyle w:val="1129"/>
        <w:ind w:left="900" w:hanging="900"/>
        <w:tabs>
          <w:tab w:val="num" w:pos="900" w:leader="none"/>
        </w:tabs>
      </w:pPr>
      <w:rPr>
        <w:rFonts w:hint="eastAsia"/>
      </w:rPr>
    </w:lvl>
    <w:lvl w:ilvl="1">
      <w:start w:val="1"/>
      <w:numFmt w:val="decimal"/>
      <w:isLgl w:val="false"/>
      <w:suff w:val="tab"/>
      <w:lvlText w:val="%1.%2"/>
      <w:lvlJc w:val="left"/>
      <w:pPr>
        <w:pStyle w:val="112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129"/>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129"/>
        <w:ind w:left="900" w:hanging="900"/>
        <w:tabs>
          <w:tab w:val="num" w:pos="900" w:leader="none"/>
        </w:tabs>
      </w:pPr>
      <w:rPr>
        <w:rFonts w:hint="eastAsia"/>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129"/>
        <w:ind w:left="900" w:hanging="900"/>
        <w:tabs>
          <w:tab w:val="num" w:pos="900" w:leader="none"/>
        </w:tabs>
      </w:pPr>
      <w:rPr>
        <w:rFonts w:hint="eastAsia"/>
      </w:rPr>
    </w:lvl>
    <w:lvl w:ilvl="1">
      <w:start w:val="1"/>
      <w:numFmt w:val="decimal"/>
      <w:isLgl w:val="false"/>
      <w:suff w:val="tab"/>
      <w:lvlText w:val="%1.%2"/>
      <w:lvlJc w:val="left"/>
      <w:pPr>
        <w:pStyle w:val="112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9"/>
        <w:ind w:left="1980" w:hanging="900"/>
        <w:tabs>
          <w:tab w:val="num" w:pos="1980" w:leader="none"/>
        </w:tabs>
      </w:pPr>
      <w:rPr>
        <w:rFonts w:hint="eastAsia"/>
      </w:rPr>
    </w:lvl>
    <w:lvl w:ilvl="3">
      <w:start w:val="1"/>
      <w:numFmt w:val="decimal"/>
      <w:isLgl w:val="false"/>
      <w:suff w:val="tab"/>
      <w:lvlText w:val="%1.%2.%3.%4"/>
      <w:lvlJc w:val="left"/>
      <w:pPr>
        <w:pStyle w:val="1129"/>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129"/>
        <w:ind w:left="900" w:hanging="900"/>
        <w:tabs>
          <w:tab w:val="num" w:pos="900" w:leader="none"/>
        </w:tabs>
      </w:pPr>
      <w:rPr>
        <w:rFonts w:hint="eastAsia"/>
      </w:rPr>
    </w:lvl>
    <w:lvl w:ilvl="1">
      <w:start w:val="1"/>
      <w:numFmt w:val="decimal"/>
      <w:isLgl w:val="false"/>
      <w:suff w:val="tab"/>
      <w:lvlText w:val="%1.%2"/>
      <w:lvlJc w:val="left"/>
      <w:pPr>
        <w:pStyle w:val="112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9"/>
        <w:ind w:left="1980" w:hanging="900"/>
        <w:tabs>
          <w:tab w:val="num" w:pos="1980" w:leader="none"/>
        </w:tabs>
      </w:pPr>
      <w:rPr>
        <w:rFonts w:hint="eastAsia"/>
      </w:rPr>
    </w:lvl>
    <w:lvl w:ilvl="3">
      <w:start w:val="1"/>
      <w:numFmt w:val="decimal"/>
      <w:isLgl w:val="false"/>
      <w:suff w:val="tab"/>
      <w:lvlText w:val="%1.%2.%3.%4"/>
      <w:lvlJc w:val="left"/>
      <w:pPr>
        <w:pStyle w:val="1129"/>
        <w:ind w:left="900" w:hanging="900"/>
        <w:tabs>
          <w:tab w:val="num" w:pos="900" w:leader="none"/>
        </w:tabs>
      </w:pPr>
      <w:rPr>
        <w:rFonts w:hint="eastAsia"/>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129"/>
        <w:ind w:left="900" w:hanging="900"/>
        <w:tabs>
          <w:tab w:val="num" w:pos="900" w:leader="none"/>
        </w:tabs>
      </w:pPr>
      <w:rPr>
        <w:rFonts w:hint="eastAsia"/>
      </w:rPr>
    </w:lvl>
    <w:lvl w:ilvl="1">
      <w:start w:val="1"/>
      <w:numFmt w:val="decimal"/>
      <w:isLgl w:val="false"/>
      <w:suff w:val="tab"/>
      <w:lvlText w:val="%1.%2"/>
      <w:lvlJc w:val="left"/>
      <w:pPr>
        <w:pStyle w:val="112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9"/>
        <w:ind w:left="1980" w:hanging="900"/>
        <w:tabs>
          <w:tab w:val="num" w:pos="1980" w:leader="none"/>
        </w:tabs>
      </w:pPr>
      <w:rPr>
        <w:rFonts w:hint="eastAsia"/>
      </w:rPr>
    </w:lvl>
    <w:lvl w:ilvl="3">
      <w:start w:val="1"/>
      <w:numFmt w:val="decimal"/>
      <w:isLgl w:val="false"/>
      <w:suff w:val="tab"/>
      <w:lvlText w:val="%1.%2.%3.%4"/>
      <w:lvlJc w:val="left"/>
      <w:pPr>
        <w:pStyle w:val="1129"/>
        <w:ind w:left="900" w:hanging="900"/>
        <w:tabs>
          <w:tab w:val="num" w:pos="900" w:leader="none"/>
        </w:tabs>
      </w:pPr>
      <w:rPr>
        <w:rFonts w:hint="eastAsia"/>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name w:val="Heading 1"/>
    <w:basedOn w:val="1129"/>
    <w:next w:val="1129"/>
    <w:link w:val="952"/>
    <w:uiPriority w:val="9"/>
    <w:qFormat/>
    <w:pPr>
      <w:keepLines/>
      <w:keepNext/>
      <w:spacing w:before="480" w:after="200"/>
      <w:outlineLvl w:val="0"/>
    </w:pPr>
    <w:rPr>
      <w:rFonts w:ascii="Arial" w:hAnsi="Arial" w:eastAsia="Arial" w:cs="Arial"/>
      <w:sz w:val="40"/>
      <w:szCs w:val="40"/>
    </w:rPr>
  </w:style>
  <w:style w:type="character" w:styleId="952">
    <w:name w:val="Heading 1 Char"/>
    <w:link w:val="951"/>
    <w:uiPriority w:val="9"/>
    <w:rPr>
      <w:rFonts w:ascii="Arial" w:hAnsi="Arial" w:eastAsia="Arial" w:cs="Arial"/>
      <w:sz w:val="40"/>
      <w:szCs w:val="40"/>
    </w:rPr>
  </w:style>
  <w:style w:type="paragraph" w:styleId="953">
    <w:name w:val="Heading 2"/>
    <w:basedOn w:val="1129"/>
    <w:next w:val="1129"/>
    <w:link w:val="954"/>
    <w:uiPriority w:val="9"/>
    <w:unhideWhenUsed/>
    <w:qFormat/>
    <w:pPr>
      <w:keepLines/>
      <w:keepNext/>
      <w:spacing w:before="360" w:after="200"/>
      <w:outlineLvl w:val="1"/>
    </w:pPr>
    <w:rPr>
      <w:rFonts w:ascii="Arial" w:hAnsi="Arial" w:eastAsia="Arial" w:cs="Arial"/>
      <w:sz w:val="34"/>
    </w:rPr>
  </w:style>
  <w:style w:type="character" w:styleId="954">
    <w:name w:val="Heading 2 Char"/>
    <w:link w:val="953"/>
    <w:uiPriority w:val="9"/>
    <w:rPr>
      <w:rFonts w:ascii="Arial" w:hAnsi="Arial" w:eastAsia="Arial" w:cs="Arial"/>
      <w:sz w:val="34"/>
    </w:rPr>
  </w:style>
  <w:style w:type="paragraph" w:styleId="955">
    <w:name w:val="Heading 3"/>
    <w:basedOn w:val="1129"/>
    <w:next w:val="1129"/>
    <w:link w:val="956"/>
    <w:uiPriority w:val="9"/>
    <w:unhideWhenUsed/>
    <w:qFormat/>
    <w:pPr>
      <w:keepLines/>
      <w:keepNext/>
      <w:spacing w:before="320" w:after="200"/>
      <w:outlineLvl w:val="2"/>
    </w:pPr>
    <w:rPr>
      <w:rFonts w:ascii="Arial" w:hAnsi="Arial" w:eastAsia="Arial" w:cs="Arial"/>
      <w:sz w:val="30"/>
      <w:szCs w:val="30"/>
    </w:rPr>
  </w:style>
  <w:style w:type="character" w:styleId="956">
    <w:name w:val="Heading 3 Char"/>
    <w:link w:val="955"/>
    <w:uiPriority w:val="9"/>
    <w:rPr>
      <w:rFonts w:ascii="Arial" w:hAnsi="Arial" w:eastAsia="Arial" w:cs="Arial"/>
      <w:sz w:val="30"/>
      <w:szCs w:val="30"/>
    </w:rPr>
  </w:style>
  <w:style w:type="paragraph" w:styleId="957">
    <w:name w:val="Heading 4"/>
    <w:basedOn w:val="1129"/>
    <w:next w:val="1129"/>
    <w:link w:val="958"/>
    <w:uiPriority w:val="9"/>
    <w:unhideWhenUsed/>
    <w:qFormat/>
    <w:pPr>
      <w:keepLines/>
      <w:keepNext/>
      <w:spacing w:before="320" w:after="200"/>
      <w:outlineLvl w:val="3"/>
    </w:pPr>
    <w:rPr>
      <w:rFonts w:ascii="Arial" w:hAnsi="Arial" w:eastAsia="Arial" w:cs="Arial"/>
      <w:b/>
      <w:bCs/>
      <w:sz w:val="26"/>
      <w:szCs w:val="26"/>
    </w:rPr>
  </w:style>
  <w:style w:type="character" w:styleId="958">
    <w:name w:val="Heading 4 Char"/>
    <w:link w:val="957"/>
    <w:uiPriority w:val="9"/>
    <w:rPr>
      <w:rFonts w:ascii="Arial" w:hAnsi="Arial" w:eastAsia="Arial" w:cs="Arial"/>
      <w:b/>
      <w:bCs/>
      <w:sz w:val="26"/>
      <w:szCs w:val="26"/>
    </w:rPr>
  </w:style>
  <w:style w:type="paragraph" w:styleId="959">
    <w:name w:val="Heading 5"/>
    <w:basedOn w:val="1129"/>
    <w:next w:val="1129"/>
    <w:link w:val="960"/>
    <w:uiPriority w:val="9"/>
    <w:unhideWhenUsed/>
    <w:qFormat/>
    <w:pPr>
      <w:keepLines/>
      <w:keepNext/>
      <w:spacing w:before="320" w:after="200"/>
      <w:outlineLvl w:val="4"/>
    </w:pPr>
    <w:rPr>
      <w:rFonts w:ascii="Arial" w:hAnsi="Arial" w:eastAsia="Arial" w:cs="Arial"/>
      <w:b/>
      <w:bCs/>
      <w:sz w:val="24"/>
      <w:szCs w:val="24"/>
    </w:rPr>
  </w:style>
  <w:style w:type="character" w:styleId="960">
    <w:name w:val="Heading 5 Char"/>
    <w:link w:val="959"/>
    <w:uiPriority w:val="9"/>
    <w:rPr>
      <w:rFonts w:ascii="Arial" w:hAnsi="Arial" w:eastAsia="Arial" w:cs="Arial"/>
      <w:b/>
      <w:bCs/>
      <w:sz w:val="24"/>
      <w:szCs w:val="24"/>
    </w:rPr>
  </w:style>
  <w:style w:type="paragraph" w:styleId="961">
    <w:name w:val="Heading 6"/>
    <w:basedOn w:val="1129"/>
    <w:next w:val="1129"/>
    <w:link w:val="962"/>
    <w:uiPriority w:val="9"/>
    <w:unhideWhenUsed/>
    <w:qFormat/>
    <w:pPr>
      <w:keepLines/>
      <w:keepNext/>
      <w:spacing w:before="320" w:after="200"/>
      <w:outlineLvl w:val="5"/>
    </w:pPr>
    <w:rPr>
      <w:rFonts w:ascii="Arial" w:hAnsi="Arial" w:eastAsia="Arial" w:cs="Arial"/>
      <w:b/>
      <w:bCs/>
      <w:sz w:val="22"/>
      <w:szCs w:val="22"/>
    </w:rPr>
  </w:style>
  <w:style w:type="character" w:styleId="962">
    <w:name w:val="Heading 6 Char"/>
    <w:link w:val="961"/>
    <w:uiPriority w:val="9"/>
    <w:rPr>
      <w:rFonts w:ascii="Arial" w:hAnsi="Arial" w:eastAsia="Arial" w:cs="Arial"/>
      <w:b/>
      <w:bCs/>
      <w:sz w:val="22"/>
      <w:szCs w:val="22"/>
    </w:rPr>
  </w:style>
  <w:style w:type="paragraph" w:styleId="963">
    <w:name w:val="Heading 7"/>
    <w:basedOn w:val="1129"/>
    <w:next w:val="1129"/>
    <w:link w:val="964"/>
    <w:uiPriority w:val="9"/>
    <w:unhideWhenUsed/>
    <w:qFormat/>
    <w:pPr>
      <w:keepLines/>
      <w:keepNext/>
      <w:spacing w:before="320" w:after="200"/>
      <w:outlineLvl w:val="6"/>
    </w:pPr>
    <w:rPr>
      <w:rFonts w:ascii="Arial" w:hAnsi="Arial" w:eastAsia="Arial" w:cs="Arial"/>
      <w:b/>
      <w:bCs/>
      <w:i/>
      <w:iCs/>
      <w:sz w:val="22"/>
      <w:szCs w:val="22"/>
    </w:rPr>
  </w:style>
  <w:style w:type="character" w:styleId="964">
    <w:name w:val="Heading 7 Char"/>
    <w:link w:val="963"/>
    <w:uiPriority w:val="9"/>
    <w:rPr>
      <w:rFonts w:ascii="Arial" w:hAnsi="Arial" w:eastAsia="Arial" w:cs="Arial"/>
      <w:b/>
      <w:bCs/>
      <w:i/>
      <w:iCs/>
      <w:sz w:val="22"/>
      <w:szCs w:val="22"/>
    </w:rPr>
  </w:style>
  <w:style w:type="paragraph" w:styleId="965">
    <w:name w:val="Heading 8"/>
    <w:basedOn w:val="1129"/>
    <w:next w:val="1129"/>
    <w:link w:val="966"/>
    <w:uiPriority w:val="9"/>
    <w:unhideWhenUsed/>
    <w:qFormat/>
    <w:pPr>
      <w:keepLines/>
      <w:keepNext/>
      <w:spacing w:before="320" w:after="200"/>
      <w:outlineLvl w:val="7"/>
    </w:pPr>
    <w:rPr>
      <w:rFonts w:ascii="Arial" w:hAnsi="Arial" w:eastAsia="Arial" w:cs="Arial"/>
      <w:i/>
      <w:iCs/>
      <w:sz w:val="22"/>
      <w:szCs w:val="22"/>
    </w:rPr>
  </w:style>
  <w:style w:type="character" w:styleId="966">
    <w:name w:val="Heading 8 Char"/>
    <w:link w:val="965"/>
    <w:uiPriority w:val="9"/>
    <w:rPr>
      <w:rFonts w:ascii="Arial" w:hAnsi="Arial" w:eastAsia="Arial" w:cs="Arial"/>
      <w:i/>
      <w:iCs/>
      <w:sz w:val="22"/>
      <w:szCs w:val="22"/>
    </w:rPr>
  </w:style>
  <w:style w:type="paragraph" w:styleId="967">
    <w:name w:val="Heading 9"/>
    <w:basedOn w:val="1129"/>
    <w:next w:val="1129"/>
    <w:link w:val="968"/>
    <w:uiPriority w:val="9"/>
    <w:unhideWhenUsed/>
    <w:qFormat/>
    <w:pPr>
      <w:keepLines/>
      <w:keepNext/>
      <w:spacing w:before="320" w:after="200"/>
      <w:outlineLvl w:val="8"/>
    </w:pPr>
    <w:rPr>
      <w:rFonts w:ascii="Arial" w:hAnsi="Arial" w:eastAsia="Arial" w:cs="Arial"/>
      <w:i/>
      <w:iCs/>
      <w:sz w:val="21"/>
      <w:szCs w:val="21"/>
    </w:rPr>
  </w:style>
  <w:style w:type="character" w:styleId="968">
    <w:name w:val="Heading 9 Char"/>
    <w:link w:val="967"/>
    <w:uiPriority w:val="9"/>
    <w:rPr>
      <w:rFonts w:ascii="Arial" w:hAnsi="Arial" w:eastAsia="Arial" w:cs="Arial"/>
      <w:i/>
      <w:iCs/>
      <w:sz w:val="21"/>
      <w:szCs w:val="21"/>
    </w:rPr>
  </w:style>
  <w:style w:type="paragraph" w:styleId="969">
    <w:name w:val="List Paragraph"/>
    <w:basedOn w:val="1129"/>
    <w:uiPriority w:val="34"/>
    <w:qFormat/>
    <w:pPr>
      <w:contextualSpacing/>
      <w:ind w:left="720"/>
    </w:pPr>
  </w:style>
  <w:style w:type="paragraph" w:styleId="970">
    <w:name w:val="No Spacing"/>
    <w:uiPriority w:val="1"/>
    <w:qFormat/>
    <w:pPr>
      <w:spacing w:before="0" w:after="0" w:line="240" w:lineRule="auto"/>
    </w:pPr>
  </w:style>
  <w:style w:type="paragraph" w:styleId="971">
    <w:name w:val="Title"/>
    <w:basedOn w:val="1129"/>
    <w:next w:val="1129"/>
    <w:link w:val="972"/>
    <w:uiPriority w:val="10"/>
    <w:qFormat/>
    <w:pPr>
      <w:contextualSpacing/>
      <w:spacing w:before="300" w:after="200"/>
    </w:pPr>
    <w:rPr>
      <w:sz w:val="48"/>
      <w:szCs w:val="48"/>
    </w:rPr>
  </w:style>
  <w:style w:type="character" w:styleId="972">
    <w:name w:val="Title Char"/>
    <w:link w:val="971"/>
    <w:uiPriority w:val="10"/>
    <w:rPr>
      <w:sz w:val="48"/>
      <w:szCs w:val="48"/>
    </w:rPr>
  </w:style>
  <w:style w:type="paragraph" w:styleId="973">
    <w:name w:val="Subtitle"/>
    <w:basedOn w:val="1129"/>
    <w:next w:val="1129"/>
    <w:link w:val="974"/>
    <w:uiPriority w:val="11"/>
    <w:qFormat/>
    <w:pPr>
      <w:spacing w:before="200" w:after="200"/>
    </w:pPr>
    <w:rPr>
      <w:sz w:val="24"/>
      <w:szCs w:val="24"/>
    </w:rPr>
  </w:style>
  <w:style w:type="character" w:styleId="974">
    <w:name w:val="Subtitle Char"/>
    <w:link w:val="973"/>
    <w:uiPriority w:val="11"/>
    <w:rPr>
      <w:sz w:val="24"/>
      <w:szCs w:val="24"/>
    </w:rPr>
  </w:style>
  <w:style w:type="paragraph" w:styleId="975">
    <w:name w:val="Quote"/>
    <w:basedOn w:val="1129"/>
    <w:next w:val="1129"/>
    <w:link w:val="976"/>
    <w:uiPriority w:val="29"/>
    <w:qFormat/>
    <w:pPr>
      <w:ind w:left="720" w:right="720"/>
    </w:pPr>
    <w:rPr>
      <w:i/>
    </w:rPr>
  </w:style>
  <w:style w:type="character" w:styleId="976">
    <w:name w:val="Quote Char"/>
    <w:link w:val="975"/>
    <w:uiPriority w:val="29"/>
    <w:rPr>
      <w:i/>
    </w:rPr>
  </w:style>
  <w:style w:type="paragraph" w:styleId="977">
    <w:name w:val="Intense Quote"/>
    <w:basedOn w:val="1129"/>
    <w:next w:val="1129"/>
    <w:link w:val="9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name w:val="Intense Quote Char"/>
    <w:link w:val="977"/>
    <w:uiPriority w:val="30"/>
    <w:rPr>
      <w:i/>
    </w:rPr>
  </w:style>
  <w:style w:type="paragraph" w:styleId="979">
    <w:name w:val="Header"/>
    <w:basedOn w:val="1129"/>
    <w:link w:val="980"/>
    <w:uiPriority w:val="99"/>
    <w:unhideWhenUsed/>
    <w:pPr>
      <w:spacing w:after="0" w:line="240" w:lineRule="auto"/>
      <w:tabs>
        <w:tab w:val="center" w:pos="7143" w:leader="none"/>
        <w:tab w:val="right" w:pos="14287" w:leader="none"/>
      </w:tabs>
    </w:pPr>
  </w:style>
  <w:style w:type="character" w:styleId="980">
    <w:name w:val="Header Char"/>
    <w:link w:val="979"/>
    <w:uiPriority w:val="99"/>
  </w:style>
  <w:style w:type="paragraph" w:styleId="981">
    <w:name w:val="Footer"/>
    <w:basedOn w:val="1129"/>
    <w:link w:val="984"/>
    <w:uiPriority w:val="99"/>
    <w:unhideWhenUsed/>
    <w:pPr>
      <w:spacing w:after="0" w:line="240" w:lineRule="auto"/>
      <w:tabs>
        <w:tab w:val="center" w:pos="7143" w:leader="none"/>
        <w:tab w:val="right" w:pos="14287" w:leader="none"/>
      </w:tabs>
    </w:pPr>
  </w:style>
  <w:style w:type="character" w:styleId="982">
    <w:name w:val="Footer Char"/>
    <w:link w:val="981"/>
    <w:uiPriority w:val="99"/>
  </w:style>
  <w:style w:type="paragraph" w:styleId="983">
    <w:name w:val="Caption"/>
    <w:basedOn w:val="1129"/>
    <w:next w:val="1129"/>
    <w:uiPriority w:val="35"/>
    <w:semiHidden/>
    <w:unhideWhenUsed/>
    <w:qFormat/>
    <w:pPr>
      <w:spacing w:line="276" w:lineRule="auto"/>
    </w:pPr>
    <w:rPr>
      <w:b/>
      <w:bCs/>
      <w:color w:val="4f81bd" w:themeColor="accent1"/>
      <w:sz w:val="18"/>
      <w:szCs w:val="18"/>
    </w:rPr>
  </w:style>
  <w:style w:type="character" w:styleId="984">
    <w:name w:val="Caption Char"/>
    <w:basedOn w:val="983"/>
    <w:link w:val="981"/>
    <w:uiPriority w:val="99"/>
  </w:style>
  <w:style w:type="table" w:styleId="9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1">
    <w:name w:val="Hyperlink"/>
    <w:uiPriority w:val="99"/>
    <w:unhideWhenUsed/>
    <w:rPr>
      <w:color w:val="0000ff" w:themeColor="hyperlink"/>
      <w:u w:val="single"/>
    </w:rPr>
  </w:style>
  <w:style w:type="paragraph" w:styleId="1112">
    <w:name w:val="footnote text"/>
    <w:basedOn w:val="1129"/>
    <w:link w:val="1113"/>
    <w:uiPriority w:val="99"/>
    <w:semiHidden/>
    <w:unhideWhenUsed/>
    <w:pPr>
      <w:spacing w:after="40" w:line="240" w:lineRule="auto"/>
    </w:pPr>
    <w:rPr>
      <w:sz w:val="18"/>
    </w:rPr>
  </w:style>
  <w:style w:type="character" w:styleId="1113">
    <w:name w:val="Footnote Text Char"/>
    <w:link w:val="1112"/>
    <w:uiPriority w:val="99"/>
    <w:rPr>
      <w:sz w:val="18"/>
    </w:rPr>
  </w:style>
  <w:style w:type="character" w:styleId="1114">
    <w:name w:val="footnote reference"/>
    <w:uiPriority w:val="99"/>
    <w:unhideWhenUsed/>
    <w:rPr>
      <w:vertAlign w:val="superscript"/>
    </w:rPr>
  </w:style>
  <w:style w:type="paragraph" w:styleId="1115">
    <w:name w:val="endnote text"/>
    <w:basedOn w:val="1129"/>
    <w:link w:val="1116"/>
    <w:uiPriority w:val="99"/>
    <w:semiHidden/>
    <w:unhideWhenUsed/>
    <w:pPr>
      <w:spacing w:after="0" w:line="240" w:lineRule="auto"/>
    </w:pPr>
    <w:rPr>
      <w:sz w:val="20"/>
    </w:rPr>
  </w:style>
  <w:style w:type="character" w:styleId="1116">
    <w:name w:val="Endnote Text Char"/>
    <w:link w:val="1115"/>
    <w:uiPriority w:val="99"/>
    <w:rPr>
      <w:sz w:val="20"/>
    </w:rPr>
  </w:style>
  <w:style w:type="character" w:styleId="1117">
    <w:name w:val="endnote reference"/>
    <w:uiPriority w:val="99"/>
    <w:semiHidden/>
    <w:unhideWhenUsed/>
    <w:rPr>
      <w:vertAlign w:val="superscript"/>
    </w:rPr>
  </w:style>
  <w:style w:type="paragraph" w:styleId="1118">
    <w:name w:val="toc 1"/>
    <w:basedOn w:val="1129"/>
    <w:next w:val="1129"/>
    <w:uiPriority w:val="39"/>
    <w:unhideWhenUsed/>
    <w:pPr>
      <w:ind w:left="0" w:right="0" w:firstLine="0"/>
      <w:spacing w:after="57"/>
    </w:pPr>
  </w:style>
  <w:style w:type="paragraph" w:styleId="1119">
    <w:name w:val="toc 2"/>
    <w:basedOn w:val="1129"/>
    <w:next w:val="1129"/>
    <w:uiPriority w:val="39"/>
    <w:unhideWhenUsed/>
    <w:pPr>
      <w:ind w:left="283" w:right="0" w:firstLine="0"/>
      <w:spacing w:after="57"/>
    </w:pPr>
  </w:style>
  <w:style w:type="paragraph" w:styleId="1120">
    <w:name w:val="toc 3"/>
    <w:basedOn w:val="1129"/>
    <w:next w:val="1129"/>
    <w:uiPriority w:val="39"/>
    <w:unhideWhenUsed/>
    <w:pPr>
      <w:ind w:left="567" w:right="0" w:firstLine="0"/>
      <w:spacing w:after="57"/>
    </w:pPr>
  </w:style>
  <w:style w:type="paragraph" w:styleId="1121">
    <w:name w:val="toc 4"/>
    <w:basedOn w:val="1129"/>
    <w:next w:val="1129"/>
    <w:uiPriority w:val="39"/>
    <w:unhideWhenUsed/>
    <w:pPr>
      <w:ind w:left="850" w:right="0" w:firstLine="0"/>
      <w:spacing w:after="57"/>
    </w:pPr>
  </w:style>
  <w:style w:type="paragraph" w:styleId="1122">
    <w:name w:val="toc 5"/>
    <w:basedOn w:val="1129"/>
    <w:next w:val="1129"/>
    <w:uiPriority w:val="39"/>
    <w:unhideWhenUsed/>
    <w:pPr>
      <w:ind w:left="1134" w:right="0" w:firstLine="0"/>
      <w:spacing w:after="57"/>
    </w:pPr>
  </w:style>
  <w:style w:type="paragraph" w:styleId="1123">
    <w:name w:val="toc 6"/>
    <w:basedOn w:val="1129"/>
    <w:next w:val="1129"/>
    <w:uiPriority w:val="39"/>
    <w:unhideWhenUsed/>
    <w:pPr>
      <w:ind w:left="1417" w:right="0" w:firstLine="0"/>
      <w:spacing w:after="57"/>
    </w:pPr>
  </w:style>
  <w:style w:type="paragraph" w:styleId="1124">
    <w:name w:val="toc 7"/>
    <w:basedOn w:val="1129"/>
    <w:next w:val="1129"/>
    <w:uiPriority w:val="39"/>
    <w:unhideWhenUsed/>
    <w:pPr>
      <w:ind w:left="1701" w:right="0" w:firstLine="0"/>
      <w:spacing w:after="57"/>
    </w:pPr>
  </w:style>
  <w:style w:type="paragraph" w:styleId="1125">
    <w:name w:val="toc 8"/>
    <w:basedOn w:val="1129"/>
    <w:next w:val="1129"/>
    <w:uiPriority w:val="39"/>
    <w:unhideWhenUsed/>
    <w:pPr>
      <w:ind w:left="1984" w:right="0" w:firstLine="0"/>
      <w:spacing w:after="57"/>
    </w:pPr>
  </w:style>
  <w:style w:type="paragraph" w:styleId="1126">
    <w:name w:val="toc 9"/>
    <w:basedOn w:val="1129"/>
    <w:next w:val="1129"/>
    <w:uiPriority w:val="39"/>
    <w:unhideWhenUsed/>
    <w:pPr>
      <w:ind w:left="2268" w:right="0" w:firstLine="0"/>
      <w:spacing w:after="57"/>
    </w:pPr>
  </w:style>
  <w:style w:type="paragraph" w:styleId="1127">
    <w:name w:val="TOC Heading"/>
    <w:uiPriority w:val="39"/>
    <w:unhideWhenUsed/>
  </w:style>
  <w:style w:type="paragraph" w:styleId="1128">
    <w:name w:val="table of figures"/>
    <w:basedOn w:val="1129"/>
    <w:next w:val="1129"/>
    <w:uiPriority w:val="99"/>
    <w:unhideWhenUsed/>
    <w:pPr>
      <w:spacing w:after="0" w:afterAutospacing="0"/>
    </w:pPr>
  </w:style>
  <w:style w:type="paragraph" w:styleId="1129" w:default="1">
    <w:name w:val="Normal"/>
    <w:next w:val="1129"/>
    <w:link w:val="1129"/>
    <w:qFormat/>
    <w:pPr>
      <w:jc w:val="both"/>
      <w:widowControl w:val="off"/>
    </w:pPr>
    <w:rPr>
      <w:sz w:val="21"/>
      <w:szCs w:val="24"/>
      <w:lang w:val="en-US" w:eastAsia="zh-CN" w:bidi="ar-SA"/>
    </w:rPr>
  </w:style>
  <w:style w:type="paragraph" w:styleId="1130">
    <w:name w:val="标题 1"/>
    <w:basedOn w:val="1129"/>
    <w:next w:val="1129"/>
    <w:link w:val="1141"/>
    <w:qFormat/>
    <w:pPr>
      <w:jc w:val="center"/>
      <w:keepLines/>
      <w:keepNext/>
      <w:spacing w:before="240" w:after="120" w:line="300" w:lineRule="auto"/>
      <w:outlineLvl w:val="0"/>
    </w:pPr>
    <w:rPr>
      <w:rFonts w:ascii="宋体"/>
      <w:b/>
      <w:sz w:val="32"/>
      <w:szCs w:val="20"/>
    </w:rPr>
  </w:style>
  <w:style w:type="paragraph" w:styleId="1131">
    <w:name w:val="标题 2"/>
    <w:basedOn w:val="1129"/>
    <w:next w:val="1143"/>
    <w:link w:val="1142"/>
    <w:qFormat/>
    <w:pPr>
      <w:jc w:val="center"/>
      <w:keepLines/>
      <w:keepNext/>
      <w:spacing w:before="120" w:line="300" w:lineRule="auto"/>
      <w:outlineLvl w:val="1"/>
    </w:pPr>
    <w:rPr>
      <w:rFonts w:ascii="Arial" w:hAnsi="Arial" w:eastAsia="黑体"/>
      <w:b/>
      <w:sz w:val="30"/>
      <w:szCs w:val="20"/>
    </w:rPr>
  </w:style>
  <w:style w:type="paragraph" w:styleId="1132">
    <w:name w:val="标题 3"/>
    <w:basedOn w:val="1129"/>
    <w:next w:val="1143"/>
    <w:link w:val="1145"/>
    <w:qFormat/>
    <w:pPr>
      <w:jc w:val="left"/>
      <w:keepLines/>
      <w:keepNext/>
      <w:spacing w:before="360" w:after="120"/>
      <w:outlineLvl w:val="2"/>
    </w:pPr>
    <w:rPr>
      <w:rFonts w:ascii="宋体"/>
      <w:b/>
      <w:sz w:val="24"/>
      <w:szCs w:val="20"/>
      <w:u w:val="single"/>
    </w:rPr>
  </w:style>
  <w:style w:type="paragraph" w:styleId="1133">
    <w:name w:val="标题 4"/>
    <w:basedOn w:val="1129"/>
    <w:next w:val="1129"/>
    <w:link w:val="1146"/>
    <w:qFormat/>
    <w:pPr>
      <w:keepLines/>
      <w:keepNext/>
      <w:spacing w:before="280" w:after="290" w:line="376" w:lineRule="atLeast"/>
      <w:outlineLvl w:val="3"/>
    </w:pPr>
    <w:rPr>
      <w:rFonts w:ascii="Arial" w:hAnsi="Arial" w:eastAsia="黑体"/>
      <w:b/>
      <w:sz w:val="28"/>
      <w:szCs w:val="20"/>
    </w:rPr>
  </w:style>
  <w:style w:type="paragraph" w:styleId="1134">
    <w:name w:val="标题 5"/>
    <w:basedOn w:val="1129"/>
    <w:next w:val="1129"/>
    <w:link w:val="1147"/>
    <w:qFormat/>
    <w:pPr>
      <w:keepLines/>
      <w:keepNext/>
      <w:spacing w:before="280" w:after="290" w:line="376" w:lineRule="atLeast"/>
      <w:outlineLvl w:val="4"/>
    </w:pPr>
    <w:rPr>
      <w:b/>
      <w:sz w:val="28"/>
      <w:szCs w:val="20"/>
    </w:rPr>
  </w:style>
  <w:style w:type="paragraph" w:styleId="1135">
    <w:name w:val="标题 6"/>
    <w:basedOn w:val="1129"/>
    <w:next w:val="1129"/>
    <w:link w:val="1148"/>
    <w:qFormat/>
    <w:pPr>
      <w:keepLines/>
      <w:keepNext/>
      <w:spacing w:before="240" w:after="64" w:line="320" w:lineRule="atLeast"/>
      <w:outlineLvl w:val="5"/>
    </w:pPr>
    <w:rPr>
      <w:rFonts w:ascii="Arial" w:hAnsi="Arial" w:eastAsia="黑体"/>
      <w:b/>
      <w:sz w:val="24"/>
      <w:szCs w:val="20"/>
    </w:rPr>
  </w:style>
  <w:style w:type="paragraph" w:styleId="1136">
    <w:name w:val="标题 7"/>
    <w:basedOn w:val="1129"/>
    <w:next w:val="1129"/>
    <w:link w:val="1149"/>
    <w:qFormat/>
    <w:pPr>
      <w:keepLines/>
      <w:keepNext/>
      <w:spacing w:before="240" w:after="64" w:line="320" w:lineRule="atLeast"/>
      <w:outlineLvl w:val="6"/>
    </w:pPr>
    <w:rPr>
      <w:b/>
      <w:sz w:val="24"/>
      <w:szCs w:val="20"/>
    </w:rPr>
  </w:style>
  <w:style w:type="paragraph" w:styleId="1137">
    <w:name w:val="标题 8"/>
    <w:basedOn w:val="1129"/>
    <w:next w:val="1129"/>
    <w:link w:val="1150"/>
    <w:qFormat/>
    <w:pPr>
      <w:keepLines/>
      <w:keepNext/>
      <w:spacing w:before="240" w:after="64" w:line="320" w:lineRule="atLeast"/>
      <w:outlineLvl w:val="7"/>
    </w:pPr>
    <w:rPr>
      <w:rFonts w:ascii="Arial" w:hAnsi="Arial" w:eastAsia="黑体"/>
      <w:sz w:val="24"/>
      <w:szCs w:val="20"/>
    </w:rPr>
  </w:style>
  <w:style w:type="paragraph" w:styleId="1138">
    <w:name w:val="标题 9"/>
    <w:basedOn w:val="1129"/>
    <w:next w:val="1129"/>
    <w:link w:val="1151"/>
    <w:qFormat/>
    <w:pPr>
      <w:keepLines/>
      <w:keepNext/>
      <w:spacing w:before="240" w:after="64" w:line="320" w:lineRule="atLeast"/>
      <w:outlineLvl w:val="8"/>
    </w:pPr>
    <w:rPr>
      <w:rFonts w:ascii="Arial" w:hAnsi="Arial" w:eastAsia="黑体"/>
      <w:szCs w:val="20"/>
    </w:rPr>
  </w:style>
  <w:style w:type="character" w:styleId="1139">
    <w:name w:val="默认段落字体"/>
    <w:next w:val="1139"/>
    <w:link w:val="1129"/>
    <w:uiPriority w:val="1"/>
    <w:unhideWhenUsed/>
    <w:qFormat/>
  </w:style>
  <w:style w:type="table" w:styleId="1140">
    <w:name w:val="普通表格"/>
    <w:next w:val="1140"/>
    <w:link w:val="1129"/>
    <w:uiPriority w:val="99"/>
    <w:unhideWhenUsed/>
    <w:qFormat/>
    <w:tblPr/>
  </w:style>
  <w:style w:type="character" w:styleId="1141">
    <w:name w:val="标题 1 字符"/>
    <w:next w:val="1141"/>
    <w:link w:val="1130"/>
    <w:qFormat/>
    <w:rPr>
      <w:rFonts w:ascii="宋体"/>
      <w:b/>
      <w:sz w:val="32"/>
    </w:rPr>
  </w:style>
  <w:style w:type="character" w:styleId="1142">
    <w:name w:val="标题 2 字符"/>
    <w:next w:val="1142"/>
    <w:link w:val="1131"/>
    <w:qFormat/>
    <w:rPr>
      <w:rFonts w:ascii="Arial" w:hAnsi="Arial" w:eastAsia="黑体"/>
      <w:b/>
      <w:sz w:val="30"/>
      <w:lang w:val="en-US" w:eastAsia="zh-CN" w:bidi="ar-SA"/>
    </w:rPr>
  </w:style>
  <w:style w:type="paragraph" w:styleId="1143">
    <w:name w:val="正文缩进"/>
    <w:basedOn w:val="1129"/>
    <w:next w:val="1143"/>
    <w:link w:val="1144"/>
    <w:uiPriority w:val="99"/>
    <w:qFormat/>
    <w:pPr>
      <w:ind w:firstLine="420"/>
      <w:jc w:val="left"/>
    </w:pPr>
    <w:rPr>
      <w:rFonts w:ascii="宋体"/>
      <w:sz w:val="24"/>
    </w:rPr>
  </w:style>
  <w:style w:type="character" w:styleId="1144">
    <w:name w:val="正文缩进 字符1"/>
    <w:next w:val="1144"/>
    <w:link w:val="1143"/>
    <w:qFormat/>
    <w:rPr>
      <w:rFonts w:ascii="宋体" w:eastAsia="宋体"/>
      <w:sz w:val="24"/>
      <w:szCs w:val="24"/>
      <w:lang w:val="en-US" w:eastAsia="zh-CN" w:bidi="ar-SA"/>
    </w:rPr>
  </w:style>
  <w:style w:type="character" w:styleId="1145">
    <w:name w:val="标题 3 字符"/>
    <w:next w:val="1145"/>
    <w:link w:val="1132"/>
    <w:qFormat/>
    <w:rPr>
      <w:rFonts w:ascii="宋体" w:eastAsia="宋体"/>
      <w:b/>
      <w:sz w:val="24"/>
      <w:u w:val="single"/>
      <w:lang w:val="en-US" w:eastAsia="zh-CN" w:bidi="ar-SA"/>
    </w:rPr>
  </w:style>
  <w:style w:type="character" w:styleId="1146">
    <w:name w:val="标题 4 字符"/>
    <w:next w:val="1146"/>
    <w:link w:val="1133"/>
    <w:qFormat/>
    <w:rPr>
      <w:rFonts w:ascii="Arial" w:hAnsi="Arial" w:eastAsia="黑体"/>
      <w:b/>
      <w:sz w:val="28"/>
    </w:rPr>
  </w:style>
  <w:style w:type="character" w:styleId="1147">
    <w:name w:val="标题 5 字符"/>
    <w:next w:val="1147"/>
    <w:link w:val="1134"/>
    <w:qFormat/>
    <w:rPr>
      <w:b/>
      <w:sz w:val="28"/>
    </w:rPr>
  </w:style>
  <w:style w:type="character" w:styleId="1148">
    <w:name w:val="标题 6 字符"/>
    <w:next w:val="1148"/>
    <w:link w:val="1135"/>
    <w:qFormat/>
    <w:rPr>
      <w:rFonts w:ascii="Arial" w:hAnsi="Arial" w:eastAsia="黑体"/>
      <w:b/>
      <w:sz w:val="24"/>
    </w:rPr>
  </w:style>
  <w:style w:type="character" w:styleId="1149">
    <w:name w:val="标题 7 字符"/>
    <w:next w:val="1149"/>
    <w:link w:val="1136"/>
    <w:qFormat/>
    <w:rPr>
      <w:b/>
      <w:sz w:val="24"/>
    </w:rPr>
  </w:style>
  <w:style w:type="character" w:styleId="1150">
    <w:name w:val="标题 8 字符"/>
    <w:next w:val="1150"/>
    <w:link w:val="1137"/>
    <w:qFormat/>
    <w:rPr>
      <w:rFonts w:ascii="Arial" w:hAnsi="Arial" w:eastAsia="黑体"/>
      <w:sz w:val="24"/>
    </w:rPr>
  </w:style>
  <w:style w:type="character" w:styleId="1151">
    <w:name w:val="标题 9 字符"/>
    <w:next w:val="1151"/>
    <w:link w:val="1138"/>
    <w:qFormat/>
    <w:rPr>
      <w:rFonts w:ascii="Arial" w:hAnsi="Arial" w:eastAsia="黑体"/>
      <w:sz w:val="21"/>
    </w:rPr>
  </w:style>
  <w:style w:type="paragraph" w:styleId="1152">
    <w:name w:val="目录 7"/>
    <w:basedOn w:val="1129"/>
    <w:next w:val="1129"/>
    <w:link w:val="1129"/>
    <w:qFormat/>
    <w:pPr>
      <w:ind w:left="2520"/>
    </w:pPr>
  </w:style>
  <w:style w:type="paragraph" w:styleId="1153">
    <w:name w:val="题注"/>
    <w:basedOn w:val="1129"/>
    <w:next w:val="1129"/>
    <w:link w:val="1129"/>
    <w:qFormat/>
    <w:pPr>
      <w:spacing w:line="480" w:lineRule="auto"/>
    </w:pPr>
    <w:rPr>
      <w:rFonts w:ascii="华文中宋" w:hAnsi="华文中宋" w:eastAsia="华文中宋"/>
      <w:sz w:val="36"/>
      <w:szCs w:val="20"/>
    </w:rPr>
  </w:style>
  <w:style w:type="paragraph" w:styleId="1154">
    <w:name w:val="文档结构图"/>
    <w:basedOn w:val="1129"/>
    <w:next w:val="1154"/>
    <w:link w:val="1155"/>
    <w:qFormat/>
    <w:pPr>
      <w:shd w:val="clear" w:color="auto" w:fill="000080"/>
    </w:pPr>
  </w:style>
  <w:style w:type="character" w:styleId="1155">
    <w:name w:val="文档结构图 字符"/>
    <w:next w:val="1155"/>
    <w:link w:val="1154"/>
    <w:qFormat/>
    <w:rPr>
      <w:sz w:val="21"/>
      <w:szCs w:val="24"/>
      <w:shd w:val="clear" w:color="auto" w:fill="000080"/>
    </w:rPr>
  </w:style>
  <w:style w:type="paragraph" w:styleId="1156">
    <w:name w:val="批注文字"/>
    <w:basedOn w:val="1129"/>
    <w:next w:val="1156"/>
    <w:link w:val="1157"/>
    <w:uiPriority w:val="99"/>
    <w:qFormat/>
    <w:pPr>
      <w:jc w:val="left"/>
    </w:pPr>
  </w:style>
  <w:style w:type="character" w:styleId="1157">
    <w:name w:val="批注文字 字符1"/>
    <w:next w:val="1157"/>
    <w:link w:val="1156"/>
    <w:uiPriority w:val="99"/>
    <w:qFormat/>
    <w:rPr>
      <w:sz w:val="21"/>
      <w:szCs w:val="24"/>
    </w:rPr>
  </w:style>
  <w:style w:type="paragraph" w:styleId="1158">
    <w:name w:val="正文文本 3"/>
    <w:basedOn w:val="1129"/>
    <w:next w:val="1158"/>
    <w:link w:val="1159"/>
    <w:qFormat/>
    <w:pPr>
      <w:spacing w:after="120"/>
    </w:pPr>
    <w:rPr>
      <w:sz w:val="16"/>
      <w:szCs w:val="16"/>
    </w:rPr>
  </w:style>
  <w:style w:type="character" w:styleId="1159">
    <w:name w:val="正文文本 3 字符"/>
    <w:next w:val="1159"/>
    <w:link w:val="1158"/>
    <w:qFormat/>
    <w:rPr>
      <w:sz w:val="16"/>
      <w:szCs w:val="16"/>
    </w:rPr>
  </w:style>
  <w:style w:type="paragraph" w:styleId="1160">
    <w:name w:val="正文文本"/>
    <w:basedOn w:val="1129"/>
    <w:next w:val="1129"/>
    <w:link w:val="1161"/>
    <w:qFormat/>
    <w:pPr>
      <w:spacing w:before="120" w:line="22" w:lineRule="atLeast"/>
      <w:tabs>
        <w:tab w:val="left" w:pos="567" w:leader="none"/>
      </w:tabs>
    </w:pPr>
    <w:rPr>
      <w:rFonts w:ascii="宋体" w:hAnsi="宋体"/>
      <w:sz w:val="24"/>
    </w:rPr>
  </w:style>
  <w:style w:type="character" w:styleId="1161">
    <w:name w:val="正文文本 字符1"/>
    <w:next w:val="1161"/>
    <w:link w:val="1160"/>
    <w:qFormat/>
    <w:rPr>
      <w:rFonts w:ascii="宋体" w:hAnsi="宋体"/>
      <w:sz w:val="24"/>
      <w:szCs w:val="24"/>
    </w:rPr>
  </w:style>
  <w:style w:type="paragraph" w:styleId="1162">
    <w:name w:val="正文文本缩进"/>
    <w:basedOn w:val="1129"/>
    <w:next w:val="1162"/>
    <w:link w:val="1163"/>
    <w:qFormat/>
    <w:pPr>
      <w:ind w:firstLine="570"/>
      <w:spacing w:line="360" w:lineRule="auto"/>
    </w:pPr>
    <w:rPr>
      <w:sz w:val="24"/>
    </w:rPr>
  </w:style>
  <w:style w:type="character" w:styleId="1163">
    <w:name w:val="正文文本缩进 字符"/>
    <w:next w:val="1163"/>
    <w:link w:val="1162"/>
    <w:qFormat/>
    <w:rPr>
      <w:rFonts w:eastAsia="宋体"/>
      <w:sz w:val="24"/>
      <w:szCs w:val="24"/>
      <w:lang w:val="en-US" w:eastAsia="zh-CN" w:bidi="ar-SA"/>
    </w:rPr>
  </w:style>
  <w:style w:type="paragraph" w:styleId="1164">
    <w:name w:val="列表 2"/>
    <w:basedOn w:val="1129"/>
    <w:next w:val="1164"/>
    <w:link w:val="1129"/>
    <w:qFormat/>
    <w:pPr>
      <w:ind w:left="100" w:hanging="200"/>
    </w:pPr>
  </w:style>
  <w:style w:type="paragraph" w:styleId="1165">
    <w:name w:val="文本块"/>
    <w:basedOn w:val="1129"/>
    <w:next w:val="1165"/>
    <w:link w:val="1129"/>
    <w:qFormat/>
    <w:pPr>
      <w:ind w:left="480" w:right="-341" w:firstLine="513"/>
      <w:widowControl/>
    </w:pPr>
    <w:rPr>
      <w:sz w:val="24"/>
      <w:szCs w:val="20"/>
    </w:rPr>
  </w:style>
  <w:style w:type="paragraph" w:styleId="1166">
    <w:name w:val="目录 5"/>
    <w:basedOn w:val="1129"/>
    <w:next w:val="1129"/>
    <w:link w:val="1129"/>
    <w:qFormat/>
    <w:pPr>
      <w:ind w:left="1680"/>
    </w:pPr>
  </w:style>
  <w:style w:type="paragraph" w:styleId="1167">
    <w:name w:val="目录 3"/>
    <w:basedOn w:val="1129"/>
    <w:next w:val="1129"/>
    <w:link w:val="1129"/>
    <w:uiPriority w:val="39"/>
    <w:qFormat/>
    <w:pPr>
      <w:ind w:left="840"/>
    </w:pPr>
  </w:style>
  <w:style w:type="paragraph" w:styleId="1168">
    <w:name w:val="纯文本"/>
    <w:basedOn w:val="1129"/>
    <w:next w:val="1168"/>
    <w:link w:val="1169"/>
    <w:uiPriority w:val="99"/>
    <w:qFormat/>
    <w:rPr>
      <w:rFonts w:hint="eastAsia" w:ascii="宋体" w:hAnsi="Courier New"/>
      <w:szCs w:val="20"/>
    </w:rPr>
  </w:style>
  <w:style w:type="character" w:styleId="1169">
    <w:name w:val="纯文本 字符2"/>
    <w:next w:val="1169"/>
    <w:link w:val="1168"/>
    <w:qFormat/>
    <w:rPr>
      <w:rFonts w:hint="eastAsia" w:ascii="宋体" w:hAnsi="Courier New" w:eastAsia="宋体" w:cs="宋体"/>
      <w:sz w:val="21"/>
    </w:rPr>
  </w:style>
  <w:style w:type="paragraph" w:styleId="1170">
    <w:name w:val="目录 8"/>
    <w:basedOn w:val="1129"/>
    <w:next w:val="1129"/>
    <w:link w:val="1129"/>
    <w:qFormat/>
    <w:pPr>
      <w:ind w:left="2940"/>
    </w:pPr>
  </w:style>
  <w:style w:type="paragraph" w:styleId="1171">
    <w:name w:val="日期"/>
    <w:basedOn w:val="1129"/>
    <w:next w:val="1129"/>
    <w:link w:val="1172"/>
    <w:qFormat/>
    <w:pPr>
      <w:ind w:left="100"/>
    </w:pPr>
    <w:rPr>
      <w:rFonts w:ascii="仿宋_GB2312" w:hAnsi="宋体" w:eastAsia="仿宋_GB2312"/>
      <w:color w:val="000000"/>
      <w:sz w:val="24"/>
    </w:rPr>
  </w:style>
  <w:style w:type="character" w:styleId="1172">
    <w:name w:val="日期 字符"/>
    <w:next w:val="1172"/>
    <w:link w:val="1171"/>
    <w:qFormat/>
    <w:rPr>
      <w:rFonts w:ascii="仿宋_GB2312" w:hAnsi="宋体" w:eastAsia="仿宋_GB2312"/>
      <w:color w:val="000000"/>
      <w:sz w:val="24"/>
      <w:szCs w:val="24"/>
    </w:rPr>
  </w:style>
  <w:style w:type="paragraph" w:styleId="1173">
    <w:name w:val="正文文本缩进 2"/>
    <w:basedOn w:val="1129"/>
    <w:next w:val="1173"/>
    <w:link w:val="1174"/>
    <w:qFormat/>
    <w:pPr>
      <w:ind w:firstLine="480"/>
    </w:pPr>
    <w:rPr>
      <w:rFonts w:ascii="仿宋_GB2312" w:eastAsia="仿宋_GB2312"/>
      <w:sz w:val="24"/>
    </w:rPr>
  </w:style>
  <w:style w:type="character" w:styleId="1174">
    <w:name w:val="正文文本缩进 2 字符"/>
    <w:next w:val="1174"/>
    <w:link w:val="1173"/>
    <w:qFormat/>
    <w:rPr>
      <w:rFonts w:ascii="仿宋_GB2312" w:eastAsia="仿宋_GB2312"/>
      <w:sz w:val="24"/>
      <w:szCs w:val="24"/>
    </w:rPr>
  </w:style>
  <w:style w:type="paragraph" w:styleId="1175">
    <w:name w:val="批注框文本"/>
    <w:basedOn w:val="1129"/>
    <w:next w:val="1175"/>
    <w:link w:val="1176"/>
    <w:qFormat/>
    <w:rPr>
      <w:sz w:val="18"/>
      <w:szCs w:val="18"/>
    </w:rPr>
  </w:style>
  <w:style w:type="character" w:styleId="1176">
    <w:name w:val="批注框文本 字符"/>
    <w:next w:val="1176"/>
    <w:link w:val="1175"/>
    <w:qFormat/>
    <w:rPr>
      <w:sz w:val="18"/>
      <w:szCs w:val="18"/>
    </w:rPr>
  </w:style>
  <w:style w:type="paragraph" w:styleId="1177">
    <w:name w:val="页脚"/>
    <w:basedOn w:val="1129"/>
    <w:next w:val="1177"/>
    <w:link w:val="1178"/>
    <w:uiPriority w:val="99"/>
    <w:qFormat/>
    <w:pPr>
      <w:jc w:val="left"/>
      <w:tabs>
        <w:tab w:val="center" w:pos="4153" w:leader="none"/>
        <w:tab w:val="right" w:pos="8306" w:leader="none"/>
      </w:tabs>
    </w:pPr>
    <w:rPr>
      <w:rFonts w:ascii="宋体"/>
      <w:sz w:val="18"/>
      <w:szCs w:val="20"/>
    </w:rPr>
  </w:style>
  <w:style w:type="character" w:styleId="1178">
    <w:name w:val="页脚 字符"/>
    <w:next w:val="1178"/>
    <w:link w:val="1177"/>
    <w:uiPriority w:val="99"/>
    <w:qFormat/>
    <w:rPr>
      <w:rFonts w:ascii="宋体" w:eastAsia="宋体"/>
      <w:sz w:val="18"/>
      <w:lang w:val="en-US" w:eastAsia="zh-CN" w:bidi="ar-SA"/>
    </w:rPr>
  </w:style>
  <w:style w:type="paragraph" w:styleId="1179">
    <w:name w:val="页眉"/>
    <w:basedOn w:val="1129"/>
    <w:next w:val="1179"/>
    <w:link w:val="1180"/>
    <w:qFormat/>
    <w:pPr>
      <w:jc w:val="center"/>
      <w:tabs>
        <w:tab w:val="center" w:pos="4153" w:leader="none"/>
        <w:tab w:val="right" w:pos="8306" w:leader="none"/>
      </w:tabs>
      <w:pBdr>
        <w:bottom w:val="single" w:color="000000" w:sz="6" w:space="1"/>
      </w:pBdr>
    </w:pPr>
    <w:rPr>
      <w:sz w:val="18"/>
      <w:szCs w:val="18"/>
    </w:rPr>
  </w:style>
  <w:style w:type="character" w:styleId="1180">
    <w:name w:val="页眉 字符"/>
    <w:next w:val="1180"/>
    <w:link w:val="1179"/>
    <w:qFormat/>
    <w:rPr>
      <w:rFonts w:eastAsia="宋体"/>
      <w:sz w:val="18"/>
      <w:szCs w:val="18"/>
      <w:lang w:val="en-US" w:eastAsia="zh-CN" w:bidi="ar-SA"/>
    </w:rPr>
  </w:style>
  <w:style w:type="paragraph" w:styleId="1181">
    <w:name w:val="目录 1"/>
    <w:basedOn w:val="1129"/>
    <w:next w:val="1129"/>
    <w:link w:val="1129"/>
    <w:uiPriority w:val="39"/>
    <w:qFormat/>
    <w:pPr>
      <w:spacing w:line="300" w:lineRule="auto"/>
      <w:tabs>
        <w:tab w:val="left" w:pos="1050" w:leader="none"/>
        <w:tab w:val="right" w:pos="8937" w:leader="dot"/>
      </w:tabs>
    </w:pPr>
    <w:rPr>
      <w:rFonts w:ascii="宋体" w:hAnsi="宋体"/>
      <w:b/>
      <w:sz w:val="24"/>
    </w:rPr>
  </w:style>
  <w:style w:type="paragraph" w:styleId="1182">
    <w:name w:val="目录 4"/>
    <w:basedOn w:val="1129"/>
    <w:next w:val="1129"/>
    <w:link w:val="1129"/>
    <w:qFormat/>
    <w:pPr>
      <w:ind w:left="1260"/>
    </w:pPr>
  </w:style>
  <w:style w:type="paragraph" w:styleId="1183">
    <w:name w:val="目录 6"/>
    <w:basedOn w:val="1129"/>
    <w:next w:val="1129"/>
    <w:link w:val="1129"/>
    <w:qFormat/>
    <w:pPr>
      <w:ind w:left="2100"/>
    </w:pPr>
  </w:style>
  <w:style w:type="paragraph" w:styleId="1184">
    <w:name w:val="正文文本缩进 3"/>
    <w:basedOn w:val="1129"/>
    <w:next w:val="1184"/>
    <w:link w:val="1185"/>
    <w:qFormat/>
    <w:pPr>
      <w:ind w:left="720" w:firstLine="480"/>
      <w:jc w:val="left"/>
      <w:spacing w:before="120" w:line="22" w:lineRule="atLeast"/>
    </w:pPr>
    <w:rPr>
      <w:rFonts w:ascii="宋体"/>
      <w:sz w:val="24"/>
      <w:szCs w:val="20"/>
    </w:rPr>
  </w:style>
  <w:style w:type="character" w:styleId="1185">
    <w:name w:val="正文文本缩进 3 字符"/>
    <w:next w:val="1185"/>
    <w:link w:val="1184"/>
    <w:qFormat/>
    <w:rPr>
      <w:rFonts w:ascii="宋体"/>
      <w:sz w:val="24"/>
    </w:rPr>
  </w:style>
  <w:style w:type="paragraph" w:styleId="1186">
    <w:name w:val="目录 2"/>
    <w:basedOn w:val="1129"/>
    <w:next w:val="1129"/>
    <w:link w:val="1129"/>
    <w:uiPriority w:val="39"/>
    <w:qFormat/>
    <w:pPr>
      <w:ind w:left="420"/>
      <w:spacing w:line="312" w:lineRule="auto"/>
      <w:tabs>
        <w:tab w:val="right" w:pos="8937" w:leader="dot"/>
      </w:tabs>
    </w:pPr>
  </w:style>
  <w:style w:type="paragraph" w:styleId="1187">
    <w:name w:val="目录 9"/>
    <w:basedOn w:val="1129"/>
    <w:next w:val="1129"/>
    <w:link w:val="1129"/>
    <w:qFormat/>
    <w:pPr>
      <w:ind w:left="3360"/>
    </w:pPr>
  </w:style>
  <w:style w:type="paragraph" w:styleId="1188">
    <w:name w:val="HTML 预设格式"/>
    <w:basedOn w:val="1129"/>
    <w:next w:val="1188"/>
    <w:link w:val="11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89">
    <w:name w:val="HTML 预设格式 字符"/>
    <w:next w:val="1189"/>
    <w:link w:val="1188"/>
    <w:qFormat/>
    <w:rPr>
      <w:rFonts w:ascii="宋体" w:hAnsi="宋体" w:cs="宋体"/>
      <w:sz w:val="24"/>
      <w:szCs w:val="24"/>
    </w:rPr>
  </w:style>
  <w:style w:type="paragraph" w:styleId="1190">
    <w:name w:val="普通(网站)"/>
    <w:basedOn w:val="1129"/>
    <w:next w:val="1190"/>
    <w:link w:val="1129"/>
    <w:uiPriority w:val="99"/>
    <w:unhideWhenUsed/>
    <w:qFormat/>
    <w:pPr>
      <w:jc w:val="left"/>
      <w:spacing w:before="100" w:beforeAutospacing="1" w:after="100" w:afterAutospacing="1"/>
      <w:widowControl/>
    </w:pPr>
    <w:rPr>
      <w:rFonts w:ascii="宋体" w:hAnsi="宋体" w:cs="宋体"/>
      <w:sz w:val="24"/>
    </w:rPr>
  </w:style>
  <w:style w:type="paragraph" w:styleId="1191">
    <w:name w:val="索引 1"/>
    <w:basedOn w:val="1129"/>
    <w:next w:val="1129"/>
    <w:link w:val="1129"/>
    <w:qFormat/>
    <w:rPr>
      <w:szCs w:val="20"/>
    </w:rPr>
  </w:style>
  <w:style w:type="paragraph" w:styleId="1192">
    <w:name w:val="标题"/>
    <w:basedOn w:val="1129"/>
    <w:next w:val="1192"/>
    <w:link w:val="1193"/>
    <w:qFormat/>
    <w:pPr>
      <w:jc w:val="center"/>
      <w:outlineLvl w:val="0"/>
    </w:pPr>
    <w:rPr>
      <w:b/>
      <w:sz w:val="32"/>
      <w:szCs w:val="20"/>
    </w:rPr>
  </w:style>
  <w:style w:type="character" w:styleId="1193">
    <w:name w:val="标题 字符"/>
    <w:next w:val="1193"/>
    <w:link w:val="1192"/>
    <w:qFormat/>
    <w:rPr>
      <w:b/>
      <w:sz w:val="32"/>
    </w:rPr>
  </w:style>
  <w:style w:type="paragraph" w:styleId="1194">
    <w:name w:val="批注主题"/>
    <w:basedOn w:val="1156"/>
    <w:next w:val="1156"/>
    <w:link w:val="1195"/>
    <w:qFormat/>
    <w:rPr>
      <w:b/>
      <w:bCs/>
    </w:rPr>
  </w:style>
  <w:style w:type="character" w:styleId="1195">
    <w:name w:val="批注主题 字符"/>
    <w:next w:val="1195"/>
    <w:link w:val="1194"/>
    <w:qFormat/>
    <w:rPr>
      <w:rFonts w:ascii="Times New Roman" w:hAnsi="Times New Roman" w:eastAsia="宋体" w:cs="Times New Roman"/>
      <w:b/>
      <w:bCs/>
      <w:sz w:val="21"/>
      <w:szCs w:val="24"/>
      <w:lang w:val="en-US" w:eastAsia="zh-CN" w:bidi="ar-SA"/>
    </w:rPr>
  </w:style>
  <w:style w:type="paragraph" w:styleId="1196">
    <w:name w:val="正文首行缩进 2"/>
    <w:basedOn w:val="1162"/>
    <w:next w:val="1196"/>
    <w:link w:val="1197"/>
    <w:qFormat/>
    <w:pPr>
      <w:ind w:left="420" w:firstLine="420"/>
      <w:spacing w:after="120" w:line="480" w:lineRule="exact"/>
    </w:pPr>
    <w:rPr>
      <w:szCs w:val="20"/>
    </w:rPr>
  </w:style>
  <w:style w:type="character" w:styleId="1197">
    <w:name w:val="正文文本首行缩进 2 字符"/>
    <w:next w:val="1197"/>
    <w:link w:val="1196"/>
    <w:qFormat/>
    <w:rPr>
      <w:rFonts w:eastAsia="宋体"/>
      <w:sz w:val="24"/>
      <w:szCs w:val="24"/>
      <w:lang w:val="en-US" w:eastAsia="zh-CN" w:bidi="ar-SA"/>
    </w:rPr>
  </w:style>
  <w:style w:type="table" w:styleId="1198">
    <w:name w:val="网格型"/>
    <w:basedOn w:val="1140"/>
    <w:next w:val="1198"/>
    <w:link w:val="1129"/>
    <w:uiPriority w:val="39"/>
    <w:qFormat/>
    <w:tblPr/>
  </w:style>
  <w:style w:type="table" w:styleId="1199">
    <w:name w:val="中等深浅网格 1 - 强调文字颜色 2"/>
    <w:basedOn w:val="1140"/>
    <w:next w:val="1199"/>
    <w:link w:val="1129"/>
    <w:qFormat/>
    <w:rPr>
      <w:sz w:val="21"/>
      <w:szCs w:val="24"/>
    </w:rPr>
    <w:tblPr/>
  </w:style>
  <w:style w:type="character" w:styleId="1200">
    <w:name w:val="要点"/>
    <w:next w:val="1200"/>
    <w:link w:val="1129"/>
    <w:qFormat/>
    <w:rPr>
      <w:b/>
      <w:bCs/>
    </w:rPr>
  </w:style>
  <w:style w:type="character" w:styleId="1201">
    <w:name w:val="页码"/>
    <w:next w:val="1201"/>
    <w:link w:val="1129"/>
    <w:qFormat/>
  </w:style>
  <w:style w:type="character" w:styleId="1202">
    <w:name w:val="已访问的超链接"/>
    <w:next w:val="1202"/>
    <w:link w:val="1129"/>
    <w:qFormat/>
    <w:rPr>
      <w:color w:val="800080"/>
      <w:u w:val="single"/>
    </w:rPr>
  </w:style>
  <w:style w:type="character" w:styleId="1203">
    <w:name w:val="强调"/>
    <w:next w:val="1203"/>
    <w:link w:val="1129"/>
    <w:qFormat/>
    <w:rPr>
      <w:color w:val="cc0033"/>
    </w:rPr>
  </w:style>
  <w:style w:type="character" w:styleId="1204">
    <w:name w:val="超链接"/>
    <w:next w:val="1204"/>
    <w:link w:val="1129"/>
    <w:uiPriority w:val="99"/>
    <w:qFormat/>
    <w:rPr>
      <w:color w:val="0000ff"/>
      <w:u w:val="single"/>
    </w:rPr>
  </w:style>
  <w:style w:type="character" w:styleId="1205">
    <w:name w:val="批注引用"/>
    <w:next w:val="1205"/>
    <w:link w:val="1129"/>
    <w:uiPriority w:val="99"/>
    <w:qFormat/>
    <w:rPr>
      <w:sz w:val="21"/>
      <w:szCs w:val="21"/>
    </w:rPr>
  </w:style>
  <w:style w:type="character" w:styleId="1206">
    <w:name w:val="HTML 引文"/>
    <w:next w:val="1206"/>
    <w:link w:val="1129"/>
    <w:qFormat/>
    <w:rPr>
      <w:i/>
      <w:iCs/>
    </w:rPr>
  </w:style>
  <w:style w:type="character" w:styleId="1207">
    <w:name w:val="批注文字 字符"/>
    <w:next w:val="1207"/>
    <w:link w:val="1129"/>
    <w:uiPriority w:val="99"/>
    <w:qFormat/>
    <w:rPr>
      <w:rFonts w:ascii="Times New Roman" w:hAnsi="Times New Roman" w:eastAsia="宋体" w:cs="Times New Roman"/>
      <w:sz w:val="24"/>
      <w:lang w:val="en-US" w:eastAsia="zh-CN" w:bidi="ar-SA"/>
    </w:rPr>
  </w:style>
  <w:style w:type="character" w:styleId="1208">
    <w:name w:val="c21"/>
    <w:next w:val="1208"/>
    <w:link w:val="1129"/>
    <w:qFormat/>
    <w:rPr>
      <w:rFonts w:ascii="ˎ̥" w:hAnsi="ˎ̥"/>
      <w:color w:val="000000"/>
      <w:sz w:val="20"/>
      <w:szCs w:val="20"/>
      <w:u w:val="none"/>
    </w:rPr>
  </w:style>
  <w:style w:type="character" w:styleId="1209">
    <w:name w:val="title4"/>
    <w:next w:val="1209"/>
    <w:link w:val="1129"/>
    <w:qFormat/>
    <w:rPr>
      <w:b/>
      <w:bCs/>
      <w:color w:val="1d87b3"/>
      <w:sz w:val="15"/>
      <w:szCs w:val="15"/>
    </w:rPr>
  </w:style>
  <w:style w:type="character" w:styleId="1210">
    <w:name w:val="标题 2 Char Char"/>
    <w:next w:val="1210"/>
    <w:link w:val="1129"/>
    <w:qFormat/>
    <w:rPr>
      <w:rFonts w:ascii="Arial" w:hAnsi="Arial" w:eastAsia="黑体"/>
      <w:b/>
      <w:bCs/>
      <w:sz w:val="32"/>
      <w:szCs w:val="32"/>
      <w:lang w:val="en-US" w:eastAsia="zh-CN" w:bidi="ar-SA"/>
    </w:rPr>
  </w:style>
  <w:style w:type="character" w:styleId="1211">
    <w:name w:val="black1"/>
    <w:next w:val="1211"/>
    <w:link w:val="1129"/>
    <w:qFormat/>
    <w:rPr>
      <w:color w:val="000000"/>
    </w:rPr>
  </w:style>
  <w:style w:type="character" w:styleId="1212">
    <w:name w:val="street-address"/>
    <w:next w:val="1212"/>
    <w:link w:val="1129"/>
    <w:qFormat/>
  </w:style>
  <w:style w:type="character" w:styleId="1213">
    <w:name w:val="locality"/>
    <w:next w:val="1213"/>
    <w:link w:val="1129"/>
    <w:qFormat/>
  </w:style>
  <w:style w:type="character" w:styleId="1214">
    <w:name w:val="正文文本缩进 Char1"/>
    <w:next w:val="1214"/>
    <w:link w:val="1215"/>
    <w:qFormat/>
    <w:rPr>
      <w:rFonts w:ascii="宋体" w:hAnsi="宋体" w:eastAsia="宋体"/>
      <w:sz w:val="24"/>
      <w:szCs w:val="24"/>
      <w:lang w:bidi="ar-SA"/>
    </w:rPr>
  </w:style>
  <w:style w:type="paragraph" w:styleId="1215">
    <w:name w:val="正文文本缩进1"/>
    <w:basedOn w:val="1129"/>
    <w:next w:val="1215"/>
    <w:link w:val="1214"/>
    <w:qFormat/>
    <w:pPr>
      <w:ind w:firstLine="480"/>
      <w:spacing w:line="480" w:lineRule="exact"/>
    </w:pPr>
    <w:rPr>
      <w:rFonts w:ascii="宋体" w:hAnsi="宋体"/>
      <w:sz w:val="24"/>
    </w:rPr>
  </w:style>
  <w:style w:type="character" w:styleId="1216">
    <w:name w:val="Char Char11"/>
    <w:next w:val="1216"/>
    <w:link w:val="1129"/>
    <w:qFormat/>
    <w:rPr>
      <w:rFonts w:ascii="宋体" w:eastAsia="宋体"/>
      <w:b/>
      <w:sz w:val="24"/>
      <w:u w:val="single"/>
      <w:lang w:val="en-US" w:eastAsia="zh-CN" w:bidi="ar-SA"/>
    </w:rPr>
  </w:style>
  <w:style w:type="character" w:styleId="1217">
    <w:name w:val="txt"/>
    <w:next w:val="1217"/>
    <w:link w:val="1129"/>
    <w:qFormat/>
  </w:style>
  <w:style w:type="character" w:styleId="1218">
    <w:name w:val="正文缩进 Char Char"/>
    <w:next w:val="1218"/>
    <w:link w:val="1219"/>
    <w:qFormat/>
    <w:rPr>
      <w:rFonts w:ascii="宋体" w:eastAsia="宋体"/>
      <w:color w:val="000000"/>
      <w:sz w:val="28"/>
      <w:lang w:bidi="ar-SA"/>
    </w:rPr>
  </w:style>
  <w:style w:type="paragraph" w:styleId="1219">
    <w:name w:val="正文缩进1"/>
    <w:basedOn w:val="1129"/>
    <w:next w:val="1219"/>
    <w:link w:val="1218"/>
    <w:qFormat/>
    <w:pPr>
      <w:ind w:firstLine="567"/>
      <w:spacing w:line="480" w:lineRule="exact"/>
      <w:widowControl/>
    </w:pPr>
    <w:rPr>
      <w:rFonts w:ascii="宋体"/>
      <w:color w:val="000000"/>
      <w:sz w:val="28"/>
      <w:szCs w:val="20"/>
    </w:rPr>
  </w:style>
  <w:style w:type="character" w:styleId="1220">
    <w:name w:val="普通文字1 Char1"/>
    <w:next w:val="1220"/>
    <w:link w:val="1129"/>
    <w:qFormat/>
    <w:rPr>
      <w:rFonts w:ascii="宋体" w:hAnsi="Courier New" w:eastAsia="宋体"/>
      <w:sz w:val="21"/>
      <w:lang w:val="en-US" w:eastAsia="zh-CN" w:bidi="ar-SA"/>
    </w:rPr>
  </w:style>
  <w:style w:type="character" w:styleId="1221">
    <w:name w:val="chanpin1"/>
    <w:next w:val="1221"/>
    <w:link w:val="1129"/>
    <w:qFormat/>
    <w:rPr>
      <w:rFonts w:ascii="ˎ̥" w:hAnsi="ˎ̥"/>
      <w:color w:val="000000"/>
      <w:sz w:val="20"/>
      <w:szCs w:val="20"/>
      <w:u w:val="none"/>
    </w:rPr>
  </w:style>
  <w:style w:type="character" w:styleId="1222">
    <w:name w:val="列表段落 字符"/>
    <w:next w:val="1222"/>
    <w:link w:val="1223"/>
    <w:uiPriority w:val="34"/>
    <w:qFormat/>
    <w:rPr>
      <w:rFonts w:ascii="Calibri" w:hAnsi="Calibri" w:eastAsia="宋体"/>
      <w:sz w:val="21"/>
      <w:szCs w:val="22"/>
      <w:lang w:val="en-US" w:eastAsia="zh-CN" w:bidi="ar-SA"/>
    </w:rPr>
  </w:style>
  <w:style w:type="paragraph" w:styleId="1223">
    <w:name w:val="列表段落"/>
    <w:basedOn w:val="1129"/>
    <w:next w:val="1223"/>
    <w:link w:val="1222"/>
    <w:uiPriority w:val="34"/>
    <w:qFormat/>
    <w:pPr>
      <w:ind w:firstLine="420"/>
    </w:pPr>
    <w:rPr>
      <w:rFonts w:ascii="Calibri" w:hAnsi="Calibri"/>
      <w:szCs w:val="22"/>
    </w:rPr>
  </w:style>
  <w:style w:type="character" w:styleId="1224">
    <w:name w:val="标题 3 Char Char"/>
    <w:next w:val="1224"/>
    <w:link w:val="1129"/>
    <w:qFormat/>
    <w:rPr>
      <w:rFonts w:eastAsia="宋体"/>
      <w:b/>
      <w:bCs/>
      <w:sz w:val="32"/>
      <w:szCs w:val="32"/>
      <w:lang w:val="en-US" w:eastAsia="zh-CN" w:bidi="ar-SA"/>
    </w:rPr>
  </w:style>
  <w:style w:type="character" w:styleId="1225">
    <w:name w:val="段1 Char"/>
    <w:next w:val="1225"/>
    <w:link w:val="1129"/>
    <w:qFormat/>
    <w:rPr>
      <w:rFonts w:ascii="宋体" w:eastAsia="宋体"/>
      <w:sz w:val="24"/>
      <w:lang w:val="en-US" w:eastAsia="zh-CN" w:bidi="ar-SA"/>
    </w:rPr>
  </w:style>
  <w:style w:type="character" w:styleId="1226">
    <w:name w:val="chanpin拷贝"/>
    <w:next w:val="1226"/>
    <w:link w:val="1129"/>
    <w:qFormat/>
  </w:style>
  <w:style w:type="character" w:styleId="1227">
    <w:name w:val="纯文本 Char1"/>
    <w:next w:val="1227"/>
    <w:link w:val="1129"/>
    <w:uiPriority w:val="99"/>
    <w:qFormat/>
    <w:rPr>
      <w:rFonts w:ascii="宋体" w:hAnsi="Courier New" w:eastAsia="宋体"/>
      <w:sz w:val="21"/>
      <w:lang w:val="en-US" w:eastAsia="zh-CN" w:bidi="ar-SA"/>
    </w:rPr>
  </w:style>
  <w:style w:type="character" w:styleId="1228">
    <w:name w:val="apple-style-span"/>
    <w:next w:val="1228"/>
    <w:link w:val="1129"/>
    <w:qFormat/>
    <w:rPr>
      <w:rFonts w:cs="Times New Roman"/>
    </w:rPr>
  </w:style>
  <w:style w:type="paragraph" w:styleId="1229">
    <w:name w:val="二级条标题"/>
    <w:basedOn w:val="1230"/>
    <w:next w:val="1129"/>
    <w:link w:val="1129"/>
    <w:qFormat/>
    <w:pPr>
      <w:numPr>
        <w:ilvl w:val="0"/>
        <w:numId w:val="0"/>
      </w:numPr>
      <w:ind w:hanging="840"/>
      <w:tabs>
        <w:tab w:val="left" w:pos="360" w:leader="none"/>
        <w:tab w:val="left" w:pos="840" w:leader="none"/>
      </w:tabs>
      <w:outlineLvl w:val="2"/>
    </w:pPr>
    <w:rPr>
      <w:rFonts w:ascii="宋体" w:eastAsia="宋体"/>
      <w:b w:val="0"/>
    </w:rPr>
  </w:style>
  <w:style w:type="paragraph" w:styleId="1230">
    <w:name w:val="一级条标题"/>
    <w:basedOn w:val="1231"/>
    <w:next w:val="1129"/>
    <w:link w:val="1129"/>
    <w:qFormat/>
    <w:pPr>
      <w:numPr>
        <w:ilvl w:val="1"/>
      </w:numPr>
      <w:ind w:left="0" w:hanging="840"/>
      <w:tabs>
        <w:tab w:val="left" w:pos="360" w:leader="none"/>
        <w:tab w:val="left" w:pos="840" w:leader="none"/>
      </w:tabs>
      <w:outlineLvl w:val="1"/>
    </w:pPr>
  </w:style>
  <w:style w:type="paragraph" w:styleId="1231">
    <w:name w:val="章标题"/>
    <w:next w:val="1129"/>
    <w:link w:val="112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32">
    <w:name w:val="font7"/>
    <w:basedOn w:val="1129"/>
    <w:next w:val="1232"/>
    <w:link w:val="1129"/>
    <w:qFormat/>
    <w:pPr>
      <w:jc w:val="left"/>
      <w:spacing w:before="100" w:beforeAutospacing="1" w:after="100" w:afterAutospacing="1"/>
      <w:widowControl/>
    </w:pPr>
    <w:rPr>
      <w:rFonts w:eastAsia="Arial Unicode MS"/>
      <w:b/>
      <w:bCs/>
      <w:color w:val="000000"/>
      <w:sz w:val="20"/>
      <w:szCs w:val="20"/>
    </w:rPr>
  </w:style>
  <w:style w:type="paragraph" w:styleId="1233">
    <w:name w:val="字元 字元"/>
    <w:basedOn w:val="1129"/>
    <w:next w:val="1233"/>
    <w:link w:val="1129"/>
    <w:qFormat/>
    <w:rPr>
      <w:rFonts w:ascii="Tahoma" w:hAnsi="Tahoma"/>
      <w:sz w:val="24"/>
      <w:szCs w:val="20"/>
    </w:rPr>
  </w:style>
  <w:style w:type="paragraph" w:styleId="1234">
    <w:name w:val="Char3 Char Char Char"/>
    <w:basedOn w:val="1129"/>
    <w:next w:val="1234"/>
    <w:link w:val="1129"/>
    <w:qFormat/>
    <w:rPr>
      <w:rFonts w:ascii="Tahoma" w:hAnsi="Tahoma"/>
      <w:sz w:val="24"/>
      <w:szCs w:val="20"/>
    </w:rPr>
  </w:style>
  <w:style w:type="paragraph" w:styleId="1235">
    <w:name w:val="font6"/>
    <w:basedOn w:val="1129"/>
    <w:next w:val="1235"/>
    <w:link w:val="1129"/>
    <w:qFormat/>
    <w:pPr>
      <w:jc w:val="left"/>
      <w:spacing w:before="100" w:beforeAutospacing="1" w:after="100" w:afterAutospacing="1"/>
      <w:widowControl/>
    </w:pPr>
    <w:rPr>
      <w:rFonts w:ascii="宋体" w:hAnsi="宋体" w:cs="宋体"/>
      <w:sz w:val="20"/>
      <w:szCs w:val="20"/>
    </w:rPr>
  </w:style>
  <w:style w:type="paragraph" w:styleId="1236">
    <w:name w:val="项目编号2"/>
    <w:basedOn w:val="1237"/>
    <w:next w:val="1236"/>
    <w:link w:val="1129"/>
    <w:qFormat/>
    <w:pPr>
      <w:numPr>
        <w:numId w:val="3"/>
      </w:numPr>
    </w:pPr>
  </w:style>
  <w:style w:type="paragraph" w:styleId="1237">
    <w:name w:val="项目编号1"/>
    <w:basedOn w:val="1129"/>
    <w:next w:val="1237"/>
    <w:link w:val="1129"/>
    <w:qFormat/>
    <w:pPr>
      <w:numPr>
        <w:ilvl w:val="0"/>
        <w:numId w:val="2"/>
      </w:numPr>
      <w:spacing w:before="100" w:beforeAutospacing="1" w:after="100" w:afterAutospacing="1" w:line="360" w:lineRule="auto"/>
    </w:pPr>
    <w:rPr>
      <w:sz w:val="24"/>
    </w:rPr>
  </w:style>
  <w:style w:type="paragraph" w:styleId="1238">
    <w:name w:val="图中文字"/>
    <w:basedOn w:val="1129"/>
    <w:next w:val="1238"/>
    <w:link w:val="1129"/>
    <w:qFormat/>
    <w:pPr>
      <w:jc w:val="center"/>
      <w:spacing w:line="0" w:lineRule="atLeast"/>
    </w:pPr>
    <w:rPr>
      <w:sz w:val="24"/>
      <w:szCs w:val="20"/>
    </w:rPr>
  </w:style>
  <w:style w:type="paragraph" w:styleId="1239">
    <w:name w:val="xl46"/>
    <w:basedOn w:val="1129"/>
    <w:next w:val="1239"/>
    <w:link w:val="112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0">
    <w:name w:val="xl25"/>
    <w:basedOn w:val="1129"/>
    <w:next w:val="1240"/>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Char2"/>
    <w:basedOn w:val="1129"/>
    <w:next w:val="1241"/>
    <w:link w:val="1129"/>
    <w:qFormat/>
    <w:rPr>
      <w:rFonts w:ascii="Tahoma" w:hAnsi="Tahoma"/>
      <w:sz w:val="24"/>
      <w:szCs w:val="20"/>
    </w:rPr>
  </w:style>
  <w:style w:type="paragraph" w:styleId="1242">
    <w:name w:val="xl35"/>
    <w:basedOn w:val="1129"/>
    <w:next w:val="1242"/>
    <w:link w:val="11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3">
    <w:name w:val="xl40"/>
    <w:basedOn w:val="1129"/>
    <w:next w:val="1243"/>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4">
    <w:name w:val="xl52"/>
    <w:basedOn w:val="1129"/>
    <w:next w:val="1244"/>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5">
    <w:name w:val="xl43"/>
    <w:basedOn w:val="1129"/>
    <w:next w:val="1245"/>
    <w:link w:val="11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6">
    <w:name w:val="background1"/>
    <w:basedOn w:val="1129"/>
    <w:next w:val="1246"/>
    <w:link w:val="1129"/>
    <w:qFormat/>
    <w:pPr>
      <w:jc w:val="left"/>
      <w:spacing w:before="100" w:beforeAutospacing="1" w:after="100" w:afterAutospacing="1"/>
      <w:widowControl/>
    </w:pPr>
    <w:rPr>
      <w:rFonts w:ascii="宋体" w:hAnsi="宋体" w:cs="宋体"/>
      <w:sz w:val="24"/>
    </w:rPr>
  </w:style>
  <w:style w:type="paragraph" w:styleId="1247">
    <w:name w:val="Char Char Char Char Char Char Char"/>
    <w:basedOn w:val="1129"/>
    <w:next w:val="1247"/>
    <w:link w:val="1129"/>
    <w:qFormat/>
    <w:pPr>
      <w:ind w:firstLine="200"/>
      <w:spacing w:line="360" w:lineRule="auto"/>
    </w:pPr>
    <w:rPr>
      <w:rFonts w:eastAsia="仿宋_GB2312"/>
      <w:sz w:val="24"/>
    </w:rPr>
  </w:style>
  <w:style w:type="paragraph" w:styleId="1248">
    <w:name w:val="xl38"/>
    <w:basedOn w:val="1129"/>
    <w:next w:val="1248"/>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9">
    <w:name w:val="xl36"/>
    <w:basedOn w:val="1129"/>
    <w:next w:val="1249"/>
    <w:link w:val="112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0">
    <w:name w:val="正文 + 宋体"/>
    <w:basedOn w:val="1129"/>
    <w:next w:val="1250"/>
    <w:link w:val="1129"/>
    <w:qFormat/>
    <w:pPr>
      <w:ind w:left="360" w:hanging="360"/>
      <w:jc w:val="left"/>
      <w:widowControl/>
    </w:pPr>
    <w:rPr>
      <w:rFonts w:ascii="宋体" w:hAnsi="宋体" w:cs="宋体"/>
      <w:b/>
      <w:bCs/>
      <w:color w:val="000000"/>
      <w:sz w:val="18"/>
      <w:szCs w:val="18"/>
    </w:rPr>
  </w:style>
  <w:style w:type="paragraph" w:styleId="1251">
    <w:name w:val="正文列项_数字"/>
    <w:basedOn w:val="1129"/>
    <w:next w:val="1251"/>
    <w:link w:val="1129"/>
    <w:qFormat/>
    <w:pPr>
      <w:numPr>
        <w:ilvl w:val="7"/>
        <w:numId w:val="1"/>
      </w:numPr>
      <w:ind w:left="680" w:hanging="150"/>
      <w:spacing w:line="460" w:lineRule="exact"/>
      <w:tabs>
        <w:tab w:val="clear" w:pos="860" w:leader="none"/>
      </w:tabs>
      <w:outlineLvl w:val="7"/>
    </w:pPr>
    <w:rPr>
      <w:rFonts w:ascii="宋体"/>
      <w:sz w:val="28"/>
      <w:szCs w:val="20"/>
    </w:rPr>
  </w:style>
  <w:style w:type="paragraph" w:styleId="1252">
    <w:name w:val="xl39"/>
    <w:basedOn w:val="1129"/>
    <w:next w:val="1252"/>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name w:val="xl37"/>
    <w:basedOn w:val="1129"/>
    <w:next w:val="1253"/>
    <w:link w:val="11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4">
    <w:name w:val="xl32"/>
    <w:basedOn w:val="1129"/>
    <w:next w:val="1254"/>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5">
    <w:name w:val="font8"/>
    <w:basedOn w:val="1129"/>
    <w:next w:val="1255"/>
    <w:link w:val="1129"/>
    <w:qFormat/>
    <w:pPr>
      <w:jc w:val="left"/>
      <w:spacing w:before="100" w:beforeAutospacing="1" w:after="100" w:afterAutospacing="1"/>
      <w:widowControl/>
    </w:pPr>
    <w:rPr>
      <w:sz w:val="36"/>
      <w:szCs w:val="36"/>
    </w:rPr>
  </w:style>
  <w:style w:type="paragraph" w:styleId="1256">
    <w:name w:val="Char"/>
    <w:basedOn w:val="1129"/>
    <w:next w:val="1256"/>
    <w:link w:val="1129"/>
    <w:qFormat/>
    <w:pPr>
      <w:tabs>
        <w:tab w:val="left" w:pos="360" w:leader="none"/>
      </w:tabs>
    </w:pPr>
    <w:rPr>
      <w:sz w:val="24"/>
    </w:rPr>
  </w:style>
  <w:style w:type="paragraph" w:styleId="1257">
    <w:name w:val="Char Char Char Char Char Char Char Char Char Char Char Char Char Char Char Char"/>
    <w:basedOn w:val="1129"/>
    <w:next w:val="1257"/>
    <w:link w:val="1129"/>
    <w:qFormat/>
    <w:pPr>
      <w:jc w:val="center"/>
      <w:spacing w:after="160" w:line="240" w:lineRule="exact"/>
      <w:widowControl/>
    </w:pPr>
    <w:rPr>
      <w:rFonts w:ascii="宋体" w:hAnsi="宋体"/>
      <w:b/>
      <w:sz w:val="30"/>
      <w:szCs w:val="30"/>
      <w:lang w:eastAsia="en-US"/>
    </w:rPr>
  </w:style>
  <w:style w:type="paragraph" w:styleId="1258">
    <w:name w:val="xl45"/>
    <w:basedOn w:val="1129"/>
    <w:next w:val="1258"/>
    <w:link w:val="11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9">
    <w:name w:val="Char Char1 Char Char Char Char Char Char"/>
    <w:basedOn w:val="1129"/>
    <w:next w:val="1259"/>
    <w:link w:val="1129"/>
    <w:qFormat/>
    <w:pPr>
      <w:jc w:val="left"/>
      <w:spacing w:after="160" w:line="240" w:lineRule="exact"/>
      <w:widowControl/>
    </w:pPr>
    <w:rPr>
      <w:rFonts w:ascii="Verdana" w:hAnsi="Verdana" w:eastAsia="仿宋_GB2312"/>
      <w:sz w:val="24"/>
      <w:szCs w:val="20"/>
      <w:lang w:eastAsia="en-US"/>
    </w:rPr>
  </w:style>
  <w:style w:type="paragraph" w:styleId="1260">
    <w:name w:val="Char Char1"/>
    <w:basedOn w:val="1154"/>
    <w:next w:val="1260"/>
    <w:link w:val="1129"/>
    <w:qFormat/>
    <w:rPr>
      <w:rFonts w:ascii="Tahoma" w:hAnsi="Tahoma"/>
      <w:sz w:val="24"/>
    </w:rPr>
  </w:style>
  <w:style w:type="paragraph" w:styleId="1261">
    <w:name w:val="xl26"/>
    <w:basedOn w:val="1129"/>
    <w:next w:val="1261"/>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2">
    <w:name w:val="xl30"/>
    <w:basedOn w:val="1129"/>
    <w:next w:val="1262"/>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3">
    <w:name w:val="xl41"/>
    <w:basedOn w:val="1129"/>
    <w:next w:val="1263"/>
    <w:link w:val="11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4">
    <w:name w:val="样式 宋体 五号 行距: 单倍行距"/>
    <w:basedOn w:val="1129"/>
    <w:next w:val="1264"/>
    <w:link w:val="1129"/>
    <w:qFormat/>
    <w:pPr>
      <w:jc w:val="left"/>
    </w:pPr>
    <w:rPr>
      <w:rFonts w:ascii="宋体" w:hAnsi="宋体"/>
      <w:szCs w:val="20"/>
    </w:rPr>
  </w:style>
  <w:style w:type="paragraph" w:styleId="1265">
    <w:name w:val="Char1 Char Char Char1"/>
    <w:basedOn w:val="1129"/>
    <w:next w:val="1265"/>
    <w:link w:val="1129"/>
    <w:qFormat/>
    <w:rPr>
      <w:rFonts w:ascii="Tahoma" w:hAnsi="Tahoma" w:cs="仿宋_GB2312"/>
      <w:sz w:val="24"/>
      <w:szCs w:val="28"/>
    </w:rPr>
  </w:style>
  <w:style w:type="paragraph" w:styleId="1266">
    <w:name w:val="四级条标题"/>
    <w:basedOn w:val="1267"/>
    <w:next w:val="1129"/>
    <w:link w:val="1129"/>
    <w:qFormat/>
    <w:pPr>
      <w:numPr>
        <w:ilvl w:val="4"/>
      </w:numPr>
      <w:ind w:left="0" w:hanging="840"/>
      <w:tabs>
        <w:tab w:val="left" w:pos="360" w:leader="none"/>
        <w:tab w:val="left" w:pos="840" w:leader="none"/>
      </w:tabs>
      <w:outlineLvl w:val="4"/>
    </w:pPr>
  </w:style>
  <w:style w:type="paragraph" w:styleId="1267">
    <w:name w:val="三级条标题"/>
    <w:basedOn w:val="1229"/>
    <w:next w:val="1129"/>
    <w:link w:val="1129"/>
    <w:qFormat/>
    <w:pPr>
      <w:numPr>
        <w:ilvl w:val="3"/>
        <w:numId w:val="1"/>
      </w:numPr>
      <w:ind w:left="0" w:hanging="840"/>
      <w:tabs>
        <w:tab w:val="left" w:pos="360" w:leader="none"/>
        <w:tab w:val="left" w:pos="840" w:leader="none"/>
      </w:tabs>
      <w:outlineLvl w:val="3"/>
    </w:pPr>
  </w:style>
  <w:style w:type="paragraph" w:styleId="1268">
    <w:name w:val="??"/>
    <w:next w:val="1268"/>
    <w:link w:val="1129"/>
    <w:qFormat/>
    <w:pPr>
      <w:jc w:val="both"/>
      <w:widowControl w:val="off"/>
    </w:pPr>
    <w:rPr>
      <w:sz w:val="21"/>
      <w:lang w:val="en-US" w:eastAsia="en-US" w:bidi="ar-SA"/>
    </w:rPr>
  </w:style>
  <w:style w:type="paragraph" w:styleId="1269">
    <w:name w:val="样式 标题 2 + 宋体 五号 行距: 单倍行距"/>
    <w:basedOn w:val="1131"/>
    <w:next w:val="1269"/>
    <w:link w:val="112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70">
    <w:name w:val="List Paragraph1"/>
    <w:basedOn w:val="1129"/>
    <w:next w:val="1270"/>
    <w:link w:val="1129"/>
    <w:qFormat/>
    <w:pPr>
      <w:ind w:firstLine="420"/>
    </w:pPr>
    <w:rPr>
      <w:rFonts w:ascii="Calibri" w:hAnsi="Calibri"/>
      <w:szCs w:val="22"/>
    </w:rPr>
  </w:style>
  <w:style w:type="paragraph" w:styleId="1271">
    <w:name w:val="项目符号1"/>
    <w:basedOn w:val="1272"/>
    <w:next w:val="1271"/>
    <w:link w:val="1129"/>
    <w:qFormat/>
    <w:pPr>
      <w:ind w:left="-25" w:firstLine="0"/>
    </w:pPr>
  </w:style>
  <w:style w:type="paragraph" w:styleId="1272">
    <w:name w:val="正文文本样式"/>
    <w:basedOn w:val="1129"/>
    <w:next w:val="1272"/>
    <w:link w:val="1129"/>
    <w:qFormat/>
    <w:pPr>
      <w:ind w:firstLine="482"/>
      <w:spacing w:line="360" w:lineRule="auto"/>
    </w:pPr>
    <w:rPr>
      <w:rFonts w:cs="宋体"/>
      <w:sz w:val="24"/>
      <w:szCs w:val="20"/>
    </w:rPr>
  </w:style>
  <w:style w:type="paragraph" w:styleId="1273">
    <w:name w:val="xl27"/>
    <w:basedOn w:val="1129"/>
    <w:next w:val="1273"/>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4">
    <w:name w:val="font5"/>
    <w:basedOn w:val="1129"/>
    <w:next w:val="1274"/>
    <w:link w:val="1129"/>
    <w:qFormat/>
    <w:pPr>
      <w:jc w:val="left"/>
      <w:spacing w:before="100" w:beforeAutospacing="1" w:after="100" w:afterAutospacing="1"/>
      <w:widowControl/>
    </w:pPr>
    <w:rPr>
      <w:rFonts w:ascii="宋体" w:hAnsi="宋体" w:cs="宋体"/>
      <w:sz w:val="18"/>
      <w:szCs w:val="18"/>
    </w:rPr>
  </w:style>
  <w:style w:type="paragraph" w:styleId="1275">
    <w:name w:val="五级条标题"/>
    <w:basedOn w:val="1266"/>
    <w:next w:val="1129"/>
    <w:link w:val="1129"/>
    <w:qFormat/>
    <w:pPr>
      <w:numPr>
        <w:ilvl w:val="5"/>
      </w:numPr>
      <w:ind w:left="0" w:hanging="840"/>
      <w:tabs>
        <w:tab w:val="left" w:pos="360" w:leader="none"/>
        <w:tab w:val="left" w:pos="840" w:leader="none"/>
      </w:tabs>
      <w:outlineLvl w:val="5"/>
    </w:pPr>
  </w:style>
  <w:style w:type="paragraph" w:styleId="1276">
    <w:name w:val="xl49"/>
    <w:basedOn w:val="1129"/>
    <w:next w:val="1276"/>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7">
    <w:name w:val="文档正文"/>
    <w:basedOn w:val="1129"/>
    <w:next w:val="1277"/>
    <w:link w:val="1129"/>
    <w:qFormat/>
    <w:pPr>
      <w:spacing w:before="120" w:after="120" w:line="180" w:lineRule="auto"/>
    </w:pPr>
    <w:rPr>
      <w:rFonts w:ascii="Arial" w:hAnsi="Arial"/>
      <w:szCs w:val="20"/>
    </w:rPr>
  </w:style>
  <w:style w:type="paragraph" w:styleId="1278">
    <w:name w:val="xl33"/>
    <w:basedOn w:val="1129"/>
    <w:next w:val="1278"/>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9">
    <w:name w:val="xl42"/>
    <w:basedOn w:val="1129"/>
    <w:next w:val="1279"/>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80">
    <w:name w:val="Char Char Char1 Char"/>
    <w:basedOn w:val="1129"/>
    <w:next w:val="1280"/>
    <w:link w:val="1129"/>
    <w:qFormat/>
    <w:rPr>
      <w:rFonts w:ascii="Tahoma" w:hAnsi="Tahoma"/>
      <w:sz w:val="24"/>
      <w:szCs w:val="20"/>
    </w:rPr>
  </w:style>
  <w:style w:type="paragraph" w:styleId="1281">
    <w:name w:val="xl44"/>
    <w:basedOn w:val="1129"/>
    <w:next w:val="1281"/>
    <w:link w:val="11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2">
    <w:name w:val="1名"/>
    <w:basedOn w:val="1129"/>
    <w:next w:val="1282"/>
    <w:link w:val="1129"/>
    <w:qFormat/>
    <w:pPr>
      <w:numPr>
        <w:ilvl w:val="0"/>
        <w:numId w:val="5"/>
      </w:numPr>
      <w:spacing w:before="120"/>
      <w:tabs>
        <w:tab w:val="left" w:pos="360" w:leader="none"/>
      </w:tabs>
    </w:pPr>
    <w:rPr>
      <w:rFonts w:ascii="宋体"/>
      <w:sz w:val="28"/>
      <w:szCs w:val="20"/>
    </w:rPr>
  </w:style>
  <w:style w:type="paragraph" w:styleId="1283">
    <w:name w:val="font9"/>
    <w:basedOn w:val="1129"/>
    <w:next w:val="1283"/>
    <w:link w:val="1129"/>
    <w:qFormat/>
    <w:pPr>
      <w:jc w:val="left"/>
      <w:spacing w:before="100" w:beforeAutospacing="1" w:after="100" w:afterAutospacing="1"/>
      <w:widowControl/>
    </w:pPr>
    <w:rPr>
      <w:rFonts w:hint="eastAsia" w:ascii="宋体" w:hAnsi="宋体" w:cs="Arial Unicode MS"/>
      <w:color w:val="000000"/>
      <w:sz w:val="20"/>
      <w:szCs w:val="20"/>
    </w:rPr>
  </w:style>
  <w:style w:type="paragraph" w:styleId="1284">
    <w:name w:val="Char Char Char1 Char1"/>
    <w:basedOn w:val="1129"/>
    <w:next w:val="1284"/>
    <w:link w:val="1129"/>
    <w:qFormat/>
    <w:rPr>
      <w:rFonts w:ascii="Tahoma" w:hAnsi="Tahoma"/>
      <w:sz w:val="24"/>
      <w:szCs w:val="20"/>
    </w:rPr>
  </w:style>
  <w:style w:type="paragraph" w:styleId="1285">
    <w:name w:val="Char Char Char Char Char Char Char Char Char Char"/>
    <w:basedOn w:val="1129"/>
    <w:next w:val="1285"/>
    <w:link w:val="1129"/>
    <w:qFormat/>
  </w:style>
  <w:style w:type="paragraph" w:styleId="1286">
    <w:name w:val="Char Char1 Char Char Char Char Char Char Char Char"/>
    <w:basedOn w:val="1129"/>
    <w:next w:val="1286"/>
    <w:link w:val="1129"/>
    <w:qFormat/>
    <w:pPr>
      <w:jc w:val="left"/>
      <w:spacing w:after="160" w:line="240" w:lineRule="exact"/>
      <w:widowControl/>
    </w:pPr>
    <w:rPr>
      <w:rFonts w:ascii="Verdana" w:hAnsi="Verdana"/>
      <w:sz w:val="20"/>
      <w:szCs w:val="20"/>
      <w:lang w:eastAsia="en-US"/>
    </w:rPr>
  </w:style>
  <w:style w:type="paragraph" w:styleId="1287">
    <w:name w:val="Char1"/>
    <w:basedOn w:val="1129"/>
    <w:next w:val="1287"/>
    <w:link w:val="1129"/>
    <w:qFormat/>
    <w:pPr>
      <w:tabs>
        <w:tab w:val="left" w:pos="360" w:leader="none"/>
      </w:tabs>
    </w:pPr>
    <w:rPr>
      <w:sz w:val="24"/>
    </w:rPr>
  </w:style>
  <w:style w:type="paragraph" w:styleId="1288">
    <w:name w:val="正文列项_字母"/>
    <w:basedOn w:val="1129"/>
    <w:next w:val="1288"/>
    <w:link w:val="1129"/>
    <w:qFormat/>
    <w:pPr>
      <w:numPr>
        <w:ilvl w:val="6"/>
        <w:numId w:val="1"/>
      </w:numPr>
      <w:ind w:left="480" w:hanging="180"/>
      <w:spacing w:line="460" w:lineRule="exact"/>
      <w:tabs>
        <w:tab w:val="clear" w:pos="635" w:leader="none"/>
      </w:tabs>
      <w:outlineLvl w:val="6"/>
    </w:pPr>
    <w:rPr>
      <w:rFonts w:ascii="宋体"/>
      <w:sz w:val="28"/>
      <w:szCs w:val="20"/>
    </w:rPr>
  </w:style>
  <w:style w:type="paragraph" w:styleId="1289">
    <w:name w:val="xl28"/>
    <w:basedOn w:val="1129"/>
    <w:next w:val="1289"/>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47"/>
    <w:basedOn w:val="1129"/>
    <w:next w:val="1290"/>
    <w:link w:val="11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1">
    <w:name w:val="默认段落字体 Para Char Char Char Char"/>
    <w:basedOn w:val="1129"/>
    <w:next w:val="1291"/>
    <w:link w:val="1129"/>
    <w:qFormat/>
    <w:rPr>
      <w:rFonts w:ascii="Arial" w:hAnsi="Arial" w:cs="Arial"/>
      <w:szCs w:val="21"/>
    </w:rPr>
  </w:style>
  <w:style w:type="paragraph" w:styleId="1292">
    <w:name w:val="xl48"/>
    <w:basedOn w:val="1129"/>
    <w:next w:val="1292"/>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3">
    <w:name w:val="xl31"/>
    <w:basedOn w:val="1129"/>
    <w:next w:val="1293"/>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4">
    <w:name w:val="xl53"/>
    <w:basedOn w:val="1129"/>
    <w:next w:val="1294"/>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name w:val="Char Char Char"/>
    <w:basedOn w:val="1129"/>
    <w:next w:val="1295"/>
    <w:link w:val="1129"/>
    <w:qFormat/>
    <w:rPr>
      <w:rFonts w:ascii="Tahoma" w:hAnsi="Tahoma"/>
      <w:sz w:val="24"/>
      <w:szCs w:val="20"/>
    </w:rPr>
  </w:style>
  <w:style w:type="paragraph" w:styleId="1296">
    <w:name w:val="xl50"/>
    <w:basedOn w:val="1129"/>
    <w:next w:val="1296"/>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7">
    <w:name w:val="缺省文本"/>
    <w:basedOn w:val="1129"/>
    <w:next w:val="1297"/>
    <w:link w:val="1129"/>
    <w:qFormat/>
    <w:pPr>
      <w:jc w:val="left"/>
    </w:pPr>
    <w:rPr>
      <w:sz w:val="24"/>
    </w:rPr>
  </w:style>
  <w:style w:type="paragraph" w:styleId="1298">
    <w:name w:val="Char Char Char1"/>
    <w:basedOn w:val="1129"/>
    <w:next w:val="1298"/>
    <w:link w:val="1129"/>
    <w:qFormat/>
    <w:rPr>
      <w:rFonts w:ascii="Tahoma" w:hAnsi="Tahoma"/>
      <w:sz w:val="24"/>
      <w:szCs w:val="20"/>
    </w:rPr>
  </w:style>
  <w:style w:type="paragraph" w:styleId="1299">
    <w:name w:val="Char Char Char Char Char Char Char1"/>
    <w:basedOn w:val="1129"/>
    <w:next w:val="1299"/>
    <w:link w:val="1129"/>
    <w:qFormat/>
    <w:pPr>
      <w:ind w:firstLine="200"/>
      <w:spacing w:line="360" w:lineRule="auto"/>
    </w:pPr>
    <w:rPr>
      <w:rFonts w:eastAsia="仿宋_GB2312"/>
      <w:sz w:val="24"/>
    </w:rPr>
  </w:style>
  <w:style w:type="paragraph" w:styleId="1300">
    <w:name w:val="xl51"/>
    <w:basedOn w:val="1129"/>
    <w:next w:val="1300"/>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样式2"/>
    <w:basedOn w:val="1191"/>
    <w:next w:val="1301"/>
    <w:link w:val="1129"/>
    <w:qFormat/>
    <w:pPr>
      <w:jc w:val="center"/>
      <w:spacing w:line="360" w:lineRule="auto"/>
    </w:pPr>
    <w:rPr>
      <w:sz w:val="24"/>
    </w:rPr>
  </w:style>
  <w:style w:type="paragraph" w:styleId="1302">
    <w:name w:val="xl24"/>
    <w:basedOn w:val="1129"/>
    <w:next w:val="1302"/>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name w:val="xl29"/>
    <w:basedOn w:val="1129"/>
    <w:next w:val="1303"/>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4">
    <w:name w:val="正文 + 楷体_GB2312"/>
    <w:basedOn w:val="1129"/>
    <w:next w:val="1304"/>
    <w:link w:val="1129"/>
    <w:qFormat/>
    <w:pPr>
      <w:jc w:val="left"/>
      <w:widowControl/>
    </w:pPr>
    <w:rPr>
      <w:rFonts w:ascii="楷体_GB2312" w:eastAsia="楷体_GB2312" w:cs="Arial"/>
      <w:sz w:val="24"/>
    </w:rPr>
  </w:style>
  <w:style w:type="paragraph" w:styleId="1305">
    <w:name w:val="xl34"/>
    <w:basedOn w:val="1129"/>
    <w:next w:val="1305"/>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6">
    <w:name w:val="1 Char Char Char Char"/>
    <w:basedOn w:val="1129"/>
    <w:next w:val="1306"/>
    <w:link w:val="1129"/>
    <w:qFormat/>
    <w:rPr>
      <w:rFonts w:ascii="Tahoma" w:hAnsi="Tahoma"/>
      <w:sz w:val="24"/>
      <w:szCs w:val="20"/>
    </w:rPr>
  </w:style>
  <w:style w:type="paragraph" w:styleId="1307">
    <w:name w:val="Default"/>
    <w:next w:val="1307"/>
    <w:link w:val="1129"/>
    <w:qFormat/>
    <w:pPr>
      <w:widowControl w:val="off"/>
    </w:pPr>
    <w:rPr>
      <w:rFonts w:ascii="Symbol" w:hAnsi="Symbol" w:cs="Symbol"/>
      <w:color w:val="000000"/>
      <w:sz w:val="24"/>
      <w:szCs w:val="24"/>
      <w:lang w:val="en-US" w:eastAsia="zh-CN" w:bidi="ar-SA"/>
    </w:rPr>
  </w:style>
  <w:style w:type="paragraph" w:styleId="1308">
    <w:name w:val="列出段落1"/>
    <w:basedOn w:val="1129"/>
    <w:next w:val="1308"/>
    <w:link w:val="1129"/>
    <w:qFormat/>
    <w:pPr>
      <w:ind w:firstLine="420"/>
    </w:pPr>
    <w:rPr>
      <w:rFonts w:ascii="Calibri" w:hAnsi="Calibri"/>
      <w:szCs w:val="22"/>
    </w:rPr>
  </w:style>
  <w:style w:type="paragraph" w:styleId="1309">
    <w:name w:val="default"/>
    <w:basedOn w:val="1129"/>
    <w:next w:val="1309"/>
    <w:link w:val="1129"/>
    <w:qFormat/>
    <w:pPr>
      <w:jc w:val="left"/>
      <w:spacing w:before="100" w:beforeAutospacing="1" w:after="100" w:afterAutospacing="1"/>
      <w:widowControl/>
    </w:pPr>
    <w:rPr>
      <w:rFonts w:ascii="宋体" w:hAnsi="宋体" w:cs="宋体"/>
      <w:sz w:val="24"/>
    </w:rPr>
  </w:style>
  <w:style w:type="paragraph" w:styleId="1310">
    <w:name w:val="字元 字元1"/>
    <w:basedOn w:val="1129"/>
    <w:next w:val="1310"/>
    <w:link w:val="1129"/>
    <w:qFormat/>
    <w:rPr>
      <w:rFonts w:ascii="Tahoma" w:hAnsi="Tahoma"/>
      <w:sz w:val="24"/>
      <w:szCs w:val="20"/>
    </w:rPr>
  </w:style>
  <w:style w:type="paragraph" w:styleId="1311">
    <w:name w:val="_Style 160"/>
    <w:next w:val="1311"/>
    <w:link w:val="1129"/>
    <w:qFormat/>
    <w:rPr>
      <w:sz w:val="21"/>
      <w:szCs w:val="24"/>
      <w:lang w:val="en-US" w:eastAsia="zh-CN" w:bidi="ar-SA"/>
    </w:rPr>
  </w:style>
  <w:style w:type="paragraph" w:styleId="1312">
    <w:name w:val="项目编号3"/>
    <w:basedOn w:val="1272"/>
    <w:next w:val="1312"/>
    <w:link w:val="1129"/>
    <w:qFormat/>
    <w:pPr>
      <w:numPr>
        <w:ilvl w:val="0"/>
        <w:numId w:val="6"/>
      </w:numPr>
    </w:pPr>
  </w:style>
  <w:style w:type="paragraph" w:styleId="1313">
    <w:name w:val="Char21"/>
    <w:basedOn w:val="1129"/>
    <w:next w:val="1313"/>
    <w:link w:val="1129"/>
    <w:qFormat/>
    <w:rPr>
      <w:rFonts w:ascii="Tahoma" w:hAnsi="Tahoma"/>
      <w:sz w:val="24"/>
      <w:szCs w:val="20"/>
    </w:rPr>
  </w:style>
  <w:style w:type="paragraph" w:styleId="1314">
    <w:name w:val="表格文字"/>
    <w:basedOn w:val="1162"/>
    <w:next w:val="1314"/>
    <w:link w:val="1129"/>
    <w:qFormat/>
    <w:pPr>
      <w:ind w:firstLine="0"/>
      <w:spacing w:before="20" w:after="20" w:line="240" w:lineRule="auto"/>
    </w:pPr>
    <w:rPr>
      <w:rFonts w:ascii="Century Gothic" w:hAnsi="Century Gothic"/>
      <w:sz w:val="20"/>
      <w:szCs w:val="20"/>
    </w:rPr>
  </w:style>
  <w:style w:type="paragraph" w:styleId="1315">
    <w:name w:val="Char Char Char Char Char Char Char Char Char Char1"/>
    <w:basedOn w:val="1129"/>
    <w:next w:val="1315"/>
    <w:link w:val="1129"/>
    <w:qFormat/>
    <w:rPr>
      <w:rFonts w:ascii="宋体" w:hAnsi="宋体" w:cs="Courier New"/>
      <w:sz w:val="32"/>
      <w:szCs w:val="32"/>
    </w:rPr>
  </w:style>
  <w:style w:type="paragraph" w:styleId="1316">
    <w:name w:val="正文文本样式 加粗"/>
    <w:basedOn w:val="1272"/>
    <w:next w:val="1316"/>
    <w:link w:val="1129"/>
    <w:qFormat/>
    <w:rPr>
      <w:b/>
    </w:rPr>
  </w:style>
  <w:style w:type="paragraph" w:styleId="1317">
    <w:name w:val="Char2 Char Char Char Char Char Char"/>
    <w:basedOn w:val="1129"/>
    <w:next w:val="1317"/>
    <w:link w:val="1129"/>
    <w:qFormat/>
    <w:pPr>
      <w:jc w:val="center"/>
      <w:spacing w:line="400" w:lineRule="exact"/>
      <w:widowControl/>
    </w:pPr>
  </w:style>
  <w:style w:type="paragraph" w:styleId="1318">
    <w:name w:val="Char Char4"/>
    <w:basedOn w:val="1129"/>
    <w:next w:val="1318"/>
    <w:link w:val="1129"/>
    <w:qFormat/>
    <w:pPr>
      <w:jc w:val="center"/>
      <w:spacing w:line="400" w:lineRule="exact"/>
      <w:widowControl/>
    </w:pPr>
  </w:style>
  <w:style w:type="paragraph" w:styleId="1319">
    <w:name w:val="Char3 Char Char Char1"/>
    <w:basedOn w:val="1129"/>
    <w:next w:val="1319"/>
    <w:link w:val="1129"/>
    <w:qFormat/>
    <w:rPr>
      <w:rFonts w:ascii="Tahoma" w:hAnsi="Tahoma"/>
      <w:sz w:val="24"/>
      <w:szCs w:val="20"/>
    </w:rPr>
  </w:style>
  <w:style w:type="paragraph" w:styleId="1320">
    <w:name w:val="无间隔"/>
    <w:next w:val="1320"/>
    <w:link w:val="1129"/>
    <w:qFormat/>
    <w:pPr>
      <w:jc w:val="both"/>
      <w:widowControl w:val="off"/>
    </w:pPr>
    <w:rPr>
      <w:sz w:val="21"/>
      <w:szCs w:val="24"/>
      <w:lang w:val="en-US" w:eastAsia="zh-CN" w:bidi="ar-SA"/>
    </w:rPr>
  </w:style>
  <w:style w:type="paragraph" w:styleId="1321">
    <w:name w:val="22222222222222"/>
    <w:basedOn w:val="1129"/>
    <w:next w:val="1321"/>
    <w:link w:val="1129"/>
    <w:qFormat/>
    <w:pPr>
      <w:ind w:firstLine="480"/>
      <w:jc w:val="left"/>
      <w:spacing w:line="360" w:lineRule="auto"/>
      <w:widowControl/>
    </w:pPr>
    <w:rPr>
      <w:color w:val="ff0000"/>
      <w:sz w:val="24"/>
      <w:szCs w:val="20"/>
    </w:rPr>
  </w:style>
  <w:style w:type="character" w:styleId="1322">
    <w:name w:val="中等深浅网格 1 - 强调文字颜色 2 Char"/>
    <w:next w:val="1322"/>
    <w:link w:val="1323"/>
    <w:qFormat/>
    <w:rPr>
      <w:sz w:val="21"/>
      <w:szCs w:val="24"/>
      <w:lang w:val="zh-CN" w:eastAsia="zh-CN" w:bidi="ar-SA"/>
    </w:rPr>
  </w:style>
  <w:style w:type="paragraph" w:styleId="1323">
    <w:name w:val="1"/>
    <w:next w:val="1323"/>
    <w:link w:val="1322"/>
    <w:qFormat/>
    <w:rPr>
      <w:sz w:val="21"/>
      <w:szCs w:val="24"/>
      <w:lang w:val="zh-CN" w:eastAsia="zh-CN" w:bidi="ar-SA"/>
    </w:rPr>
  </w:style>
  <w:style w:type="paragraph" w:styleId="1324">
    <w:name w:val="图文"/>
    <w:basedOn w:val="1129"/>
    <w:next w:val="1324"/>
    <w:link w:val="1129"/>
    <w:qFormat/>
    <w:pPr>
      <w:spacing w:after="50" w:line="360" w:lineRule="auto"/>
    </w:pPr>
    <w:rPr>
      <w:sz w:val="24"/>
    </w:rPr>
  </w:style>
  <w:style w:type="paragraph" w:styleId="1325">
    <w:name w:val="xl23"/>
    <w:basedOn w:val="1129"/>
    <w:next w:val="1325"/>
    <w:link w:val="1129"/>
    <w:qFormat/>
    <w:pPr>
      <w:spacing w:before="100" w:beforeAutospacing="1" w:after="100" w:afterAutospacing="1" w:line="360" w:lineRule="auto"/>
      <w:widowControl/>
    </w:pPr>
    <w:rPr>
      <w:sz w:val="24"/>
      <w:szCs w:val="20"/>
    </w:rPr>
  </w:style>
  <w:style w:type="paragraph" w:styleId="1326">
    <w:name w:val="正文表格"/>
    <w:basedOn w:val="1129"/>
    <w:next w:val="1326"/>
    <w:link w:val="1327"/>
    <w:qFormat/>
    <w:pPr>
      <w:jc w:val="left"/>
    </w:pPr>
    <w:rPr>
      <w:rFonts w:ascii="宋体" w:hAnsi="宋体"/>
      <w:color w:val="000000"/>
      <w:szCs w:val="21"/>
    </w:rPr>
  </w:style>
  <w:style w:type="character" w:styleId="1327">
    <w:name w:val="正文表格 Char"/>
    <w:next w:val="1327"/>
    <w:link w:val="1326"/>
    <w:qFormat/>
    <w:rPr>
      <w:rFonts w:ascii="宋体" w:hAnsi="宋体"/>
      <w:color w:val="000000"/>
      <w:sz w:val="21"/>
      <w:szCs w:val="21"/>
    </w:rPr>
  </w:style>
  <w:style w:type="paragraph" w:styleId="1328">
    <w:name w:val="正文重点"/>
    <w:basedOn w:val="1129"/>
    <w:next w:val="1328"/>
    <w:link w:val="1329"/>
    <w:qFormat/>
    <w:pPr>
      <w:ind w:firstLine="482"/>
      <w:jc w:val="left"/>
      <w:spacing w:line="360" w:lineRule="auto"/>
    </w:pPr>
    <w:rPr>
      <w:b/>
      <w:sz w:val="24"/>
      <w:szCs w:val="20"/>
    </w:rPr>
  </w:style>
  <w:style w:type="character" w:styleId="1329">
    <w:name w:val="正文重点 Char"/>
    <w:next w:val="1329"/>
    <w:link w:val="1328"/>
    <w:qFormat/>
    <w:rPr>
      <w:b/>
      <w:sz w:val="24"/>
    </w:rPr>
  </w:style>
  <w:style w:type="paragraph" w:styleId="1330">
    <w:name w:val="标题1-附件"/>
    <w:basedOn w:val="1130"/>
    <w:next w:val="1330"/>
    <w:link w:val="1129"/>
    <w:qFormat/>
    <w:pPr>
      <w:jc w:val="left"/>
    </w:pPr>
    <w:rPr>
      <w:sz w:val="24"/>
      <w:szCs w:val="24"/>
    </w:rPr>
  </w:style>
  <w:style w:type="paragraph" w:styleId="1331">
    <w:name w:val="正文小标题"/>
    <w:basedOn w:val="1129"/>
    <w:next w:val="1143"/>
    <w:link w:val="1332"/>
    <w:qFormat/>
    <w:pPr>
      <w:ind w:firstLine="482"/>
      <w:jc w:val="left"/>
      <w:spacing w:before="312" w:after="312"/>
    </w:pPr>
    <w:rPr>
      <w:rFonts w:ascii="宋体" w:hAnsi="宋体"/>
      <w:b/>
      <w:i/>
      <w:color w:val="ff0000"/>
      <w:sz w:val="24"/>
      <w:szCs w:val="20"/>
    </w:rPr>
  </w:style>
  <w:style w:type="character" w:styleId="1332">
    <w:name w:val="正文小标题 Char"/>
    <w:next w:val="1332"/>
    <w:link w:val="1331"/>
    <w:qFormat/>
    <w:rPr>
      <w:rFonts w:ascii="宋体" w:hAnsi="宋体"/>
      <w:b/>
      <w:i/>
      <w:color w:val="ff0000"/>
      <w:sz w:val="24"/>
    </w:rPr>
  </w:style>
  <w:style w:type="paragraph" w:styleId="1333">
    <w:name w:val="正文大标题"/>
    <w:basedOn w:val="1331"/>
    <w:next w:val="1143"/>
    <w:link w:val="1334"/>
    <w:qFormat/>
    <w:pPr>
      <w:jc w:val="center"/>
    </w:pPr>
    <w:rPr>
      <w:i w:val="0"/>
      <w:color w:val="000000"/>
      <w:sz w:val="28"/>
      <w:szCs w:val="21"/>
    </w:rPr>
  </w:style>
  <w:style w:type="character" w:styleId="1334">
    <w:name w:val="正文大标题 Char"/>
    <w:next w:val="1334"/>
    <w:link w:val="1333"/>
    <w:qFormat/>
    <w:rPr>
      <w:rFonts w:ascii="宋体" w:hAnsi="宋体"/>
      <w:b/>
      <w:color w:val="000000"/>
      <w:sz w:val="28"/>
      <w:szCs w:val="21"/>
    </w:rPr>
  </w:style>
  <w:style w:type="paragraph" w:styleId="1335">
    <w:name w:val="注释"/>
    <w:basedOn w:val="1129"/>
    <w:next w:val="1335"/>
    <w:link w:val="1336"/>
    <w:qFormat/>
    <w:pPr>
      <w:ind w:left="420" w:hanging="420"/>
      <w:jc w:val="left"/>
    </w:pPr>
    <w:rPr>
      <w:rFonts w:ascii="宋体" w:hAnsi="宋体"/>
      <w:szCs w:val="21"/>
    </w:rPr>
  </w:style>
  <w:style w:type="character" w:styleId="1336">
    <w:name w:val="注释 Char"/>
    <w:next w:val="1336"/>
    <w:link w:val="1335"/>
    <w:qFormat/>
    <w:rPr>
      <w:rFonts w:ascii="宋体" w:hAnsi="宋体"/>
      <w:sz w:val="21"/>
      <w:szCs w:val="21"/>
    </w:rPr>
  </w:style>
  <w:style w:type="paragraph" w:styleId="1337">
    <w:name w:val="正文须知-1级"/>
    <w:basedOn w:val="1129"/>
    <w:next w:val="1129"/>
    <w:link w:val="1129"/>
    <w:qFormat/>
    <w:pPr>
      <w:numPr>
        <w:ilvl w:val="0"/>
        <w:numId w:val="7"/>
      </w:numPr>
      <w:spacing w:line="300" w:lineRule="auto"/>
    </w:pPr>
    <w:rPr>
      <w:rFonts w:ascii="宋体" w:hAnsi="Calibri"/>
      <w:sz w:val="24"/>
      <w:szCs w:val="21"/>
    </w:rPr>
  </w:style>
  <w:style w:type="paragraph" w:styleId="1338">
    <w:name w:val="正文须知-2级"/>
    <w:basedOn w:val="1129"/>
    <w:next w:val="1338"/>
    <w:link w:val="1129"/>
    <w:qFormat/>
    <w:pPr>
      <w:numPr>
        <w:ilvl w:val="1"/>
        <w:numId w:val="7"/>
      </w:numPr>
      <w:spacing w:line="300" w:lineRule="auto"/>
    </w:pPr>
    <w:rPr>
      <w:rFonts w:ascii="宋体" w:hAnsi="Calibri"/>
      <w:sz w:val="24"/>
      <w:szCs w:val="21"/>
    </w:rPr>
  </w:style>
  <w:style w:type="paragraph" w:styleId="1339">
    <w:name w:val="正文须知-3级"/>
    <w:basedOn w:val="1129"/>
    <w:next w:val="1339"/>
    <w:link w:val="1129"/>
    <w:qFormat/>
    <w:pPr>
      <w:numPr>
        <w:ilvl w:val="2"/>
        <w:numId w:val="7"/>
      </w:numPr>
      <w:ind w:hanging="355"/>
      <w:spacing w:line="300" w:lineRule="auto"/>
    </w:pPr>
    <w:rPr>
      <w:rFonts w:ascii="宋体" w:hAnsi="Calibri"/>
      <w:sz w:val="24"/>
      <w:szCs w:val="21"/>
    </w:rPr>
  </w:style>
  <w:style w:type="character" w:styleId="1340">
    <w:name w:val="纯文本 字符"/>
    <w:next w:val="1340"/>
    <w:link w:val="1129"/>
    <w:uiPriority w:val="99"/>
    <w:qFormat/>
    <w:rPr>
      <w:rFonts w:ascii="宋体" w:hAnsi="Courier New" w:eastAsia="宋体" w:cs="Times New Roman"/>
      <w:sz w:val="21"/>
      <w:szCs w:val="21"/>
      <w:lang w:val="en-US" w:eastAsia="zh-CN" w:bidi="ar-SA"/>
    </w:rPr>
  </w:style>
  <w:style w:type="paragraph" w:styleId="1341">
    <w:name w:val="表格1"/>
    <w:basedOn w:val="1129"/>
    <w:next w:val="1341"/>
    <w:link w:val="1129"/>
    <w:qFormat/>
    <w:pPr>
      <w:ind w:firstLine="480"/>
      <w:jc w:val="center"/>
    </w:pPr>
    <w:rPr>
      <w:sz w:val="24"/>
      <w:szCs w:val="20"/>
    </w:rPr>
  </w:style>
  <w:style w:type="character" w:styleId="1342">
    <w:name w:val="纯文本 字符1"/>
    <w:next w:val="1342"/>
    <w:link w:val="1129"/>
    <w:qFormat/>
    <w:rPr>
      <w:rFonts w:ascii="宋体" w:hAnsi="Courier New"/>
    </w:rPr>
  </w:style>
  <w:style w:type="character" w:styleId="1343">
    <w:name w:val="bjh-p"/>
    <w:next w:val="1343"/>
    <w:link w:val="1129"/>
    <w:qFormat/>
  </w:style>
  <w:style w:type="paragraph" w:styleId="1344">
    <w:name w:val="无标题条"/>
    <w:next w:val="1129"/>
    <w:link w:val="1129"/>
    <w:qFormat/>
    <w:pPr>
      <w:jc w:val="both"/>
    </w:pPr>
    <w:rPr>
      <w:sz w:val="21"/>
      <w:lang w:val="en-US" w:eastAsia="zh-CN" w:bidi="ar-SA"/>
    </w:rPr>
  </w:style>
  <w:style w:type="character" w:styleId="1345">
    <w:name w:val="正文格式 Char"/>
    <w:next w:val="1345"/>
    <w:link w:val="1346"/>
    <w:qFormat/>
    <w:rPr>
      <w:rFonts w:ascii="宋体" w:hAnsi="宋体"/>
      <w:sz w:val="24"/>
      <w:szCs w:val="24"/>
      <w:lang w:val="en-GB"/>
    </w:rPr>
  </w:style>
  <w:style w:type="paragraph" w:styleId="1346">
    <w:name w:val="正文格式"/>
    <w:basedOn w:val="1129"/>
    <w:next w:val="1346"/>
    <w:link w:val="1345"/>
    <w:qFormat/>
    <w:pPr>
      <w:ind w:firstLine="480"/>
      <w:spacing w:line="360" w:lineRule="auto"/>
    </w:pPr>
    <w:rPr>
      <w:rFonts w:ascii="宋体" w:hAnsi="宋体"/>
      <w:sz w:val="24"/>
      <w:lang w:val="en-GB"/>
    </w:rPr>
  </w:style>
  <w:style w:type="character" w:styleId="1347">
    <w:name w:val="标题 3 Char"/>
    <w:next w:val="1347"/>
    <w:link w:val="1129"/>
    <w:qFormat/>
    <w:rPr>
      <w:rFonts w:ascii="宋体" w:eastAsia="宋体"/>
      <w:b/>
      <w:sz w:val="24"/>
      <w:u w:val="single"/>
      <w:lang w:val="en-US" w:eastAsia="zh-CN" w:bidi="ar-SA"/>
    </w:rPr>
  </w:style>
  <w:style w:type="character" w:styleId="1348">
    <w:name w:val="正文缩进 Char"/>
    <w:next w:val="1348"/>
    <w:link w:val="1129"/>
    <w:qFormat/>
    <w:rPr>
      <w:rFonts w:ascii="宋体" w:eastAsia="宋体"/>
      <w:sz w:val="24"/>
      <w:szCs w:val="24"/>
      <w:lang w:val="en-US" w:eastAsia="zh-CN" w:bidi="ar-SA"/>
    </w:rPr>
  </w:style>
  <w:style w:type="character" w:styleId="1349">
    <w:name w:val="Char Char111"/>
    <w:next w:val="1349"/>
    <w:link w:val="1129"/>
    <w:qFormat/>
    <w:rPr>
      <w:rFonts w:ascii="宋体" w:eastAsia="宋体"/>
      <w:b/>
      <w:sz w:val="24"/>
      <w:u w:val="single"/>
      <w:lang w:val="en-US" w:eastAsia="zh-CN" w:bidi="ar-SA"/>
    </w:rPr>
  </w:style>
  <w:style w:type="character" w:styleId="1350">
    <w:name w:val="正文文本缩进 Char"/>
    <w:next w:val="1350"/>
    <w:link w:val="1129"/>
    <w:qFormat/>
    <w:rPr>
      <w:rFonts w:eastAsia="宋体"/>
      <w:sz w:val="24"/>
      <w:szCs w:val="24"/>
      <w:lang w:val="en-US" w:eastAsia="zh-CN" w:bidi="ar-SA"/>
    </w:rPr>
  </w:style>
  <w:style w:type="character" w:styleId="1351">
    <w:name w:val="列出段落 Char"/>
    <w:next w:val="1351"/>
    <w:link w:val="1129"/>
    <w:qFormat/>
    <w:rPr>
      <w:rFonts w:ascii="Calibri" w:hAnsi="Calibri" w:eastAsia="宋体"/>
      <w:sz w:val="21"/>
      <w:szCs w:val="22"/>
      <w:lang w:val="en-US" w:eastAsia="zh-CN" w:bidi="ar-SA"/>
    </w:rPr>
  </w:style>
  <w:style w:type="character" w:styleId="1352">
    <w:name w:val="页眉 Char"/>
    <w:next w:val="1352"/>
    <w:link w:val="1129"/>
    <w:qFormat/>
    <w:rPr>
      <w:rFonts w:eastAsia="宋体"/>
      <w:sz w:val="18"/>
      <w:szCs w:val="18"/>
      <w:lang w:val="en-US" w:eastAsia="zh-CN" w:bidi="ar-SA"/>
    </w:rPr>
  </w:style>
  <w:style w:type="character" w:styleId="1353">
    <w:name w:val="标题 2 Char"/>
    <w:next w:val="1353"/>
    <w:link w:val="1129"/>
    <w:qFormat/>
    <w:rPr>
      <w:rFonts w:ascii="Arial" w:hAnsi="Arial" w:eastAsia="黑体"/>
      <w:b/>
      <w:sz w:val="30"/>
      <w:lang w:val="en-US" w:eastAsia="zh-CN" w:bidi="ar-SA"/>
    </w:rPr>
  </w:style>
  <w:style w:type="paragraph" w:styleId="1354">
    <w:name w:val="字元 字元2"/>
    <w:basedOn w:val="1129"/>
    <w:next w:val="1354"/>
    <w:link w:val="1129"/>
    <w:qFormat/>
    <w:rPr>
      <w:rFonts w:ascii="Tahoma" w:hAnsi="Tahoma"/>
      <w:sz w:val="24"/>
      <w:szCs w:val="20"/>
    </w:rPr>
  </w:style>
  <w:style w:type="paragraph" w:styleId="1355">
    <w:name w:val="Char3 Char Char Char2"/>
    <w:basedOn w:val="1129"/>
    <w:next w:val="1355"/>
    <w:link w:val="1129"/>
    <w:qFormat/>
    <w:rPr>
      <w:rFonts w:ascii="Tahoma" w:hAnsi="Tahoma"/>
      <w:sz w:val="24"/>
      <w:szCs w:val="20"/>
    </w:rPr>
  </w:style>
  <w:style w:type="paragraph" w:styleId="1356">
    <w:name w:val="正文文本缩进2"/>
    <w:basedOn w:val="1129"/>
    <w:next w:val="1356"/>
    <w:link w:val="1129"/>
    <w:qFormat/>
    <w:pPr>
      <w:ind w:firstLine="480"/>
      <w:spacing w:line="480" w:lineRule="exact"/>
    </w:pPr>
    <w:rPr>
      <w:rFonts w:ascii="宋体" w:hAnsi="宋体"/>
      <w:sz w:val="24"/>
      <w:lang w:val="zh-CN" w:eastAsia="zh-CN"/>
    </w:rPr>
  </w:style>
  <w:style w:type="paragraph" w:styleId="1357">
    <w:name w:val="Char3"/>
    <w:basedOn w:val="1129"/>
    <w:next w:val="1357"/>
    <w:link w:val="1129"/>
    <w:qFormat/>
    <w:pPr>
      <w:tabs>
        <w:tab w:val="left" w:pos="360" w:leader="none"/>
      </w:tabs>
    </w:pPr>
    <w:rPr>
      <w:sz w:val="24"/>
    </w:rPr>
  </w:style>
  <w:style w:type="paragraph" w:styleId="1358">
    <w:name w:val="Char Char Char Char Char Char Char Char Char Char Char Char Char Char Char Char1"/>
    <w:basedOn w:val="1129"/>
    <w:next w:val="1358"/>
    <w:link w:val="1129"/>
    <w:qFormat/>
    <w:pPr>
      <w:jc w:val="center"/>
      <w:spacing w:after="160" w:line="240" w:lineRule="exact"/>
      <w:widowControl/>
    </w:pPr>
    <w:rPr>
      <w:rFonts w:ascii="宋体" w:hAnsi="宋体"/>
      <w:b/>
      <w:sz w:val="30"/>
      <w:szCs w:val="30"/>
      <w:lang w:eastAsia="en-US"/>
    </w:rPr>
  </w:style>
  <w:style w:type="paragraph" w:styleId="1359">
    <w:name w:val="Char Char1 Char Char Char Char Char Char1"/>
    <w:basedOn w:val="1129"/>
    <w:next w:val="1359"/>
    <w:link w:val="1129"/>
    <w:qFormat/>
    <w:pPr>
      <w:jc w:val="left"/>
      <w:spacing w:after="160" w:line="240" w:lineRule="exact"/>
      <w:widowControl/>
    </w:pPr>
    <w:rPr>
      <w:rFonts w:ascii="Verdana" w:hAnsi="Verdana" w:eastAsia="仿宋_GB2312"/>
      <w:sz w:val="24"/>
      <w:szCs w:val="20"/>
      <w:lang w:eastAsia="en-US"/>
    </w:rPr>
  </w:style>
  <w:style w:type="paragraph" w:styleId="1360">
    <w:name w:val="列出段落2"/>
    <w:basedOn w:val="1129"/>
    <w:next w:val="1360"/>
    <w:link w:val="1129"/>
    <w:qFormat/>
    <w:pPr>
      <w:ind w:firstLine="420"/>
    </w:pPr>
    <w:rPr>
      <w:rFonts w:ascii="Calibri" w:hAnsi="Calibri"/>
      <w:szCs w:val="22"/>
    </w:rPr>
  </w:style>
  <w:style w:type="paragraph" w:styleId="1361">
    <w:name w:val="Char Char Char1 Char2"/>
    <w:basedOn w:val="1129"/>
    <w:next w:val="1361"/>
    <w:link w:val="1129"/>
    <w:qFormat/>
    <w:rPr>
      <w:rFonts w:ascii="Tahoma" w:hAnsi="Tahoma"/>
      <w:sz w:val="24"/>
      <w:szCs w:val="20"/>
    </w:rPr>
  </w:style>
  <w:style w:type="paragraph" w:styleId="1362">
    <w:name w:val="Char Char Char2"/>
    <w:basedOn w:val="1129"/>
    <w:next w:val="1362"/>
    <w:link w:val="1129"/>
    <w:qFormat/>
    <w:rPr>
      <w:rFonts w:ascii="Tahoma" w:hAnsi="Tahoma"/>
      <w:sz w:val="24"/>
      <w:szCs w:val="20"/>
    </w:rPr>
  </w:style>
  <w:style w:type="paragraph" w:styleId="1363">
    <w:name w:val="Char Char Char Char Char Char Char2"/>
    <w:basedOn w:val="1129"/>
    <w:next w:val="1363"/>
    <w:link w:val="1129"/>
    <w:qFormat/>
    <w:pPr>
      <w:ind w:firstLine="200"/>
      <w:spacing w:line="360" w:lineRule="auto"/>
    </w:pPr>
    <w:rPr>
      <w:rFonts w:eastAsia="仿宋_GB2312"/>
      <w:sz w:val="24"/>
    </w:rPr>
  </w:style>
  <w:style w:type="paragraph" w:styleId="1364">
    <w:name w:val="正文缩进2"/>
    <w:basedOn w:val="1129"/>
    <w:next w:val="1364"/>
    <w:link w:val="1129"/>
    <w:qFormat/>
    <w:pPr>
      <w:ind w:firstLine="567"/>
      <w:spacing w:line="480" w:lineRule="exact"/>
      <w:widowControl/>
    </w:pPr>
    <w:rPr>
      <w:rFonts w:ascii="宋体"/>
      <w:color w:val="000000"/>
      <w:sz w:val="28"/>
      <w:szCs w:val="20"/>
      <w:lang w:val="zh-CN" w:eastAsia="zh-CN"/>
    </w:rPr>
  </w:style>
  <w:style w:type="paragraph" w:styleId="1365">
    <w:name w:val="Revision"/>
    <w:next w:val="1365"/>
    <w:link w:val="1129"/>
    <w:qFormat/>
    <w:rPr>
      <w:sz w:val="21"/>
      <w:szCs w:val="24"/>
      <w:lang w:val="en-US" w:eastAsia="zh-CN" w:bidi="ar-SA"/>
    </w:rPr>
  </w:style>
  <w:style w:type="paragraph" w:styleId="1366">
    <w:name w:val="Char22"/>
    <w:basedOn w:val="1129"/>
    <w:next w:val="1366"/>
    <w:link w:val="1129"/>
    <w:qFormat/>
    <w:rPr>
      <w:rFonts w:ascii="Tahoma" w:hAnsi="Tahoma"/>
      <w:sz w:val="24"/>
      <w:szCs w:val="20"/>
    </w:rPr>
  </w:style>
  <w:style w:type="paragraph" w:styleId="1367">
    <w:name w:val="Char Char Char Char Char Char Char Char Char Char2"/>
    <w:basedOn w:val="1129"/>
    <w:next w:val="1367"/>
    <w:link w:val="1129"/>
    <w:qFormat/>
    <w:rPr>
      <w:rFonts w:ascii="宋体" w:hAnsi="宋体" w:cs="Courier New"/>
      <w:sz w:val="32"/>
      <w:szCs w:val="32"/>
    </w:rPr>
  </w:style>
  <w:style w:type="paragraph" w:styleId="1368">
    <w:name w:val="Char2 Char Char Char Char Char Char1"/>
    <w:basedOn w:val="1129"/>
    <w:next w:val="1368"/>
    <w:link w:val="1129"/>
    <w:qFormat/>
    <w:pPr>
      <w:jc w:val="center"/>
      <w:spacing w:line="400" w:lineRule="exact"/>
      <w:widowControl/>
    </w:pPr>
  </w:style>
  <w:style w:type="character" w:styleId="1369">
    <w:name w:val="页脚 Char"/>
    <w:next w:val="1369"/>
    <w:link w:val="1129"/>
    <w:qFormat/>
    <w:rPr>
      <w:rFonts w:ascii="宋体" w:eastAsia="宋体"/>
      <w:sz w:val="18"/>
      <w:lang w:val="en-US" w:eastAsia="zh-CN" w:bidi="ar-SA"/>
    </w:rPr>
  </w:style>
  <w:style w:type="paragraph" w:styleId="1370">
    <w:name w:val="Char Char41"/>
    <w:basedOn w:val="1129"/>
    <w:next w:val="1370"/>
    <w:link w:val="1129"/>
    <w:qFormat/>
    <w:pPr>
      <w:jc w:val="center"/>
      <w:spacing w:line="400" w:lineRule="exact"/>
      <w:widowControl/>
    </w:pPr>
  </w:style>
  <w:style w:type="character" w:styleId="1371">
    <w:name w:val="批注文字 Char"/>
    <w:next w:val="1371"/>
    <w:link w:val="1129"/>
    <w:uiPriority w:val="99"/>
    <w:qFormat/>
    <w:rPr>
      <w:sz w:val="21"/>
      <w:szCs w:val="24"/>
    </w:rPr>
  </w:style>
  <w:style w:type="character" w:styleId="1372">
    <w:name w:val="标题 Char"/>
    <w:next w:val="1372"/>
    <w:link w:val="1129"/>
    <w:qFormat/>
    <w:rPr>
      <w:b/>
      <w:sz w:val="32"/>
    </w:rPr>
  </w:style>
  <w:style w:type="paragraph" w:styleId="1373">
    <w:name w:val="图例"/>
    <w:basedOn w:val="1129"/>
    <w:next w:val="1373"/>
    <w:link w:val="1129"/>
    <w:qFormat/>
    <w:pPr>
      <w:jc w:val="center"/>
      <w:spacing w:before="120" w:after="120" w:line="360" w:lineRule="auto"/>
    </w:pPr>
    <w:rPr>
      <w:rFonts w:eastAsia="仿宋_GB2312"/>
      <w:b/>
      <w:sz w:val="24"/>
      <w:szCs w:val="20"/>
    </w:rPr>
  </w:style>
  <w:style w:type="table" w:styleId="1374">
    <w:name w:val="Table Normal"/>
    <w:next w:val="1374"/>
    <w:link w:val="1129"/>
    <w:uiPriority w:val="2"/>
    <w:unhideWhenUsed/>
    <w:qFormat/>
    <w:pPr>
      <w:widowControl w:val="off"/>
    </w:pPr>
    <w:rPr>
      <w:rFonts w:ascii="Calibri" w:hAnsi="Calibri"/>
      <w:sz w:val="22"/>
      <w:szCs w:val="22"/>
      <w:lang w:val="en-US" w:eastAsia="en-US" w:bidi="ar-SA"/>
    </w:rPr>
    <w:tblPr/>
  </w:style>
  <w:style w:type="paragraph" w:styleId="1375">
    <w:name w:val="Table Paragraph"/>
    <w:basedOn w:val="1129"/>
    <w:next w:val="1375"/>
    <w:link w:val="1129"/>
    <w:uiPriority w:val="1"/>
    <w:qFormat/>
    <w:pPr>
      <w:jc w:val="left"/>
    </w:pPr>
    <w:rPr>
      <w:rFonts w:ascii="宋体" w:hAnsi="宋体" w:cs="宋体"/>
      <w:sz w:val="22"/>
      <w:szCs w:val="22"/>
      <w:lang w:eastAsia="en-US"/>
    </w:rPr>
  </w:style>
  <w:style w:type="paragraph" w:styleId="1376">
    <w:name w:val="成文日期"/>
    <w:basedOn w:val="1129"/>
    <w:next w:val="1376"/>
    <w:link w:val="1377"/>
    <w:qFormat/>
    <w:pPr>
      <w:ind w:right="400" w:firstLine="200"/>
      <w:jc w:val="right"/>
      <w:spacing w:line="570" w:lineRule="exact"/>
    </w:pPr>
    <w:rPr>
      <w:rFonts w:ascii="仿宋_GB2312" w:eastAsia="仿宋_GB2312"/>
      <w:sz w:val="32"/>
      <w:szCs w:val="20"/>
    </w:rPr>
  </w:style>
  <w:style w:type="character" w:styleId="1377">
    <w:name w:val="成文日期 Char"/>
    <w:next w:val="1377"/>
    <w:link w:val="1376"/>
    <w:rPr>
      <w:rFonts w:ascii="仿宋_GB2312" w:eastAsia="仿宋_GB2312"/>
      <w:sz w:val="32"/>
    </w:rPr>
  </w:style>
  <w:style w:type="paragraph" w:styleId="1378">
    <w:name w:val="修订"/>
    <w:next w:val="1378"/>
    <w:link w:val="1129"/>
    <w:uiPriority w:val="99"/>
    <w:unhideWhenUsed/>
    <w:rPr>
      <w:sz w:val="21"/>
      <w:szCs w:val="24"/>
      <w:lang w:val="en-US" w:eastAsia="zh-CN" w:bidi="ar-SA"/>
    </w:rPr>
  </w:style>
  <w:style w:type="character" w:styleId="1379">
    <w:name w:val="正文缩进 字符"/>
    <w:next w:val="1379"/>
    <w:link w:val="1129"/>
    <w:uiPriority w:val="99"/>
    <w:qFormat/>
    <w:rPr>
      <w:rFonts w:ascii="宋体" w:hAnsi="Times New Roman" w:eastAsia="宋体" w:cs="Times New Roman"/>
      <w:sz w:val="24"/>
    </w:rPr>
  </w:style>
  <w:style w:type="character" w:styleId="1380">
    <w:name w:val="正文文本 字符"/>
    <w:next w:val="1380"/>
    <w:link w:val="1129"/>
    <w:qFormat/>
    <w:rPr>
      <w:rFonts w:ascii="宋体" w:hAnsi="宋体"/>
      <w:sz w:val="24"/>
      <w:szCs w:val="24"/>
    </w:rPr>
  </w:style>
  <w:style w:type="paragraph" w:styleId="1381">
    <w:name w:val="纯文本1"/>
    <w:next w:val="1182"/>
    <w:link w:val="1129"/>
    <w:qFormat/>
    <w:pPr>
      <w:jc w:val="both"/>
      <w:widowControl w:val="off"/>
    </w:pPr>
    <w:rPr>
      <w:rFonts w:ascii="宋体" w:hAnsi="宋体"/>
      <w:sz w:val="26"/>
      <w:szCs w:val="24"/>
      <w:lang w:val="en-US" w:eastAsia="zh-CN" w:bidi="ar-SA"/>
    </w:rPr>
  </w:style>
  <w:style w:type="paragraph" w:styleId="1382">
    <w:name w:val="AONormal"/>
    <w:next w:val="1382"/>
    <w:link w:val="1129"/>
    <w:qFormat/>
    <w:pPr>
      <w:ind w:firstLine="440"/>
      <w:spacing w:line="400" w:lineRule="exact"/>
    </w:pPr>
    <w:rPr>
      <w:rFonts w:ascii="华文楷体" w:hAnsi="华文楷体" w:eastAsia="华文楷体" w:cs="华文楷体"/>
      <w:sz w:val="22"/>
      <w:szCs w:val="21"/>
      <w:lang w:val="en-US" w:eastAsia="zh-CN" w:bidi="ar-SA"/>
    </w:rPr>
  </w:style>
  <w:style w:type="character" w:styleId="1383">
    <w:name w:val="页码1"/>
    <w:basedOn w:val="1139"/>
    <w:next w:val="1383"/>
    <w:link w:val="1129"/>
    <w:qFormat/>
  </w:style>
  <w:style w:type="character" w:styleId="1384" w:default="1">
    <w:name w:val="Default Paragraph Font"/>
    <w:uiPriority w:val="1"/>
    <w:semiHidden/>
    <w:unhideWhenUsed/>
  </w:style>
  <w:style w:type="numbering" w:styleId="1385" w:default="1">
    <w:name w:val="No List"/>
    <w:uiPriority w:val="99"/>
    <w:semiHidden/>
    <w:unhideWhenUsed/>
  </w:style>
  <w:style w:type="table" w:styleId="13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 Id="rId1" Type="http://schemas.openxmlformats.org/officeDocument/2006/relationships/image" Target="media/image4.jpg"/></Relationships>
</file>

<file path=word/_rels/header7.xml.rels><?xml version="1.0" encoding="UTF-8" standalone="yes"?><Relationships xmlns="http://schemas.openxmlformats.org/package/2006/relationships"><Relationship Id="rId1" Type="http://schemas.openxmlformats.org/officeDocument/2006/relationships/image" Target="media/image5.jpg"/></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2026-09-08T06:49:07Z</dcterms:modified>
</cp:coreProperties>
</file>