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89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2"/>
        <w:ind w:firstLine="112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项目名称：LIMS系统国产化升级改造三期项目</w:t>
      </w:r>
      <w:r>
        <w:rPr>
          <w:rFonts w:hint="eastAsia" w:ascii="方正黑体_GBK" w:hAnsi="方正黑体_GBK" w:eastAsia="方正黑体_GBK" w:cs="方正黑体_GBK"/>
          <w:b w:val="0"/>
          <w:bCs w:val="0"/>
          <w:color w:val="000000"/>
          <w:sz w:val="28"/>
          <w:szCs w:val="28"/>
        </w:rPr>
      </w:r>
      <w:r/>
    </w:p>
    <w:p>
      <w:pPr>
        <w:pStyle w:val="892"/>
        <w:ind w:firstLine="112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w:t>
      </w:r>
      <w:r>
        <w:rPr>
          <w:rFonts w:ascii="Times New Roman" w:hAnsi="Times New Roman" w:eastAsia="方正黑体_GBK" w:cs="Times New Roman"/>
          <w:b w:val="0"/>
          <w:bCs w:val="0"/>
          <w:color w:val="000000"/>
          <w:sz w:val="28"/>
          <w:szCs w:val="28"/>
          <w:lang w:val="en-US" w:eastAsia="zh-CN"/>
        </w:rPr>
        <w:t xml:space="preserve">SCZX-C20</w:t>
      </w:r>
      <w:r>
        <w:rPr>
          <w:rFonts w:hint="eastAsia" w:ascii="Times New Roman" w:hAnsi="Times New Roman" w:eastAsia="方正黑体_GBK" w:cs="Times New Roman"/>
          <w:b w:val="0"/>
          <w:bCs w:val="0"/>
          <w:color w:val="000000"/>
          <w:sz w:val="28"/>
          <w:szCs w:val="28"/>
          <w:lang w:val="en-US" w:eastAsia="zh-CN"/>
        </w:rPr>
        <w:t xml:space="preserve">26-0464</w:t>
      </w:r>
      <w:r>
        <w:rPr>
          <w:rFonts w:ascii="Times New Roman" w:hAnsi="Times New Roman" w:eastAsia="方正黑体_GBK" w:cs="Times New Roman"/>
          <w:b w:val="0"/>
          <w:bCs w:val="0"/>
          <w:color w:val="000000"/>
          <w:sz w:val="28"/>
          <w:szCs w:val="28"/>
        </w:rPr>
        <w:t xml:space="preserve">  </w:t>
      </w:r>
      <w:r>
        <w:rPr>
          <w:rFonts w:ascii="Arial" w:hAnsi="Arial"/>
          <w:b/>
          <w:bCs/>
          <w:color w:val="000000"/>
          <w:sz w:val="28"/>
          <w:szCs w:val="28"/>
        </w:rPr>
        <w:t xml:space="preserve">            </w:t>
      </w:r>
      <w:r>
        <w:rPr>
          <w:rFonts w:ascii="Arial" w:hAnsi="Arial"/>
          <w:b/>
          <w:bCs/>
          <w:color w:val="000000"/>
          <w:sz w:val="28"/>
          <w:szCs w:val="28"/>
        </w:rPr>
      </w:r>
      <w:r/>
    </w:p>
    <w:p>
      <w:pPr>
        <w:pStyle w:val="892"/>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9</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16</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36</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42</w:t>
      </w:r>
      <w:r>
        <w:rPr>
          <w:rFonts w:ascii="方正黑体_GBK" w:hAnsi="方正黑体_GBK" w:eastAsia="方正黑体_GBK" w:cs="方正黑体_GBK"/>
          <w:b w:val="0"/>
          <w:bCs/>
          <w:sz w:val="28"/>
          <w:szCs w:val="28"/>
          <w:lang w:val="en-US" w:eastAsia="zh-CN"/>
        </w:rPr>
      </w:r>
      <w:r/>
    </w:p>
    <w:p>
      <w:pPr>
        <w:pStyle w:val="892"/>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2"/>
        <w:rPr>
          <w:rFonts w:hint="eastAsia" w:ascii="Times New Roman" w:hAnsi="Times New Roman"/>
        </w:rPr>
      </w:pPr>
      <w:r>
        <w:rPr>
          <w:rFonts w:hint="eastAsia" w:ascii="Times New Roman" w:hAnsi="Times New Roman"/>
          <w:szCs w:val="21"/>
        </w:rPr>
      </w:r>
      <w:r/>
    </w:p>
    <w:p>
      <w:pPr>
        <w:pStyle w:val="892"/>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受〔江苏省纺织产品质量监督检验研究院〕的委托，江苏省政府采购中心就〔LIMS系统国产化升级改造三期项目〕(JSZC-320000-SCZX-C2026-0464)项目进行竞争性磋商采购，欢迎符合条件的供应商参加磋商。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(LIMS系统国产化升级改造三期项目)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28</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lang w:eastAsia="zh-CN"/>
        </w:rPr>
        <w:t xml:space="preserve">JSZC-320000-SCZX-C2026-0464 </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2.项目名称：LIMS系统国产化升级改造三期项目</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73</w:t>
            </w:r>
            <w:r>
              <w:rPr>
                <w:rFonts w:ascii="方正仿宋_GBK" w:hAnsi="方正仿宋_GBK" w:eastAsia="方正仿宋_GBK" w:cs="方正仿宋_GBK"/>
                <w:sz w:val="28"/>
                <w:szCs w:val="28"/>
                <w:lang w:val="en-US" w:eastAsia="zh-CN"/>
              </w:rPr>
            </w:r>
            <w:r/>
          </w:p>
        </w:tc>
      </w:tr>
    </w:tbl>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2"/>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73</w:t>
            </w:r>
            <w:r>
              <w:rPr>
                <w:rFonts w:ascii="方正仿宋_GBK" w:hAnsi="方正仿宋_GBK" w:eastAsia="方正仿宋_GBK" w:cs="方正仿宋_GBK"/>
                <w:color w:val="000000"/>
                <w:sz w:val="28"/>
                <w:szCs w:val="28"/>
                <w:lang w:val="en-US" w:eastAsia="zh-CN"/>
              </w:rPr>
            </w:r>
            <w:r/>
          </w:p>
        </w:tc>
      </w:tr>
    </w:tbl>
    <w:p>
      <w:pPr>
        <w:pStyle w:val="892"/>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.采购需求（简介）：详细内容见本磋商文件第四章</w:t>
      </w:r>
      <w:r>
        <w:rPr>
          <w:rFonts w:ascii="宋体" w:hAnsi="宋体"/>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.合同履行期限：详细内容见本磋商文件第四章</w:t>
      </w:r>
      <w:r>
        <w:rPr>
          <w:rFonts w:hint="eastAsia" w:ascii="方正仿宋_GBK" w:hAnsi="方正仿宋_GBK" w:eastAsia="方正仿宋_GBK" w:cs="方正仿宋_GBK"/>
          <w:sz w:val="28"/>
          <w:szCs w:val="28"/>
          <w:lang w:eastAsia="zh-CN"/>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8985264"/>
      <w:r/>
      <w:bookmarkStart w:id="13" w:name="_Toc28359003"/>
      <w:r/>
      <w:bookmarkStart w:id="14" w:name="_Toc28359080"/>
      <w:r/>
      <w:bookmarkStart w:id="15" w:name="_Toc35393622"/>
      <w:r/>
      <w:bookmarkStart w:id="16" w:name="_Toc35393791"/>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5393792"/>
      <w:r/>
      <w:bookmarkStart w:id="18" w:name="_Toc35393623"/>
      <w:r/>
      <w:bookmarkStart w:id="19" w:name="_Toc28359004"/>
      <w:r/>
      <w:bookmarkStart w:id="20" w:name="_Toc28359081"/>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358"/>
        <w:gridCol w:w="3353"/>
      </w:tblGrid>
      <w:tr>
        <w:trPr/>
        <w:tc>
          <w:tcPr>
            <w:tcW w:w="80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5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3353"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5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353"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6707"/>
      </w:tblGrid>
      <w:tr>
        <w:trPr/>
        <w:tc>
          <w:tcPr>
            <w:tcW w:w="8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7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7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28</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38985267"/>
      <w:r/>
      <w:bookmarkStart w:id="28" w:name="_Toc35393794"/>
      <w:r/>
      <w:bookmarkStart w:id="29" w:name="_Toc35393625"/>
      <w:r/>
      <w:bookmarkStart w:id="30" w:name="_Toc28359084"/>
      <w:r/>
      <w:bookmarkStart w:id="31" w:name="_Toc28359007"/>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626"/>
      <w:r/>
      <w:bookmarkStart w:id="33" w:name="_Toc38985268"/>
      <w:r/>
      <w:bookmarkStart w:id="34" w:name="_Toc35393795"/>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35393796"/>
      <w:r/>
      <w:bookmarkStart w:id="36" w:name="_Toc35393627"/>
      <w:r/>
      <w:bookmarkStart w:id="37" w:name="_Toc28359008"/>
      <w:r/>
      <w:bookmarkStart w:id="38" w:name="_Toc28359085"/>
      <w:r/>
      <w:bookmarkStart w:id="39" w:name="_Toc38985269"/>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2"/>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江苏省纺织产品质量监督检验研究院</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光华东街3号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王工</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bookmarkStart w:id="42" w:name="_Toc28359009"/>
      <w:r/>
      <w:bookmarkStart w:id="43" w:name="_Toc28359086"/>
      <w:r>
        <w:rPr>
          <w:rFonts w:hint="eastAsia" w:ascii="方正仿宋_GBK" w:hAnsi="方正仿宋_GBK" w:eastAsia="方正仿宋_GBK" w:cs="方正仿宋_GBK"/>
          <w:sz w:val="28"/>
          <w:szCs w:val="28"/>
          <w:u w:val="single"/>
        </w:rPr>
        <w:t xml:space="preserve">13813886716</w:t>
      </w:r>
      <w:r>
        <w:rPr>
          <w:rFonts w:hint="eastAsia" w:ascii="方正仿宋_GBK" w:hAnsi="方正仿宋_GBK" w:eastAsia="方正仿宋_GBK" w:cs="方正仿宋_GBK"/>
          <w:sz w:val="28"/>
          <w:szCs w:val="28"/>
          <w:u w:val="single"/>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2"/>
        <w:ind w:firstLine="560"/>
        <w:jc w:val="left"/>
        <w:spacing w:line="400" w:lineRule="exact"/>
        <w:rPr>
          <w:rFonts w:ascii="方正仿宋_GBK" w:hAnsi="方正仿宋_GBK" w:eastAsia="方正仿宋_GBK" w:cs="方正仿宋_GBK"/>
          <w:color w:val="000000"/>
          <w:sz w:val="28"/>
          <w:szCs w:val="28"/>
        </w:rPr>
      </w:pPr>
      <w:r/>
      <w:bookmarkEnd w:id="40"/>
      <w:r/>
      <w:bookmarkEnd w:id="41"/>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892"/>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时富荣、许滢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892"/>
        <w:ind w:firstLine="560"/>
        <w:keepLines/>
        <w:keepNext/>
        <w:pageBreakBefore w:val="0"/>
        <w:spacing w:before="156" w:after="156" w:line="400" w:lineRule="exact"/>
        <w:widowControl w:val="off"/>
        <w:rPr>
          <w:rFonts w:hint="eastAsia" w:ascii="方正仿宋_GBK" w:hAnsi="方正仿宋_GBK" w:eastAsia="方正仿宋_GBK" w:cs="方正仿宋_GBK"/>
          <w:color w:val="000000"/>
          <w:sz w:val="28"/>
          <w:szCs w:val="28"/>
          <w:u w:val="single"/>
        </w:rPr>
        <w:outlineLvl w:val="2"/>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025-83668559　</w:t>
      </w:r>
      <w:r>
        <w:rPr>
          <w:rFonts w:hint="eastAsia" w:ascii="方正仿宋_GBK" w:hAnsi="方正仿宋_GBK" w:eastAsia="方正仿宋_GBK" w:cs="方正仿宋_GBK"/>
          <w:color w:val="000000"/>
          <w:sz w:val="28"/>
          <w:szCs w:val="28"/>
          <w:u w:val="single"/>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513029203"/>
      <w:r/>
      <w:bookmarkStart w:id="46" w:name="_Toc16938519"/>
      <w:r/>
      <w:bookmarkStart w:id="47" w:name="_Toc20823275"/>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20614215"/>
      <w:r/>
      <w:bookmarkStart w:id="50" w:name="_Toc16938525"/>
      <w:r/>
      <w:bookmarkStart w:id="51" w:name="_Toc20823281"/>
      <w:r/>
      <w:bookmarkStart w:id="52" w:name="_Toc513029209"/>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16938522"/>
      <w:r/>
      <w:bookmarkStart w:id="62" w:name="_Toc20823278"/>
      <w:r/>
      <w:bookmarkStart w:id="63" w:name="_Toc513029206"/>
      <w:r/>
      <w:bookmarkStart w:id="64" w:name="_Toc462564067"/>
      <w:r/>
      <w:bookmarkStart w:id="65" w:name="_Toc20823279"/>
      <w:r/>
      <w:bookmarkStart w:id="66" w:name="_Toc513029207"/>
      <w:r/>
      <w:bookmarkStart w:id="67" w:name="_Toc16938523"/>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20823285"/>
      <w:r/>
      <w:bookmarkStart w:id="69" w:name="_Toc16938529"/>
      <w:r/>
      <w:bookmarkStart w:id="70" w:name="_Toc120614216"/>
      <w:r/>
      <w:bookmarkStart w:id="71" w:name="_Toc462564072"/>
      <w:r/>
      <w:bookmarkStart w:id="72" w:name="_Toc513029213"/>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16938528"/>
      <w:r/>
      <w:bookmarkStart w:id="77" w:name="_Toc462564071"/>
      <w:r/>
      <w:bookmarkStart w:id="78" w:name="_Toc20823284"/>
      <w:r/>
      <w:bookmarkStart w:id="79" w:name="_Toc513029212"/>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513029214"/>
      <w:r/>
      <w:bookmarkStart w:id="83" w:name="_Toc16938530"/>
      <w:r/>
      <w:bookmarkStart w:id="84" w:name="_Toc462564073"/>
      <w:r/>
      <w:bookmarkStart w:id="85" w:name="_Toc20823286"/>
      <w:r/>
      <w:bookmarkStart w:id="86" w:name="_Toc20823296"/>
      <w:r/>
      <w:bookmarkStart w:id="87" w:name="_Toc120614217"/>
      <w:r/>
      <w:bookmarkStart w:id="88" w:name="_Toc513029224"/>
      <w:r/>
      <w:bookmarkStart w:id="89" w:name="_Toc16938540"/>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462564074"/>
      <w:r/>
      <w:bookmarkStart w:id="91" w:name="_Toc20823287"/>
      <w:r/>
      <w:bookmarkStart w:id="92" w:name="_Toc513029215"/>
      <w:r/>
      <w:bookmarkStart w:id="93" w:name="_Toc16938531"/>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49090509"/>
      <w:r/>
      <w:bookmarkStart w:id="95" w:name="_Toc513029219"/>
      <w:r/>
      <w:bookmarkStart w:id="96" w:name="_Toc513029216"/>
      <w:r/>
      <w:bookmarkStart w:id="97" w:name="_Toc49090507"/>
      <w:r/>
      <w:bookmarkStart w:id="98" w:name="_Toc14577354"/>
      <w:r/>
      <w:bookmarkStart w:id="99" w:name="_Toc14577355"/>
      <w:r/>
      <w:bookmarkStart w:id="100" w:name="_Toc49090508"/>
      <w:r/>
      <w:bookmarkStart w:id="101" w:name="_Hlt26668975"/>
      <w:r/>
      <w:bookmarkEnd w:id="101"/>
      <w:r/>
      <w:bookmarkStart w:id="102" w:name="_Hlt26954838"/>
      <w:r/>
      <w:bookmarkEnd w:id="102"/>
      <w:r/>
      <w:bookmarkStart w:id="103" w:name="_Hlt26670360"/>
      <w:r/>
      <w:bookmarkEnd w:id="103"/>
      <w:r/>
      <w:bookmarkStart w:id="104" w:name="_Toc1457735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954731"/>
      <w:r/>
      <w:bookmarkEnd w:id="106"/>
      <w:r/>
      <w:bookmarkStart w:id="107" w:name="_Hlt26954846"/>
      <w:r/>
      <w:bookmarkEnd w:id="107"/>
      <w:r/>
      <w:bookmarkStart w:id="108" w:name="_Hlt26670486"/>
      <w:r/>
      <w:bookmarkEnd w:id="108"/>
      <w:r/>
      <w:bookmarkStart w:id="109" w:name="_Hlt26954848"/>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20823301"/>
      <w:r/>
      <w:bookmarkStart w:id="115" w:name="_Toc120614218"/>
      <w:r/>
      <w:bookmarkStart w:id="116" w:name="_Toc16938545"/>
      <w:r/>
      <w:bookmarkStart w:id="117" w:name="_Toc513029229"/>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20823297"/>
      <w:r/>
      <w:bookmarkStart w:id="119" w:name="_Toc462564084"/>
      <w:r/>
      <w:bookmarkStart w:id="120" w:name="_Toc16938541"/>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20823298"/>
      <w:r/>
      <w:bookmarkStart w:id="123" w:name="_Toc513029226"/>
      <w:r/>
      <w:bookmarkStart w:id="124" w:name="_Toc16938542"/>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513029227"/>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513029230"/>
      <w:r/>
      <w:bookmarkStart w:id="132" w:name="_Toc20823302"/>
      <w:r/>
      <w:bookmarkStart w:id="133" w:name="_Toc16938546"/>
      <w:r/>
      <w:bookmarkStart w:id="134" w:name="_Toc513029232"/>
      <w:r/>
      <w:bookmarkStart w:id="135" w:name="_Toc20823304"/>
      <w:r/>
      <w:bookmarkStart w:id="136" w:name="_Toc16938548"/>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20823303"/>
      <w:r/>
      <w:bookmarkStart w:id="139"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892"/>
        <w:ind w:firstLine="560"/>
        <w:pageBreakBefore w:val="0"/>
        <w:spacing w:line="400" w:lineRule="exact"/>
        <w:widowControl w:val="off"/>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25.3.11</w:t>
      </w:r>
      <w:r>
        <w:rPr>
          <w:rFonts w:hint="eastAsia"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Cs/>
          <w:sz w:val="28"/>
          <w:szCs w:val="28"/>
          <w:lang w:val="en-US" w:eastAsia="zh-CN"/>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20823307"/>
      <w:r/>
      <w:bookmarkStart w:id="147" w:name="_Toc16938551"/>
      <w:r/>
      <w:bookmarkStart w:id="148" w:name="_Toc513029235"/>
      <w:r/>
      <w:bookmarkStart w:id="149" w:name="_Toc120614219"/>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2"/>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20823308"/>
      <w:r/>
      <w:bookmarkStart w:id="155" w:name="_Toc120614220"/>
      <w:r/>
      <w:bookmarkStart w:id="156" w:name="_Toc513029236"/>
      <w:r/>
      <w:bookmarkStart w:id="157" w:name="_Toc16938552"/>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16938558"/>
      <w:r/>
      <w:bookmarkStart w:id="159" w:name="_Toc20823314"/>
      <w:r/>
      <w:bookmarkStart w:id="160" w:name="_Toc513029242"/>
      <w:r/>
      <w:bookmarkStart w:id="161" w:name="_Toc479757207"/>
      <w:r/>
      <w:bookmarkStart w:id="162" w:name="_Toc120614221"/>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16938553"/>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2"/>
        <w:spacing w:line="400" w:lineRule="exact"/>
        <w:rPr>
          <w:rFonts w:ascii="宋体" w:hAnsi="宋体"/>
          <w:bCs/>
          <w:color w:val="000000"/>
          <w:sz w:val="28"/>
          <w:szCs w:val="28"/>
          <w:highlight w:val="yellow"/>
        </w:rPr>
      </w:pPr>
      <w:r/>
      <w:bookmarkStart w:id="166" w:name="_Toc16938559"/>
      <w:r/>
      <w:bookmarkStart w:id="167" w:name="_Toc20823315"/>
      <w:r/>
      <w:bookmarkStart w:id="168" w:name="_Toc513029243"/>
      <w:r>
        <w:rPr>
          <w:rFonts w:ascii="宋体" w:hAnsi="宋体"/>
          <w:bCs/>
          <w:color w:val="000000"/>
          <w:sz w:val="28"/>
          <w:szCs w:val="28"/>
          <w:highlight w:val="yellow"/>
        </w:rPr>
      </w:r>
      <w:r/>
    </w:p>
    <w:p>
      <w:pPr>
        <w:pStyle w:val="892"/>
        <w:jc w:val="center"/>
        <w:spacing w:before="156" w:after="156"/>
        <w:rPr>
          <w:rFonts w:hint="eastAsia" w:ascii="宋体" w:hAnsi="宋体"/>
          <w:b/>
          <w:sz w:val="30"/>
          <w:szCs w:val="21"/>
        </w:rPr>
        <w:outlineLvl w:val="0"/>
      </w:pPr>
      <w:r>
        <w:rPr>
          <w:rFonts w:hint="eastAsia" w:ascii="宋体" w:hAnsi="宋体"/>
          <w:b/>
          <w:sz w:val="30"/>
          <w:szCs w:val="21"/>
        </w:rPr>
      </w:r>
      <w:r/>
    </w:p>
    <w:p>
      <w:pPr>
        <w:pStyle w:val="923"/>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2"/>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2"/>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2"/>
        <w:jc w:val="both"/>
        <w:spacing w:line="50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p>
      <w:pPr>
        <w:pStyle w:val="892"/>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Toc49090575"/>
      <w:r/>
      <w:bookmarkStart w:id="171" w:name="_Toc26554093"/>
      <w:r/>
      <w:bookmarkStart w:id="172" w:name="_Toc462564139"/>
      <w:r/>
      <w:bookmarkStart w:id="173" w:name="_Toc479757211"/>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vMerge w:val="restart"/>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eastAsia="zh-CN"/>
              </w:rPr>
              <w:t xml:space="preserve">1</w:t>
            </w:r>
            <w:r/>
          </w:p>
        </w:tc>
        <w:tc>
          <w:tcPr>
            <w:tcW w:w="10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2"/>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LIMS系统国产化升级改造三期项目</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
          <w:bCs/>
          <w:sz w:val="28"/>
          <w:szCs w:val="28"/>
        </w:rPr>
      </w:r>
      <w:r/>
    </w:p>
    <w:p>
      <w:pPr>
        <w:pStyle w:val="892"/>
        <w:ind w:firstLine="480"/>
        <w:jc w:val="left"/>
        <w:spacing w:after="200" w:line="360" w:lineRule="auto"/>
        <w:widowControl/>
        <w:rPr>
          <w:rFonts w:ascii="宋体" w:hAnsi="宋体" w:eastAsia="宋体" w:cs="Times New Roman"/>
          <w:b w:val="0"/>
          <w:sz w:val="24"/>
          <w:lang w:eastAsia="en-US"/>
        </w:rPr>
      </w:pPr>
      <w:r>
        <w:rPr>
          <w:rFonts w:ascii="宋体" w:hAnsi="宋体" w:eastAsia="宋体" w:cs="Times New Roman"/>
          <w:b/>
          <w:bCs/>
          <w:sz w:val="24"/>
          <w:lang w:eastAsia="en-US"/>
        </w:rPr>
        <w:t xml:space="preserve">项目建设目标：</w:t>
      </w:r>
      <w:r>
        <w:rPr>
          <w:rFonts w:ascii="宋体" w:hAnsi="宋体" w:eastAsia="宋体" w:cs="Times New Roman"/>
          <w:b w:val="0"/>
          <w:sz w:val="24"/>
          <w:lang w:eastAsia="en-US"/>
        </w:rPr>
        <w:t xml:space="preserve">完成系统存量电子原始记录国产化替代改造，摒弃传统Office依赖模式，全线升级为纯Web轻量化架构。本次改造覆盖约1300套电子原始记录模板，实现记录在线录入、公式运算、系统数据互通、在线预览、归档版本管理、模板平滑切换、统一身份认证等全功能国产化适配，彻底摆脱Office插件、本地文档依赖问题，保障系统自主可控、运行稳定。本次改造覆盖的1300套为当前系统存量原始记录模板数量。改造过程中可能根据业务实际需要，对同类原始记录进行合并、优化或拆分调整，最终验收完成的原始记录套数以甲方书面确认为准。</w:t>
      </w:r>
      <w:r>
        <w:rPr>
          <w:rFonts w:ascii="宋体" w:hAnsi="宋体" w:eastAsia="宋体" w:cs="Times New Roman"/>
          <w:b w:val="0"/>
          <w:sz w:val="24"/>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（一）总体要求</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1. 本地化部署及数据安全要求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本地化部署要求：供应商需承诺所提供系统必须满足采购人本地化部署要求，Web原始记录模块及所有数据处理全本地化部署，所有数据存储、处理和分析均在采购人本地服务器完成，不得将任何业务数据上传至外部云端或第三方平台，保障数据安全与自主可控。</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（2）数据标准化要求：需结合纺织品检验检测领域电子原始记录特点，完成不低于1300套电子原始记录模板的Web化改造与知识融合，配套新增统一数据访问API接口，保障原始记录数据的规范化管理与高效利用。</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2. 系统性能要求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根据业务处理类型的不同，把作业划分为交互类业务、查询类业务和统计分析类业务，分别给出响应时间要求的参考值，包括峰值响应时间和平均响应时间。</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（1）系统在常规压力下保持7×24小时稳定运行，事务成功率达99.99%。</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（2）并发数不小于100时，常规页面展示小于等于3秒。</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（3）并发数不小于100时，交互类页面响应一般要求小于等于3秒。</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（4）并发数不小于100时，查询列表类页面响应一般要求小于等于5秒。</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（5）并发数不小于100时，统计分析类事务响应一般要求响应时间小于等于5秒，对于跨年度、多条件组合的复杂统计分析响应时间原则上不应超过8秒。</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3. 安全要求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安全评估要求：投标供应商承诺符合国家网络安全法律法规要求，严格落实网络安全等级保护相关要求，按照采购人网络安全工作要求，完成系统建设并符合相应等级的网络安全保护要求，保障系统与数据安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保密要求：投标供应商承诺中标后完整交付所有源代码与开发文档，项目全部知识产权归采购人独享，将对项目全量业务资料（包括代码、文档、原始记录数据等）保密，未经采购人书面同意不得向任何第三方泄露、复制，保密义务覆盖软件全生命周期。</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4. 系统架构与接口要求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系统架构要求：系统采用模块化、低耦合的架构设计，各功能模块可独立部署、独立升级，支持横向扩展，具备良好的可维护性和可扩展性。Web原始记录模块采用纯B/S架构，前端基于Html5标准开发，彻底脱离Office插件及本地办公软件依赖。</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（2）接口规范要求：提供标准化RESTful API接口，支持与采购人现有LIMS系统等业务系统对接集成，实现人员信息、样品数据、项目数据、基础配置数据的双向实时同步，并实现与LIMS系统仪器管理模块、标准管理模块、温湿度监控模块的对接集成，接口文档完整规范，支持数据互通和业务协同。</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5. 国产化要求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本项目技术架构采用国产化操作系统、国产化数据库、国产化中间件，开发系统架构采用B/S模式，执行Html5页面开发规范，软件及所使用的中间件均需实现在国产化环境下稳定、安全、可靠运行。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（1）支持国产芯片。</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（2）支持国产化服务器操作系统。</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（3）支持国产数据库。</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（4）支持国产桌面操作系统。</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（5）PC端应当兼容所有主流浏览器和国产浏览器。</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6. 项目验收要求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系统正式交付前，中标方将技术文档和项目源码和软件交甲方，对于已检测出来的安全漏洞，必须由中标人修复完成，否则不予上线交付。</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1、项目验收前，中标方要完成招标文件和合同规定的各项建设内容并满足要求，符合国家有关工程建设、安全及保密等各项规定，验收资料齐全。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2、项目完工后，中标方按招标文件和合同要求提交所有项目成果和项目文档。并提出验收申请，用户单位出具用户使用意见。</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3、采购人、用户使用方等接收项目成果和项目文档。用户单位确认是否达到验收要求，并按验收方案，组织项目验收。</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4、系统在完成功能开发上线联调测试并经用户单位验证通过后可进行项目验收。</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5、对整个项目的验收包括检查应用系统是否实现了双方签定的《需求说明书》所要求实现的相关功能，是否与投标人提出的解决方案中既定建设目标一致。</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（二）技术指标要求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系统需满足以下技术指标要求：</w:t>
      </w:r>
      <w:r>
        <w:rPr>
          <w:rFonts w:ascii="Cambria" w:hAnsi="Cambria" w:eastAsia="宋体" w:cs="Times New Roman"/>
          <w:sz w:val="2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1980"/>
        <w:gridCol w:w="5139"/>
      </w:tblGrid>
      <w:tr>
        <w:trPr/>
        <w:tc>
          <w:tcPr>
            <w:shd w:val="clear" w:color="auto" w:fill="d9e2f3"/>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序号</w:t>
            </w:r>
            <w:r>
              <w:rPr>
                <w:rFonts w:ascii="Cambria" w:hAnsi="Cambria" w:eastAsia="宋体" w:cs="Times New Roman"/>
                <w:sz w:val="22"/>
                <w:lang w:eastAsia="en-US"/>
              </w:rPr>
            </w:r>
            <w:r/>
          </w:p>
        </w:tc>
        <w:tc>
          <w:tcPr>
            <w:shd w:val="clear" w:color="auto" w:fill="d9e2f3"/>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技术指标</w:t>
            </w:r>
            <w:r>
              <w:rPr>
                <w:rFonts w:ascii="Cambria" w:hAnsi="Cambria" w:eastAsia="宋体" w:cs="Times New Roman"/>
                <w:sz w:val="22"/>
                <w:lang w:eastAsia="en-US"/>
              </w:rPr>
            </w:r>
            <w:r/>
          </w:p>
        </w:tc>
        <w:tc>
          <w:tcPr>
            <w:shd w:val="clear" w:color="auto" w:fill="d9e2f3"/>
            <w:tcW w:w="5139"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具体参数</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安装平台</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国产麒麟操作系统、Linux和Windows下均要支持</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分布式</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支持多机集群分布式安装，支持负载均衡</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数据库</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国产数据库OceanBase、MySQL、SQLServer等主流数据库</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消息队列</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支持ActiveMQ或RabbitMQ等主流消息队列配置</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分布式缓存</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支持Redis或Memcached等主流缓存</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6</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文件存储</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支持多机多卷分布式存储，支持横向磁盘扩展</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7</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服务接口</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XML、JSON、JSONP、CSV、JSV、Soap1.1、Soap1.2数据格式均要支持</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8</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服务响应速度</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hint="eastAsia" w:ascii="宋体" w:hAnsi="宋体" w:eastAsia="宋体" w:cs="Times New Roman"/>
                <w:b w:val="0"/>
                <w:sz w:val="21"/>
                <w:lang w:val="en-US" w:eastAsia="zh-CN"/>
              </w:rPr>
              <w:t xml:space="preserve">1</w:t>
            </w:r>
            <w:r>
              <w:rPr>
                <w:rFonts w:ascii="宋体" w:hAnsi="宋体" w:eastAsia="宋体" w:cs="Times New Roman"/>
                <w:b w:val="0"/>
                <w:sz w:val="21"/>
                <w:lang w:eastAsia="en-US"/>
              </w:rPr>
              <w:t xml:space="preserve">00并发下，一般查询</w:t>
            </w:r>
            <w:r>
              <w:rPr>
                <w:rFonts w:hint="eastAsia" w:ascii="宋体" w:hAnsi="宋体" w:eastAsia="宋体" w:cs="Times New Roman"/>
                <w:b w:val="0"/>
                <w:sz w:val="21"/>
                <w:lang w:val="en-US" w:eastAsia="zh-CN"/>
              </w:rPr>
              <w:t xml:space="preserve">3</w:t>
            </w:r>
            <w:r>
              <w:rPr>
                <w:rFonts w:ascii="宋体" w:hAnsi="宋体" w:eastAsia="宋体" w:cs="Times New Roman"/>
                <w:b w:val="0"/>
                <w:sz w:val="21"/>
                <w:lang w:eastAsia="en-US"/>
              </w:rPr>
              <w:t xml:space="preserve">秒之内，复杂查询5秒之内</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9</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服务权限</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与现有LIMS系统集成，支持权限体系，支持LIMS系统的统一身份认证，保持账号、权限映射及访问控制机制兼容，支持独立配置服务访问权限，以提升系统安全性</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10</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系统安全</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支持身份认证与授权，具有良好的数据备份与恢复策略</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11</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服务文档</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支持自动生成各服务接口文档</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12</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计划任务</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支持秒级分布式计划任务调度</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13</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扩展性</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支持前端或后端业务逻辑的二次扩展，能便利地进行调试和发布</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14</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密码策略</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支持自定义的密码安全策略</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15</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性能管理</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支持对系统内所有服务的性能进行监控和分析</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16</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三方扩展</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支持对已有服务接口进行无侵入的功能扩展和对接</w:t>
            </w:r>
            <w:r>
              <w:rPr>
                <w:rFonts w:ascii="Cambria" w:hAnsi="Cambria" w:eastAsia="宋体" w:cs="Times New Roman"/>
                <w:sz w:val="22"/>
                <w:lang w:eastAsia="en-US"/>
              </w:rPr>
            </w:r>
            <w:r/>
          </w:p>
        </w:tc>
      </w:tr>
    </w:tbl>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（三）技术功能参数</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1. 技术功能参数表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LIMS系统国产化升级改造三期项目建设具体技术功能参数要求如下（技术功能参数表）：</w:t>
      </w:r>
      <w:r>
        <w:rPr>
          <w:rFonts w:ascii="Cambria" w:hAnsi="Cambria" w:eastAsia="宋体" w:cs="Times New Roman"/>
          <w:sz w:val="2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544"/>
        <w:gridCol w:w="1936"/>
        <w:gridCol w:w="3974"/>
      </w:tblGrid>
      <w:tr>
        <w:trPr/>
        <w:tc>
          <w:tcPr>
            <w:shd w:val="clear" w:color="auto" w:fill="d9e2f3"/>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序号</w:t>
            </w:r>
            <w:r>
              <w:rPr>
                <w:rFonts w:ascii="Cambria" w:hAnsi="Cambria" w:eastAsia="宋体" w:cs="Times New Roman"/>
                <w:sz w:val="22"/>
                <w:lang w:eastAsia="en-US"/>
              </w:rPr>
            </w:r>
            <w:r/>
          </w:p>
        </w:tc>
        <w:tc>
          <w:tcPr>
            <w:shd w:val="clear" w:color="auto" w:fill="d9e2f3"/>
            <w:tcW w:w="154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功能模块</w:t>
            </w:r>
            <w:r>
              <w:rPr>
                <w:rFonts w:ascii="Cambria" w:hAnsi="Cambria" w:eastAsia="宋体" w:cs="Times New Roman"/>
                <w:sz w:val="22"/>
                <w:lang w:eastAsia="en-US"/>
              </w:rPr>
            </w:r>
            <w:r/>
          </w:p>
        </w:tc>
        <w:tc>
          <w:tcPr>
            <w:shd w:val="clear" w:color="auto" w:fill="d9e2f3"/>
            <w:tcW w:w="1936"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功能子项</w:t>
            </w:r>
            <w:r>
              <w:rPr>
                <w:rFonts w:ascii="Cambria" w:hAnsi="Cambria" w:eastAsia="宋体" w:cs="Times New Roman"/>
                <w:sz w:val="22"/>
                <w:lang w:eastAsia="en-US"/>
              </w:rPr>
            </w:r>
            <w:r/>
          </w:p>
        </w:tc>
        <w:tc>
          <w:tcPr>
            <w:shd w:val="clear" w:color="auto" w:fill="d9e2f3"/>
            <w:tcW w:w="397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功能描述</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架构设计</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原始记录业务规则梳理</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全面盘点</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Office转Web适配难点调研分析</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调研原有Office模板公式运算、格式排版、单元格联动、权限锁定、打印样式等特性，梳理Web端适配兼容难点、技术风险点、业务适配痛点。</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Web端原始记录整体架构搭建</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设计Web原始记录模块整体技术架构，包含前端渲染架构、后端服务架构、数据存储架构、接口调度架构、第三方适配架构，明确各层级职责与调用关系。</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统一数据交互规范制定</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定义Web原始记录与LIMS系统、数据库、各业务模块的数据交互格式、字段映射规则、请求响应规范、异常处理规范、数据传输加密规范。</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公式运算底层框架搭建</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开发通用公式解析、运算、校验底层框架，兼容原有Office公式逻辑，支持自定义公式、联动运算、数值校验、异常报错，保障Web端公式运算结果与原Office完全一致。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前后端适配标准统一定义</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统一Web原始记录页面布局、控件样式、弹窗交互、表单校验、操作按钮、适配分辨率、响应式规则，制定前后端开发统一标准。</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7</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LIMS系统统一身份认证适配</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LIMS身份认证体系对接</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适配现有LIMS系统登录逻辑、账号存储规则、角色体系、权限分级机制、认证接口、令牌规则，明确对接适配方案。</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单点登录功能开发适配</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实现Web原始记录模块与LIMS系统单点登录，用户登录LIMS后可无感知跳转Web原始记录模块，无需重复登录，支持登录状态同步、超时同步。</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账号信息同步功能开发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开发账号实时同步机制，LIMS新增、修改、禁用、删除账号时，Web原始记录模块自动同步对应账号状态，保证两端账号一致性。</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角色权限复用适配开发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对接LIMS角色权限体系，Web原始记录模块直接复用原有角色、权限配置，无需单独新建角色权限，支持权限颗粒度完全对齐。</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11</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全系统权限统一管控逻辑开发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去除模块独立账号权限体系，开发统一权限校验逻辑，所有页面操作、数据查看、功能按钮均走LIMS统一权限校验规则。</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原有权限分级规则适配落地</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完全适配LIMS原有多级权限分级规则，包含管理员、录入员、复核员、审核员等不同角色的操作权限、数据权限、功能权限差异化管控。</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13</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独立账号体系禁用与校验开发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关闭模块独立注册、独立登录、独立权限配置功能，增加校验机制，杜绝独立账号体系生效，保障权限统一。</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14</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权限适配全场景测试优化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覆盖登录、跳转、权限校验、账号变更、角色调整等全场景测试，修复适配问题，保证权限管控稳定合规。</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15</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人员与时间字段自动抓取开发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人员信息通用底层抓取接口开发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开发通用可复用底层接口，适配所有Web原始记录模板，支持批量、单条记录抓取LIMS人员信息，统一接口出入参规范。</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录入/复核/审核人员账号姓名自动抓取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记录创建时自动抓取当前登录录入人账号、姓名；复核操作时自动抓取复核人信息；审核操作时自动抓取审核人信息，自动回填对应字段。</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17</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全场景操作时间自动生成功能开发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实现录入时间、提交时间、复核时间、审核时间、归档时间全操作节点自动生成，无需人工填写。</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统一时间格式校准功能开发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统一所有时间字段展示格式、存储格式，适配系统时区，自动校准时间偏差，保证全系统时间格式统一、准确。</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字段手动篡改禁用与锁定开发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对所有自动抓取的人员字段、时间字段做页面锁定、后台校验，禁止手动编辑、修改、清空，前端隐藏编辑入口，后台拦截篡改请求。</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人员时间字段异常容错处理</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针对LIMS账号异常、接口超时、信息缺失等场景，开发容错机制，给出明确异常提示，记录异常日志，避免记录报错中断业务。</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21</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多模板通用适配逻辑开发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适配所有改造后的Web原始记录模板，无需单模板单独开发，实现一套逻辑全覆盖，支持后续新模板快速适配。</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合规性校验与日志记录开发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人员、时间字段变更、生成、异常场景全程日志留存，满足实验室合规溯源要求，支持后续查询追溯。</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23</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LIMS系统数据互通对接开发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LIMS基础数据读取接口开发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开发通用接口，支持Web原始记录实时读取LIMS系统基础配置数据、字典数据、参数数据、基础业务配置数据，支撑表单自动回填。</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24</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LIMS样品数据实时读取接口开发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对接LIMS数据库，实现样品编号、样品名称、样品类型、采样信息、检测项目等样品核心数据实时拉取、自动回填Web记录。</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25</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LIMS项目数据实时读取接口开发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实时读取项目编号、项目名称、委托信息、检测标准、任务信息等项目数据，自动同步至对应Web原始记录表单。</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Web记录数据实时反写接口开发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开发数据反写接口，Web原始记录填报、修改、复核、审核完成后，自动将最新数据同步反写至LIMS核心数据库。</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27</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双向数据同步机制开发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建立LIMS与Web原始记录双向联动同步机制，LIMS数据更新实时同步Web，Web数据变更实时同步LIMS，保证两端数据实时一致。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数据一致性校验规则开发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制定字段一致性、数据长度、数据类型、业务逻辑校验规则，定时校验+操作触发校验双重模式，识别两端数据差异并预警。</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数据同步异常重试机制开发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针对网络波动、接口超时、数据库卡顿等场景，开发自动重试机制，配置重试次数、重试间隔，同步失败留存异常日志。</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数据对接全场景兼容与容错优化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兼容新旧数据、不同版本模板数据对接，处理空数据、特殊字符、数据变更冲突等场景，保障数据对接稳定无丢失、无错乱。</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31</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仪器管理模块对接开发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开发Web原始记录与LIMS系统仪器管理模块的对接接口，实现仪器设备信息、校准状态、使用记录等数据的实时读取与自动回填，支持原始记录中仪器信息字段的自动关联与校验。</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标准管理模块对接开发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开发Web原始记录与LIMS系统标准管理模块的对接接口，实现检测标准、标准版本、标准条款、检测方法等数据的实时读取与自动关联，支持原始记录中标准信息字段的自动回填与版本一致性校验。</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33</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温湿度模块对接开发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开发Web原始记录与LIMS系统温湿度监控模块的对接接口，实现检测环境温湿度数据的实时采集、自动回填与超限预警，支持原始记录中环境条件字段的自动记录与合规性校验。</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34</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Web端在线预览功能开发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通用在线预览组件封装开发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独立封装可复用的Web原始记录在线预览组件，支持所有改造后模板一键调用，统一预览样式与交互逻辑。</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35</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PC端在线预览基础功能开发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实现PC端浏览器直接打开原始记录，完整展示表单格式、数据内容、公式运算结果、签章信息、操作痕迹，样式与原Office模板一致。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预览页翻页、缩放交互功能开发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支持预览页面上下翻页、页面缩放（放大/缩小/自适应）、页面拖动查看等基础交互功能，操作流畅无卡顿。</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37</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预览内容检索功能开发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支持在预览页面关键词检索，快速定位对应数据、字段、备注内容，高亮展示检索结果，提升查阅效率。</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无第三方软件依赖适配开发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彻底脱离Office、WPS等第三方办公软件，纯浏览器原生预览，无需安装插件、无需依赖本地办公环境。</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预览权限与数据安全管控开发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关联LIMS权限体系，无查看权限用户禁止预览，预览页面禁止私自下载、篡改、截屏（后台管控），保障数据安全。</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多模板预览通用兼容优化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兼容复杂表格、公式字段、联动字段、空白字段、签章字段等特殊内容的预览展示，统一所有模板预览效果。</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41</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后台归档与版本管理功能开发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统一后台归档引擎开发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搭建通用后台归档引擎，统一所有Web原始记录归档规则、存储路径、数据封装格式，实现归档功能标准化、自动化。</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42</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审核完成自动归集归档功能开发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原始记录完成全部审核流程、状态归档后，系统自动归集该项目下所有关联Web原始记录，批量同步至专属归档数据库。</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43</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记录版本自动留存功能开发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记录每次修改、复核、审核、作废、重新填报均自动生成新版本，完整留存历史版本数据，无版本丢失、无数据覆盖。</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44</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历史版本回溯还原功能开发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支持选择任意历史版本进行预览、回溯，有权限人员可一键还原至对应历史版本，还原后自动生成新版本记录。</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45</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全场景版本日志查询开发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记录所有版本变更日志，包含变更人、变更时间、变更内容、变更场景、操作IP、设备信息，支持多条件筛选、查询、导出。</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46</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作废/修改/复核场景版本管控</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覆盖填报修改、复核驳回、审核作废、二次编辑、流程重走等全业务场景，所有操作均触发版本留存，无管控盲区。</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47</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归档数据存储与合规管控优化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归档数据只读锁定，禁止私自修改、删除，保障归档数据不可篡改，满足实验室数据留存、溯源、合规审计要求。</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48</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模板平滑切换兼容适配开发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新旧模板并行运行机制开发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搭建新旧模板双轨运行架构，Office旧模板与Web新模板可同时在线使用、独立运行、互不冲突，支持分批次切换改造。</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49</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新旧模板数据兼容读取开发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系统支持正常读取旧模板历史数据，同时兼容新模板新增字段、新逻辑数据，实现新旧数据互通识别、正常展示、正常调用。</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50</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新旧业务流程无感知过渡适配</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对齐新旧模板填报、复核、审核、归档全业务流程，切换过程中业务人员操作习惯、流程节点无变化，实现业务无感知过渡。</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51</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模板手动/自动切换功能开发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支持按项目、按记录类型、按批次配置模板切换规则，可手动指定模板，也可配置规则自动适配新旧模板。</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52</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旧数据迁移适配兼容开发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针对历史Office模板数据，开发兼容解析逻辑，可正常同步、展示、归档、追溯，无需批量迁移即可适配新系统架构。</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53</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新模板增量迭代适配开发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支持后续新模板增量更新、迭代优化，无需整体重构系统，适配长期平稳升级需求。</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54</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业务中断风险防控逻辑开发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增加模板切换容错、回滚机制，切换异常自动回落至原有模板运行状态，杜绝批量改造导致的业务停滞、数据异常。</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55</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模板切换全场景测试适配优化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覆盖新旧数据混用、流程交叉、模板切换、历史数据查询、新数据填报等全场景测试，优化兼容问题，保障系统平稳迭代。</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56</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单条电子原始记录Web改造</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Office模板Web页面重构</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还原原有Office原始记录版式、字段布局、填报规则，重构为纯Web页面，适配系统统一UI规范，保证填报体验、展示效果与原模板一致。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57</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简单/复杂公式Web适配</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迁移原有Excel公式逻辑，实现加减乘除、均值、极值、偏差计算等简单公式，及嵌套计算、条件判断、数据联动等复杂公式在Web端精准运算，运算结果与原Office版本完全一致。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58</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字段数据绑定与系统对接</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完成单条记录所有填报字段与LIMS系统数据接口绑定，实现数据读取、填报保存、校验反写功能，对接人员、时间自动抓取公共能力。</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59</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单条记录功能调试与校验</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测试页面填报、公式运算、数据同步、预览展示功能，修复适配问题，校验新旧数据兼容性，确保单条记录功能合规、运行稳定。</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60</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归档与版本适配配置</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将单条Web原始记录纳入系统归档、版本管理体系，配置归档规则、版本留存策略，适配整体切换兼容机制。</w:t>
            </w:r>
            <w:r>
              <w:rPr>
                <w:rFonts w:ascii="Cambria" w:hAnsi="Cambria" w:eastAsia="宋体" w:cs="Times New Roman"/>
                <w:sz w:val="22"/>
                <w:lang w:eastAsia="en-US"/>
              </w:rPr>
            </w:r>
            <w:r/>
          </w:p>
        </w:tc>
      </w:tr>
    </w:tbl>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（四）技术方案要求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投标人应根据磋商文件要求及本项目特点提交技术方案，具体要求如下：</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1. 总体设计方案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应充分了解本项目背景，根据磋商文件要求，提供总体设计方案。方案内容包括但不限于：（1）总体建设思路；（2）分阶段落地路径；（3）架构设计；（4）性能保障设计等。要求总体设计方案科学合理、切实可行，能充分保障电子原始记录Web化改造的高效实施与稳定运行。</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2. Web原始记录改造方案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需根据磋商文件第四章采购要求-三、技术要求-（三）技术功能参数要求，提交完整Web原始记录改造专项设计方案。方案内容包括但不限于：（1）Office转Web页面重构方案；（2）公式运算迁移与适配方案；（3）LIMS系统数据互通对接方案（含仪器管理模块、标准管理模块、温湿度监控模块对接）；（4）统一身份认证与权限适配方案等。整体方案需逻辑清晰、流程可落地、功能覆盖无遗漏。</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3. 国产化适配方案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需根据磋商文件要求，提交国产化适配专项设计方案。方案内容包括但不限于：（1）国产化软硬件适配架构设计；（2）数据安全保障措施；（3）纯Web轻量化架构设计；（4）性能优化方案等。整体方案需确保系统在国产化环境下稳定、安全、可靠运行，彻底摆脱Office插件及本地办公软件依赖。</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（五）项目实施要求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应根据磋商文件要求及本项目特点，制订项目实施方案。方案内容包括但不限于：（1）进度计划及保障；（2）人员组织规划；（3）测试方案等。实施方案应做到完整全面、科学可行，并有针对性，配备具有相应资质和经验的项目经理及技术服务人员，应服从采购人管理要求，确保在规定的交付时限内完成。</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（六）培训要求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1、中标方必须提供相应的应用软件技术和系统操作等方面的培训。有关应用软件的操作培训课程，培训应该在本期项目验收完成前进行。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2、中标方应提供面向系统管理员的应用软件系统结构、设计等方面的培训。项目实施入场，中标供应商将详细的培训课程以及时间表交给采购人，最后以采购人认可为准。</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3、中标方派出的培训教员应具有丰富的同类课程的教学经验和应用经验；所有的培训教员必须用中文授课；投标人必须为所有被培训人员提供培训用文字资料和讲义等相关材料。</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中标方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同时中标方应考虑到省市县三级用户的相应培训方案。</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（七）售后服务要求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1、整个项目质保期为验收后一年，质保期间的维护服务不收取任何额外费用，由中标方提供免费的软件维护服务、技术服务支持，包括系统维护、性能提升、故障检测等，并保证系统正常运行。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2、在项目验收后的服务期内，如果是软件设计漏洞或偏差，中标方必须及时修正，且不另收费用。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4、响应时效：中标方应提供实时在线的客户服务和现场服务。应具备灵活多样的通讯手段，提供7×24小时响应服务。实时解决常见问题。</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故障响应。中标方在接到系统故障报修要求时，半小时内做出明确响应和维护安排，在2小时内为建设单位提供维护服务，并做出故障诊断报告，3小时内恢复正常。</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热线服务。投标供应商应提供热线电话、E-mail、传真、网站等途径，随时接受建设单位提出的各种技术和使用问题，不能即时解决的问题要在1小时内提出解决方案。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系统巡检。每月至少提供4次对系统进行巡检服务，及时发现和排除潜在问题或故障隐患，保证系统的稳定运行。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系统升级。质保期内投标供应商应提供免费的系统软件升级服务。升级内容包括解决的BUG、采纳用户建议以及业务需求调整实现的功能和其他内容。</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同时，中标方须为试点地市县使用单位提供及时便捷的技术支持，除正常运维外，确保每月至少一次现场回访。</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5、投标人应具备相关的售后服务体系，在承诺服务期内提供完善、及时、无推诿的应用软件等项目实施范围内的服务保障。</w:t>
      </w:r>
      <w:r>
        <w:rPr>
          <w:rFonts w:ascii="Cambria" w:hAnsi="Cambria" w:eastAsia="宋体" w:cs="Times New Roman"/>
          <w:sz w:val="22"/>
          <w:lang w:eastAsia="en-US"/>
        </w:rPr>
      </w:r>
      <w:r/>
    </w:p>
    <w:p>
      <w:pPr>
        <w:pStyle w:val="892"/>
        <w:jc w:val="left"/>
        <w:spacing w:before="240" w:after="12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四、商务要求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商务要求是指取得采购标的的时间、地点、财务和服务要求，包括交付（实施）的时间（期限）和地点（范围），付款条件（进度和方法），包装和运输，售后服务，保险等。其中斜体且有下划线部分或加*号条款为实质性要求。</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（一）项目服务期限</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自合同签订之日起9个月内完成全部开发、部署、测试及交付。本项目免费运维服务期为1年，从项目最终验收合格之日起计算运维期。</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（二）付款方式</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 预付款支付时间：合同签订后，在采购人收到发票20个工作日内，预付款支付比例：合同金额的50%。</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 第二次付款时间：供应商完成产品的交付，系统运行调试合格，并通过采购人初步验收后20个工作日内支付至合同总价的90%。</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 尾款支付时间：系统通过采购人组织的正式验收合格后，在采购人收到发票后10个工作日内，支付至合同总价的100%。</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（三）交付地点</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江苏省南京市光华东街3号。</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履约能力</w:t>
      </w:r>
      <w:r>
        <w:rPr>
          <w:rFonts w:ascii="Cambria" w:hAnsi="Cambria" w:eastAsia="宋体" w:cs="Times New Roman"/>
          <w:sz w:val="22"/>
          <w:lang w:eastAsia="en-US"/>
        </w:rPr>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Times New Roman"/>
          <w:b w:val="0"/>
          <w:sz w:val="24"/>
          <w:lang w:eastAsia="en-US"/>
        </w:rPr>
        <w:t xml:space="preserve">1.拟投入本项目的项目经理具有本科及以上学历</w:t>
      </w:r>
      <w:r>
        <w:rPr>
          <w:rFonts w:ascii="宋体" w:hAnsi="宋体" w:eastAsia="宋体" w:cs="Times New Roman"/>
          <w:b w:val="0"/>
          <w:sz w:val="24"/>
          <w:lang w:eastAsia="en-US"/>
        </w:rPr>
        <w:t xml:space="preserve">，</w:t>
      </w:r>
      <w:r>
        <w:rPr>
          <w:rFonts w:ascii="SimSun" w:hAnsi="SimSun" w:eastAsia="SimSun" w:cs="SimSun"/>
          <w:color w:val="000000"/>
          <w:sz w:val="24"/>
        </w:rPr>
        <w:t xml:space="preserve">且专业为计算机软件相关专业。</w:t>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2拟投入本项目的实施团队（不含项目经理）团队成员中具有本科及以上学历</w:t>
      </w:r>
      <w:r>
        <w:rPr>
          <w:rFonts w:ascii="宋体" w:hAnsi="宋体" w:eastAsia="宋体" w:cs="Times New Roman"/>
          <w:b w:val="0"/>
          <w:sz w:val="24"/>
          <w:lang w:eastAsia="en-US"/>
        </w:rPr>
        <w:t xml:space="preserve">，</w:t>
      </w:r>
      <w:r>
        <w:rPr>
          <w:rFonts w:ascii="SimSun" w:hAnsi="SimSun" w:eastAsia="SimSun" w:cs="SimSun"/>
          <w:color w:val="000000"/>
          <w:sz w:val="24"/>
        </w:rPr>
        <w:t xml:space="preserve">且专业为计算机软件相关专业</w:t>
      </w:r>
      <w:r>
        <w:rPr>
          <w:rFonts w:ascii="宋体" w:hAnsi="宋体" w:eastAsia="宋体" w:cs="Times New Roman"/>
          <w:b w:val="0"/>
          <w:sz w:val="24"/>
          <w:lang w:eastAsia="en-US"/>
        </w:rPr>
        <w:t xml:space="preserve">。</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3.投标人自2023年1月1日以来，有LIMS系统或实验室管理系统</w:t>
      </w:r>
      <w:r>
        <w:rPr>
          <w:rFonts w:ascii="宋体" w:hAnsi="宋体" w:eastAsia="宋体" w:cs="Times New Roman"/>
          <w:b w:val="0"/>
          <w:sz w:val="24"/>
          <w:lang w:eastAsia="en-US"/>
        </w:rPr>
        <w:t xml:space="preserve">或LIMS系统国产化</w:t>
      </w:r>
      <w:r>
        <w:rPr>
          <w:rFonts w:ascii="宋体" w:hAnsi="宋体" w:eastAsia="宋体" w:cs="Times New Roman"/>
          <w:b w:val="0"/>
          <w:sz w:val="24"/>
          <w:lang w:eastAsia="en-US"/>
        </w:rPr>
        <w:t xml:space="preserve">相关软件开发项目业绩。</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4.投标人具有由国家版权局颁发的软件著作权登记证书，证书名称包含关键词：</w:t>
      </w:r>
      <w:r>
        <w:rPr>
          <w:rFonts w:ascii="宋体" w:hAnsi="宋体" w:eastAsia="宋体" w:cs="Times New Roman"/>
          <w:b w:val="0"/>
          <w:sz w:val="24"/>
          <w:lang w:eastAsia="en-US"/>
        </w:rPr>
        <w:t xml:space="preserve">LIMS系统或实验室管理</w:t>
      </w:r>
      <w:r>
        <w:rPr>
          <w:rFonts w:ascii="宋体" w:hAnsi="宋体" w:eastAsia="宋体" w:cs="Times New Roman"/>
          <w:b w:val="0"/>
          <w:sz w:val="24"/>
          <w:lang w:eastAsia="en-US"/>
        </w:rPr>
        <w:t xml:space="preserve">。</w:t>
      </w:r>
      <w:r>
        <w:rPr>
          <w:rFonts w:ascii="Cambria" w:hAnsi="Cambria" w:eastAsia="宋体" w:cs="Times New Roman"/>
          <w:sz w:val="22"/>
          <w:lang w:eastAsia="en-US"/>
        </w:rPr>
      </w:r>
      <w:r/>
    </w:p>
    <w:p>
      <w:pPr>
        <w:pStyle w:val="892"/>
        <w:ind w:firstLine="480"/>
        <w:jc w:val="left"/>
        <w:spacing w:after="200" w:line="360" w:lineRule="auto"/>
        <w:widowControl/>
        <w:rPr>
          <w:rFonts w:ascii="宋体" w:hAnsi="宋体" w:eastAsia="宋体" w:cs="Times New Roman"/>
          <w:b w:val="0"/>
          <w:sz w:val="24"/>
          <w:lang w:eastAsia="en-US"/>
        </w:rPr>
      </w:pPr>
      <w:r>
        <w:rPr>
          <w:rFonts w:ascii="宋体" w:hAnsi="宋体" w:eastAsia="宋体" w:cs="Times New Roman"/>
          <w:b w:val="0"/>
          <w:sz w:val="24"/>
          <w:lang w:eastAsia="en-US"/>
        </w:rPr>
      </w:r>
      <w:r/>
    </w:p>
    <w:p>
      <w:pPr>
        <w:pStyle w:val="892"/>
        <w:ind w:firstLine="480"/>
        <w:jc w:val="left"/>
        <w:spacing w:after="200" w:line="360" w:lineRule="auto"/>
        <w:widowControl/>
        <w:rPr>
          <w:rFonts w:ascii="宋体" w:hAnsi="宋体" w:eastAsia="宋体" w:cs="Times New Roman"/>
          <w:b w:val="0"/>
          <w:sz w:val="24"/>
          <w:lang w:eastAsia="en-US"/>
        </w:rPr>
      </w:pPr>
      <w:r>
        <w:rPr>
          <w:rFonts w:ascii="宋体" w:hAnsi="宋体" w:eastAsia="宋体" w:cs="Times New Roman"/>
          <w:b w:val="0"/>
          <w:sz w:val="24"/>
          <w:lang w:eastAsia="en-US"/>
        </w:rPr>
      </w:r>
      <w:r/>
    </w:p>
    <w:p>
      <w:pPr>
        <w:pStyle w:val="892"/>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92"/>
        <w:spacing w:line="0" w:lineRule="atLeast"/>
        <w:rPr>
          <w:rFonts w:hint="eastAsia" w:ascii="宋体" w:hAnsi="宋体"/>
          <w:color w:val="ff0000"/>
          <w:sz w:val="24"/>
          <w:szCs w:val="24"/>
        </w:rPr>
      </w:pPr>
      <w:r>
        <w:rPr>
          <w:rFonts w:hint="eastAsia" w:ascii="宋体" w:hAnsi="宋体"/>
          <w:color w:val="ff0000"/>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74"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2"/>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2"/>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2"/>
        <w:ind w:firstLine="562"/>
        <w:jc w:val="left"/>
        <w:keepLines w:val="0"/>
        <w:pageBreakBefore w:val="0"/>
        <w:spacing w:before="120" w:after="120" w:line="400" w:lineRule="exact"/>
        <w:widowControl w:val="off"/>
        <w:rPr>
          <w:rFonts w:ascii="宋体" w:hAnsi="宋体"/>
          <w:b/>
          <w:sz w:val="28"/>
          <w:szCs w:val="28"/>
        </w:rPr>
      </w:pPr>
      <w:r>
        <w:rPr>
          <w:rFonts w:ascii="宋体" w:hAnsi="宋体"/>
          <w:b/>
          <w:sz w:val="28"/>
          <w:szCs w:val="28"/>
        </w:rPr>
      </w:r>
      <w:r/>
    </w:p>
    <w:p>
      <w:pPr>
        <w:pStyle w:val="89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892"/>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   </w:t>
      </w:r>
      <w:r>
        <w:rPr>
          <w:rFonts w:hint="eastAsia" w:ascii="方正仿宋_GBK" w:hAnsi="方正仿宋_GBK" w:eastAsia="方正仿宋_GBK" w:cs="方正仿宋_GBK"/>
          <w:b/>
          <w:color w:val="000000"/>
          <w:sz w:val="32"/>
          <w:szCs w:val="32"/>
          <w:lang w:val="en-US" w:eastAsia="zh-CN"/>
        </w:rPr>
        <w:t xml:space="preserve">      </w:t>
      </w:r>
      <w:r>
        <w:rPr>
          <w:rFonts w:hint="eastAsia" w:ascii="方正仿宋_GBK" w:hAnsi="方正仿宋_GBK" w:eastAsia="方正仿宋_GBK" w:cs="方正仿宋_GBK"/>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4369"/>
        <w:gridCol w:w="1250"/>
      </w:tblGrid>
      <w:tr>
        <w:trPr/>
        <w:tc>
          <w:tcPr>
            <w:shd w:val="clear" w:color="auto" w:fill="d9e2f3"/>
            <w:tcW w:w="1413" w:type="dxa"/>
            <w:vAlign w:val="top"/>
            <w:textDirection w:val="lrTb"/>
            <w:noWrap w:val="false"/>
          </w:tcPr>
          <w:p>
            <w:pPr>
              <w:pStyle w:val="892"/>
              <w:jc w:val="center"/>
            </w:pPr>
            <w:r>
              <w:rPr>
                <w:rFonts w:ascii="宋体" w:hAnsi="宋体" w:eastAsia="宋体"/>
                <w:b/>
                <w:sz w:val="21"/>
              </w:rPr>
              <w:t xml:space="preserve">评分项</w:t>
            </w:r>
            <w:r/>
          </w:p>
        </w:tc>
        <w:tc>
          <w:tcPr>
            <w:shd w:val="clear" w:color="auto" w:fill="d9e2f3"/>
            <w:tcW w:w="4369" w:type="dxa"/>
            <w:vAlign w:val="top"/>
            <w:textDirection w:val="lrTb"/>
            <w:noWrap w:val="false"/>
          </w:tcPr>
          <w:p>
            <w:pPr>
              <w:pStyle w:val="892"/>
              <w:jc w:val="center"/>
            </w:pPr>
            <w:r>
              <w:rPr>
                <w:rFonts w:ascii="宋体" w:hAnsi="宋体" w:eastAsia="宋体"/>
                <w:b/>
                <w:sz w:val="21"/>
              </w:rPr>
              <w:t xml:space="preserve">评分标准</w:t>
            </w:r>
            <w:r/>
          </w:p>
        </w:tc>
        <w:tc>
          <w:tcPr>
            <w:shd w:val="clear" w:color="auto" w:fill="d9e2f3"/>
            <w:tcW w:w="1250" w:type="dxa"/>
            <w:vAlign w:val="top"/>
            <w:textDirection w:val="lrTb"/>
            <w:noWrap w:val="false"/>
          </w:tcPr>
          <w:p>
            <w:pPr>
              <w:pStyle w:val="892"/>
              <w:jc w:val="center"/>
            </w:pPr>
            <w:r>
              <w:rPr>
                <w:rFonts w:ascii="宋体" w:hAnsi="宋体" w:eastAsia="宋体"/>
                <w:b/>
                <w:sz w:val="21"/>
              </w:rPr>
              <w:t xml:space="preserve">满分</w:t>
            </w:r>
            <w:r/>
          </w:p>
        </w:tc>
      </w:tr>
      <w:tr>
        <w:trPr/>
        <w:tc>
          <w:tcPr>
            <w:tcW w:w="1413" w:type="dxa"/>
            <w:vAlign w:val="top"/>
            <w:textDirection w:val="lrTb"/>
            <w:noWrap w:val="false"/>
          </w:tcPr>
          <w:p>
            <w:pPr>
              <w:pStyle w:val="892"/>
            </w:pPr>
            <w:r>
              <w:rPr>
                <w:rFonts w:ascii="宋体" w:hAnsi="宋体" w:eastAsia="宋体"/>
                <w:b w:val="0"/>
                <w:sz w:val="21"/>
              </w:rPr>
              <w:t xml:space="preserve">价格分</w:t>
            </w:r>
            <w:r/>
          </w:p>
        </w:tc>
        <w:tc>
          <w:tcPr>
            <w:tcW w:w="4369" w:type="dxa"/>
            <w:vAlign w:val="top"/>
            <w:textDirection w:val="lrTb"/>
            <w:noWrap w:val="false"/>
          </w:tcPr>
          <w:p>
            <w:pPr>
              <w:pStyle w:val="892"/>
            </w:pPr>
            <w:r>
              <w:rPr>
                <w:rFonts w:ascii="宋体" w:hAnsi="宋体" w:eastAsia="宋体"/>
                <w:b w:val="0"/>
                <w:sz w:val="21"/>
              </w:rPr>
              <w:t xml:space="preserve">满足磋商文件要求且最后报价最低的供应商的价格为磋商基准价，其价格分为满分。其他供应商的价格分统一按照下列公式计算：响应报价得分=（磋商基准价/最后报价）×10。分值保留小数点后2位。</w:t>
            </w:r>
            <w:r/>
          </w:p>
        </w:tc>
        <w:tc>
          <w:tcPr>
            <w:tcW w:w="1250" w:type="dxa"/>
            <w:vAlign w:val="top"/>
            <w:textDirection w:val="lrTb"/>
            <w:noWrap w:val="false"/>
          </w:tcPr>
          <w:p>
            <w:pPr>
              <w:pStyle w:val="892"/>
              <w:jc w:val="center"/>
            </w:pPr>
            <w:r>
              <w:rPr>
                <w:rFonts w:ascii="宋体" w:hAnsi="宋体" w:eastAsia="宋体"/>
                <w:b w:val="0"/>
                <w:sz w:val="21"/>
              </w:rPr>
              <w:t xml:space="preserve">10</w:t>
            </w:r>
            <w:r/>
          </w:p>
        </w:tc>
      </w:tr>
      <w:tr>
        <w:trPr/>
        <w:tc>
          <w:tcPr>
            <w:tcW w:w="1413" w:type="dxa"/>
            <w:vAlign w:val="top"/>
            <w:textDirection w:val="lrTb"/>
            <w:noWrap w:val="false"/>
          </w:tcPr>
          <w:p>
            <w:pPr>
              <w:pStyle w:val="892"/>
            </w:pPr>
            <w:r>
              <w:rPr>
                <w:rFonts w:ascii="宋体" w:hAnsi="宋体" w:eastAsia="宋体"/>
                <w:b w:val="0"/>
                <w:sz w:val="21"/>
              </w:rPr>
              <w:t xml:space="preserve">2.1需求响应情况</w:t>
            </w:r>
            <w:r/>
          </w:p>
        </w:tc>
        <w:tc>
          <w:tcPr>
            <w:tcW w:w="4369" w:type="dxa"/>
            <w:vAlign w:val="top"/>
            <w:textDirection w:val="lrTb"/>
            <w:noWrap w:val="false"/>
          </w:tcPr>
          <w:p>
            <w:pPr>
              <w:pStyle w:val="892"/>
            </w:pPr>
            <w:r>
              <w:rPr>
                <w:rFonts w:ascii="宋体" w:hAnsi="宋体" w:eastAsia="宋体"/>
                <w:b w:val="0"/>
                <w:sz w:val="21"/>
              </w:rPr>
              <w:t xml:space="preserve">根据第四章采购需求-三、技术要求-（三）技术功能参数要求进行打分。针对各项技术功能参数要求逐条响应，完全响应磋商文件要求的得28分，每有1项不符合要求或未响应的扣0.5分，扣完为止。（供应商需在"技术参数响应及偏离表"中如实逐项填列所投产品的参数指标或承诺。）</w:t>
            </w:r>
            <w:r/>
          </w:p>
        </w:tc>
        <w:tc>
          <w:tcPr>
            <w:tcW w:w="1250" w:type="dxa"/>
            <w:vAlign w:val="top"/>
            <w:textDirection w:val="lrTb"/>
            <w:noWrap w:val="false"/>
          </w:tcPr>
          <w:p>
            <w:pPr>
              <w:pStyle w:val="892"/>
              <w:jc w:val="center"/>
              <w:rPr>
                <w:rFonts w:hint="eastAsia" w:eastAsia="宋体"/>
                <w:lang w:eastAsia="zh-CN"/>
              </w:rPr>
            </w:pPr>
            <w:r>
              <w:rPr>
                <w:rFonts w:ascii="宋体" w:hAnsi="宋体" w:eastAsia="宋体"/>
                <w:b w:val="0"/>
                <w:sz w:val="21"/>
              </w:rPr>
              <w:t xml:space="preserve">2</w:t>
            </w:r>
            <w:r>
              <w:rPr>
                <w:rFonts w:hint="eastAsia" w:ascii="宋体" w:hAnsi="宋体" w:eastAsia="宋体"/>
                <w:b w:val="0"/>
                <w:sz w:val="21"/>
                <w:lang w:val="en-US" w:eastAsia="zh-CN"/>
              </w:rPr>
              <w:t xml:space="preserve">8</w:t>
            </w:r>
            <w:r>
              <w:rPr>
                <w:rFonts w:hint="eastAsia" w:eastAsia="宋体"/>
                <w:lang w:eastAsia="zh-CN"/>
              </w:rPr>
            </w:r>
            <w:r/>
          </w:p>
        </w:tc>
      </w:tr>
      <w:tr>
        <w:trPr/>
        <w:tc>
          <w:tcPr>
            <w:tcW w:w="1413" w:type="dxa"/>
            <w:vAlign w:val="top"/>
            <w:textDirection w:val="lrTb"/>
            <w:noWrap w:val="false"/>
          </w:tcPr>
          <w:p>
            <w:pPr>
              <w:pStyle w:val="892"/>
            </w:pPr>
            <w:r>
              <w:rPr>
                <w:rFonts w:ascii="宋体" w:hAnsi="宋体" w:eastAsia="宋体"/>
                <w:b w:val="0"/>
                <w:sz w:val="21"/>
              </w:rPr>
              <w:t xml:space="preserve">2.2技术指标响应</w:t>
            </w:r>
            <w:r/>
          </w:p>
        </w:tc>
        <w:tc>
          <w:tcPr>
            <w:tcW w:w="4369" w:type="dxa"/>
            <w:vAlign w:val="top"/>
            <w:textDirection w:val="lrTb"/>
            <w:noWrap w:val="false"/>
          </w:tcPr>
          <w:p>
            <w:pPr>
              <w:pStyle w:val="892"/>
            </w:pPr>
            <w:r>
              <w:rPr>
                <w:rFonts w:ascii="宋体" w:hAnsi="宋体" w:eastAsia="宋体"/>
                <w:b w:val="0"/>
                <w:sz w:val="21"/>
              </w:rPr>
              <w:t xml:space="preserve">根据磋商文件第四章采购需求-三、技术要求-（二）技术指标要求的16项技术指标逐项响应，并提供对应的系统截图或相关证明材料。每提供1项技术指标的有效截图或证明材料得1分，满分16分。未提供或提供材料无效的不得分。</w:t>
            </w:r>
            <w:r/>
          </w:p>
        </w:tc>
        <w:tc>
          <w:tcPr>
            <w:tcW w:w="1250" w:type="dxa"/>
            <w:vAlign w:val="top"/>
            <w:textDirection w:val="lrTb"/>
            <w:noWrap w:val="false"/>
          </w:tcPr>
          <w:p>
            <w:pPr>
              <w:pStyle w:val="892"/>
              <w:jc w:val="center"/>
            </w:pPr>
            <w:r>
              <w:rPr>
                <w:rFonts w:ascii="宋体" w:hAnsi="宋体" w:eastAsia="宋体"/>
                <w:b w:val="0"/>
                <w:sz w:val="21"/>
              </w:rPr>
              <w:t xml:space="preserve">16</w:t>
            </w:r>
            <w:r/>
          </w:p>
        </w:tc>
      </w:tr>
      <w:tr>
        <w:trPr/>
        <w:tc>
          <w:tcPr>
            <w:tcW w:w="1413" w:type="dxa"/>
            <w:vAlign w:val="top"/>
            <w:textDirection w:val="lrTb"/>
            <w:noWrap w:val="false"/>
          </w:tcPr>
          <w:p>
            <w:pPr>
              <w:pStyle w:val="892"/>
            </w:pPr>
            <w:r>
              <w:rPr>
                <w:rFonts w:ascii="宋体" w:hAnsi="宋体" w:eastAsia="宋体"/>
                <w:b w:val="0"/>
                <w:sz w:val="21"/>
              </w:rPr>
              <w:t xml:space="preserve">3.1总体技术方案</w:t>
            </w:r>
            <w:r/>
          </w:p>
        </w:tc>
        <w:tc>
          <w:tcPr>
            <w:tcW w:w="4369" w:type="dxa"/>
            <w:vAlign w:val="top"/>
            <w:textDirection w:val="lrTb"/>
            <w:noWrap w:val="false"/>
          </w:tcPr>
          <w:p>
            <w:pPr>
              <w:pStyle w:val="892"/>
            </w:pPr>
            <w:r>
              <w:rPr>
                <w:rFonts w:ascii="宋体" w:hAnsi="宋体" w:eastAsia="宋体"/>
                <w:b w:val="0"/>
                <w:sz w:val="21"/>
              </w:rPr>
              <w:t xml:space="preserve">评委根据响应文件对磋商文件第四章采购需求中总体设计方案要求的响应情况进行评审。（1）</w:t>
            </w:r>
            <w:r>
              <w:rPr>
                <w:rFonts w:ascii="宋体" w:hAnsi="宋体" w:eastAsia="宋体"/>
                <w:b w:val="0"/>
                <w:sz w:val="21"/>
              </w:rPr>
              <w:t xml:space="preserve">响应</w:t>
            </w:r>
            <w:r>
              <w:rPr>
                <w:rFonts w:ascii="宋体" w:hAnsi="宋体" w:eastAsia="宋体"/>
                <w:b w:val="0"/>
                <w:sz w:val="21"/>
              </w:rPr>
              <w:t xml:space="preserve">文件未响应总体设计方案中全部条款要求的，本项得0分；（2）</w:t>
            </w:r>
            <w:r>
              <w:rPr>
                <w:rFonts w:ascii="宋体" w:hAnsi="宋体" w:eastAsia="宋体"/>
                <w:b w:val="0"/>
                <w:sz w:val="21"/>
              </w:rPr>
              <w:t xml:space="preserve">响应</w:t>
            </w:r>
            <w:r>
              <w:rPr>
                <w:rFonts w:ascii="宋体" w:hAnsi="宋体" w:eastAsia="宋体"/>
                <w:b w:val="0"/>
                <w:sz w:val="21"/>
              </w:rPr>
              <w:t xml:space="preserve">文件符合总体设计方案中全部条款要求的，本项得3分；（3）</w:t>
            </w:r>
            <w:r>
              <w:rPr>
                <w:rFonts w:ascii="宋体" w:hAnsi="宋体" w:eastAsia="宋体"/>
                <w:b w:val="0"/>
                <w:sz w:val="21"/>
              </w:rPr>
              <w:t xml:space="preserve">响应</w:t>
            </w:r>
            <w:r>
              <w:rPr>
                <w:rFonts w:ascii="宋体" w:hAnsi="宋体" w:eastAsia="宋体"/>
                <w:b w:val="0"/>
                <w:sz w:val="21"/>
              </w:rPr>
              <w:t xml:space="preserve">文件对总体设计方案中"性能保障设计要求"的响应内容优于磋商文件要求的（前提是</w:t>
            </w:r>
            <w:r>
              <w:rPr>
                <w:rFonts w:ascii="宋体" w:hAnsi="宋体" w:eastAsia="宋体"/>
                <w:b w:val="0"/>
                <w:sz w:val="21"/>
              </w:rPr>
              <w:t xml:space="preserve">响应</w:t>
            </w:r>
            <w:r>
              <w:rPr>
                <w:rFonts w:ascii="宋体" w:hAnsi="宋体" w:eastAsia="宋体"/>
                <w:b w:val="0"/>
                <w:sz w:val="21"/>
              </w:rPr>
              <w:t xml:space="preserve">文件对"总体设计方案"中除"性能保障设计要求"外其他要求响应内容符合磋商文件要求），本项得5分。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3.2Web原始记录改造方案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文件对磋商文件第四章采购需求中Web原始记录改造方案要求的响应情况进行</w:t>
            </w:r>
            <w:r>
              <w:rPr>
                <w:rFonts w:ascii="宋体" w:hAnsi="宋体" w:eastAsia="宋体"/>
                <w:b w:val="0"/>
                <w:sz w:val="21"/>
              </w:rPr>
              <w:t xml:space="preserve">评审。（1）</w:t>
            </w:r>
            <w:r>
              <w:rPr>
                <w:rFonts w:ascii="宋体" w:hAnsi="宋体" w:eastAsia="宋体"/>
                <w:b w:val="0"/>
                <w:sz w:val="21"/>
              </w:rPr>
              <w:t xml:space="preserve">响应</w:t>
            </w:r>
            <w:r>
              <w:rPr>
                <w:rFonts w:ascii="宋体" w:hAnsi="宋体" w:eastAsia="宋体"/>
                <w:b w:val="0"/>
                <w:sz w:val="21"/>
              </w:rPr>
              <w:t xml:space="preserve">文件未响应Web原始记录改造方案中全部条款要求的，本项得0分；（2）</w:t>
            </w:r>
            <w:r>
              <w:rPr>
                <w:rFonts w:ascii="宋体" w:hAnsi="宋体" w:eastAsia="宋体"/>
                <w:b w:val="0"/>
                <w:sz w:val="21"/>
              </w:rPr>
              <w:t xml:space="preserve">响应</w:t>
            </w:r>
            <w:r>
              <w:rPr>
                <w:rFonts w:ascii="宋体" w:hAnsi="宋体" w:eastAsia="宋体"/>
                <w:b w:val="0"/>
                <w:sz w:val="21"/>
              </w:rPr>
              <w:t xml:space="preserve">文件符合Web原始记录改造方案中全部条款要求的，本项得3分；（3）</w:t>
            </w:r>
            <w:r>
              <w:rPr>
                <w:rFonts w:ascii="宋体" w:hAnsi="宋体" w:eastAsia="宋体"/>
                <w:b w:val="0"/>
                <w:sz w:val="21"/>
              </w:rPr>
              <w:t xml:space="preserve">响应</w:t>
            </w:r>
            <w:r>
              <w:rPr>
                <w:rFonts w:ascii="宋体" w:hAnsi="宋体" w:eastAsia="宋体"/>
                <w:b w:val="0"/>
                <w:sz w:val="21"/>
              </w:rPr>
              <w:t xml:space="preserve">文件"Office转Web页面重构方案"或"LIMS系统数据互通对接方案（含仪器管理、标准管理、温湿度模块对接）"要求的响应内容优于磋商文件要求的（前提是投标文件对"Web原始记录改造方案"中除"Office转Web页面重构方案"或"LIMS系统数据互通对接方案（含仪器管理、标准管理、温湿度模块对接）"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3.3国产化适配方案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文件对磋商文件第四章采购需求中国产化适配方案要求的响应情况进行评审。（1）</w:t>
            </w:r>
            <w:r>
              <w:rPr>
                <w:rFonts w:ascii="宋体" w:hAnsi="宋体" w:eastAsia="宋体"/>
                <w:b w:val="0"/>
                <w:sz w:val="21"/>
              </w:rPr>
              <w:t xml:space="preserve">响应</w:t>
            </w:r>
            <w:r>
              <w:rPr>
                <w:rFonts w:ascii="宋体" w:hAnsi="宋体" w:eastAsia="宋体"/>
                <w:b w:val="0"/>
                <w:sz w:val="21"/>
              </w:rPr>
              <w:t xml:space="preserve">文件未响应国产化适配方案中全部条款要求的，本项得0分；（2）</w:t>
            </w:r>
            <w:r>
              <w:rPr>
                <w:rFonts w:ascii="宋体" w:hAnsi="宋体" w:eastAsia="宋体"/>
                <w:b w:val="0"/>
                <w:sz w:val="21"/>
              </w:rPr>
              <w:t xml:space="preserve">响应</w:t>
            </w:r>
            <w:r>
              <w:rPr>
                <w:rFonts w:ascii="宋体" w:hAnsi="宋体" w:eastAsia="宋体"/>
                <w:b w:val="0"/>
                <w:sz w:val="21"/>
              </w:rPr>
              <w:t xml:space="preserve">文件符合国产化适配方案中全部条款要求的，本项得3分；（3）</w:t>
            </w:r>
            <w:r>
              <w:rPr>
                <w:rFonts w:ascii="宋体" w:hAnsi="宋体" w:eastAsia="宋体"/>
                <w:b w:val="0"/>
                <w:sz w:val="21"/>
              </w:rPr>
              <w:t xml:space="preserve">响应</w:t>
            </w:r>
            <w:r>
              <w:rPr>
                <w:rFonts w:ascii="宋体" w:hAnsi="宋体" w:eastAsia="宋体"/>
                <w:b w:val="0"/>
                <w:sz w:val="21"/>
              </w:rPr>
              <w:t xml:space="preserve">文件对"数据安全保障措施要求"的响应内容优于磋商文件要求的（前提是投标文件对"数据安全保障措施要求"外其他要求响应内容符合磋商文件要求），本项得5分。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3.4项目实施方案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文件对磋商文件第四章采购需求中项目实施要求的响应情况进行评审。（1）</w:t>
            </w:r>
            <w:r>
              <w:rPr>
                <w:rFonts w:ascii="宋体" w:hAnsi="宋体" w:eastAsia="宋体"/>
                <w:b w:val="0"/>
                <w:sz w:val="21"/>
              </w:rPr>
              <w:t xml:space="preserve">响应</w:t>
            </w:r>
            <w:r>
              <w:rPr>
                <w:rFonts w:ascii="宋体" w:hAnsi="宋体" w:eastAsia="宋体"/>
                <w:b w:val="0"/>
                <w:sz w:val="21"/>
              </w:rPr>
              <w:t xml:space="preserve">文件未响应项目实施要求中全部条款要求的，本项得0分；（2）</w:t>
            </w:r>
            <w:r>
              <w:rPr>
                <w:rFonts w:ascii="宋体" w:hAnsi="宋体" w:eastAsia="宋体"/>
                <w:b w:val="0"/>
                <w:sz w:val="21"/>
              </w:rPr>
              <w:t xml:space="preserve">响应</w:t>
            </w:r>
            <w:r>
              <w:rPr>
                <w:rFonts w:ascii="宋体" w:hAnsi="宋体" w:eastAsia="宋体"/>
                <w:b w:val="0"/>
                <w:sz w:val="21"/>
              </w:rPr>
              <w:t xml:space="preserve">文件符合项目实施要求中全部条款要求的，本项得3分；（3）</w:t>
            </w:r>
            <w:r>
              <w:rPr>
                <w:rFonts w:ascii="宋体" w:hAnsi="宋体" w:eastAsia="宋体"/>
                <w:b w:val="0"/>
                <w:sz w:val="21"/>
              </w:rPr>
              <w:t xml:space="preserve">响应</w:t>
            </w:r>
            <w:r>
              <w:rPr>
                <w:rFonts w:ascii="宋体" w:hAnsi="宋体" w:eastAsia="宋体"/>
                <w:b w:val="0"/>
                <w:sz w:val="21"/>
              </w:rPr>
              <w:t xml:space="preserve">文件对项目实施要求中"人员组织规划"的响应内容优于磋商文件要求的（前提是投标文件对"人员组织规划"外其他要求响应内容符合磋商文件要求），本项得5分。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3.5培训方案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文件对磋商文件第四章采购需求中培训要求的响应情况进行评审。（1）</w:t>
            </w:r>
            <w:r>
              <w:rPr>
                <w:rFonts w:ascii="宋体" w:hAnsi="宋体" w:eastAsia="宋体"/>
                <w:b w:val="0"/>
                <w:sz w:val="21"/>
              </w:rPr>
              <w:t xml:space="preserve">响应</w:t>
            </w:r>
            <w:r>
              <w:rPr>
                <w:rFonts w:ascii="宋体" w:hAnsi="宋体" w:eastAsia="宋体"/>
                <w:b w:val="0"/>
                <w:sz w:val="21"/>
              </w:rPr>
              <w:t xml:space="preserve">文件未响应培训要求中全部条款要求的，本项得0分；（2）</w:t>
            </w:r>
            <w:r>
              <w:rPr>
                <w:rFonts w:ascii="宋体" w:hAnsi="宋体" w:eastAsia="宋体"/>
                <w:b w:val="0"/>
                <w:sz w:val="21"/>
              </w:rPr>
              <w:t xml:space="preserve">响应</w:t>
            </w:r>
            <w:r>
              <w:rPr>
                <w:rFonts w:ascii="宋体" w:hAnsi="宋体" w:eastAsia="宋体"/>
                <w:b w:val="0"/>
                <w:sz w:val="21"/>
              </w:rPr>
              <w:t xml:space="preserve">文件符合培训要求中全部条款要求的，本项得3分；（3）</w:t>
            </w:r>
            <w:r>
              <w:rPr>
                <w:rFonts w:ascii="宋体" w:hAnsi="宋体" w:eastAsia="宋体"/>
                <w:b w:val="0"/>
                <w:sz w:val="21"/>
              </w:rPr>
              <w:t xml:space="preserve">响应</w:t>
            </w:r>
            <w:r>
              <w:rPr>
                <w:rFonts w:ascii="宋体" w:hAnsi="宋体" w:eastAsia="宋体"/>
                <w:b w:val="0"/>
                <w:sz w:val="21"/>
              </w:rPr>
              <w:t xml:space="preserve">文件对培训要求中"培训内容设计"的响应内容优于磋商文件要求的（前提是投标文件对"培训内容设计"外其他要求响应内容符合磋商文件要求），本项得5分。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3.6售后服务方案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文件对磋商文件第四章采购需求中售后服务要求的响应情况进行评审。（1）</w:t>
            </w:r>
            <w:r>
              <w:rPr>
                <w:rFonts w:ascii="宋体" w:hAnsi="宋体" w:eastAsia="宋体"/>
                <w:b w:val="0"/>
                <w:sz w:val="21"/>
              </w:rPr>
              <w:t xml:space="preserve">响应</w:t>
            </w:r>
            <w:r>
              <w:rPr>
                <w:rFonts w:ascii="宋体" w:hAnsi="宋体" w:eastAsia="宋体"/>
                <w:b w:val="0"/>
                <w:sz w:val="21"/>
              </w:rPr>
              <w:t xml:space="preserve">文件未响应售后服务要求中全部条款要求的，本项得0分；（2）</w:t>
            </w:r>
            <w:r>
              <w:rPr>
                <w:rFonts w:ascii="宋体" w:hAnsi="宋体" w:eastAsia="宋体"/>
                <w:b w:val="0"/>
                <w:sz w:val="21"/>
              </w:rPr>
              <w:t xml:space="preserve">响应</w:t>
            </w:r>
            <w:r>
              <w:rPr>
                <w:rFonts w:ascii="宋体" w:hAnsi="宋体" w:eastAsia="宋体"/>
                <w:b w:val="0"/>
                <w:sz w:val="21"/>
              </w:rPr>
              <w:t xml:space="preserve">文件符合售后服务要求中全部条款要求的，本项得3分；（3）</w:t>
            </w:r>
            <w:r>
              <w:rPr>
                <w:rFonts w:ascii="宋体" w:hAnsi="宋体" w:eastAsia="宋体"/>
                <w:b w:val="0"/>
                <w:sz w:val="21"/>
              </w:rPr>
              <w:t xml:space="preserve">响应</w:t>
            </w:r>
            <w:r>
              <w:rPr>
                <w:rFonts w:ascii="宋体" w:hAnsi="宋体" w:eastAsia="宋体"/>
                <w:b w:val="0"/>
                <w:sz w:val="21"/>
              </w:rPr>
              <w:t xml:space="preserve">文件对售后服务要求中响应时效的响应内容优于磋商文件要求的（前提是投标文件对"响应时效"外其他要求响应内容符合磋商文件要求），本项得5分。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4.1项目团队</w:t>
            </w:r>
            <w:r/>
          </w:p>
        </w:tc>
        <w:tc>
          <w:tcPr>
            <w:tcW w:w="4369" w:type="dxa"/>
            <w:vAlign w:val="top"/>
            <w:textDirection w:val="lrTb"/>
            <w:noWrap w:val="false"/>
          </w:tcPr>
          <w:p>
            <w:pPr>
              <w:pStyle w:val="892"/>
            </w:pPr>
            <w:r>
              <w:rPr>
                <w:rFonts w:ascii="宋体" w:hAnsi="宋体" w:eastAsia="宋体"/>
                <w:b w:val="0"/>
                <w:sz w:val="21"/>
              </w:rPr>
            </w:r>
            <w:r>
              <w:rPr>
                <w:rFonts w:ascii="宋体" w:hAnsi="宋体" w:eastAsia="宋体"/>
                <w:b w:val="0"/>
                <w:sz w:val="21"/>
              </w:rPr>
              <w:t xml:space="preserve">（1）拟投入本项目的项目经理：具有本科及以上学历，且专业为计算机软件相关专业，得2分；（2）拟投入本项目的实施团队（不含项目经理）：团队成员中每有1人具有本科及以上学历，且专业为计算机软件相关专业，得2分，最多得2分。（投标人需提供学历证书复印件，近半年内为项目团队人员缴纳的任意一个月的社保证明材料并加盖公章，不提供不得分）</w:t>
            </w:r>
            <w:r>
              <w:rPr>
                <w:rFonts w:ascii="宋体" w:hAnsi="宋体" w:eastAsia="宋体"/>
                <w:b w:val="0"/>
                <w:sz w:val="21"/>
              </w:rPr>
            </w:r>
            <w:r/>
          </w:p>
        </w:tc>
        <w:tc>
          <w:tcPr>
            <w:tcW w:w="1250" w:type="dxa"/>
            <w:vAlign w:val="top"/>
            <w:textDirection w:val="lrTb"/>
            <w:noWrap w:val="false"/>
          </w:tcPr>
          <w:p>
            <w:pPr>
              <w:pStyle w:val="892"/>
              <w:jc w:val="center"/>
              <w:rPr>
                <w:rFonts w:hint="eastAsia" w:eastAsia="宋体"/>
                <w:lang w:eastAsia="zh-CN"/>
              </w:rPr>
            </w:pPr>
            <w:r>
              <w:rPr>
                <w:rFonts w:hint="eastAsia" w:ascii="宋体" w:hAnsi="宋体" w:eastAsia="宋体"/>
                <w:b w:val="0"/>
                <w:sz w:val="21"/>
                <w:lang w:val="en-US" w:eastAsia="zh-CN"/>
              </w:rPr>
              <w:t xml:space="preserve">4</w:t>
            </w:r>
            <w:r>
              <w:rPr>
                <w:rFonts w:hint="eastAsia" w:eastAsia="宋体"/>
                <w:lang w:eastAsia="zh-CN"/>
              </w:rPr>
            </w:r>
            <w:r/>
          </w:p>
        </w:tc>
      </w:tr>
      <w:tr>
        <w:trPr/>
        <w:tc>
          <w:tcPr>
            <w:tcW w:w="1413" w:type="dxa"/>
            <w:vAlign w:val="top"/>
            <w:textDirection w:val="lrTb"/>
            <w:noWrap w:val="false"/>
          </w:tcPr>
          <w:p>
            <w:pPr>
              <w:pStyle w:val="892"/>
            </w:pPr>
            <w:r>
              <w:rPr>
                <w:rFonts w:ascii="宋体" w:hAnsi="宋体" w:eastAsia="宋体"/>
                <w:b w:val="0"/>
                <w:sz w:val="21"/>
              </w:rPr>
              <w:t xml:space="preserve">4.2类似项目业绩</w:t>
            </w:r>
            <w:r/>
          </w:p>
        </w:tc>
        <w:tc>
          <w:tcPr>
            <w:tcW w:w="4369" w:type="dxa"/>
            <w:vAlign w:val="top"/>
            <w:textDirection w:val="lrTb"/>
            <w:noWrap w:val="false"/>
          </w:tcPr>
          <w:p>
            <w:pPr>
              <w:pStyle w:val="892"/>
            </w:pPr>
            <w:r>
              <w:rPr>
                <w:rFonts w:ascii="宋体" w:hAnsi="宋体" w:eastAsia="宋体"/>
                <w:b w:val="0"/>
                <w:sz w:val="21"/>
              </w:rPr>
            </w:r>
            <w:r>
              <w:rPr>
                <w:rFonts w:ascii="宋体" w:hAnsi="宋体" w:eastAsia="宋体"/>
                <w:b w:val="0"/>
                <w:sz w:val="21"/>
              </w:rPr>
              <w:t xml:space="preserve">投标人自2023年1月1日以来，有LIMS系统或实验室管理系统或LIMS系统国产化相关软件开发项目的，每提供1个得3分，最高得9分。（投标人须提供加盖投标人公章的合同关键页扫描件作为证明文件，不符合要求或未按要求提供有效证明文件的不得分）</w:t>
            </w:r>
            <w:r>
              <w:rPr>
                <w:rFonts w:ascii="宋体" w:hAnsi="宋体" w:eastAsia="宋体"/>
                <w:b w:val="0"/>
                <w:sz w:val="21"/>
              </w:rPr>
            </w:r>
            <w:r/>
          </w:p>
        </w:tc>
        <w:tc>
          <w:tcPr>
            <w:tcW w:w="1250" w:type="dxa"/>
            <w:vAlign w:val="top"/>
            <w:textDirection w:val="lrTb"/>
            <w:noWrap w:val="false"/>
          </w:tcPr>
          <w:p>
            <w:pPr>
              <w:pStyle w:val="892"/>
              <w:jc w:val="center"/>
            </w:pPr>
            <w:r>
              <w:rPr>
                <w:rFonts w:ascii="宋体" w:hAnsi="宋体" w:eastAsia="宋体"/>
                <w:b w:val="0"/>
                <w:sz w:val="21"/>
              </w:rPr>
              <w:t xml:space="preserve">9</w:t>
            </w:r>
            <w:r/>
          </w:p>
        </w:tc>
      </w:tr>
      <w:tr>
        <w:trPr/>
        <w:tc>
          <w:tcPr>
            <w:tcW w:w="1413" w:type="dxa"/>
            <w:vAlign w:val="top"/>
            <w:textDirection w:val="lrTb"/>
            <w:noWrap w:val="false"/>
          </w:tcPr>
          <w:p>
            <w:pPr>
              <w:pStyle w:val="892"/>
            </w:pPr>
            <w:r>
              <w:rPr>
                <w:rFonts w:ascii="宋体" w:hAnsi="宋体" w:eastAsia="宋体"/>
                <w:b w:val="0"/>
                <w:sz w:val="21"/>
              </w:rPr>
              <w:t xml:space="preserve">4.3软件著作权</w:t>
            </w:r>
            <w:r/>
          </w:p>
        </w:tc>
        <w:tc>
          <w:tcPr>
            <w:tcW w:w="4369" w:type="dxa"/>
            <w:vAlign w:val="top"/>
            <w:textDirection w:val="lrTb"/>
            <w:noWrap w:val="false"/>
          </w:tcPr>
          <w:p>
            <w:pPr>
              <w:pStyle w:val="892"/>
            </w:pPr>
            <w:r>
              <w:rPr>
                <w:rFonts w:ascii="宋体" w:hAnsi="宋体" w:eastAsia="宋体"/>
                <w:b w:val="0"/>
                <w:sz w:val="21"/>
              </w:rPr>
            </w:r>
            <w:r>
              <w:rPr>
                <w:rFonts w:ascii="宋体" w:hAnsi="宋体" w:eastAsia="宋体"/>
                <w:b w:val="0"/>
                <w:sz w:val="21"/>
              </w:rPr>
              <w:t xml:space="preserve">投标人具有由国家版权局颁发的软件著作权登记证书，证书名称包含关键词：LIMS系统或实验室管理。每提供1个得3分，满分3分。</w:t>
            </w:r>
            <w:r>
              <w:rPr>
                <w:rFonts w:ascii="宋体" w:hAnsi="宋体" w:eastAsia="宋体"/>
                <w:b w:val="0"/>
                <w:sz w:val="21"/>
              </w:rPr>
              <w:t xml:space="preserve">（需提供有效证书复印件并加盖公章</w:t>
            </w:r>
            <w:r>
              <w:rPr>
                <w:rFonts w:ascii="宋体" w:hAnsi="宋体" w:eastAsia="宋体"/>
                <w:b w:val="0"/>
                <w:sz w:val="21"/>
              </w:rPr>
              <w:t xml:space="preserve">。</w:t>
            </w:r>
            <w:r>
              <w:rPr>
                <w:rFonts w:ascii="宋体" w:hAnsi="宋体" w:eastAsia="宋体"/>
                <w:b w:val="0"/>
                <w:sz w:val="21"/>
              </w:rPr>
              <w:t xml:space="preserve">如所提供的著作权内容表述与采购文件描述的关键字样不一致，而该响应文件中能证明投标的软件著作权具有相同或相似功能和效果，且评标委员会认可的，视同符合要求</w:t>
            </w:r>
            <w:r>
              <w:rPr>
                <w:rFonts w:ascii="宋体" w:hAnsi="宋体" w:eastAsia="宋体"/>
                <w:b w:val="0"/>
                <w:sz w:val="21"/>
              </w:rPr>
              <w:t xml:space="preserve">）</w:t>
            </w:r>
            <w:r/>
          </w:p>
        </w:tc>
        <w:tc>
          <w:tcPr>
            <w:tcW w:w="1250" w:type="dxa"/>
            <w:vAlign w:val="top"/>
            <w:textDirection w:val="lrTb"/>
            <w:noWrap w:val="false"/>
          </w:tcPr>
          <w:p>
            <w:pPr>
              <w:pStyle w:val="892"/>
              <w:jc w:val="center"/>
            </w:pPr>
            <w:r>
              <w:rPr>
                <w:rFonts w:ascii="宋体" w:hAnsi="宋体" w:eastAsia="宋体"/>
                <w:b w:val="0"/>
                <w:sz w:val="21"/>
              </w:rPr>
              <w:t xml:space="preserve">3</w:t>
            </w:r>
            <w:r/>
          </w:p>
        </w:tc>
      </w:tr>
      <w:tr>
        <w:trPr/>
        <w:tc>
          <w:tcPr>
            <w:gridSpan w:val="2"/>
            <w:tcW w:w="5782" w:type="dxa"/>
            <w:vAlign w:val="top"/>
            <w:textDirection w:val="lrTb"/>
            <w:noWrap w:val="false"/>
          </w:tcPr>
          <w:p>
            <w:pPr>
              <w:pStyle w:val="892"/>
              <w:rPr>
                <w:rFonts w:hint="eastAsia" w:eastAsia="宋体"/>
                <w:lang w:val="en-US" w:eastAsia="zh-CN"/>
              </w:rPr>
            </w:pPr>
            <w:r>
              <w:rPr>
                <w:rFonts w:hint="eastAsia"/>
                <w:lang w:val="en-US" w:eastAsia="zh-CN"/>
              </w:rPr>
              <w:t xml:space="preserve">共计</w:t>
            </w:r>
            <w:r>
              <w:rPr>
                <w:rFonts w:hint="eastAsia" w:eastAsia="宋体"/>
                <w:lang w:val="en-US" w:eastAsia="zh-CN"/>
              </w:rPr>
            </w:r>
            <w:r/>
          </w:p>
        </w:tc>
        <w:tc>
          <w:tcPr>
            <w:tcW w:w="1250" w:type="dxa"/>
            <w:vAlign w:val="top"/>
            <w:textDirection w:val="lrTb"/>
            <w:noWrap w:val="false"/>
          </w:tcPr>
          <w:p>
            <w:pPr>
              <w:pStyle w:val="892"/>
              <w:jc w:val="center"/>
            </w:pPr>
            <w:r>
              <w:rPr>
                <w:rFonts w:ascii="宋体" w:hAnsi="宋体" w:eastAsia="宋体"/>
                <w:b/>
                <w:sz w:val="21"/>
              </w:rPr>
              <w:t xml:space="preserve">100</w:t>
            </w:r>
            <w:r/>
          </w:p>
        </w:tc>
      </w:tr>
    </w:tbl>
    <w:p>
      <w:pPr>
        <w:pStyle w:val="892"/>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892"/>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2"/>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4"/>
        <w:keepLines/>
        <w:keepNext/>
        <w:pageBreakBefore w:val="0"/>
        <w:spacing w:line="400" w:lineRule="exact"/>
        <w:widowControl w:val="off"/>
        <w:rPr>
          <w:rFonts w:hint="eastAsia" w:ascii="黑体" w:hAnsi="黑体" w:eastAsia="黑体" w:cs="Arial"/>
          <w:b w:val="0"/>
          <w:bCs w:val="0"/>
          <w:sz w:val="28"/>
          <w:szCs w:val="28"/>
        </w:rPr>
      </w:pPr>
      <w:r/>
      <w:bookmarkEnd w:id="170"/>
      <w:r/>
      <w:bookmarkEnd w:id="171"/>
      <w:r/>
      <w:bookmarkEnd w:id="174"/>
      <w:r/>
      <w:bookmarkStart w:id="175" w:name="_Toc26554094"/>
      <w:r/>
      <w:bookmarkStart w:id="176" w:name="_Toc49090576"/>
      <w:r/>
      <w:bookmarkStart w:id="177"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2"/>
        <w:jc w:val="center"/>
        <w:rPr>
          <w:rFonts w:hint="eastAsia" w:ascii="宋体" w:hAnsi="宋体"/>
          <w:b/>
          <w:sz w:val="72"/>
          <w:szCs w:val="21"/>
        </w:rPr>
      </w:pPr>
      <w:r/>
      <w:bookmarkStart w:id="178" w:name="_Hlt26671244"/>
      <w:r/>
      <w:bookmarkEnd w:id="178"/>
      <w:r/>
      <w:bookmarkStart w:id="179" w:name="_Hlt26955039"/>
      <w:r/>
      <w:bookmarkEnd w:id="179"/>
      <w:r>
        <w:rPr>
          <w:rFonts w:hint="eastAsia" w:ascii="宋体" w:hAnsi="宋体"/>
          <w:b/>
          <w:sz w:val="72"/>
          <w:szCs w:val="21"/>
        </w:rPr>
      </w:r>
      <w:r/>
    </w:p>
    <w:p>
      <w:pPr>
        <w:pStyle w:val="892"/>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hint="eastAsia" w:ascii="宋体" w:hAnsi="宋体"/>
          <w:szCs w:val="21"/>
        </w:rPr>
      </w:pPr>
      <w:r>
        <w:rPr>
          <w:rFonts w:hint="eastAsia" w:ascii="宋体" w:hAnsi="宋体"/>
          <w:szCs w:val="21"/>
        </w:rPr>
      </w:r>
      <w:r/>
    </w:p>
    <w:p>
      <w:pPr>
        <w:pStyle w:val="892"/>
        <w:ind w:firstLine="964"/>
        <w:rPr>
          <w:rFonts w:ascii="宋体" w:hAnsi="宋体"/>
          <w:b/>
          <w:bCs/>
          <w:sz w:val="32"/>
          <w:szCs w:val="32"/>
        </w:rPr>
      </w:pPr>
      <w:r>
        <w:rPr>
          <w:rFonts w:ascii="宋体" w:hAnsi="宋体"/>
          <w:b/>
          <w:bCs/>
          <w:sz w:val="32"/>
          <w:szCs w:val="32"/>
        </w:rPr>
      </w:r>
      <w:r/>
    </w:p>
    <w:p>
      <w:pPr>
        <w:pStyle w:val="892"/>
        <w:ind w:firstLine="964"/>
        <w:rPr>
          <w:rFonts w:ascii="宋体" w:hAnsi="宋体"/>
          <w:b/>
          <w:bCs/>
          <w:sz w:val="32"/>
          <w:szCs w:val="32"/>
        </w:rPr>
      </w:pPr>
      <w:r>
        <w:rPr>
          <w:rFonts w:ascii="宋体" w:hAnsi="宋体"/>
          <w:b/>
          <w:bCs/>
          <w:sz w:val="32"/>
          <w:szCs w:val="32"/>
        </w:rPr>
      </w:r>
      <w:r/>
    </w:p>
    <w:p>
      <w:pPr>
        <w:pStyle w:val="892"/>
        <w:ind w:firstLine="964"/>
        <w:rPr>
          <w:rFonts w:ascii="宋体" w:hAnsi="宋体"/>
          <w:b/>
          <w:bCs/>
          <w:sz w:val="32"/>
          <w:szCs w:val="32"/>
        </w:rPr>
      </w:pPr>
      <w:r>
        <w:rPr>
          <w:rFonts w:ascii="宋体" w:hAnsi="宋体"/>
          <w:b/>
          <w:bCs/>
          <w:sz w:val="32"/>
          <w:szCs w:val="32"/>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2"/>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cs="Times New Roman"/>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rPr>
          <w:rFonts w:ascii="宋体" w:hAnsi="宋体"/>
          <w:b/>
          <w:sz w:val="24"/>
          <w:szCs w:val="21"/>
        </w:rPr>
      </w:pPr>
      <w:r>
        <w:rPr>
          <w:rFonts w:ascii="宋体" w:hAnsi="宋体"/>
          <w:b/>
          <w:sz w:val="24"/>
          <w:szCs w:val="21"/>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2"/>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5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2"/>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92"/>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2"/>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2"/>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2"/>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bookmarkEnd w:id="175"/>
      <w:r/>
      <w:bookmarkEnd w:id="176"/>
      <w:r/>
      <w:bookmarkEnd w:id="177"/>
      <w:r/>
      <w:bookmarkStart w:id="180" w:name="_Toc120614284"/>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1" w:name="_Hlt26955070"/>
      <w:r/>
      <w:bookmarkEnd w:id="181"/>
      <w:r/>
      <w:bookmarkStart w:id="182" w:name="_Hlt26671380"/>
      <w:r/>
      <w:bookmarkEnd w:id="182"/>
      <w:r/>
      <w:bookmarkStart w:id="183" w:name="_格式3__银行出具的资信证明"/>
      <w:r/>
      <w:bookmarkEnd w:id="183"/>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2"/>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2"/>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2"/>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2"/>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2"/>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2"/>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2"/>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2"/>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2"/>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2"/>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2"/>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2"/>
      <w:r/>
      <w:bookmarkEnd w:id="173"/>
      <w:r/>
      <w:bookmarkEnd w:id="180"/>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5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附件13</w:t>
      </w:r>
      <w:r>
        <w:rPr>
          <w:rFonts w:hint="eastAsia" w:ascii="方正仿宋_GBK" w:hAnsi="方正仿宋_GBK" w:eastAsia="方正仿宋_GBK" w:cs="方正仿宋_GBK"/>
          <w:b/>
          <w:color w:val="000000"/>
          <w:sz w:val="28"/>
          <w:szCs w:val="28"/>
          <w:lang w:val="en-US" w:eastAsia="zh-CN"/>
        </w:rPr>
        <w:t xml:space="preserve">  </w:t>
      </w:r>
      <w:r>
        <w:rPr>
          <w:rFonts w:hint="eastAsia" w:ascii="方正仿宋_GBK" w:hAnsi="方正仿宋_GBK" w:eastAsia="方正仿宋_GBK" w:cs="方正仿宋_GBK"/>
          <w:b/>
          <w:color w:val="000000"/>
          <w:sz w:val="28"/>
          <w:szCs w:val="28"/>
        </w:rPr>
        <w:t xml:space="preserve">提供服务的人员均为订立劳动合同的从业人员的书面声明</w:t>
      </w:r>
      <w:r>
        <w:rPr>
          <w:rFonts w:hint="eastAsia" w:ascii="方正仿宋_GBK" w:hAnsi="方正仿宋_GBK" w:eastAsia="方正仿宋_GBK" w:cs="方正仿宋_GBK"/>
          <w:b/>
          <w:color w:val="000000"/>
          <w:sz w:val="28"/>
          <w:szCs w:val="28"/>
        </w:rPr>
      </w:r>
      <w:r/>
    </w:p>
    <w:p>
      <w:pPr>
        <w:pStyle w:val="892"/>
        <w:jc w:val="both"/>
        <w:keepLines w:val="0"/>
        <w:keepNext w:val="0"/>
        <w:pageBreakBefore w:val="0"/>
        <w:spacing w:line="400" w:lineRule="exact"/>
        <w:rPr>
          <w:rFonts w:ascii="宋体" w:hAnsi="宋体" w:eastAsia="方正仿宋_GBK" w:cs="仿宋"/>
          <w:b/>
          <w:bCs/>
          <w:sz w:val="28"/>
          <w:szCs w:val="28"/>
          <w:lang w:val="en-US" w:eastAsia="zh-CN"/>
        </w:rPr>
      </w:pPr>
      <w:r>
        <w:rPr>
          <w:rFonts w:ascii="宋体" w:hAnsi="宋体" w:eastAsia="方正仿宋_GBK" w:cs="仿宋"/>
          <w:b/>
          <w:bCs/>
          <w:sz w:val="28"/>
          <w:szCs w:val="28"/>
          <w:lang w:val="en-US" w:eastAsia="zh-CN"/>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54"/>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2"/>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Cambria">
    <w:panose1 w:val="0204050305040603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2"/>
      <w:lang w:val="en-US" w:eastAsia="zh-CN" w:bidi="ar-SA"/>
    </w:rPr>
  </w:style>
  <w:style w:type="paragraph" w:styleId="893">
    <w:name w:val="标题 1"/>
    <w:basedOn w:val="892"/>
    <w:next w:val="892"/>
    <w:link w:val="904"/>
    <w:qFormat/>
    <w:pPr>
      <w:jc w:val="center"/>
      <w:keepNext/>
      <w:outlineLvl w:val="0"/>
    </w:pPr>
    <w:rPr>
      <w:rFonts w:ascii="楷体_GB2312" w:hAnsi="Times New Roman" w:eastAsia="楷体_GB2312" w:cs="Times New Roman"/>
      <w:sz w:val="28"/>
      <w:szCs w:val="28"/>
    </w:rPr>
  </w:style>
  <w:style w:type="paragraph" w:styleId="894">
    <w:name w:val="标题 2"/>
    <w:basedOn w:val="892"/>
    <w:next w:val="906"/>
    <w:link w:val="905"/>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06"/>
    <w:link w:val="90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6"/>
    <w:link w:val="909"/>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6"/>
    <w:link w:val="910"/>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4"/>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character" w:styleId="904">
    <w:name w:val="标题 1 Char"/>
    <w:next w:val="904"/>
    <w:link w:val="893"/>
    <w:rPr>
      <w:rFonts w:ascii="楷体_GB2312" w:hAnsi="Times New Roman" w:eastAsia="楷体_GB2312" w:cs="Times New Roman"/>
      <w:sz w:val="28"/>
      <w:szCs w:val="28"/>
    </w:rPr>
  </w:style>
  <w:style w:type="character" w:styleId="905">
    <w:name w:val="标题 2 Char"/>
    <w:next w:val="905"/>
    <w:link w:val="894"/>
    <w:rPr>
      <w:rFonts w:ascii="Arial" w:hAnsi="Arial" w:eastAsia="幼圆" w:cs="Arial"/>
      <w:b/>
      <w:bCs/>
      <w:sz w:val="44"/>
      <w:szCs w:val="44"/>
    </w:rPr>
  </w:style>
  <w:style w:type="paragraph" w:styleId="906">
    <w:name w:val="正文缩进"/>
    <w:basedOn w:val="892"/>
    <w:next w:val="906"/>
    <w:link w:val="907"/>
    <w:pPr>
      <w:ind w:firstLine="420"/>
    </w:pPr>
    <w:rPr>
      <w:szCs w:val="21"/>
    </w:rPr>
  </w:style>
  <w:style w:type="character" w:styleId="907">
    <w:name w:val="正文缩进 Char"/>
    <w:next w:val="907"/>
    <w:link w:val="906"/>
    <w:rPr>
      <w:szCs w:val="21"/>
    </w:rPr>
  </w:style>
  <w:style w:type="character" w:styleId="908">
    <w:name w:val="标题 3 Char"/>
    <w:next w:val="908"/>
    <w:link w:val="895"/>
    <w:rPr>
      <w:rFonts w:ascii="Times New Roman" w:hAnsi="Times New Roman" w:eastAsia="宋体" w:cs="Times New Roman"/>
      <w:b/>
      <w:bCs/>
      <w:sz w:val="32"/>
      <w:szCs w:val="32"/>
    </w:rPr>
  </w:style>
  <w:style w:type="character" w:styleId="909">
    <w:name w:val="标题 4 Char"/>
    <w:next w:val="909"/>
    <w:link w:val="896"/>
    <w:rPr>
      <w:rFonts w:ascii="Arial" w:hAnsi="Arial" w:eastAsia="黑体" w:cs="Arial"/>
      <w:b/>
      <w:bCs/>
      <w:sz w:val="28"/>
      <w:szCs w:val="28"/>
    </w:rPr>
  </w:style>
  <w:style w:type="character" w:styleId="910">
    <w:name w:val="标题 5 Char"/>
    <w:next w:val="910"/>
    <w:link w:val="897"/>
    <w:rPr>
      <w:rFonts w:ascii="宋体" w:hAnsi="Times New Roman" w:eastAsia="宋体" w:cs="Times New Roman"/>
      <w:color w:val="000000"/>
      <w:sz w:val="28"/>
      <w:szCs w:val="28"/>
    </w:rPr>
  </w:style>
  <w:style w:type="character" w:styleId="911">
    <w:name w:val="标题 6 Char"/>
    <w:next w:val="911"/>
    <w:link w:val="898"/>
    <w:rPr>
      <w:rFonts w:ascii="Arial" w:hAnsi="Arial" w:eastAsia="黑体" w:cs="Times New Roman"/>
      <w:b/>
      <w:bCs/>
      <w:sz w:val="24"/>
      <w:szCs w:val="24"/>
    </w:rPr>
  </w:style>
  <w:style w:type="character" w:styleId="912">
    <w:name w:val="标题 7 Char"/>
    <w:next w:val="912"/>
    <w:link w:val="899"/>
    <w:rPr>
      <w:rFonts w:ascii="Times New Roman" w:hAnsi="Times New Roman" w:eastAsia="宋体" w:cs="Times New Roman"/>
      <w:b/>
      <w:bCs/>
      <w:sz w:val="24"/>
      <w:szCs w:val="24"/>
    </w:rPr>
  </w:style>
  <w:style w:type="character" w:styleId="913">
    <w:name w:val="标题 8 Char"/>
    <w:next w:val="913"/>
    <w:link w:val="900"/>
    <w:rPr>
      <w:rFonts w:ascii="Arial" w:hAnsi="Arial" w:eastAsia="黑体" w:cs="Times New Roman"/>
      <w:sz w:val="24"/>
      <w:szCs w:val="24"/>
    </w:rPr>
  </w:style>
  <w:style w:type="character" w:styleId="914">
    <w:name w:val="标题 9 Char"/>
    <w:next w:val="914"/>
    <w:link w:val="901"/>
    <w:rPr>
      <w:rFonts w:ascii="Arial" w:hAnsi="Arial" w:eastAsia="黑体" w:cs="Times New Roman"/>
      <w:szCs w:val="21"/>
    </w:rPr>
  </w:style>
  <w:style w:type="paragraph" w:styleId="915">
    <w:name w:val="列表 3"/>
    <w:basedOn w:val="892"/>
    <w:next w:val="915"/>
    <w:link w:val="892"/>
    <w:pPr>
      <w:ind w:left="100" w:hanging="200"/>
    </w:pPr>
    <w:rPr>
      <w:rFonts w:ascii="Times New Roman" w:hAnsi="Times New Roman" w:eastAsia="宋体" w:cs="Times New Roman"/>
      <w:szCs w:val="21"/>
    </w:rPr>
  </w:style>
  <w:style w:type="paragraph" w:styleId="916">
    <w:name w:val="目录 7"/>
    <w:basedOn w:val="892"/>
    <w:next w:val="892"/>
    <w:link w:val="892"/>
    <w:semiHidden/>
    <w:pPr>
      <w:ind w:left="1260"/>
      <w:jc w:val="left"/>
    </w:pPr>
    <w:rPr>
      <w:rFonts w:ascii="Times New Roman" w:hAnsi="Times New Roman" w:eastAsia="宋体" w:cs="Times New Roman"/>
      <w:szCs w:val="21"/>
    </w:rPr>
  </w:style>
  <w:style w:type="paragraph" w:styleId="917">
    <w:name w:val="文档结构图"/>
    <w:basedOn w:val="892"/>
    <w:next w:val="917"/>
    <w:link w:val="918"/>
    <w:semiHidden/>
    <w:pPr>
      <w:shd w:val="clear" w:color="auto" w:fill="000080"/>
    </w:pPr>
    <w:rPr>
      <w:rFonts w:ascii="Times New Roman" w:hAnsi="Times New Roman" w:eastAsia="宋体" w:cs="Times New Roman"/>
      <w:szCs w:val="21"/>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2"/>
    <w:next w:val="919"/>
    <w:link w:val="920"/>
    <w:unhideWhenUsed/>
    <w:pPr>
      <w:jc w:val="left"/>
    </w:pPr>
  </w:style>
  <w:style w:type="character" w:styleId="920">
    <w:name w:val="批注文字 Char"/>
    <w:next w:val="920"/>
    <w:link w:val="919"/>
    <w:uiPriority w:val="99"/>
    <w:semiHidden/>
  </w:style>
  <w:style w:type="paragraph" w:styleId="921">
    <w:name w:val="正文文本 3"/>
    <w:basedOn w:val="892"/>
    <w:next w:val="921"/>
    <w:link w:val="922"/>
    <w:rPr>
      <w:rFonts w:ascii="仿宋_GB2312" w:hAnsi="Arial" w:eastAsia="仿宋_GB2312" w:cs="Times New Roman"/>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2"/>
    <w:next w:val="923"/>
    <w:link w:val="924"/>
    <w:rPr>
      <w:rFonts w:ascii="楷体_GB2312" w:hAnsi="Arial" w:eastAsia="楷体_GB2312" w:cs="Times New Roman"/>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2"/>
    <w:next w:val="925"/>
    <w:link w:val="926"/>
    <w:unhideWhenUsed/>
    <w:pPr>
      <w:ind w:left="420"/>
      <w:spacing w:after="120"/>
    </w:pPr>
  </w:style>
  <w:style w:type="character" w:styleId="926">
    <w:name w:val="正文文本缩进 Char"/>
    <w:next w:val="926"/>
    <w:link w:val="925"/>
    <w:uiPriority w:val="99"/>
    <w:semiHidden/>
  </w:style>
  <w:style w:type="paragraph" w:styleId="927">
    <w:name w:val="列表 2"/>
    <w:basedOn w:val="892"/>
    <w:next w:val="927"/>
    <w:link w:val="892"/>
    <w:pPr>
      <w:ind w:left="100" w:hanging="200"/>
    </w:pPr>
    <w:rPr>
      <w:rFonts w:ascii="Times New Roman" w:hAnsi="Times New Roman" w:eastAsia="宋体" w:cs="Times New Roman"/>
      <w:szCs w:val="21"/>
    </w:rPr>
  </w:style>
  <w:style w:type="paragraph" w:styleId="928">
    <w:name w:val="目录 5"/>
    <w:basedOn w:val="892"/>
    <w:next w:val="892"/>
    <w:link w:val="892"/>
    <w:semiHidden/>
    <w:pPr>
      <w:ind w:left="840"/>
      <w:jc w:val="left"/>
    </w:pPr>
    <w:rPr>
      <w:rFonts w:ascii="Times New Roman" w:hAnsi="Times New Roman" w:eastAsia="宋体" w:cs="Times New Roman"/>
      <w:szCs w:val="21"/>
    </w:rPr>
  </w:style>
  <w:style w:type="paragraph" w:styleId="929">
    <w:name w:val="目录 3"/>
    <w:basedOn w:val="892"/>
    <w:next w:val="892"/>
    <w:link w:val="892"/>
    <w:semiHidden/>
    <w:pPr>
      <w:ind w:left="420"/>
      <w:jc w:val="left"/>
    </w:pPr>
    <w:rPr>
      <w:rFonts w:ascii="Times New Roman" w:hAnsi="Times New Roman" w:eastAsia="宋体" w:cs="Times New Roman"/>
      <w:i/>
      <w:iCs/>
      <w:szCs w:val="24"/>
    </w:rPr>
  </w:style>
  <w:style w:type="paragraph" w:styleId="930">
    <w:name w:val="纯文本"/>
    <w:basedOn w:val="892"/>
    <w:next w:val="930"/>
    <w:link w:val="931"/>
    <w:qFormat/>
    <w:rPr>
      <w:rFonts w:ascii="宋体" w:hAnsi="Courier New" w:eastAsia="宋体" w:cs="Courier New"/>
      <w:szCs w:val="21"/>
    </w:rPr>
  </w:style>
  <w:style w:type="character" w:styleId="931">
    <w:name w:val="纯文本 Char"/>
    <w:next w:val="931"/>
    <w:link w:val="930"/>
    <w:rPr>
      <w:rFonts w:ascii="宋体" w:hAnsi="Courier New" w:eastAsia="宋体" w:cs="Courier New"/>
      <w:szCs w:val="21"/>
    </w:rPr>
  </w:style>
  <w:style w:type="paragraph" w:styleId="932">
    <w:name w:val="目录 8"/>
    <w:basedOn w:val="892"/>
    <w:next w:val="892"/>
    <w:link w:val="892"/>
    <w:semiHidden/>
    <w:pPr>
      <w:ind w:left="1470"/>
      <w:jc w:val="left"/>
    </w:pPr>
    <w:rPr>
      <w:rFonts w:ascii="Times New Roman" w:hAnsi="Times New Roman" w:eastAsia="宋体" w:cs="Times New Roman"/>
      <w:szCs w:val="21"/>
    </w:rPr>
  </w:style>
  <w:style w:type="paragraph" w:styleId="933">
    <w:name w:val="日期"/>
    <w:basedOn w:val="892"/>
    <w:next w:val="892"/>
    <w:link w:val="934"/>
    <w:rPr>
      <w:rFonts w:ascii="Times New Roman" w:hAnsi="Times New Roman" w:eastAsia="宋体" w:cs="Times New Roman"/>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2"/>
    <w:next w:val="935"/>
    <w:link w:val="936"/>
    <w:pPr>
      <w:ind w:left="630" w:firstLine="645"/>
    </w:pPr>
    <w:rPr>
      <w:rFonts w:ascii="Arial" w:hAnsi="Arial" w:eastAsia="仿宋_GB2312" w:cs="Arial"/>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2"/>
    <w:next w:val="937"/>
    <w:link w:val="938"/>
    <w:semiHidden/>
    <w:rPr>
      <w:rFonts w:ascii="Times New Roman" w:hAnsi="Times New Roman" w:eastAsia="宋体" w:cs="Times New Roman"/>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2"/>
    <w:next w:val="939"/>
    <w:link w:val="94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2"/>
    <w:next w:val="941"/>
    <w:link w:val="9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仿宋_GB2312" w:cs="Arial"/>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楷体_GB2312" w:hAnsi="Times New Roman" w:eastAsia="楷体_GB2312" w:cs="Times New Roman"/>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19"/>
    <w:next w:val="919"/>
    <w:link w:val="957"/>
    <w:semiHidden/>
    <w:rPr>
      <w:rFonts w:ascii="Times New Roman" w:hAnsi="Times New Roman" w:eastAsia="宋体" w:cs="Times New Roman"/>
      <w:b/>
      <w:bCs/>
      <w:szCs w:val="21"/>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仿宋_GB2312" w:hAnsi="Times New Roman" w:eastAsia="仿宋_GB2312" w:cs="Times New Roman"/>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left="0" w:firstLine="420"/>
      <w:spacing w:after="0" w:line="360" w:lineRule="auto"/>
    </w:pPr>
    <w:rPr>
      <w:rFonts w:ascii="宋体" w:hAnsi="宋体" w:eastAsia="宋体" w:cs="Times New Roman"/>
      <w:szCs w:val="20"/>
    </w:rPr>
  </w:style>
  <w:style w:type="character" w:styleId="961">
    <w:name w:val="正文首行缩进 2 Char"/>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basedOn w:val="902"/>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2"/>
    <w:next w:val="923"/>
    <w:link w:val="892"/>
    <w:pPr>
      <w:spacing w:after="120"/>
    </w:pPr>
    <w:rPr>
      <w:rFonts w:ascii="宋体" w:hAnsi="Arial" w:eastAsia="宋体" w:cs="Times New Roman"/>
      <w:bCs/>
      <w:iCs/>
      <w:szCs w:val="24"/>
    </w:rPr>
  </w:style>
  <w:style w:type="paragraph" w:styleId="975">
    <w:name w:val="xl27"/>
    <w:basedOn w:val="892"/>
    <w:next w:val="97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2"/>
    <w:next w:val="97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2"/>
    <w:next w:val="977"/>
    <w:link w:val="892"/>
    <w:pPr>
      <w:ind w:firstLine="200"/>
      <w:tabs>
        <w:tab w:val="left" w:pos="360" w:leader="none"/>
      </w:tabs>
    </w:pPr>
    <w:rPr>
      <w:rFonts w:ascii="Times New Roman" w:hAnsi="Times New Roman" w:eastAsia="宋体" w:cs="Times New Roman"/>
      <w:sz w:val="28"/>
      <w:szCs w:val="30"/>
    </w:rPr>
  </w:style>
  <w:style w:type="paragraph" w:styleId="978">
    <w:name w:val=" Char"/>
    <w:basedOn w:val="917"/>
    <w:next w:val="978"/>
    <w:link w:val="892"/>
    <w:rPr>
      <w:rFonts w:ascii="Tahoma" w:hAnsi="Tahoma"/>
      <w:sz w:val="24"/>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table_lines"/>
    <w:basedOn w:val="892"/>
    <w:next w:val="980"/>
    <w:link w:val="892"/>
    <w:pPr>
      <w:jc w:val="left"/>
      <w:widowControl/>
    </w:pPr>
    <w:rPr>
      <w:rFonts w:ascii="Times New Roman" w:hAnsi="Times New Roman" w:eastAsia="宋体" w:cs="Times New Roman"/>
      <w:sz w:val="20"/>
      <w:szCs w:val="20"/>
      <w:lang w:val="de-DE" w:eastAsia="de-DE"/>
    </w:rPr>
  </w:style>
  <w:style w:type="paragraph" w:styleId="981">
    <w:name w:val="附录1"/>
    <w:next w:val="981"/>
    <w:link w:val="89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2"/>
    <w:next w:val="982"/>
    <w:link w:val="892"/>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7"/>
    <w:next w:val="983"/>
    <w:link w:val="892"/>
    <w:pPr>
      <w:spacing w:line="360" w:lineRule="auto"/>
    </w:pPr>
    <w:rPr>
      <w:rFonts w:ascii="Tahoma" w:hAnsi="Tahoma"/>
      <w:sz w:val="24"/>
      <w:szCs w:val="24"/>
    </w:rPr>
  </w:style>
  <w:style w:type="paragraph" w:styleId="984">
    <w:name w:val="列出段落"/>
    <w:basedOn w:val="892"/>
    <w:next w:val="984"/>
    <w:link w:val="892"/>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7"/>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rFonts w:ascii="Times New Roman" w:hAnsi="Times New Roman"/>
      <w:sz w:val="21"/>
      <w:szCs w:val="21"/>
      <w:lang w:val="en-US" w:eastAsia="zh-CN" w:bidi="ar-SA"/>
    </w:rPr>
  </w:style>
  <w:style w:type="paragraph" w:styleId="1004">
    <w:name w:val="无间隔"/>
    <w:next w:val="1004"/>
    <w:link w:val="892"/>
    <w:uiPriority w:val="99"/>
    <w:qFormat/>
    <w:pPr>
      <w:jc w:val="both"/>
      <w:widowControl w:val="off"/>
    </w:pPr>
    <w:rPr>
      <w:rFonts w:ascii="Times New Roman" w:hAnsi="Times New Roman"/>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9</cp:revision>
  <dcterms:created xsi:type="dcterms:W3CDTF">2023-03-27T07:28:00Z</dcterms:created>
  <dcterms:modified xsi:type="dcterms:W3CDTF">2026-09-16T07:08:16Z</dcterms:modified>
</cp:coreProperties>
</file>