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7"/>
        <w:ind w:firstLine="1440"/>
        <w:jc w:val="center"/>
        <w:spacing w:before="75" w:beforeAutospacing="0" w:after="75" w:afterAutospacing="0"/>
        <w:widowControl/>
        <w:rPr>
          <w:rStyle w:val="951"/>
          <w:rFonts w:ascii="宋体" w:hAnsi="宋体" w:cs="宋体"/>
          <w:sz w:val="72"/>
          <w:szCs w:val="72"/>
          <w:lang w:val="zh-CN"/>
        </w:rPr>
      </w:pPr>
      <w:r>
        <w:rPr>
          <w:rFonts w:hint="eastAsia" w:ascii="宋体" w:hAnsi="宋体" w:cs="宋体"/>
          <w:b/>
          <w:sz w:val="72"/>
        </w:rPr>
        <w:t xml:space="preserve">江苏省政府采购</w:t>
      </w:r>
      <w:r/>
    </w:p>
    <w:p>
      <w:pPr>
        <w:pStyle w:val="947"/>
        <w:ind w:firstLine="1440"/>
        <w:jc w:val="center"/>
        <w:spacing w:before="75" w:beforeAutospacing="0" w:after="75" w:afterAutospacing="0"/>
        <w:widowControl/>
        <w:rPr>
          <w:rStyle w:val="951"/>
          <w:rFonts w:ascii="宋体" w:hAnsi="宋体" w:cs="宋体"/>
          <w:sz w:val="72"/>
          <w:szCs w:val="72"/>
          <w:lang w:val="zh-CN"/>
        </w:rPr>
      </w:pPr>
      <w:r>
        <w:rPr>
          <w:rStyle w:val="951"/>
          <w:rFonts w:hint="eastAsia" w:ascii="宋体" w:hAnsi="宋体" w:cs="宋体"/>
          <w:sz w:val="72"/>
          <w:szCs w:val="72"/>
          <w:lang w:val="zh-CN"/>
        </w:rPr>
        <w:t xml:space="preserve">招标文件</w:t>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Fonts w:ascii="宋体" w:hAnsi="宋体" w:cs="宋体"/>
          <w:sz w:val="30"/>
          <w:szCs w:val="30"/>
        </w:rPr>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采购编号：</w:t>
      </w:r>
      <w:r>
        <w:rPr>
          <w:rFonts w:hint="eastAsia" w:ascii="宋体" w:hAnsi="宋体" w:cs="宋体"/>
          <w:sz w:val="30"/>
          <w:szCs w:val="30"/>
          <w:lang w:val="zh-CN"/>
        </w:rPr>
        <w:t xml:space="preserve">JSZC-320000-CJZB-G2026-0088</w:t>
      </w:r>
      <w:r/>
    </w:p>
    <w:p>
      <w:pPr>
        <w:pStyle w:val="947"/>
        <w:ind w:left="2766" w:hanging="1506"/>
        <w:spacing w:beforeAutospacing="0" w:afterAutospacing="0" w:line="360" w:lineRule="auto"/>
        <w:widowControl/>
        <w:rPr>
          <w:rStyle w:val="951"/>
          <w:rFonts w:ascii="宋体" w:hAnsi="宋体" w:cs="宋体"/>
          <w:sz w:val="30"/>
          <w:szCs w:val="30"/>
        </w:rPr>
      </w:pPr>
      <w:r>
        <w:rPr>
          <w:rStyle w:val="951"/>
          <w:rFonts w:hint="eastAsia" w:ascii="宋体" w:hAnsi="宋体" w:cs="宋体"/>
          <w:sz w:val="30"/>
          <w:szCs w:val="30"/>
        </w:rPr>
        <w:t xml:space="preserve">项目名称：</w:t>
      </w:r>
      <w:r>
        <w:rPr>
          <w:rFonts w:hint="eastAsia" w:ascii="宋体" w:hAnsi="宋体" w:cs="宋体"/>
          <w:sz w:val="30"/>
          <w:szCs w:val="30"/>
          <w:lang w:val="zh-CN"/>
        </w:rPr>
        <w:t xml:space="preserve">脑机接口-智能评估与干预系统（数字脑电图仪+经颅直流电刺激仪）</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 购 人：</w:t>
      </w:r>
      <w:r>
        <w:rPr>
          <w:rFonts w:hint="eastAsia" w:ascii="宋体" w:hAnsi="宋体" w:cs="宋体"/>
          <w:sz w:val="30"/>
          <w:szCs w:val="30"/>
          <w:lang w:val="zh-CN"/>
        </w:rPr>
        <w:t xml:space="preserve">苏州大学附属第一医院</w:t>
      </w:r>
      <w:r/>
    </w:p>
    <w:p>
      <w:pPr>
        <w:pStyle w:val="947"/>
        <w:ind w:left="2766" w:hanging="1506"/>
        <w:spacing w:beforeAutospacing="0" w:afterAutospacing="0" w:line="360" w:lineRule="auto"/>
        <w:widowControl/>
        <w:rPr>
          <w:rFonts w:ascii="宋体" w:hAnsi="宋体" w:cs="宋体"/>
        </w:rPr>
      </w:pPr>
      <w:r>
        <w:rPr>
          <w:rStyle w:val="951"/>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7"/>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482"/>
        <w:jc w:val="center"/>
        <w:spacing w:beforeAutospacing="0" w:afterAutospacing="0" w:line="360" w:lineRule="auto"/>
        <w:widowControl/>
        <w:rPr>
          <w:rFonts w:ascii="宋体" w:hAnsi="宋体" w:cs="宋体"/>
        </w:rPr>
      </w:pPr>
      <w:r>
        <w:rPr>
          <w:rFonts w:ascii="宋体" w:hAnsi="宋体" w:cs="宋体"/>
        </w:rPr>
      </w:r>
      <w:r/>
    </w:p>
    <w:p>
      <w:pPr>
        <w:pStyle w:val="947"/>
        <w:ind w:firstLine="602"/>
        <w:jc w:val="center"/>
        <w:spacing w:beforeAutospacing="0" w:afterAutospacing="0" w:line="360" w:lineRule="auto"/>
        <w:widowControl/>
        <w:rPr>
          <w:rStyle w:val="951"/>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二○二六年八月</w:t>
      </w:r>
      <w:bookmarkEnd w:id="1"/>
      <w:r/>
      <w:r/>
    </w:p>
    <w:p>
      <w:pPr>
        <w:pStyle w:val="941"/>
        <w:ind w:firstLine="640"/>
        <w:jc w:val="center"/>
        <w:pageBreakBefore/>
        <w:spacing w:line="360" w:lineRule="auto"/>
        <w:tabs>
          <w:tab w:val="right" w:pos="8302" w:leader="dot"/>
        </w:tabs>
        <w:rPr>
          <w:rStyle w:val="951"/>
          <w:rFonts w:ascii="宋体" w:hAnsi="宋体" w:cs="宋体"/>
          <w:bCs/>
          <w:sz w:val="32"/>
          <w:szCs w:val="32"/>
        </w:rPr>
      </w:pPr>
      <w:r>
        <w:rPr>
          <w:rStyle w:val="951"/>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JSZC-320000-CJZB-G2026-0088号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脑机接口-智能评估与干预系统（数字脑电图仪+经颅直流电刺激仪）</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5"/>
              <w:spacing w:line="360" w:lineRule="auto"/>
              <w:rPr>
                <w:rStyle w:val="995"/>
                <w:rFonts w:ascii="宋体" w:hAnsi="宋体" w:cs="宋体"/>
                <w:bCs w:val="0"/>
                <w:spacing w:val="0"/>
                <w:sz w:val="21"/>
                <w:szCs w:val="21"/>
              </w:rPr>
            </w:pPr>
            <w:r>
              <w:rPr>
                <w:rStyle w:val="995"/>
                <w:rFonts w:ascii="Wingdings" w:hAnsi="Wingdings" w:eastAsia="Wingdings" w:cs="Wingdings"/>
                <w:bCs w:val="0"/>
                <w:spacing w:val="0"/>
                <w:sz w:val="21"/>
                <w:szCs w:val="21"/>
              </w:rPr>
              <w:t xml:space="preserve">þ</w:t>
            </w:r>
            <w:r>
              <w:rPr>
                <w:rStyle w:val="995"/>
                <w:rFonts w:hint="eastAsia" w:ascii="宋体" w:hAnsi="宋体" w:cs="宋体"/>
                <w:bCs w:val="0"/>
                <w:spacing w:val="0"/>
                <w:sz w:val="21"/>
                <w:szCs w:val="21"/>
              </w:rPr>
              <w:t xml:space="preserve">不需提交，招标文件中有关投标保证金的规定均不适用。</w:t>
            </w:r>
            <w:r/>
          </w:p>
          <w:p>
            <w:pPr>
              <w:pStyle w:val="935"/>
              <w:spacing w:line="360" w:lineRule="auto"/>
              <w:rPr>
                <w:rFonts w:ascii="宋体" w:hAnsi="宋体" w:cs="宋体"/>
                <w:sz w:val="18"/>
                <w:szCs w:val="18"/>
              </w:rPr>
            </w:pPr>
            <w:r>
              <w:rPr>
                <w:rStyle w:val="99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地址：苏州市姑苏区平海路899号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联系人：周小飞     电　话：0512-67972785</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w:t>
            </w:r>
            <w:bookmarkStart w:id="2" w:name="_GoBack"/>
            <w:r/>
            <w:bookmarkEnd w:id="2"/>
            <w:r>
              <w:rPr>
                <w:rFonts w:hint="eastAsia" w:ascii="宋体" w:hAnsi="宋体" w:cs="宋体"/>
                <w:szCs w:val="21"/>
              </w:rPr>
              <w:t xml:space="preserve">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2026年9月4日13：30（北京时间）</w:t>
            </w:r>
            <w:r/>
          </w:p>
          <w:p>
            <w:pPr>
              <w:pStyle w:val="93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2026年9月4日13：30（北京时间）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2026年9月4日13：30（北京时间）</w:t>
            </w:r>
            <w:r/>
          </w:p>
          <w:p>
            <w:pPr>
              <w:jc w:val="left"/>
              <w:spacing w:line="312" w:lineRule="auto"/>
              <w:rPr>
                <w:rFonts w:ascii="宋体" w:hAnsi="宋体" w:cs="宋体"/>
              </w:rPr>
            </w:pPr>
            <w:r>
              <w:rPr>
                <w:rFonts w:hint="eastAsia" w:ascii="宋体" w:hAnsi="宋体" w:cs="宋体"/>
                <w:szCs w:val="21"/>
              </w:rPr>
              <w:t xml:space="preserve">苏州市干将西路399号银海大厦302A室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1"/>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本项目在编制预算时已综合考虑采购代理服务费，根据代理协议约定，本项目采购代理服务费由中标单位支付，请各供应商在投标报价中综合考虑。中标单位在领取中标通知书时向招标代理机构一次性支付。</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预算金额100万元以下部分，费率为该部分预算金额的1.5%；</w:t>
            </w:r>
            <w:r/>
          </w:p>
          <w:p>
            <w:pPr>
              <w:spacing w:line="360" w:lineRule="auto"/>
              <w:rPr>
                <w:rFonts w:ascii="宋体" w:hAnsi="宋体" w:cs="宋体"/>
              </w:rPr>
            </w:pPr>
            <w:r>
              <w:rPr>
                <w:rFonts w:hint="eastAsia" w:ascii="宋体" w:hAnsi="宋体" w:cs="宋体"/>
              </w:rPr>
              <w:t xml:space="preserve">预算金额100万元（含）－500万元部分，费率为该部分预算金额的1.1%；</w:t>
            </w:r>
            <w:r/>
          </w:p>
          <w:p>
            <w:pPr>
              <w:spacing w:line="360" w:lineRule="auto"/>
              <w:rPr>
                <w:rFonts w:ascii="宋体" w:hAnsi="宋体" w:cs="宋体"/>
              </w:rPr>
            </w:pPr>
            <w:r>
              <w:rPr>
                <w:rFonts w:hint="eastAsia" w:ascii="宋体" w:hAnsi="宋体" w:cs="宋体"/>
              </w:rPr>
              <w:t xml:space="preserve">预算金额500万元（含）-1000万元部分，费率为该部分预算金额的0.8%；</w:t>
            </w:r>
            <w:r/>
          </w:p>
          <w:p>
            <w:pPr>
              <w:spacing w:line="360" w:lineRule="auto"/>
              <w:rPr>
                <w:rFonts w:ascii="宋体" w:hAnsi="宋体" w:cs="宋体"/>
              </w:rPr>
            </w:pPr>
            <w:r>
              <w:rPr>
                <w:rFonts w:hint="eastAsia" w:ascii="宋体" w:hAnsi="宋体" w:cs="宋体"/>
              </w:rPr>
              <w:t xml:space="preserve">预算金额1000万元（含）-5000万元部分，费率为该部分预算金额的0.5%；</w:t>
            </w:r>
            <w:r/>
          </w:p>
          <w:p>
            <w:pPr>
              <w:spacing w:line="360" w:lineRule="auto"/>
              <w:rPr>
                <w:rFonts w:ascii="宋体" w:hAnsi="宋体" w:cs="宋体"/>
              </w:rPr>
            </w:pPr>
            <w:r>
              <w:rPr>
                <w:rFonts w:hint="eastAsia" w:ascii="宋体" w:hAnsi="宋体" w:cs="宋体"/>
              </w:rPr>
              <w:t xml:space="preserve">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70%进行计算收取。如按上述方法计算的金额低于人民币3000元整的，则本项目代理服务费按人民币3000元整计收。根据代理协议约定，本项目中标服务费为壹万陆仟贰佰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pStyle w:val="947"/>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招标书</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脑机接口-智能评估与干预系统（数字脑电图仪+经颅直流电刺激仪）</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2026年9月4日13点30分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02"/>
      <w:r/>
      <w:bookmarkStart w:id="5" w:name="_Toc28359079"/>
      <w:r/>
      <w:bookmarkStart w:id="6" w:name="_Toc35393790"/>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1.项目编号：JSZC-320000-CJZB-G2026-0088</w:t>
      </w:r>
      <w:r/>
    </w:p>
    <w:p>
      <w:pPr>
        <w:ind w:firstLine="420"/>
        <w:spacing w:line="360" w:lineRule="auto"/>
        <w:rPr>
          <w:rFonts w:ascii="宋体" w:hAnsi="宋体" w:cs="宋体"/>
          <w:szCs w:val="21"/>
        </w:rPr>
      </w:pPr>
      <w:r>
        <w:rPr>
          <w:rFonts w:hint="eastAsia" w:ascii="宋体" w:hAnsi="宋体" w:cs="宋体"/>
          <w:szCs w:val="21"/>
        </w:rPr>
        <w:t xml:space="preserve">2.项目名称：脑机接口-智能评估与干预系统（数字脑电图仪+经颅直流电刺激仪）</w:t>
      </w:r>
      <w:bookmarkEnd w:id="8"/>
      <w:r/>
      <w:r/>
    </w:p>
    <w:p>
      <w:pPr>
        <w:ind w:firstLine="420"/>
        <w:spacing w:line="360" w:lineRule="auto"/>
        <w:rPr>
          <w:rFonts w:ascii="宋体" w:hAnsi="宋体" w:cs="宋体"/>
          <w:szCs w:val="21"/>
        </w:rPr>
      </w:pPr>
      <w:r>
        <w:rPr>
          <w:rFonts w:hint="eastAsia" w:ascii="宋体" w:hAnsi="宋体" w:cs="宋体"/>
          <w:szCs w:val="21"/>
        </w:rPr>
        <w:t xml:space="preserve">3.预算金额：人民币贰佰万元整（¥：2000000.00）</w:t>
      </w:r>
      <w:r/>
    </w:p>
    <w:p>
      <w:pPr>
        <w:ind w:firstLine="630"/>
        <w:spacing w:line="360" w:lineRule="auto"/>
        <w:rPr>
          <w:rFonts w:ascii="宋体" w:hAnsi="宋体" w:cs="宋体"/>
          <w:szCs w:val="21"/>
        </w:rPr>
      </w:pPr>
      <w:r>
        <w:rPr>
          <w:rFonts w:hint="eastAsia" w:ascii="宋体" w:hAnsi="宋体" w:cs="宋体"/>
          <w:szCs w:val="21"/>
        </w:rPr>
        <w:t xml:space="preserve">最高限价：人民币贰佰万元整（¥：2000000.00）</w:t>
      </w:r>
      <w:r/>
    </w:p>
    <w:p>
      <w:pPr>
        <w:ind w:firstLine="420"/>
        <w:spacing w:line="360" w:lineRule="auto"/>
        <w:rPr>
          <w:rFonts w:ascii="宋体" w:hAnsi="宋体" w:cs="宋体"/>
          <w:szCs w:val="21"/>
        </w:rPr>
      </w:pPr>
      <w:r>
        <w:rPr>
          <w:rFonts w:hint="eastAsia" w:ascii="宋体" w:hAnsi="宋体" w:cs="宋体"/>
          <w:szCs w:val="21"/>
        </w:rPr>
        <w:t xml:space="preserve">4.采购需求：脑机接口-智能评估与干预系统（数字脑电图仪+经颅直流电刺激仪） 1套，不接受进口产品投标。</w:t>
      </w:r>
      <w:r/>
    </w:p>
    <w:p>
      <w:pPr>
        <w:ind w:firstLine="420"/>
        <w:spacing w:line="360" w:lineRule="auto"/>
        <w:rPr>
          <w:rFonts w:ascii="宋体" w:hAnsi="宋体" w:cs="宋体"/>
          <w:szCs w:val="21"/>
        </w:rPr>
      </w:pPr>
      <w:r/>
      <w:bookmarkStart w:id="9" w:name="_Toc28359080"/>
      <w:r/>
      <w:bookmarkStart w:id="10" w:name="_Toc35393791"/>
      <w:r/>
      <w:bookmarkStart w:id="11" w:name="_Toc35393622"/>
      <w:r/>
      <w:bookmarkStart w:id="12" w:name="_Toc28359003"/>
      <w:r>
        <w:rPr>
          <w:rFonts w:hint="eastAsia" w:ascii="宋体" w:hAnsi="宋体" w:cs="宋体"/>
          <w:szCs w:val="21"/>
        </w:rPr>
        <w:t xml:space="preserve">5.合同履行期限：合同签订后60天内安装调试完毕，整机原厂免费质保期为验收合格之日起不低于3年。</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w:t>
      </w:r>
      <w:r>
        <w:rPr>
          <w:rFonts w:hint="eastAsia" w:ascii="宋体" w:hAnsi="宋体" w:cs="宋体"/>
          <w:szCs w:val="21"/>
        </w:rPr>
        <w:t xml:space="preserve">投标单位具有与所投产品相对应的医疗器械生产或经营(许可)资格。</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26"/>
        <w:spacing w:line="360" w:lineRule="auto"/>
        <w:rPr>
          <w:rFonts w:ascii="宋体" w:hAnsi="宋体" w:eastAsia="宋体" w:cs="宋体"/>
          <w:sz w:val="21"/>
          <w:szCs w:val="21"/>
        </w:rPr>
      </w:pPr>
      <w:r/>
      <w:bookmarkStart w:id="21" w:name="_Toc35393625"/>
      <w:r/>
      <w:bookmarkStart w:id="22" w:name="_Toc35393794"/>
      <w:r/>
      <w:bookmarkStart w:id="23" w:name="_Toc28359084"/>
      <w:r/>
      <w:bookmarkStart w:id="24" w:name="_Toc28359007"/>
      <w:r>
        <w:rPr>
          <w:rFonts w:hint="eastAsia" w:ascii="宋体" w:hAnsi="宋体" w:eastAsia="宋体" w:cs="宋体"/>
          <w:sz w:val="21"/>
          <w:szCs w:val="21"/>
        </w:rPr>
        <w:t xml:space="preserve">1.提交投标文件截止时间：2026年9月4日13：30（北京时间）； </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2.开标时间：2026年9月4日13：30（北京时间）；</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5" w:name="_Toc35393626"/>
      <w:r/>
      <w:bookmarkStart w:id="26" w:name="_Toc35393795"/>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2.本公告有关信息将同时在江苏省政府采购网上发布，敬请留意！</w:t>
      </w:r>
      <w:r/>
    </w:p>
    <w:p>
      <w:pPr>
        <w:ind w:firstLine="422"/>
        <w:spacing w:line="360" w:lineRule="auto"/>
        <w:rPr>
          <w:rFonts w:ascii="宋体" w:hAnsi="宋体" w:cs="宋体"/>
          <w:b/>
          <w:szCs w:val="21"/>
        </w:rPr>
      </w:pPr>
      <w:r/>
      <w:bookmarkStart w:id="27" w:name="_Toc28359008"/>
      <w:r/>
      <w:bookmarkStart w:id="28" w:name="_Toc35393627"/>
      <w:r/>
      <w:bookmarkStart w:id="29" w:name="_Toc28359085"/>
      <w:r/>
      <w:bookmarkStart w:id="30" w:name="_Toc35393796"/>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35393786"/>
      <w:r/>
      <w:bookmarkStart w:id="32" w:name="_Toc28358998"/>
      <w:r/>
      <w:bookmarkStart w:id="33" w:name="_Toc35393617"/>
      <w:r/>
      <w:bookmarkStart w:id="34" w:name="_Toc28359075"/>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址：苏州市姑苏区平海路899号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联系人：周小飞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话：0512-67972785</w:t>
      </w:r>
      <w:r/>
    </w:p>
    <w:p>
      <w:pPr>
        <w:ind w:firstLine="420"/>
        <w:jc w:val="left"/>
        <w:spacing w:line="360" w:lineRule="auto"/>
        <w:widowControl/>
        <w:rPr>
          <w:rFonts w:ascii="宋体" w:hAnsi="宋体" w:cs="宋体"/>
          <w:szCs w:val="21"/>
        </w:rPr>
      </w:pPr>
      <w:r/>
      <w:bookmarkStart w:id="35" w:name="_Toc28359000"/>
      <w:r/>
      <w:bookmarkStart w:id="36" w:name="_Toc35393619"/>
      <w:r/>
      <w:bookmarkStart w:id="37" w:name="_Toc35393788"/>
      <w:r/>
      <w:bookmarkStart w:id="38" w:name="_Toc28359077"/>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3"/>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第二章 招标书</w:t>
      </w:r>
      <w:r/>
    </w:p>
    <w:p>
      <w:pPr>
        <w:ind w:firstLine="420"/>
        <w:spacing w:line="360" w:lineRule="auto"/>
        <w:rPr>
          <w:rFonts w:ascii="宋体" w:hAnsi="宋体" w:cs="宋体"/>
          <w:lang w:val="zh-CN"/>
        </w:rPr>
      </w:pPr>
      <w:r/>
      <w:bookmarkStart w:id="40"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脑机接口-智能评估与干预系统（数字脑电图仪+经颅直流电刺激仪）</w:t>
      </w:r>
      <w:r>
        <w:rPr>
          <w:rFonts w:hint="eastAsia" w:ascii="宋体" w:hAnsi="宋体" w:cs="宋体"/>
          <w:szCs w:val="21"/>
          <w:lang w:val="zh-CN"/>
        </w:rPr>
        <w:t xml:space="preserve">的政府采购进行国内公开招标。</w:t>
      </w:r>
      <w:r/>
    </w:p>
    <w:p>
      <w:pPr>
        <w:pStyle w:val="919"/>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JSZC-320000-CJZB-G2026-0088号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脑机接口-智能评估与干预系统（数字脑电图仪+经颅直流电刺激仪）</w:t>
      </w:r>
      <w:r/>
    </w:p>
    <w:p>
      <w:pPr>
        <w:numPr>
          <w:ilvl w:val="0"/>
          <w:numId w:val="3"/>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预算金额：人民币贰佰万元整（¥：2000000.00）</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最高限价：人民币贰佰万元整（¥：2000000.00）</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脑机接口-智能评估与干预系统（数字脑电图仪+经颅直流电刺激仪）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（一）适用范围：适用于神经内科睡眠障碍、癫痫、失语疾病、认知障碍等患者的病情评估、早期干预。</w:t>
      </w:r>
      <w:r/>
    </w:p>
    <w:p>
      <w:pPr>
        <w:ind w:firstLine="420"/>
        <w:spacing w:line="360" w:lineRule="auto"/>
        <w:rPr>
          <w:rFonts w:ascii="宋体" w:hAnsi="宋体" w:cs="宋体"/>
          <w:szCs w:val="21"/>
        </w:rPr>
      </w:pPr>
      <w:r>
        <w:rPr>
          <w:rFonts w:hint="eastAsia" w:ascii="宋体" w:hAnsi="宋体" w:cs="宋体"/>
          <w:szCs w:val="21"/>
        </w:rPr>
        <w:t xml:space="preserve">（二）参数要求：</w:t>
      </w:r>
      <w:r/>
    </w:p>
    <w:p>
      <w:pPr>
        <w:ind w:firstLine="420"/>
        <w:spacing w:line="360" w:lineRule="auto"/>
        <w:rPr>
          <w:rFonts w:ascii="宋体" w:hAnsi="宋体" w:cs="宋体"/>
          <w:szCs w:val="21"/>
        </w:rPr>
      </w:pPr>
      <w:r>
        <w:rPr>
          <w:rFonts w:hint="eastAsia" w:ascii="宋体" w:hAnsi="宋体" w:cs="宋体"/>
          <w:szCs w:val="21"/>
        </w:rPr>
        <w:t xml:space="preserve">一) 数字脑电图机</w:t>
      </w:r>
      <w:r/>
    </w:p>
    <w:p>
      <w:pPr>
        <w:ind w:firstLine="420"/>
        <w:spacing w:line="360" w:lineRule="auto"/>
        <w:rPr>
          <w:rFonts w:ascii="宋体" w:hAnsi="宋体" w:cs="宋体"/>
          <w:szCs w:val="21"/>
        </w:rPr>
      </w:pPr>
      <w:r>
        <w:rPr>
          <w:rFonts w:hint="eastAsia" w:ascii="宋体" w:hAnsi="宋体" w:cs="宋体"/>
          <w:szCs w:val="21"/>
        </w:rPr>
        <w:t xml:space="preserve">▲1.主机数据接口须具备放大器接口≥1个； 网络接口≥1个；事件按键接口≥1个；Trigger-In接 口 ≥ 1个；USB接口≥1个。</w:t>
      </w:r>
      <w:r/>
    </w:p>
    <w:p>
      <w:pPr>
        <w:ind w:firstLine="420"/>
        <w:spacing w:line="360" w:lineRule="auto"/>
        <w:rPr>
          <w:rFonts w:ascii="宋体" w:hAnsi="宋体" w:cs="宋体"/>
          <w:szCs w:val="21"/>
        </w:rPr>
      </w:pPr>
      <w:r>
        <w:rPr>
          <w:rFonts w:hint="eastAsia" w:ascii="宋体" w:hAnsi="宋体" w:cs="宋体"/>
          <w:szCs w:val="21"/>
        </w:rPr>
        <w:t xml:space="preserve">2.设备连接方式可通过网线或USB连接。</w:t>
      </w:r>
      <w:r/>
    </w:p>
    <w:p>
      <w:pPr>
        <w:ind w:firstLine="420"/>
        <w:spacing w:line="360" w:lineRule="auto"/>
        <w:rPr>
          <w:rFonts w:ascii="宋体" w:hAnsi="宋体" w:cs="宋体"/>
          <w:szCs w:val="21"/>
        </w:rPr>
      </w:pPr>
      <w:r>
        <w:rPr>
          <w:rFonts w:hint="eastAsia" w:ascii="宋体" w:hAnsi="宋体" w:cs="宋体"/>
          <w:szCs w:val="21"/>
        </w:rPr>
        <w:t xml:space="preserve">▲3.具备专用Trigger-In接口，实现与TMS同步脑电（TMS-EEG）、fNIRS同步脑电（fNIRS-EEG）等设备连接。</w:t>
      </w:r>
      <w:r/>
    </w:p>
    <w:p>
      <w:pPr>
        <w:ind w:firstLine="420"/>
        <w:spacing w:line="360" w:lineRule="auto"/>
        <w:rPr>
          <w:rFonts w:ascii="宋体" w:hAnsi="宋体" w:cs="宋体"/>
          <w:szCs w:val="21"/>
        </w:rPr>
      </w:pPr>
      <w:r>
        <w:rPr>
          <w:rFonts w:hint="eastAsia" w:ascii="宋体" w:hAnsi="宋体" w:cs="宋体"/>
          <w:szCs w:val="21"/>
        </w:rPr>
        <w:t xml:space="preserve">4.放大器通道具备脑电（EEG）输入端≥56个、双极输入端≥15对。</w:t>
      </w:r>
      <w:r/>
    </w:p>
    <w:p>
      <w:pPr>
        <w:ind w:firstLine="420"/>
        <w:spacing w:line="360" w:lineRule="auto"/>
        <w:rPr>
          <w:rFonts w:ascii="宋体" w:hAnsi="宋体" w:cs="宋体"/>
          <w:szCs w:val="21"/>
        </w:rPr>
      </w:pPr>
      <w:r>
        <w:rPr>
          <w:rFonts w:hint="eastAsia" w:ascii="宋体" w:hAnsi="宋体" w:cs="宋体"/>
          <w:szCs w:val="21"/>
        </w:rPr>
        <w:t xml:space="preserve">5.具备脑电帽快接端口，放大器自身集成脑电帽快接端口，无需使用转接器，确保连接的稳定性。</w:t>
      </w:r>
      <w:r/>
    </w:p>
    <w:p>
      <w:pPr>
        <w:ind w:firstLine="420"/>
        <w:spacing w:line="360" w:lineRule="auto"/>
        <w:rPr>
          <w:rFonts w:ascii="宋体" w:hAnsi="宋体" w:cs="宋体"/>
          <w:szCs w:val="21"/>
        </w:rPr>
      </w:pPr>
      <w:r>
        <w:rPr>
          <w:rFonts w:hint="eastAsia" w:ascii="宋体" w:hAnsi="宋体" w:cs="宋体"/>
          <w:szCs w:val="21"/>
        </w:rPr>
        <w:t xml:space="preserve">6.噪声电平需≤1.5 μVp-p ，具备极高的抗干扰能力。</w:t>
      </w:r>
      <w:r/>
    </w:p>
    <w:p>
      <w:pPr>
        <w:ind w:firstLine="420"/>
        <w:spacing w:line="360" w:lineRule="auto"/>
        <w:rPr>
          <w:rFonts w:ascii="宋体" w:hAnsi="宋体" w:cs="宋体"/>
          <w:szCs w:val="21"/>
        </w:rPr>
      </w:pPr>
      <w:r>
        <w:rPr>
          <w:rFonts w:hint="eastAsia" w:ascii="宋体" w:hAnsi="宋体" w:cs="宋体"/>
          <w:szCs w:val="21"/>
        </w:rPr>
        <w:t xml:space="preserve">7.共模抑制比：各道≥115dB ，具备极高的抗干扰能力。</w:t>
      </w:r>
      <w:r/>
    </w:p>
    <w:p>
      <w:pPr>
        <w:ind w:firstLine="420"/>
        <w:spacing w:line="360" w:lineRule="auto"/>
        <w:rPr>
          <w:rFonts w:ascii="宋体" w:hAnsi="宋体" w:cs="宋体"/>
          <w:szCs w:val="21"/>
        </w:rPr>
      </w:pPr>
      <w:r>
        <w:rPr>
          <w:rFonts w:hint="eastAsia" w:ascii="宋体" w:hAnsi="宋体" w:cs="宋体"/>
          <w:szCs w:val="21"/>
        </w:rPr>
        <w:t xml:space="preserve">8.输入阻抗：各道≥100M Ω , 具备极高的抗干扰能力。</w:t>
      </w:r>
      <w:r/>
    </w:p>
    <w:p>
      <w:pPr>
        <w:ind w:firstLine="420"/>
        <w:spacing w:line="360" w:lineRule="auto"/>
        <w:rPr>
          <w:rFonts w:ascii="宋体" w:hAnsi="宋体" w:cs="宋体"/>
          <w:szCs w:val="21"/>
        </w:rPr>
      </w:pPr>
      <w:r>
        <w:rPr>
          <w:rFonts w:hint="eastAsia" w:ascii="宋体" w:hAnsi="宋体" w:cs="宋体"/>
          <w:szCs w:val="21"/>
        </w:rPr>
        <w:t xml:space="preserve">9.具备采样率≥于2000Hz采样记录信号。</w:t>
      </w:r>
      <w:r/>
    </w:p>
    <w:p>
      <w:pPr>
        <w:ind w:firstLine="420"/>
        <w:spacing w:line="360" w:lineRule="auto"/>
        <w:rPr>
          <w:rFonts w:ascii="宋体" w:hAnsi="宋体" w:cs="宋体"/>
          <w:szCs w:val="21"/>
        </w:rPr>
      </w:pPr>
      <w:r>
        <w:rPr>
          <w:rFonts w:hint="eastAsia" w:ascii="宋体" w:hAnsi="宋体" w:cs="宋体"/>
          <w:szCs w:val="21"/>
        </w:rPr>
        <w:t xml:space="preserve">10.可在数据录制过程中，回看已录制的部分。</w:t>
      </w:r>
      <w:r/>
    </w:p>
    <w:p>
      <w:pPr>
        <w:ind w:firstLine="420"/>
        <w:spacing w:line="360" w:lineRule="auto"/>
        <w:rPr>
          <w:rFonts w:ascii="宋体" w:hAnsi="宋体" w:cs="宋体"/>
          <w:szCs w:val="21"/>
        </w:rPr>
      </w:pPr>
      <w:r>
        <w:rPr>
          <w:rFonts w:hint="eastAsia" w:ascii="宋体" w:hAnsi="宋体" w:cs="宋体"/>
          <w:szCs w:val="21"/>
        </w:rPr>
        <w:t xml:space="preserve">11.可将采集完成的数据导出为独立数据包，可在任何未安装本设备软件系统的电脑上回看数据，方便学术交流、教学等使用目的。</w:t>
      </w:r>
      <w:r/>
    </w:p>
    <w:p>
      <w:pPr>
        <w:ind w:firstLine="420"/>
        <w:spacing w:line="360" w:lineRule="auto"/>
        <w:rPr>
          <w:rFonts w:ascii="宋体" w:hAnsi="宋体" w:cs="宋体"/>
          <w:szCs w:val="21"/>
        </w:rPr>
      </w:pPr>
      <w:r>
        <w:rPr>
          <w:rFonts w:hint="eastAsia" w:ascii="宋体" w:hAnsi="宋体" w:cs="宋体"/>
          <w:szCs w:val="21"/>
        </w:rPr>
        <w:t xml:space="preserve">12.具备人工智能算法， 自动识别、统计棘波发放情况，帮助医生快速定位发作片段。</w:t>
      </w:r>
      <w:r/>
    </w:p>
    <w:p>
      <w:pPr>
        <w:ind w:firstLine="420"/>
        <w:spacing w:line="360" w:lineRule="auto"/>
        <w:rPr>
          <w:rFonts w:ascii="宋体" w:hAnsi="宋体" w:cs="宋体"/>
          <w:szCs w:val="21"/>
        </w:rPr>
      </w:pPr>
      <w:r>
        <w:rPr>
          <w:rFonts w:hint="eastAsia" w:ascii="宋体" w:hAnsi="宋体" w:cs="宋体"/>
          <w:szCs w:val="21"/>
        </w:rPr>
        <w:t xml:space="preserve">▲13.具备指定的高频振荡频带能量以背景颜色的形式，叠加在原始波形后面，通过颜色有误、深浅实时提示高频能量发放的时序、空间信息。同时具备数据采集和回放。</w:t>
      </w:r>
      <w:r/>
    </w:p>
    <w:p>
      <w:pPr>
        <w:ind w:firstLine="420"/>
        <w:spacing w:line="360" w:lineRule="auto"/>
        <w:rPr>
          <w:rFonts w:ascii="宋体" w:hAnsi="宋体" w:cs="宋体"/>
          <w:szCs w:val="21"/>
        </w:rPr>
      </w:pPr>
      <w:r>
        <w:rPr>
          <w:rFonts w:hint="eastAsia" w:ascii="宋体" w:hAnsi="宋体" w:cs="宋体"/>
          <w:szCs w:val="21"/>
        </w:rPr>
        <w:t xml:space="preserve">14.具备可进行在线阻抗监测和离线阻抗检测。</w:t>
      </w:r>
      <w:r/>
    </w:p>
    <w:p>
      <w:pPr>
        <w:ind w:firstLine="420"/>
        <w:spacing w:line="360" w:lineRule="auto"/>
        <w:rPr>
          <w:rFonts w:ascii="宋体" w:hAnsi="宋体" w:cs="宋体"/>
          <w:szCs w:val="21"/>
        </w:rPr>
      </w:pPr>
      <w:r>
        <w:rPr>
          <w:rFonts w:hint="eastAsia" w:ascii="宋体" w:hAnsi="宋体" w:cs="宋体"/>
          <w:szCs w:val="21"/>
        </w:rPr>
        <w:t xml:space="preserve">15.刺激频率范围具备0.001～5000Hz连续可调，步距 0.01 Hz ，误差应不大于±10%设定值；</w:t>
      </w:r>
      <w:r/>
    </w:p>
    <w:p>
      <w:pPr>
        <w:ind w:firstLine="420"/>
        <w:spacing w:line="360" w:lineRule="auto"/>
        <w:rPr>
          <w:rFonts w:ascii="宋体" w:hAnsi="宋体" w:cs="宋体"/>
          <w:szCs w:val="21"/>
        </w:rPr>
      </w:pPr>
      <w:r>
        <w:rPr>
          <w:rFonts w:hint="eastAsia" w:ascii="宋体" w:hAnsi="宋体" w:cs="宋体"/>
          <w:szCs w:val="21"/>
        </w:rPr>
        <w:t xml:space="preserve">二) 经颅直流电刺激仪</w:t>
      </w:r>
      <w:r/>
    </w:p>
    <w:p>
      <w:pPr>
        <w:ind w:firstLine="420"/>
        <w:spacing w:line="360" w:lineRule="auto"/>
        <w:rPr>
          <w:rFonts w:ascii="宋体" w:hAnsi="宋体" w:cs="宋体"/>
          <w:szCs w:val="21"/>
        </w:rPr>
      </w:pPr>
      <w:r>
        <w:rPr>
          <w:rFonts w:hint="eastAsia" w:ascii="宋体" w:hAnsi="宋体" w:cs="宋体"/>
          <w:szCs w:val="21"/>
        </w:rPr>
        <w:t xml:space="preserve">1.刺激频率范围具备0.001～5000Hz连续可调，步进 0.01 Hz ，误差±10%设定值。</w:t>
      </w:r>
      <w:r/>
    </w:p>
    <w:p>
      <w:pPr>
        <w:ind w:firstLine="420"/>
        <w:spacing w:line="360" w:lineRule="auto"/>
        <w:rPr>
          <w:rFonts w:ascii="宋体" w:hAnsi="宋体" w:cs="宋体"/>
          <w:szCs w:val="21"/>
        </w:rPr>
      </w:pPr>
      <w:r>
        <w:rPr>
          <w:rFonts w:hint="eastAsia" w:ascii="宋体" w:hAnsi="宋体" w:cs="宋体"/>
          <w:szCs w:val="21"/>
        </w:rPr>
        <w:t xml:space="preserve">▲2.具备多个通道独立编程，具备tDCS ，tACS ，toDCS ，tPCS 、tRNS 、调幅、经颅定制电流刺激、多通道自定义波形刺激、时间干涉刺激。</w:t>
      </w:r>
      <w:r/>
    </w:p>
    <w:p>
      <w:pPr>
        <w:ind w:firstLine="420"/>
        <w:spacing w:line="360" w:lineRule="auto"/>
        <w:rPr>
          <w:rFonts w:ascii="宋体" w:hAnsi="宋体" w:cs="宋体"/>
          <w:szCs w:val="21"/>
        </w:rPr>
      </w:pPr>
      <w:r>
        <w:rPr>
          <w:rFonts w:hint="eastAsia" w:ascii="宋体" w:hAnsi="宋体" w:cs="宋体"/>
          <w:szCs w:val="21"/>
        </w:rPr>
        <w:t xml:space="preserve">▲3.具备Trigger IN和 Trigger OUT接口，具备输入/输出TTL信号，可实现与脑电等设备同步，满足方便开展EEG-tES-EEG 相关研究需求；具备有线和UDP通信两种方式。</w:t>
      </w:r>
      <w:r/>
    </w:p>
    <w:p>
      <w:pPr>
        <w:ind w:firstLine="420"/>
        <w:spacing w:line="360" w:lineRule="auto"/>
        <w:rPr>
          <w:rFonts w:ascii="宋体" w:hAnsi="宋体" w:cs="宋体"/>
          <w:szCs w:val="21"/>
        </w:rPr>
      </w:pPr>
      <w:r>
        <w:rPr>
          <w:rFonts w:hint="eastAsia" w:ascii="宋体" w:hAnsi="宋体" w:cs="宋体"/>
          <w:szCs w:val="21"/>
        </w:rPr>
        <w:t xml:space="preserve">4.设备具备≥16通道，同时具备≥8个返回电极，可支持≥8个人使用。</w:t>
      </w:r>
      <w:r/>
    </w:p>
    <w:p>
      <w:pPr>
        <w:ind w:firstLine="420"/>
        <w:spacing w:line="360" w:lineRule="auto"/>
        <w:rPr>
          <w:rFonts w:ascii="宋体" w:hAnsi="宋体" w:cs="宋体"/>
          <w:szCs w:val="21"/>
        </w:rPr>
      </w:pPr>
      <w:r>
        <w:rPr>
          <w:rFonts w:hint="eastAsia" w:ascii="宋体" w:hAnsi="宋体" w:cs="宋体"/>
          <w:szCs w:val="21"/>
        </w:rPr>
        <w:t xml:space="preserve">5.具有时钟同步接口，具备多台设备相位同步刺激。</w:t>
      </w:r>
      <w:r/>
    </w:p>
    <w:p>
      <w:pPr>
        <w:ind w:firstLine="420"/>
        <w:spacing w:line="360" w:lineRule="auto"/>
        <w:rPr>
          <w:rFonts w:ascii="宋体" w:hAnsi="宋体" w:cs="宋体"/>
          <w:szCs w:val="21"/>
        </w:rPr>
      </w:pPr>
      <w:r>
        <w:rPr>
          <w:rFonts w:hint="eastAsia" w:ascii="宋体" w:hAnsi="宋体" w:cs="宋体"/>
          <w:szCs w:val="21"/>
        </w:rPr>
        <w:t xml:space="preserve">6.支持单/双盲模式，具备单双盲对照实验功能。</w:t>
      </w:r>
      <w:r/>
    </w:p>
    <w:p>
      <w:pPr>
        <w:ind w:firstLine="420"/>
        <w:spacing w:line="360" w:lineRule="auto"/>
        <w:rPr>
          <w:rFonts w:ascii="宋体" w:hAnsi="宋体" w:cs="宋体"/>
          <w:szCs w:val="21"/>
        </w:rPr>
      </w:pPr>
      <w:r>
        <w:rPr>
          <w:rFonts w:hint="eastAsia" w:ascii="宋体" w:hAnsi="宋体" w:cs="宋体"/>
          <w:szCs w:val="21"/>
        </w:rPr>
        <w:t xml:space="preserve">7.软件支持中文、英文操作。</w:t>
      </w:r>
      <w:r/>
    </w:p>
    <w:p>
      <w:pPr>
        <w:ind w:firstLine="422"/>
        <w:spacing w:line="360" w:lineRule="auto"/>
        <w:rPr>
          <w:rFonts w:ascii="宋体" w:hAnsi="宋体" w:cs="宋体"/>
          <w:b/>
          <w:bCs/>
          <w:szCs w:val="21"/>
        </w:rPr>
      </w:pPr>
      <w:r>
        <w:rPr>
          <w:rFonts w:hint="eastAsia" w:ascii="宋体" w:hAnsi="宋体" w:cs="宋体"/>
          <w:b/>
          <w:bCs/>
          <w:szCs w:val="21"/>
        </w:rPr>
        <w:t xml:space="preserve">★三）配置清单</w:t>
      </w:r>
      <w:r/>
    </w:p>
    <w:p>
      <w:pPr>
        <w:ind w:firstLine="420"/>
        <w:spacing w:line="360" w:lineRule="auto"/>
        <w:rPr>
          <w:rFonts w:ascii="宋体" w:hAnsi="宋体" w:cs="宋体"/>
          <w:szCs w:val="21"/>
        </w:rPr>
      </w:pPr>
      <w:r>
        <w:rPr>
          <w:rFonts w:hint="eastAsia" w:ascii="宋体" w:hAnsi="宋体" w:cs="宋体"/>
          <w:szCs w:val="21"/>
        </w:rPr>
        <w:t xml:space="preserve">1.数字脑电图机1套</w:t>
      </w:r>
      <w:r/>
    </w:p>
    <w:p>
      <w:pPr>
        <w:ind w:firstLine="420"/>
        <w:spacing w:line="360" w:lineRule="auto"/>
        <w:rPr>
          <w:rFonts w:ascii="宋体" w:hAnsi="宋体" w:cs="宋体"/>
          <w:szCs w:val="21"/>
        </w:rPr>
      </w:pPr>
      <w:r>
        <w:rPr>
          <w:rFonts w:hint="eastAsia" w:ascii="宋体" w:hAnsi="宋体" w:cs="宋体"/>
          <w:szCs w:val="21"/>
        </w:rPr>
        <w:t xml:space="preserve">2.经颅电刺激仪1套</w:t>
      </w:r>
      <w:r/>
    </w:p>
    <w:p>
      <w:pPr>
        <w:ind w:firstLine="422"/>
        <w:spacing w:line="360" w:lineRule="auto"/>
        <w:rPr>
          <w:rFonts w:ascii="宋体" w:hAnsi="宋体" w:cs="宋体"/>
          <w:b/>
          <w:bCs/>
          <w:szCs w:val="21"/>
        </w:rPr>
      </w:pPr>
      <w:r>
        <w:rPr>
          <w:rFonts w:hint="eastAsia" w:ascii="宋体" w:hAnsi="宋体" w:cs="宋体"/>
          <w:b/>
          <w:bCs/>
          <w:szCs w:val="21"/>
        </w:rPr>
        <w:t xml:space="preserve">注：以上技术要求中加★的为实质性必须满足项</w:t>
      </w:r>
      <w:r>
        <w:rPr>
          <w:rFonts w:hint="eastAsia" w:ascii="宋体" w:hAnsi="宋体" w:cs="宋体"/>
          <w:szCs w:val="21"/>
        </w:rPr>
        <w:t xml:space="preserve">，</w:t>
      </w:r>
      <w:r>
        <w:rPr>
          <w:rFonts w:hint="eastAsia" w:ascii="宋体" w:hAnsi="宋体" w:cs="宋体"/>
          <w:b/>
          <w:bCs/>
          <w:szCs w:val="21"/>
        </w:rPr>
        <w:t xml:space="preserve">投标人须全部满足，不满足任意一项★项技术要求的，即视为未实质性响应招标文件，其投标作无效投标处理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六、设备质量要求：</w:t>
      </w:r>
      <w:r/>
    </w:p>
    <w:p>
      <w:pPr>
        <w:ind w:firstLine="420"/>
        <w:spacing w:line="360" w:lineRule="auto"/>
        <w:rPr>
          <w:rFonts w:ascii="宋体" w:hAnsi="宋体" w:cs="宋体"/>
          <w:szCs w:val="21"/>
        </w:rPr>
      </w:pPr>
      <w:r>
        <w:rPr>
          <w:rFonts w:hint="eastAsia" w:ascii="宋体" w:hAnsi="宋体" w:cs="宋体"/>
          <w:szCs w:val="21"/>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szCs w:val="21"/>
        </w:rPr>
      </w:pPr>
      <w:r>
        <w:rPr>
          <w:rFonts w:hint="eastAsia" w:ascii="宋体" w:hAnsi="宋体" w:cs="宋体"/>
          <w:szCs w:val="21"/>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3.所有设备、附（配）件应具备该类产品的功能要求，无瑕疵和缺陷，质量为合格产品，同时有明确的生产厂商或制造厂商。 </w:t>
      </w:r>
      <w:r/>
    </w:p>
    <w:p>
      <w:pPr>
        <w:ind w:firstLine="420"/>
        <w:spacing w:line="360" w:lineRule="auto"/>
        <w:rPr>
          <w:rFonts w:ascii="宋体" w:hAnsi="宋体" w:cs="宋体"/>
          <w:szCs w:val="21"/>
        </w:rPr>
      </w:pPr>
      <w:r>
        <w:rPr>
          <w:rFonts w:hint="eastAsia" w:ascii="宋体" w:hAnsi="宋体" w:cs="宋体"/>
          <w:szCs w:val="21"/>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七、售后服务要求：</w:t>
      </w:r>
      <w:r/>
    </w:p>
    <w:p>
      <w:pPr>
        <w:ind w:firstLine="420"/>
        <w:spacing w:line="360" w:lineRule="auto"/>
        <w:rPr>
          <w:rFonts w:ascii="宋体" w:hAnsi="宋体" w:cs="宋体"/>
          <w:szCs w:val="21"/>
        </w:rPr>
      </w:pPr>
      <w:r>
        <w:rPr>
          <w:rFonts w:hint="eastAsia" w:ascii="宋体" w:hAnsi="宋体" w:cs="宋体"/>
          <w:szCs w:val="21"/>
        </w:rPr>
        <w:t xml:space="preserve">1.中标方应配备专门的项目团队人员，保证货物的运输、交付、安装、调试等定时定期进行。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2.中标方提供所有设备整机原厂免费维保≥3年，质保期自采购单位验收合格之日起计算；合同期间若发生退回、维修或设备替换等情形，质保期自发生之日起，至标的物恢复正常使用之日止，停止计算。</w:t>
      </w:r>
      <w:r>
        <w:rPr>
          <w:rFonts w:hint="eastAsia" w:ascii="宋体" w:hAnsi="宋体" w:cs="宋体"/>
          <w:bCs/>
          <w:szCs w:val="21"/>
        </w:rPr>
        <w:t xml:space="preserve">质保期内免费提供保养服务</w:t>
      </w:r>
      <w:r>
        <w:rPr>
          <w:rFonts w:hint="eastAsia" w:ascii="宋体" w:hAnsi="宋体" w:cs="宋体"/>
          <w:szCs w:val="21"/>
        </w:rPr>
        <w:t xml:space="preserve">（维修保养要求每年维护保养≥2次）</w:t>
      </w:r>
      <w:r>
        <w:rPr>
          <w:rFonts w:hint="eastAsia" w:ascii="宋体" w:hAnsi="宋体" w:cs="宋体"/>
          <w:bCs/>
          <w:szCs w:val="21"/>
        </w:rPr>
        <w:t xml:space="preserve">，质保期后中标单位提供终身维修和维护服务，且只收取配件费用，不收取人工费及其他费用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72小时内设备未能修复、不能正常运行时，每超过1天免费质保期延长1周。</w:t>
      </w:r>
      <w:r/>
    </w:p>
    <w:p>
      <w:pPr>
        <w:ind w:firstLine="420"/>
        <w:spacing w:line="360" w:lineRule="auto"/>
        <w:rPr>
          <w:rFonts w:ascii="宋体" w:hAnsi="宋体" w:cs="宋体"/>
          <w:szCs w:val="21"/>
        </w:rPr>
      </w:pPr>
      <w:r>
        <w:rPr>
          <w:rFonts w:hint="eastAsia" w:ascii="宋体" w:hAnsi="宋体" w:cs="宋体"/>
          <w:szCs w:val="21"/>
        </w:rPr>
        <w:t xml:space="preserve">4.提供专业的技术培训(操作、维修),保证采购单位操作人员正常使用设备的各项功能。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ind w:firstLine="420"/>
        <w:spacing w:line="360" w:lineRule="auto"/>
        <w:rPr>
          <w:rFonts w:ascii="宋体" w:hAnsi="宋体" w:cs="宋体"/>
          <w:szCs w:val="21"/>
        </w:rPr>
      </w:pPr>
      <w:r>
        <w:rPr>
          <w:rFonts w:hint="eastAsia" w:ascii="宋体" w:hAnsi="宋体" w:cs="宋体"/>
          <w:szCs w:val="21"/>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9.中标单位应提供软件版本免费升级服务(在不涉及硬件情况下)。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12.机器在使用中，因机器质量问题或技术参数突变(非人为)而引起医疗事故(含医疗纠纷)，责任由中标方负责，并赔偿由此引起的一切费用。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投标总报价一次报定，包括产品供货、辅助材料、备品备件、运输、仓储、发货、送货、安装、医院平台各系统（如HIS系统、LIS系统等）的接口费用、调试、人工、机械、装卸、培训、保险、运费、采购代理服务费、各种税费、劳保、专利技术及维保等完成本次项目所需的一切费用。 </w:t>
      </w:r>
      <w:r/>
    </w:p>
    <w:p>
      <w:pPr>
        <w:ind w:firstLine="420"/>
        <w:spacing w:line="360" w:lineRule="auto"/>
        <w:rPr>
          <w:rFonts w:ascii="宋体" w:hAnsi="宋体" w:cs="宋体"/>
          <w:szCs w:val="21"/>
        </w:rPr>
      </w:pPr>
      <w:r>
        <w:rPr>
          <w:rFonts w:hint="eastAsia" w:ascii="宋体" w:hAnsi="宋体" w:cs="宋体"/>
          <w:szCs w:val="21"/>
        </w:rPr>
        <w:t xml:space="preserve">5、交货期限：合同签订后60天内所有产品安装调试完毕并交付使用（具体按照采购单位要求）。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7、验收要求：</w:t>
      </w:r>
      <w:r/>
    </w:p>
    <w:p>
      <w:pPr>
        <w:ind w:firstLine="420"/>
        <w:spacing w:line="360" w:lineRule="auto"/>
        <w:rPr>
          <w:rFonts w:ascii="宋体" w:hAnsi="宋体" w:cs="宋体"/>
          <w:szCs w:val="21"/>
        </w:rPr>
      </w:pPr>
      <w:r>
        <w:rPr>
          <w:rFonts w:hint="eastAsia" w:ascii="宋体" w:hAnsi="宋体" w:cs="宋体"/>
          <w:szCs w:val="21"/>
        </w:rPr>
        <w:t xml:space="preserve">7.1验收标准：按政府采购合同要求、招标文件要求、投标文件、承诺及有关行业规定进行验收。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7.4设备验收时应提供以下文件的纸质版+电子版文件：</w:t>
      </w:r>
      <w:r/>
    </w:p>
    <w:p>
      <w:pPr>
        <w:ind w:firstLine="420"/>
        <w:spacing w:line="360" w:lineRule="auto"/>
        <w:rPr>
          <w:rFonts w:ascii="宋体" w:hAnsi="宋体" w:cs="宋体"/>
          <w:szCs w:val="21"/>
        </w:rPr>
      </w:pPr>
      <w:r>
        <w:rPr>
          <w:rFonts w:hint="eastAsia" w:ascii="宋体" w:hAnsi="宋体" w:cs="宋体"/>
          <w:szCs w:val="21"/>
        </w:rPr>
        <w:t xml:space="preserve">（1）中文说明书（纸质版+电子版）</w:t>
      </w:r>
      <w:r/>
    </w:p>
    <w:p>
      <w:pPr>
        <w:ind w:firstLine="420"/>
        <w:spacing w:line="360" w:lineRule="auto"/>
        <w:rPr>
          <w:rFonts w:ascii="宋体" w:hAnsi="宋体" w:cs="宋体"/>
          <w:szCs w:val="21"/>
        </w:rPr>
      </w:pPr>
      <w:r>
        <w:rPr>
          <w:rFonts w:hint="eastAsia" w:ascii="宋体" w:hAnsi="宋体" w:cs="宋体"/>
          <w:szCs w:val="21"/>
        </w:rPr>
        <w:t xml:space="preserve">（2）简易操作说明（卡片/塑封文件+电子版）</w:t>
      </w:r>
      <w:r/>
    </w:p>
    <w:p>
      <w:pPr>
        <w:ind w:firstLine="420"/>
        <w:spacing w:line="360" w:lineRule="auto"/>
        <w:rPr>
          <w:rFonts w:ascii="宋体" w:hAnsi="宋体" w:cs="宋体"/>
          <w:szCs w:val="21"/>
        </w:rPr>
      </w:pPr>
      <w:r>
        <w:rPr>
          <w:rFonts w:hint="eastAsia" w:ascii="宋体" w:hAnsi="宋体" w:cs="宋体"/>
          <w:szCs w:val="21"/>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b/>
          <w:bCs/>
          <w:szCs w:val="21"/>
        </w:rPr>
        <w:t xml:space="preserve">本次招标不接受进口产品投标。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w:t>
      </w:r>
      <w:r>
        <w:rPr>
          <w:rFonts w:hint="eastAsia" w:ascii="宋体" w:hAnsi="宋体" w:cs="宋体"/>
          <w:szCs w:val="21"/>
        </w:rPr>
        <w:t xml:space="preserve">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w:t>
      </w:r>
      <w:r>
        <w:rPr>
          <w:rFonts w:hint="eastAsia" w:ascii="宋体" w:hAnsi="宋体" w:cs="宋体"/>
        </w:rPr>
        <w:t xml:space="preserve">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第三章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6"/>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6"/>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6"/>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9.2勘察现场（本项目无需勘察现场）：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投标单位具有与所投产品相对应的医疗器械生产或经营(许可)资格，提供证明资料。</w:t>
      </w:r>
      <w:r/>
    </w:p>
    <w:p>
      <w:pPr>
        <w:ind w:firstLine="420"/>
        <w:spacing w:line="360" w:lineRule="auto"/>
        <w:rPr>
          <w:rFonts w:ascii="宋体" w:hAnsi="宋体" w:cs="宋体"/>
          <w:szCs w:val="21"/>
        </w:rPr>
      </w:pPr>
      <w:r>
        <w:rPr>
          <w:rFonts w:hint="eastAsia" w:ascii="宋体" w:hAnsi="宋体" w:cs="宋体"/>
          <w:szCs w:val="21"/>
        </w:rPr>
        <w:t xml:space="preserve">12.4.3其他</w:t>
      </w:r>
      <w:r>
        <w:rPr>
          <w:rFonts w:hint="eastAsia" w:ascii="宋体" w:hAnsi="宋体" w:cs="宋体"/>
        </w:rPr>
        <w:t xml:space="preserve">有关资格性证明的文件（如有）；</w:t>
      </w:r>
      <w:r/>
    </w:p>
    <w:p>
      <w:pPr>
        <w:pStyle w:val="92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b/>
        </w:rPr>
        <w:t xml:space="preserve">投标文件中提供投标产品中华人民共和国医疗器械注册证，否则为无效投标。</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12.5.7其他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12.6.3《设备配置清单表》、《质保期满后备品备件、易损件报价表》、《投标货物和服务数量、品牌型号、性能、交货期说明表》、《人员配备情况表》、《售后服务承诺书》；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61"/>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1"/>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1"/>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1"/>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6"/>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61"/>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1"/>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1"/>
        <w:ind w:firstLine="420"/>
        <w:spacing w:line="360" w:lineRule="auto"/>
        <w:rPr>
          <w:rFonts w:ascii="宋体" w:hAnsi="宋体" w:cs="宋体"/>
          <w:szCs w:val="21"/>
        </w:rPr>
      </w:pPr>
      <w:r>
        <w:rPr>
          <w:rFonts w:hint="eastAsia" w:ascii="宋体" w:hAnsi="宋体" w:cs="宋体"/>
          <w:szCs w:val="21"/>
        </w:rPr>
        <w:t xml:space="preserve">21.3资格审查</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或者应知其权益受到损害之日起7个工作日内，以书面形式向采购人、采购代理机构提出质疑。采购代理机构应当在收到投标人书面质疑后7个工作日内作出答复。</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6"/>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1"/>
          <w:rFonts w:ascii="宋体" w:hAnsi="宋体" w:cs="宋体"/>
          <w:sz w:val="32"/>
          <w:szCs w:val="32"/>
        </w:rPr>
      </w:pPr>
      <w:r>
        <w:rPr>
          <w:rStyle w:val="951"/>
          <w:rFonts w:hint="eastAsia" w:ascii="宋体" w:hAnsi="宋体" w:cs="宋体"/>
          <w:sz w:val="32"/>
          <w:szCs w:val="32"/>
        </w:rPr>
        <w:t xml:space="preserve">第四章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6"/>
        <w:spacing w:line="360" w:lineRule="auto"/>
        <w:rPr>
          <w:rFonts w:ascii="宋体" w:hAnsi="宋体" w:eastAsia="宋体" w:cs="宋体"/>
          <w:sz w:val="21"/>
        </w:rPr>
      </w:pPr>
      <w:r>
        <w:rPr>
          <w:rFonts w:ascii="宋体" w:hAnsi="宋体" w:eastAsia="宋体" w:cs="宋体"/>
          <w:sz w:val="21"/>
        </w:rPr>
      </w:r>
      <w:r/>
    </w:p>
    <w:p>
      <w:pPr>
        <w:pStyle w:val="92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7"/>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0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采购代理服务费、各种税费、劳保、专利技术及维保等完成本次项目所需的一切费用。</w:t>
      </w:r>
      <w:r/>
    </w:p>
    <w:p>
      <w:pPr>
        <w:pStyle w:val="100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5"/>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5"/>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5"/>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5"/>
        <w:ind w:firstLine="420"/>
        <w:spacing w:line="360" w:lineRule="auto"/>
        <w:rPr>
          <w:rFonts w:hAnsi="宋体" w:eastAsia="宋体" w:cs="宋体"/>
          <w:sz w:val="21"/>
        </w:rPr>
      </w:pPr>
      <w:r>
        <w:rPr>
          <w:rFonts w:hint="eastAsia" w:hAnsi="宋体" w:eastAsia="宋体" w:cs="宋体"/>
          <w:sz w:val="21"/>
        </w:rPr>
        <w:t xml:space="preserve">10.综合说明：</w:t>
      </w:r>
      <w:r/>
    </w:p>
    <w:p>
      <w:pPr>
        <w:pStyle w:val="100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5"/>
        <w:ind w:firstLine="420"/>
        <w:spacing w:line="360" w:lineRule="auto"/>
        <w:rPr>
          <w:rFonts w:hAnsi="宋体" w:eastAsia="宋体" w:cs="宋体"/>
          <w:sz w:val="21"/>
        </w:rPr>
      </w:pPr>
      <w:r>
        <w:rPr>
          <w:rFonts w:hint="eastAsia" w:hAnsi="宋体" w:eastAsia="宋体" w:cs="宋体"/>
          <w:sz w:val="21"/>
        </w:rPr>
        <w:t xml:space="preserve">（4）其它说明。</w:t>
      </w:r>
      <w:r/>
    </w:p>
    <w:p>
      <w:pPr>
        <w:pStyle w:val="100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5"/>
        <w:ind w:firstLine="420"/>
        <w:spacing w:line="360" w:lineRule="auto"/>
        <w:rPr>
          <w:rFonts w:hAnsi="宋体" w:eastAsia="宋体" w:cs="宋体"/>
          <w:sz w:val="21"/>
        </w:rPr>
      </w:pPr>
      <w:r>
        <w:rPr>
          <w:rFonts w:hint="eastAsia" w:hAnsi="宋体" w:eastAsia="宋体" w:cs="宋体"/>
          <w:sz w:val="21"/>
        </w:rPr>
        <w:t xml:space="preserve">邮箱地址：</w:t>
      </w:r>
      <w:r/>
    </w:p>
    <w:p>
      <w:pPr>
        <w:pStyle w:val="100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4"/>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3"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2"/>
        <w:ind w:firstLine="420"/>
        <w:spacing w:line="360" w:lineRule="auto"/>
        <w:rPr>
          <w:rFonts w:hAnsi="宋体" w:eastAsia="宋体"/>
          <w:sz w:val="21"/>
        </w:rPr>
      </w:pPr>
      <w:r>
        <w:rPr>
          <w:rFonts w:hAnsi="宋体" w:eastAsia="宋体"/>
          <w:sz w:val="21"/>
        </w:rPr>
      </w:r>
      <w:r/>
    </w:p>
    <w:p>
      <w:pPr>
        <w:pStyle w:val="1002"/>
        <w:ind w:firstLine="420"/>
        <w:spacing w:line="360" w:lineRule="auto"/>
        <w:rPr>
          <w:rFonts w:hAnsi="宋体" w:eastAsia="宋体"/>
          <w:sz w:val="21"/>
        </w:rPr>
      </w:pPr>
      <w:r>
        <w:rPr>
          <w:rFonts w:hint="eastAsia" w:hAnsi="宋体" w:eastAsia="宋体"/>
          <w:sz w:val="21"/>
        </w:rPr>
        <w:t xml:space="preserve">投标单位（签章）：</w:t>
      </w:r>
      <w:r/>
    </w:p>
    <w:p>
      <w:pPr>
        <w:pStyle w:val="1002"/>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6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5"/>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4" w:name="_Toc532452113"/>
      <w:r/>
      <w:bookmarkStart w:id="45" w:name="_Toc518926909"/>
      <w:r/>
      <w:bookmarkStart w:id="46" w:name="_Toc7888"/>
      <w:r/>
      <w:bookmarkStart w:id="47" w:name="_Toc2583142"/>
      <w:r/>
      <w:bookmarkStart w:id="48" w:name="_Toc532444344"/>
      <w:r/>
      <w:bookmarkStart w:id="49" w:name="_Toc532444506"/>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附件8：</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92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6"/>
        <w:ind w:firstLine="422"/>
        <w:jc w:val="center"/>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6"/>
        <w:ind w:firstLine="422"/>
        <w:spacing w:line="360" w:lineRule="auto"/>
        <w:rPr>
          <w:rFonts w:ascii="宋体" w:hAnsi="宋体" w:eastAsia="宋体" w:cs="宋体"/>
          <w:sz w:val="21"/>
        </w:rPr>
      </w:pPr>
      <w:r>
        <w:rPr>
          <w:rFonts w:ascii="宋体" w:hAnsi="宋体" w:eastAsia="宋体" w:cs="宋体"/>
          <w:sz w:val="21"/>
        </w:rPr>
      </w:r>
      <w:r/>
    </w:p>
    <w:p>
      <w:pPr>
        <w:pStyle w:val="92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附件17、中小企业声明函等</w:t>
      </w:r>
      <w:r/>
    </w:p>
    <w:p>
      <w:pPr>
        <w:ind w:firstLine="2741"/>
        <w:rPr>
          <w:rFonts w:ascii="宋体" w:hAnsi="宋体" w:cs="宋体"/>
          <w:b/>
          <w:szCs w:val="21"/>
        </w:rPr>
      </w:pPr>
      <w:r>
        <w:rPr>
          <w:rFonts w:hint="eastAsia" w:ascii="宋体" w:hAnsi="宋体" w:cs="宋体"/>
          <w:b/>
          <w:szCs w:val="21"/>
        </w:rPr>
        <w:t xml:space="preserve">（1）</w:t>
      </w:r>
      <w:bookmarkStart w:id="50" w:name="_Toc1077"/>
      <w:r/>
      <w:bookmarkStart w:id="51" w:name="_Toc4028"/>
      <w:r>
        <w:rPr>
          <w:rFonts w:hint="eastAsia" w:ascii="宋体" w:hAnsi="宋体" w:cs="宋体"/>
          <w:szCs w:val="21"/>
        </w:rPr>
        <w:t xml:space="preserve">中小企业声明函（货物）</w:t>
      </w:r>
      <w:bookmarkEnd w:id="50"/>
      <w:r/>
      <w:bookmarkEnd w:id="51"/>
      <w:r/>
      <w:r/>
    </w:p>
    <w:p>
      <w:pPr>
        <w:pStyle w:val="93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bookmarkStart w:id="52" w:name="_Toc532452121"/>
      <w:r/>
      <w:bookmarkStart w:id="53" w:name="_Toc532444514"/>
      <w:r/>
      <w:bookmarkStart w:id="54" w:name="_Toc2583149"/>
      <w:r/>
      <w:bookmarkStart w:id="55" w:name="_Toc532444352"/>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2"/>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pStyle w:val="1002"/>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2"/>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关于符合本国产品标准的声明函（招标编号：JSZC-320000-CJZB-G2026-0088号）</w:t>
      </w:r>
      <w:r/>
    </w:p>
    <w:p>
      <w:pPr>
        <w:pStyle w:val="947"/>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7"/>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7"/>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953"/>
          <w:rFonts w:hint="eastAsia" w:ascii="宋体" w:hAnsi="宋体" w:cs="宋体"/>
          <w:i w:val="0"/>
          <w:sz w:val="21"/>
          <w:szCs w:val="21"/>
          <w:u w:val="single"/>
          <w:shd w:val="clear" w:color="auto" w:fill="ffffff"/>
        </w:rPr>
        <w:t xml:space="preserve">（产品名称1）</w:t>
      </w:r>
      <w:r>
        <w:rPr>
          <w:rStyle w:val="953"/>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Style w:val="953"/>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Style w:val="953"/>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Style w:val="953"/>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Style w:val="953"/>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3"/>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3"/>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3"/>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3"/>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3"/>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7"/>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7"/>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7"/>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7"/>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7"/>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2"/>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Ansi="宋体" w:eastAsia="宋体"/>
          <w:b/>
          <w:bCs/>
          <w:sz w:val="21"/>
          <w:szCs w:val="24"/>
          <w:lang w:val="zh-CN"/>
        </w:rPr>
      </w:r>
      <w:r/>
    </w:p>
    <w:p>
      <w:pPr>
        <w:pStyle w:val="1002"/>
        <w:rPr>
          <w:rFonts w:hAnsi="宋体" w:eastAsia="宋体"/>
          <w:b/>
          <w:bCs/>
          <w:sz w:val="21"/>
          <w:szCs w:val="24"/>
          <w:lang w:val="zh-CN"/>
        </w:rPr>
      </w:pPr>
      <w:r>
        <w:rPr>
          <w:rFonts w:hint="eastAsia" w:hAnsi="宋体" w:eastAsia="宋体"/>
          <w:b/>
          <w:bCs/>
          <w:sz w:val="21"/>
          <w:szCs w:val="24"/>
        </w:rPr>
        <w:t xml:space="preserve">附件19：</w:t>
      </w:r>
      <w:r>
        <w:rPr>
          <w:rFonts w:hint="eastAsia" w:hAnsi="宋体" w:eastAsia="宋体"/>
          <w:b/>
          <w:bCs/>
          <w:sz w:val="21"/>
          <w:szCs w:val="24"/>
          <w:lang w:val="zh-CN"/>
        </w:rPr>
        <w:t xml:space="preserve">政府采购合同信用融资政策告知函（本附件无需签章放置投标文件中）</w:t>
      </w:r>
      <w:r/>
    </w:p>
    <w:p>
      <w:pPr>
        <w:pStyle w:val="1002"/>
        <w:ind w:firstLine="420"/>
        <w:rPr>
          <w:rFonts w:hAnsi="宋体" w:eastAsia="宋体"/>
          <w:sz w:val="21"/>
          <w:szCs w:val="24"/>
          <w:lang w:val="zh-CN"/>
        </w:rPr>
      </w:pPr>
      <w:r>
        <w:rPr>
          <w:rFonts w:hAnsi="宋体" w:eastAsia="宋体"/>
          <w:sz w:val="21"/>
          <w:szCs w:val="24"/>
          <w:lang w:val="zh-CN"/>
        </w:rPr>
      </w:r>
      <w:r/>
    </w:p>
    <w:p>
      <w:pPr>
        <w:pStyle w:val="1002"/>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2"/>
      <w:r/>
      <w:bookmarkEnd w:id="53"/>
      <w:r/>
      <w:bookmarkEnd w:id="54"/>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642117"/>
      <w:r/>
      <w:bookmarkStart w:id="58" w:name="_Toc1388937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1.合同文件适用法律</w:t>
      </w:r>
      <w:r/>
    </w:p>
    <w:p>
      <w:pPr>
        <w:ind w:firstLine="425"/>
        <w:spacing w:line="360" w:lineRule="auto"/>
        <w:rPr>
          <w:rFonts w:ascii="宋体" w:hAnsi="宋体" w:cs="宋体"/>
        </w:rPr>
      </w:pPr>
      <w:r>
        <w:rPr>
          <w:rFonts w:hint="eastAsia" w:ascii="宋体" w:hAnsi="宋体" w:cs="宋体"/>
        </w:rPr>
        <w:t xml:space="preserve">1.1  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2.合同文件组成和解释顺序</w:t>
      </w:r>
      <w:r/>
    </w:p>
    <w:p>
      <w:pPr>
        <w:ind w:firstLine="425"/>
        <w:spacing w:line="360" w:lineRule="auto"/>
        <w:rPr>
          <w:rFonts w:ascii="宋体" w:hAnsi="宋体" w:cs="宋体"/>
        </w:rPr>
      </w:pPr>
      <w:r>
        <w:rPr>
          <w:rFonts w:hint="eastAsia" w:ascii="宋体" w:hAnsi="宋体" w:cs="宋体"/>
        </w:rPr>
        <w:t xml:space="preserve">2.1  合同文件的组成和解释顺序如下：</w:t>
      </w:r>
      <w:r/>
    </w:p>
    <w:p>
      <w:pPr>
        <w:ind w:firstLine="425"/>
        <w:spacing w:line="360" w:lineRule="auto"/>
        <w:rPr>
          <w:rFonts w:ascii="宋体" w:hAnsi="宋体" w:cs="宋体"/>
        </w:rPr>
      </w:pPr>
      <w:r>
        <w:rPr>
          <w:rFonts w:hint="eastAsia" w:ascii="宋体" w:hAnsi="宋体" w:cs="宋体"/>
        </w:rPr>
        <w:t xml:space="preserve">2.1.1 合同特殊性条款</w:t>
      </w:r>
      <w:r/>
    </w:p>
    <w:p>
      <w:pPr>
        <w:ind w:firstLine="425"/>
        <w:spacing w:line="360" w:lineRule="auto"/>
        <w:rPr>
          <w:rFonts w:ascii="宋体" w:hAnsi="宋体" w:cs="宋体"/>
        </w:rPr>
      </w:pPr>
      <w:r>
        <w:rPr>
          <w:rFonts w:hint="eastAsia" w:ascii="宋体" w:hAnsi="宋体" w:cs="宋体"/>
        </w:rPr>
        <w:t xml:space="preserve">2.1.2 合同一般性条款</w:t>
      </w:r>
      <w:r/>
    </w:p>
    <w:p>
      <w:pPr>
        <w:ind w:firstLine="425"/>
        <w:spacing w:line="360" w:lineRule="auto"/>
        <w:rPr>
          <w:rFonts w:ascii="宋体" w:hAnsi="宋体" w:cs="宋体"/>
        </w:rPr>
      </w:pPr>
      <w:r>
        <w:rPr>
          <w:rFonts w:hint="eastAsia" w:ascii="宋体" w:hAnsi="宋体" w:cs="宋体"/>
        </w:rPr>
        <w:t xml:space="preserve">2.1.3 洽商、变更等明确双方权利义务的纪要、协议</w:t>
      </w:r>
      <w:r/>
    </w:p>
    <w:p>
      <w:pPr>
        <w:ind w:firstLine="425"/>
        <w:spacing w:line="360" w:lineRule="auto"/>
        <w:rPr>
          <w:rFonts w:ascii="宋体" w:hAnsi="宋体" w:cs="宋体"/>
        </w:rPr>
      </w:pPr>
      <w:r>
        <w:rPr>
          <w:rFonts w:hint="eastAsia" w:ascii="宋体" w:hAnsi="宋体" w:cs="宋体"/>
        </w:rPr>
        <w:t xml:space="preserve">2.1.4 中标通知书、投标书和招标文件</w:t>
      </w:r>
      <w:r/>
    </w:p>
    <w:p>
      <w:pPr>
        <w:ind w:firstLine="425"/>
        <w:spacing w:line="360" w:lineRule="auto"/>
        <w:rPr>
          <w:rFonts w:ascii="宋体" w:hAnsi="宋体" w:cs="宋体"/>
        </w:rPr>
      </w:pPr>
      <w:r>
        <w:rPr>
          <w:rFonts w:hint="eastAsia" w:ascii="宋体" w:hAnsi="宋体" w:cs="宋体"/>
        </w:rPr>
        <w:t xml:space="preserve">2.1.5 有关图纸</w:t>
      </w:r>
      <w:r/>
    </w:p>
    <w:p>
      <w:pPr>
        <w:ind w:firstLine="425"/>
        <w:spacing w:line="360" w:lineRule="auto"/>
        <w:rPr>
          <w:rFonts w:ascii="宋体" w:hAnsi="宋体" w:cs="宋体"/>
        </w:rPr>
      </w:pPr>
      <w:r>
        <w:rPr>
          <w:rFonts w:hint="eastAsia" w:ascii="宋体" w:hAnsi="宋体" w:cs="宋体"/>
        </w:rPr>
        <w:t xml:space="preserve">2.1.6 标准、规范和其它有关技术资料、技术要求</w:t>
      </w:r>
      <w:r/>
    </w:p>
    <w:p>
      <w:pPr>
        <w:ind w:firstLine="425"/>
        <w:spacing w:line="360" w:lineRule="auto"/>
        <w:rPr>
          <w:rFonts w:ascii="宋体" w:hAnsi="宋体" w:cs="宋体"/>
        </w:rPr>
      </w:pPr>
      <w:r>
        <w:rPr>
          <w:rFonts w:hint="eastAsia" w:ascii="宋体" w:hAnsi="宋体" w:cs="宋体"/>
        </w:rPr>
        <w:t xml:space="preserve">2.2 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3.合同文件使用文字</w:t>
      </w:r>
      <w:r/>
    </w:p>
    <w:p>
      <w:pPr>
        <w:pStyle w:val="926"/>
        <w:spacing w:line="360" w:lineRule="auto"/>
        <w:rPr>
          <w:rFonts w:ascii="宋体" w:hAnsi="宋体" w:eastAsia="宋体" w:cs="宋体"/>
          <w:sz w:val="21"/>
        </w:rPr>
      </w:pPr>
      <w:r>
        <w:rPr>
          <w:rFonts w:hint="eastAsia" w:ascii="宋体" w:hAnsi="宋体" w:eastAsia="宋体" w:cs="宋体"/>
          <w:sz w:val="21"/>
        </w:rPr>
        <w:t xml:space="preserve">3.1  合同文件使用中文书写、解释和说明</w:t>
      </w:r>
      <w:r/>
    </w:p>
    <w:p>
      <w:pPr>
        <w:pStyle w:val="926"/>
        <w:spacing w:line="360" w:lineRule="auto"/>
        <w:rPr>
          <w:rFonts w:ascii="宋体" w:hAnsi="宋体" w:eastAsia="宋体" w:cs="宋体"/>
          <w:sz w:val="21"/>
        </w:rPr>
      </w:pPr>
      <w:r>
        <w:rPr>
          <w:rFonts w:hint="eastAsia" w:ascii="宋体" w:hAnsi="宋体" w:eastAsia="宋体" w:cs="宋体"/>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4.完整物权</w:t>
      </w:r>
      <w:r/>
    </w:p>
    <w:p>
      <w:pPr>
        <w:spacing w:line="360" w:lineRule="auto"/>
        <w:rPr>
          <w:rFonts w:ascii="宋体" w:hAnsi="宋体" w:cs="宋体"/>
        </w:rPr>
      </w:pPr>
      <w:r>
        <w:rPr>
          <w:rFonts w:hint="eastAsia" w:ascii="宋体" w:hAnsi="宋体" w:cs="宋体"/>
        </w:rPr>
        <w:tab/>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5.质量保证</w:t>
      </w:r>
      <w:r/>
    </w:p>
    <w:p>
      <w:pPr>
        <w:pStyle w:val="926"/>
        <w:spacing w:line="360" w:lineRule="auto"/>
        <w:rPr>
          <w:rFonts w:ascii="宋体" w:hAnsi="宋体" w:eastAsia="宋体" w:cs="宋体"/>
          <w:sz w:val="21"/>
        </w:rPr>
      </w:pPr>
      <w:r>
        <w:rPr>
          <w:rFonts w:hint="eastAsia" w:ascii="宋体" w:hAnsi="宋体" w:eastAsia="宋体" w:cs="宋体"/>
          <w:sz w:val="21"/>
        </w:rPr>
        <w:t xml:space="preserve">5.1 乙方应保证所供标的物是全新的，未使用过的，并且是非长期积压的库存商品，完全符合合同规定的质</w:t>
      </w:r>
      <w:r>
        <w:rPr>
          <w:rFonts w:hint="eastAsia" w:ascii="宋体" w:hAnsi="宋体" w:eastAsia="宋体" w:cs="宋体"/>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926"/>
        <w:spacing w:line="360" w:lineRule="auto"/>
        <w:rPr>
          <w:rFonts w:ascii="宋体" w:hAnsi="宋体" w:eastAsia="宋体" w:cs="宋体"/>
          <w:sz w:val="21"/>
        </w:rPr>
      </w:pPr>
      <w:r>
        <w:rPr>
          <w:rFonts w:hint="eastAsia" w:ascii="宋体" w:hAnsi="宋体" w:eastAsia="宋体" w:cs="宋体"/>
          <w:sz w:val="21"/>
        </w:rPr>
        <w:t xml:space="preserve">5.2根据甲方按检验标准自己检验的结果或当地技监部门的检验结果，或者在质量保证期内，如果标的物的数量、质量或规格与合同不符或证实标的物是有缺陷的，包括潜在缺陷或使用不符合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要求的材料等，甲方有权根据本合同第(六)条“违约责任”向乙方主张各 项权利。</w:t>
      </w:r>
      <w:r/>
    </w:p>
    <w:p>
      <w:pPr>
        <w:pStyle w:val="926"/>
        <w:spacing w:line="360" w:lineRule="auto"/>
        <w:rPr>
          <w:rFonts w:ascii="宋体" w:hAnsi="宋体" w:eastAsia="宋体" w:cs="宋体"/>
          <w:sz w:val="21"/>
        </w:rPr>
      </w:pPr>
      <w:r>
        <w:rPr>
          <w:rFonts w:hint="eastAsia" w:ascii="宋体" w:hAnsi="宋体" w:eastAsia="宋体" w:cs="宋体"/>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5.4乙方应严格按照招招投标文件及本合同等文件所记载内容提供服务内容，包 括且不限于整体要求、各类功能要求等。</w:t>
      </w:r>
      <w:r/>
    </w:p>
    <w:p>
      <w:pPr>
        <w:pStyle w:val="926"/>
        <w:spacing w:line="360" w:lineRule="auto"/>
        <w:rPr>
          <w:rFonts w:ascii="宋体" w:hAnsi="宋体" w:eastAsia="宋体" w:cs="宋体"/>
          <w:sz w:val="21"/>
        </w:rPr>
      </w:pPr>
      <w:r>
        <w:rPr>
          <w:rFonts w:hint="eastAsia" w:ascii="宋体" w:hAnsi="宋体" w:eastAsia="宋体" w:cs="宋体"/>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ascii="宋体" w:hAnsi="宋体" w:cs="宋体"/>
          <w:b/>
        </w:rPr>
      </w:pPr>
      <w:r>
        <w:rPr>
          <w:rFonts w:hint="eastAsia" w:ascii="宋体" w:hAnsi="宋体" w:cs="宋体"/>
          <w:b/>
        </w:rPr>
        <w:t xml:space="preserve">6.包装</w:t>
      </w:r>
      <w:r/>
    </w:p>
    <w:p>
      <w:pPr>
        <w:pStyle w:val="926"/>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7.伴随服务</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p>
    <w:p>
      <w:pPr>
        <w:pStyle w:val="926"/>
        <w:spacing w:line="360" w:lineRule="auto"/>
        <w:rPr>
          <w:rFonts w:ascii="宋体" w:hAnsi="宋体" w:eastAsia="宋体" w:cs="宋体"/>
          <w:sz w:val="21"/>
        </w:rPr>
      </w:pPr>
      <w:r>
        <w:rPr>
          <w:rFonts w:hint="eastAsia" w:ascii="宋体" w:hAnsi="宋体" w:eastAsia="宋体" w:cs="宋体"/>
          <w:sz w:val="21"/>
        </w:rPr>
        <w:t xml:space="preserve">7.1  乙方除应履行按期按量交付合格标的物的义务之外，还应提供下列服务。</w:t>
      </w:r>
      <w:r/>
    </w:p>
    <w:p>
      <w:pPr>
        <w:pStyle w:val="926"/>
        <w:spacing w:line="360" w:lineRule="auto"/>
        <w:rPr>
          <w:rFonts w:ascii="宋体" w:hAnsi="宋体" w:eastAsia="宋体" w:cs="宋体"/>
          <w:sz w:val="21"/>
        </w:rPr>
      </w:pPr>
      <w:r>
        <w:rPr>
          <w:rFonts w:hint="eastAsia" w:ascii="宋体" w:hAnsi="宋体" w:eastAsia="宋体" w:cs="宋体"/>
          <w:sz w:val="21"/>
        </w:rPr>
        <w:t xml:space="preserve">7.1.1  标的物的现场安装、启动、调试、监督（如果必须安装、调试的话）；</w:t>
      </w:r>
      <w:r/>
    </w:p>
    <w:p>
      <w:pPr>
        <w:pStyle w:val="926"/>
        <w:spacing w:line="360" w:lineRule="auto"/>
        <w:rPr>
          <w:rFonts w:ascii="宋体" w:hAnsi="宋体" w:eastAsia="宋体" w:cs="宋体"/>
          <w:sz w:val="21"/>
        </w:rPr>
      </w:pPr>
      <w:r>
        <w:rPr>
          <w:rFonts w:hint="eastAsia" w:ascii="宋体" w:hAnsi="宋体" w:eastAsia="宋体" w:cs="宋体"/>
          <w:sz w:val="21"/>
        </w:rPr>
        <w:t xml:space="preserve">7.1.2  提供标的物组装和一般维修所必须的工具；</w:t>
      </w:r>
      <w:r/>
    </w:p>
    <w:p>
      <w:pPr>
        <w:pStyle w:val="926"/>
        <w:spacing w:line="360" w:lineRule="auto"/>
        <w:rPr>
          <w:rFonts w:ascii="宋体" w:hAnsi="宋体" w:eastAsia="宋体" w:cs="宋体"/>
          <w:sz w:val="21"/>
        </w:rPr>
      </w:pPr>
      <w:r>
        <w:rPr>
          <w:rFonts w:hint="eastAsia" w:ascii="宋体" w:hAnsi="宋体" w:eastAsia="宋体" w:cs="宋体"/>
          <w:sz w:val="21"/>
        </w:rPr>
        <w:t xml:space="preserve">7.1.3  在合同规定的期限内对所提供标的物实行运行监督、维修服务的前提条件是该服务并不能免除乙方在质量保证期内所承担的义务；</w:t>
      </w:r>
      <w:r/>
    </w:p>
    <w:p>
      <w:pPr>
        <w:pStyle w:val="926"/>
        <w:spacing w:line="360" w:lineRule="auto"/>
        <w:rPr>
          <w:rFonts w:ascii="宋体" w:hAnsi="宋体" w:eastAsia="宋体" w:cs="宋体"/>
          <w:sz w:val="21"/>
        </w:rPr>
      </w:pPr>
      <w:r>
        <w:rPr>
          <w:rFonts w:hint="eastAsia" w:ascii="宋体" w:hAnsi="宋体" w:eastAsia="宋体" w:cs="宋体"/>
          <w:sz w:val="21"/>
        </w:rPr>
        <w:t xml:space="preserve">7.1.4  按甲方要求，对甲方技术人员进行技术指导或培训；提供系统完整专业的培训计 划；提供厂家免费培训、并提供维修资料及中文的用户操作手册。</w:t>
      </w:r>
      <w:r/>
    </w:p>
    <w:p>
      <w:pPr>
        <w:pStyle w:val="926"/>
        <w:spacing w:line="360" w:lineRule="auto"/>
        <w:rPr>
          <w:rFonts w:ascii="宋体" w:hAnsi="宋体" w:eastAsia="宋体" w:cs="宋体"/>
          <w:sz w:val="21"/>
        </w:rPr>
      </w:pPr>
      <w:r>
        <w:rPr>
          <w:rFonts w:hint="eastAsia" w:ascii="宋体" w:hAnsi="宋体" w:eastAsia="宋体" w:cs="宋体"/>
          <w:sz w:val="21"/>
        </w:rPr>
        <w:t xml:space="preserve">7.2  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8.标的物的交付</w:t>
      </w:r>
      <w:r/>
    </w:p>
    <w:p>
      <w:pPr>
        <w:pStyle w:val="926"/>
        <w:spacing w:line="360" w:lineRule="auto"/>
        <w:rPr>
          <w:rFonts w:ascii="宋体" w:hAnsi="宋体" w:eastAsia="宋体" w:cs="宋体"/>
          <w:sz w:val="21"/>
        </w:rPr>
      </w:pPr>
      <w:r>
        <w:rPr>
          <w:rFonts w:hint="eastAsia" w:ascii="宋体" w:hAnsi="宋体" w:eastAsia="宋体" w:cs="宋体"/>
          <w:sz w:val="21"/>
        </w:rPr>
        <w:t xml:space="preserve">8.1  标的物的所有权自标的物交付时转移。</w:t>
      </w:r>
      <w:r/>
    </w:p>
    <w:p>
      <w:pPr>
        <w:pStyle w:val="926"/>
        <w:spacing w:line="360" w:lineRule="auto"/>
        <w:rPr>
          <w:rFonts w:ascii="宋体" w:hAnsi="宋体" w:eastAsia="宋体" w:cs="宋体"/>
          <w:sz w:val="21"/>
        </w:rPr>
      </w:pPr>
      <w:r>
        <w:rPr>
          <w:rFonts w:hint="eastAsia" w:ascii="宋体" w:hAnsi="宋体" w:eastAsia="宋体" w:cs="宋体"/>
          <w:sz w:val="21"/>
        </w:rPr>
        <w:t xml:space="preserve">8.2  乙方应当按照约定的期限和约定的地点交付标的物。</w:t>
      </w:r>
      <w:r/>
    </w:p>
    <w:p>
      <w:pPr>
        <w:pStyle w:val="926"/>
        <w:spacing w:line="360" w:lineRule="auto"/>
        <w:rPr>
          <w:rFonts w:ascii="宋体" w:hAnsi="宋体" w:eastAsia="宋体" w:cs="宋体"/>
          <w:sz w:val="21"/>
        </w:rPr>
      </w:pPr>
      <w:r>
        <w:rPr>
          <w:rFonts w:hint="eastAsia" w:ascii="宋体" w:hAnsi="宋体" w:eastAsia="宋体" w:cs="宋体"/>
          <w:sz w:val="21"/>
        </w:rPr>
        <w:t xml:space="preserve">8.3  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9.检验和验收</w:t>
      </w:r>
      <w:r/>
    </w:p>
    <w:p>
      <w:pPr>
        <w:pStyle w:val="926"/>
        <w:spacing w:line="360" w:lineRule="auto"/>
        <w:rPr>
          <w:rFonts w:ascii="宋体" w:hAnsi="宋体" w:eastAsia="宋体" w:cs="宋体"/>
          <w:sz w:val="21"/>
        </w:rPr>
      </w:pPr>
      <w:r>
        <w:rPr>
          <w:rFonts w:hint="eastAsia" w:ascii="宋体" w:hAnsi="宋体" w:eastAsia="宋体" w:cs="宋体"/>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926"/>
        <w:spacing w:line="360" w:lineRule="auto"/>
        <w:rPr>
          <w:rFonts w:ascii="宋体" w:hAnsi="宋体" w:eastAsia="宋体" w:cs="宋体"/>
          <w:sz w:val="21"/>
        </w:rPr>
      </w:pPr>
      <w:r>
        <w:rPr>
          <w:rFonts w:hint="eastAsia" w:ascii="宋体" w:hAnsi="宋体" w:eastAsia="宋体" w:cs="宋体"/>
          <w:sz w:val="21"/>
        </w:rPr>
        <w:t xml:space="preserve">9.2  交货后，甲方根据合同约定及相关验收标准，对标的物进行验收。甲方经验收无 误后，</w:t>
      </w:r>
      <w:r>
        <w:rPr>
          <w:rFonts w:hint="eastAsia" w:ascii="宋体" w:hAnsi="宋体" w:eastAsia="宋体" w:cs="宋体"/>
          <w:sz w:val="21"/>
        </w:rPr>
        <w:t xml:space="preserve">向乙方出具验收合格证明。若验收证明不合格，甲方有权根据合同约定向乙方主张权 利。该验收证明作为最终付款所需文件的组成部分。</w:t>
      </w:r>
      <w:r/>
    </w:p>
    <w:p>
      <w:pPr>
        <w:pStyle w:val="926"/>
        <w:spacing w:line="360" w:lineRule="auto"/>
        <w:rPr>
          <w:rFonts w:ascii="宋体" w:hAnsi="宋体" w:eastAsia="宋体" w:cs="宋体"/>
          <w:sz w:val="21"/>
        </w:rPr>
      </w:pPr>
      <w:r>
        <w:rPr>
          <w:rFonts w:hint="eastAsia" w:ascii="宋体" w:hAnsi="宋体" w:eastAsia="宋体" w:cs="宋体"/>
          <w:sz w:val="21"/>
        </w:rPr>
        <w:t xml:space="preserve">9.3  验收期限自标的物交付之日起三十天内。特殊情况需延长的，双方应在合同的特 殊条款中约定。</w:t>
      </w:r>
      <w:r/>
    </w:p>
    <w:p>
      <w:pPr>
        <w:pStyle w:val="926"/>
        <w:spacing w:line="360" w:lineRule="auto"/>
        <w:rPr>
          <w:rFonts w:ascii="宋体" w:hAnsi="宋体" w:eastAsia="宋体" w:cs="宋体"/>
          <w:sz w:val="21"/>
        </w:rPr>
      </w:pPr>
      <w:r>
        <w:rPr>
          <w:rFonts w:hint="eastAsia" w:ascii="宋体" w:hAnsi="宋体" w:eastAsia="宋体" w:cs="宋体"/>
          <w:sz w:val="21"/>
        </w:rPr>
        <w:t xml:space="preserve">9.4  如双方对验收结果有分歧，则以国家权威部门的检验结果为准，检验费用由有过失的一方支付。</w:t>
      </w:r>
      <w:r/>
    </w:p>
    <w:p>
      <w:pPr>
        <w:pStyle w:val="926"/>
        <w:spacing w:line="360" w:lineRule="auto"/>
        <w:rPr>
          <w:rFonts w:ascii="宋体" w:hAnsi="宋体" w:eastAsia="宋体" w:cs="宋体"/>
          <w:sz w:val="21"/>
        </w:rPr>
      </w:pPr>
      <w:r>
        <w:rPr>
          <w:rFonts w:hint="eastAsia" w:ascii="宋体" w:hAnsi="宋体" w:eastAsia="宋体" w:cs="宋体"/>
          <w:sz w:val="21"/>
        </w:rPr>
        <w:t xml:space="preserve">9.5货物交货时，包装须完整无破损，乙方还必须提供以下材料： </w:t>
      </w:r>
      <w:r/>
    </w:p>
    <w:p>
      <w:pPr>
        <w:pStyle w:val="926"/>
        <w:spacing w:line="360" w:lineRule="auto"/>
        <w:rPr>
          <w:rFonts w:ascii="宋体" w:hAnsi="宋体" w:eastAsia="宋体" w:cs="宋体"/>
          <w:sz w:val="21"/>
        </w:rPr>
      </w:pPr>
      <w:r>
        <w:rPr>
          <w:rFonts w:hint="eastAsia" w:ascii="宋体" w:hAnsi="宋体" w:eastAsia="宋体" w:cs="宋体"/>
          <w:sz w:val="21"/>
        </w:rPr>
        <w:t xml:space="preserve">（1）货物装箱清单</w:t>
      </w:r>
      <w:r/>
    </w:p>
    <w:p>
      <w:pPr>
        <w:pStyle w:val="926"/>
        <w:spacing w:line="360" w:lineRule="auto"/>
        <w:rPr>
          <w:rFonts w:ascii="宋体" w:hAnsi="宋体" w:eastAsia="宋体" w:cs="宋体"/>
          <w:sz w:val="21"/>
        </w:rPr>
      </w:pPr>
      <w:r>
        <w:rPr>
          <w:rFonts w:hint="eastAsia" w:ascii="宋体" w:hAnsi="宋体" w:eastAsia="宋体" w:cs="宋体"/>
          <w:sz w:val="21"/>
        </w:rPr>
        <w:t xml:space="preserve">（2）合格证(国产设备必须提供)</w:t>
      </w:r>
      <w:r/>
    </w:p>
    <w:p>
      <w:pPr>
        <w:pStyle w:val="926"/>
        <w:spacing w:line="360" w:lineRule="auto"/>
        <w:rPr>
          <w:rFonts w:ascii="宋体" w:hAnsi="宋体" w:eastAsia="宋体" w:cs="宋体"/>
          <w:sz w:val="21"/>
        </w:rPr>
      </w:pPr>
      <w:r>
        <w:rPr>
          <w:rFonts w:hint="eastAsia" w:ascii="宋体" w:hAnsi="宋体" w:eastAsia="宋体" w:cs="宋体"/>
          <w:sz w:val="21"/>
        </w:rPr>
        <w:t xml:space="preserve">（3）中英文技术资料</w:t>
      </w:r>
      <w:r/>
    </w:p>
    <w:p>
      <w:pPr>
        <w:pStyle w:val="926"/>
        <w:spacing w:line="360" w:lineRule="auto"/>
        <w:rPr>
          <w:rFonts w:ascii="宋体" w:hAnsi="宋体" w:eastAsia="宋体" w:cs="宋体"/>
          <w:sz w:val="21"/>
        </w:rPr>
      </w:pPr>
      <w:r>
        <w:rPr>
          <w:rFonts w:hint="eastAsia" w:ascii="宋体" w:hAnsi="宋体" w:eastAsia="宋体" w:cs="宋体"/>
          <w:sz w:val="21"/>
        </w:rPr>
        <w:t xml:space="preserve">（4）使用维修保养中文说明书  </w:t>
      </w:r>
      <w:r/>
    </w:p>
    <w:p>
      <w:pPr>
        <w:pStyle w:val="926"/>
        <w:spacing w:line="360" w:lineRule="auto"/>
        <w:rPr>
          <w:rFonts w:ascii="宋体" w:hAnsi="宋体" w:eastAsia="宋体" w:cs="宋体"/>
          <w:sz w:val="21"/>
        </w:rPr>
      </w:pPr>
      <w:r>
        <w:rPr>
          <w:rFonts w:hint="eastAsia" w:ascii="宋体" w:hAnsi="宋体" w:eastAsia="宋体" w:cs="宋体"/>
          <w:sz w:val="21"/>
        </w:rPr>
        <w:t xml:space="preserve">（5）其它必备材料和必备工具等 </w:t>
      </w:r>
      <w:r/>
    </w:p>
    <w:p>
      <w:pPr>
        <w:pStyle w:val="926"/>
        <w:spacing w:line="360" w:lineRule="auto"/>
        <w:rPr>
          <w:rFonts w:ascii="宋体" w:hAnsi="宋体" w:eastAsia="宋体" w:cs="宋体"/>
          <w:sz w:val="21"/>
        </w:rPr>
      </w:pPr>
      <w:r>
        <w:rPr>
          <w:rFonts w:hint="eastAsia" w:ascii="宋体" w:hAnsi="宋体" w:eastAsia="宋体" w:cs="宋体"/>
          <w:sz w:val="21"/>
        </w:rPr>
        <w:t xml:space="preserve">（6）保修单等其它必须材料。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10.对标的物提出异议的时间和办法 </w:t>
      </w:r>
      <w:r/>
    </w:p>
    <w:p>
      <w:pPr>
        <w:pStyle w:val="926"/>
        <w:spacing w:line="360" w:lineRule="auto"/>
        <w:rPr>
          <w:rFonts w:ascii="宋体" w:hAnsi="宋体" w:eastAsia="宋体" w:cs="宋体"/>
          <w:sz w:val="21"/>
        </w:rPr>
      </w:pPr>
      <w:r>
        <w:rPr>
          <w:rFonts w:hint="eastAsia" w:ascii="宋体" w:hAnsi="宋体" w:eastAsia="宋体" w:cs="宋体"/>
          <w:sz w:val="21"/>
        </w:rPr>
        <w:t xml:space="preserve">10.1 甲方在验收过程中，应当于双方约定的检验期间内将标的物的数量或质量不符合 约定的情形及处理方式以书面形式通知乙方。</w:t>
      </w:r>
      <w:r/>
    </w:p>
    <w:p>
      <w:pPr>
        <w:pStyle w:val="926"/>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926"/>
        <w:spacing w:line="360" w:lineRule="auto"/>
        <w:rPr>
          <w:rFonts w:ascii="宋体" w:hAnsi="宋体" w:eastAsia="宋体" w:cs="宋体"/>
          <w:sz w:val="21"/>
        </w:rPr>
      </w:pPr>
      <w:r>
        <w:rPr>
          <w:rFonts w:hint="eastAsia" w:ascii="宋体" w:hAnsi="宋体" w:eastAsia="宋体" w:cs="宋体"/>
          <w:sz w:val="21"/>
        </w:rPr>
        <w:t xml:space="preserve">10.2 如甲方在验收期满后既不出具验收合格证明又未提出书面异议的视为乙方所交标 的物符合合同规定。</w:t>
      </w:r>
      <w:r/>
    </w:p>
    <w:p>
      <w:pPr>
        <w:pStyle w:val="926"/>
        <w:spacing w:line="360" w:lineRule="auto"/>
        <w:rPr>
          <w:rFonts w:ascii="宋体" w:hAnsi="宋体" w:eastAsia="宋体" w:cs="宋体"/>
          <w:sz w:val="21"/>
        </w:rPr>
      </w:pPr>
      <w:r>
        <w:rPr>
          <w:rFonts w:hint="eastAsia" w:ascii="宋体" w:hAnsi="宋体" w:eastAsia="宋体" w:cs="宋体"/>
          <w:sz w:val="21"/>
        </w:rPr>
        <w:t xml:space="preserve">10.3 乙方应在收到甲方书面异议后七天内负责处理问题，否则将视为默认甲方提出的 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11.合同价款和支付</w:t>
      </w:r>
      <w:r/>
    </w:p>
    <w:p>
      <w:pPr>
        <w:pStyle w:val="926"/>
        <w:spacing w:line="360" w:lineRule="auto"/>
        <w:rPr>
          <w:rFonts w:ascii="宋体" w:hAnsi="宋体" w:eastAsia="宋体" w:cs="宋体"/>
          <w:sz w:val="21"/>
        </w:rPr>
      </w:pPr>
      <w:r>
        <w:rPr>
          <w:rFonts w:hint="eastAsia" w:ascii="宋体" w:hAnsi="宋体" w:eastAsia="宋体" w:cs="宋体"/>
          <w:sz w:val="21"/>
        </w:rPr>
        <w:t xml:space="preserve">11.1 本合同的结算货币为人民币，单位元。</w:t>
      </w:r>
      <w:r/>
    </w:p>
    <w:p>
      <w:pPr>
        <w:pStyle w:val="926"/>
        <w:spacing w:line="360" w:lineRule="auto"/>
        <w:rPr>
          <w:rFonts w:ascii="宋体" w:hAnsi="宋体" w:eastAsia="宋体" w:cs="宋体"/>
          <w:sz w:val="21"/>
        </w:rPr>
      </w:pPr>
      <w:r>
        <w:rPr>
          <w:rFonts w:hint="eastAsia" w:ascii="宋体" w:hAnsi="宋体" w:eastAsia="宋体" w:cs="宋体"/>
          <w:sz w:val="21"/>
        </w:rPr>
        <w:t xml:space="preserve">11.2 乙方应按照双方签订的合同规定交货并在合同特殊条款规定的期限内持下列单据结算货款。</w:t>
      </w:r>
      <w:r/>
    </w:p>
    <w:p>
      <w:pPr>
        <w:pStyle w:val="926"/>
        <w:spacing w:line="360" w:lineRule="auto"/>
        <w:rPr>
          <w:rFonts w:ascii="宋体" w:hAnsi="宋体" w:eastAsia="宋体" w:cs="宋体"/>
          <w:sz w:val="21"/>
        </w:rPr>
      </w:pPr>
      <w:r>
        <w:rPr>
          <w:rFonts w:hint="eastAsia" w:ascii="宋体" w:hAnsi="宋体" w:eastAsia="宋体" w:cs="宋体"/>
          <w:sz w:val="21"/>
        </w:rPr>
        <w:t xml:space="preserve">11.2.1 合格的发票。</w:t>
      </w:r>
      <w:r/>
    </w:p>
    <w:p>
      <w:pPr>
        <w:pStyle w:val="926"/>
        <w:spacing w:line="360" w:lineRule="auto"/>
        <w:rPr>
          <w:rFonts w:ascii="宋体" w:hAnsi="宋体" w:eastAsia="宋体" w:cs="宋体"/>
          <w:sz w:val="21"/>
        </w:rPr>
      </w:pPr>
      <w:r>
        <w:rPr>
          <w:rFonts w:hint="eastAsia" w:ascii="宋体" w:hAnsi="宋体" w:eastAsia="宋体" w:cs="宋体"/>
          <w:sz w:val="21"/>
        </w:rPr>
        <w:t xml:space="preserve">11.2.2 甲方盖章签收后的送货回单和验收合格证明。</w:t>
      </w:r>
      <w:r/>
    </w:p>
    <w:p>
      <w:pPr>
        <w:pStyle w:val="926"/>
        <w:spacing w:line="360" w:lineRule="auto"/>
        <w:rPr>
          <w:rFonts w:ascii="宋体" w:hAnsi="宋体" w:eastAsia="宋体" w:cs="宋体"/>
          <w:sz w:val="21"/>
        </w:rPr>
      </w:pPr>
      <w:r>
        <w:rPr>
          <w:rFonts w:hint="eastAsia" w:ascii="宋体" w:hAnsi="宋体" w:eastAsia="宋体" w:cs="宋体"/>
          <w:sz w:val="21"/>
        </w:rPr>
        <w:t xml:space="preserve">11.3 甲方应按合同特殊条款规定的期限和方式付款。</w:t>
      </w:r>
      <w:r/>
    </w:p>
    <w:p>
      <w:pPr>
        <w:pStyle w:val="926"/>
        <w:spacing w:line="360" w:lineRule="auto"/>
        <w:rPr>
          <w:rFonts w:ascii="宋体" w:hAnsi="宋体" w:eastAsia="宋体" w:cs="宋体"/>
          <w:sz w:val="21"/>
        </w:rPr>
      </w:pPr>
      <w:r>
        <w:rPr>
          <w:rFonts w:hint="eastAsia" w:ascii="宋体" w:hAnsi="宋体" w:eastAsia="宋体" w:cs="宋体"/>
          <w:sz w:val="21"/>
        </w:rPr>
        <w:t xml:space="preserve">11.4 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ascii="宋体" w:hAnsi="宋体" w:cs="宋体"/>
          <w:b/>
        </w:rPr>
      </w:pPr>
      <w:r>
        <w:rPr>
          <w:rFonts w:hint="eastAsia" w:ascii="宋体" w:hAnsi="宋体" w:cs="宋体"/>
          <w:b/>
        </w:rPr>
        <w:t xml:space="preserve">13.甲方违约责任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13.1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13.2甲方无故逾期付款的应按照逾期付款金额的每天万分之四支付逾期付款违约金。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13.3甲方违反合同规定，拒绝接收乙方交付的合格标的物，应当承担乙方由此造成的损失。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ascii="宋体" w:hAnsi="宋体" w:cs="宋体"/>
          <w:b/>
        </w:rPr>
      </w:pPr>
      <w:r>
        <w:rPr>
          <w:rFonts w:hint="eastAsia" w:ascii="宋体" w:hAnsi="宋体" w:cs="宋体"/>
          <w:b/>
        </w:rPr>
        <w:t xml:space="preserve">15.不可抗力</w:t>
      </w:r>
      <w:r/>
    </w:p>
    <w:p>
      <w:pPr>
        <w:pStyle w:val="926"/>
        <w:spacing w:line="360" w:lineRule="auto"/>
        <w:rPr>
          <w:rFonts w:ascii="宋体" w:hAnsi="宋体" w:eastAsia="宋体" w:cs="宋体"/>
          <w:sz w:val="21"/>
        </w:rPr>
      </w:pPr>
      <w:r>
        <w:rPr>
          <w:rFonts w:hint="eastAsia" w:ascii="宋体" w:hAnsi="宋体" w:eastAsia="宋体" w:cs="宋体"/>
          <w:sz w:val="21"/>
        </w:rPr>
        <w:t xml:space="preserve">15.1 因不可抗力不能履行合同的，根据不可抗力的影响，部分或者全部免除责任。但合 同一方迟延履行后发生不可抗力的，不能免除责任。</w:t>
      </w:r>
      <w:r/>
    </w:p>
    <w:p>
      <w:pPr>
        <w:pStyle w:val="926"/>
        <w:spacing w:line="360" w:lineRule="auto"/>
        <w:rPr>
          <w:rFonts w:ascii="宋体" w:hAnsi="宋体" w:eastAsia="宋体" w:cs="宋体"/>
          <w:sz w:val="21"/>
        </w:rPr>
      </w:pPr>
      <w:r>
        <w:rPr>
          <w:rFonts w:hint="eastAsia" w:ascii="宋体" w:hAnsi="宋体" w:eastAsia="宋体" w:cs="宋体"/>
          <w:sz w:val="21"/>
        </w:rPr>
        <w:t xml:space="preserve">15.2合同一方因不可抗力不能履行合同的，应当及时通知对方，以减轻可能给对方造成的损失，并应当在合理期限内提供证明。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16.索赔</w:t>
      </w:r>
      <w:r/>
    </w:p>
    <w:p>
      <w:pPr>
        <w:pStyle w:val="926"/>
        <w:spacing w:line="360" w:lineRule="auto"/>
        <w:rPr>
          <w:rFonts w:ascii="宋体" w:hAnsi="宋体" w:eastAsia="宋体" w:cs="宋体"/>
          <w:sz w:val="21"/>
        </w:rPr>
      </w:pPr>
      <w:r>
        <w:rPr>
          <w:rFonts w:hint="eastAsia" w:ascii="宋体" w:hAnsi="宋体" w:eastAsia="宋体" w:cs="宋体"/>
          <w:sz w:val="21"/>
        </w:rPr>
        <w:t xml:space="preserve">16.1 甲方有权根据甲方所出具的验收证明、第三方质量检验机构或其他专业机构、组织、 部门出具的检验证书向乙方提出索赔。</w:t>
      </w:r>
      <w:r/>
    </w:p>
    <w:p>
      <w:pPr>
        <w:pStyle w:val="926"/>
        <w:spacing w:line="360" w:lineRule="auto"/>
        <w:rPr>
          <w:rFonts w:ascii="宋体" w:hAnsi="宋体" w:eastAsia="宋体" w:cs="宋体"/>
          <w:sz w:val="21"/>
        </w:rPr>
      </w:pPr>
      <w:r>
        <w:rPr>
          <w:rFonts w:hint="eastAsia" w:ascii="宋体" w:hAnsi="宋体" w:eastAsia="宋体" w:cs="宋体"/>
          <w:sz w:val="21"/>
        </w:rPr>
        <w:t xml:space="preserve">16.2在本合同规定的检验期和质量保证期内，乙方同意甲方有权按下列一种或多种方式 合并解决索赔事宜：</w:t>
      </w:r>
      <w:r/>
    </w:p>
    <w:p>
      <w:pPr>
        <w:pStyle w:val="926"/>
        <w:spacing w:line="360" w:lineRule="auto"/>
        <w:rPr>
          <w:rFonts w:ascii="宋体" w:hAnsi="宋体" w:eastAsia="宋体" w:cs="宋体"/>
          <w:sz w:val="21"/>
        </w:rPr>
      </w:pPr>
      <w:r>
        <w:rPr>
          <w:rFonts w:hint="eastAsia" w:ascii="宋体" w:hAnsi="宋体" w:eastAsia="宋体" w:cs="宋体"/>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926"/>
        <w:spacing w:line="360" w:lineRule="auto"/>
        <w:rPr>
          <w:rFonts w:ascii="宋体" w:hAnsi="宋体" w:eastAsia="宋体" w:cs="宋体"/>
          <w:sz w:val="21"/>
        </w:rPr>
      </w:pPr>
      <w:r>
        <w:rPr>
          <w:rFonts w:hint="eastAsia" w:ascii="宋体" w:hAnsi="宋体" w:eastAsia="宋体" w:cs="宋体"/>
          <w:sz w:val="21"/>
        </w:rPr>
        <w:t xml:space="preserve">16.2.2根据标的物的低劣程度、损坏程度以及甲方遭受损失的数额，经双方协商确定降 低标的物的价格。</w:t>
      </w:r>
      <w:r/>
    </w:p>
    <w:p>
      <w:pPr>
        <w:pStyle w:val="926"/>
        <w:spacing w:line="360" w:lineRule="auto"/>
        <w:rPr>
          <w:rFonts w:ascii="宋体" w:hAnsi="宋体" w:eastAsia="宋体" w:cs="宋体"/>
          <w:sz w:val="21"/>
        </w:rPr>
      </w:pPr>
      <w:r>
        <w:rPr>
          <w:rFonts w:hint="eastAsia" w:ascii="宋体" w:hAnsi="宋体" w:eastAsia="宋体" w:cs="宋体"/>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926"/>
        <w:spacing w:line="360" w:lineRule="auto"/>
        <w:rPr>
          <w:rFonts w:ascii="宋体" w:hAnsi="宋体" w:eastAsia="宋体" w:cs="宋体"/>
          <w:sz w:val="21"/>
        </w:rPr>
      </w:pPr>
      <w:r>
        <w:rPr>
          <w:rFonts w:hint="eastAsia" w:ascii="宋体" w:hAnsi="宋体" w:eastAsia="宋体" w:cs="宋体"/>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17.履约保证金：无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18.1 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18.2有权解除合同的一方，可在违约事实或不可抗力发生之后三天内书面通知对方以主 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ascii="宋体" w:hAnsi="宋体" w:cs="宋体"/>
          <w:b/>
        </w:rPr>
      </w:pPr>
      <w:r>
        <w:rPr>
          <w:rFonts w:hint="eastAsia" w:ascii="宋体" w:hAnsi="宋体" w:cs="宋体"/>
          <w:b/>
        </w:rPr>
        <w:t xml:space="preserve">19.合同的转让</w:t>
      </w:r>
      <w:r/>
    </w:p>
    <w:p>
      <w:pPr>
        <w:spacing w:line="360" w:lineRule="auto"/>
        <w:rPr>
          <w:rFonts w:ascii="宋体" w:hAnsi="宋体" w:cs="宋体"/>
        </w:rPr>
      </w:pPr>
      <w:r>
        <w:rPr>
          <w:rFonts w:hint="eastAsia" w:ascii="宋体" w:hAnsi="宋体" w:cs="宋体"/>
        </w:rPr>
        <w:t xml:space="preserve">     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21.争议解决</w:t>
      </w:r>
      <w:r/>
    </w:p>
    <w:p>
      <w:pPr>
        <w:pStyle w:val="926"/>
        <w:spacing w:line="360" w:lineRule="auto"/>
        <w:rPr>
          <w:rFonts w:ascii="宋体" w:hAnsi="宋体" w:eastAsia="宋体" w:cs="宋体"/>
          <w:sz w:val="21"/>
        </w:rPr>
      </w:pPr>
      <w:r>
        <w:rPr>
          <w:rFonts w:hint="eastAsia" w:ascii="宋体" w:hAnsi="宋体" w:eastAsia="宋体" w:cs="宋体"/>
          <w:sz w:val="21"/>
        </w:rPr>
        <w:t xml:space="preserve"> 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23.未尽事宜</w:t>
      </w:r>
      <w:r/>
    </w:p>
    <w:p>
      <w:pPr>
        <w:pStyle w:val="932"/>
        <w:rPr>
          <w:rFonts w:ascii="宋体" w:hAnsi="宋体"/>
          <w:b/>
          <w:bCs/>
          <w:sz w:val="21"/>
          <w:szCs w:val="21"/>
        </w:rPr>
      </w:pPr>
      <w:r>
        <w:rPr>
          <w:rFonts w:hint="eastAsia" w:ascii="宋体" w:hAnsi="宋体" w:cs="宋体"/>
          <w:sz w:val="21"/>
        </w:rPr>
        <w:t xml:space="preserve">本合同未尽事宜应按《中华人民共和国民法典》、《中华人民共和国产品质量法》、《中华人民共和国政府采</w:t>
      </w:r>
      <w:r>
        <w:rPr>
          <w:rFonts w:hint="eastAsia" w:ascii="宋体" w:hAnsi="宋体" w:cs="宋体"/>
          <w:sz w:val="21"/>
          <w:szCs w:val="21"/>
        </w:rPr>
        <w:t xml:space="preserve">购法》及其他有关政府采购的法律法规之规定解释。</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pStyle w:val="931"/>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  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              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  方（中标单位）：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              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60"/>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5"/>
        <w:ind w:firstLine="502"/>
        <w:spacing w:line="360" w:lineRule="auto"/>
        <w:rPr>
          <w:rFonts w:cs="宋体"/>
          <w:sz w:val="21"/>
        </w:rPr>
      </w:pPr>
      <w:r>
        <w:rPr>
          <w:rFonts w:hint="eastAsia" w:cs="宋体"/>
          <w:sz w:val="21"/>
        </w:rPr>
        <w:t xml:space="preserve">①招投标文件及中标通知书；</w:t>
      </w:r>
      <w:r/>
    </w:p>
    <w:p>
      <w:pPr>
        <w:pStyle w:val="935"/>
        <w:ind w:firstLine="502"/>
        <w:spacing w:line="360" w:lineRule="auto"/>
        <w:rPr>
          <w:rFonts w:cs="宋体"/>
          <w:sz w:val="21"/>
        </w:rPr>
      </w:pPr>
      <w:r>
        <w:rPr>
          <w:rFonts w:hint="eastAsia" w:cs="宋体"/>
          <w:sz w:val="21"/>
        </w:rPr>
        <w:t xml:space="preserve">②产品清单；</w:t>
      </w:r>
      <w:r/>
    </w:p>
    <w:p>
      <w:pPr>
        <w:pStyle w:val="935"/>
        <w:ind w:firstLine="502"/>
        <w:spacing w:line="360" w:lineRule="auto"/>
        <w:rPr>
          <w:rFonts w:cs="宋体"/>
          <w:sz w:val="21"/>
        </w:rPr>
      </w:pPr>
      <w:r>
        <w:rPr>
          <w:rFonts w:hint="eastAsia" w:cs="宋体"/>
          <w:sz w:val="21"/>
        </w:rPr>
        <w:t xml:space="preserve">③合同其他附件。</w:t>
      </w:r>
      <w:r/>
    </w:p>
    <w:p>
      <w:pPr>
        <w:pStyle w:val="935"/>
        <w:spacing w:line="360" w:lineRule="auto"/>
        <w:rPr>
          <w:rFonts w:cs="宋体"/>
          <w:sz w:val="21"/>
        </w:rPr>
      </w:pPr>
      <w:r>
        <w:rPr>
          <w:rFonts w:hint="eastAsia" w:cs="宋体"/>
          <w:sz w:val="21"/>
        </w:rPr>
        <w:t xml:space="preserve">三、合同价格与支付：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医院平台各系统（如HIS系统、LIS系统等）的接口费用</w:t>
      </w:r>
      <w:r>
        <w:rPr>
          <w:rFonts w:hint="eastAsia" w:ascii="宋体" w:hAnsi="宋体" w:cs="宋体"/>
        </w:rPr>
        <w:t xml:space="preserve">、调试、人工、机械、装卸、培训、保险、运费、采购代理服务费、各种税费、劳保、专利技术及维保等完成本次项目所需的一切费用。 </w:t>
      </w:r>
      <w:r/>
    </w:p>
    <w:p>
      <w:pPr>
        <w:ind w:firstLine="420"/>
        <w:spacing w:line="360" w:lineRule="auto"/>
        <w:rPr>
          <w:rFonts w:ascii="宋体" w:hAnsi="宋体" w:cs="宋体"/>
        </w:rPr>
      </w:pPr>
      <w:r>
        <w:rPr>
          <w:rFonts w:hint="eastAsia" w:ascii="宋体" w:hAnsi="宋体" w:cs="宋体"/>
        </w:rPr>
        <w:t xml:space="preserve">3.付款步骤：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B、甲方签收后的送货回单</w:t>
      </w:r>
      <w:r/>
    </w:p>
    <w:p>
      <w:pPr>
        <w:ind w:firstLine="420"/>
        <w:spacing w:line="360" w:lineRule="auto"/>
        <w:rPr>
          <w:rFonts w:ascii="宋体" w:hAnsi="宋体" w:cs="宋体"/>
        </w:rPr>
      </w:pPr>
      <w:r>
        <w:rPr>
          <w:rFonts w:hint="eastAsia" w:ascii="宋体" w:hAnsi="宋体" w:cs="宋体"/>
        </w:rPr>
        <w:t xml:space="preserve">C、由甲乙双方签章的《政府采购合同履行验收报告》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 </w:t>
      </w:r>
      <w:r/>
    </w:p>
    <w:p>
      <w:pPr>
        <w:ind w:left="99" w:firstLine="420"/>
        <w:spacing w:line="360" w:lineRule="auto"/>
        <w:rPr>
          <w:rFonts w:ascii="宋体" w:hAnsi="宋体" w:cs="宋体"/>
        </w:rPr>
      </w:pPr>
      <w:r>
        <w:rPr>
          <w:rFonts w:hint="eastAsia" w:ascii="宋体" w:hAnsi="宋体" w:cs="宋体"/>
        </w:rPr>
        <w:t xml:space="preserve">1.交货时间：合同签订后60日内送货到位并完成安装调试。</w:t>
      </w:r>
      <w:r/>
    </w:p>
    <w:p>
      <w:pPr>
        <w:ind w:left="99" w:firstLine="420"/>
        <w:spacing w:line="360" w:lineRule="auto"/>
        <w:rPr>
          <w:rFonts w:ascii="宋体" w:hAnsi="宋体" w:cs="宋体"/>
        </w:rPr>
      </w:pPr>
      <w:r>
        <w:rPr>
          <w:rFonts w:hint="eastAsia" w:ascii="宋体" w:hAnsi="宋体" w:cs="宋体"/>
        </w:rPr>
        <w:t xml:space="preserve">2.交货地点：甲方指定地点。</w:t>
      </w:r>
      <w:r/>
    </w:p>
    <w:p>
      <w:pPr>
        <w:ind w:left="99" w:firstLine="420"/>
        <w:spacing w:line="360" w:lineRule="auto"/>
        <w:rPr>
          <w:rFonts w:ascii="宋体" w:hAnsi="宋体" w:cs="宋体"/>
        </w:rPr>
      </w:pPr>
      <w:r>
        <w:rPr>
          <w:rFonts w:hint="eastAsia" w:ascii="宋体" w:hAnsi="宋体" w:cs="宋体"/>
        </w:rPr>
        <w:t xml:space="preserve">3.乙方须在交货时向甲方出具满足质保期要求的原厂质保证明文件，否则甲方有权终止合同并由乙方承担因此带来的一切损失。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3.产品的验收包括：数量、外观、质量、性能、质保单、品牌标志、包装和乙方承诺 的其它指标；验收后使用阶段，甲方仍有权按本合同(一)合同一般条款中第二条及第四条等约定主张各项权利；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926"/>
        <w:spacing w:line="360" w:lineRule="auto"/>
        <w:rPr>
          <w:rFonts w:ascii="宋体" w:hAnsi="宋体" w:eastAsia="宋体" w:cs="宋体"/>
          <w:sz w:val="21"/>
        </w:rPr>
      </w:pPr>
      <w:r>
        <w:rPr>
          <w:rFonts w:hint="eastAsia" w:ascii="宋体" w:hAnsi="宋体" w:eastAsia="宋体" w:cs="宋体"/>
          <w:sz w:val="21"/>
        </w:rPr>
        <w:t xml:space="preserve">1.甲方违约责任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1.1 在合同生效后，甲方无正当理由要求退货的，应向乙方偿付合同总价款5%的违约金，违约金不足以补偿损失的，乙方有权要求甲方补足。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1.2 甲方无故逾期付款的应按照逾期付款金额的每天万分之四支付逾期付款违约金。</w:t>
      </w:r>
      <w:r/>
    </w:p>
    <w:p>
      <w:pPr>
        <w:pStyle w:val="926"/>
        <w:spacing w:line="360" w:lineRule="auto"/>
        <w:rPr>
          <w:rFonts w:ascii="宋体" w:hAnsi="宋体" w:eastAsia="宋体" w:cs="宋体"/>
          <w:sz w:val="21"/>
        </w:rPr>
      </w:pPr>
      <w:r>
        <w:rPr>
          <w:rFonts w:hint="eastAsia" w:ascii="宋体" w:hAnsi="宋体" w:eastAsia="宋体" w:cs="宋体"/>
          <w:sz w:val="21"/>
        </w:rPr>
        <w:t xml:space="preserve">1.3 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26"/>
        <w:spacing w:line="360" w:lineRule="auto"/>
        <w:rPr>
          <w:rFonts w:ascii="宋体" w:hAnsi="宋体" w:eastAsia="宋体" w:cs="宋体"/>
          <w:sz w:val="21"/>
        </w:rPr>
      </w:pPr>
      <w:r>
        <w:rPr>
          <w:rFonts w:hint="eastAsia" w:ascii="宋体" w:hAnsi="宋体" w:eastAsia="宋体" w:cs="宋体"/>
          <w:sz w:val="21"/>
        </w:rPr>
        <w:t xml:space="preserve">1.乙方有下列行为之一的，甲方有权解除合同，要求乙方返还甲方所支付的任何款项并支付合同总价款20%的违约金，违约金不足以补偿实际损失的，甲方有权要求乙方补足：</w:t>
      </w:r>
      <w:r/>
    </w:p>
    <w:p>
      <w:pPr>
        <w:pStyle w:val="926"/>
        <w:spacing w:line="360" w:lineRule="auto"/>
        <w:rPr>
          <w:rFonts w:ascii="宋体" w:hAnsi="宋体" w:eastAsia="宋体" w:cs="宋体"/>
          <w:sz w:val="21"/>
        </w:rPr>
      </w:pPr>
      <w:r>
        <w:rPr>
          <w:rFonts w:hint="eastAsia" w:ascii="宋体" w:hAnsi="宋体" w:eastAsia="宋体" w:cs="宋体"/>
          <w:sz w:val="21"/>
        </w:rPr>
        <w:t xml:space="preserve">1)不能交货。乙方交货、安装、检验逾期超过15日(自然日)的，视为不能交货；</w:t>
      </w:r>
      <w:r/>
    </w:p>
    <w:p>
      <w:pPr>
        <w:pStyle w:val="926"/>
        <w:spacing w:line="360" w:lineRule="auto"/>
        <w:rPr>
          <w:rFonts w:ascii="宋体" w:hAnsi="宋体" w:eastAsia="宋体" w:cs="宋体"/>
          <w:sz w:val="21"/>
        </w:rPr>
      </w:pPr>
      <w:r>
        <w:rPr>
          <w:rFonts w:hint="eastAsia" w:ascii="宋体" w:hAnsi="宋体" w:eastAsia="宋体" w:cs="宋体"/>
          <w:sz w:val="21"/>
        </w:rPr>
        <w:t xml:space="preserve">2)交付的标的物不符合投标文件及合同约定；</w:t>
      </w:r>
      <w:r/>
    </w:p>
    <w:p>
      <w:pPr>
        <w:pStyle w:val="926"/>
        <w:spacing w:line="360" w:lineRule="auto"/>
        <w:rPr>
          <w:rFonts w:ascii="宋体" w:hAnsi="宋体" w:eastAsia="宋体" w:cs="宋体"/>
          <w:sz w:val="21"/>
        </w:rPr>
      </w:pPr>
      <w:r>
        <w:rPr>
          <w:rFonts w:hint="eastAsia" w:ascii="宋体" w:hAnsi="宋体" w:eastAsia="宋体" w:cs="宋体"/>
          <w:sz w:val="21"/>
        </w:rPr>
        <w:t xml:space="preserve">3)因可归责于乙方的情形导致标的物不能正常使用，致使甲方合同目的无法实现；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4)其他合同约定的违约行为，致使甲方合同目的无法实现。</w:t>
      </w:r>
      <w:r/>
    </w:p>
    <w:p>
      <w:pPr>
        <w:pStyle w:val="926"/>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26"/>
        <w:spacing w:line="360" w:lineRule="auto"/>
        <w:rPr>
          <w:rFonts w:ascii="宋体" w:hAnsi="宋体" w:eastAsia="宋体" w:cs="宋体"/>
          <w:sz w:val="21"/>
        </w:rPr>
      </w:pPr>
      <w:r>
        <w:rPr>
          <w:rFonts w:hint="eastAsia" w:ascii="宋体" w:hAnsi="宋体" w:eastAsia="宋体" w:cs="宋体"/>
          <w:sz w:val="21"/>
        </w:rPr>
        <w:t xml:space="preserve">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26"/>
        <w:spacing w:line="360" w:lineRule="auto"/>
        <w:rPr>
          <w:rFonts w:ascii="宋体" w:hAnsi="宋体" w:eastAsia="宋体" w:cs="宋体"/>
          <w:sz w:val="21"/>
        </w:rPr>
      </w:pPr>
      <w:r>
        <w:rPr>
          <w:rFonts w:hint="eastAsia" w:ascii="宋体" w:hAnsi="宋体" w:eastAsia="宋体" w:cs="宋体"/>
          <w:sz w:val="21"/>
        </w:rPr>
        <w:t xml:space="preserve">1.合同的解除</w:t>
      </w:r>
      <w:r/>
    </w:p>
    <w:p>
      <w:pPr>
        <w:pStyle w:val="926"/>
        <w:spacing w:line="360" w:lineRule="auto"/>
        <w:rPr>
          <w:rFonts w:ascii="宋体" w:hAnsi="宋体" w:eastAsia="宋体" w:cs="宋体"/>
          <w:sz w:val="21"/>
        </w:rPr>
      </w:pPr>
      <w:r>
        <w:rPr>
          <w:rFonts w:hint="eastAsia" w:ascii="宋体" w:hAnsi="宋体" w:eastAsia="宋体" w:cs="宋体"/>
          <w:sz w:val="21"/>
        </w:rPr>
        <w:t xml:space="preserve">1.1有下列情形之一，合同一方可以解除合同：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1.1.1因不可抗力致使不能实现合同目的，未受不可抗力影响的一方有权解除合同；</w:t>
      </w:r>
      <w:r/>
    </w:p>
    <w:p>
      <w:pPr>
        <w:pStyle w:val="926"/>
        <w:spacing w:line="360" w:lineRule="auto"/>
        <w:rPr>
          <w:rFonts w:ascii="宋体" w:hAnsi="宋体" w:eastAsia="宋体" w:cs="宋体"/>
          <w:sz w:val="21"/>
        </w:rPr>
      </w:pPr>
      <w:r>
        <w:rPr>
          <w:rFonts w:hint="eastAsia" w:ascii="宋体" w:hAnsi="宋体" w:eastAsia="宋体" w:cs="宋体"/>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926"/>
        <w:spacing w:line="360" w:lineRule="auto"/>
        <w:rPr>
          <w:rFonts w:ascii="宋体" w:hAnsi="宋体" w:eastAsia="宋体" w:cs="宋体"/>
          <w:sz w:val="21"/>
        </w:rPr>
      </w:pPr>
      <w:r>
        <w:rPr>
          <w:rFonts w:hint="eastAsia" w:ascii="宋体" w:hAnsi="宋体" w:eastAsia="宋体" w:cs="宋体"/>
          <w:sz w:val="21"/>
        </w:rPr>
        <w:t xml:space="preserve">1.2有权解除合同的一方，可在违约事实或不可抗力发生之后三天内书面通知对方以主张解除合同，合同在书面通知寄往对方时即告解除。</w:t>
      </w:r>
      <w:r/>
    </w:p>
    <w:p>
      <w:pPr>
        <w:pStyle w:val="926"/>
        <w:spacing w:line="360" w:lineRule="auto"/>
        <w:rPr>
          <w:rFonts w:ascii="宋体" w:hAnsi="宋体" w:eastAsia="宋体" w:cs="宋体"/>
          <w:sz w:val="21"/>
        </w:rPr>
      </w:pPr>
      <w:r>
        <w:rPr>
          <w:rFonts w:hint="eastAsia" w:ascii="宋体" w:hAnsi="宋体" w:eastAsia="宋体" w:cs="宋体"/>
          <w:sz w:val="21"/>
        </w:rPr>
        <w:t xml:space="preserve">1.3本合同当事人联系信息以国家企业信用信息公示系统等查询备注地址为准，适用于双方往来联系、书面文件送达及争议解决时法律文书(含裁判文书)送达。</w:t>
      </w:r>
      <w:r/>
    </w:p>
    <w:p>
      <w:pPr>
        <w:pStyle w:val="926"/>
        <w:spacing w:line="360" w:lineRule="auto"/>
        <w:rPr>
          <w:rFonts w:ascii="宋体" w:hAnsi="宋体" w:eastAsia="宋体" w:cs="宋体"/>
          <w:sz w:val="21"/>
        </w:rPr>
      </w:pPr>
      <w:r>
        <w:rPr>
          <w:rFonts w:hint="eastAsia" w:ascii="宋体" w:hAnsi="宋体" w:eastAsia="宋体" w:cs="宋体"/>
          <w:sz w:val="21"/>
        </w:rPr>
        <w:t xml:space="preserve">2.合同的转让</w:t>
      </w:r>
      <w:r/>
    </w:p>
    <w:p>
      <w:pPr>
        <w:pStyle w:val="926"/>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                                     乙方（签章）：                    </w:t>
      </w:r>
      <w:r/>
    </w:p>
    <w:p>
      <w:pPr>
        <w:spacing w:line="520" w:lineRule="exact"/>
        <w:rPr>
          <w:rFonts w:ascii="宋体" w:hAnsi="宋体" w:cs="宋体"/>
          <w:szCs w:val="21"/>
        </w:rPr>
      </w:pPr>
      <w:r>
        <w:rPr>
          <w:rFonts w:hint="eastAsia" w:ascii="宋体" w:hAnsi="宋体" w:cs="宋体"/>
          <w:szCs w:val="21"/>
        </w:rPr>
        <w:t xml:space="preserve">甲方法定(授权)代表人签字：                          </w:t>
      </w:r>
      <w:r>
        <w:rPr>
          <w:spacing w:val="-7"/>
          <w:szCs w:val="21"/>
        </w:rPr>
        <w:t xml:space="preserve">乙方法定代表人签字</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   年   月    日                             签约日期：   年   月    日</w:t>
      </w:r>
      <w:r/>
    </w:p>
    <w:p>
      <w:pPr>
        <w:pStyle w:val="939"/>
        <w:ind w:firstLine="522"/>
        <w:spacing w:line="360" w:lineRule="auto"/>
      </w:pPr>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1"/>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37</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37</w:t>
      </w:r>
      <w:r>
        <w:rPr>
          <w:rFonts w:hint="eastAsia" w:ascii="宋体" w:hAnsi="宋体" w:cs="宋体"/>
          <w:szCs w:val="21"/>
          <w:lang w:val="zh-CN"/>
        </w:rPr>
        <w:t xml:space="preserve">分；标 “▲” 重要技术条款出现一项负偏离扣</w:t>
      </w:r>
      <w:r>
        <w:rPr>
          <w:rFonts w:hint="eastAsia" w:ascii="宋体" w:hAnsi="宋体" w:cs="宋体"/>
          <w:szCs w:val="21"/>
        </w:rPr>
        <w:t xml:space="preserve">4</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1</w:t>
      </w:r>
      <w:r>
        <w:rPr>
          <w:rFonts w:hint="eastAsia" w:ascii="宋体" w:hAnsi="宋体" w:cs="宋体"/>
          <w:szCs w:val="21"/>
          <w:lang w:val="zh-CN"/>
        </w:rPr>
        <w:t xml:space="preserve">分，本项分值扣至 0 分为止。</w:t>
      </w:r>
      <w:r/>
    </w:p>
    <w:p>
      <w:pPr>
        <w:ind w:firstLine="422"/>
        <w:spacing w:line="360" w:lineRule="auto"/>
        <w:rPr>
          <w:rFonts w:ascii="宋体" w:hAnsi="宋体" w:cs="宋体"/>
          <w:szCs w:val="21"/>
          <w:lang w:val="zh-CN"/>
        </w:rPr>
      </w:pPr>
      <w:r>
        <w:rPr>
          <w:rFonts w:hint="eastAsia" w:ascii="宋体" w:hAnsi="宋体" w:cs="宋体"/>
          <w:szCs w:val="21"/>
          <w:lang w:val="zh-CN"/>
        </w:rPr>
        <w:t xml:space="preserve">标注 “▲” 的技术条款，投标人</w:t>
      </w:r>
      <w:r>
        <w:rPr>
          <w:rFonts w:hint="eastAsia" w:ascii="宋体" w:hAnsi="宋体" w:cs="宋体"/>
          <w:szCs w:val="21"/>
        </w:rPr>
        <w:t xml:space="preserve">可</w:t>
      </w:r>
      <w:r>
        <w:rPr>
          <w:rFonts w:hint="eastAsia" w:ascii="宋体" w:hAnsi="宋体" w:cs="宋体"/>
          <w:szCs w:val="21"/>
          <w:lang w:val="zh-CN"/>
        </w:rPr>
        <w:t xml:space="preserve">提供医疗器械注册证、CMA 第三方检测报告、制造商公开发行的产品说明书、彩页样本任意之一予以佐证。投标人未提供佐证资料，或所提供佐证资料不足以有效证明投标产品满足该参数要求的，评标委员会应当认定该项为负偏离并予以扣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29分）</w:t>
      </w:r>
      <w:r/>
    </w:p>
    <w:p>
      <w:pPr>
        <w:ind w:firstLine="420"/>
        <w:spacing w:line="360" w:lineRule="auto"/>
        <w:rPr>
          <w:rFonts w:ascii="宋体" w:hAnsi="宋体"/>
          <w:szCs w:val="21"/>
        </w:rPr>
      </w:pPr>
      <w:r>
        <w:rPr>
          <w:rFonts w:hint="eastAsia" w:ascii="宋体" w:hAnsi="宋体"/>
          <w:szCs w:val="21"/>
        </w:rPr>
        <w:t xml:space="preserve">1、针对本项目的项目实施方案（包括项目团队情况及岗位分工职责、货源组织、交货期工序安排、产品质量控制等）（最高为5分）：项目实施方案内容完整不漏项、有针对性说明、切实可行、</w:t>
      </w:r>
      <w:r>
        <w:rPr>
          <w:rFonts w:hint="eastAsia" w:ascii="宋体" w:hAnsi="宋体"/>
          <w:szCs w:val="21"/>
        </w:rPr>
        <w:t xml:space="preserve">能保证项目质量的得5分；方案各项内容阐述片面有缺漏项、针对性说明简单、可行性一般、基本能保证项目质量的得3分；方案各项内容粗略缺漏、缺针对性说明、不能保证项目质量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3、投标单位质保期满后维保收费及内容情况（最高为5分）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5分；维保收费清单涵盖较为全面，价格优惠力度相对较大，维保内容涵盖满足上述要求，维保流程及规范较为科学合理，可实施性较强，维保档案建立标准规范，基本采购需求的得3分；维保收费清单涵盖简单，基本满足采购需求的得1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针对本项目的应急和重大故障解决方案（包括应急和重大故障预防措施，以及出现问题的响应时间、补救措施等）（最高为5分）：方案考虑详实具体全面周到、应对措施科学合理可行的得5分；方案考虑不够详细合理性可行性一般的得3分；方案考虑不够全面合理性可行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5、针对本项目使用方人员的技术培训方案（最高为4分）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2"/>
        <w:spacing w:line="360" w:lineRule="auto"/>
        <w:rPr>
          <w:b/>
          <w:bCs/>
          <w:szCs w:val="21"/>
        </w:rPr>
      </w:pPr>
      <w:r>
        <w:rPr>
          <w:rFonts w:hint="eastAsia"/>
          <w:b/>
          <w:bCs/>
          <w:szCs w:val="21"/>
        </w:rPr>
        <w:t xml:space="preserve">（四）类似产品业绩情况（最高为</w:t>
      </w:r>
      <w:r>
        <w:rPr>
          <w:rFonts w:hint="eastAsia"/>
          <w:b/>
          <w:bCs/>
          <w:szCs w:val="21"/>
        </w:rPr>
        <w:t xml:space="preserve">4</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3年1月1日（以合同签订日期为准）至今，所投品牌同类型产品销售业绩情况，每提供一份业绩合同得2分,最高4分。</w:t>
      </w:r>
      <w:r>
        <w:rPr>
          <w:rFonts w:hint="eastAsia" w:ascii="宋体" w:hAnsi="宋体"/>
          <w:b/>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6"/>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标号：JSZC-320000-CJZB-G2026-0088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标号：JSZC-320000-CJZB-G2026-0088号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3"/>
    <w:link w:val="918"/>
    <w:uiPriority w:val="9"/>
    <w:rPr>
      <w:rFonts w:ascii="Arial" w:hAnsi="Arial" w:eastAsia="Arial" w:cs="Arial"/>
      <w:sz w:val="40"/>
      <w:szCs w:val="40"/>
    </w:rPr>
  </w:style>
  <w:style w:type="character" w:styleId="755">
    <w:name w:val="Heading 2 Char"/>
    <w:basedOn w:val="923"/>
    <w:link w:val="919"/>
    <w:uiPriority w:val="9"/>
    <w:rPr>
      <w:rFonts w:ascii="Arial" w:hAnsi="Arial" w:eastAsia="Arial" w:cs="Arial"/>
      <w:sz w:val="34"/>
    </w:rPr>
  </w:style>
  <w:style w:type="character" w:styleId="756">
    <w:name w:val="Heading 3 Char"/>
    <w:basedOn w:val="923"/>
    <w:link w:val="920"/>
    <w:uiPriority w:val="9"/>
    <w:rPr>
      <w:rFonts w:ascii="Arial" w:hAnsi="Arial" w:eastAsia="Arial" w:cs="Arial"/>
      <w:sz w:val="30"/>
      <w:szCs w:val="30"/>
    </w:rPr>
  </w:style>
  <w:style w:type="paragraph" w:styleId="757">
    <w:name w:val="Heading 4"/>
    <w:basedOn w:val="917"/>
    <w:next w:val="917"/>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3"/>
    <w:link w:val="757"/>
    <w:uiPriority w:val="9"/>
    <w:rPr>
      <w:rFonts w:ascii="Arial" w:hAnsi="Arial" w:eastAsia="Arial" w:cs="Arial"/>
      <w:b/>
      <w:bCs/>
      <w:sz w:val="26"/>
      <w:szCs w:val="26"/>
    </w:rPr>
  </w:style>
  <w:style w:type="character" w:styleId="759">
    <w:name w:val="Heading 5 Char"/>
    <w:basedOn w:val="923"/>
    <w:link w:val="921"/>
    <w:uiPriority w:val="9"/>
    <w:rPr>
      <w:rFonts w:ascii="Arial" w:hAnsi="Arial" w:eastAsia="Arial" w:cs="Arial"/>
      <w:b/>
      <w:bCs/>
      <w:sz w:val="24"/>
      <w:szCs w:val="24"/>
    </w:rPr>
  </w:style>
  <w:style w:type="character" w:styleId="760">
    <w:name w:val="Heading 6 Char"/>
    <w:basedOn w:val="923"/>
    <w:link w:val="922"/>
    <w:uiPriority w:val="9"/>
    <w:rPr>
      <w:rFonts w:ascii="Arial" w:hAnsi="Arial" w:eastAsia="Arial" w:cs="Arial"/>
      <w:b/>
      <w:bCs/>
      <w:sz w:val="22"/>
      <w:szCs w:val="22"/>
    </w:rPr>
  </w:style>
  <w:style w:type="paragraph" w:styleId="761">
    <w:name w:val="Heading 7"/>
    <w:basedOn w:val="917"/>
    <w:next w:val="91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3"/>
    <w:link w:val="761"/>
    <w:uiPriority w:val="9"/>
    <w:rPr>
      <w:rFonts w:ascii="Arial" w:hAnsi="Arial" w:eastAsia="Arial" w:cs="Arial"/>
      <w:b/>
      <w:bCs/>
      <w:i/>
      <w:iCs/>
      <w:sz w:val="22"/>
      <w:szCs w:val="22"/>
    </w:rPr>
  </w:style>
  <w:style w:type="paragraph" w:styleId="763">
    <w:name w:val="Heading 8"/>
    <w:basedOn w:val="917"/>
    <w:next w:val="91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3"/>
    <w:link w:val="763"/>
    <w:uiPriority w:val="9"/>
    <w:rPr>
      <w:rFonts w:ascii="Arial" w:hAnsi="Arial" w:eastAsia="Arial" w:cs="Arial"/>
      <w:i/>
      <w:iCs/>
      <w:sz w:val="22"/>
      <w:szCs w:val="22"/>
    </w:rPr>
  </w:style>
  <w:style w:type="paragraph" w:styleId="765">
    <w:name w:val="Heading 9"/>
    <w:basedOn w:val="917"/>
    <w:next w:val="91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3"/>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7"/>
    <w:next w:val="917"/>
    <w:link w:val="769"/>
    <w:uiPriority w:val="10"/>
    <w:qFormat/>
    <w:pPr>
      <w:contextualSpacing/>
      <w:spacing w:before="300" w:after="200"/>
    </w:pPr>
    <w:rPr>
      <w:sz w:val="48"/>
      <w:szCs w:val="48"/>
    </w:rPr>
  </w:style>
  <w:style w:type="character" w:styleId="769">
    <w:name w:val="Title Char"/>
    <w:basedOn w:val="923"/>
    <w:link w:val="768"/>
    <w:uiPriority w:val="10"/>
    <w:rPr>
      <w:sz w:val="48"/>
      <w:szCs w:val="48"/>
    </w:rPr>
  </w:style>
  <w:style w:type="character" w:styleId="770">
    <w:name w:val="Subtitle Char"/>
    <w:basedOn w:val="923"/>
    <w:link w:val="943"/>
    <w:uiPriority w:val="11"/>
    <w:rPr>
      <w:sz w:val="24"/>
      <w:szCs w:val="24"/>
    </w:rPr>
  </w:style>
  <w:style w:type="paragraph" w:styleId="771">
    <w:name w:val="Quote"/>
    <w:basedOn w:val="917"/>
    <w:next w:val="917"/>
    <w:link w:val="772"/>
    <w:uiPriority w:val="29"/>
    <w:qFormat/>
    <w:pPr>
      <w:ind w:left="720" w:right="720"/>
    </w:pPr>
    <w:rPr>
      <w:i/>
    </w:rPr>
  </w:style>
  <w:style w:type="character" w:styleId="772">
    <w:name w:val="Quote Char"/>
    <w:link w:val="771"/>
    <w:uiPriority w:val="29"/>
    <w:rPr>
      <w:i/>
    </w:rPr>
  </w:style>
  <w:style w:type="paragraph" w:styleId="773">
    <w:name w:val="Intense Quote"/>
    <w:basedOn w:val="917"/>
    <w:next w:val="9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40"/>
    <w:uiPriority w:val="99"/>
  </w:style>
  <w:style w:type="character" w:styleId="776">
    <w:name w:val="Footer Char"/>
    <w:basedOn w:val="923"/>
    <w:link w:val="938"/>
    <w:uiPriority w:val="99"/>
  </w:style>
  <w:style w:type="paragraph" w:styleId="777">
    <w:name w:val="Caption"/>
    <w:basedOn w:val="917"/>
    <w:next w:val="917"/>
    <w:uiPriority w:val="35"/>
    <w:semiHidden/>
    <w:unhideWhenUsed/>
    <w:qFormat/>
    <w:pPr>
      <w:spacing w:line="276" w:lineRule="auto"/>
    </w:pPr>
    <w:rPr>
      <w:b/>
      <w:bCs/>
      <w:color w:val="4f81bd" w:themeColor="accent1"/>
      <w:sz w:val="18"/>
      <w:szCs w:val="18"/>
    </w:rPr>
  </w:style>
  <w:style w:type="character" w:styleId="778">
    <w:name w:val="Caption Char"/>
    <w:basedOn w:val="777"/>
    <w:link w:val="938"/>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character" w:styleId="905">
    <w:name w:val="footnote reference"/>
    <w:basedOn w:val="923"/>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3"/>
    <w:basedOn w:val="917"/>
    <w:next w:val="917"/>
    <w:uiPriority w:val="39"/>
    <w:unhideWhenUsed/>
    <w:pPr>
      <w:ind w:left="567"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pPr>
      <w:jc w:val="both"/>
      <w:widowControl w:val="off"/>
    </w:pPr>
    <w:rPr>
      <w:sz w:val="21"/>
      <w:szCs w:val="24"/>
    </w:rPr>
  </w:style>
  <w:style w:type="paragraph" w:styleId="918">
    <w:name w:val="Heading 1"/>
    <w:basedOn w:val="917"/>
    <w:next w:val="917"/>
    <w:link w:val="963"/>
    <w:qFormat/>
    <w:pPr>
      <w:keepLines/>
      <w:keepNext/>
      <w:spacing w:before="340" w:after="330" w:line="578" w:lineRule="auto"/>
      <w:outlineLvl w:val="0"/>
    </w:pPr>
    <w:rPr>
      <w:b/>
      <w:bCs/>
      <w:sz w:val="44"/>
      <w:szCs w:val="44"/>
    </w:rPr>
  </w:style>
  <w:style w:type="paragraph" w:styleId="919">
    <w:name w:val="Heading 2"/>
    <w:basedOn w:val="917"/>
    <w:next w:val="917"/>
    <w:link w:val="964"/>
    <w:qFormat/>
    <w:pPr>
      <w:numPr>
        <w:ilvl w:val="1"/>
        <w:numId w:val="1"/>
      </w:numPr>
      <w:spacing w:before="156" w:after="156" w:line="360" w:lineRule="auto"/>
      <w:outlineLvl w:val="1"/>
    </w:pPr>
    <w:rPr>
      <w:rFonts w:ascii="Cambria" w:hAnsi="Cambria"/>
      <w:b/>
      <w:bCs/>
      <w:sz w:val="32"/>
      <w:szCs w:val="32"/>
    </w:rPr>
  </w:style>
  <w:style w:type="paragraph" w:styleId="920">
    <w:name w:val="Heading 3"/>
    <w:basedOn w:val="917"/>
    <w:next w:val="926"/>
    <w:link w:val="966"/>
    <w:qFormat/>
    <w:pPr>
      <w:keepLines/>
      <w:keepNext/>
      <w:spacing w:before="260" w:after="260" w:line="416" w:lineRule="auto"/>
      <w:outlineLvl w:val="2"/>
    </w:pPr>
    <w:rPr>
      <w:b/>
      <w:sz w:val="32"/>
      <w:szCs w:val="20"/>
    </w:rPr>
  </w:style>
  <w:style w:type="paragraph" w:styleId="921">
    <w:name w:val="Heading 5"/>
    <w:basedOn w:val="917"/>
    <w:next w:val="917"/>
    <w:link w:val="967"/>
    <w:qFormat/>
    <w:pPr>
      <w:jc w:val="left"/>
      <w:keepLines/>
      <w:keepNext/>
      <w:spacing w:before="280" w:after="290" w:line="376" w:lineRule="auto"/>
      <w:widowControl/>
      <w:outlineLvl w:val="4"/>
    </w:pPr>
    <w:rPr>
      <w:b/>
      <w:bCs/>
      <w:sz w:val="28"/>
      <w:szCs w:val="28"/>
    </w:rPr>
  </w:style>
  <w:style w:type="paragraph" w:styleId="922">
    <w:name w:val="Heading 6"/>
    <w:basedOn w:val="917"/>
    <w:next w:val="917"/>
    <w:link w:val="968"/>
    <w:uiPriority w:val="9"/>
    <w:qFormat/>
    <w:pPr>
      <w:numPr>
        <w:ilvl w:val="5"/>
        <w:numId w:val="1"/>
      </w:numPr>
      <w:keepLines/>
      <w:keepNext/>
      <w:spacing w:before="120" w:after="64" w:line="300" w:lineRule="auto"/>
      <w:outlineLvl w:val="5"/>
    </w:pPr>
    <w:rPr>
      <w:rFonts w:ascii="Arial" w:hAnsi="Arial"/>
      <w:bCs/>
      <w:sz w:val="24"/>
    </w:rPr>
  </w:style>
  <w:style w:type="character" w:styleId="923" w:default="1">
    <w:name w:val="Default Paragraph Font"/>
    <w:uiPriority w:val="1"/>
    <w:semiHidden/>
    <w:unhideWhenUsed/>
  </w:style>
  <w:style w:type="table" w:styleId="924" w:default="1">
    <w:name w:val="Normal Table"/>
    <w:uiPriority w:val="99"/>
    <w:semiHidden/>
    <w:unhideWhenUsed/>
    <w:qFormat/>
    <w:tblPr>
      <w:tblInd w:w="0" w:type="dxa"/>
      <w:tblCellMar>
        <w:left w:w="108" w:type="dxa"/>
        <w:top w:w="0" w:type="dxa"/>
        <w:right w:w="108" w:type="dxa"/>
        <w:bottom w:w="0" w:type="dxa"/>
      </w:tblCellMar>
    </w:tblPr>
  </w:style>
  <w:style w:type="numbering" w:styleId="925" w:default="1">
    <w:name w:val="No List"/>
    <w:uiPriority w:val="99"/>
    <w:semiHidden/>
    <w:unhideWhenUsed/>
  </w:style>
  <w:style w:type="paragraph" w:styleId="926">
    <w:name w:val="Normal Indent"/>
    <w:basedOn w:val="917"/>
    <w:link w:val="965"/>
    <w:qFormat/>
    <w:pPr>
      <w:ind w:firstLine="420"/>
    </w:pPr>
    <w:rPr>
      <w:rFonts w:eastAsia="楷体_GB2312"/>
      <w:sz w:val="24"/>
      <w:szCs w:val="20"/>
    </w:rPr>
  </w:style>
  <w:style w:type="paragraph" w:styleId="927">
    <w:name w:val="table of authorities"/>
    <w:basedOn w:val="917"/>
    <w:next w:val="917"/>
    <w:uiPriority w:val="99"/>
    <w:unhideWhenUsed/>
    <w:qFormat/>
    <w:pPr>
      <w:ind w:left="420"/>
    </w:pPr>
  </w:style>
  <w:style w:type="paragraph" w:styleId="928">
    <w:name w:val="Document Map"/>
    <w:basedOn w:val="917"/>
    <w:next w:val="929"/>
    <w:qFormat/>
    <w:rPr>
      <w:rFonts w:ascii="宋体"/>
      <w:sz w:val="18"/>
      <w:szCs w:val="18"/>
    </w:rPr>
  </w:style>
  <w:style w:type="paragraph" w:styleId="929">
    <w:name w:val="annotation subject"/>
    <w:basedOn w:val="930"/>
    <w:next w:val="917"/>
    <w:link w:val="978"/>
    <w:qFormat/>
  </w:style>
  <w:style w:type="paragraph" w:styleId="930">
    <w:name w:val="annotation text"/>
    <w:basedOn w:val="917"/>
    <w:link w:val="969"/>
    <w:qFormat/>
    <w:pPr>
      <w:jc w:val="left"/>
    </w:pPr>
  </w:style>
  <w:style w:type="paragraph" w:styleId="931">
    <w:name w:val="Body Text"/>
    <w:basedOn w:val="917"/>
    <w:link w:val="970"/>
    <w:uiPriority w:val="99"/>
    <w:unhideWhenUsed/>
    <w:qFormat/>
    <w:pPr>
      <w:spacing w:after="120"/>
    </w:pPr>
    <w:rPr>
      <w:sz w:val="20"/>
    </w:rPr>
  </w:style>
  <w:style w:type="paragraph" w:styleId="932">
    <w:name w:val="Body Text Indent"/>
    <w:basedOn w:val="917"/>
    <w:link w:val="962"/>
    <w:qFormat/>
    <w:pPr>
      <w:ind w:firstLine="425"/>
      <w:spacing w:line="360" w:lineRule="auto"/>
    </w:pPr>
    <w:rPr>
      <w:sz w:val="24"/>
    </w:rPr>
  </w:style>
  <w:style w:type="paragraph" w:styleId="933">
    <w:name w:val="Block Text"/>
    <w:basedOn w:val="918"/>
    <w:next w:val="917"/>
    <w:qFormat/>
    <w:pPr>
      <w:ind w:left="630" w:right="-609" w:firstLine="420"/>
      <w:spacing w:line="360" w:lineRule="auto"/>
    </w:pPr>
    <w:rPr>
      <w:rFonts w:hint="eastAsia" w:ascii="仿宋_GB2312" w:eastAsia="仿宋_GB2312"/>
      <w:szCs w:val="20"/>
    </w:rPr>
  </w:style>
  <w:style w:type="paragraph" w:styleId="934">
    <w:name w:val="Plain Text"/>
    <w:basedOn w:val="917"/>
    <w:link w:val="971"/>
    <w:qFormat/>
    <w:rPr>
      <w:rFonts w:ascii="宋体" w:hAnsi="Courier New" w:eastAsia="楷体_GB2312"/>
      <w:sz w:val="26"/>
    </w:rPr>
  </w:style>
  <w:style w:type="paragraph" w:styleId="935">
    <w:name w:val="Date"/>
    <w:basedOn w:val="917"/>
    <w:next w:val="917"/>
    <w:link w:val="972"/>
    <w:qFormat/>
    <w:rPr>
      <w:b/>
      <w:bCs/>
      <w:spacing w:val="20"/>
      <w:sz w:val="20"/>
    </w:rPr>
  </w:style>
  <w:style w:type="paragraph" w:styleId="936">
    <w:name w:val="Body Text Indent 2"/>
    <w:basedOn w:val="917"/>
    <w:qFormat/>
    <w:pPr>
      <w:ind w:firstLine="540"/>
      <w:spacing w:line="360" w:lineRule="auto"/>
    </w:pPr>
    <w:rPr>
      <w:rFonts w:ascii="宋体" w:hAnsi="宋体"/>
      <w:sz w:val="24"/>
    </w:rPr>
  </w:style>
  <w:style w:type="paragraph" w:styleId="937">
    <w:name w:val="Balloon Text"/>
    <w:basedOn w:val="917"/>
    <w:link w:val="973"/>
    <w:qFormat/>
    <w:rPr>
      <w:sz w:val="18"/>
      <w:szCs w:val="18"/>
    </w:rPr>
  </w:style>
  <w:style w:type="paragraph" w:styleId="938">
    <w:name w:val="Footer"/>
    <w:basedOn w:val="917"/>
    <w:link w:val="974"/>
    <w:uiPriority w:val="99"/>
    <w:qFormat/>
    <w:pPr>
      <w:jc w:val="left"/>
      <w:tabs>
        <w:tab w:val="center" w:pos="4153" w:leader="none"/>
        <w:tab w:val="right" w:pos="8306" w:leader="none"/>
      </w:tabs>
    </w:pPr>
    <w:rPr>
      <w:sz w:val="18"/>
      <w:szCs w:val="18"/>
    </w:rPr>
  </w:style>
  <w:style w:type="paragraph" w:styleId="939">
    <w:name w:val="envelope return"/>
    <w:basedOn w:val="917"/>
    <w:qFormat/>
    <w:rPr>
      <w:rFonts w:ascii="Arial" w:hAnsi="Arial" w:eastAsia="楷体_GB2312"/>
      <w:sz w:val="26"/>
    </w:rPr>
  </w:style>
  <w:style w:type="paragraph" w:styleId="940">
    <w:name w:val="Header"/>
    <w:basedOn w:val="917"/>
    <w:link w:val="975"/>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7"/>
    <w:next w:val="917"/>
    <w:qFormat/>
    <w:pPr>
      <w:jc w:val="left"/>
    </w:pPr>
    <w:rPr>
      <w:rFonts w:eastAsia="楷体_GB2312"/>
      <w:sz w:val="24"/>
      <w:szCs w:val="20"/>
    </w:rPr>
  </w:style>
  <w:style w:type="paragraph" w:styleId="942">
    <w:name w:val="toc 4"/>
    <w:basedOn w:val="917"/>
    <w:next w:val="917"/>
    <w:qFormat/>
    <w:pPr>
      <w:ind w:left="1260"/>
    </w:pPr>
  </w:style>
  <w:style w:type="paragraph" w:styleId="943">
    <w:name w:val="Subtitle"/>
    <w:basedOn w:val="917"/>
    <w:next w:val="917"/>
    <w:link w:val="976"/>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8"/>
    <w:next w:val="933"/>
    <w:qFormat/>
    <w:pPr>
      <w:ind w:firstLine="3584"/>
      <w:spacing w:before="0" w:after="0" w:line="360" w:lineRule="auto"/>
    </w:pPr>
  </w:style>
  <w:style w:type="paragraph" w:styleId="945">
    <w:name w:val="Body Text Indent 3"/>
    <w:basedOn w:val="917"/>
    <w:link w:val="977"/>
    <w:qFormat/>
    <w:pPr>
      <w:ind w:firstLine="480"/>
      <w:jc w:val="left"/>
      <w:spacing w:line="440" w:lineRule="atLeast"/>
    </w:pPr>
    <w:rPr>
      <w:sz w:val="24"/>
    </w:rPr>
  </w:style>
  <w:style w:type="paragraph" w:styleId="946">
    <w:name w:val="toc 2"/>
    <w:basedOn w:val="917"/>
    <w:next w:val="917"/>
    <w:uiPriority w:val="39"/>
    <w:unhideWhenUsed/>
    <w:qFormat/>
    <w:pPr>
      <w:ind w:left="420"/>
    </w:pPr>
    <w:rPr>
      <w:sz w:val="28"/>
    </w:rPr>
  </w:style>
  <w:style w:type="paragraph" w:styleId="947">
    <w:name w:val="Normal (Web)"/>
    <w:basedOn w:val="917"/>
    <w:uiPriority w:val="99"/>
    <w:qFormat/>
    <w:pPr>
      <w:jc w:val="left"/>
      <w:spacing w:beforeAutospacing="1" w:afterAutospacing="1"/>
    </w:pPr>
    <w:rPr>
      <w:sz w:val="24"/>
    </w:rPr>
  </w:style>
  <w:style w:type="paragraph" w:styleId="948">
    <w:name w:val="Body Text First Indent"/>
    <w:basedOn w:val="931"/>
    <w:next w:val="917"/>
    <w:qFormat/>
    <w:pPr>
      <w:ind w:firstLine="420"/>
    </w:pPr>
  </w:style>
  <w:style w:type="paragraph" w:styleId="949">
    <w:name w:val="Body Text First Indent 2"/>
    <w:basedOn w:val="932"/>
    <w:qFormat/>
    <w:pPr>
      <w:ind w:left="420" w:firstLine="210"/>
      <w:spacing w:after="120" w:line="240" w:lineRule="auto"/>
    </w:pPr>
    <w:rPr>
      <w:rFonts w:eastAsia="仿宋_GB2312"/>
      <w:sz w:val="30"/>
    </w:rPr>
  </w:style>
  <w:style w:type="table" w:styleId="950">
    <w:name w:val="Table Grid"/>
    <w:basedOn w:val="92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qFormat/>
    <w:rPr>
      <w:rFonts w:ascii="Calibri" w:hAnsi="Calibri" w:eastAsia="宋体" w:cs="Times New Roman"/>
      <w:b/>
    </w:rPr>
  </w:style>
  <w:style w:type="character" w:styleId="952">
    <w:name w:val="FollowedHyperlink"/>
    <w:qFormat/>
    <w:rPr>
      <w:color w:val="337ab7"/>
      <w:u w:val="none"/>
    </w:rPr>
  </w:style>
  <w:style w:type="character" w:styleId="953">
    <w:name w:val="Emphasis"/>
    <w:qFormat/>
    <w:rPr>
      <w:i/>
    </w:rPr>
  </w:style>
  <w:style w:type="character" w:styleId="954">
    <w:name w:val="HTML Definition"/>
    <w:qFormat/>
    <w:rPr>
      <w:i/>
    </w:rPr>
  </w:style>
  <w:style w:type="character" w:styleId="955">
    <w:name w:val="Hyperlink"/>
    <w:qFormat/>
    <w:rPr>
      <w:color w:val="337ab7"/>
      <w:u w:val="none"/>
    </w:rPr>
  </w:style>
  <w:style w:type="character" w:styleId="956">
    <w:name w:val="HTML Code"/>
    <w:qFormat/>
    <w:rPr>
      <w:rFonts w:hint="default" w:ascii="Consolas" w:hAnsi="Consolas" w:eastAsia="Consolas" w:cs="Consolas"/>
      <w:color w:val="c7254e"/>
      <w:sz w:val="21"/>
      <w:szCs w:val="21"/>
      <w:shd w:val="clear" w:color="auto" w:fill="f9f2f4"/>
    </w:rPr>
  </w:style>
  <w:style w:type="character" w:styleId="957">
    <w:name w:val="annotation reference"/>
    <w:qFormat/>
    <w:rPr>
      <w:rFonts w:ascii="Calibri" w:hAnsi="Calibri" w:eastAsia="宋体" w:cs="Times New Roman"/>
      <w:sz w:val="21"/>
      <w:szCs w:val="21"/>
    </w:rPr>
  </w:style>
  <w:style w:type="character" w:styleId="958">
    <w:name w:val="HTML Keyboard"/>
    <w:qFormat/>
    <w:rPr>
      <w:rFonts w:ascii="Consolas" w:hAnsi="Consolas" w:eastAsia="Consolas" w:cs="Consolas"/>
      <w:color w:val="ffffff"/>
      <w:sz w:val="21"/>
      <w:szCs w:val="21"/>
      <w:shd w:val="clear" w:color="auto" w:fill="333333"/>
    </w:rPr>
  </w:style>
  <w:style w:type="character" w:styleId="959">
    <w:name w:val="HTML Sample"/>
    <w:qFormat/>
    <w:rPr>
      <w:rFonts w:hint="default" w:ascii="Consolas" w:hAnsi="Consolas" w:eastAsia="Consolas" w:cs="Consolas"/>
      <w:sz w:val="21"/>
      <w:szCs w:val="21"/>
    </w:rPr>
  </w:style>
  <w:style w:type="paragraph" w:styleId="960" w:customStyle="1">
    <w:name w:val="段"/>
    <w:next w:val="917"/>
    <w:qFormat/>
    <w:pPr>
      <w:ind w:firstLine="420"/>
      <w:jc w:val="both"/>
      <w:tabs>
        <w:tab w:val="center" w:pos="4201" w:leader="none"/>
        <w:tab w:val="right" w:pos="9298" w:leader="dot"/>
      </w:tabs>
    </w:pPr>
    <w:rPr>
      <w:rFonts w:ascii="宋体" w:eastAsia="Times New Roman"/>
    </w:rPr>
  </w:style>
  <w:style w:type="paragraph" w:styleId="961" w:customStyle="1">
    <w:name w:val="首行缩进"/>
    <w:basedOn w:val="917"/>
    <w:uiPriority w:val="99"/>
    <w:qFormat/>
    <w:pPr>
      <w:ind w:firstLine="480"/>
    </w:pPr>
    <w:rPr>
      <w:szCs w:val="20"/>
      <w:lang w:val="zh-CN"/>
    </w:rPr>
  </w:style>
  <w:style w:type="character" w:styleId="962" w:customStyle="1">
    <w:name w:val="正文文本缩进 Char"/>
    <w:basedOn w:val="923"/>
    <w:link w:val="932"/>
    <w:qFormat/>
    <w:rPr>
      <w:rFonts w:ascii="Times New Roman" w:hAnsi="Times New Roman" w:eastAsia="宋体" w:cs="Times New Roman"/>
      <w:sz w:val="24"/>
      <w:szCs w:val="24"/>
    </w:rPr>
  </w:style>
  <w:style w:type="character" w:styleId="963" w:customStyle="1">
    <w:name w:val="标题 1 Char"/>
    <w:basedOn w:val="923"/>
    <w:link w:val="918"/>
    <w:qFormat/>
    <w:rPr>
      <w:rFonts w:ascii="Times New Roman" w:hAnsi="Times New Roman" w:eastAsia="宋体" w:cs="Times New Roman"/>
      <w:b/>
      <w:bCs/>
      <w:sz w:val="44"/>
      <w:szCs w:val="44"/>
    </w:rPr>
  </w:style>
  <w:style w:type="character" w:styleId="964" w:customStyle="1">
    <w:name w:val="标题 2 Char"/>
    <w:basedOn w:val="923"/>
    <w:link w:val="919"/>
    <w:qFormat/>
    <w:rPr>
      <w:rFonts w:ascii="Cambria" w:hAnsi="Cambria" w:eastAsia="宋体" w:cs="Times New Roman"/>
      <w:b/>
      <w:bCs/>
      <w:sz w:val="32"/>
      <w:szCs w:val="32"/>
    </w:rPr>
  </w:style>
  <w:style w:type="character" w:styleId="965" w:customStyle="1">
    <w:name w:val="正文缩进 Char"/>
    <w:link w:val="926"/>
    <w:qFormat/>
    <w:rPr>
      <w:rFonts w:ascii="Times New Roman" w:hAnsi="Times New Roman" w:eastAsia="楷体_GB2312" w:cs="Times New Roman"/>
      <w:sz w:val="24"/>
      <w:szCs w:val="20"/>
    </w:rPr>
  </w:style>
  <w:style w:type="character" w:styleId="966" w:customStyle="1">
    <w:name w:val="标题 3 Char"/>
    <w:basedOn w:val="923"/>
    <w:link w:val="920"/>
    <w:qFormat/>
    <w:rPr>
      <w:rFonts w:ascii="Times New Roman" w:hAnsi="Times New Roman" w:eastAsia="宋体" w:cs="Times New Roman"/>
      <w:b/>
      <w:sz w:val="32"/>
      <w:szCs w:val="20"/>
    </w:rPr>
  </w:style>
  <w:style w:type="character" w:styleId="967" w:customStyle="1">
    <w:name w:val="标题 5 Char"/>
    <w:basedOn w:val="923"/>
    <w:link w:val="921"/>
    <w:qFormat/>
    <w:rPr>
      <w:rFonts w:ascii="Times New Roman" w:hAnsi="Times New Roman" w:eastAsia="宋体" w:cs="Times New Roman"/>
      <w:b/>
      <w:bCs/>
      <w:sz w:val="28"/>
      <w:szCs w:val="28"/>
    </w:rPr>
  </w:style>
  <w:style w:type="character" w:styleId="968" w:customStyle="1">
    <w:name w:val="标题 6 Char"/>
    <w:basedOn w:val="923"/>
    <w:link w:val="922"/>
    <w:uiPriority w:val="9"/>
    <w:qFormat/>
    <w:rPr>
      <w:rFonts w:ascii="Arial" w:hAnsi="Arial" w:eastAsia="宋体" w:cs="Times New Roman"/>
      <w:bCs/>
      <w:sz w:val="24"/>
      <w:szCs w:val="24"/>
    </w:rPr>
  </w:style>
  <w:style w:type="character" w:styleId="969" w:customStyle="1">
    <w:name w:val="批注文字 Char"/>
    <w:basedOn w:val="923"/>
    <w:link w:val="930"/>
    <w:qFormat/>
    <w:rPr>
      <w:rFonts w:ascii="Times New Roman" w:hAnsi="Times New Roman" w:eastAsia="宋体" w:cs="Times New Roman"/>
      <w:szCs w:val="24"/>
    </w:rPr>
  </w:style>
  <w:style w:type="character" w:styleId="970" w:customStyle="1">
    <w:name w:val="正文文本 Char1"/>
    <w:basedOn w:val="923"/>
    <w:link w:val="931"/>
    <w:uiPriority w:val="99"/>
    <w:qFormat/>
    <w:rPr>
      <w:rFonts w:ascii="Times New Roman" w:hAnsi="Times New Roman" w:eastAsia="宋体" w:cs="Times New Roman"/>
      <w:sz w:val="20"/>
      <w:szCs w:val="24"/>
    </w:rPr>
  </w:style>
  <w:style w:type="character" w:styleId="971" w:customStyle="1">
    <w:name w:val="纯文本 Char1"/>
    <w:basedOn w:val="923"/>
    <w:link w:val="934"/>
    <w:qFormat/>
    <w:rPr>
      <w:rFonts w:ascii="宋体" w:hAnsi="Courier New" w:eastAsia="楷体_GB2312" w:cs="Times New Roman"/>
      <w:sz w:val="26"/>
      <w:szCs w:val="24"/>
    </w:rPr>
  </w:style>
  <w:style w:type="character" w:styleId="972" w:customStyle="1">
    <w:name w:val="日期 Char"/>
    <w:basedOn w:val="923"/>
    <w:link w:val="935"/>
    <w:qFormat/>
    <w:rPr>
      <w:rFonts w:ascii="Times New Roman" w:hAnsi="Times New Roman" w:eastAsia="宋体" w:cs="Times New Roman"/>
      <w:b/>
      <w:bCs/>
      <w:spacing w:val="20"/>
      <w:sz w:val="20"/>
      <w:szCs w:val="24"/>
    </w:rPr>
  </w:style>
  <w:style w:type="character" w:styleId="973" w:customStyle="1">
    <w:name w:val="批注框文本 Char"/>
    <w:basedOn w:val="923"/>
    <w:link w:val="937"/>
    <w:qFormat/>
    <w:rPr>
      <w:rFonts w:ascii="Times New Roman" w:hAnsi="Times New Roman" w:eastAsia="宋体" w:cs="Times New Roman"/>
      <w:sz w:val="18"/>
      <w:szCs w:val="18"/>
    </w:rPr>
  </w:style>
  <w:style w:type="character" w:styleId="974" w:customStyle="1">
    <w:name w:val="页脚 Char"/>
    <w:basedOn w:val="923"/>
    <w:link w:val="938"/>
    <w:uiPriority w:val="99"/>
    <w:qFormat/>
    <w:rPr>
      <w:rFonts w:ascii="Times New Roman" w:hAnsi="Times New Roman" w:eastAsia="宋体" w:cs="Times New Roman"/>
      <w:sz w:val="18"/>
      <w:szCs w:val="18"/>
    </w:rPr>
  </w:style>
  <w:style w:type="character" w:styleId="975" w:customStyle="1">
    <w:name w:val="页眉 Char"/>
    <w:basedOn w:val="923"/>
    <w:link w:val="940"/>
    <w:qFormat/>
    <w:rPr>
      <w:rFonts w:ascii="Times New Roman" w:hAnsi="Times New Roman" w:eastAsia="宋体" w:cs="Times New Roman"/>
      <w:sz w:val="18"/>
      <w:szCs w:val="18"/>
    </w:rPr>
  </w:style>
  <w:style w:type="character" w:styleId="976" w:customStyle="1">
    <w:name w:val="副标题 Char"/>
    <w:basedOn w:val="923"/>
    <w:link w:val="943"/>
    <w:qFormat/>
    <w:rPr>
      <w:rFonts w:ascii="宋体" w:hAnsi="Courier New" w:eastAsia="楷体_GB2312" w:cs="Times New Roman"/>
      <w:sz w:val="26"/>
      <w:szCs w:val="20"/>
    </w:rPr>
  </w:style>
  <w:style w:type="character" w:styleId="977" w:customStyle="1">
    <w:name w:val="正文文本缩进 3 Char"/>
    <w:basedOn w:val="923"/>
    <w:link w:val="945"/>
    <w:qFormat/>
    <w:rPr>
      <w:rFonts w:ascii="Times New Roman" w:hAnsi="Times New Roman" w:eastAsia="宋体" w:cs="Times New Roman"/>
      <w:sz w:val="24"/>
      <w:szCs w:val="24"/>
    </w:rPr>
  </w:style>
  <w:style w:type="character" w:styleId="978" w:customStyle="1">
    <w:name w:val="批注主题 Char"/>
    <w:basedOn w:val="969"/>
    <w:link w:val="929"/>
    <w:qFormat/>
    <w:rPr>
      <w:rFonts w:ascii="Times New Roman" w:hAnsi="Times New Roman" w:eastAsia="宋体" w:cs="Times New Roman"/>
      <w:b/>
      <w:bCs/>
      <w:szCs w:val="24"/>
    </w:rPr>
  </w:style>
  <w:style w:type="character" w:styleId="979" w:customStyle="1">
    <w:name w:val="hover14"/>
    <w:qFormat/>
    <w:rPr>
      <w:shd w:val="clear" w:color="auto" w:fill="eeeeee"/>
    </w:rPr>
  </w:style>
  <w:style w:type="character" w:styleId="980" w:customStyle="1">
    <w:name w:val="hour_pm"/>
    <w:qFormat/>
  </w:style>
  <w:style w:type="character" w:styleId="981" w:customStyle="1">
    <w:name w:val="first-child"/>
    <w:qFormat/>
  </w:style>
  <w:style w:type="character" w:styleId="982" w:customStyle="1">
    <w:name w:val="正文文本 Char"/>
    <w:uiPriority w:val="99"/>
    <w:qFormat/>
    <w:rPr>
      <w:rFonts w:ascii="Calibri" w:hAnsi="Calibri" w:eastAsia="宋体" w:cs="Times New Roman"/>
      <w:szCs w:val="24"/>
    </w:rPr>
  </w:style>
  <w:style w:type="character" w:styleId="983" w:customStyle="1">
    <w:name w:val="font81"/>
    <w:qFormat/>
    <w:rPr>
      <w:rFonts w:hint="eastAsia" w:ascii="宋体" w:hAnsi="宋体" w:eastAsia="宋体" w:cs="宋体"/>
      <w:b/>
      <w:color w:val="000000"/>
      <w:sz w:val="22"/>
      <w:szCs w:val="22"/>
      <w:u w:val="none"/>
    </w:rPr>
  </w:style>
  <w:style w:type="character" w:styleId="984" w:customStyle="1">
    <w:name w:val="日期 Char1"/>
    <w:qFormat/>
    <w:rPr>
      <w:rFonts w:ascii="Calibri" w:hAnsi="Calibri" w:eastAsia="宋体" w:cs="Times New Roman"/>
      <w:szCs w:val="24"/>
    </w:rPr>
  </w:style>
  <w:style w:type="character" w:styleId="985" w:customStyle="1">
    <w:name w:val="hover13"/>
    <w:qFormat/>
    <w:rPr>
      <w:shd w:val="clear" w:color="auto" w:fill="eeeeee"/>
    </w:rPr>
  </w:style>
  <w:style w:type="character" w:styleId="986" w:customStyle="1">
    <w:name w:val="font71"/>
    <w:qFormat/>
    <w:rPr>
      <w:rFonts w:hint="eastAsia" w:ascii="宋体" w:hAnsi="宋体" w:eastAsia="宋体" w:cs="宋体"/>
      <w:b/>
      <w:color w:val="000000"/>
      <w:sz w:val="22"/>
      <w:szCs w:val="22"/>
      <w:u w:val="none"/>
      <w:vertAlign w:val="superscript"/>
    </w:rPr>
  </w:style>
  <w:style w:type="character" w:styleId="987" w:customStyle="1">
    <w:name w:val="纯文本 Char"/>
    <w:qFormat/>
    <w:rPr>
      <w:rFonts w:ascii="宋体" w:hAnsi="Courier New" w:eastAsia="宋体" w:cs="Courier New"/>
      <w:szCs w:val="21"/>
    </w:rPr>
  </w:style>
  <w:style w:type="character" w:styleId="988" w:customStyle="1">
    <w:name w:val="select2-selection__rendered"/>
    <w:qFormat/>
    <w:rPr>
      <w:sz w:val="18"/>
      <w:szCs w:val="18"/>
    </w:rPr>
  </w:style>
  <w:style w:type="character" w:styleId="989" w:customStyle="1">
    <w:name w:val="first-child1"/>
    <w:qFormat/>
  </w:style>
  <w:style w:type="character" w:styleId="990" w:customStyle="1">
    <w:name w:val="old"/>
    <w:qFormat/>
    <w:rPr>
      <w:color w:val="999999"/>
    </w:rPr>
  </w:style>
  <w:style w:type="character" w:styleId="991" w:customStyle="1">
    <w:name w:val="time"/>
    <w:qFormat/>
    <w:rPr>
      <w:rFonts w:ascii="Arial" w:hAnsi="Arial" w:cs="Arial"/>
    </w:rPr>
  </w:style>
  <w:style w:type="character" w:styleId="992" w:customStyle="1">
    <w:name w:val="Plain Text Char"/>
    <w:link w:val="993"/>
    <w:qFormat/>
    <w:rPr>
      <w:rFonts w:ascii="宋体" w:hAnsi="Courier New" w:eastAsia="楷体_GB2312" w:cs="Times New Roman"/>
      <w:sz w:val="26"/>
    </w:rPr>
  </w:style>
  <w:style w:type="paragraph" w:styleId="993" w:customStyle="1">
    <w:name w:val="纯文本3"/>
    <w:basedOn w:val="917"/>
    <w:link w:val="992"/>
    <w:qFormat/>
    <w:rPr>
      <w:rFonts w:ascii="宋体" w:hAnsi="Courier New" w:eastAsia="楷体_GB2312"/>
      <w:sz w:val="26"/>
      <w:szCs w:val="22"/>
    </w:rPr>
  </w:style>
  <w:style w:type="character" w:styleId="994" w:customStyle="1">
    <w:name w:val="hour_am"/>
    <w:qFormat/>
  </w:style>
  <w:style w:type="character" w:styleId="995" w:customStyle="1">
    <w:name w:val="NormalCharacter"/>
    <w:semiHidden/>
    <w:qFormat/>
    <w:rPr>
      <w:rFonts w:ascii="Times New Roman" w:hAnsi="Times New Roman" w:eastAsia="宋体" w:cs="Times New Roman"/>
    </w:rPr>
  </w:style>
  <w:style w:type="paragraph" w:styleId="996" w:customStyle="1">
    <w:name w:val="纯文本2"/>
    <w:basedOn w:val="917"/>
    <w:qFormat/>
    <w:rPr>
      <w:rFonts w:ascii="宋体" w:hAnsi="Courier New"/>
    </w:rPr>
  </w:style>
  <w:style w:type="paragraph" w:styleId="997" w:customStyle="1">
    <w:name w:val="文本正文"/>
    <w:basedOn w:val="917"/>
    <w:qFormat/>
    <w:pPr>
      <w:ind w:firstLine="560"/>
      <w:jc w:val="left"/>
      <w:spacing w:line="360" w:lineRule="auto"/>
    </w:pPr>
    <w:rPr>
      <w:sz w:val="28"/>
      <w:szCs w:val="28"/>
    </w:rPr>
  </w:style>
  <w:style w:type="paragraph" w:styleId="998" w:customStyle="1">
    <w:name w:val="Plain Text1"/>
    <w:basedOn w:val="917"/>
    <w:qFormat/>
    <w:pPr>
      <w:jc w:val="left"/>
      <w:widowControl/>
    </w:pPr>
    <w:rPr>
      <w:rFonts w:ascii="宋体" w:hAnsi="Courier New" w:eastAsia="楷体_GB2312"/>
      <w:sz w:val="26"/>
      <w:szCs w:val="20"/>
    </w:rPr>
  </w:style>
  <w:style w:type="paragraph" w:styleId="999" w:customStyle="1">
    <w:name w:val="纯文本4"/>
    <w:basedOn w:val="917"/>
    <w:qFormat/>
    <w:rPr>
      <w:rFonts w:ascii="宋体" w:hAnsi="Courier New" w:eastAsia="楷体_GB2312"/>
      <w:sz w:val="26"/>
      <w:szCs w:val="20"/>
    </w:rPr>
  </w:style>
  <w:style w:type="paragraph" w:styleId="1000" w:customStyle="1">
    <w:name w:val="Default"/>
    <w:qFormat/>
    <w:pPr>
      <w:widowControl w:val="off"/>
    </w:pPr>
    <w:rPr>
      <w:rFonts w:ascii="宋体"/>
      <w:color w:val="000000"/>
      <w:sz w:val="24"/>
      <w:szCs w:val="24"/>
    </w:rPr>
  </w:style>
  <w:style w:type="paragraph" w:styleId="1001">
    <w:name w:val="List Paragraph"/>
    <w:basedOn w:val="917"/>
    <w:uiPriority w:val="99"/>
    <w:qFormat/>
    <w:pPr>
      <w:ind w:firstLine="420"/>
    </w:pPr>
  </w:style>
  <w:style w:type="paragraph" w:styleId="1002" w:customStyle="1">
    <w:name w:val="纯文本1"/>
    <w:basedOn w:val="917"/>
    <w:qFormat/>
    <w:rPr>
      <w:rFonts w:ascii="宋体" w:hAnsi="Courier New" w:eastAsia="楷体_GB2312"/>
      <w:sz w:val="28"/>
      <w:szCs w:val="20"/>
    </w:rPr>
  </w:style>
  <w:style w:type="paragraph" w:styleId="1003" w:customStyle="1">
    <w:name w:val="修订1"/>
    <w:uiPriority w:val="99"/>
    <w:unhideWhenUsed/>
    <w:qFormat/>
    <w:rPr>
      <w:sz w:val="21"/>
      <w:szCs w:val="24"/>
    </w:rPr>
  </w:style>
  <w:style w:type="paragraph" w:styleId="1004" w:customStyle="1">
    <w:name w:val="纯文本5"/>
    <w:basedOn w:val="917"/>
    <w:qFormat/>
    <w:rPr>
      <w:rFonts w:ascii="宋体" w:hAnsi="Courier New" w:eastAsia="楷体_GB2312"/>
      <w:sz w:val="26"/>
      <w:szCs w:val="20"/>
    </w:rPr>
  </w:style>
  <w:style w:type="paragraph" w:styleId="1005" w:customStyle="1">
    <w:name w:val="纯文本6"/>
    <w:basedOn w:val="917"/>
    <w:qFormat/>
    <w:rPr>
      <w:rFonts w:ascii="宋体" w:hAnsi="Courier New" w:eastAsia="楷体_GB2312"/>
      <w:sz w:val="26"/>
      <w:szCs w:val="20"/>
    </w:rPr>
  </w:style>
  <w:style w:type="character" w:styleId="1006" w:customStyle="1">
    <w:name w:val="font21"/>
    <w:basedOn w:val="923"/>
    <w:qFormat/>
    <w:rPr>
      <w:rFonts w:hint="eastAsia" w:ascii="宋体" w:hAnsi="宋体" w:eastAsia="宋体" w:cs="宋体"/>
      <w:color w:val="000000"/>
      <w:sz w:val="22"/>
      <w:szCs w:val="22"/>
      <w:u w:val="none"/>
    </w:rPr>
  </w:style>
  <w:style w:type="paragraph" w:styleId="1007" w:customStyle="1">
    <w:name w:val="正文1"/>
    <w:basedOn w:val="917"/>
    <w:qFormat/>
    <w:rPr>
      <w:rFonts w:ascii="宋体" w:hAnsi="宋体" w:cs="宋体"/>
      <w:sz w:val="24"/>
      <w:szCs w:val="20"/>
      <w:lang w:eastAsia="en-US"/>
    </w:rPr>
  </w:style>
  <w:style w:type="paragraph" w:styleId="1008" w:customStyle="1">
    <w:name w:val="Table Paragraph"/>
    <w:basedOn w:val="917"/>
    <w:uiPriority w:val="1"/>
    <w:qFormat/>
    <w:rPr>
      <w:rFonts w:ascii="宋体" w:hAnsi="宋体" w:cs="宋体"/>
      <w:lang w:val="zh-CN" w:bidi="zh-CN"/>
    </w:rPr>
  </w:style>
  <w:style w:type="paragraph" w:styleId="1009" w:customStyle="1">
    <w:name w:val="Andy_3级"/>
    <w:basedOn w:val="917"/>
    <w:qFormat/>
    <w:pPr>
      <w:ind w:firstLine="510"/>
      <w:spacing w:line="360" w:lineRule="auto"/>
    </w:pPr>
    <w:rPr>
      <w:rFonts w:ascii="Calibri" w:hAnsi="Calibri"/>
      <w:sz w:val="24"/>
    </w:rPr>
  </w:style>
  <w:style w:type="character" w:styleId="1010" w:customStyle="1">
    <w:name w:val="font51"/>
    <w:basedOn w:val="923"/>
    <w:qFormat/>
    <w:rPr>
      <w:rFonts w:hint="eastAsia" w:ascii="宋体" w:hAnsi="宋体" w:eastAsia="宋体" w:cs="宋体"/>
      <w:color w:val="000000"/>
      <w:sz w:val="22"/>
      <w:szCs w:val="22"/>
      <w:u w:val="none"/>
    </w:rPr>
  </w:style>
  <w:style w:type="character" w:styleId="1011" w:customStyle="1">
    <w:name w:val="font31"/>
    <w:basedOn w:val="923"/>
    <w:qFormat/>
    <w:rPr>
      <w:rFonts w:hint="default" w:ascii="Times New Roman" w:hAnsi="Times New Roman" w:cs="Times New Roman"/>
      <w:color w:val="000000"/>
      <w:sz w:val="22"/>
      <w:szCs w:val="22"/>
      <w:u w:val="none"/>
    </w:rPr>
  </w:style>
  <w:style w:type="character" w:styleId="1012" w:customStyle="1">
    <w:name w:val="font11"/>
    <w:basedOn w:val="923"/>
    <w:qFormat/>
    <w:rPr>
      <w:rFonts w:hint="eastAsia" w:ascii="宋体" w:hAnsi="宋体" w:eastAsia="宋体" w:cs="宋体"/>
      <w:color w:val="000000"/>
      <w:sz w:val="22"/>
      <w:szCs w:val="22"/>
      <w:u w:val="none"/>
    </w:rPr>
  </w:style>
  <w:style w:type="paragraph" w:styleId="1013" w:customStyle="1">
    <w:name w:val="文档结构图1"/>
    <w:basedOn w:val="917"/>
    <w:uiPriority w:val="99"/>
    <w:qFormat/>
    <w:pPr>
      <w:shd w:val="clear" w:color="auto" w:fill="000080"/>
    </w:pPr>
  </w:style>
  <w:style w:type="paragraph" w:styleId="1014" w:customStyle="1">
    <w:name w:val="纯文本7"/>
    <w:basedOn w:val="917"/>
    <w:qFormat/>
    <w:rPr>
      <w:rFonts w:ascii="宋体" w:hAnsi="Courier New" w:eastAsia="楷体_GB2312"/>
      <w:sz w:val="26"/>
      <w:szCs w:val="20"/>
    </w:rPr>
  </w:style>
  <w:style w:type="paragraph" w:styleId="1015" w:customStyle="1">
    <w:name w:val="表"/>
    <w:basedOn w:val="917"/>
    <w:qFormat/>
    <w:pPr>
      <w:jc w:val="center"/>
    </w:pPr>
    <w:rPr>
      <w:rFonts w:ascii="Calibri" w:hAnsi="Calibri"/>
      <w:sz w:val="22"/>
    </w:rPr>
  </w:style>
  <w:style w:type="paragraph" w:styleId="1016" w:customStyle="1">
    <w:name w:val="列表段落1"/>
    <w:basedOn w:val="917"/>
    <w:uiPriority w:val="34"/>
    <w:qFormat/>
    <w:pPr>
      <w:ind w:firstLine="420"/>
    </w:pPr>
    <w:rPr>
      <w:rFonts w:ascii="等线" w:hAnsi="等线" w:eastAsia="等线"/>
    </w:rPr>
  </w:style>
  <w:style w:type="paragraph" w:styleId="1017" w:customStyle="1">
    <w:name w:val="List Paragraph1"/>
    <w:basedOn w:val="917"/>
    <w:qFormat/>
    <w:pPr>
      <w:ind w:firstLine="420"/>
    </w:pPr>
  </w:style>
  <w:style w:type="paragraph" w:styleId="1018" w:customStyle="1">
    <w:name w:val="Table Text"/>
    <w:basedOn w:val="917"/>
    <w:semiHidden/>
    <w:qFormat/>
    <w:rPr>
      <w:rFonts w:ascii="宋体" w:hAnsi="宋体" w:cs="宋体"/>
      <w:szCs w:val="21"/>
      <w:lang w:eastAsia="en-US"/>
    </w:rPr>
  </w:style>
  <w:style w:type="table" w:styleId="1019"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32</cp:revision>
  <dcterms:created xsi:type="dcterms:W3CDTF">2024-05-06T08:40:00Z</dcterms:created>
  <dcterms:modified xsi:type="dcterms:W3CDTF">2026-08-13T06:33:32Z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