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南京医科大学第二附属医院</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迈皋桥院区、阅江楼院区能源管理服务</w:t>
      </w:r>
      <w:r>
        <w:rPr>
          <w:rFonts w:ascii="SimSun" w:hAnsi="SimSun" w:eastAsia="SimSun" w:cs="SimSun"/>
          <w:b/>
          <w:color w:val="000000"/>
          <w:sz w:val="44"/>
        </w:rPr>
        <w:t xml:space="preserve">采购项目</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项目编号：JSZC-320000-SHGK-G2026-0080</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采购人：南京医科大学第二附属医院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采购代理机构：江苏苏豪创新科技集团高科有限公司</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二○二六年九月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1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目  录</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7"/>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w:t>
      </w:r>
      <w:r/>
    </w:p>
    <w:p>
      <w:pPr>
        <w:numPr>
          <w:ilvl w:val="0"/>
          <w:numId w:val="7"/>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7"/>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合同文本</w:t>
      </w:r>
      <w:r/>
    </w:p>
    <w:p>
      <w:pPr>
        <w:numPr>
          <w:ilvl w:val="0"/>
          <w:numId w:val="7"/>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7"/>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评标方法与评标标准</w:t>
      </w:r>
      <w:r/>
    </w:p>
    <w:p>
      <w:pPr>
        <w:numPr>
          <w:ilvl w:val="0"/>
          <w:numId w:val="7"/>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1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0"/>
        </w:rPr>
        <w:t xml:space="preserve">第一章  招标公告</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受[南京医科大学第二附属医院]的委托，江苏苏豪创新科技集团高科有限公司就[采购项目]([JSZC-320000-SHGK-G2026-0080])项目进行公开招标采购，欢迎符合条件的供应商投标。</w:t>
      </w:r>
      <w:r/>
    </w:p>
    <w:p>
      <w:pPr>
        <w:ind w:left="0" w:right="0" w:firstLine="560"/>
        <w:jc w:val="both"/>
        <w:spacing w:before="240" w:after="160" w:line="47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240" w:after="160" w:line="47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南京医科大学第二附属医院迈皋桥院区、阅江楼院区能源管理服务采购项目的潜在投标人可在</w:t>
      </w:r>
      <w:r>
        <w:rPr>
          <w:rFonts w:ascii="FangSong" w:hAnsi="FangSong" w:eastAsia="FangSong" w:cs="FangSong"/>
          <w:color w:val="000000"/>
          <w:sz w:val="28"/>
          <w:u w:val="single"/>
        </w:rPr>
        <w:t xml:space="preserve">“江苏政府采购网”自行免费下载</w:t>
      </w:r>
      <w:r>
        <w:rPr>
          <w:rFonts w:ascii="FangSong" w:hAnsi="FangSong" w:eastAsia="FangSong" w:cs="FangSong"/>
          <w:color w:val="000000"/>
          <w:sz w:val="28"/>
        </w:rPr>
        <w:t xml:space="preserve">招标文件，并于</w:t>
      </w:r>
      <w:r>
        <w:rPr>
          <w:rFonts w:ascii="FangSong" w:hAnsi="FangSong" w:eastAsia="FangSong" w:cs="FangSong"/>
          <w:color w:val="000000"/>
          <w:sz w:val="28"/>
          <w:u w:val="single"/>
        </w:rPr>
        <w:t xml:space="preserve">2026年09月28日14时30分（北京时间）</w:t>
      </w:r>
      <w:r>
        <w:rPr>
          <w:rFonts w:ascii="FangSong" w:hAnsi="FangSong" w:eastAsia="FangSong" w:cs="FangSong"/>
          <w:color w:val="000000"/>
          <w:sz w:val="28"/>
        </w:rPr>
        <w:t xml:space="preserve">前递交投标文件。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1.项目编号：JSZC-320000-SHGK-G2026-0080</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2.项目名称：南京医科大学第二附属医院迈皋桥院区、阅江楼院区能源管理服务采购项目</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3.预算金额：人民币978万元/年，服务期8年，总预算7824万元。</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4.最高限价：人民币978万元/年（品目01：810万元/年；品目02：168万元/年）（投标人投标报价不得超过上述限价金额，否则将作无效标处理）</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采购需求：南京医科大学第二附属医院迈皋桥院区、阅江楼院区两院区委托能源管理服务，并对迈皋桥院区、阅江楼院区空调、锅炉等系统进行改造维护，品目01为迈皋桥院区能源管理服务，品目02为阅江楼院区能源管理服务。详见《第四章 采购需求》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6.合同履约期限：服务期八年，详见采购需求。</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（一）通用资格要求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1.1具有独立承担民事责任的能力</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1.2具有良好的商业信誉和健全的财务会计制度</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1.3有依法缴纳税收和社会保障资金的良好记录</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1.4具有履行合同所必需的设备和专业技术能力</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1.5参加采购活动前3年内在经营活动中没有重大违法记录</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1.6法律、行政法规规定的其他条件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3.本项目不接受联合体投标。</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4.本项目不接受转包、分包。</w:t>
      </w:r>
      <w:r/>
    </w:p>
    <w:p>
      <w:pPr>
        <w:ind w:left="0" w:right="0" w:firstLine="560"/>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（二）落实政府采购政策需满足的资格要求：本项目不专门面向中小企业预留采购份额。</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三、获取招标文件</w:t>
      </w:r>
      <w:r/>
    </w:p>
    <w:p>
      <w:pPr>
        <w:ind w:left="0" w:right="0" w:firstLine="54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1.时间：自招标文件公告发布之日起5个工作日。</w:t>
      </w:r>
      <w:r/>
    </w:p>
    <w:p>
      <w:pPr>
        <w:ind w:left="0" w:right="0" w:firstLine="54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2.方式：在“江苏政府采购网”自行免费下载招标文件。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四、提交投标文件截止时间、开标时间和地点</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w:t>
      </w:r>
      <w:r>
        <w:rPr>
          <w:rFonts w:ascii="FangSong" w:hAnsi="FangSong" w:eastAsia="FangSong" w:cs="FangSong"/>
          <w:color w:val="000000"/>
          <w:sz w:val="28"/>
          <w:u w:val="single"/>
        </w:rPr>
        <w:t xml:space="preserve">2026年09月28日14时30分（北京时间）</w:t>
      </w:r>
      <w:r>
        <w:rPr>
          <w:rFonts w:ascii="FangSong" w:hAnsi="FangSong" w:eastAsia="FangSong" w:cs="FangSong"/>
          <w:color w:val="000000"/>
          <w:sz w:val="28"/>
        </w:rPr>
        <w:t xml:space="preserve">。</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2.地点：“苏采云”政府采购交易系统网上开标大厅。</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招标公告及招标文件公告期限为自本公告发布之日起5个工作日。</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120" w:firstLine="562"/>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1.本项目不收取投标保证金。</w:t>
      </w:r>
      <w:r/>
    </w:p>
    <w:p>
      <w:pPr>
        <w:ind w:left="0" w:right="120" w:firstLine="562"/>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2.本项目组织集中踏勘，详见采购文件《第六章：投标文件格式》十三、踏勘现场供应商签到表。</w:t>
      </w:r>
      <w:r/>
    </w:p>
    <w:p>
      <w:pPr>
        <w:ind w:left="0" w:right="120" w:firstLine="562"/>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次采购采用“政府采购管理交易系统（苏采云）”，招标、投标、评标和中标结果发布全程电子化，开标方式为不见面开标。供应商应当按照《“苏采云”系统供应商操作手册》（以下简称《操作手册》）参加投标活动，注册、领取CA和办理电子签章，并按《操作手册》要求制作、上传电子投标文件。如供应商未按要求操作，由此所产生的风险由供应商自行承担。</w:t>
      </w:r>
      <w:r/>
    </w:p>
    <w:p>
      <w:pPr>
        <w:ind w:left="0" w:right="120" w:firstLine="562"/>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七、本次招标联系方式</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称：南京医科大学第二附属医院</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址：南京市鼓楼区姜家园121号</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联系人：张老师</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联系方式：025-58509946</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称：江苏苏豪创新科技集团高科有限公司</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址：南京市雨花台区软件大道21号苏豪国际广场北园C座617室</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联系人：吴岢非、吴志叶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联系方式：025-52875983</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项目联系人：吴志叶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联系方式：025-52875936</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br w:type="page" w:clear="all"/>
      </w:r>
      <w:r/>
    </w:p>
    <w:p>
      <w:pPr>
        <w:pStyle w:val="71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第二章  投标人须知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一、总则</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1.招标方式</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本次招标采取公开招标方式，本招标文件仅适用于招标公告中所述项目。</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2.合格的投标人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 满足招标公告中供应商的资格要求的规定。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满足本文件实质性条款的规定。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3.适用法律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本次招标及由此产生的合同受中华人民共和国有关的法律法规制约和保护。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4.投标费用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投标人应自行承担所有与参加投标有关的费用，无论投标过程中的做法和结果如何，江苏苏豪创新科技集团高科有限公司（以下简称代理机构）在任何情况下均无义务和责任承担这些费用。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4.2本次招标代理机构和采购人不收取标书工本费。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4.3中标人向采购代理机构支付招标服务费，服务费已由采购人计入本项目预算金额中。金额按计价格〔2002〕1980号《招标代理服务收费管理暂行办法》标准的40%计取。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开户名：江苏苏豪创新科技集团高科有限公司</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开户行：工行南京市白下支行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 号：4301013119100888895</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5.招标文件的约束力</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 投标人一旦参加本项目采购活动，即被认为接受了本招标文件的规定和约束。</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二、招标文件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6、招标文件构成</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任何要求对招标文件进行澄清的投标人，应在投标截止期</w:t>
      </w:r>
      <w:r>
        <w:rPr>
          <w:rFonts w:ascii="FangSong" w:hAnsi="FangSong" w:eastAsia="FangSong" w:cs="FangSong"/>
          <w:b/>
          <w:color w:val="000000"/>
          <w:sz w:val="28"/>
        </w:rPr>
        <w:t xml:space="preserve">15日</w:t>
      </w:r>
      <w:r>
        <w:rPr>
          <w:rFonts w:ascii="FangSong" w:hAnsi="FangSong" w:eastAsia="FangSong" w:cs="FangSong"/>
          <w:color w:val="000000"/>
          <w:sz w:val="28"/>
        </w:rPr>
        <w:t xml:space="preserve">前按招标公告中的通讯地址，以书面形式通知代理机构。采购人有权对发出的招标文件进行必要的澄清或修改。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7．招标文件的修改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 在投标截止时间前，代理机构可以对招标文件进行修改。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 代理机构有权按照法定的要求推迟投标截止日期和开标日期。</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 招标文件的修改将在江苏政府采购网公布，补充文件将作为招标文件的组成部分，并对投标人具有约束力。</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7.4在投标截止日期前，采购单位对招标文件进行澄清或者修改的，通过“苏采云”系统发布澄清公告或者修改的内容。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名为“.kedt”)，离线编制响应文件，否则，将自行承担相应的风险。</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三、投标文件的编制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8．投标文件的语言及度量衡单位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投标人提交的投标文件以及投标人与代理机构就有关投标的所有来往通知、函件和文件均应使用简体中文。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 除技术性能另有规定外，投标文件所使用的度量衡单位，均须采用国家法定计量单位。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9．投标文件构成</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如标书制作工具中格式和内容与“江苏政府采购网”发布的招标文件不一致，请以“江苏政府采购网”发布的招标文件为准。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10．证明投标人及投标标的符合招标文件规定的文件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投标人应按照招标文件要求提交证明文件，证明其及投标标的符合招标文件规定。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10.2招标文件对证明文件无明确形式要求的，证明文件可以以文字资料、图纸和数据等形式提交。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11．投标分项报价表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 投标人按照招标文件规定格式填报投标分项报价表。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11.2投标货币。投标文件中的单价和总价无特殊规定的采用人民币报价，以元为单位标注。招标文件中另有规定的按规定执行。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12．技术要求响应及偏离表、商务要求响应及偏离表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12.1投标人需对招标文件中的技术要求与商务要求逐项作出响应或偏离，并说明原因。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12.2投标人需按照招标文件要求，在投标文件中提供与技术要求和商务要求相关的证明材料。</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13．服务承诺、培训计划、人员安排及其他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 投标人需根据招标文件要求提供有关售后服务的管理制度，售后服务机构的分布情况，售后服务人员的数量、素质、技术水平及售后服务的反应能力等。</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 投标人需根据招标文件要求提供培训计划。</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13.3  投标人需根据招标文件要求提供所投标的的主要组成部分、功能设计、实现思路及关键技术等。</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14．投标函和开标一览表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 投标人应按照招标文件中提供的格式完整、正确填写投标函、开标一览表。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 </w:t>
      </w:r>
      <w:r>
        <w:rPr>
          <w:rFonts w:ascii="FangSong" w:hAnsi="FangSong" w:eastAsia="FangSong" w:cs="FangSong"/>
          <w:b/>
          <w:color w:val="000000"/>
          <w:sz w:val="28"/>
        </w:rPr>
        <w:t xml:space="preserve">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15．投标有效期</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15.1投标有效期为代理机构规定的开标之日后</w:t>
      </w:r>
      <w:r>
        <w:rPr>
          <w:rFonts w:ascii="FangSong" w:hAnsi="FangSong" w:eastAsia="FangSong" w:cs="FangSong"/>
          <w:b/>
          <w:color w:val="000000"/>
          <w:sz w:val="28"/>
          <w:u w:val="single"/>
        </w:rPr>
        <w:t xml:space="preserve">九十（90）天</w:t>
      </w:r>
      <w:r>
        <w:rPr>
          <w:rFonts w:ascii="FangSong" w:hAnsi="FangSong" w:eastAsia="FangSong" w:cs="FangSong"/>
          <w:color w:val="000000"/>
          <w:sz w:val="28"/>
        </w:rPr>
        <w:t xml:space="preserve">。投标有效期比规定短的将被视为未实质性响应招标文件而予以拒绝。</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16．投标有效期的延长</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四、投标文件的递交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17．电子投标文件的递交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17.1投标人应当按照《操作手册》规定，在投标截止时间前制作并上传电子投标文件。</w:t>
      </w:r>
      <w:r/>
    </w:p>
    <w:p>
      <w:pPr>
        <w:ind w:left="0" w:right="0" w:firstLine="0"/>
        <w:jc w:val="both"/>
        <w:spacing w:before="280" w:after="29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18．投标截止日期</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18.1 投标人上传电子投标文件的时间不得迟于招标公告中规定的投标截止时间。</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投标人应充分考虑到网络环境、网络带宽等风险因素，如因投标人自身原因造成电子投标文件上传不成功的，按照本招标文件第二章第25.1.2条规定做无效投标处理。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18.2代理机构可以按照规定，通过修改招标文件酌情延长投标截止日期，在此情况下，投标人的所有权利和义务以及投标人受制的截止日期均应以延长后新的截止日期为准。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19．投标文件的拒收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19.1 代理机构拒绝接收在其规定的投标截止时间后上传的任何投标文件。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20．投标文件的撤回和修改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 投标文件的撤回</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20.1.1 电子投标文件的撤回</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投标人可在投标截止时间前，撤回其电子投标文件，具体操作方法见《操作手册》。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20.1.2 投标人撤回电子投标文件，则认为其不再参与本项目投标活动。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 投标文件的修改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20.2.1投标人可在投标截止时间前，对其电子投标文件进行修改，具体操作方法见《操作手册》。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20.2.2 在投标截止时间之后，投标人不得对其电子投标文件作任何修改。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20.3 在投标截止时间至招标文件中规定的投标有效期满之间的这段时间内，投标人不得撤回其投标。</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五、开标与评标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21．开标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21.1代理机构将在招标公告中规定的时间和地点组织公开开标。投标人应当按照《操作手册》规定，参加开标活动和在苏采云系统规定的时间内对投标文件进行解密。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21.2开标仪式由代理机构组织。苏采云系统将自动对项目进行开标，并宣布各投标人名称和投标价格。</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21.3投标人在开标过程中涉及到的投标文件解密、开标结果确认等工作，应按照《操作手册》规定执行。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22．评标委员会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22.1开标后，代理机构将立即组织评标委员会（以下简称评委会）进行评标。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22.2 评委会由采购人代表和有关技术、经济等方面的专家组成，且人员构成符合政府采购有关规定。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22.3评委会独立工作，负责评审所有投标文件并确定中标侯选人。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23．评标过程的保密与公正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23.1凡是与审查、澄清、评价和比较投标的有关资料以及授标建议等，采购人、评委、代理机构均不得向投标人或与评标无关的其他人员透露。</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23.2在评标过程中，投标人不得以任何行为影响评标过程，否则其投标文件将被作为无效投标文件。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23.3代理机构和评标委员会不向未中标的投标人解释未中标原因，也不公布评标过程中的相关细节。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23.4 采用综合评分法的项目，未中标的投标人可于中标结果公告期限届满之日起通过苏采云系统查看自己的评审得分及排序情况。</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24．投标文件的澄清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24.1评标期间，评委会对投标文件中含义不明确、同类问题表述不一致或者有明显文字和计算错误的内容，有权要求投标人作出必要的澄清、说明或者补正。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投标人的澄清、说明或者补正不得超出投标文件的范围或者改变投标文件的实质性内容。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评标委员会并非对每个投标人都做澄清要求。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24.3 接到评委会澄清、说明和补正要求的投标人如未按规定做出澄清、说明和补正，其风险由投标人自行承担。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25．对投标文件的初审</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25.1投标文件初审分为资格审查和符合性审查。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25.1.1 资格审查：依据法律法规和招标文件的规定，由采购人对投标文件中的资格证明文件进行审查。资格审查的结论，采购人以书面形式向评委会进行反馈。</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采购人在进行资格性审查的同时，将在“信用中国”网站（www.creditchina.gov.cn）查询投标人的信用记录，以确定投标人是否具备投标资格,查询结果留存并归档。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25.1.2 符合性审查：依据招标文件的规定，由评委会从投标文件的有效性、完整性和对招标文件的响应程度进行审查，以确定是否对招标文件的实质性要求作出响应。</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25.3如果投标文件实质上没有响应招标文件的要求，评委会将予以拒绝，投标人不得通过修改或撤销不合要求的偏离或保留而使其投标成为实质性响应的投标。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25.4评委会将对确定为实质性响应的投标进行进一步审核，看其是否有计算上或累加上的算术错误，修正错误的原则如下：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（1）投标文件中开标一览表内容与投标文件中相应内容不一致的，以开标一览表为准。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（2）大写金额和小写金额不一致的，以大写金额为准。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（3）单价金额小数点或者百分比有明显错位的，以开标一览表的总价为准，并修改单价。</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（4）总价金额与按单价汇总金额不一致的，以单价金额计算结果为准。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非单一产品采购项目，招标文件中将载明其中的核心产品。多家投标人提供的核心产品品牌相同的，按前两款规定处理。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25.7投标人在开、评标全过程中应保持通讯畅通，及时登录苏采云系统查阅、答复相关信息，并安排专人与代理机构及评标委员会联系。</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26．无效投标条款和废标条款</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26.1无效投标条款</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 投标人在苏采云系统规定的时间内未成功解密电子投标文件的。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26.1.2 投标人未按照招标文件要求上传电子投标文件的。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26.1.3投标人同一分包提交两个（含两个）以上不同的投标报价的。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26.1.4投标人不具备招标文件中规定资格要求的。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26.1.5投标人的报价超过了采购预算或最高限价的。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26.1.6未通过符合性审查的。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26.1.7不符合招标文件中规定的实质性要求的（详见本招标文件第四章采购需求中标有“★”的技术要求及相关商务要求）。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26.1.8 投标人被 “信用中国”网站（www.creditchina.gov.cn）、中国政府采购网（www.ccgp.gov.cn）列入失信被执行人或重大税收违法案件当事人名单或政府采购严重失信行为记录名单。或查询网站后发现投标人存在其他不符合《中华人民共和国政府采购法》第二十二条规定条件的信用记录。</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26.1.9 投标文件含有采购人不能接受的附加条件的。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26.1.10评审过程中出现下列情形之一的，评审委员会应当启动异常低价投标（响应）审查程序：</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（1）投标（响应）报价低于全部通过符合性审查供应商投标（响应）报价平均值50%的，即投标（响应）报价＜全部通过符合性审查供应商投标（响应）报价平均值×50%；</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（2）投标（响应）报价低于通过符合性审查的次低报价供应商投标（响应）报价50%的，即投标（响应）报价＜通过符合性审查的次低报价供应商投标（响应）报价×50%；</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（3）投标（响应）报价低于采购项目最高限价45%的，即投标（响应）报价＜采购项目最高限价×45%；</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（4）评审委员会基于专业判断，认为供应商报价过低，有可能影响产品质量或者不能诚信履约的其他情形。</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26.1.12 投标文件未按照招标文件要求加盖CA电子公章的。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26.1.13其他法律、法规及本招标文件规定的属无效投标的情形。</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26.1.14投标人的商务技术部分得分相差异常悬殊，评标委员会一致认为得分畸低者有可能影响产品质量或者不能诚信履约的。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26.2废标条款</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26.2.1符合专业条件的供应商或者对招标文件作实质响应的供应商不足三家的。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26.2.2出现影响采购公正的违法、违规行为的。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26.2.3因重大变故，采购任务取消的。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26.2.4评标委员会认定招标文件存在歧义、重大缺陷导致评审工作无法进行。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26.2.5 因苏采云系统系统故障原因造成开标不成功的。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 投标截止时间结束后参加投标的供应商不足三家的处理：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26.3.1如出现投标截止时间结束后参加投标的供应商或者在评标期间对招标文件做出实质响应的供应商不足三家情况，按政府采购相关规定执行。</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六、定标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27．确定中标单位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27.1中标候选人的选取原则和数量见招标文件第五章规定。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 采购人应根据评委会推荐的中标候选人确定中标人。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 代理机构将在“江苏政府采购网”发布中标公告，公告期限为1个工作日。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 若有充分证据证明，中标人出现下列情况之一的，一经查实，将被取消中标资格：</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27.4.1提供虚假材料谋取中标的。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27.4.2向采购人、代理机构行贿或者提供其他不正当利益的。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27.4.3属于本文件规定的无效条件，但在评标过程中又未被评委会发现的。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27.4.4与采购人或者其他供应商恶意串通的。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27.4.5采取不正当手段诋毁、排挤其他供应商的。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 有下列情形之一的，视为投标人串通投标，投标无效：</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27.5.1不同投标人的投标文件由同一单位或者个人编制；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27.5.2不同投标人委托同一单位或者个人办理投标事宜；</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27.5.3 不同投标人的投标文件载明的项目管理成员或者联系人员为同一人；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27.5.4不同投标人的投标文件异常一致或者投标报价呈规律性差异；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28．质疑处理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28.1 提出质疑的供应商应当是参与所质疑项目采购活动的供应商。潜在供应商依法获取其可质疑的采购文件的，可以对采购文件提出质疑。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left="0" w:right="0" w:firstLine="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28.2.1对可以质疑的采购文件提出质疑的，为收到采购文件之日或者采购文件公告期限届满之日；</w:t>
        <w:br/>
        <w:t xml:space="preserve">28.2.2对采购过程提出质疑的，为各采购程序环节结束之日；</w:t>
        <w:br/>
        <w:t xml:space="preserve">28.2.3对中标或者成交结果提出质疑的，为中标或者成交结果公告期限届满之日。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采购人及代理机构只接收以纸质原件形式送达的质疑,建议供应商尽量通过邮寄方式提交质疑（采购人和代理机构不接受无快递运单号的快递）。</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采购人质疑接收人及联系方式见招标文件第一章。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 以下情形的质疑不予受理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28.5.1 内容不符合《政府采购质疑和投诉办法》第十二条规定的质疑。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28.5.2 超出政府采购法定期限的质疑。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28.5.3 以传真、电子邮件等方式递交的非原件形式的质疑。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28.5.4 未参加投标活动的供应商或在投标活动中自身权益未受到损害的供应商所提出的质疑。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28.5.5供应商组成联合体参加投标，联合体中任何一方或多方未按要求签字、盖章、加盖公章的质疑。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29．中标通知书</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七、授予合同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 签订合同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30.l中标人应当在中标通知书发出之日起三十日内，按照招标文件确定的事项与采购人签订政府采购合同。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30.2招标文件、中标人的投标文件及招标过程中有关澄清、承诺文件均应作为合同附件。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30.3 签订合同后，</w:t>
      </w:r>
      <w:r>
        <w:rPr>
          <w:rFonts w:ascii="FangSong" w:hAnsi="FangSong" w:eastAsia="FangSong" w:cs="FangSong"/>
          <w:color w:val="000000"/>
          <w:sz w:val="28"/>
          <w:u w:val="single"/>
        </w:rPr>
        <w:t xml:space="preserve">中标人不得将合同标的进行转包</w:t>
      </w:r>
      <w:r>
        <w:rPr>
          <w:rFonts w:ascii="FangSong" w:hAnsi="FangSong" w:eastAsia="FangSong" w:cs="FangSong"/>
          <w:color w:val="000000"/>
          <w:sz w:val="28"/>
        </w:rPr>
        <w:t xml:space="preserve">。未经采购人同意，中标人也不得采用分包的形式履行合同，否则采购人有权终止合同。转包或分包造成采购人损失的，中标人应承担相应赔偿责任。</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31．货物（包含与货物相关的服务）的追加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32．政府采购履约资金扶持政策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left="0" w:right="0" w:firstLine="0"/>
        <w:jc w:val="both"/>
        <w:spacing w:before="24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1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第三章  合同文本</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（以下为中标后签订本项目合同通用条款，中标人不应提出实质性的修改。本项目合同根据中标人投标文件响应情况签订具体服务内容）</w:t>
      </w:r>
      <w:r/>
    </w:p>
    <w:p>
      <w:pPr>
        <w:ind w:left="0" w:right="0" w:firstLine="803"/>
        <w:jc w:val="center"/>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合同格式及条款</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52"/>
        <w:gridCol w:w="264"/>
        <w:gridCol w:w="4402"/>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48" w:right="52" w:firstLine="0"/>
              <w:spacing w:before="200" w:after="160" w:line="360" w:lineRule="atLeast"/>
              <w:tabs>
                <w:tab w:val="left" w:pos="46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甲方：南京医科大学第二附属医院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4" w:type="dxa"/>
            <w:vAlign w:val="center"/>
            <w:textDirection w:val="lrTb"/>
            <w:noWrap w:val="false"/>
          </w:tcPr>
          <w:p>
            <w:pPr>
              <w:ind w:left="-48" w:right="52" w:firstLine="0"/>
              <w:spacing w:before="20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02" w:type="dxa"/>
            <w:vAlign w:val="center"/>
            <w:textDirection w:val="lrTb"/>
            <w:noWrap w:val="false"/>
          </w:tcPr>
          <w:p>
            <w:pPr>
              <w:ind w:left="-48" w:right="52" w:firstLine="0"/>
              <w:spacing w:before="200" w:after="160" w:line="360" w:lineRule="atLeast"/>
              <w:tabs>
                <w:tab w:val="left" w:pos="46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45" w:right="52" w:firstLine="0"/>
              <w:spacing w:before="200" w:after="160" w:line="360" w:lineRule="atLeast"/>
              <w:tabs>
                <w:tab w:val="left" w:pos="46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4" w:type="dxa"/>
            <w:vAlign w:val="center"/>
            <w:textDirection w:val="lrTb"/>
            <w:noWrap w:val="false"/>
          </w:tcPr>
          <w:p>
            <w:pPr>
              <w:ind w:left="-48" w:right="52" w:firstLine="0"/>
              <w:spacing w:before="20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2" w:type="dxa"/>
            <w:vAlign w:val="center"/>
            <w:textDirection w:val="lrTb"/>
            <w:noWrap w:val="false"/>
          </w:tcPr>
          <w:p>
            <w:pPr>
              <w:ind w:left="-48" w:right="52" w:firstLine="0"/>
              <w:spacing w:before="200" w:after="160" w:line="360" w:lineRule="atLeast"/>
              <w:tabs>
                <w:tab w:val="left" w:pos="46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tc>
      </w:tr>
    </w:tbl>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甲方以节能、提升锅炉和中央空调运营满意度为目的，委托乙方对甲方迈皋桥院区/阅江楼院区锅炉和中央空调设备等用能系统实施节能改造并提供能源托管服务。主要条款如下：</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1.地址：品目01 迈皋桥院区，南京市栖霞区和燕路 290 号/品目02 阅江楼院区，鼓楼区建宁路 200 号。</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2.建筑功能：</w:t>
      </w:r>
      <w:r>
        <w:rPr>
          <w:rFonts w:ascii="SimSun" w:hAnsi="SimSun" w:eastAsia="SimSun" w:cs="SimSun"/>
          <w:color w:val="000000"/>
          <w:sz w:val="24"/>
          <w:u w:val="single"/>
        </w:rPr>
        <w:t xml:space="preserve">医院</w:t>
      </w:r>
      <w:r>
        <w:rPr>
          <w:rFonts w:ascii="SimSun" w:hAnsi="SimSun" w:eastAsia="SimSun" w:cs="SimSun"/>
          <w:color w:val="000000"/>
          <w:sz w:val="24"/>
        </w:rPr>
        <w:t xml:space="preserve">；建筑面积：品目01 迈皋桥院区</w:t>
      </w:r>
      <w:r>
        <w:rPr>
          <w:rFonts w:ascii="SimSun" w:hAnsi="SimSun" w:eastAsia="SimSun" w:cs="SimSun"/>
          <w:color w:val="000000"/>
          <w:sz w:val="24"/>
          <w:u w:val="single"/>
        </w:rPr>
        <w:t xml:space="preserve">70415.62 </w:t>
      </w:r>
      <w:r>
        <w:rPr>
          <w:rFonts w:ascii="SimSun" w:hAnsi="SimSun" w:eastAsia="SimSun" w:cs="SimSun"/>
          <w:color w:val="000000"/>
          <w:sz w:val="24"/>
        </w:rPr>
        <w:t xml:space="preserve">m</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/品目02 阅江楼院区</w:t>
      </w:r>
      <w:r>
        <w:rPr>
          <w:rFonts w:ascii="SimSun" w:hAnsi="SimSun" w:eastAsia="SimSun" w:cs="SimSun"/>
          <w:color w:val="000000"/>
          <w:sz w:val="24"/>
          <w:u w:val="single"/>
        </w:rPr>
        <w:t xml:space="preserve">11000㎡（</w:t>
      </w:r>
      <w:r>
        <w:rPr>
          <w:rFonts w:ascii="SimSun" w:hAnsi="SimSun" w:eastAsia="SimSun" w:cs="SimSun"/>
          <w:color w:val="000000"/>
          <w:sz w:val="24"/>
        </w:rPr>
        <w:t xml:space="preserve">本合同服务面积）。</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3.能源单价：品目01 迈皋桥院区，平均电价</w:t>
      </w:r>
      <w:r>
        <w:rPr>
          <w:rFonts w:ascii="SimSun" w:hAnsi="SimSun" w:eastAsia="SimSun" w:cs="SimSun"/>
          <w:color w:val="000000"/>
          <w:sz w:val="24"/>
          <w:u w:val="single"/>
        </w:rPr>
        <w:t xml:space="preserve">0.7306元/kWh</w:t>
      </w:r>
      <w:r>
        <w:rPr>
          <w:rFonts w:ascii="SimSun" w:hAnsi="SimSun" w:eastAsia="SimSun" w:cs="SimSun"/>
          <w:color w:val="000000"/>
          <w:sz w:val="24"/>
        </w:rPr>
        <w:t xml:space="preserve">；平均天然气价</w:t>
      </w:r>
      <w:r>
        <w:rPr>
          <w:rFonts w:ascii="SimSun" w:hAnsi="SimSun" w:eastAsia="SimSun" w:cs="SimSun"/>
          <w:color w:val="000000"/>
          <w:sz w:val="24"/>
          <w:highlight w:val="white"/>
          <w:u w:val="single"/>
        </w:rPr>
        <w:t xml:space="preserve">4.8453</w:t>
      </w:r>
      <w:r>
        <w:rPr>
          <w:rFonts w:ascii="SimSun" w:hAnsi="SimSun" w:eastAsia="SimSun" w:cs="SimSun"/>
          <w:color w:val="000000"/>
          <w:sz w:val="24"/>
          <w:u w:val="single"/>
        </w:rPr>
        <w:t xml:space="preserve">元/m³</w:t>
      </w:r>
      <w:r>
        <w:rPr>
          <w:rFonts w:ascii="SimSun" w:hAnsi="SimSun" w:eastAsia="SimSun" w:cs="SimSun"/>
          <w:color w:val="000000"/>
          <w:sz w:val="24"/>
        </w:rPr>
        <w:t xml:space="preserve">/品目02 阅江楼院区，平均电价</w:t>
      </w:r>
      <w:r>
        <w:rPr>
          <w:rFonts w:ascii="SimSun" w:hAnsi="SimSun" w:eastAsia="SimSun" w:cs="SimSun"/>
          <w:color w:val="000000"/>
          <w:sz w:val="24"/>
          <w:highlight w:val="white"/>
          <w:u w:val="single"/>
        </w:rPr>
        <w:t xml:space="preserve">0.7263</w:t>
      </w:r>
      <w:r>
        <w:rPr>
          <w:rFonts w:ascii="SimSun" w:hAnsi="SimSun" w:eastAsia="SimSun" w:cs="SimSun"/>
          <w:color w:val="000000"/>
          <w:sz w:val="24"/>
          <w:u w:val="single"/>
        </w:rPr>
        <w:t xml:space="preserve">元/kWh</w:t>
      </w:r>
      <w:r>
        <w:rPr>
          <w:rFonts w:ascii="SimSun" w:hAnsi="SimSun" w:eastAsia="SimSun" w:cs="SimSun"/>
          <w:color w:val="000000"/>
          <w:sz w:val="24"/>
        </w:rPr>
        <w:t xml:space="preserve">；能源单价变化率以此为基准计算。</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4.项目运营期间如有政策性价格优惠，则由甲方得利。</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二、合同能源管理服务</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品目01 迈皋桥院区（全院能源总包模式）</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7"/>
        <w:gridCol w:w="865"/>
        <w:gridCol w:w="8182"/>
      </w:tblGrid>
      <w:tr>
        <w:trPr>
          <w:trHeight w:val="6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明细</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空调运维人员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白班不少于2人，晚班不少于1人</w:t>
            </w:r>
            <w:r>
              <w:rPr>
                <w:rFonts w:ascii="SimSun" w:hAnsi="SimSun" w:eastAsia="SimSun" w:cs="SimSun"/>
                <w:color w:val="000000"/>
                <w:sz w:val="24"/>
                <w:highlight w:val="white"/>
              </w:rPr>
              <w:t xml:space="preserve">，具备相关上岗证书和资格要求，按照院区运行的要求，严格执行24小时值班制。</w:t>
            </w:r>
            <w:r/>
          </w:p>
        </w:tc>
      </w:tr>
      <w:tr>
        <w:trPr>
          <w:trHeight w:val="11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日常操作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制冷、采暖、生活热水供应，磁悬浮主机、离心机、冷温水泵、冷却泵、热水循环泵、生活热水泵、冷却塔、燃气锅炉、板换、热水换热罐、太阳能系统、新风系统的操作和管理，具备智能化功能，可对相关数据进行实时分析、反馈。</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2.上述系统故障的应急抢修。</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磁悬浮主机、离心机、燃气锅炉、卫热换热罐、冷温水泵、冷却泵、热水循环泵、生活热水泵、板换、分集水器、冷却塔、中央空调和卫热系统阀门、太阳能热水系统及新风系统</w:t>
            </w:r>
            <w:r/>
          </w:p>
        </w:tc>
      </w:tr>
      <w:tr>
        <w:trPr>
          <w:trHeight w:val="1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维修服务范围：涉及燃气锅炉、中央空调、生活热水系统、太阳能系统、新风系统的维修，500元以内的部件由乙方承担。</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因乙方人为原因造成的燃气锅炉、中央空调、生活热水系统、太阳能系统、新风系统设备发生的故障和损坏，由乙方负责修复。</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水质管理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中央空调冷却水、冷温水的水质处理</w:t>
            </w:r>
            <w:r/>
          </w:p>
        </w:tc>
      </w:tr>
      <w:tr>
        <w:trPr>
          <w:trHeight w:val="8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末端效果保障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中央空调末端（不含手术室、净化区域末端）维护保养，包括末端风机盘管、风柜的定期清洗和日常维护、维修</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特种设备及安全附件管理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蒸发器、冷凝器等压力容器及压力表、安全阀等安全附件的定期检验。锅炉年检（如需）</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每月提供满意度调查表，满足甲方日常管理要求</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支付电、燃气费用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承担全院电费、锅炉房天然气（天然气不含食堂）能源费用。 </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品目02 阅江楼院区（中央空调及生活热水能源总包模式）</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7"/>
        <w:gridCol w:w="1288"/>
        <w:gridCol w:w="7610"/>
      </w:tblGrid>
      <w:tr>
        <w:trPr>
          <w:trHeight w:val="6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明细</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白班不少于2人，晚班不少于2人</w:t>
            </w:r>
            <w:r>
              <w:rPr>
                <w:rFonts w:ascii="SimSun" w:hAnsi="SimSun" w:eastAsia="SimSun" w:cs="SimSun"/>
                <w:color w:val="000000"/>
                <w:sz w:val="24"/>
                <w:highlight w:val="white"/>
              </w:rPr>
              <w:t xml:space="preserve">，具备相关上岗证书和资格要求，按照院区运行的要求，严格执行24小时值班制</w:t>
            </w:r>
            <w:r/>
          </w:p>
        </w:tc>
      </w:tr>
      <w:tr>
        <w:trPr>
          <w:trHeight w:val="10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日常操作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highlight w:val="white"/>
              </w:rPr>
              <w:t xml:space="preserve">制冷、采暖、生活热水系统操作及供应，</w:t>
            </w:r>
            <w:r>
              <w:rPr>
                <w:rFonts w:ascii="SimSun" w:hAnsi="SimSun" w:eastAsia="SimSun" w:cs="SimSun"/>
                <w:color w:val="000000"/>
                <w:sz w:val="24"/>
              </w:rPr>
              <w:t xml:space="preserve">配电房及其附属设施的操作与日常保养、故障应对，</w:t>
            </w:r>
            <w:r>
              <w:rPr>
                <w:rFonts w:ascii="SimSun" w:hAnsi="SimSun" w:eastAsia="SimSun" w:cs="SimSun"/>
                <w:color w:val="000000"/>
                <w:sz w:val="24"/>
                <w:highlight w:val="white"/>
              </w:rPr>
              <w:t xml:space="preserve">具备智能化功能，可对相关数据进行实时分析、反馈</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2.上述系统故障的应急抢修</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制冷、采暖、生活热水主机、卫热换热罐、冷温水泵、生活热水泵、中央空调和卫热系统阀门</w:t>
            </w:r>
            <w:r/>
          </w:p>
        </w:tc>
      </w:tr>
      <w:tr>
        <w:trPr>
          <w:trHeight w:val="1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维修服务范围：涉及中央空调、生活热水系统的维修，500元以内的部件由乙方承担。</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因乙方人为原因造成的中央空调、生活热水系统设备发生的故障和损坏，由乙方负责修复。</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水质管理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中央空调冷温水的水质处理</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末端效果保障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中央空调末端维护保养，定期清洗和日常维护、维修</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特种设备及安全附件管理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蒸发器、冷凝器等压力容器及压力表、安全阀等安全附件的定期检验</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每月提供满意度调查表，满足甲方日常管理要求</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支付电费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采购结算中央空调主机、生活热水主机及输配泵组电费（包含过渡期内的蒸汽锅炉气费）</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①关于空调末端的日常维护，乙方负责人工费、末端清洗（含药剂）以及末端设备中的电容、金属软管、风和水过滤器、润滑油更换等500元内备品备件更换；</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②在机房系统设备的维护保养过程中，由于非乙方原因造成的设备、设施损坏或设备寿命到期，医院应按照双方认可的方案及时维修或者更换（500元以内的备品备件由乙方负责）。</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③关于非乙方投资改造的多联机空调、风冷热泵，乙方负责每年冬、夏两季进行两次例行维护，日常工作包含清洗、日常保障等，备品备件费用由甲方承担。</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④分体空调日常拆移机为有偿服务，包括拆移机产生的管线加长、零配件更换及充氟等费用由甲方负责。</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⑤关于500元以内的备品备件界定问题，按甲方所在地市场询价确定。</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⑥定期检测指本项目相关法规要求的强制定期检测设备、仪表等，包括不限于压力容器及其安全附件、燃气泄漏检测、公共场所集中空调通风系统空气品质。</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2.中央空调及卫生热水供应要求</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品目01 迈皋桥院区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78"/>
        <w:gridCol w:w="2360"/>
        <w:gridCol w:w="2958"/>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1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5月1日～10月15日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vMerge w:val="restart"/>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供冷条件            （供冷时段内）</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室外最高气温连续5天&gt;26℃或2天&gt;29℃或当天&gt;31℃开始供冷</w:t>
            </w:r>
            <w:r/>
          </w:p>
        </w:tc>
      </w:tr>
      <w:tr>
        <w:trPr>
          <w:trHeight w:val="486"/>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室外最高气温连续5天&lt;24℃或2天&lt;23℃或当天&lt;21℃停止供冷</w:t>
            </w:r>
            <w:r/>
          </w:p>
        </w:tc>
      </w:tr>
      <w:tr>
        <w:trPr>
          <w:trHeight w:val="860"/>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梅雨季节、天气闷热等特殊情况不受气温限制，根据甲方实际需求制冷。</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11月20日～次年3月31日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vMerge w:val="restart"/>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供热条件             （供热时段内）</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室外最低气温连续5天&lt;15℃或2天&lt;14℃或当天&lt;11℃开始供热</w:t>
            </w:r>
            <w:r/>
          </w:p>
        </w:tc>
      </w:tr>
      <w:tr>
        <w:trPr>
          <w:trHeight w:val="486"/>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室外最低气温连续5天&gt;15℃或2天&gt;17℃或当天&gt;20℃停止供热</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空调标准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室内温度：供冷不高于26℃    供热不低于18℃</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生活热水标准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生活热水： 不低于50℃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vMerge w:val="restart"/>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日供时段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供冷、供热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5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w:t>
            </w:r>
            <w:r/>
          </w:p>
        </w:tc>
      </w:tr>
      <w:tr>
        <w:trPr>
          <w:trHeight w:val="52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生活热水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8"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w:t>
            </w:r>
            <w:r/>
          </w:p>
        </w:tc>
      </w:tr>
      <w:tr>
        <w:trPr>
          <w:trHeight w:val="97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1.特殊情况时，供应标准由双方协商决定；</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2.手术室、ICU等特殊要求区域，按照临床要求供热或供冷。</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品目02 阅江楼院区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9"/>
        <w:gridCol w:w="1096"/>
        <w:gridCol w:w="4205"/>
        <w:gridCol w:w="2639"/>
      </w:tblGrid>
      <w:tr>
        <w:trPr>
          <w:trHeight w:val="133"/>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0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20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供应条件</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63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5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09" w:type="dxa"/>
            <w:vAlign w:val="center"/>
            <w:vMerge w:val="restart"/>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供冷季</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0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1.室外最高气温连续5天&gt;26℃或2天&gt;29℃或当天&gt;31℃开始供冷；            </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2.室外最高气温连续5天&lt;24℃或2天&lt;23℃或当天&lt;21℃停止供冷；</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3.梅雨季节、天气闷热等特殊情况不受气温限制，根据甲方实际需求制冷。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639" w:type="dxa"/>
            <w:vAlign w:val="center"/>
            <w:vMerge w:val="restart"/>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1.梅雨季节、天气闷热等特殊情况下可由二临等相关使用部门联系总务处灵活调整空调开启时段及开启时间。</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2.空调运行温度冬季不高于20℃，夏季不低于26℃，空调运行期间禁止任意开窗。</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3.协助甲方开展节能降耗工作。</w:t>
            </w:r>
            <w:r/>
          </w:p>
        </w:tc>
      </w:tr>
      <w:tr>
        <w:trPr>
          <w:trHeight w:val="28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供暖季</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420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室外最低气温连续5天&lt;15℃或2天&lt;14℃或当天&lt;11℃开始供热；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室外最低气温连续5天&gt;15℃或2天&gt;17℃或当天&gt;20℃停止供热。</w:t>
            </w:r>
            <w:r/>
          </w:p>
        </w:tc>
        <w:tc>
          <w:tcPr>
            <w:vMerge w:val="continue"/>
            <w:textDirection w:val="lrTb"/>
            <w:noWrap w:val="false"/>
          </w:tcPr>
          <w:p>
            <w:r/>
            <w:r/>
          </w:p>
        </w:tc>
      </w:tr>
      <w:tr>
        <w:trPr>
          <w:trHeight w:val="377"/>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0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0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热水供应时间段：24小时。</w:t>
            </w:r>
            <w:r/>
          </w:p>
        </w:tc>
        <w:tc>
          <w:tcPr>
            <w:vMerge w:val="continue"/>
            <w:textDirection w:val="lrTb"/>
            <w:noWrap w:val="false"/>
          </w:tcPr>
          <w:p>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3.本项目绩效考核细化标准、考核频次、奖惩机制、双方可在合同签署后结合现场实际情况进一步细化。</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.改造内容</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在不影响医院正常运行以及满足医院门急诊、病房楼及公共区域舒适度的前提下，乙方自行投资开展综合节能改造，所有改造应在规定时间内完成改造，改造方案必须由甲方认可，改造内容如下：</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65"/>
        <w:gridCol w:w="2160"/>
        <w:gridCol w:w="2161"/>
        <w:gridCol w:w="216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改造项目1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改造项目2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.改造资金</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对于乙方本次节能改造内容以及乙方后期自主改造所需要的改造资金由乙方全额出资。</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.投资保障</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合同8年服务期内，乙方投资设备产权归乙方；期满且甲方结清全部服务费后，乙方须将完好设备无偿移交甲方，同步移交全套运维资料，并无偿授予甲方仅限本项目使用的相关技术、知识产权永久授权。</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若合作未满8年提前终止，按8年直线折旧法核算乙方剩余未摊销投资成本，甲方于合作终止后付清该款项，款项付清后全部投资设备产权归甲方所有。</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.合同收费</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合同额：</w:t>
      </w:r>
      <w:r>
        <w:rPr>
          <w:rFonts w:ascii="SimSun" w:hAnsi="SimSun" w:eastAsia="SimSun" w:cs="SimSun"/>
          <w:b/>
          <w:color w:val="000000"/>
          <w:sz w:val="24"/>
          <w:u w:val="single"/>
        </w:rPr>
        <w:t xml:space="preserve">       </w:t>
      </w:r>
      <w:r>
        <w:rPr>
          <w:rFonts w:ascii="SimSun" w:hAnsi="SimSun" w:eastAsia="SimSun" w:cs="SimSun"/>
          <w:color w:val="000000"/>
          <w:sz w:val="24"/>
        </w:rPr>
        <w:t xml:space="preserve">元/年</w:t>
      </w:r>
      <w:r>
        <w:rPr>
          <w:rFonts w:ascii="SimSun" w:hAnsi="SimSun" w:eastAsia="SimSun" w:cs="SimSun"/>
          <w:b/>
          <w:color w:val="000000"/>
          <w:sz w:val="24"/>
        </w:rPr>
        <w:t xml:space="preserve">（</w:t>
      </w:r>
      <w:r>
        <w:rPr>
          <w:rFonts w:ascii="SimSun" w:hAnsi="SimSun" w:eastAsia="SimSun" w:cs="SimSun"/>
          <w:color w:val="000000"/>
          <w:sz w:val="24"/>
        </w:rPr>
        <w:t xml:space="preserve">品目01迈皋桥院区年合同能源管理服务费</w:t>
      </w:r>
      <w:r>
        <w:rPr>
          <w:rFonts w:ascii="SimSun" w:hAnsi="SimSun" w:eastAsia="SimSun" w:cs="SimSun"/>
          <w:color w:val="000000"/>
          <w:sz w:val="24"/>
          <w:u w:val="single"/>
        </w:rPr>
        <w:t xml:space="preserve">       </w:t>
      </w:r>
      <w:r>
        <w:rPr>
          <w:rFonts w:ascii="SimSun" w:hAnsi="SimSun" w:eastAsia="SimSun" w:cs="SimSun"/>
          <w:color w:val="000000"/>
          <w:sz w:val="24"/>
        </w:rPr>
        <w:t xml:space="preserve">元/年，品目02阅江楼院区年合同能源管理服务费</w:t>
      </w:r>
      <w:r>
        <w:rPr>
          <w:rFonts w:ascii="SimSun" w:hAnsi="SimSun" w:eastAsia="SimSun" w:cs="SimSun"/>
          <w:color w:val="000000"/>
          <w:sz w:val="24"/>
          <w:u w:val="single"/>
        </w:rPr>
        <w:t xml:space="preserve">       </w:t>
      </w:r>
      <w:r>
        <w:rPr>
          <w:rFonts w:ascii="SimSun" w:hAnsi="SimSun" w:eastAsia="SimSun" w:cs="SimSun"/>
          <w:color w:val="000000"/>
          <w:sz w:val="24"/>
        </w:rPr>
        <w:t xml:space="preserve">元/年），服务期限：</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日。正式运营日以双方签字认可的《建筑能源系统管理交接书》约定日期为准，运营年度从双方书面确认的正式运营日开始计算，甲方最迟交付运营时间不超过</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品目01 迈皋桥院区</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基础服务费</w:t>
      </w:r>
      <w:r>
        <w:rPr>
          <w:rFonts w:ascii="SimSun" w:hAnsi="SimSun" w:eastAsia="SimSun" w:cs="SimSun"/>
          <w:color w:val="000000"/>
          <w:sz w:val="24"/>
          <w:u w:val="single"/>
        </w:rPr>
        <w:t xml:space="preserve">      </w:t>
      </w:r>
      <w:r>
        <w:rPr>
          <w:rFonts w:ascii="SimSun" w:hAnsi="SimSun" w:eastAsia="SimSun" w:cs="SimSun"/>
          <w:color w:val="000000"/>
          <w:sz w:val="24"/>
        </w:rPr>
        <w:t xml:space="preserve">元/㎡·年，生活热水计量收费：</w:t>
      </w:r>
      <w:r>
        <w:rPr>
          <w:rFonts w:ascii="SimSun" w:hAnsi="SimSun" w:eastAsia="SimSun" w:cs="SimSun"/>
          <w:color w:val="000000"/>
          <w:sz w:val="24"/>
          <w:u w:val="single"/>
        </w:rPr>
        <w:t xml:space="preserve">     </w:t>
      </w:r>
      <w:r>
        <w:rPr>
          <w:rFonts w:ascii="SimSun" w:hAnsi="SimSun" w:eastAsia="SimSun" w:cs="SimSun"/>
          <w:color w:val="000000"/>
          <w:sz w:val="24"/>
        </w:rPr>
        <w:t xml:space="preserve"> 元/吨，年合同能源管理服务费：（人民币）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年合同能源管理服务费计算公式：</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基础服务费</w:t>
      </w:r>
      <w:r>
        <w:rPr>
          <w:rFonts w:ascii="SimSun" w:hAnsi="SimSun" w:eastAsia="SimSun" w:cs="SimSun"/>
          <w:color w:val="000000"/>
          <w:sz w:val="24"/>
          <w:u w:val="single"/>
        </w:rPr>
        <w:t xml:space="preserve">    </w:t>
      </w:r>
      <w:r>
        <w:rPr>
          <w:rFonts w:ascii="SimSun" w:hAnsi="SimSun" w:eastAsia="SimSun" w:cs="SimSun"/>
          <w:color w:val="000000"/>
          <w:sz w:val="24"/>
        </w:rPr>
        <w:t xml:space="preserve">元/㎡·年×70415.62㎡+热水计量费</w:t>
      </w:r>
      <w:r>
        <w:rPr>
          <w:rFonts w:ascii="SimSun" w:hAnsi="SimSun" w:eastAsia="SimSun" w:cs="SimSun"/>
          <w:color w:val="000000"/>
          <w:sz w:val="24"/>
          <w:u w:val="single"/>
        </w:rPr>
        <w:t xml:space="preserve">   </w:t>
      </w:r>
      <w:r>
        <w:rPr>
          <w:rFonts w:ascii="SimSun" w:hAnsi="SimSun" w:eastAsia="SimSun" w:cs="SimSun"/>
          <w:color w:val="000000"/>
          <w:sz w:val="24"/>
        </w:rPr>
        <w:t xml:space="preserve">元/吨×年预估用水量6600吨</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每月双方对上月医院投用面积、生活热水用量进行确认。</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甲方每月需支付给乙方的能源服务费金额为：</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实际投用面积×</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元</w:t>
      </w:r>
      <w:r>
        <w:rPr>
          <w:rFonts w:ascii="SimSun" w:hAnsi="SimSun" w:eastAsia="SimSun" w:cs="SimSun"/>
          <w:color w:val="000000"/>
          <w:sz w:val="24"/>
        </w:rPr>
        <w:t xml:space="preserve">/㎡·月</w:t>
      </w:r>
      <w:r>
        <w:rPr>
          <w:rFonts w:ascii="SimSun" w:hAnsi="SimSun" w:eastAsia="SimSun" w:cs="SimSun"/>
          <w:color w:val="000000"/>
          <w:sz w:val="24"/>
          <w:highlight w:val="white"/>
        </w:rPr>
        <w:t xml:space="preserve">（</w:t>
      </w:r>
      <w:r>
        <w:rPr>
          <w:rFonts w:ascii="SimSun" w:hAnsi="SimSun" w:eastAsia="SimSun" w:cs="SimSun"/>
          <w:color w:val="000000"/>
          <w:sz w:val="24"/>
        </w:rPr>
        <w:t xml:space="preserve">基础服务费</w:t>
      </w:r>
      <w:r>
        <w:rPr>
          <w:rFonts w:ascii="SimSun" w:hAnsi="SimSun" w:eastAsia="SimSun" w:cs="SimSun"/>
          <w:color w:val="000000"/>
          <w:sz w:val="24"/>
          <w:u w:val="single"/>
        </w:rPr>
        <w:t xml:space="preserve">      </w:t>
      </w:r>
      <w:r>
        <w:rPr>
          <w:rFonts w:ascii="SimSun" w:hAnsi="SimSun" w:eastAsia="SimSun" w:cs="SimSun"/>
          <w:color w:val="000000"/>
          <w:sz w:val="24"/>
        </w:rPr>
        <w:t xml:space="preserve">元/㎡·年除以12个月得到月收费单价</w:t>
      </w:r>
      <w:r>
        <w:rPr>
          <w:rFonts w:ascii="SimSun" w:hAnsi="SimSun" w:eastAsia="SimSun" w:cs="SimSun"/>
          <w:color w:val="000000"/>
          <w:sz w:val="24"/>
          <w:highlight w:val="white"/>
        </w:rPr>
        <w:t xml:space="preserve">）+生活热水实际用量×</w:t>
      </w:r>
      <w:r>
        <w:rPr>
          <w:rFonts w:ascii="SimSun" w:hAnsi="SimSun" w:eastAsia="SimSun" w:cs="SimSun"/>
          <w:color w:val="000000"/>
          <w:sz w:val="24"/>
        </w:rPr>
        <w:t xml:space="preserve">生活热水实际用量×</w:t>
      </w:r>
      <w:r>
        <w:rPr>
          <w:rFonts w:ascii="SimSun" w:hAnsi="SimSun" w:eastAsia="SimSun" w:cs="SimSun"/>
          <w:color w:val="000000"/>
          <w:sz w:val="24"/>
          <w:u w:val="single"/>
        </w:rPr>
        <w:t xml:space="preserve">      </w:t>
      </w:r>
      <w:r>
        <w:rPr>
          <w:rFonts w:ascii="SimSun" w:hAnsi="SimSun" w:eastAsia="SimSun" w:cs="SimSun"/>
          <w:color w:val="000000"/>
          <w:sz w:val="24"/>
        </w:rPr>
        <w:t xml:space="preserve">元/t</w:t>
      </w:r>
      <w:r>
        <w:rPr>
          <w:rFonts w:ascii="SimSun" w:hAnsi="SimSun" w:eastAsia="SimSun" w:cs="SimSun"/>
          <w:color w:val="000000"/>
          <w:sz w:val="24"/>
          <w:highlight w:val="white"/>
        </w:rPr>
        <w:t xml:space="preserve">。</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品目02 阅江楼院区</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空调基础服务费</w:t>
      </w:r>
      <w:r>
        <w:rPr>
          <w:rFonts w:ascii="SimSun" w:hAnsi="SimSun" w:eastAsia="SimSun" w:cs="SimSun"/>
          <w:color w:val="000000"/>
          <w:sz w:val="24"/>
          <w:u w:val="single"/>
        </w:rPr>
        <w:t xml:space="preserve">      </w:t>
      </w:r>
      <w:r>
        <w:rPr>
          <w:rFonts w:ascii="SimSun" w:hAnsi="SimSun" w:eastAsia="SimSun" w:cs="SimSun"/>
          <w:color w:val="000000"/>
          <w:sz w:val="24"/>
        </w:rPr>
        <w:t xml:space="preserve">元/㎡·年，生活热水计量收费：</w:t>
      </w:r>
      <w:r>
        <w:rPr>
          <w:rFonts w:ascii="SimSun" w:hAnsi="SimSun" w:eastAsia="SimSun" w:cs="SimSun"/>
          <w:color w:val="000000"/>
          <w:sz w:val="24"/>
          <w:u w:val="single"/>
        </w:rPr>
        <w:t xml:space="preserve">     </w:t>
      </w:r>
      <w:r>
        <w:rPr>
          <w:rFonts w:ascii="SimSun" w:hAnsi="SimSun" w:eastAsia="SimSun" w:cs="SimSun"/>
          <w:color w:val="000000"/>
          <w:sz w:val="24"/>
        </w:rPr>
        <w:t xml:space="preserve"> 元/t，年合同能源管理服务费：（人民币）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年合同能源管理服务费计算公式：</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空调基础服务费</w:t>
      </w:r>
      <w:r>
        <w:rPr>
          <w:rFonts w:ascii="SimSun" w:hAnsi="SimSun" w:eastAsia="SimSun" w:cs="SimSun"/>
          <w:color w:val="000000"/>
          <w:sz w:val="24"/>
          <w:u w:val="single"/>
        </w:rPr>
        <w:t xml:space="preserve">    </w:t>
      </w:r>
      <w:r>
        <w:rPr>
          <w:rFonts w:ascii="SimSun" w:hAnsi="SimSun" w:eastAsia="SimSun" w:cs="SimSun"/>
          <w:color w:val="000000"/>
          <w:sz w:val="24"/>
        </w:rPr>
        <w:t xml:space="preserve">元/㎡·年×11000㎡+热水计量费</w:t>
      </w:r>
      <w:r>
        <w:rPr>
          <w:rFonts w:ascii="SimSun" w:hAnsi="SimSun" w:eastAsia="SimSun" w:cs="SimSun"/>
          <w:color w:val="000000"/>
          <w:sz w:val="24"/>
          <w:u w:val="single"/>
        </w:rPr>
        <w:t xml:space="preserve">   </w:t>
      </w:r>
      <w:r>
        <w:rPr>
          <w:rFonts w:ascii="SimSun" w:hAnsi="SimSun" w:eastAsia="SimSun" w:cs="SimSun"/>
          <w:color w:val="000000"/>
          <w:sz w:val="24"/>
        </w:rPr>
        <w:t xml:space="preserve">元/吨×年预估用水量8500吨</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每月双方对上月医院投用面积、生活热水用量进行确认。</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甲方每月需支付给乙方的能源服务费金额为：</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实际投用面积×</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元</w:t>
      </w:r>
      <w:r>
        <w:rPr>
          <w:rFonts w:ascii="SimSun" w:hAnsi="SimSun" w:eastAsia="SimSun" w:cs="SimSun"/>
          <w:color w:val="000000"/>
          <w:sz w:val="24"/>
        </w:rPr>
        <w:t xml:space="preserve">/㎡·月</w:t>
      </w:r>
      <w:r>
        <w:rPr>
          <w:rFonts w:ascii="SimSun" w:hAnsi="SimSun" w:eastAsia="SimSun" w:cs="SimSun"/>
          <w:color w:val="000000"/>
          <w:sz w:val="24"/>
          <w:highlight w:val="white"/>
        </w:rPr>
        <w:t xml:space="preserve">（空调</w:t>
      </w:r>
      <w:r>
        <w:rPr>
          <w:rFonts w:ascii="SimSun" w:hAnsi="SimSun" w:eastAsia="SimSun" w:cs="SimSun"/>
          <w:color w:val="000000"/>
          <w:sz w:val="24"/>
        </w:rPr>
        <w:t xml:space="preserve">基础服务费</w:t>
      </w:r>
      <w:r>
        <w:rPr>
          <w:rFonts w:ascii="SimSun" w:hAnsi="SimSun" w:eastAsia="SimSun" w:cs="SimSun"/>
          <w:color w:val="000000"/>
          <w:sz w:val="24"/>
          <w:u w:val="single"/>
        </w:rPr>
        <w:t xml:space="preserve">      </w:t>
      </w:r>
      <w:r>
        <w:rPr>
          <w:rFonts w:ascii="SimSun" w:hAnsi="SimSun" w:eastAsia="SimSun" w:cs="SimSun"/>
          <w:color w:val="000000"/>
          <w:sz w:val="24"/>
        </w:rPr>
        <w:t xml:space="preserve">元/㎡·年除以12个月得到月收费单价</w:t>
      </w:r>
      <w:r>
        <w:rPr>
          <w:rFonts w:ascii="SimSun" w:hAnsi="SimSun" w:eastAsia="SimSun" w:cs="SimSun"/>
          <w:color w:val="000000"/>
          <w:sz w:val="24"/>
          <w:highlight w:val="white"/>
        </w:rPr>
        <w:t xml:space="preserve">）+生活热水实际用量×</w:t>
      </w:r>
      <w:r>
        <w:rPr>
          <w:rFonts w:ascii="SimSun" w:hAnsi="SimSun" w:eastAsia="SimSun" w:cs="SimSun"/>
          <w:color w:val="000000"/>
          <w:sz w:val="24"/>
          <w:u w:val="single"/>
        </w:rPr>
        <w:t xml:space="preserve">     </w:t>
      </w:r>
      <w:r>
        <w:rPr>
          <w:rFonts w:ascii="SimSun" w:hAnsi="SimSun" w:eastAsia="SimSun" w:cs="SimSun"/>
          <w:color w:val="000000"/>
          <w:sz w:val="24"/>
        </w:rPr>
        <w:t xml:space="preserve"> 元/t</w:t>
      </w:r>
      <w:r>
        <w:rPr>
          <w:rFonts w:ascii="SimSun" w:hAnsi="SimSun" w:eastAsia="SimSun" w:cs="SimSun"/>
          <w:color w:val="000000"/>
          <w:sz w:val="24"/>
          <w:highlight w:val="white"/>
        </w:rPr>
        <w:t xml:space="preserve">。</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.付款时间与方式</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合同签订5个工作日内甲方向乙方支付</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rPr>
          <w:rFonts w:ascii="SimSun" w:hAnsi="SimSun" w:eastAsia="SimSun" w:cs="SimSun"/>
          <w:color w:val="000000"/>
          <w:sz w:val="24"/>
          <w:u w:val="single"/>
        </w:rPr>
        <w:t xml:space="preserve">    </w:t>
      </w:r>
      <w:r>
        <w:rPr>
          <w:rFonts w:ascii="SimSun" w:hAnsi="SimSun" w:eastAsia="SimSun" w:cs="SimSun"/>
          <w:color w:val="000000"/>
          <w:sz w:val="24"/>
        </w:rPr>
        <w:t xml:space="preserve">元）作为预付款，预付款用于冲抵合同期内的合同能源管理服务费。第1个周期结束后10个工作日内，甲方向乙方支付第1个周期的合同能源管理服务费，以后每个周期结束后10个工作日内甲方向乙方支付本周期的合同能源管理服务费。</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按月进行服务检查，并按检查结果实行月度考核支付，从第2个周期开始，每个周期考核数据为上1个周期的月度考核平均分，达不到考核目标的按本办法规定扣除相应的服务经费。服务检查，月度考核分高于90分的（含90分）实得服务检查考核经费，低于90分按考核办法扣除月度考核经费，月度考核经费为=（1-月度考核平均分/90）*服务检查考核经费。</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服务检查考核经费=1个周期的合同能源管理服务费*10%。</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8.年度考核管理</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年从年度合同总服务费中计提1‰作为年度服务考核专项基金，基金由乙方自行管理，使用权归甲方。甲方根据全年月度服务满意度、运维台账、设备维保、供能保障、故障处置、人员在岗等综合考核结果，有权自主分配考核基金（仅用作现场运维相关事项的奖励与考核），提升一线服务积极性。</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调价机制</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①能源单价变化</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基准能源单价：</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品目01 迈皋桥院区</w:t>
      </w:r>
      <w:r>
        <w:rPr>
          <w:rFonts w:ascii="SimSun" w:hAnsi="SimSun" w:eastAsia="SimSun" w:cs="SimSun"/>
          <w:color w:val="000000"/>
          <w:sz w:val="24"/>
          <w:highlight w:val="white"/>
        </w:rPr>
        <w:t xml:space="preserve">0.7306</w:t>
      </w:r>
      <w:r>
        <w:rPr>
          <w:rFonts w:ascii="SimSun" w:hAnsi="SimSun" w:eastAsia="SimSun" w:cs="SimSun"/>
          <w:color w:val="000000"/>
          <w:sz w:val="24"/>
        </w:rPr>
        <w:t xml:space="preserve">元/kWh，气</w:t>
      </w:r>
      <w:r>
        <w:rPr>
          <w:rFonts w:ascii="SimSun" w:hAnsi="SimSun" w:eastAsia="SimSun" w:cs="SimSun"/>
          <w:color w:val="000000"/>
          <w:sz w:val="24"/>
          <w:highlight w:val="white"/>
        </w:rPr>
        <w:t xml:space="preserve">4.8453元</w:t>
      </w:r>
      <w:r>
        <w:rPr>
          <w:rFonts w:ascii="SimSun" w:hAnsi="SimSun" w:eastAsia="SimSun" w:cs="SimSun"/>
          <w:color w:val="000000"/>
          <w:sz w:val="24"/>
        </w:rPr>
        <w:t xml:space="preserve">/m³，</w:t>
      </w:r>
      <w:r/>
    </w:p>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品目02 阅江楼院区</w:t>
      </w:r>
      <w:r>
        <w:rPr>
          <w:rFonts w:ascii="SimSun" w:hAnsi="SimSun" w:eastAsia="SimSun" w:cs="SimSun"/>
          <w:color w:val="000000"/>
          <w:sz w:val="24"/>
          <w:highlight w:val="white"/>
        </w:rPr>
        <w:t xml:space="preserve">0.7263</w:t>
      </w:r>
      <w:r>
        <w:rPr>
          <w:rFonts w:ascii="SimSun" w:hAnsi="SimSun" w:eastAsia="SimSun" w:cs="SimSun"/>
          <w:color w:val="000000"/>
          <w:sz w:val="24"/>
        </w:rPr>
        <w:t xml:space="preserve">元/kWh。</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电、气价相比基准电、气价单价累计变化≥5%时，则当月起收费标准在原价格基础上进行相应调整。能源价格差额部分由甲方承担或享有，能源价格差额=当月实际能耗×（当期能源单价-基准能源单价），计算结果为负数，差额由甲方享受；计算结果为正数，差额由甲方承担。</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10.设备维保内容</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期限内，乙方负责医院锅炉和中央空调相关设备的维保，维保包含节能技改新增用能设备以及医院锅炉、冷水机组、换热机组、热水管道、水泵、空调水管系统、冷却塔、水质管理、空调末端（末端风机盘管、新风机）的操作与日常保养、故障应对，品目02包含阅区常规维修。</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内，乙方负责对所有乙方投入的设备的维修以及更换的一切费用。对于非乙方投资设备的维保和运行管理费用按照合同由乙方负责，除寿命到期或者不可抗力外，维修以及更换产生的费用由乙方承担。乙方需要更换甲方的设备，经甲方同意后，方可更换。</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具体要求如下：</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品目01 迈皋桥院区</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①离心式冷水机组</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6"/>
        <w:gridCol w:w="1540"/>
        <w:gridCol w:w="6316"/>
      </w:tblGrid>
      <w:tr>
        <w:trPr>
          <w:trHeight w:val="3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1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压缩机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6"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1.检查吸、排气温度，吸、排气过热度</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2.检查轴承、压缩机运转声音正常</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3.检查压缩机加卸载情况正常</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4.检查油位正常</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5.检查启动电流、温升正常</w:t>
            </w:r>
            <w:r/>
          </w:p>
        </w:tc>
      </w:tr>
      <w:tr>
        <w:trPr>
          <w:trHeight w:val="18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冷媒系统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6"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1.检查冷凝、蒸发温度、压力</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2.从视镜检查冷凝器、蒸发器及相关管道液位正常</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3.检查冷媒含湿量</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4.清洗蒸发器冷凝器铜管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5.更换干燥过滤器</w:t>
            </w:r>
            <w:r/>
          </w:p>
        </w:tc>
      </w:tr>
      <w:tr>
        <w:trPr>
          <w:trHeight w:val="1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6"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1.从视镜检查油色、油位正常</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2.检查油泵同时检查油过滤器是否堵塞</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3.从视镜检查冷凝器、蒸发器及相关管道液位正常</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4.检查油温、传感器、加热器</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5.检查油路有无泄漏，换油、换油过滤器</w:t>
            </w:r>
            <w:r/>
          </w:p>
        </w:tc>
      </w:tr>
      <w:tr>
        <w:trPr>
          <w:trHeight w:val="4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电气系统（启动柜）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6"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1.检查压缩机三相电压高低、稳定情况与相间平衡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2.检查机组主接触器、触点表面情况，若有必要进行更换</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3.检查空气开关脱扣性能，及其它保好的保护装置灵敏度与性能</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4.检查机组内各保险丝通断情况，检查保险丝完好程度</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5.测量压缩机对地绝缘电阻</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6.检查并紧固各接线端子、整理线缆</w:t>
            </w:r>
            <w:r/>
          </w:p>
        </w:tc>
      </w:tr>
      <w:tr>
        <w:trPr>
          <w:trHeight w:val="20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电气系统（电控柜）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6"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1.检查机组微电脑显示屏是否正常显示</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2.检查机组进出水温、蒸发压力、冷凝压力、排气温度等各项模拟量显示值，必要时对故障元件进行更换或维修</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3.检查机组设定值，包括出水温度与各项保护设定值</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4.检查并紧固各接线端子、整理线缆</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②燃气锅炉</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0"/>
        <w:gridCol w:w="2040"/>
        <w:gridCol w:w="5872"/>
      </w:tblGrid>
      <w:tr>
        <w:trPr>
          <w:trHeight w:val="5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9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锅炉运行中，重点检查、记录锅炉安全部件和转动设备的运行情况，无超压、过载，炉体无鼓包、裂纹，无液位异常。</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燃烧器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持现场清洁，做到无杂物、无积灰、无积水、无油垢；2.每季度对燃烧器清理一次，检查控制系统；3.清理燃烧器，点火电极、火焰盘、燃烧头；4.检查、调整燃气蝶阀、空气蝶阀；5.检查、调整一次配风系统，二次配风系统；6.检测燃烧器控制程序；7.检测火焰监测回路，检查跑冒滴漏。</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电控柜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1.每季度电控设备检查一次；2.定期电控柜除尘；3.检查电器设备绝缘与接地。</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给水装置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1.自动给水装置运行正常；2.水泵保养参照泵组保养项目。</w:t>
            </w:r>
            <w:r/>
          </w:p>
        </w:tc>
      </w:tr>
      <w:tr>
        <w:trPr>
          <w:trHeight w:val="2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短期停炉：可采用湿保养法：停炉后，将炉水加满，将空气全部排出；2.长期停炉：采用干保养法：停炉后将炉水放掉，打开下部手孔，吹干锅内积水，并通过下部手孔处，投入干燥剂，且应定期更换，开始可每月检查更换—次，以后可三个月一次。</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③风冷热泵、空气源热泵</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4"/>
        <w:gridCol w:w="1986"/>
        <w:gridCol w:w="5907"/>
      </w:tblGrid>
      <w:tr>
        <w:trPr>
          <w:trHeight w:val="5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机组状况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检查保温棉、减震器、主要结构、喷漆工作</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常规制冷剂系统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检查安全阀、管路受损情况、泄漏、湿度视液镜、吸气过热度、液体过冷度、电磁阀</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压缩机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检查油位、油情况</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蒸发器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检查水流量、水压降、加热器垫、pH值/乙二醇浓度</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风冷式冷凝器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检查阻碍气流的物体、翅片、风机与风机护网、刷翅片、检查风扇电机轴承</w:t>
            </w:r>
            <w:r/>
          </w:p>
        </w:tc>
      </w:tr>
      <w:tr>
        <w:trPr>
          <w:trHeight w:val="1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检查面板条件、电源与控制系统接线、传感器位置、机械高压开关切断、所有连接线路、压缩机电流接触器、风机电流接触器/过载、感温探头/传感器校准、电机保护、接触器连接情况</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微处理器控制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检查故障历史、程序设定、高压/低压切断功能、加载/卸载功能、风机控制功能、环境温度切断功能</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④板式换热器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0"/>
        <w:gridCol w:w="2032"/>
        <w:gridCol w:w="5839"/>
      </w:tblGrid>
      <w:tr>
        <w:trPr>
          <w:trHeight w:val="3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7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板块内部结垢的检查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水中杂质过多时配置过滤器并且经常性拆洗，如果循环水的硬度偏高，应预先进行软化。</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换热器板片、垫片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采取压紧或更换板片的办法，同时按本标准的换热器的维修作业所列相关步骤和要求进行。</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换热器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1.关闭进出阀口，放空换热内的介质；</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2.将夹紧螺栓松开到固定尺寸的1.15倍。</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⑤空调、卫热水泵</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9"/>
        <w:gridCol w:w="1674"/>
        <w:gridCol w:w="6179"/>
      </w:tblGrid>
      <w:tr>
        <w:trPr>
          <w:trHeight w:val="3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3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润滑油添加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检查油面、油质、油乳化、油无杂质；添加或更换新润滑油。</w:t>
            </w:r>
            <w:r/>
          </w:p>
        </w:tc>
      </w:tr>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螺栓、连接件检查及更换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检查及更换紧固螺栓及连接件。</w:t>
            </w:r>
            <w:r/>
          </w:p>
        </w:tc>
      </w:tr>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填料轴封维护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1.检查填料式轴封漏水量；2.紧固轴封的填料压盖螺栓或更换成不锈钢螺栓螺帽；3.采用柔性石墨盘根填紧填料式轴封。</w:t>
            </w:r>
            <w:r/>
          </w:p>
        </w:tc>
      </w:tr>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机械轴封维护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更换泄漏量大于10ml/h或轴套表面波纹状磨损的轴封。更换橡胶O型圈。</w:t>
            </w:r>
            <w:r/>
          </w:p>
        </w:tc>
      </w:tr>
      <w:tr>
        <w:trPr>
          <w:trHeight w:val="3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润滑油更换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更换润滑油、清洗油箱。对油箱轴封维护、更换。</w:t>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润滑油脂更换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1.更换润滑脂、清洗轴承座和清除废油脂。2.对油嘴润滑脂的强力充注。3.对超出时限的润滑脂彻底清除、更换。</w:t>
            </w:r>
            <w:r/>
          </w:p>
        </w:tc>
      </w:tr>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解体检修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对泵壳、叶轮内外面、叶轮流道、密封环、主轴等处清洗、除垢、更换、调整、油漆。</w:t>
            </w:r>
            <w:r/>
          </w:p>
        </w:tc>
      </w:tr>
      <w:tr>
        <w:trPr>
          <w:trHeight w:val="3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对电机，控制系统，变频装置等常规检查。</w:t>
            </w:r>
            <w:r/>
          </w:p>
        </w:tc>
      </w:tr>
      <w:tr>
        <w:trPr>
          <w:trHeight w:val="4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电器检修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对电机、低压电器、连接线、连接端子、接地、绝缘等检修。</w:t>
            </w:r>
            <w:r/>
          </w:p>
        </w:tc>
      </w:tr>
      <w:tr>
        <w:trPr>
          <w:trHeight w:val="4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泵体除垢刷漆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对泵内外除锈刷漆。</w:t>
            </w:r>
            <w:r/>
          </w:p>
        </w:tc>
      </w:tr>
      <w:tr>
        <w:trPr>
          <w:trHeight w:val="3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压力表校对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对水泵进出口压力校对及检修。</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⑥冷却塔（制冷季每月一次，制冷季结束拆除电机皮带）</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2316"/>
        <w:gridCol w:w="5618"/>
      </w:tblGrid>
      <w:tr>
        <w:trPr>
          <w:trHeight w:val="5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3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通风装置紧固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电机、风机减速装置和连接螺栓的紧固。</w:t>
            </w:r>
            <w:r/>
          </w:p>
        </w:tc>
      </w:tr>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风机皮带调整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1.对皮带的平行度、松紧度的调整；2.对皮带受力均匀检查。</w:t>
            </w:r>
            <w:r/>
          </w:p>
        </w:tc>
      </w:tr>
      <w:tr>
        <w:trPr>
          <w:trHeight w:val="4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风机叶片检查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1.风机、叶片腐蚀及受损检查；2.风机叶片角度的检查；3.风机叶片固定螺栓的检查；4.风机动静平衡检查；5.风机叶片与排风洞的间隙检查；6.风机震动与噪声检查。</w:t>
            </w:r>
            <w:r/>
          </w:p>
        </w:tc>
      </w:tr>
      <w:tr>
        <w:trPr>
          <w:trHeight w:val="9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布水装置清洗及维护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1.布水速度的检查；2.布水器的漏水检查；3.布水孔清洗；4.布水管出水与填料夹角角度检查；5.布水管与壳体周边间隙检查；6.布水管与填料间布水高度的检查。</w:t>
            </w:r>
            <w:r/>
          </w:p>
        </w:tc>
      </w:tr>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填料清洗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1.填料的破损检查；2.填料油污、泥垢、菌藻检查清洗；3.其它杂物及漂浮物的检查清洗。</w:t>
            </w:r>
            <w:r/>
          </w:p>
        </w:tc>
      </w:tr>
      <w:tr>
        <w:trPr>
          <w:trHeight w:val="3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减速器加油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1.按规定加油；2.检查油面高度及油质；3.杜绝漏油。</w:t>
            </w:r>
            <w:r/>
          </w:p>
        </w:tc>
      </w:tr>
      <w:tr>
        <w:trPr>
          <w:trHeight w:val="5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水盘清洗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1.油污清洗；2.泥垢、菌藻清洗；3.排放污水；4.清扫水盘。</w:t>
            </w:r>
            <w:r/>
          </w:p>
        </w:tc>
      </w:tr>
      <w:tr>
        <w:trPr>
          <w:trHeight w:val="3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减速器换油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按保养要求更换润滑油。</w:t>
            </w:r>
            <w:r/>
          </w:p>
        </w:tc>
      </w:tr>
      <w:tr>
        <w:trPr>
          <w:trHeight w:val="3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风机轴承换油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按保养要求强制性更换润滑脂。</w:t>
            </w:r>
            <w:r/>
          </w:p>
        </w:tc>
      </w:tr>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电机绝缘检测及机械维护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1.电器、电机的常规检测及维护；2.机械设备的常规检查及维护。</w:t>
            </w:r>
            <w:r/>
          </w:p>
        </w:tc>
      </w:tr>
      <w:tr>
        <w:trPr>
          <w:trHeight w:val="3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构件刷漆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钢构件、螺栓、支撑件、爬梯除锈更换和油漆。</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⑦空调水管</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4"/>
        <w:gridCol w:w="2254"/>
        <w:gridCol w:w="5534"/>
      </w:tblGrid>
      <w:tr>
        <w:trPr>
          <w:trHeight w:val="3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10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管道保温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1.检查保温层脱落、破损、翻翘情况；2.保温层连接处泄漏情况；3.保温层的衰老、变质情况的检查；4.维修后复原。</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自动排气阀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1.检查工作情况；2.排气阀的清洗及除垢。</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管道除锈刷漆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按保养要求除锈刷漆。</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凝水检查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1.检查凝水管及支管安装质量及排水通畅；2.凝水管微生物及结垢检查。</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阀门除锈刷漆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1.按规定要求除锈刷漆；2.检查开启度；3.检查完好情况。</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阀杆涂油（室内）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按保养要求涂油，并检测启闭灵活性。</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阀杆涂油（室外）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按保养要求涂油，并检测启闭灵活性。</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电动阀内变速箱换油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按保养要求更换润滑油并注意油质及油面高度。</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电动阀门保养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1.电机电器及控制系统的保养；2.阀门的机械常规保养。</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自动阀门检查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检查阀门的灵活性和可靠性。</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冷冻水过滤器清洗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按照运行要求拆卸清洗。</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冷却水过滤器清洗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按照运行要求拆卸清洗</w:t>
            </w:r>
            <w:r/>
          </w:p>
        </w:tc>
      </w:tr>
      <w:tr>
        <w:trPr>
          <w:trHeight w:val="10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膨胀水箱维护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1.进水浮球阀维护；2.溢水口和溢水管的检查；3.排污阀的检查；4.膨胀管的检查；5.信号管的检查；6.保温层的检查。</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膨胀水箱刷漆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按保养要求对膨胀水箱内外壁的除锈刷漆。</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支撑件除锈刷漆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按保养要求对支承件除锈刷漆。</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⑧水质管理</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9"/>
        <w:gridCol w:w="1966"/>
        <w:gridCol w:w="6026"/>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冷却水水质检查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掌握水质状况，对pH值、电导率、浊度、硬度进行检验。</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冷却水杀菌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采用化学药剂定期投放，去除菌藻繁殖。</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冷却水防垢除垢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采用人工清洗、化学处理等手段防垢、除垢。</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空调水水质检查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对空调水的pH值、电导率、浊度、硬度进行检验。</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空调水防垢除垢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采用人工清洗、化学处理等手段防垢、除垢。</w:t>
            </w:r>
            <w:r/>
          </w:p>
        </w:tc>
      </w:tr>
      <w:tr>
        <w:trPr>
          <w:trHeight w:val="93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对冷温水管路空调水pH值、硬度定期检测，每年1次加药处理，确保水质合格，保证空调效果</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⑨组合式空调箱</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5"/>
        <w:gridCol w:w="1894"/>
        <w:gridCol w:w="5892"/>
      </w:tblGrid>
      <w:tr>
        <w:trPr>
          <w:trHeight w:val="2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风门调节阀检修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1.检查各风门调节阀开关功能、自身安装牢固性、密闭性；</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2.对调节阀加油；3.检查自动装置的可靠性；4.检查轴柄处密封性；5.噪声检测；6.震动检测。</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初效过滤器清洗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吸尘器清吸或强力水冲洗。有油污，可采用化学清洗。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中效过滤器清洗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吸尘器清吸或强力水冲洗。有油污，可采用化学清洗。</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表冷器检修清洗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表冷器维护及清洁，如表面有油污或尾部有腐蚀现象，则采用合适的清洗剂进行化学清洗。</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挡水板检修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对挡水板的锈蚀、折断、倒置、破损等故障进行维护、更换等。</w:t>
            </w:r>
            <w:r/>
          </w:p>
        </w:tc>
      </w:tr>
      <w:tr>
        <w:trPr>
          <w:trHeight w:val="2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接水盘清洗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对接水盘清洁、消毒、除藻、下水、保温。</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风机机械保养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皮带松紧度检查及调整。连接螺母的检查；基础与机架的检查；风机与电机的连接；减震装置的受力检查；润滑油的检查与添加；润滑脂检查与添加；风机的机械检查。</w:t>
            </w:r>
            <w:r/>
          </w:p>
        </w:tc>
      </w:tr>
      <w:tr>
        <w:trPr>
          <w:trHeight w:val="11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电器电机维修检查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1.润滑脂检查与添加；2.轴承检查；3.电机温升的检查；4.电机的绝缘检查；5.接线盒的连线检查；6.电缆检查；7.启动箱及控制装置的检查；8.地脚螺栓的紧固检查；9.电器装置的常规检查。</w:t>
            </w:r>
            <w:r/>
          </w:p>
        </w:tc>
      </w:tr>
      <w:tr>
        <w:trPr>
          <w:trHeight w:val="2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箱体卫生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箱体的内外部卫生清扫、清洗及消毒。</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箱体漏风检查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1.各工作段连接处检查；2.检查口检查；3.人孔的检查；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4.静压箱的检查；5.帆布软接头检查。</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检查孔检查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1.检查密封条；2.孔门的检查；3.孔门锁的检查；4.检查锈蚀；5.检查铰链。</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保温检查及除锈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1.检查保温层是否脱落、破损；2.检查吸水量；3.外壳及基础、钢构件的除锈。</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进水过滤器清洗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1.拆卸清洗过滤网；2.过滤器阀体除垢；3.密封件的检查。</w:t>
            </w:r>
            <w:r/>
          </w:p>
        </w:tc>
      </w:tr>
      <w:tr>
        <w:trPr>
          <w:trHeight w:val="1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喷雾室检修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1.喷头的拆卸、清洗、更换；2.喷水方向及角度的调整；</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3.挡水板的检测；4.浮球阀的检测；5.溢流口及溢流管道的检测；6.二次泵过滤器的检测；7.二次水泵的检测；8.加热、加湿装置的检修。</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⑩风机盘管清洗及服务内容（维保频率：每年四次）</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1"/>
        <w:gridCol w:w="941"/>
        <w:gridCol w:w="7882"/>
      </w:tblGrid>
      <w:tr>
        <w:trPr>
          <w:trHeight w:val="3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接水盘清洗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采用水冲洗，污水由排水管排出；或采用压力水（压缩空气）清洗、吹污排水管；滴水盘再用消毒水刷洗一遍。</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盘管清洗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采用吸尘器清吸，或用水冲洗；对油污或化学污染则要采用清洗剂清洗；特殊情况采用整体拆卸清洗。</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过滤网、风口清洗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1.采取吸尘器清理方式或拆下过滤网用加压清水冲洗；2.对有油污的采用化学清洗剂的方式清洁；3.对回风口、出风口清洁，特殊情况随时清洗、清洁。</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风机叶轮清洗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1.采用小型强力吸尘器清洁；2.拆卸清洗。 </w:t>
            </w: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水过滤器清洗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采用清水冲洗过滤器的同时，对盘管用压力水反冲清洗。</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保温层检查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检查修理保温层，对损坏、脱胶翻卷处及时修补。</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电器检修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电器元件及线路常规检查。</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电磁阀检查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电磁阀检修，主要检测电磁阀的启闭正常，关闭严密。</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风堵开关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检查动作是否正常。</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噪音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检查1、2、3挡风机噪音过大的原因。</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电机常规电气检查</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叶轮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检查叶轮变形情况，如变形立即修复</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⑪太阳能系统</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8"/>
        <w:gridCol w:w="1831"/>
        <w:gridCol w:w="5942"/>
      </w:tblGrid>
      <w:tr>
        <w:trPr>
          <w:trHeight w:val="1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太阳能集热器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1.避免太阳能集热系统在运行中发生空晒和闷晒现象；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2.集热器的清洗和除垢，半年至一年擦洗一次。</w:t>
            </w:r>
            <w:r/>
          </w:p>
        </w:tc>
      </w:tr>
      <w:tr>
        <w:trPr>
          <w:trHeight w:val="21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太阳能储热系统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1.定期检查贮水箱的密封性和保温层，如发现破坏，及时修补；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2.定期检查贮水箱的补水阀、安全阀、液位控制器和排气装置工作是否正常，防止空气进入；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3.定期检查是否有异物进入贮水箱，防止循环管道被堵塞；</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4.定期清除贮水箱内的水垢，每半年至一年清理一次。</w:t>
            </w:r>
            <w:r/>
          </w:p>
        </w:tc>
      </w:tr>
      <w:tr>
        <w:trPr>
          <w:trHeight w:val="1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太阳能管路系统维护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1.保证管道保温层和表面防潮层不能有破损或者脱落，防止产生热桥和结露滴水现象；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2.保证管道内没有空气，防止热水气堵而无法输送到各个配水点；</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3.保证系统管道通畅，定期冲洗系统，防止沉积锈垢堵塞管道。</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系统清洗与除垢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1.物理法和化学法定期除垢；</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2.系统根据运行情况定期清洗。</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品目02 阅江楼院区</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①配电房</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1.承担配电房设备操作与日常保养，保证设备完好率。日常记录及保管：应满足运营要求，记录详细完整，可随时备查。</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配电室及值班室清洁，保持屋内亮度适中，墙面地面无渗漏水现象，无易燃易爆、杂物等堆放。检查桥架孔洞、墙洞封堵是否脱落，能达到防火、防水、防小动物等要求。各元器件运行状态良好。各切换装置、指示灯、空开等状态符合当前运行要求。</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3.对高压工具及用具进行安全检测并做好记录。根据配电系统配置每月对各用电区域的电力能耗进行统计，并做能耗分析。</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值班人员做到熟悉医院配电房操作流程及时发现故障，严格按照操作规程进行停复电操作及时处理故障。供电部门通知计划停电时值班人员负责通知相关领导并通知重要用电单元。值班人员应本着节约用电的原则，最佳提高配电系统的功率因素，确保设备最合理运行。</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5.接受医院、供电公司等部门的考核和监督管理。</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②风冷热泵、空气源热泵</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4"/>
        <w:gridCol w:w="1880"/>
        <w:gridCol w:w="6036"/>
      </w:tblGrid>
      <w:tr>
        <w:trPr>
          <w:trHeight w:val="2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机组状况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检查保温棉、减震器、主要结构、喷漆工作</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常规制冷剂系统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检查安全阀、管路受损情况、泄漏、湿度视液镜、吸气过热度、液体过冷度、电磁阀</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压缩机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检查油位、油情况</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蒸发器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检查水流量、水压降、加热器垫、pH值/乙二醇浓度</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风冷式冷凝器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检查阻碍气流的物体、翅片、风机与风机护网、刷翅片、检查风扇电机轴承</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检查面板条件、电源与控制系统接线、传感器位置、机械高压开关切断、所有连接线路、压缩机电流接触器、风机电流接触器/过载、感温探头/传感器校准、电机保护、接触器连接情况</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微处理器控制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检查故障历史、程序设定、高压/低压切断功能、加载/卸载功能、风机控制功能、环境温度切断功能</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③空调水管</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4"/>
        <w:gridCol w:w="2254"/>
        <w:gridCol w:w="5534"/>
      </w:tblGrid>
      <w:tr>
        <w:trPr>
          <w:trHeight w:val="3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10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管道保温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1.检查保温层脱落、破损、翻翘情况；2.保温层连接处泄漏情况；3.保温层的衰老、变质情况的检查；4.维修后复原。</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自动排气阀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1.检查工作情况；2.排气阀的清洗及除垢。</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管道除锈刷漆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按保养要求除锈刷漆。</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凝水检查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1.检查凝水管及支管安装质量及排水通畅；2.凝水管微生物及结垢检查。</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阀门除锈刷漆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1.按规定要求除锈刷漆；2.检查开启度；3.检查完好情况。</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阀杆涂油（室内）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按保养要求涂油，并检测启闭灵活性。</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阀杆涂油（室外）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按保养要求涂油，并检测启闭灵活性。</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电动阀内变速箱换油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按保养要求更换润滑油并注意油质及油面高度。</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电动阀门保养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1.电机电器及控制系统的保养；2.阀门的机械常规保养。</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自动阀门检查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检查阀门的灵活性和可靠性。</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冷冻水过滤器清洗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按照运行要求拆卸清洗。</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支撑件除锈刷漆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按保养要求对支承件除锈刷漆。</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④水质管理</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5"/>
        <w:gridCol w:w="1916"/>
        <w:gridCol w:w="5882"/>
      </w:tblGrid>
      <w:tr>
        <w:trPr>
          <w:trHeight w:val="7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空调水水质检查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对空调水的pH值、电导率、浊度、硬度进行检验。</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空调水防垢除垢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采用人工清洗、化学处理等手段防垢、除垢。</w:t>
            </w:r>
            <w:r/>
          </w:p>
        </w:tc>
      </w:tr>
      <w:tr>
        <w:trPr>
          <w:trHeight w:val="55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对冷温水管路空调水pH值、硬度定期检测，每年1次加药处理，确保水质合格，保证空调效果。</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⑤水泵维护内容</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2"/>
        <w:gridCol w:w="1687"/>
        <w:gridCol w:w="6012"/>
      </w:tblGrid>
      <w:tr>
        <w:trPr>
          <w:trHeight w:val="4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润滑油添加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检查油面、油温、油质、油乳化、油无杂质；添加或更换新润滑油。</w:t>
            </w:r>
            <w:r/>
          </w:p>
        </w:tc>
      </w:tr>
      <w:tr>
        <w:trPr>
          <w:trHeight w:val="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螺栓、连接件检查及更换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检查及更换紧固螺栓及连接件。 </w:t>
            </w:r>
            <w:r/>
          </w:p>
        </w:tc>
      </w:tr>
      <w:tr>
        <w:trPr>
          <w:trHeight w:val="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填料轴封维护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1.检查填料式轴封漏水量；2.紧固轴封的填料压盖螺栓或更换成不锈钢螺栓螺帽；3.采用柔性石墨盘根填紧填料式轴封。</w:t>
            </w:r>
            <w:r/>
          </w:p>
        </w:tc>
      </w:tr>
      <w:tr>
        <w:trPr>
          <w:trHeight w:val="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机械轴封维护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更换泄漏量大于10ml/h或轴套表面波纹状磨损的轴封。更换橡胶O型圈。</w:t>
            </w:r>
            <w:r/>
          </w:p>
        </w:tc>
      </w:tr>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润滑油更换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更换润滑油、清洗油箱。对油箱轴封维护、更换。</w:t>
            </w:r>
            <w:r/>
          </w:p>
        </w:tc>
      </w:tr>
      <w:tr>
        <w:trPr>
          <w:trHeight w:val="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润滑油脂更换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1.更换润滑脂、清洗轴承座和清除废油脂。2.对油嘴润滑脂的强力充注。3.对超出时限的润滑脂彻底清除、更换。</w:t>
            </w:r>
            <w:r/>
          </w:p>
        </w:tc>
      </w:tr>
      <w:tr>
        <w:trPr>
          <w:trHeight w:val="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解体检修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对泵壳、叶轮内外面、叶轮流道、密封环、主轴等处清洗、除垢、更换、调整、油漆。</w:t>
            </w:r>
            <w:r/>
          </w:p>
        </w:tc>
      </w:tr>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电气检查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对电机，控制系统，变频装置等常规检查。</w:t>
            </w:r>
            <w:r/>
          </w:p>
        </w:tc>
      </w:tr>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电气检修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对电机、低压电器、连接线、连接端子、接地、绝缘等检修。</w:t>
            </w:r>
            <w:r/>
          </w:p>
        </w:tc>
      </w:tr>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泵体除垢刷漆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对泵内外除锈刷漆。</w:t>
            </w:r>
            <w:r/>
          </w:p>
        </w:tc>
      </w:tr>
      <w:tr>
        <w:trPr>
          <w:trHeight w:val="8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压力表状态检查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检查压力表指示是否正确、无跑冒滴漏。</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⑥风机盘管清洗及服务内容（维保频率：每年四次）</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1"/>
        <w:gridCol w:w="941"/>
        <w:gridCol w:w="7882"/>
      </w:tblGrid>
      <w:tr>
        <w:trPr>
          <w:trHeight w:val="3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接水盘清洗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采用水冲洗，污水由排水管排出；或采用压力水（压缩空气）清洗、吹污排水管；滴水盘再用消毒水刷洗一遍。</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盘管清洗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采用吸尘器清吸，或用水冲洗；对油污或化学污染则要采用清洗剂清洗；特殊情况采用整体拆卸清洗。</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过滤网、风口清洗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1.采取吸尘器清理方式或拆下过滤网用加压清水冲洗；2.对有油污的采用化学清洗剂的方式清洁；3.对回风口、出风口清洁，特殊情况随时清洗、清洁。</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风机叶轮清洗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1.采用小型强力吸尘器清洁；2.拆卸清洗。 </w:t>
            </w: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水过滤器清洗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采用清水冲洗过滤器的同时，对盘管用压力水反冲清洗。</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保温层检查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检查修理保温层，对损坏、脱胶翻卷处及时修补。</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电器检修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电器元件及线路常规检查。</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电磁阀检查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电磁阀检修，主要检测电磁阀的启闭正常，关闭严密。</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风堵开关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检查动作是否正常。</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噪音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检查1、2、3挡风机噪音过大的原因。</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电机常规电气检查</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叶轮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检查叶轮变形情况，如变形立即修复</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⑦蒸汽压力锅炉维护内容（节能改造完成前适用）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5"/>
        <w:gridCol w:w="1862"/>
        <w:gridCol w:w="5950"/>
      </w:tblGrid>
      <w:tr>
        <w:trPr>
          <w:trHeight w:val="2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锅炉运行中，重点检查、记录锅炉安全部件和转动设备的运行情况，无超压、过载，炉体无鼓包、裂纹，无液位异常。</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燃烧器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持现场清洁，做到无杂物、无积灰、无积水、无油垢；2.每季度对燃烧器清理一次，检查控制系统；3.清理燃烧器，点火电极、火焰盘、燃烧头；4.检查、调整燃气蝶阀、空气蝶阀；5.检查、调整一次配风系统，二次配风系统；6.检测燃烧器控制程序；7.检测火焰监测回路，检查跑冒滴漏。</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电控柜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1.每季度电控设备检查一次；2.定期电控柜除尘；3.检查电器设备绝缘与接地。</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给水装置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1.自动给水装置运行正常；2.水泵保养参照泵组保养项目。</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月水处理设备检查一次，锅炉运行期间每天水质化验一次；2.定期对低水位切断装置进行检查保养及清洗；3.水位控制器每月至少清洗一次，水位表每天至少冲洗一次；4.水位表冲洗应处于最高水位；5.冲洗后水位不低于最低安全水位，如一次冲洗不净，可多次冲洗，但必须最高水位时冲洗；6.定期排污操作，每天（每班）至少一次，排污后应检查排污阀是否因污物影响而有泄漏现象，如有则必须予以排除。</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炉膛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1.定期打开前后门盖，刷除或吹除烟管积灰；2.检查烟管结垢情况并清理。</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短期停炉：可采用湿保养法：停炉后，将炉水加满，将空气全部排出；2.长期停炉：采用干保养法：停炉后将炉水放掉，打开下部手孔，吹干锅内积水，并通过下部手孔处，投入干燥剂，且应定期更换，开始可每月检查更换—次，以后可三个月一次；3.停炉而没有保持蒸汽压力时，锅炉蒸汽空间会产生负压而滞留空气，因此再次升火燃烧时应先打开总汽阀。</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⑧容积式换热器维护内容（节能改造完成前适用）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7"/>
        <w:gridCol w:w="661"/>
        <w:gridCol w:w="8346"/>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10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罐体、管道密封性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1.蒸汽管道、热水管道、罐体无泄漏；2.主体运行未超压，罐体无鼓包、裂纹，无局部高温现象；3.通过听棒等设备判断罐体内是否异响，确认换热器内部是否存在异常震动、摩擦。</w:t>
            </w:r>
            <w:r/>
          </w:p>
        </w:tc>
      </w:tr>
      <w:tr>
        <w:trPr>
          <w:trHeight w:val="1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换热器温度、压力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换热器一次侧、二次侧温度、压力，一次侧入口压力不超过0.4MPa，二次侧出口温度不超过60℃（温度过高加速结垢，影响设备换热效率）；2.压力异常应考虑拆洗入口过滤器，确保系统通畅；3.检查管束、罐体是否结垢。</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管道、罐体保温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检查完好情况，修复损坏的保温，确保换热效率。</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凝水检查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1.检查疏水阀、凝水管及支管安装质量及排水通畅；2．按要求拆洗疏水阀组过滤器。</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阀门除锈刷漆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1.按规定要求除锈刷漆；2.检查开启度；3.检查完好情况。</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电动阀门保养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1.电机电器及控制系统的保养，控制系统稳定性的确认；2.阀门的机械常规保养。</w:t>
            </w:r>
            <w:r/>
          </w:p>
        </w:tc>
      </w:tr>
      <w:tr>
        <w:trPr>
          <w:trHeight w:val="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水箱保温保养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6"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1.按保养要求对水箱除锈刷漆；2.检查完好情况，修复损坏的保温。</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三、甲方义务</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1.保证按时向乙方交纳本合同约定的合同能源管理服务费。</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协助乙方办理甲方燃气和电费分割手续，实际每月产生的燃气费、电费由乙方承担并直接支付给燃气公司、电力公司，发票抬头为乙方。为了便于管理及核算项目节能量，能源过户时双方应确定各计量仪表的过户数量、覆盖范围、计量底数及仪表编码等。</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3.保证对项目建筑拥有合法、全面的所有权或使用权。</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4.向乙方提供建筑及空调系统图纸等相关技术资料，提供标准机房建设所需场地，以便乙方运行管理。</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5.有新增/减设备或面积的需提前向乙方提供增/减设备或面积情况的书面记录。</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四、乙方义务</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1.负责建筑能源系统的运行管理，建设标准机房，确保按时按标准提供能源服务。</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2.乙方负责院内合同范围内设备设施的管理与运行，并接受甲方监督，定期向甲方提供设备维护、更新情况记录。</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3.发现有私自拆、改、破坏能源系统的行为时及时上报甲方，并马上采取措施制止，若严重威胁到能源系统的可暂停服务。</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4.乙方应对能源使用、设备维保进行检查和监督，制止能源浪费行为。</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5.乙方投资的设备、工程等在合同期内的维保及质量问题由乙方负责。</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6.因乙方未按期缴纳电气费，导致甲方断电断天然气事故或造成其他损失的，责任由乙方承担，但不可抗力或甲方有违约行为的除外。</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负责乙方人员的安全管理，在合同履行期内，因乙方原因出现的安全（工伤）事故由乙方承担，乙方原因造成甲方、第三方人身及财产等损失的，概由乙方承担。乙方运营人员的安全、工资等相关待遇由乙方负责，其他安全事宜详见合同附件《外协单位安全管理责任承诺书》。</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8.乙方不得将该服务转包。</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五、违约规定和责任</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1.在甲方无违约行为情况下，如乙方未按标准提供能源服务，每发生1天，按当年合同能源管理服务费总额1‰支付违约金。</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乙方无违约行为的情况下，如甲方不按时付款或未按《空调系统管理交接书》约定日期或超出最迟交付运营时间将空调系统交由乙方运营，每延期1天，按当年合同能源管理服务费总额1‰支付违约金，运营期限以乙方实际运营日起算。</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3.在对方无违约行为情况下，任何一方要求解除合同，按合同能源管理服务费一年度合同价的20%支付违约金，并赔偿对方全部损失。</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4.一方出现违约行为，经另一方催告后30天仍未履行义务，另一方有权解除合同并要求违约方按本条第3款承担违约责任。</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5.如违背保密要求，违约方按本条第3款承担违约责任，并承担由此引起的其他法律责任。</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六、其他约定</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1.合同款按照电汇形式汇入乙方指定账户。</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w:t>
      </w:r>
      <w:r>
        <w:rPr>
          <w:rFonts w:ascii="SimSun" w:hAnsi="SimSun" w:eastAsia="SimSun" w:cs="SimSun"/>
          <w:color w:val="000000"/>
          <w:sz w:val="24"/>
          <w:u w:val="single"/>
        </w:rPr>
        <w:t xml:space="preserve">  6  </w:t>
      </w:r>
      <w:r>
        <w:rPr>
          <w:rFonts w:ascii="SimSun" w:hAnsi="SimSun" w:eastAsia="SimSun" w:cs="SimSun"/>
          <w:color w:val="000000"/>
          <w:sz w:val="24"/>
        </w:rPr>
        <w:t xml:space="preserve">份，甲方执</w:t>
      </w:r>
      <w:r>
        <w:rPr>
          <w:rFonts w:ascii="SimSun" w:hAnsi="SimSun" w:eastAsia="SimSun" w:cs="SimSun"/>
          <w:color w:val="000000"/>
          <w:sz w:val="24"/>
          <w:u w:val="single"/>
        </w:rPr>
        <w:t xml:space="preserve"> 3  </w:t>
      </w:r>
      <w:r>
        <w:rPr>
          <w:rFonts w:ascii="SimSun" w:hAnsi="SimSun" w:eastAsia="SimSun" w:cs="SimSun"/>
          <w:color w:val="000000"/>
          <w:sz w:val="24"/>
        </w:rPr>
        <w:t xml:space="preserve">份，乙方执</w:t>
      </w:r>
      <w:r>
        <w:rPr>
          <w:rFonts w:ascii="SimSun" w:hAnsi="SimSun" w:eastAsia="SimSun" w:cs="SimSun"/>
          <w:color w:val="000000"/>
          <w:sz w:val="24"/>
          <w:u w:val="single"/>
        </w:rPr>
        <w:t xml:space="preserve">  3  </w:t>
      </w:r>
      <w:r>
        <w:rPr>
          <w:rFonts w:ascii="SimSun" w:hAnsi="SimSun" w:eastAsia="SimSun" w:cs="SimSun"/>
          <w:color w:val="000000"/>
          <w:sz w:val="24"/>
        </w:rPr>
        <w:t xml:space="preserve">份，双方签字并盖章后生效。</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3.双方同意，如因本合同履行产生争议，本合同所示联系地址可作为函件及诉讼（含仲裁）所有程序（包括一审、二审、再审、执行等程序）中相关法律文书的有效送达地址，按该地址送达即视为有效送达。</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4.其他未尽事宜，双方本着友好协商的原则协商解决；协商不成，提交甲方所在地法院提起诉讼解决。</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13"/>
        <w:gridCol w:w="2588"/>
        <w:gridCol w:w="2013"/>
        <w:gridCol w:w="274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甲 方 单 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88"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乙 方 单 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4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      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88"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      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4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委托代理人</w:t>
            </w:r>
            <w:r>
              <w:rPr>
                <w:rFonts w:ascii="SimSun" w:hAnsi="SimSun" w:eastAsia="SimSun" w:cs="SimSun"/>
                <w:color w:val="000000"/>
                <w:spacing w:val="-8"/>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88"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委托代理人</w:t>
            </w:r>
            <w:r>
              <w:rPr>
                <w:rFonts w:ascii="SimSun" w:hAnsi="SimSun" w:eastAsia="SimSun" w:cs="SimSun"/>
                <w:color w:val="000000"/>
                <w:spacing w:val="-8"/>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4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88"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4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88"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4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开  户  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88"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开  户  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4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税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88"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税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4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88"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4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合同签署时间：</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88"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13"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合同签署时间：</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41"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年    月    日</w:t>
            </w:r>
            <w:r/>
          </w:p>
        </w:tc>
      </w:tr>
    </w:tbl>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120" w:after="160" w:line="360" w:lineRule="atLeast"/>
        <w:pBdr>
          <w:top w:val="none" w:color="000000" w:sz="4" w:space="0"/>
          <w:left w:val="none" w:color="000000" w:sz="4" w:space="0"/>
          <w:bottom w:val="none" w:color="000000" w:sz="4" w:space="0"/>
          <w:right w:val="none" w:color="000000" w:sz="4" w:space="0"/>
        </w:pBdr>
      </w:pPr>
      <w:r>
        <w:br w:type="page" w:clear="all"/>
      </w:r>
      <w:r/>
    </w:p>
    <w:p>
      <w:pPr>
        <w:ind w:left="0" w:right="55"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合同附件：外协单位安全管理责任承诺书</w:t>
      </w:r>
      <w:r/>
    </w:p>
    <w:p>
      <w:pPr>
        <w:ind w:left="0" w:right="0" w:firstLine="0"/>
        <w:jc w:val="center"/>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外协单位安全管理责任承诺书</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南京医科大学第二附属医院</w:t>
      </w:r>
      <w:r>
        <w:rPr>
          <w:rFonts w:ascii="SimSun" w:hAnsi="SimSun" w:eastAsia="SimSun" w:cs="SimSun"/>
          <w:color w:val="000000"/>
          <w:sz w:val="21"/>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现场负责人：</w:t>
      </w:r>
      <w:r>
        <w:rPr>
          <w:rFonts w:ascii="SimSun" w:hAnsi="SimSun" w:eastAsia="SimSun" w:cs="SimSun"/>
          <w:color w:val="000000"/>
          <w:sz w:val="21"/>
          <w:u w:val="single"/>
        </w:rPr>
        <w:t xml:space="preserve">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入场作业人数：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合同期限：自年月日至年月日止</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为确保进入甲方区域的外协单位工作顺利完成，防止发生生产安全事故，依据《中华人民共和国安全生产法》和相关法律法规及甲乙双方的各项规章制度，经甲、乙双方平等协商，就乙方在甲方工作期间的安全管理工作签订协议如下：</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一、乙方（即外协单位）进入甲方从事各项工作，应当严格遵守甲方的各项管理规定，并接受甲方的监督。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二、乙方接受甲方安全管理的内容包括生产安全、人身安全、设备安全、交通安全、环境保护、治安、消防等方面。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三、甲方的权利和义务</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1、甲方负责向乙方告知甲方的安全生产管理规定和相关安全注意事项。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2、甲方监督乙方是否根据双方合作合同进入甲方场地工作。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3、甲方负责对双方合作合同中有关乙方工作区域、工作内容、安全管理职责等内容进行核对确认。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 对乙方的违章操作行为或不服从甲方监督的行为，甲方有权依据甲方规定给予服务费考核，直至解除合同，所有责任均由乙方承担。</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四、乙方的权利和义务</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1、乙方应该遵守国家、地方政府制定的安全生产法律法规和安全技术规程，遵守甲方所有的规章制度，向每个工作人员传达，并留培训记录。</w:t>
      </w:r>
      <w:r/>
    </w:p>
    <w:p>
      <w:pPr>
        <w:ind w:left="0" w:right="0" w:firstLine="42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2、乙方员工自入职之日起须进行入职培训并签订《员工须知》。自觉遵守国家法律法规、公司各项规章制度和医院各项规章制度。</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3、乙方应接受甲方对乙方安全生产资质审核，按照甲方规定进行登记。</w:t>
      </w:r>
      <w:r/>
    </w:p>
    <w:p>
      <w:pPr>
        <w:ind w:left="0" w:right="0" w:firstLine="42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4、乙方员工</w:t>
      </w:r>
      <w:r>
        <w:rPr>
          <w:rFonts w:ascii="SimSun" w:hAnsi="SimSun" w:eastAsia="SimSun" w:cs="SimSun"/>
          <w:color w:val="000000"/>
          <w:sz w:val="21"/>
          <w:highlight w:val="white"/>
        </w:rPr>
        <w:t xml:space="preserve">上班时间不得私自脱岗，如需暂时离开，需经项目经理同意，项目经理安排好人员后方可离开，工作时间不准干私活，不准听音乐、玩游戏、睡觉等。严禁上班前及工作时间饮酒。</w:t>
      </w:r>
      <w:r/>
    </w:p>
    <w:p>
      <w:pPr>
        <w:ind w:left="0" w:right="0" w:firstLine="42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5、乙方严格遵守甲方不良事件上报、管理制度，对不良事件能及时进行分析，及时重塑相关流程，杜绝同类事件发生。</w:t>
      </w:r>
      <w:r/>
    </w:p>
    <w:p>
      <w:pPr>
        <w:ind w:left="0" w:right="0" w:firstLine="42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6、乙方制定相关工作的应急预案、定期组织演练、落实各项应急措施，对演练出现的各种问题进行持续性整改。</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7、乙方应该接受甲方工作区域的安全管理工作，负责对所属工作人员进行包含但不限于安全、 消防等教育和培训，指定专人负责日常安全管理工作并接受甲方监督指导：对工作区域、工作内容进行安全指导和检查，对检查发现的安全隐患，及时进行整改。如解决不力所造成的损失由乙方全部承担。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8、乙方应按照法律法规合法用工，严禁使用未成年工、有职业禁忌、患有妨碍工作病症的人员。严禁使用患有传染病、精神病的人员。严禁使用身份不明的人员。违反本规定，导致的所有后果均由乙方承担。  </w:t>
      </w:r>
      <w:r/>
    </w:p>
    <w:p>
      <w:pPr>
        <w:ind w:left="0" w:right="0" w:firstLine="57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9、乙方应严格审核委派的特种作业人员的上岗资质，所有特种作业人员应做到持证上岗，并向甲方提供相关证照资料复印件。因提供虚假资料，导致的所有责任均由乙方承担。</w:t>
      </w:r>
      <w:r/>
    </w:p>
    <w:p>
      <w:pPr>
        <w:ind w:left="0" w:right="0" w:firstLine="57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涉及到危险化学品的，需加强危险化学品存储、使用、废弃处理等环节的安全管理，严格落实各项安全管理制度及各项安全措施，相关工作人员严格执行操作规范。严防发生危化品的泄露、中毒等事故发生。因管理不善造成的一切损失由乙方承担。</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11、乙方工作中需明火作业时，须到甲方安全生产管理部门办理审批手续。乙方自备的各种机电设备、施工机械要有齐全的安全装置。违反本条导致的所有责任均由乙方承担。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12、乙方应爱护甲方的设备、物资和各种设施，因擅自动用导致的损失，由乙方负责赔偿，乙方自备的各类物资由乙方自行妥善保管，丢失、损坏等均与甲方无关。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13、 在工作过程中，甲方提供的工作区域有安全隐患，乙方有权及时要求甲方整改，否则所造成的责任后果均由乙方承担。  </w:t>
      </w:r>
      <w:r/>
    </w:p>
    <w:p>
      <w:pPr>
        <w:ind w:left="0" w:right="0" w:firstLine="42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在乙方进入甲方工作期间，因乙方人员责任或因乙方对作业现场管理不善等原因，发生生产安全事故、火灾事故、治安案件及刑事案件的，由乙方承担全部责任。对造成甲方及第三方人员伤亡、财产、名誉损失的，甲方有权进行处罚，且乙方承担由此给甲方及第三方造成的全部损失。 </w:t>
      </w:r>
      <w:r/>
    </w:p>
    <w:p>
      <w:pPr>
        <w:ind w:left="0" w:right="0" w:firstLine="57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 本协议一式贰份，甲乙各持壹份，自双方法定代表人或授权委托人签字盖章之日生效。</w:t>
      </w:r>
      <w:r/>
    </w:p>
    <w:p>
      <w:pPr>
        <w:ind w:left="0" w:right="0" w:firstLine="57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总务处负责人签字： 法定代表人/负责人签字：</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总务处（公章）：承诺单位（公章）：</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签署日期：年月日 签署日期：年月日</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1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第四章 采购需求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pStyle w:val="714"/>
        <w:ind w:left="0" w:right="0" w:firstLine="0"/>
        <w:spacing w:before="0" w:after="0" w:line="39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1、服务需求一览表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1996"/>
        <w:gridCol w:w="1117"/>
        <w:gridCol w:w="1260"/>
        <w:gridCol w:w="1838"/>
        <w:gridCol w:w="1650"/>
      </w:tblGrid>
      <w:tr>
        <w:trPr>
          <w:trHeight w:val="10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（万元/年）</w:t>
            </w:r>
            <w:r/>
          </w:p>
        </w:tc>
      </w:tr>
      <w:tr>
        <w:trPr>
          <w:trHeight w:val="7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迈皋桥院区能源管理服务项目</w:t>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17"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8年</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合同签订后立即执行</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38"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南京医科大学第二附属医院（迈皋桥院区、阅江楼院区）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810</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阅江楼院区能源管理服务项目</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2、医院概况</w:t>
      </w:r>
      <w:r/>
    </w:p>
    <w:p>
      <w:pPr>
        <w:ind w:left="0" w:right="0" w:firstLine="48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医科大学第二附属医院，暨江苏省第二红十字医院、南京医科大学第二临床医学院，创建于1951年。医院是江苏省卫生健康委员会直属的三级甲等综合医院，担负着医疗、教学、科研、公益等重要任务。医院有三个医疗院区（姜家园、萨家湾、迈皋桥院区）和一个教学院区（阅江楼院区），占地面积121亩，建筑面积26万平方米，固定资产22亿元，编制床位数2500张，职工3000余人。</w:t>
      </w:r>
      <w:r/>
    </w:p>
    <w:p>
      <w:pPr>
        <w:ind w:left="0" w:right="0" w:firstLine="482"/>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2.1 能源基准单价</w:t>
      </w:r>
      <w:r/>
    </w:p>
    <w:p>
      <w:pPr>
        <w:ind w:left="0" w:right="0" w:firstLine="48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本次项目能耗基准综合参考迈区2025年度电及天然气能耗使用量（见下表1），阅区2025年5月-2026年4月电及天然气能耗使用量（见下表2）</w:t>
      </w:r>
      <w:r>
        <w:rPr>
          <w:rFonts w:ascii="SimSun" w:hAnsi="SimSun" w:eastAsia="SimSun" w:cs="SimSun"/>
          <w:b/>
          <w:color w:val="000000"/>
          <w:sz w:val="24"/>
        </w:rPr>
        <w:t xml:space="preserve">，</w:t>
      </w:r>
      <w:r>
        <w:rPr>
          <w:rFonts w:ascii="SimSun" w:hAnsi="SimSun" w:eastAsia="SimSun" w:cs="SimSun"/>
          <w:color w:val="000000"/>
          <w:sz w:val="24"/>
          <w:highlight w:val="white"/>
        </w:rPr>
        <w:t xml:space="preserve">能源基准单价（保留4位小数）参照依据：电价：迈皋桥院区参考2025年1月至12月平均价格0.7306元/kWh（以电力公司电费核查联，全年总价除以全年总量），阅江楼院区参考2025年5月至2026年4月平均价格0.7263元/kWh（以电力公司电费核查联，全年总价除以全年总量）；天然气价：迈皋桥院区参考2025年1月至12月平均价格4.8453元/m³（以燃气费用支付发票数据进行统计，全年总价除以全年总量）。</w:t>
      </w:r>
      <w:r/>
    </w:p>
    <w:p>
      <w:pPr>
        <w:ind w:left="0" w:right="0" w:firstLine="48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0"/>
        <w:gridCol w:w="1912"/>
        <w:gridCol w:w="1779"/>
        <w:gridCol w:w="1765"/>
        <w:gridCol w:w="2649"/>
      </w:tblGrid>
      <w:tr>
        <w:trPr>
          <w:trHeight w:val="270"/>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表1  迈区基准电耗、锅炉气耗数据</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电耗（kWh）</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电费（元）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气耗（m³）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气费（元）</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556400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433525.13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288240.50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509900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375710.48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47463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232060.85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374500.56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126010.85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568900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409449.84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20628.14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649200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456007.51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9746.95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738100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525921.13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7053.61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708046.04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5484.16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933400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705172.50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5073.23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785900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572789.30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4961.16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665600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472769.74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11074.39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550300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394890.27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35164.61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592100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425306.28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31336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152606.32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8012800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5854088.78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185357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898104.75 </w:t>
            </w:r>
            <w:r/>
          </w:p>
        </w:tc>
      </w:tr>
    </w:tbl>
    <w:p>
      <w:pPr>
        <w:ind w:left="0" w:right="0" w:firstLine="0"/>
        <w:jc w:val="center"/>
        <w:spacing w:before="18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表</w:t>
      </w:r>
      <w:r>
        <w:rPr>
          <w:rFonts w:ascii="Times New Roman" w:hAnsi="Times New Roman" w:eastAsia="Times New Roman" w:cs="Times New Roman"/>
          <w:color w:val="000000"/>
          <w:sz w:val="22"/>
        </w:rPr>
        <w:t xml:space="preserve">2   </w:t>
      </w:r>
      <w:r>
        <w:rPr>
          <w:rFonts w:ascii="SimSun" w:hAnsi="SimSun" w:eastAsia="SimSun" w:cs="SimSun"/>
          <w:color w:val="000000"/>
          <w:sz w:val="22"/>
        </w:rPr>
        <w:t xml:space="preserve">阅区基准电耗、锅炉气耗数据</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1925"/>
        <w:gridCol w:w="1649"/>
        <w:gridCol w:w="1653"/>
        <w:gridCol w:w="1850"/>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电耗（kWh）</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电费（元）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燃气（m³）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燃气费（元）</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2025年5月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60870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42840.71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23535.85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2025年6月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103484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74685.32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21849.93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2025年7月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168665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127087.87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18962.34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2025年8月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176897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132035.9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19336.7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153699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112464.26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22630.46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2025年10月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85956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61723.56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26152.95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2025年11月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69925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51015.3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13936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64761.99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2025年12月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87890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65602.11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121759.74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2026年1月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93572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67763.58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150711.96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2026年2月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43882.33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94131.31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2026年3月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51259.88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18815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84125.62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2026年4月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57949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39973.52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34879.83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1198244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870334.34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147412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682838.68</w:t>
            </w:r>
            <w:r/>
          </w:p>
        </w:tc>
      </w:tr>
    </w:tbl>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2.2 调价机制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当任何一种基础能源价格相比基准能源单价累计变化（上涨/下降）≥5％时，则当月起收费标准在原价格基础上进行相应调整。能源价格差额部分由甲方承担或享有，能源价格差额=当月实际能耗×（当期能源单价-基准能源单价），计算结果为负数，此差额由甲方享受；计算结果为正数，此差额由甲方承担。注：上涨/下降率以原价格为基础计算,即价格调整包括5%部分；累计上涨/下降率＜5％时收费标准不调整。</w:t>
      </w:r>
      <w:r/>
    </w:p>
    <w:p>
      <w:pPr>
        <w:ind w:left="0" w:right="55" w:firstLine="480"/>
        <w:jc w:val="both"/>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能源供应范围发生明显变化，或中央空调供应区域供能面积、床位数及维保设备有增加或者减少，则经双方确认后，按照实际面积，床位数，在用风冷热泵、分体空调、多联机数量计算当月维护运行服务费。</w:t>
      </w:r>
      <w:r/>
    </w:p>
    <w:p>
      <w:pPr>
        <w:ind w:left="0" w:right="55" w:firstLine="480"/>
        <w:jc w:val="both"/>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费调整时，乙方向甲方出具收费变更书。此变更书在甲方签字确认之后，自动修正原合同相应条款。同时，甲、乙双方应共同对变更书公示。乙方向甲方出具收费变更书之日起10日内，如果甲方不予回应，视为甲方同意此变更。</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2.3 用能设备增减核算（迈皋桥院区）</w:t>
      </w:r>
      <w:r/>
    </w:p>
    <w:p>
      <w:pPr>
        <w:ind w:left="0" w:right="0" w:firstLine="424"/>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若增加或者减少大功率的用能设备（单个设备功率大于等于5kW），则按照该设备的实际用能情况对能源服务费用进行增加或者减少。</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2.4 迈皋桥院区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迈皋桥院区总建筑面积70415.62㎡，2022年9月份启用。制冷机房采用2台1055kW制冷量的磁悬浮主机，2台2110kW制冷量离心机。锅炉房采用5台1400kW制热量燃气冷凝锅炉用于采暖和提供卫热。屋顶太阳能金属热管集热器制取卫热，集热板面积780平方米，燃气锅炉作为卫热补充。采用全院能源总包合同能源管理模式，由中标单位投资对迈皋桥院区进行节能改造，通过中央空调、锅炉房等精细化运维操作实现节能降耗。</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迈皋桥院区机房核心设备清单</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31"/>
        <w:gridCol w:w="1248"/>
        <w:gridCol w:w="3709"/>
        <w:gridCol w:w="1131"/>
      </w:tblGrid>
      <w:tr>
        <w:trPr>
          <w:trHeight w:val="1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离心式冷水机组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制冷量：2100kW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离心式冷水机组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广州思茂特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制冷量：1055kW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燃气冷凝锅炉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Remeha B.V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制热量：1400kW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冷却塔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江苏意塔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冷却水流量520 m³/h，22kW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冷却水泵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威乐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流量550m³/h，扬程28m，功率55kW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冷却水泵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威乐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流量270m³/h，扬程28m，功率30kW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冷冻水泵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威乐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流量220m³/h，扬程34.5m，功率30kW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冷冻水泵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威乐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流量440m³/h，扬程34.5m，功率75kW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采暖一次泵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威乐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流量150m³/h，扬程15m，功率11kW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采暖二次泵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威乐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流量400m³/h，扬程27m，功率45kW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卫热一次循环泵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凯泉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流量85m³/h，扬程16m，功率5.5kW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空调补水泵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流量3m³/h，扬程47m，功率0.75kW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空调补水泵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流量10m³/h，扬程62m，功率3kW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北区太阳能循环水泵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威乐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流量28m³/h，扬程23.9m，功率3kW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高区太阳能增压泵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威乐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流量28m³/h，扬程23.9m，功率3kW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低区太阳能增压泵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威乐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流量21.5m³/h，扬程15m，功率1.5kW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东区太阳能循环水泵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威乐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功率1.5kW，电流3.32A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卫热二次循环泵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赛莱默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扬程8.6—21.2m，流量1.2—4.4m³/h，功率0.37kW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r>
    </w:tbl>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2.5 阅江楼院区</w:t>
      </w:r>
      <w:r/>
    </w:p>
    <w:p>
      <w:pPr>
        <w:ind w:left="0" w:right="0" w:firstLine="480"/>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阅江楼院区，位于南京市鼓楼区建宁路200号，总占地面积15797.51㎡，共10栋房屋，总建筑面积29016.18㎡。院区8号楼目前主要功能为学生宿舍、多媒体教室，使用面积11000㎡，配置有中央空调系统，采暖和卫热由锅炉房2台2t燃气蒸汽压力锅炉（出厂日期2011年）及热水机房2台换热包供应，制冷由2台制冷量250冷吨的特灵冷水机组（出厂日期2003年）供应，8号楼共有约370台风机盘管。由于蒸汽锅炉和冷水机组老旧，效率低、浪费大，采用中央空调及热水能源总包合同能源管理模式，通过风冷热泵+空气源热泵对其进</w:t>
      </w:r>
      <w:r>
        <w:rPr>
          <w:rFonts w:ascii="SimSun" w:hAnsi="SimSun" w:eastAsia="SimSun" w:cs="SimSun"/>
          <w:color w:val="000000"/>
          <w:sz w:val="24"/>
          <w:highlight w:val="white"/>
        </w:rPr>
        <w:t xml:space="preserve">行替换改造。并对姜家园121号供暖机房2号楼负一楼供暖系统实施改造，该院区日常能源运维、能耗托管不纳入本次服务范围。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阅江楼院区锅炉房设备</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5176"/>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蒸汽锅炉</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WNS2-1.0-Y.0</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22249</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额定蒸发量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2t/h</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额定蒸发温度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额定蒸发压力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1.0Mpa</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出厂日期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2011.7</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6"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锅炉房</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阅江楼院区中央空调机房设备</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0"/>
        <w:gridCol w:w="5188"/>
      </w:tblGrid>
      <w:tr>
        <w:trPr>
          <w:trHeight w:val="3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88"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特灵螺杆机</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8"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8"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RTHB3OORUF00LW0000UNN3LF0000A</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额定电压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8"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380</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8"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342-418</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额定负载电流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8"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290</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制冷剂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8"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R22</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冷冻油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8"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OIL 31</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出厂日期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8"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2003</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8"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电冷机房</w:t>
            </w:r>
            <w:r/>
          </w:p>
        </w:tc>
      </w:tr>
    </w:tbl>
    <w:p>
      <w:pPr>
        <w:pStyle w:val="714"/>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二、技术要求</w:t>
      </w:r>
      <w:r/>
    </w:p>
    <w:p>
      <w:pPr>
        <w:numPr>
          <w:ilvl w:val="0"/>
          <w:numId w:val="8"/>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服务模式</w:t>
      </w:r>
      <w:r/>
    </w:p>
    <w:p>
      <w:pPr>
        <w:ind w:left="0" w:right="0" w:firstLine="48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本次招标服务范围为南京医科大学第二附属医院迈皋桥院区和阅江楼院区的合同能源管理项目。品目01为迈皋桥院区能源管理服务，品目02为阅江楼院区能源管理服务。</w:t>
      </w:r>
      <w:r/>
    </w:p>
    <w:p>
      <w:pPr>
        <w:ind w:left="0" w:right="0" w:firstLine="482"/>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品目01：迈皋桥院区：全院能源总包模式</w:t>
      </w:r>
      <w:r/>
    </w:p>
    <w:p>
      <w:pPr>
        <w:ind w:left="0" w:right="0" w:firstLine="48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范围为全院的能源费用总包，由服务公司全面托管院区电费、天然气能源费用（天然气费用不含食堂）、锅炉和中央空调运营人员支出费用、锅炉和中央空调及热水系统相关维保费用、按甲方要求开展标准化机房建设等费用。</w:t>
      </w:r>
      <w:r/>
    </w:p>
    <w:p>
      <w:pPr>
        <w:ind w:left="0" w:right="0" w:firstLine="482"/>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品目02：阅江楼院区：中央空调能源总包模式</w:t>
      </w:r>
      <w:r/>
    </w:p>
    <w:p>
      <w:pPr>
        <w:ind w:left="0" w:right="0" w:firstLine="48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范围为院区的中央空调及生活热水能源费用总包，含中央空调主机及输配泵组电费，生活热水主机及输配泵组电费，现场空调、热水及配电房运维班组人员工资及空调、热水系统维保费用，阅区常规维修费用，按甲方要求开展标准化机房建设等费用。</w:t>
      </w:r>
      <w:r/>
    </w:p>
    <w:p>
      <w:pPr>
        <w:ind w:left="0" w:right="0" w:firstLine="48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次招标迈皋桥院区参照2025年的电、天然气的费用，锅炉和中央空调的运行人员支出及相关维保费用，阅江楼院区参照2025年5月至2026年4月制冷、采暖、卫热主机及输配泵组燃气费用、电费，锅炉、院区8号楼中央空调运行、配电房值班人员工资、维保费用。</w:t>
      </w:r>
      <w:r/>
    </w:p>
    <w:p>
      <w:pPr>
        <w:ind w:left="0" w:right="0" w:firstLine="48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中标人全额出资实施节能改造，通过8年期精细化运维、节能收益收回前期改造投资；同步降低医院能耗与后勤管理成本，实现双方节能增效。</w:t>
      </w:r>
      <w:r/>
    </w:p>
    <w:p>
      <w:pPr>
        <w:numPr>
          <w:ilvl w:val="0"/>
          <w:numId w:val="8"/>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节能改造内容</w:t>
      </w:r>
      <w:r/>
    </w:p>
    <w:p>
      <w:pPr>
        <w:ind w:left="0" w:right="0" w:firstLine="48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的改造内容应包含但不限于制冷、采暖、生活热水、照明等，投标人根据项目实际情况以及自身改造能力提供合理的节能改造方案，所有投资项目采购设备满足在-20℃至45℃条件下安全运行条件，同时做好设备机房、设备周边防水措施。自选节能技改项目可不局限于下述内容，如果中标的投标人提供了更多的技改节能项目，实施前须申报方案并经过采购人同意方可实施。节能技改施工期间中标人应精心组织、合理安排、安全文明不得影响或扰乱正常的医疗秩序。否则采购人有权责令中标人停工，工期不顺延。</w:t>
      </w:r>
      <w:r/>
    </w:p>
    <w:p>
      <w:pPr>
        <w:ind w:left="0" w:right="0" w:firstLine="48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目02阅区8号楼空调、热水改造的节能改造方案节能效果必须达到或高于医院给定参考的改造方案（见附件），节能改造方案节能效果的认定由医院组织的专家组确定，如果相关改造方案认定不能达到预期节能效果，医院有权终止合同签订流程，直至采购人中标人提出医院认可的节能改造方案。</w:t>
      </w:r>
      <w:r/>
    </w:p>
    <w:p>
      <w:pPr>
        <w:ind w:left="0" w:right="0" w:firstLine="48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采购人有权对节能改造方案提出合理的优化建议。</w:t>
      </w:r>
      <w:r/>
    </w:p>
    <w:p>
      <w:pPr>
        <w:ind w:left="0" w:right="0" w:firstLine="0"/>
        <w:jc w:val="center"/>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品目01 迈皋桥院区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6"/>
        <w:gridCol w:w="1477"/>
        <w:gridCol w:w="5591"/>
        <w:gridCol w:w="984"/>
      </w:tblGrid>
      <w:tr>
        <w:trPr>
          <w:trHeight w:val="462"/>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47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改造措施</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59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详细改造内容</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8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799"/>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生活热水系统改造</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新增总制热量≥120kW空气源热泵机，替代部分燃气热源，降低天然气消耗</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必选</w:t>
            </w:r>
            <w:r/>
          </w:p>
        </w:tc>
      </w:tr>
      <w:tr>
        <w:trPr>
          <w:trHeight w:val="779"/>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门诊玻璃阳光</w:t>
              <w:br/>
              <w:t xml:space="preserve">顶棚节能改造</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顶棚外侧加装玻璃隔热膜或外遮阳帘，减少夏季太阳辐射，降低空调负荷</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必选</w:t>
            </w:r>
            <w:r/>
          </w:p>
        </w:tc>
      </w:tr>
      <w:tr>
        <w:trPr>
          <w:trHeight w:val="641"/>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血透室空调改造</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1" w:type="dxa"/>
            <w:vAlign w:val="center"/>
            <w:textDirection w:val="lrTb"/>
            <w:noWrap w:val="false"/>
          </w:tcPr>
          <w:p>
            <w:pPr>
              <w:numPr>
                <w:ilvl w:val="0"/>
                <w:numId w:val="9"/>
              </w:numPr>
              <w:jc w:val="both"/>
              <w:spacing w:before="20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新增风冷热泵机组，满足血透室过渡季节独立制冷需求</w:t>
            </w:r>
            <w:r/>
          </w:p>
          <w:p>
            <w:pPr>
              <w:numPr>
                <w:ilvl w:val="0"/>
                <w:numId w:val="9"/>
              </w:numPr>
              <w:jc w:val="both"/>
              <w:spacing w:before="20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通过改造，实现血透室办公区域中央空调制冷需求</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必选</w:t>
            </w:r>
            <w:r/>
          </w:p>
        </w:tc>
      </w:tr>
      <w:tr>
        <w:trPr>
          <w:trHeight w:val="641"/>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-2F库房加装风机盘管</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-2F五个库房新增风机盘管，冷冻供回水从中央空调系统引出，减少用电能耗，美化库房周边环境</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必选</w:t>
            </w:r>
            <w:r/>
          </w:p>
        </w:tc>
      </w:tr>
      <w:tr>
        <w:trPr>
          <w:trHeight w:val="587"/>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其他系统优化</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地下室更换节能灯具/加装智能感应控制</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可选</w:t>
            </w:r>
            <w:r/>
          </w:p>
        </w:tc>
      </w:tr>
      <w:tr>
        <w:trPr>
          <w:trHeight w:val="587"/>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标准机房建设</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包括标识标牌、指示标线等</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必选</w:t>
            </w:r>
            <w:r/>
          </w:p>
        </w:tc>
      </w:tr>
    </w:tbl>
    <w:p>
      <w:pPr>
        <w:ind w:left="0" w:right="0" w:firstLine="0"/>
        <w:jc w:val="center"/>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品目02 阅江楼院区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7"/>
        <w:gridCol w:w="1476"/>
        <w:gridCol w:w="5599"/>
        <w:gridCol w:w="962"/>
      </w:tblGrid>
      <w:tr>
        <w:trPr>
          <w:trHeight w:val="396"/>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0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4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改造措施</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59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详细改造内容</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6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773"/>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0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制冷、采暖主机替换</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新增总制冷/制热量≥1000kW 风冷热泵，全面替代原有老旧蒸汽锅炉、特灵冷水机组，锅炉房蒸汽锅炉停用</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必选</w:t>
            </w:r>
            <w:r/>
          </w:p>
        </w:tc>
      </w:tr>
      <w:tr>
        <w:trPr>
          <w:trHeight w:val="611"/>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0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生活热水系统改造</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新增总制热量≥400kW 空气源热泵，保障生活热水供应</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必选</w:t>
            </w:r>
            <w:r/>
          </w:p>
        </w:tc>
      </w:tr>
      <w:tr>
        <w:trPr>
          <w:trHeight w:val="335"/>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0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热水储水设备</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新增≥20 吨闭式承压热水水箱</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必选</w:t>
            </w:r>
            <w:r/>
          </w:p>
        </w:tc>
      </w:tr>
      <w:tr>
        <w:trPr>
          <w:trHeight w:val="809"/>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0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热水计量管控</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搭建智能热水计费系统，分户按量计量，实现节水节能管控</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必选</w:t>
            </w:r>
            <w:r/>
          </w:p>
        </w:tc>
      </w:tr>
      <w:tr>
        <w:trPr>
          <w:trHeight w:val="589"/>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0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其他节能技改</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投标人可自主增设</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可选</w:t>
            </w:r>
            <w:r/>
          </w:p>
        </w:tc>
      </w:tr>
      <w:tr>
        <w:trPr>
          <w:trHeight w:val="589"/>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0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标准机房建设</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包括标识标牌、指示标线等</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必选</w:t>
            </w:r>
            <w:r/>
          </w:p>
        </w:tc>
      </w:tr>
      <w:tr>
        <w:trPr>
          <w:trHeight w:val="589"/>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0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姜家园121号2号楼负一楼供暖系统改造</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59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更换蒸汽和采暖系统相关设备，更换采暖水泵及配套配电设施，拆除并更换冷凝水箱，蒸汽板换板片拆洗及更换老旧垫片，采暖控制系统更新改造，满足该楼供暖使用要求。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必选</w:t>
            </w:r>
            <w:r/>
          </w:p>
        </w:tc>
      </w:tr>
    </w:tbl>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改造投入资金：对于投标人节能改造方案中所需要的改造资金由投标人全额出资。</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合同签订后，接采购人通知后，4个月内完成改造，节能措施应符合国家法律法规、产业政策要求以及工艺、设备等相关标准的规定。产品设计及设备安装应符合《合同能源管理技术通则》（GB∕T 24915-2020）规定。项目的技术改造不能影响原设备的使用，并保证项目运行的安全性、可靠性。使用先进、节能的设备替换原有设备的，需要征得采购人同意，并保证新投入设备必须有符合国家规定的证明文件，不影响医院正常运营。</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投标人应严格按照已确认的节能技改方案组织施工，并无条件地接受采购人对项目进度、质量、安全及文明施工的监督管理。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在项目节能改造期间，须严格执行南京市政府发布的《南京市建设项目施工现场管理办法》，由于管理不善，引起政府有关部门罚款、停工整改等处罚，其发生的损失由中标单位自行承担，且采购人保留缓付项目款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（2）投标人在项目节能改造期间，必须设有专职安全员，建立施工安全方面的制度和措施，并报采购人及有关部门。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（1）投标人投入本项目的员工应具有南京市人力资源和社会保障局或以上级别主管单位颁发的相关岗位证书，身体健康，有良好的口头表达能力。投标人在招聘员工时必须事先报采购人政审合格后方可录用。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（2）两个院区设一名项目负责人，不可与其他项目重复，承担合同能源管理服务日常管理、联系、沟通、协调、解决合同能源管理服务过程中发生的问题等各项工作。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（3）节能改造期间设一名工程主管，具备三年以上相应工作经验及处理日常事务及突发事件的能力。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（4）投标人须从“思想道德、尽职尽责、遵章守纪、实绩突出、工作提高”共五个方面对人员进行定期管理考核，考核合格者方能继续上岗工作，考核不合格者予以清退处理。</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4、服务内容：</w:t>
      </w:r>
      <w:r/>
    </w:p>
    <w:p>
      <w:pPr>
        <w:ind w:left="0" w:right="0" w:firstLine="0"/>
        <w:spacing w:before="240" w:after="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品目01 迈皋桥院区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2"/>
        <w:gridCol w:w="852"/>
        <w:gridCol w:w="8052"/>
      </w:tblGrid>
      <w:tr>
        <w:trPr>
          <w:trHeight w:val="6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明细</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空调运维人员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白班不少于2人，晚班不少于1人</w:t>
            </w:r>
            <w:r>
              <w:rPr>
                <w:rFonts w:ascii="SimSun" w:hAnsi="SimSun" w:eastAsia="SimSun" w:cs="SimSun"/>
                <w:color w:val="000000"/>
                <w:sz w:val="24"/>
                <w:highlight w:val="white"/>
              </w:rPr>
              <w:t xml:space="preserve">，具备相关上岗证书和资格要求，按照院区运行的要求，严格执行24小时值班制。</w:t>
            </w:r>
            <w:r/>
          </w:p>
        </w:tc>
      </w:tr>
      <w:tr>
        <w:trPr>
          <w:trHeight w:val="11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日常操作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制冷、采暖、生活热水供应，磁悬浮主机、离心机、冷温水泵、冷却泵、热水循环泵、生活热水泵、冷却塔、燃气锅炉、板换、热水换热罐、太阳能系统、新风系统的操作和管理，具备智能化功能，可对相关数据进行实时分析、反馈。</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2.上述系统故障的应急抢修。</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磁悬浮主机、离心机、燃气锅炉、卫热换热罐、冷温水泵、冷却泵、热水循环泵、生活热水泵、板换、分集水器、冷却塔、中央空调和卫热系统阀门、太阳能热水系统及新风系统</w:t>
            </w:r>
            <w:r/>
          </w:p>
        </w:tc>
      </w:tr>
      <w:tr>
        <w:trPr>
          <w:trHeight w:val="1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维修服务范围：涉及燃气锅炉、中央空调、生活热水系统、太阳能系统、新风系统的维修，单价500元以内的部件由中标人承担。</w:t>
            </w:r>
            <w:r/>
          </w:p>
          <w:p>
            <w:pPr>
              <w:ind w:left="0" w:right="0" w:firstLine="0"/>
              <w:jc w:val="center"/>
              <w:spacing w:before="2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因中标人人为原因造成的燃气锅炉、中央空调、生活热水系统、太阳能系统、新风系统设备发生的故障和损坏，由中标人负责修复。</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水质管理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中央空调冷却水、冷温水的水质处理</w:t>
            </w:r>
            <w:r/>
          </w:p>
        </w:tc>
      </w:tr>
      <w:tr>
        <w:trPr>
          <w:trHeight w:val="8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末端效果保障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中央空调末端（不含手术室、净化区域末端）维护保养，包括末端风机盘管、风柜的定期清洗和日常维护、维修</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特种设备及安全附件管理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蒸发器、冷凝器等压力容器及压力表、安全阀等安全附件的定期检验。锅炉年检（如需）</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每月提供满意度调查表，满足采购人日常管理要求</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支付电、燃气费用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承担全院电费、锅炉房燃气能源费用。 </w:t>
            </w:r>
            <w:r/>
          </w:p>
        </w:tc>
      </w:tr>
      <w:tr>
        <w:trPr>
          <w:trHeight w:val="87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6" w:type="dxa"/>
            <w:vAlign w:val="center"/>
            <w:textDirection w:val="lrTb"/>
            <w:noWrap/>
          </w:tcPr>
          <w:p>
            <w:pPr>
              <w:ind w:left="0" w:right="-23" w:firstLine="0"/>
              <w:spacing w:before="200" w:after="160" w:line="229" w:lineRule="atLeast"/>
              <w:tabs>
                <w:tab w:val="left" w:pos="-1740" w:leader="none"/>
                <w:tab w:val="left" w:pos="5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23" w:firstLine="0"/>
              <w:spacing w:before="200" w:after="160" w:line="229" w:lineRule="atLeast"/>
              <w:tabs>
                <w:tab w:val="left" w:pos="-1740" w:leader="none"/>
                <w:tab w:val="left" w:pos="51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关于空调末端的日常维护，投标人负责人工费、末端清洗（含药剂）以及末端设备中的电容、金属软管、风和水过滤器、润滑油更换等单价</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元内备品备件更换；</w:t>
            </w:r>
            <w:r/>
          </w:p>
          <w:p>
            <w:pPr>
              <w:ind w:left="0" w:right="-23" w:firstLine="0"/>
              <w:spacing w:before="200" w:after="160" w:line="229" w:lineRule="atLeast"/>
              <w:tabs>
                <w:tab w:val="left" w:pos="-1740" w:leader="none"/>
                <w:tab w:val="left" w:pos="51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在机房系统设备的维护保养过程中，由于非投标人原因造成的设备、设施损坏或设备寿命到期，医院应按照双方认可的方案及时维修或者更换（</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元以内的备品备件由投标人负责）。</w:t>
            </w:r>
            <w:r/>
          </w:p>
          <w:p>
            <w:pPr>
              <w:ind w:left="0" w:right="-23" w:firstLine="0"/>
              <w:spacing w:before="200" w:after="160" w:line="229" w:lineRule="atLeast"/>
              <w:tabs>
                <w:tab w:val="left" w:pos="-1740" w:leader="none"/>
                <w:tab w:val="left" w:pos="51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关于非投标人投资改造的多联机空调、风冷热泵，投标人负责每年冬、夏两季进行两次例行维护，日常工作包含清洗、日常保障等，备品备件费用由采购人承担。</w:t>
            </w:r>
            <w:r/>
          </w:p>
          <w:p>
            <w:pPr>
              <w:ind w:left="0" w:right="-23" w:firstLine="0"/>
              <w:spacing w:before="200" w:after="160" w:line="229" w:lineRule="atLeast"/>
              <w:tabs>
                <w:tab w:val="left" w:pos="-1740" w:leader="none"/>
                <w:tab w:val="left" w:pos="51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分体空调日常拆移机为有偿服务，包括拆移机产生的管线加长、零配件更换及充氟等费用由采购人负责。</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关于</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元以内的备品备件界定问题，按采购人所在地市场询价确定。</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定期检测指本项目相关法规要求的强制定期检测设备、仪表等，包括不限于压力容器及其安全附件、燃气泄漏检测、公共场所集中空调通风系统空气品质。</w:t>
            </w:r>
            <w:r/>
          </w:p>
        </w:tc>
      </w:tr>
    </w:tbl>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品目02 阅江楼院区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0"/>
        <w:gridCol w:w="1185"/>
        <w:gridCol w:w="7542"/>
      </w:tblGrid>
      <w:tr>
        <w:trPr>
          <w:trHeight w:val="6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2"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明细</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白班不少于2人，晚班不少于2人（改造期间，白班不少于3人，晚班不少于2人）</w:t>
            </w:r>
            <w:r>
              <w:rPr>
                <w:rFonts w:ascii="SimSun" w:hAnsi="SimSun" w:eastAsia="SimSun" w:cs="SimSun"/>
                <w:color w:val="000000"/>
                <w:sz w:val="24"/>
                <w:highlight w:val="white"/>
              </w:rPr>
              <w:t xml:space="preserve">，具备相关上岗证书和资格要求，按照院区运行的要求，严格执行24小时值班制</w:t>
            </w:r>
            <w:r/>
          </w:p>
        </w:tc>
      </w:tr>
      <w:tr>
        <w:trPr>
          <w:trHeight w:val="10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日常操作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highlight w:val="white"/>
              </w:rPr>
              <w:t xml:space="preserve">制冷、采暖、生活热水系统操作及供应，</w:t>
            </w:r>
            <w:r>
              <w:rPr>
                <w:rFonts w:ascii="SimSun" w:hAnsi="SimSun" w:eastAsia="SimSun" w:cs="SimSun"/>
                <w:color w:val="000000"/>
                <w:sz w:val="24"/>
              </w:rPr>
              <w:t xml:space="preserve">配电房及其附属设施的操作与日常保养、故障应对，</w:t>
            </w:r>
            <w:r>
              <w:rPr>
                <w:rFonts w:ascii="SimSun" w:hAnsi="SimSun" w:eastAsia="SimSun" w:cs="SimSun"/>
                <w:color w:val="000000"/>
                <w:sz w:val="24"/>
                <w:highlight w:val="white"/>
              </w:rPr>
              <w:t xml:space="preserve">具备智能化功能，可对相关数据进行实时分析、反馈</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2.上述系统故障的应急抢修</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制冷、采暖、生活热水主机、卫热换热罐、冷温水泵、生活热水泵、中央空调和卫热系统阀门</w:t>
            </w:r>
            <w:r/>
          </w:p>
        </w:tc>
      </w:tr>
      <w:tr>
        <w:trPr>
          <w:trHeight w:val="1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维修服务范围：涉及中央空调、生活热水系统的维修，单价500元以内的部件由中标人承担。</w:t>
            </w:r>
            <w:r/>
          </w:p>
          <w:p>
            <w:pPr>
              <w:ind w:left="0" w:right="0" w:firstLine="0"/>
              <w:jc w:val="center"/>
              <w:spacing w:before="20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因中标人人为原因造成的中央空调、生活热水系统设备发生的故障和损坏，由中标人负责修复。</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水质管理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中央空调冷温水的水质处理</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末端效果保障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中央空调末端维护保养，定期清洗和日常维护、维修</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特种设备及安全附件管理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蒸发器、冷凝器等压力容器及压力表、安全阀等安全附件的定期检验</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每月提供满意度调查表，满足采购人日常管理要求</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支付电费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2"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采购结算中央空调主机、生活热水主机及输配泵组电费</w:t>
            </w:r>
            <w:r/>
          </w:p>
        </w:tc>
      </w:tr>
      <w:tr>
        <w:trPr>
          <w:trHeight w:val="87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7" w:type="dxa"/>
            <w:vAlign w:val="center"/>
            <w:textDirection w:val="lrTb"/>
            <w:noWrap/>
          </w:tcPr>
          <w:p>
            <w:pPr>
              <w:ind w:left="0" w:right="-23" w:firstLine="0"/>
              <w:spacing w:before="200" w:after="160" w:line="229" w:lineRule="atLeast"/>
              <w:tabs>
                <w:tab w:val="left" w:pos="-1740" w:leader="none"/>
                <w:tab w:val="left" w:pos="5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23" w:firstLine="0"/>
              <w:spacing w:before="200" w:after="160" w:line="229" w:lineRule="atLeast"/>
              <w:tabs>
                <w:tab w:val="left" w:pos="-1740" w:leader="none"/>
                <w:tab w:val="left" w:pos="51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关于空调末端的日常维护，投标人负责人工费、末端清洗（含药剂）以及末端设备中的电容、金属软管、风和水过滤器、润滑油更换等单价</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元内备品备件更换；</w:t>
            </w:r>
            <w:r/>
          </w:p>
          <w:p>
            <w:pPr>
              <w:ind w:left="0" w:right="-23" w:firstLine="0"/>
              <w:spacing w:before="200" w:after="160" w:line="229" w:lineRule="atLeast"/>
              <w:tabs>
                <w:tab w:val="left" w:pos="-1740" w:leader="none"/>
                <w:tab w:val="left" w:pos="51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在机房系统设备的维护保养过程中，由于非投标人原因造成的设备、设施损坏或设备寿命到期，医院应按照双方认可的方案及时维修或者更换（</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元以内的备品备件由投标人负责）。</w:t>
            </w:r>
            <w:r/>
          </w:p>
          <w:p>
            <w:pPr>
              <w:ind w:left="0" w:right="-23" w:firstLine="0"/>
              <w:spacing w:before="200" w:after="160" w:line="229" w:lineRule="atLeast"/>
              <w:tabs>
                <w:tab w:val="left" w:pos="-1740" w:leader="none"/>
                <w:tab w:val="left" w:pos="51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关于非投标人投资改造的多联机空调、风冷热泵，投标人负责每年冬、夏两季进行两次例行维护，日常工作包含清洗、日常保障等，备品备件费用由采购人承担。</w:t>
            </w:r>
            <w:r/>
          </w:p>
          <w:p>
            <w:pPr>
              <w:ind w:left="0" w:right="-23" w:firstLine="0"/>
              <w:spacing w:before="200" w:after="160" w:line="229" w:lineRule="atLeast"/>
              <w:tabs>
                <w:tab w:val="left" w:pos="-1740" w:leader="none"/>
                <w:tab w:val="left" w:pos="51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分体空调日常拆移机为有偿服务，包括拆移机产生的管线加长、零配件更换及充氟等费用由采购人负责。</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关于</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元以内的备品备件界定问题，按采购人所在地市场询价确定。</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定期检测指本项目相关法规要求的强制定期检测设备、仪表等，包括不限于压力容器及其安全附件、燃气泄漏检测、公共场所集中空调通风系统空气品质。</w:t>
            </w:r>
            <w:r/>
          </w:p>
        </w:tc>
      </w:tr>
    </w:tbl>
    <w:p>
      <w:pPr>
        <w:ind w:left="0" w:right="0" w:firstLine="426"/>
        <w:spacing w:before="120" w:after="57"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个院区设一名项目负责人，不可与其他项目重复，不可担任现场运维人员，按照法定工作日上班，每天工作时间为8：00至18：00，每月根据项目需求至少加班2天，承担合同能源管理服务日常管理、联系、沟通、协调、解决合同能源管理服务过程中发生的问题等各项工作。</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4.1运营服务要求</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内，采购人的锅炉、中央空调系统（含末端）、生活热水系统和风冷热泵机组及附属设施的运行、维护、保养由投标人负责，服从采购人监管。为了便于投标人的监管以及满足项目管理需求，投标人应设立满意度或评价打分方案并针对服务承诺详细列明相关违约处罚，且评价和处罚方案具备合理性和可操作性。投标人应制定完备的中央空调、风冷热泵机制和锅炉的运行管理章程，根据运行要求调节运行参数，并做好台账记录。项目运营人员具备相关上岗证书和资格要求，按照院区运行的要求，严格执行24小时值班制，因投标人原因出现的安全（工伤）事故由投标人负</w:t>
      </w:r>
      <w:r>
        <w:rPr>
          <w:rFonts w:ascii="SimSun" w:hAnsi="SimSun" w:eastAsia="SimSun" w:cs="SimSun"/>
          <w:color w:val="000000"/>
          <w:sz w:val="24"/>
        </w:rPr>
        <w:t xml:space="preserve">责。运营人员不得随意更换，如需更换需与采购人提前沟通并获得同意。除不可抗力因素，投标人需保证24小时不间断供能。</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空调冷热水及生活热水供应要求</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品目01 迈皋桥院区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32"/>
        <w:gridCol w:w="3064"/>
        <w:gridCol w:w="4148"/>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5月1日～10月15日</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vMerge w:val="restart"/>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供冷条件</w:t>
            </w:r>
            <w:r/>
          </w:p>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（供冷时段内）</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室外最高气温连续5天&gt;26℃或2天&gt;29℃或当天&gt;31℃开始供冷</w:t>
            </w:r>
            <w:r/>
          </w:p>
        </w:tc>
      </w:tr>
      <w:tr>
        <w:trPr>
          <w:trHeight w:val="486"/>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室外最高气温连续5天&lt;24℃或2天&lt;23℃或当天&lt;21℃停止供冷</w:t>
            </w:r>
            <w:r/>
          </w:p>
        </w:tc>
      </w:tr>
      <w:tr>
        <w:trPr>
          <w:trHeight w:val="860"/>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梅雨季节、天气闷热等特殊情况不受气温限制，根据采购人实际需求制冷。</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11月20日～次年3月31日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vMerge w:val="restart"/>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供热条件</w:t>
            </w:r>
            <w:r/>
          </w:p>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（供热时段内）</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室外最低气温连续5天&lt;15℃或2天&lt;14℃或当天&lt;11℃开始供热</w:t>
            </w:r>
            <w:r/>
          </w:p>
        </w:tc>
      </w:tr>
      <w:tr>
        <w:trPr>
          <w:trHeight w:val="486"/>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室外最低气温连续5天&gt;15℃或2天&gt;17℃或当天&gt;20℃停止供热</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空调标准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室内温度：供冷不高于26℃,供热不低于18℃</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生活热水标准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生活热水：不低于50℃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vMerge w:val="restart"/>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日供时段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4"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供冷、供热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w:t>
            </w:r>
            <w:r/>
          </w:p>
        </w:tc>
      </w:tr>
      <w:tr>
        <w:trPr>
          <w:trHeight w:val="52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4"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生活热水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w:t>
            </w:r>
            <w:r/>
          </w:p>
        </w:tc>
      </w:tr>
      <w:tr>
        <w:trPr>
          <w:trHeight w:val="97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4"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1、特殊情况时，供应标准由双方协商决定；</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2、手术室、ICU等特殊要求区域，按照临床要求供热或供冷。</w:t>
            </w:r>
            <w:r/>
          </w:p>
        </w:tc>
      </w:tr>
    </w:tbl>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品目02 阅江楼院区</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9"/>
        <w:gridCol w:w="1104"/>
        <w:gridCol w:w="3599"/>
        <w:gridCol w:w="3226"/>
      </w:tblGrid>
      <w:tr>
        <w:trPr>
          <w:trHeight w:val="133"/>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2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59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供应条件</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22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5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19" w:type="dxa"/>
            <w:vAlign w:val="center"/>
            <w:vMerge w:val="restart"/>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供冷季</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9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1、室外最高气温连续5天&gt;26℃或2天&gt;29℃或当天&gt;31℃开始供冷；</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2、室外最高气温连续5天&lt;24℃或2天&lt;23℃或当天&lt;21℃停止供冷；</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3、梅雨季节、天气闷热等特殊情况不受气温限制，根据采购人实际需求制冷。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226" w:type="dxa"/>
            <w:vAlign w:val="center"/>
            <w:vMerge w:val="restart"/>
            <w:textDirection w:val="lrTb"/>
            <w:noWrap w:val="false"/>
          </w:tcPr>
          <w:p>
            <w:pPr>
              <w:ind w:left="0" w:right="0" w:firstLine="0"/>
              <w:spacing w:before="200" w:after="160" w:line="85" w:lineRule="atLeast"/>
              <w:tabs>
                <w:tab w:val="left" w:pos="7143" w:leader="none"/>
                <w:tab w:val="left" w:pos="142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1、梅雨季节、天气闷热等特殊情况下可由二临等相关使用部门联系总务处灵活调整空调开启时段及开启时间。</w:t>
            </w:r>
            <w:r/>
          </w:p>
          <w:p>
            <w:pPr>
              <w:ind w:left="0" w:right="0" w:firstLine="0"/>
              <w:spacing w:before="200" w:after="160" w:line="85" w:lineRule="atLeast"/>
              <w:tabs>
                <w:tab w:val="left" w:pos="7143" w:leader="none"/>
                <w:tab w:val="left" w:pos="142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2、空调运行温度冬季不高于20℃，夏季不低于26℃，空调运行期间禁止任意开窗。</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3、协助采购人开展节能降耗工作。</w:t>
            </w:r>
            <w:r/>
          </w:p>
        </w:tc>
      </w:tr>
      <w:tr>
        <w:trPr>
          <w:trHeight w:val="28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供暖季</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3599" w:type="dxa"/>
            <w:vAlign w:val="center"/>
            <w:textDirection w:val="lrTb"/>
            <w:noWrap w:val="false"/>
          </w:tcPr>
          <w:p>
            <w:pPr>
              <w:numPr>
                <w:ilvl w:val="0"/>
                <w:numId w:val="10"/>
              </w:numPr>
              <w:jc w:val="both"/>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室外最低气温连续5天&lt;15℃或2天&lt;14℃或当天&lt;11℃开始供热；</w:t>
            </w:r>
            <w:r/>
          </w:p>
          <w:p>
            <w:pPr>
              <w:numPr>
                <w:ilvl w:val="0"/>
                <w:numId w:val="10"/>
              </w:numPr>
              <w:jc w:val="both"/>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室外最低气温连续5天&gt;15℃或2天&gt;17℃或当天&gt;20℃停止供热。</w:t>
            </w:r>
            <w:r/>
          </w:p>
        </w:tc>
        <w:tc>
          <w:tcPr>
            <w:vMerge w:val="continue"/>
            <w:textDirection w:val="lrTb"/>
            <w:noWrap w:val="false"/>
          </w:tcPr>
          <w:p>
            <w:r/>
            <w:r/>
          </w:p>
        </w:tc>
      </w:tr>
      <w:tr>
        <w:trPr>
          <w:trHeight w:val="377"/>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2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9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热水供应时间段：24小时。</w:t>
            </w:r>
            <w:r/>
          </w:p>
        </w:tc>
        <w:tc>
          <w:tcPr>
            <w:vMerge w:val="continue"/>
            <w:textDirection w:val="lrTb"/>
            <w:noWrap w:val="false"/>
          </w:tcPr>
          <w:p>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4.2设备维保要求</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期限内，投标人负责医院锅炉和中央空调相关设备的维保，维保包含节能技改新增用能设备以及医院锅炉、冷水机组、换热机组、热水管道、水泵、空调水管系统、冷却塔、水质管理、空调末端（末端风机盘管、新风机）、阅区配电房及其附属设施的操作与日常保养、故障应对。</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采购人锅炉和中央空调系统管理要求，按季度提供保养及维护计划，按月度提供设备保养巡检记录，其内容包含中央空调制冷主机、锅炉、生活热水主机、冷却塔、水泵、锅炉和中央空调系统的日常保养维护、巡检记录，同时按国家相关标准执行中央空调末端清洗。投标人还应加强水质管理，对于锅炉、冷冻水系统和冷却水系统均要求进行水质处理，以确保采购人的正常使用需求。</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投标人应提供本次合同管理范围内各类保障设备运行故障的应急预案，以确保在项目实施期间医院24小时保障的需求。</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内，投标人负责对所有投标人投入的设备的维修以及更换的一切费用。对于非投标人投资设备的维保和运行管理费用按照合同由投标人负责，除寿命到期或者不可抗力外，维修以及更换产生的费用由投标人承担。投标人需要更换采购人的设备，经采购人同意后，方可更换。</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具体要求如下：</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品目01 迈皋桥院区</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①离心式冷水机组</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1876"/>
        <w:gridCol w:w="6316"/>
      </w:tblGrid>
      <w:tr>
        <w:trPr>
          <w:trHeight w:val="3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1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压缩机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6"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1.检查吸、排气温度，吸、排气过热度</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2.检查轴承、压缩机运转声音正常</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3.检查压缩机加卸载情况正常</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4.检查油位正常</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5.检查启动电流、温升正常</w:t>
            </w:r>
            <w:r/>
          </w:p>
        </w:tc>
      </w:tr>
      <w:tr>
        <w:trPr>
          <w:trHeight w:val="18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冷媒系统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6"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1.检查冷凝、蒸发温度、压力</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2.从视镜检查冷凝器、蒸发器及相关管道液位正常</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3.检查冷媒含湿量</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4.清洗蒸发器冷凝器铜管</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5.更换干燥过滤器</w:t>
            </w:r>
            <w:r/>
          </w:p>
        </w:tc>
      </w:tr>
      <w:tr>
        <w:trPr>
          <w:trHeight w:val="1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6"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1.从视镜检查油色、油位正常</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2.检查油泵同时检查油过滤器是否堵塞</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3.从视镜检查冷凝器、蒸发器及相关管道液位正常</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4.检查油温、传感器、加热器</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5.检查油路有无泄漏，换油、换油过滤器</w:t>
            </w:r>
            <w:r/>
          </w:p>
        </w:tc>
      </w:tr>
      <w:tr>
        <w:trPr>
          <w:trHeight w:val="21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电气系统（启动柜）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6"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1.检查压缩机三相电压高低、稳定情况与相间平衡</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2.检查机组主接触器、触点表面情况，若有必要进行更换</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3.检查空气开关脱扣性能，及其它保好的护装置灵敏度与性能</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4.检查机组内各保险丝通断情况，检查保险丝完好程度</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5.测量压缩机对地绝缘电阻</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6.检查并紧固各接线端子、整理线缆</w:t>
            </w:r>
            <w:r/>
          </w:p>
        </w:tc>
      </w:tr>
      <w:tr>
        <w:trPr>
          <w:trHeight w:val="20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电气系统（电控柜）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6"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1.检查机组微电脑显示屏是否正常显示</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2.检查机组进出水温、蒸发压力、冷凝压力、排气温度等各项模拟量显示值，必要时对故障元件进行更换或维修</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3.检查机组设定值，包括出水温度与各项保护设定值</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4.检查并紧固各接线端子、整理线缆</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②燃气锅炉</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6"/>
        <w:gridCol w:w="2101"/>
        <w:gridCol w:w="6105"/>
      </w:tblGrid>
      <w:tr>
        <w:trPr>
          <w:trHeight w:val="5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9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5"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锅炉运行中，重点检查、记录锅炉安全部件和转动设备的运行情况，无超压、过载，炉体无鼓包、裂纹，无液位异常。</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燃烧器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5"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持现场清洁，做到无杂物、无积灰、无积水、无油垢；2.每季度对燃烧器清理一次，检查控制系统；3.清理燃烧器，点火电极、火焰盘、燃烧头；4.检查、调整燃气蝶阀、空气蝶阀；5.检查、调整一次配风系统，二次配风系统；6.检测燃烧器控制程序；7.检测火焰监测回路，检查跑冒滴漏。</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电控柜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1.每季度电控设备检查一次；2.定期电控柜除尘；3.检查电器设备绝缘与接地。</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给水装置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1.自动给水装置运行正常；2.水泵保养参照泵组保养项目。</w:t>
            </w:r>
            <w:r/>
          </w:p>
        </w:tc>
      </w:tr>
      <w:tr>
        <w:trPr>
          <w:trHeight w:val="2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5"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短期停炉：可采用湿保养法：停炉后，将炉水加满，将空气全部排出；2.长期停炉：采用干保养法：停炉后将炉水放掉，打开下部手孔，吹干锅内积水，并通过下部手孔处，投入干燥剂，且应定期更换，开始可每月检查更换—次，以后可三个月一次。</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③风冷热泵、空气源热泵</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5"/>
        <w:gridCol w:w="2169"/>
        <w:gridCol w:w="6036"/>
      </w:tblGrid>
      <w:tr>
        <w:trPr>
          <w:trHeight w:val="2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机组状况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检查保温棉、减震器、主要结构、喷漆工作</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常规制冷剂系统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检查安全阀、管路受损情况、泄露、湿度视液镜、吸气过热度、液体过冷度、电磁阀</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压缩机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检查油位、油情况</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蒸发器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检查水流量、水压降、加热器垫、pH值/乙二醇浓度</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风冷式冷凝器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检查阻碍气流的物体、翅片、风机与风机护网、刷翅片、检查风扇电机轴承</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检查面板条件、电源与控制系统接线、传感器位置、机械高压开关切断、所有连接线路、压缩机电流接触器、风机电流接触器/过载、感温探头/传感器校准、电机保护、接触器连接情况</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微处理器控制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检查故障历史、程序设定、高压/低压切断功能、加载/卸载功能、风机控制功能、环境温度切断功能</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④板式换热器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4"/>
        <w:gridCol w:w="2308"/>
        <w:gridCol w:w="5839"/>
      </w:tblGrid>
      <w:tr>
        <w:trPr>
          <w:trHeight w:val="3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7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板块内部结垢的检查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水中杂质过多时配置过滤器并且经常性拆洗，如果循环水的硬度偏高，应预先进行软化。</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换热器板片、垫片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采取压紧或更换板片的办法，同时按本标准的换热器的维修作业所列相关步骤和要求进行。</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换热器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1.关闭进出阀口，放空换热内的介质；</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2.将夹紧螺栓松开到固定尺寸的1.15倍。</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⑤空调、卫热水泵</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9"/>
        <w:gridCol w:w="2014"/>
        <w:gridCol w:w="6179"/>
      </w:tblGrid>
      <w:tr>
        <w:trPr>
          <w:trHeight w:val="3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3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润滑油添加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检查油面、油质、油乳化、油无杂质；添加或更换新润滑油。</w:t>
            </w:r>
            <w:r/>
          </w:p>
        </w:tc>
      </w:tr>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螺栓、连接件检查及更换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检查及更换紧固螺栓及连接件。</w:t>
            </w:r>
            <w:r/>
          </w:p>
        </w:tc>
      </w:tr>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填料轴封维护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1.检查填料式轴封漏水量；2.紧固轴封的填料压盖螺栓或更换成不锈钢螺栓螺帽；3.采用柔性石墨盘根填紧填料式轴封。</w:t>
            </w:r>
            <w:r/>
          </w:p>
        </w:tc>
      </w:tr>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机械轴封维护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更换泄漏量大于10ml/h或轴套表面波纹状磨损的轴封。更换橡胶O型圈。</w:t>
            </w:r>
            <w:r/>
          </w:p>
        </w:tc>
      </w:tr>
      <w:tr>
        <w:trPr>
          <w:trHeight w:val="3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润滑油更换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更换润滑油、清洗油箱。对油箱轴封维护、更换。</w:t>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润滑油脂更换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1.更换润滑脂、清洗轴承座和清除废油脂。2.对油嘴润滑脂的强力充注。3.对超出时限的润滑脂彻底清除、更换。</w:t>
            </w:r>
            <w:r/>
          </w:p>
        </w:tc>
      </w:tr>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解体检修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对泵壳、叶轮内外面、叶轮流道、密封环、主轴等处清洗、除垢、更换、调整、油漆。</w:t>
            </w:r>
            <w:r/>
          </w:p>
        </w:tc>
      </w:tr>
      <w:tr>
        <w:trPr>
          <w:trHeight w:val="3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对电机，控制系统，变频装置等常规检查。</w:t>
            </w:r>
            <w:r/>
          </w:p>
        </w:tc>
      </w:tr>
      <w:tr>
        <w:trPr>
          <w:trHeight w:val="4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电器检修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对电机、低压电器、连接线、连接端子、接地、绝缘等检修。</w:t>
            </w:r>
            <w:r/>
          </w:p>
        </w:tc>
      </w:tr>
      <w:tr>
        <w:trPr>
          <w:trHeight w:val="4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泵体除垢刷漆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对泵内外除锈刷漆。</w:t>
            </w:r>
            <w:r/>
          </w:p>
        </w:tc>
      </w:tr>
      <w:tr>
        <w:trPr>
          <w:trHeight w:val="3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压力表校对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9" w:type="dxa"/>
            <w:vAlign w:val="center"/>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对水泵进出口压力校对及检修。</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⑥冷却塔（制冷季每月一次，制冷季结束拆除电机皮带）</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102"/>
        <w:gridCol w:w="6129"/>
      </w:tblGrid>
      <w:tr>
        <w:trPr>
          <w:trHeight w:val="5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3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通风装置紧固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电机、风机减速装置和连接螺栓的紧固。</w:t>
            </w:r>
            <w:r/>
          </w:p>
        </w:tc>
      </w:tr>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风机皮带调整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1.对皮带的平行度、松紧度的调整；2.多皮带受力均匀检查。</w:t>
            </w:r>
            <w:r/>
          </w:p>
        </w:tc>
      </w:tr>
      <w:tr>
        <w:trPr>
          <w:trHeight w:val="4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风机叶片检查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1.风机、叶片腐蚀及受损检查；2.风机叶片角度的检查；3.风机叶片固定螺栓的检查；4.风机动静平衡检查；5.风机叶片与排风洞的间隙检查；6.风机震动与噪声检查。</w:t>
            </w:r>
            <w:r/>
          </w:p>
        </w:tc>
      </w:tr>
      <w:tr>
        <w:trPr>
          <w:trHeight w:val="9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布水装置清洗及维护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1.布水速度的检查；2.布水器的漏水检查；3.布水孔清洗；4.布水管出水与填料夹角角度检查；5.布水管与壳体周边间隙检查；6.布水管与填料间布水高度的检查。</w:t>
            </w:r>
            <w:r/>
          </w:p>
        </w:tc>
      </w:tr>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填料清洗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1.填料的破损检查；2.填料油污、泥垢、菌藻检查清洗；3.其它杂物及漂浮物的检查清洗。</w:t>
            </w:r>
            <w:r/>
          </w:p>
        </w:tc>
      </w:tr>
      <w:tr>
        <w:trPr>
          <w:trHeight w:val="3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减速器加油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1.按规定加油；2.检查油面高度及油质；3.杜绝漏油。</w:t>
            </w:r>
            <w:r/>
          </w:p>
        </w:tc>
      </w:tr>
      <w:tr>
        <w:trPr>
          <w:trHeight w:val="5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水盘清洗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1.油污清洗；2.泥垢、菌藻清洗；3.排放污水；4.清扫水盘。</w:t>
            </w:r>
            <w:r/>
          </w:p>
        </w:tc>
      </w:tr>
      <w:tr>
        <w:trPr>
          <w:trHeight w:val="3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减速器换油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按保养要求更换润滑油。</w:t>
            </w:r>
            <w:r/>
          </w:p>
        </w:tc>
      </w:tr>
      <w:tr>
        <w:trPr>
          <w:trHeight w:val="3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风机轴承换油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按保养要求要求强制性更换润滑脂。</w:t>
            </w:r>
            <w:r/>
          </w:p>
        </w:tc>
      </w:tr>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电机绝缘检测及机械维护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1.电器、电机的常规检测及维护；2.机械设备的常规检查及维护。</w:t>
            </w:r>
            <w:r/>
          </w:p>
        </w:tc>
      </w:tr>
      <w:tr>
        <w:trPr>
          <w:trHeight w:val="3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构件刷漆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9"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钢构件、螺栓、支撑件、爬梯除锈更换和油漆。</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⑦空调水管</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4"/>
        <w:gridCol w:w="2117"/>
        <w:gridCol w:w="6071"/>
      </w:tblGrid>
      <w:tr>
        <w:trPr>
          <w:trHeight w:val="3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10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管道保温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1.检查保温层脱落、破损、翻翘情况；2.保温层连接处泄漏情况；3.保温层的衰老、变质情况的检查；4.维修后复原。</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自动排气阀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1.检查工作情况；2.排气阀的清洗及除垢。</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管道除锈刷漆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按保养要求除锈刷漆。</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凝水检查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1.检查凝水管及支管安装质量及排水通畅；2.凝水管微生物及结垢检查。</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阀门除锈刷漆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1.按规定要求除锈刷漆；2.检查开启度；3.检查完好情况。</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阀杆涂油（室内）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按保养要求涂油，并检测启闭灵活性。</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阀杆涂油（室外）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按保养要求涂油，并检测启闭灵活性。</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电动阀内变速箱换油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按保养要求更换润滑油并注意油质及油面高度。</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电动阀门保养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1.电机电器及控制系统的保养；2.阀门的机械常规保养。</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自动阀门检查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检查阀门的灵活性和可靠性。</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冷冻水过滤器清洗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按照运行要求拆卸清洗。</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冷却水过滤器清洗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按照运行要求拆卸清洗</w:t>
            </w:r>
            <w:r/>
          </w:p>
        </w:tc>
      </w:tr>
      <w:tr>
        <w:trPr>
          <w:trHeight w:val="10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膨胀水箱维护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1．进水浮球阀维护；2.溢水口和溢水管的检查；3.排污阀的检查；4.膨胀管的检查；5.信号管的检查；6.保温层的检查。</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膨胀水箱刷漆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按保养要求对膨胀水箱内外壁的除锈刷漆。</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支承件除锈刷漆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按保养要求对支承件除锈刷漆。</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⑧水质管理</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130"/>
        <w:gridCol w:w="6130"/>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3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冷却水水质检查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掌握水质的状况，对PH值、电导率、浊度、硬度进行检验。</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冷却水杀菌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采用化学药剂定期投放，去除菌藻繁殖。</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冷却水防垢除垢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采用人工清洗、化学处理等手段防垢、除垢。</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空调水水质检查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对空调水的PH值、电导率、浊度、硬度进行检验。</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空调水防垢除垢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0"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采用人工清洗、化学处理等手段防垢、除垢。</w:t>
            </w:r>
            <w:r/>
          </w:p>
        </w:tc>
      </w:tr>
      <w:tr>
        <w:trPr>
          <w:trHeight w:val="93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1"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对冷温水管路空调水PH值、硬度定期检测，每年1次加药处理，确保水质合格，保证空调效果</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⑨组合式空调箱</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6"/>
        <w:gridCol w:w="2293"/>
        <w:gridCol w:w="5892"/>
      </w:tblGrid>
      <w:tr>
        <w:trPr>
          <w:trHeight w:val="2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top"/>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风门调节阀检修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1.检查各风门调节阀开关功能、自身安装牢固性、密闭性；</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2.对调节阀加油；</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3.检查自动装置的可靠性；</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4.检查轴柄处密封性；</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5.噪声检测；</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6.震动检测。</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初效过滤器清洗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吸尘器清吸或强力水冲洗。有油污，可采用化学清洗。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中效过滤器清洗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吸尘器清吸或强力水冲洗。有油污，可采用化学清洗。</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表冷器检修清洗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表冷器维护及清洁，如表面有油污或尾部有腐蚀现象，则采用合适的清洗剂进行化学清洗。</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挡水板检修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对挡水板的锈蚀、折断、倒置、破损等故障进行维护、更换等。</w:t>
            </w:r>
            <w:r/>
          </w:p>
        </w:tc>
      </w:tr>
      <w:tr>
        <w:trPr>
          <w:trHeight w:val="2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接水盘清洗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对接水盘清洁、消毒、除藻、下水、保温。</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风机机械保养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皮带松紧度检查及调整。连接螺母的检查；基础与机架的检查；风机与电机的连接；减震装置的受力检查；润滑油的检查与添加；润滑脂检查与添加；风机的机械检查。</w:t>
            </w:r>
            <w:r/>
          </w:p>
        </w:tc>
      </w:tr>
      <w:tr>
        <w:trPr>
          <w:trHeight w:val="11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电器电机维修检查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1.润滑脂检查与添加；</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2.轴承检查；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3.电机温升的检查；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4.电机的绝缘检查；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5.接线盒的连线检查；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6.电缆检查；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7.启动箱及控制装置的检查；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8.地脚螺栓的紧固检查；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9.电器装置的常规检查。</w:t>
            </w:r>
            <w:r/>
          </w:p>
        </w:tc>
      </w:tr>
      <w:tr>
        <w:trPr>
          <w:trHeight w:val="2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箱体卫生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箱体的内外部卫生清扫、清洗及消毒。</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箱体漏风检查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1.各工作段连接处检查；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2.检查口检查；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3.人孔的检查；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4.静压箱的检查；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5.帆布软接头检查。</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检查孔检查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1.检查密封条；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2.孔门的检查；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3.孔门锁的检查；</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4.检查锈蚀；</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5.检查铰链。</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保温检查及除锈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1.检查保温层是否脱落、破损；</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2.检查吸水量；</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3.外壳及基础、钢构件的除锈。</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进水过滤器清洗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1.拆卸清洗过滤网；</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2.过滤器阀体除垢；</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3.密封件的检查。</w:t>
            </w:r>
            <w:r/>
          </w:p>
        </w:tc>
      </w:tr>
      <w:tr>
        <w:trPr>
          <w:trHeight w:val="1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喷雾室检修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2" w:type="dxa"/>
            <w:vAlign w:val="top"/>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1.喷头的拆卸、清洗、更换；</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2.喷水方向及角度的调整；</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3.挡水板的检测；</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4.浮球阀的检测；</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5.溢流口及溢流管道的检测；</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6.二次泵过滤器的检测；</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7.二次水泵的检测；</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8.加热、加湿装置的检修。</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⑩风机盘管清洗及服务内容（维保频率：每年四次）</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2"/>
        <w:gridCol w:w="960"/>
        <w:gridCol w:w="8042"/>
      </w:tblGrid>
      <w:tr>
        <w:trPr>
          <w:trHeight w:val="3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接水盘清洗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采用水冲洗，污水由排水管排出；或采用压力水（压缩空气）清洗、吹污排水管；滴水盘再用消毒水刷洗一遍。</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盘管清洗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采用吸尘器清吸，或用水冲洗；对油污或化学污染则要采用清洗剂清洗；特殊情况采用整体拆卸清洗。</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过滤网、风口清洗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1.采取吸尘器清理方式或拆下过滤网用加压清水冲洗；2.对有油污的采用化学清洗剂的方式清洁；3.对回风口、出风口清洁，特殊情况随时清洗、清洁。</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风机叶轮清洗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1.采用小型强力吸尘器清洁；2.拆卸清洗。 </w:t>
            </w: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水过滤器清洗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采用清水冲洗过滤器的同时，对盘管用压力水反冲清洗。</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保温层检查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检查修理保温层，对损坏、脱胶翻卷处及时修补。</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电器检修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电器元件及线路常规检查。</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电磁阀检查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电磁阀检修，主要检测电磁阀的启闭正常，关闭严密。</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风堵开关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检查动作是否正常。</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噪音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检查1、2、3挡风机噪音过大的原因。</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电机常规电气检查</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叶轮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2"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检查叶轮变形情况，如变形立即修复</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⑪太阳能系统</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6"/>
        <w:gridCol w:w="1842"/>
        <w:gridCol w:w="6364"/>
      </w:tblGrid>
      <w:tr>
        <w:trPr>
          <w:trHeight w:val="1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太阳能集热器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4"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1.避免太阳能集热系统在运行中发生空晒和闷晒现象；</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2.集热器的清洗和除垢，半年至一年擦洗一次。</w:t>
            </w:r>
            <w:r/>
          </w:p>
        </w:tc>
      </w:tr>
      <w:tr>
        <w:trPr>
          <w:trHeight w:val="7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太阳能储热系统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4"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1.定期检查贮水箱的密封性和保温层，如发现破坏，及时修补；</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2.定期检查贮水箱的补水阀、安全阀、液位控制器和排气装置工作是否正常，防止空气进入；</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3.定期检查是否有异物进入贮水箱，防止循环管道被堵塞；</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4.定期清除贮水箱内的水垢，每半年至一年清理一次。</w:t>
            </w:r>
            <w:r/>
          </w:p>
        </w:tc>
      </w:tr>
      <w:tr>
        <w:trPr>
          <w:trHeight w:val="8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太阳能管路系统维护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4"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1.保证管道保温层和表面防潮层不能有破损或者脱落，防止产生热桥和结露滴水现象；</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2.保证管道内没有空气，防止热水气堵而无法输送到各个配水点；</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3.保证系统管道通畅，定期冲洗系统，防止沉积锈垢堵塞管道。</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系统清洗与除垢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4"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1.物理法和化学法定期除垢；</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2.系统根据运行情况定期清洗。</w:t>
            </w:r>
            <w:r/>
          </w:p>
        </w:tc>
      </w:tr>
    </w:tbl>
    <w:p>
      <w:pPr>
        <w:ind w:left="0" w:right="0" w:firstLine="0"/>
        <w:spacing w:before="24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品目02 阅江楼院区</w:t>
      </w:r>
      <w:r/>
    </w:p>
    <w:p>
      <w:pPr>
        <w:ind w:left="0" w:right="0" w:firstLine="0"/>
        <w:spacing w:before="24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①配电房</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1、承担配电房设备操作与日常保养，保证设备完好率。日常记录及保管：应满足运营要求，记录详细完整，可随时备查。</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配电室及值班室清洁，保持屋内亮度适中，墙面地面无渗漏水现象，无易燃易爆、杂物等堆放。检查桥架孔洞、墙洞封堵是否脱落，能达到防火、防水、防小动物等要求。各元器件运行状态良好。各切换装置、指示灯、空开等状态符合当前运行要求。</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3、对高压工具及用具进行安全检测并做好记录。根据配电系统配置每月对各用电区域的电力能耗进行统计，并做能耗分析。</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值班人员做到熟悉医院配电房操作流程及时发现故障，严格按照操作规程进行停复电操作及时处理故障。供电部门通知计划停电时值班人员负责通知相关领导并通知到重要用电单元。值班人员应本着节约用电的原则，最佳提高配电系统的功率因素，确保设备最合理运行。</w:t>
      </w:r>
      <w:r/>
    </w:p>
    <w:p>
      <w:pPr>
        <w:ind w:left="0" w:right="0" w:firstLine="480"/>
        <w:spacing w:before="24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、接受医院、供电公司等部门的考核和监督管理。</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②风冷热泵、空气源热泵</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5"/>
        <w:gridCol w:w="2169"/>
        <w:gridCol w:w="6036"/>
      </w:tblGrid>
      <w:tr>
        <w:trPr>
          <w:trHeight w:val="2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机组状况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检查保温棉、减震器、主要结构、喷漆工作</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常规制冷剂系统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检查安全阀、管路受损情况、泄露、湿度视液镜、吸气过热度、液体过冷度、电磁阀</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压缩机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检查油位、油情况</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蒸发器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检查水流量、水压降、加热器垫、pH值/乙二醇浓度</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风冷式冷凝器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检查阻碍气流的物体、翅片、风机与风机护网、刷翅片、检查风扇电机轴承</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检查面板条件、电源与控制系统接线、传感器位置、机械高压开关切断、所有连接线路、压缩机电流接触器、风机电流接触器/过载、感温探头/传感器校准、电机保护、接触器连接情况</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微处理器控制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检查故障历史、程序设定、高压/低压切断功能、加载/卸载功能、风机控制功能、环境温度切断功能</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③空调水管</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4"/>
        <w:gridCol w:w="2117"/>
        <w:gridCol w:w="6071"/>
      </w:tblGrid>
      <w:tr>
        <w:trPr>
          <w:trHeight w:val="3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10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管道保温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1.检查保温层脱落、破损、翻翘情况；2.保温层连接处泄漏情况；3.保温层的衰老、变质情况的检查；4.维修后复原。</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自动排气阀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1.检查工作情况；2.排气阀的清洗及除垢。</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管道除锈刷漆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按保养要求除锈刷漆。</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凝水检查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1.检查凝水管及支管安装质量及排水通畅；2.凝水管微生物及结垢检查。</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阀门除锈刷漆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1.按规定要求除锈刷漆；2.检查开启度；3.检查完好情况。</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阀杆涂油（室内）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按保养要求涂油，并检测启闭灵活性。</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阀杆涂油（室外）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按保养要求涂油，并检测启闭灵活性。</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电动阀内变速箱换油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按保养要求更换润滑油并注意油质及油面高度。</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电动阀门保养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1.电机电器及控制系统的保养；2.阀门的机械常规保养。</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自动阀门检查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检查阀门的灵活性和可靠性。</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冷冻水过滤器清洗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按照运行要求拆卸清洗。</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支承件除锈刷漆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按保养要求对支承件除锈刷漆。</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④水质管理</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6"/>
        <w:gridCol w:w="2622"/>
        <w:gridCol w:w="5565"/>
      </w:tblGrid>
      <w:tr>
        <w:trPr>
          <w:trHeight w:val="7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空调水水质检查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5"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对空调水的PH值、电导率、浊度、硬度进行检验。</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空调水防垢除垢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5" w:type="dxa"/>
            <w:vAlign w:val="top"/>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采用人工清洗、化学处理等手段防垢、除垢。</w:t>
            </w:r>
            <w:r/>
          </w:p>
        </w:tc>
      </w:tr>
      <w:tr>
        <w:trPr>
          <w:trHeight w:val="55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2"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对冷温水管路空调水PH值、硬度定期检测，每年1次加药处理，确保水质合格，保证空调效果。</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⑤水泵维护内容</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2627"/>
        <w:gridCol w:w="5446"/>
      </w:tblGrid>
      <w:tr>
        <w:trPr>
          <w:trHeight w:val="4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润滑油添加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检查油面、油温、油质、油乳化、油无杂质；添加或更换新润滑油。</w:t>
            </w:r>
            <w:r/>
          </w:p>
        </w:tc>
      </w:tr>
      <w:tr>
        <w:trPr>
          <w:trHeight w:val="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螺栓、连接件检查及更换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检查及更换紧固螺栓及连接件。 </w:t>
            </w:r>
            <w:r/>
          </w:p>
        </w:tc>
      </w:tr>
      <w:tr>
        <w:trPr>
          <w:trHeight w:val="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填料轴封维护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1.检查填料式轴封漏水量；2.紧固轴封的填料压盖螺栓或更换成不锈钢螺栓螺帽；3.采用柔性石墨盘根填紧填料式轴封。</w:t>
            </w:r>
            <w:r/>
          </w:p>
        </w:tc>
      </w:tr>
      <w:tr>
        <w:trPr>
          <w:trHeight w:val="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机械轴封维护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更换泄漏量大于10ml/h或轴套表面波纹状磨损的轴封。更换橡胶O型圈。</w:t>
            </w:r>
            <w:r/>
          </w:p>
        </w:tc>
      </w:tr>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润滑油更换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更换润滑油、清洗油箱。对油箱轴封维护、更换。</w:t>
            </w:r>
            <w:r/>
          </w:p>
        </w:tc>
      </w:tr>
      <w:tr>
        <w:trPr>
          <w:trHeight w:val="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润滑油脂更换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1.更换润滑脂、清洗轴承座和清除废油脂。2.对油嘴润滑脂的强力充注。3.对超出时限的润滑脂彻底清除、更换。</w:t>
            </w:r>
            <w:r/>
          </w:p>
        </w:tc>
      </w:tr>
      <w:tr>
        <w:trPr>
          <w:trHeight w:val="8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解体检修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对泵壳、叶轮内外面、叶轮流道、密封环、主轴等处清洗、除垢、更换、调整、油漆。</w:t>
            </w:r>
            <w:r/>
          </w:p>
        </w:tc>
      </w:tr>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电气检查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对电机，控制系统，变频装置等常规检查。</w:t>
            </w:r>
            <w:r/>
          </w:p>
        </w:tc>
      </w:tr>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电气检修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对电机、低压电器、连接线、连接端子、接地、绝缘等检修。</w:t>
            </w:r>
            <w:r/>
          </w:p>
        </w:tc>
      </w:tr>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泵体除垢刷漆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对泵内外除锈刷漆。</w:t>
            </w:r>
            <w:r/>
          </w:p>
        </w:tc>
      </w:tr>
      <w:tr>
        <w:trPr>
          <w:trHeight w:val="8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7"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压力表状态检查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检查压力表指示是否正确、无跑冒滴漏。</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⑥风机盘管清洗及服务内容（维保频率：每年四次）</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5"/>
        <w:gridCol w:w="1122"/>
        <w:gridCol w:w="7887"/>
      </w:tblGrid>
      <w:tr>
        <w:trPr>
          <w:trHeight w:val="3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接水盘清洗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采用水冲洗，污水由排水管排出；或采用压力水（压缩空气）清洗、吹污排水管；滴水盘再用消毒水刷洗一遍。</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盘管清洗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采用吸尘器清吸，或用水冲洗；对油污或化学污染则要采用清洗剂清洗；特殊情况采用整体拆卸清洗。</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过滤网、风口清洗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1.采取吸尘器清理方式或拆下过滤网用加压清水冲洗；2.对有油污的采用化学清洗剂的方式清洁；3.对回风口、出风口清洁，特殊情况随时清洗、清洁。</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风机叶轮清洗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1.采用小型强力吸尘器清洁；2.拆卸清洗。 </w:t>
            </w: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水过滤器清洗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采用清水冲洗过滤器的同时，对盘管用压力水反冲清洗。</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保温层检查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检查修理保温层，对损坏、脱胶翻卷处及时修补。</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电器检修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电器元件及线路常规检查。</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电磁阀检查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电磁阀检修，主要检测电磁阀的启闭正常，关闭严密。</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风堵开关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检查动作是否正常。</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噪音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检查1、2、3挡风机噪音过大的原因。</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电机常规电气检查</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叶轮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7" w:type="dxa"/>
            <w:vAlign w:val="center"/>
            <w:textDirection w:val="lrTb"/>
            <w:noWrap/>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检查叶轮变形情况，如变形立即修复</w:t>
            </w:r>
            <w:r/>
          </w:p>
        </w:tc>
      </w:tr>
    </w:tbl>
    <w:p>
      <w:pPr>
        <w:ind w:left="0" w:right="0" w:firstLine="0"/>
        <w:spacing w:before="24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⑦蒸汽压力锅炉维护内容（节能改造完成前适用）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6"/>
        <w:gridCol w:w="2154"/>
        <w:gridCol w:w="6050"/>
      </w:tblGrid>
      <w:tr>
        <w:trPr>
          <w:trHeight w:val="2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锅炉运行中，重点检查、记录锅炉安全部件和转动设备的运行情况，无超压、过载，炉体无鼓包、裂纹，无液位异常。</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燃烧器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持现场清洁，做到无杂物、无积灰、无积水、无油垢；2.每季度对燃烧器清理一次，检查控制系统；3.清理燃烧器，点火电极、火焰盘、燃烧头；4.检查、调整燃气蝶阀、空气蝶阀；5.检查、调整一次配风系统，二次配风系统；6.检测燃烧器控制程序；7.检测火焰监测回路，检查跑冒滴漏。</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电控柜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1.每季度电控设备检查一次；2.定期电控柜除层；3.检查电器设备绝缘与接地。</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给水装置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1.自动给水装置运行正常；2.水泵保养参照泵组保养项目。</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月水处理设备检查一次，锅炉运行期间每天水质化验一次；2.定期对低水位切断装置进行检查保养及清洗；3.水位控制器每月至少清洗一次，水位表每天至少冲洗一次；4.水位表冲洗应处于最高水位；5.冲洗后水位不低于最低安全水位，如一次冲洗不净，可多次冲洗，但必须最高水位时冲洗；6.定期排污操作，每天（每班）至少一次，排污后应检查排污阀是否因污物影响而有泄漏现象，如有则必须予以排除。</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炉膛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1.定期打开前后门盖，刷除或吹除烟管积灰；2.检查烟管结垢情况并清理。</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短期停炉：可采用湿保养法：停炉后，将炉水加满，将空气全部排出；2.长期停炉：采用干保养法：停炉后将炉水放掉，打开下部手孔，吹干锅内积水，并通过下部手孔处，投入干燥剂，且应定期更换，开始可每月检查更换—次，以后可三个月一次；3.停炉而没有保持蒸汽压力时，锅炉蒸汽空间会产生负压而滞留空气，因此再次升火燃烧时应先打开总汽阀。</w:t>
            </w:r>
            <w:r/>
          </w:p>
        </w:tc>
      </w:tr>
    </w:tbl>
    <w:p>
      <w:pPr>
        <w:ind w:left="0" w:right="0" w:firstLine="0"/>
        <w:spacing w:before="24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⑧容积式换热器维护内容（节能改造完成前适用）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
        <w:gridCol w:w="735"/>
        <w:gridCol w:w="8377"/>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7"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w:t>
            </w:r>
            <w:r/>
          </w:p>
        </w:tc>
      </w:tr>
      <w:tr>
        <w:trPr>
          <w:trHeight w:val="10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罐体、管道密封性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1.蒸汽管道、热水管道、罐体无泄漏；2.主体运行未超压，罐体无鼓包、裂纹，无局部高温现象；3.通过听棒等设备判断罐体内是否异响，确认换热器内部是否存在异常震动、摩擦。</w:t>
            </w:r>
            <w:r/>
          </w:p>
        </w:tc>
      </w:tr>
      <w:tr>
        <w:trPr>
          <w:trHeight w:val="1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换热器温度、压力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换热器一次侧、二次侧温度、压力，一次侧入口压力不超过0.4MPa，二次侧出口温度不超过60℃（温度过高加速结垢，影响设备换热效率）；2.压力异常应考虑拆洗入口过滤器，确保系统通畅；3.检查管束、罐体是否结垢。</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管道、罐体保温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检查完好情况，修复损坏的保温，确保换热效率。</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凝水检查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1.检查疏水阀、凝水管及支管安装质量及排水通畅；2．按要求拆洗疏水阀组过滤器。</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阀门除锈刷漆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1.按规定要求除锈刷漆；2.检查开启度；3.检查完好情况。</w:t>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电动阀门保养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1.电机电器及控制系统的保养，控制系统稳定性的确认；2.阀门的机械常规保养。</w:t>
            </w:r>
            <w:r/>
          </w:p>
        </w:tc>
      </w:tr>
      <w:tr>
        <w:trPr>
          <w:trHeight w:val="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水箱保温保养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7"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1.按保养要求对水箱除锈刷漆；2.检查完好情况，修复损坏的保温。</w:t>
            </w:r>
            <w:r/>
          </w:p>
        </w:tc>
      </w:tr>
    </w:tbl>
    <w:p>
      <w:pPr>
        <w:ind w:left="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4"/>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三、★商务要求</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项目年度考核管理</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年从年度合同总服务费中计提1‰作为年度服务考核专项基金，基金由中标单位自行管理，使用权归采购人。采购人根据全年月度服务满意度、运维台账、设备维保、供能保障、故障处置、人员在岗等综合考核结果，有权自主分配考核基金（仅用作现场运维相关事项的奖励与考核），提升一线服务积极性。</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合同服务周期</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合同签订当日即刻启动改造、运维服务，合同周期1年，每个合同周期考核合格后可自动续签，最多可续签7次，总服务期不超过8年。</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投资设备要求</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由投标人全额出资采购、安装的节能改造设备，技术参数、制冷/制热量、流量、功率等指标必须匹配现场负荷、机房安装空间、配电条件，满足医院全年供冷、采暖、24小时生活热水稳定运行需求，所有投资项目采购设备满足在-20℃至45℃条件下安全运行条件，同时做好设备机房、设备周边防水措施。</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设备品牌要求：主机、水泵、换热设备、智能计量控制系统等核心设备须选用符合国家标准的优等品，采购人有权对品牌档次进行审核，不符合要求视为投标无效。</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设备投资分摊</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8年服务期内，中标人投资设备产权归中标人；期满且采购人结清全部服务费后，中标人须将完好设备无偿移交采购人，同步移交全套运维资料，并无偿授予采购人仅限本项目使用的相关技术、知识产权永久授权。</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若合作未满8年提前终止，按8年直线折旧法核算中标人剩余未摊销投资成本，采购人于合作终止后付清该款项，款项付清后全部投资设备产权归采购人所有。</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阅江楼院区门诊楼远期规划（品目02）</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中标人须配合采购人院区整体建设规划，预留扩容条件，后续采购人实施门诊楼改造时，确保满足门诊楼整体制冷、采暖的冷热源供给。</w:t>
      </w:r>
      <w:r/>
    </w:p>
    <w:p>
      <w:pPr>
        <w:ind w:left="6"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中标后投标人须立即开展两个院区投资改造项目，合同签订后，合同期内两个院区能源服务费全部按照中标人投标文件中《投标分项报价表》进行结算（包括投资改造施工期内），且投资改造施工期间，阅江楼院区能源服务费用不受燃气单价变化而调整。</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4"/>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上述中加注“★”符号的关键条款指标为实质性要求，不允许负偏离，否则投标无效；加注“▲”符号的重要条款指标；其他为一般条款指标。</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加注“★”符号的关键条款指标、加注“▲”符号的重要条款指标和一般条款指标要求提供相关材料的，均须提供证明材料，未提供的评委有权认定为负偏离。</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商务要求条款均为实质性要求不允许负偏离，否则投标无效。</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对应中小企业划分标准所属行业：其他未列明行业。</w:t>
        <w:br w:type="page" w:clear="all"/>
      </w:r>
      <w:r/>
    </w:p>
    <w:p>
      <w:pPr>
        <w:pStyle w:val="71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0"/>
        </w:rPr>
        <w:t xml:space="preserve">第五章</w:t>
      </w:r>
      <w:r>
        <w:rPr>
          <w:rFonts w:ascii="Arial" w:hAnsi="Arial" w:eastAsia="Arial" w:cs="Arial"/>
          <w:b/>
          <w:color w:val="000000"/>
          <w:sz w:val="40"/>
        </w:rPr>
        <w:t xml:space="preserve">  </w:t>
      </w:r>
      <w:r>
        <w:rPr>
          <w:rFonts w:ascii="Microsoft YaHei" w:hAnsi="Microsoft YaHei" w:eastAsia="Microsoft YaHei" w:cs="Microsoft YaHei"/>
          <w:b/>
          <w:color w:val="000000"/>
          <w:sz w:val="40"/>
        </w:rPr>
        <w:t xml:space="preserve">评标方法与评标标准</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1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480"/>
        <w:spacing w:before="120" w:after="12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48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61"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61"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61"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161"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7、采购本国产品的支持政策（</w:t>
      </w:r>
      <w:r>
        <w:rPr>
          <w:rFonts w:ascii="SimSun" w:hAnsi="SimSun" w:eastAsia="SimSun" w:cs="SimSun"/>
          <w:b/>
          <w:color w:val="ff0000"/>
          <w:sz w:val="24"/>
        </w:rPr>
        <w:t xml:space="preserve">本项目不适用</w:t>
      </w:r>
      <w:r>
        <w:rPr>
          <w:rFonts w:ascii="SimSun" w:hAnsi="SimSun" w:eastAsia="SimSun" w:cs="SimSun"/>
          <w:color w:val="ff0000"/>
          <w:sz w:val="24"/>
        </w:rPr>
        <w:t xml:space="preserve">）</w:t>
      </w:r>
      <w:r/>
    </w:p>
    <w:p>
      <w:pPr>
        <w:ind w:left="0" w:right="0" w:firstLine="480"/>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7.1 本项目政府采购活动中既有本国产品又有非本国产品参与竞争的，依法对本国产品给予价格评审优惠，对本国产品的报价给予  20%的价格扣除，用扣除后的价格参与评审。</w:t>
      </w:r>
      <w:r/>
    </w:p>
    <w:p>
      <w:pPr>
        <w:ind w:left="0" w:right="0" w:firstLine="480"/>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7.3 供应商需按照招标文件的要求提供《关于符合本国产品标准的声明函》（以下简称《声明函》），如不提供将不享受本国产品价格评审优惠。</w:t>
      </w:r>
      <w:r/>
    </w:p>
    <w:p>
      <w:pPr>
        <w:ind w:left="0" w:right="0" w:firstLine="480"/>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符合性审查内容</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11"/>
        </w:numP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具体要求详见报价表要求。</w:t>
      </w:r>
      <w:r/>
    </w:p>
    <w:p>
      <w:pPr>
        <w:numPr>
          <w:ilvl w:val="0"/>
          <w:numId w:val="11"/>
        </w:numP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2.1《第六章投标文件格式》中“投标文件构成”有实质性缺漏的；</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2.2响应文件签字、盖章符合文件要求；</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2.3出现备选投标方案的；</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2.4出现采购人不能接受的附加条件的；</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2.5投标文件出现法律、法规和招标文件规定的其他无效情形；</w:t>
      </w:r>
      <w:r/>
    </w:p>
    <w:p>
      <w:pPr>
        <w:numPr>
          <w:ilvl w:val="0"/>
          <w:numId w:val="11"/>
        </w:numP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3.1《技术、商务条款偏离表》中★条款出现任何负偏离的。</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2"/>
        <w:gridCol w:w="6844"/>
        <w:gridCol w:w="916"/>
      </w:tblGrid>
      <w:tr>
        <w:trPr>
          <w:trHeight w:val="2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分值（分）</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投标文件要求且价格最低的投标报价为评标基准价，其价格分为满分10分。其他投标人的价格分按照下列公式计算，保留小数点后2位：投标报价得分=（评标基准价／投标报价）×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vMerge w:val="restart"/>
            <w:textDirection w:val="lrTb"/>
            <w:noWrap w:val="false"/>
          </w:tcPr>
          <w:p>
            <w:pPr>
              <w:ind w:left="0" w:right="0" w:firstLine="0"/>
              <w:jc w:val="center"/>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业绩及满意度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1、由评委根据投标文件中提供所投服务的类似项目业绩情况进行评审：</w:t>
            </w:r>
            <w:r/>
          </w:p>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投标人提供自2023年1月1日以来（以合同签字日期为准）五年期及以上的合同能源托管项目下合同相关页及项目正常运行的证明文件记为一份业绩，每提供一份业绩得3分，最高得15分，未提供或有缺漏的不得分。</w:t>
            </w:r>
            <w:r/>
          </w:p>
          <w:p>
            <w:pPr>
              <w:ind w:left="0" w:right="0" w:firstLine="0"/>
              <w:spacing w:before="21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由投标人提供经营业绩情况说明列表，合同内容包括但不限于采购方名称、服务期限、合同金额、签订时间等。项目正常运行的证明文件包括但不限于开标之日前近半年内能源管理服务费发票、电费、燃气费用发票等。同一采购方业绩不重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103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上述有效业绩相对应的业主单位出具的服务满意或优秀或同等级的评价证明材料，每提供一个证明材料得2分，最高得10分（评价证明材料需加盖业主单位公章，提供出具单位的联系人和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投标人提供项目运维团队组织架构，配置符合国家和行业规定的运营服务人员，评委对投标人拟派驻的服务团队中人员情况进行评分：</w:t>
            </w:r>
            <w:r/>
          </w:p>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提供相应人员的以下证明材料：①投标人在投标文件递交截止时间前六个月内任一月份为其缴纳社保的证明；②相关身份证、职称、资质证书复印件。未按要求提供证明材料的，不得分。一人多证可跨项重复统计。</w:t>
            </w:r>
            <w:r/>
          </w:p>
          <w:p>
            <w:pPr>
              <w:numPr>
                <w:ilvl w:val="0"/>
                <w:numId w:val="12"/>
              </w:numPr>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项目负责人同时具备特种设备安全管理证（A证）及高压电工作业证，得4分；</w:t>
            </w:r>
            <w:r/>
          </w:p>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2人及以上持有中级以上职称的专业技术资格（电气、电子、空调制冷、工程管理等相关专业）职业资格证书，得2分；</w:t>
            </w:r>
            <w:r/>
          </w:p>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3人及以上持有锅炉司炉证（G1），得2分；</w:t>
            </w:r>
            <w:r/>
          </w:p>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3人及以上持有锅炉水处理证（G3），得2分；</w:t>
            </w:r>
            <w:r/>
          </w:p>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 6人及以上持有高压电工证，得2分。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r>
        <w:trPr>
          <w:trHeight w:val="16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项目负责人拥有类似规模项目（服务面积不低于5万㎡）运营服务经历满3年的，得5分，不满足不得分。</w:t>
            </w:r>
            <w:r/>
          </w:p>
          <w:p>
            <w:pPr>
              <w:ind w:left="0" w:right="0" w:firstLine="0"/>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证明要求：提供业绩合同相关页复印件（或提供业主单位盖章的工作经验证明材料），以及投标人在投标文件递交截止时间前六个月内任一月份为其缴纳社保的证明，缺一不可，未提供不得分。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投标人具有离心式冷水机组、燃气锅炉、风冷热泵、太阳能热水系统</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的设备运维能力，提供含有上述设备运维内容的合同复印件或能体现上述设备运维内容的相关证明文件，每拥有1项运维能力得2分，最高得8分。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vMerge w:val="restart"/>
            <w:textDirection w:val="lrTb"/>
            <w:noWrap w:val="false"/>
          </w:tcPr>
          <w:p>
            <w:pPr>
              <w:ind w:left="0" w:right="0" w:firstLine="0"/>
              <w:jc w:val="center"/>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节能改造方案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结合现场踏勘情况提交节能诊断分析，内容须涵盖能耗分析、空调、锅炉、热水主要用能设备能效评估、系统运行工况分析。方案要素齐全、数据翔实、分析科学合理、贴合项目现场实际，得4分；具备相关诊断内容，但论证深度不足、科学合理性一般，仅基本满足需求，得2分；无节能诊断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192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节能改造方案，包含实施方案与现场配合、改造施工过程中的重难点描述及采取的针对性措施、质量保证措施、施工总体进度计划及保证措施、文明施工保证措施等。方案体系完整、内容翔实、逻辑严谨，贴合项目实际需求，技术路线科学合理、落地性强，得4分；方案内容基本齐全，可满足项目基础改造需求，但技术论证浅显、针对性不足、科学合理性一般，存在一定优化空间，得2分；未提供节能改造方案或方案内容空缺、无效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vMerge w:val="restart"/>
            <w:textDirection w:val="lrTb"/>
            <w:noWrap w:val="false"/>
          </w:tcPr>
          <w:p>
            <w:pPr>
              <w:ind w:left="0" w:right="0" w:firstLine="0"/>
              <w:jc w:val="center"/>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运维服务方案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中央空调主设备、锅炉维保方案</w:t>
            </w:r>
            <w:r/>
          </w:p>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结合项目现场勘察情况及项目实际需求，编制冷冻机组、燃气锅炉、板式换热器运行维护保养方案。方案内容完整全面、措施具体可行，技术路线科学规范，维保计划合理适配项目工况，可充分满足项目运维需求的得4 分；方案要素基本齐全，维保内容可满足项目基础运维要求的得2分；未提供维保方案或方案内容缺失严重、无法满足项目维保需求的，本项不得分。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中央空调输配及末端维保方案</w:t>
            </w:r>
            <w:r/>
          </w:p>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结合现场踏勘情况及项目实际工况，编制中央空调输配系统、管路系统维保、水质管理、系统清洗、空调末端（风机盘管、新风机组等）清洗维护方案。方案内容完整翔实、措施具体落地，维保安排适配项目实际需求的得4分；方案要素基本齐备，可满足项目基础运维要求的得2分；未提交维保方案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太阳能及生活热水系统维保方案</w:t>
            </w:r>
            <w:r/>
          </w:p>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结合现场踏勘情况，编制太阳能及生活热水系统维保方案，涵盖太阳能集热板、热水换热罐、储热水箱、循环水泵等设施维保内容。方案体系完整、维保措施翔实可行，技术思路科学规范，维保计划贴合项目运行实际，可全面满足运维需求得4分；方案核心要素基本齐全，能够满足项目基础维保要求得2分；未提交维保方案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操作规程</w:t>
            </w:r>
            <w:r/>
          </w:p>
          <w:p>
            <w:pPr>
              <w:ind w:left="0" w:right="0" w:firstLine="0"/>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结合现场踏勘情况，编制完整设备操作规程，包含燃气系统、空调主机、锅炉、水泵、冷却塔、补水、排气、阀门、泄水、管网巡检、新风机、组合式风柜、配电房等相关操作流程。规程内容完整翔实、步骤清晰规范，技术逻辑科学合理，可满足现场安全规范操作要求得4分；规程要素基本齐备，能够满足基础操作管理需求得2分；未提交操作规程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标准化机房建设</w:t>
            </w:r>
            <w:r/>
          </w:p>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结合现场踏勘情况，编制标准化机房建设实施方案，涵盖机房展板布设、系统功能标识、安全警示标识、开关及设备标牌制作安装、管理制度上墙、现场规范化整治等相关内容。方案内容完整翔实，实施措施具体可行，规划科学合规，可全面实现机房标准化管理要求得4分；方案核心要素基本齐全，能够满足机房基础标准化建设需求得2分；未提交建设方案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运营服务体系能力建设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依据投标人提交的运营服务体系方案横向对比评审，重点核查运行管理组织架构、岗位职责划分的完整性与合理性，日常管理制度、各岗位标准化作业流程，以及故障问题反馈、处置闭环机制等内容。方案架构完善、制度健全、处置机制清晰科学，可充分保障项目稳定运营得4分；方案要素基本齐全，能够满足项目基础运营管理要求得2 分；方案不完善无法满足项目需求或未提供方案的，本项不得分。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组织管理方案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依据投标人提交的项目组织方案进行横向综合评审，重点考察项目组织架构、配套管理制度、质量管理目标及质量保障措施等核心内容。方案架构健全、制度体系完善、目标清晰明确、保障措施科学具体、可高效落地实施，全面契合项目管理需求得4分；方案核心要素基本齐全，可满足项目基础管理需求得2分；方案内容不完善、措施缺失，无法适配项目管理要求或未提交方案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应急管理方案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200" w:after="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投标人提交的能源管理服务应急管理预案进行综合评审，重点核查预案的风险预判、应急处置流程、物资保障、应急响应及事后复盘整改等关键内容。预案体系完整、内容翔实、流程规范、措施科学可行，能够全面保障项目突发工况处置需求得4分；预案要素基本齐全，可满足项目基础应急管理需求得2分；预案内容残缺、逻辑混乱、无法适配项目应急场景或未提交方案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13"/>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0"/>
        </w:rPr>
        <w:t xml:space="preserve">第六章  投标文件格式</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投  标  文  件</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p>
    <w:p>
      <w:pPr>
        <w:ind w:left="0" w:right="0" w:firstLine="0"/>
        <w:jc w:val="center"/>
        <w:spacing w:before="24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24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8"/>
        </w:rPr>
        <w:t xml:space="preserve">投标文件目录</w:t>
      </w:r>
      <w:r/>
    </w:p>
    <w:p>
      <w:pPr>
        <w:ind w:left="0" w:right="0" w:firstLine="0"/>
        <w:jc w:val="center"/>
        <w:spacing w:before="24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一、基本目录</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1.开标一览表（格式见附件1）</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2.投标分项报价表（格式见附件2）</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3.技术要求响应及偏离表（格式见附件3）</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4.商务要求响应及偏离表（格式见附件4）</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二、资格审查</w:t>
      </w:r>
      <w:r/>
    </w:p>
    <w:p>
      <w:pPr>
        <w:ind w:left="0" w:right="0" w:firstLine="56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1.投标人符合《政府采购法》第二十二条规定条件（格式见附件5）</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2.特定资格要求的证明文件（如果本项目对投标人做出特定资格要求的，必须提供）（格式见附件6）</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3.投标函（格式见附件7）</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4.中小微企业声明函（格式见附件8）</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5.残疾人福利性单位声明函（格式见附件9）</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上述“资格审查内容”中1、3条投标人必须在投标文件中提供相关材料，否则作无效投标处理；2条如招标文件要求必须提供相关材料而未提供的，作无效投标处理；4、5条根据政府采购优惠政策落实情况提供——如为专门面向中小企业采购的项目则必须提供。</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三、符合性审查</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投标人必须对采购需求中的实质性要求逐条做出响应，并按照招标文件要求提供证明材料，否则做无效投标处理，详见第五章。</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四、价格扣除证明文件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1.中小微企业声明函（格式见附件8）</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2.残疾人福利性单位声明函（格式见附件9）</w:t>
      </w:r>
      <w:r/>
    </w:p>
    <w:p>
      <w:pPr>
        <w:ind w:left="48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14"/>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 开标一览表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开标一览表</w:t>
      </w:r>
      <w:r/>
    </w:p>
    <w:p>
      <w:pPr>
        <w:ind w:left="0" w:right="0" w:firstLine="48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投标人全称（加盖CA电子签章）：</w:t>
      </w:r>
      <w:r/>
    </w:p>
    <w:p>
      <w:pPr>
        <w:ind w:left="0" w:right="0" w:firstLine="48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p>
      <w:pPr>
        <w:ind w:left="0" w:right="0" w:firstLine="482"/>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p>
    <w:p>
      <w:pPr>
        <w:ind w:left="0" w:right="0" w:firstLine="482"/>
        <w:spacing w:before="240" w:after="16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5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val="false"/>
          </w:tcPr>
          <w:p>
            <w:pPr>
              <w:ind w:left="0" w:right="0" w:firstLine="0"/>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w:t>
            </w:r>
            <w:r>
              <w:rPr>
                <w:rFonts w:ascii="Calibri" w:hAnsi="Calibri" w:eastAsia="Calibri" w:cs="Calibri"/>
                <w:color w:val="000000"/>
                <w:sz w:val="28"/>
              </w:rPr>
              <w:t xml:space="preserve">     </w:t>
            </w:r>
            <w:r>
              <w:rPr>
                <w:rFonts w:ascii="FangSong" w:hAnsi="FangSong" w:eastAsia="FangSong" w:cs="FangSong"/>
                <w:color w:val="000000"/>
                <w:sz w:val="28"/>
              </w:rPr>
              <w:t xml:space="preserve">                          （人民币：           元）</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16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备注：本表格式以苏彩云系统内表格为准。</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14"/>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附件2 投标分项报价表</w:t>
      </w:r>
      <w:r/>
    </w:p>
    <w:p>
      <w:pPr>
        <w:ind w:left="6" w:right="0" w:firstLine="0"/>
        <w:jc w:val="center"/>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投标分项报价表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（根据品目填写对应条目，不得超过各品目最高限价）</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3"/>
        <w:gridCol w:w="1101"/>
        <w:gridCol w:w="901"/>
        <w:gridCol w:w="479"/>
        <w:gridCol w:w="657"/>
        <w:gridCol w:w="5859"/>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综合单价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综合合价（元）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59"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82"/>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0" w:type="dxa"/>
            <w:vAlign w:val="center"/>
            <w:textDirection w:val="lrTb"/>
            <w:noWrap/>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品目01：迈皋桥院区</w:t>
            </w:r>
            <w:r/>
          </w:p>
        </w:tc>
      </w:tr>
      <w:tr>
        <w:trPr>
          <w:trHeight w:val="2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迈区全院能源总包基础服务费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9"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70415.62㎡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59"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费用组成：全院电费、锅炉房燃气费（不含卫热）、设备设施维护费、运行人工费，单价按总面积均摊核算，含空调末端设备500元以下配件免费更换</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迈区卫生热水计量费用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 w:type="dxa"/>
            <w:vAlign w:val="center"/>
            <w:textDirection w:val="lrTb"/>
            <w:noWrap/>
          </w:tcPr>
          <w:p>
            <w:pPr>
              <w:ind w:left="0" w:right="0" w:firstLine="0"/>
              <w:jc w:val="both"/>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6600吨/年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9" w:type="dxa"/>
            <w:vAlign w:val="center"/>
            <w:textDirection w:val="lrTb"/>
            <w:noWrap/>
          </w:tcPr>
          <w:p>
            <w:pPr>
              <w:ind w:left="0" w:right="0" w:firstLine="0"/>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综合单价包含卫生热水能源费、热水设备设施维护费、现场运行人工成本；按年度预估用水量6600吨测算总价，合同执行期间按实际热水使用吨数结算费用</w:t>
            </w:r>
            <w:r/>
          </w:p>
        </w:tc>
      </w:tr>
      <w:tr>
        <w:trPr>
          <w:trHeight w:val="558"/>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0"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品目02：阅江楼院区</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阅区中央空调基础服务费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9"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59" w:type="dxa"/>
            <w:vAlign w:val="center"/>
            <w:textDirection w:val="lrTb"/>
            <w:noWrap/>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费用组成：中央空调能源费，</w:t>
            </w:r>
            <w:r>
              <w:rPr>
                <w:rFonts w:ascii="SimSun" w:hAnsi="SimSun" w:eastAsia="SimSun" w:cs="SimSun"/>
                <w:color w:val="000000"/>
                <w:sz w:val="24"/>
              </w:rPr>
              <w:t xml:space="preserve">含锅炉气费及空调电费等</w:t>
            </w:r>
            <w:r>
              <w:rPr>
                <w:rFonts w:ascii="SimSun" w:hAnsi="SimSun" w:eastAsia="SimSun" w:cs="SimSun"/>
                <w:color w:val="000000"/>
                <w:sz w:val="24"/>
                <w:highlight w:val="white"/>
              </w:rPr>
              <w:t xml:space="preserve">、中央空调设备设施维护费、运行人工费；单价按服务面积均摊核算；包含末端设备 500 元以内配件免费更换</w:t>
            </w:r>
            <w:r/>
          </w:p>
        </w:tc>
      </w:tr>
      <w:tr>
        <w:trPr>
          <w:trHeight w:val="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阅区卫生热水计量费用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8500吨/年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9" w:type="dxa"/>
            <w:vAlign w:val="center"/>
            <w:textDirection w:val="lrTb"/>
            <w:noWrap/>
          </w:tcPr>
          <w:p>
            <w:pPr>
              <w:ind w:left="0" w:right="0" w:firstLine="0"/>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综合单价包含卫生热水能源费、热水设备设施维护费、现场运行人工成本；按年度预估用水量8500吨测算总价，合同执行期间按实际热水使用吨数结算费用</w:t>
            </w:r>
            <w:r/>
          </w:p>
        </w:tc>
      </w:tr>
      <w:tr>
        <w:trPr>
          <w:trHeight w:val="67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4"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9"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4"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投标总报价（元/八年）：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9" w:type="dxa"/>
            <w:vAlign w:val="center"/>
            <w:textDirection w:val="lrTb"/>
            <w:noWrap/>
          </w:tcPr>
          <w:p>
            <w:pPr>
              <w:ind w:left="0" w:right="0" w:firstLine="0"/>
              <w:jc w:val="center"/>
              <w:spacing w:before="200" w:after="160" w:line="229"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48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报价采用总承包方式，“投标总报价”应包括采购人需求的服务（包含与服务相关的货物）价格、培训费用等，项目在指定地点、环境交付、安装、调试、验收所需费用和所有相关税金费用及为完成整个项目所产生的其它所有费用，招标文件另有规定的除外。</w:t>
      </w:r>
      <w:r/>
    </w:p>
    <w:p>
      <w:pPr>
        <w:ind w:left="48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2.“投标分项报价表”中“投标总报价”数额应当与“开标一览表”中“投标总报价”数额一致。</w:t>
      </w:r>
      <w:r/>
    </w:p>
    <w:p>
      <w:pPr>
        <w:ind w:left="48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项目经办人可以根据项目实际需要对表格结构进行调整。</w:t>
      </w:r>
      <w:r>
        <w:rPr>
          <w:rFonts w:ascii="Calibri" w:hAnsi="Calibri" w:eastAsia="Calibri" w:cs="Calibri"/>
          <w:b/>
          <w:color w:val="000000"/>
          <w:sz w:val="28"/>
        </w:rPr>
        <w:t xml:space="preserve"> </w:t>
      </w:r>
      <w:r/>
    </w:p>
    <w:p>
      <w:pPr>
        <w:ind w:left="48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pStyle w:val="714"/>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附件3 技术要求响应及偏离表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技术要求响应及偏离表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2757"/>
        <w:gridCol w:w="2835"/>
        <w:gridCol w:w="2854"/>
      </w:tblGrid>
      <w:tr>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8" w:type="dxa"/>
            <w:vAlign w:val="center"/>
            <w:textDirection w:val="lrTb"/>
            <w:noWrap w:val="false"/>
          </w:tcPr>
          <w:p>
            <w:pPr>
              <w:ind w:left="0" w:right="0" w:firstLine="0"/>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对本项目技术条款的偏离情况（</w:t>
            </w:r>
            <w:r>
              <w:rPr>
                <w:rFonts w:ascii="FangSong" w:hAnsi="FangSong" w:eastAsia="FangSong" w:cs="FangSong"/>
                <w:b/>
                <w:color w:val="000000"/>
                <w:sz w:val="28"/>
              </w:rPr>
              <w:t xml:space="preserve">请进行勾选</w:t>
            </w:r>
            <w:r>
              <w:rPr>
                <w:rFonts w:ascii="FangSong" w:hAnsi="FangSong" w:eastAsia="FangSong" w:cs="FangSong"/>
                <w:color w:val="000000"/>
                <w:sz w:val="28"/>
              </w:rPr>
              <w:t xml:space="preserve">）：</w:t>
            </w:r>
            <w:r/>
          </w:p>
          <w:p>
            <w:pPr>
              <w:ind w:left="0" w:right="0" w:firstLine="0"/>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□无偏离（如无偏离，仅勾选无偏离即可，视同全部响应）</w:t>
            </w:r>
            <w:r/>
          </w:p>
          <w:p>
            <w:pPr>
              <w:ind w:left="0" w:right="0" w:firstLine="0"/>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□有偏离（如有偏离，则应在本表中对偏离项逐一列明）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4"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4"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7"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4"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附件3-1  证明材料1，证明材料2，……</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1.投标人需对《第四章 采购需求》二、技术要求逐条做出响应,如有偏离项（不能提供的产品或服务），请于本表中列明偏离内容，如需要可自行延长，其余无偏离内容无须填写。</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2.若逐条响应，本表需根据招标文件《第四部分：采购需求》的全部技术内容应答，不允许缺漏，否则视为无效投标。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3.如果招标文件要求提供证明材料，投标人需将证明材料列于该表之下。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pStyle w:val="71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附件4 商务要求响应及偏离表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商务要求响应及偏离表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0"/>
        <w:gridCol w:w="2979"/>
        <w:gridCol w:w="3103"/>
        <w:gridCol w:w="2742"/>
      </w:tblGrid>
      <w:tr>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对本项目技术、商务条款的偏离情况（</w:t>
            </w:r>
            <w:r>
              <w:rPr>
                <w:rFonts w:ascii="FangSong" w:hAnsi="FangSong" w:eastAsia="FangSong" w:cs="FangSong"/>
                <w:b/>
                <w:color w:val="000000"/>
                <w:sz w:val="28"/>
              </w:rPr>
              <w:t xml:space="preserve">请进行勾选</w:t>
            </w:r>
            <w:r>
              <w:rPr>
                <w:rFonts w:ascii="FangSong" w:hAnsi="FangSong" w:eastAsia="FangSong" w:cs="FangSong"/>
                <w:color w:val="000000"/>
                <w:sz w:val="28"/>
              </w:rPr>
              <w:t xml:space="preserve">）：</w:t>
            </w:r>
            <w:r/>
          </w:p>
          <w:p>
            <w:pPr>
              <w:ind w:left="0" w:right="0" w:firstLine="0"/>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□无偏离（如无偏离，仅勾选无偏离即可，视同全部响应）</w:t>
            </w:r>
            <w:r/>
          </w:p>
          <w:p>
            <w:pPr>
              <w:ind w:left="0" w:right="0" w:firstLine="0"/>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□有偏离（如有偏离，则应在本表中对偏离项逐一列明）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9"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0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9"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2"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9"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2"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1.投标人需对《第四章 采购需求》三、商务要求逐条做出响应,如有偏离项（不能提供的产品或服务），请于本表中列明偏离内容，如需要可自行延长，其余无偏离内容无须填写。</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2.若逐条响应，本表需根据招标文件《第四部分：采购需求》的全部商务内容应答，不允许缺漏，否则视为无效投标。</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pStyle w:val="714"/>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附件5 声明函</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投标人符合《政府采购法》第二十二条规定条件的声明函</w:t>
      </w:r>
      <w:r/>
    </w:p>
    <w:p>
      <w:pPr>
        <w:ind w:left="0" w:right="0" w:firstLine="0"/>
        <w:jc w:val="both"/>
        <w:spacing w:before="24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我单位参加</w:t>
      </w:r>
      <w:r>
        <w:rPr>
          <w:rFonts w:ascii="FangSong" w:hAnsi="FangSong" w:eastAsia="FangSong" w:cs="FangSong"/>
          <w:color w:val="000000"/>
          <w:sz w:val="28"/>
          <w:u w:val="single"/>
        </w:rPr>
        <w:t xml:space="preserve">________________ _</w:t>
      </w:r>
      <w:r>
        <w:rPr>
          <w:rFonts w:ascii="FangSong" w:hAnsi="FangSong" w:eastAsia="FangSong" w:cs="FangSong"/>
          <w:color w:val="000000"/>
          <w:sz w:val="28"/>
        </w:rPr>
        <w:t xml:space="preserve">（项目名称），</w:t>
      </w:r>
      <w:r>
        <w:rPr>
          <w:rFonts w:ascii="FangSong" w:hAnsi="FangSong" w:eastAsia="FangSong" w:cs="FangSong"/>
          <w:color w:val="000000"/>
          <w:sz w:val="28"/>
          <w:u w:val="single"/>
        </w:rPr>
        <w:t xml:space="preserve">_______ __________</w:t>
      </w:r>
      <w:r>
        <w:rPr>
          <w:rFonts w:ascii="FangSong" w:hAnsi="FangSong" w:eastAsia="FangSong" w:cs="FangSong"/>
          <w:color w:val="000000"/>
          <w:sz w:val="28"/>
        </w:rPr>
        <w:t xml:space="preserve">（项目编号）投标活动。针对《中华人民共和国政府采购法》第二十二条规定做出如下声明：</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1.我单位具有独立承担民事责任的能力；</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2.我单位具有良好的商业信誉和健全的财务会计制度；</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3.我单位具有履行合同所必需的设备和专业技术能力；</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4.我单位有依法缴纳税收和社会保障资金的良好记录；</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6.我单位满足法律、行政法规规定的其他条件。</w:t>
      </w:r>
      <w:r/>
    </w:p>
    <w:p>
      <w:pPr>
        <w:ind w:left="0" w:right="0" w:firstLine="482"/>
        <w:jc w:val="both"/>
        <w:spacing w:before="24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承诺人名称（公章）：</w:t>
      </w:r>
      <w:r/>
    </w:p>
    <w:p>
      <w:pPr>
        <w:ind w:left="0" w:right="0" w:firstLine="0"/>
        <w:jc w:val="right"/>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______</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___</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___</w:t>
      </w:r>
      <w:r>
        <w:rPr>
          <w:rFonts w:ascii="FangSong" w:hAnsi="FangSong" w:eastAsia="FangSong" w:cs="FangSong"/>
          <w:color w:val="000000"/>
          <w:sz w:val="28"/>
        </w:rPr>
        <w:t xml:space="preserve">日</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一、具有独立承担民事责任的能力</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二、具有良好的商业信誉和健全的财务会计制度</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一年度的财务状况报告（2025年度经审计的财务报告，或投标截止时间前六个月内任一月份企业编制的会计报表（至少包括资产负债表和利润表），或投标截止时间前六个月内银行出具的资信证明，复印件加盖公章），成立不满一年无需提供</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三、有依法缴纳税收和社会保障资金的良好记录</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依法纳税凭据：提供参加政府采购活动前半年内（2025年12月-2026年05月）的任一月依法纳税的凭据，如完税凭证或税务机关开具的完税证明（个人所得税除外）；</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缴纳社会保险的凭据：提供参加政府采购活动前半年内（2025年12月-2026年05月）的任一月缴纳社会保险的凭据，如专用收据或社会保险缴纳清单；</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依法免税或不需要缴纳社会保障资金的证明文件：如果供应商依法免税或不需要缴纳社会保障资金，则须提供相应的证明文件，以说明其免税或无需缴纳的依据和情况。</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四、具备履行合同所必需的设备和专业技术能力</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提供书面声明：</w:t>
      </w:r>
      <w:r/>
    </w:p>
    <w:p>
      <w:pPr>
        <w:ind w:left="0" w:right="0" w:firstLine="0"/>
        <w:jc w:val="center"/>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40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我公司郑重声明：具有履行编号为</w:t>
      </w:r>
      <w:r>
        <w:rPr>
          <w:rFonts w:ascii="FangSong" w:hAnsi="FangSong" w:eastAsia="FangSong" w:cs="FangSong"/>
          <w:color w:val="000000"/>
          <w:sz w:val="28"/>
        </w:rPr>
        <w:t xml:space="preserve">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-SHGK-</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SimSun" w:hAnsi="SimSun" w:eastAsia="SimSun" w:cs="SimSun"/>
          <w:color w:val="000000"/>
          <w:sz w:val="24"/>
        </w:rPr>
        <w:t xml:space="preserve">项下采购项目合同的设备和专业技术能力。</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五、参加政府采购活动前 3 年内在经营活动中没有重大违法记录</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提供书面声明：</w:t>
      </w:r>
      <w:r/>
    </w:p>
    <w:p>
      <w:pPr>
        <w:ind w:left="0" w:right="0" w:firstLine="0"/>
        <w:jc w:val="center"/>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6"/>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26"/>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24"/>
        <w:jc w:val="both"/>
        <w:spacing w:before="24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br w:type="page" w:clear="all"/>
      </w:r>
      <w:r/>
    </w:p>
    <w:p>
      <w:pPr>
        <w:ind w:left="0" w:right="0" w:firstLine="424"/>
        <w:jc w:val="both"/>
        <w:spacing w:before="24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六、具备法律、行政法规规定的其他资格条件的声明</w:t>
      </w:r>
      <w:r/>
    </w:p>
    <w:p>
      <w:pPr>
        <w:ind w:left="0" w:right="0" w:firstLine="560"/>
        <w:jc w:val="center"/>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声明</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致：南京医科大学第二附属医院</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我公司郑重声明：我公司具有XXXXX项目（项目编号XXXXXX）法律、行政法规规定的其他资格条件。</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特此声明！</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5"/>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425"/>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425"/>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420"/>
        <w:spacing w:before="210" w:after="120" w:line="241" w:lineRule="atLeast"/>
        <w:pBdr>
          <w:top w:val="none" w:color="000000" w:sz="4" w:space="0"/>
          <w:left w:val="none" w:color="000000" w:sz="4" w:space="0"/>
          <w:bottom w:val="none" w:color="000000" w:sz="4" w:space="0"/>
          <w:right w:val="none" w:color="000000" w:sz="4" w:space="0"/>
        </w:pBdr>
      </w:pPr>
      <w:r>
        <w:br w:type="page" w:clear="all"/>
      </w:r>
      <w:r/>
    </w:p>
    <w:p>
      <w:pPr>
        <w:pStyle w:val="714"/>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附件6特定资格要求的证明文件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71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附件7投标函</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投标函</w:t>
      </w:r>
      <w:r/>
    </w:p>
    <w:p>
      <w:pPr>
        <w:ind w:left="0" w:right="0" w:firstLine="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致：江苏苏豪创新科技集团高科有限公司</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根据贵方的JSZC-320***-SHGK-*****-****号招标文件，正式授权下述签字人_____(姓名)代表我方_______（投标人的名称），全权处理本次项目投标的有关事宜。</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据此函，__________签字人兹宣布同意如下：</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1.按招标文件规定的各项要求，向买方提供所需货物（包含与货物相关的服务）。</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2.我们完全理解贵方不一定将合同授予最低报价的投标人。</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3.我们已详细审核全部招标文件及其有效补充文件，我们知道必须放弃提出含糊不清或误解问题的权利。</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4.我们同意从规定的开标日期起遵循本投标文件，并在规定的投标有效期期满之前均具有约束力。</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5.同意向贵方提供贵方可能另外要求的与投标有关的任何证据或资料，并保证我方已提供和将要提供的文件是真实的、准确的。</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6.一旦我方中标,我方将根据招标文件的规定，严格履行合同的责任和义务,并保证在招标文件规定的时间完成项目，交付买方验收、使用。</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7.与本投标有关的正式通讯地址为：</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         编：</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         真：</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投标人开户行：</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         号： </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期：________年____月____日</w:t>
      </w:r>
      <w:r/>
    </w:p>
    <w:p>
      <w:pPr>
        <w:ind w:left="0" w:right="0" w:firstLine="420"/>
        <w:spacing w:before="210" w:after="120" w:line="241" w:lineRule="atLeast"/>
        <w:pBdr>
          <w:top w:val="none" w:color="000000" w:sz="4" w:space="0"/>
          <w:left w:val="none" w:color="000000" w:sz="4" w:space="0"/>
          <w:bottom w:val="none" w:color="000000" w:sz="4" w:space="0"/>
          <w:right w:val="none" w:color="000000" w:sz="4" w:space="0"/>
        </w:pBdr>
      </w:pPr>
      <w:r>
        <w:br w:type="page" w:clear="all"/>
      </w:r>
      <w:r/>
    </w:p>
    <w:p>
      <w:pPr>
        <w:pStyle w:val="71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附件8 中小微企业声明函</w:t>
      </w:r>
      <w:r/>
    </w:p>
    <w:p>
      <w:pPr>
        <w:ind w:left="0" w:right="0" w:firstLine="281"/>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中小企业声明函（服务类项目）</w:t>
      </w:r>
      <w:r/>
    </w:p>
    <w:p>
      <w:pPr>
        <w:ind w:left="0" w:right="0" w:firstLine="56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本公司（联合体）郑重声明，根据《政府采购促进中小企业发展管理办法》(财库[2020]46号)的规定，本公司（联合体）参加江苏苏豪创新科技集团高科有限公司组织的（单位名称）采购编号为JSZC-320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，（项目名称）（分包号：</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360"/>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其他未列明行业</w:t>
      </w:r>
      <w:r>
        <w:rPr>
          <w:rFonts w:ascii="FangSong" w:hAnsi="FangSong" w:eastAsia="FangSong" w:cs="FangSong"/>
          <w:color w:val="000000"/>
          <w:sz w:val="28"/>
        </w:rPr>
        <w:t xml:space="preserve">行业；承接企业为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w:t>
      </w:r>
      <w:r>
        <w:rPr>
          <w:rFonts w:ascii="FangSong" w:hAnsi="FangSong" w:eastAsia="FangSong" w:cs="FangSong"/>
          <w:color w:val="000000"/>
          <w:sz w:val="28"/>
          <w:vertAlign w:val="superscript"/>
        </w:rPr>
        <w:t xml:space="preserve">1</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（□中型企业 □小型企业 □微型企业）；</w:t>
      </w:r>
      <w:r/>
    </w:p>
    <w:p>
      <w:pPr>
        <w:ind w:left="0" w:right="0" w:firstLine="360"/>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其他未列明行业</w:t>
      </w:r>
      <w:r>
        <w:rPr>
          <w:rFonts w:ascii="FangSong" w:hAnsi="FangSong" w:eastAsia="FangSong" w:cs="FangSong"/>
          <w:color w:val="000000"/>
          <w:sz w:val="28"/>
        </w:rPr>
        <w:t xml:space="preserve">行业；承接企业为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w:t>
      </w:r>
      <w:r>
        <w:rPr>
          <w:rFonts w:ascii="FangSong" w:hAnsi="FangSong" w:eastAsia="FangSong" w:cs="FangSong"/>
          <w:color w:val="000000"/>
          <w:sz w:val="28"/>
          <w:vertAlign w:val="superscript"/>
        </w:rPr>
        <w:t xml:space="preserve">1</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（□中型企业 □小型企业 □微型企业）；</w:t>
      </w:r>
      <w:r/>
    </w:p>
    <w:p>
      <w:pPr>
        <w:ind w:left="0" w:right="0" w:firstLine="56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w:t>
      </w:r>
      <w:r/>
    </w:p>
    <w:p>
      <w:pPr>
        <w:ind w:left="0" w:right="72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180" w:firstLine="420"/>
        <w:jc w:val="right"/>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企业名称（加盖CA电子公章）：</w:t>
      </w:r>
      <w:r/>
    </w:p>
    <w:p>
      <w:pPr>
        <w:ind w:left="0" w:right="480" w:firstLine="630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w:t>
      </w:r>
      <w:r>
        <w:rPr>
          <w:rFonts w:ascii="Calibri" w:hAnsi="Calibri" w:eastAsia="Calibri" w:cs="Calibri"/>
          <w:color w:val="000000"/>
          <w:sz w:val="28"/>
        </w:rPr>
        <w:t xml:space="preserve"> </w:t>
      </w:r>
      <w:r>
        <w:rPr>
          <w:rFonts w:ascii="FangSong" w:hAnsi="FangSong" w:eastAsia="FangSong" w:cs="FangSong"/>
          <w:color w:val="000000"/>
          <w:sz w:val="28"/>
        </w:rPr>
        <w:t xml:space="preserve"> 期：</w:t>
      </w:r>
      <w:r/>
    </w:p>
    <w:p>
      <w:pPr>
        <w:ind w:left="0" w:right="480" w:firstLine="6300"/>
        <w:jc w:val="both"/>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1.从业人员、营业收入、资产总额填报上一年度数据，无上一年度数据的新成立企业可不填报。</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2.专门面向中小企业采购的项目，供应商如不提供此声明函，则不能通过资格审查；非专门面向中小企业采购的项目，供应商如不提供此声明函，价格将不做相应扣除。</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3.供应商自行勾选企业规模类型。</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1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附件9残疾人福利性单位声明函</w:t>
      </w:r>
      <w:r/>
    </w:p>
    <w:p>
      <w:pPr>
        <w:ind w:left="561" w:right="0" w:hanging="141"/>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残疾人福利性单位声明函（服务类项目）</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项目采购活动提由本单位提供服务。</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84"/>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1.专门面向中小微型企业采购的项目，供应商为残疾人福利性单位并提供服务的必须提供此声明函，否则将不能通过资格审查。</w:t>
      </w:r>
      <w:r/>
    </w:p>
    <w:p>
      <w:pPr>
        <w:ind w:left="0" w:right="0" w:firstLine="584"/>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2.非专门面向中小微型企业采购的项目，供应商如不提供此声明函，价格将不做相应扣除。</w:t>
      </w:r>
      <w:r/>
    </w:p>
    <w:p>
      <w:pPr>
        <w:ind w:left="0" w:right="0" w:firstLine="584"/>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3.中标/成交供应商为残疾人福利性单位的，此声明函将随中标/成交结果同时公告，接受社会监督。</w:t>
      </w:r>
      <w:r>
        <w:rPr>
          <w:rFonts w:ascii="Calibri" w:hAnsi="Calibri" w:eastAsia="Calibri" w:cs="Calibri"/>
          <w:color w:val="000000"/>
          <w:spacing w:val="6"/>
          <w:sz w:val="28"/>
        </w:rPr>
        <w:t xml:space="preserve"> </w:t>
      </w:r>
      <w:r/>
    </w:p>
    <w:p>
      <w:pPr>
        <w:ind w:left="0" w:right="873" w:firstLine="584"/>
        <w:jc w:val="center"/>
        <w:spacing w:before="24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 供应商全称（加盖CA电子章）：</w:t>
      </w:r>
      <w:r/>
    </w:p>
    <w:p>
      <w:pPr>
        <w:ind w:left="0" w:right="1559" w:firstLine="560"/>
        <w:jc w:val="center"/>
        <w:spacing w:before="24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 日</w:t>
      </w:r>
      <w:r>
        <w:rPr>
          <w:rFonts w:ascii="Calibri" w:hAnsi="Calibri" w:eastAsia="Calibri" w:cs="Calibri"/>
          <w:color w:val="000000"/>
          <w:sz w:val="28"/>
        </w:rPr>
        <w:t xml:space="preserve"> </w:t>
      </w:r>
      <w:r>
        <w:rPr>
          <w:rFonts w:ascii="FangSong" w:hAnsi="FangSong" w:eastAsia="FangSong" w:cs="FangSong"/>
          <w:color w:val="000000"/>
          <w:sz w:val="28"/>
        </w:rPr>
        <w:t xml:space="preserve"> 期：</w:t>
      </w:r>
      <w:r/>
    </w:p>
    <w:p>
      <w:pPr>
        <w:ind w:left="0" w:right="1559" w:firstLine="560"/>
        <w:jc w:val="center"/>
        <w:spacing w:before="24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1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附件10实质性要求响应及偏离表</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实质性要求响应及偏离表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0"/>
        <w:gridCol w:w="3455"/>
        <w:gridCol w:w="2510"/>
        <w:gridCol w:w="15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技术要求和商务要求中的实质性要求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5"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5"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5"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附件证明材料1，证明材料2，……</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1.投标人必须对技术要求和商务要求中的实质性要求逐条做出明确响应，否则作无效投标处理。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2.如果招标文件要求提供证明材料，投标人必须将证明材料列于该表之下。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3.投标人未对实质性要求逐条作出明确响应的，或未按招标文件要求提供证明材料的，该分包作无效投标处理。</w:t>
      </w:r>
      <w:r/>
    </w:p>
    <w:p>
      <w:pPr>
        <w:pStyle w:val="71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br w:type="page" w:clear="all"/>
      </w:r>
      <w:r/>
    </w:p>
    <w:p>
      <w:pPr>
        <w:pStyle w:val="71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附件11授权委托书（如有）</w:t>
      </w:r>
      <w:r/>
    </w:p>
    <w:p>
      <w:pPr>
        <w:ind w:left="0" w:right="0" w:firstLine="480"/>
        <w:jc w:val="center"/>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本授权书声明：____________（投标人名称）授权_____________（授权代表的姓名）为我方就JSZC-320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-SHGK-</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号项目采购活动的合法代理人，以本单位名义全权处理一切与该项目采购有关的事务。</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本授权书于______年____月____日起生效，特此声明。</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授权代表姓名：</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授权代表身份证号码：</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授权代表联系电话：（手机）</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（加盖CA电子公章）</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(1)本授权委托书之后需附上授权代表身份证复印件。</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(2)如果投标人有法定代表人且由其直接参与投标的可以不提供，但必须在营业执照后附法定代表人身份证复印件。</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(3)未按上述规定随附身份证复印件的，投标无效。</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1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附件12相关业绩案例一览表（如有）</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7"/>
        <w:gridCol w:w="1499"/>
        <w:gridCol w:w="1819"/>
        <w:gridCol w:w="877"/>
        <w:gridCol w:w="877"/>
        <w:gridCol w:w="1919"/>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供货设备清单</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（品牌、型号）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919"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业主名称</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联系人/电话</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9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9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9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9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9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bl>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说明：</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1.投标人须提供上述业绩合同复印件；</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2.所有合同复印件应清晰，应能体现合同签订时间、双方签名盖章等内容；</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3.投标人应在不涉及商业秘密的前提下尽可能提供详细的合同复印件内容。</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br w:type="page" w:clear="all"/>
      </w:r>
      <w:r/>
    </w:p>
    <w:p>
      <w:pPr>
        <w:pStyle w:val="71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附件13踏勘现场供应商签到表</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现场踏勘说明：</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签到时间：2026年09月15日 14：00</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签到地点：南京医科大学第二附属医院阅江楼院区（南京市鼓楼区建宁路200号）</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联系人：张老师</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联系方式：025-58509946、18851734781</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参与本项目踏勘的供应商打印并携带《踏勘现场供应商签到表》按上述时间地点要求前往采购人现场踏勘，经采购人签字确认后将此表于响应文件中一并提交。</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tblGrid>
      <w:tr>
        <w:trPr>
          <w:gridAfter w:val="2"/>
          <w:trHeight w:val="45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717" w:type="dxa"/>
            <w:vAlign w:val="bottom"/>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踏勘现场供应商签到表</w:t>
            </w:r>
            <w:r/>
          </w:p>
        </w:tc>
      </w:tr>
      <w:tr>
        <w:trPr>
          <w:gridAfter w:val="2"/>
          <w:trHeight w:val="5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4" w:type="dxa"/>
            <w:vAlign w:val="bottom"/>
            <w:textDirection w:val="lrTb"/>
            <w:noWrap w:val="false"/>
          </w:tcPr>
          <w:p>
            <w:pPr>
              <w:ind w:left="0" w:right="0" w:firstLine="0"/>
              <w:jc w:val="center"/>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24" w:type="dxa"/>
            <w:vAlign w:val="bottom"/>
            <w:textDirection w:val="lrTb"/>
            <w:noWrap w:val="false"/>
          </w:tcPr>
          <w:p>
            <w:pPr>
              <w:spacing w:before="0" w:after="0" w:line="57" w:lineRule="atLeast"/>
            </w:pPr>
            <w:r/>
            <w:r/>
          </w:p>
        </w:tc>
      </w:tr>
      <w:tr>
        <w:trPr>
          <w:gridAfter w:val="2"/>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4" w:type="dxa"/>
            <w:vAlign w:val="bottom"/>
            <w:textDirection w:val="lrTb"/>
            <w:noWrap w:val="false"/>
          </w:tcPr>
          <w:p>
            <w:pPr>
              <w:ind w:left="0" w:right="0" w:firstLine="0"/>
              <w:jc w:val="center"/>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4" w:type="dxa"/>
            <w:vAlign w:val="bottom"/>
            <w:textDirection w:val="lrTb"/>
            <w:noWrap w:val="false"/>
          </w:tcPr>
          <w:p>
            <w:pPr>
              <w:spacing w:before="0" w:after="0" w:line="57" w:lineRule="atLeast"/>
            </w:pPr>
            <w:r/>
            <w:r/>
          </w:p>
        </w:tc>
      </w:tr>
      <w:tr>
        <w:trPr>
          <w:gridAfter w:val="2"/>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4" w:type="dxa"/>
            <w:vAlign w:val="bottom"/>
            <w:textDirection w:val="lrTb"/>
            <w:noWrap w:val="false"/>
          </w:tcPr>
          <w:p>
            <w:pPr>
              <w:ind w:left="0" w:right="0" w:firstLine="0"/>
              <w:jc w:val="center"/>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踏勘人/委托代理人姓名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4" w:type="dxa"/>
            <w:vAlign w:val="bottom"/>
            <w:textDirection w:val="lrTb"/>
            <w:noWrap w:val="false"/>
          </w:tcPr>
          <w:p>
            <w:pPr>
              <w:spacing w:before="0" w:after="0" w:line="57" w:lineRule="atLeast"/>
            </w:pPr>
            <w:r/>
            <w:r/>
          </w:p>
        </w:tc>
      </w:tr>
      <w:tr>
        <w:trPr>
          <w:gridAfter w:val="2"/>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4" w:type="dxa"/>
            <w:vAlign w:val="bottom"/>
            <w:textDirection w:val="lrTb"/>
            <w:noWrap w:val="false"/>
          </w:tcPr>
          <w:p>
            <w:pPr>
              <w:ind w:left="0" w:right="0" w:firstLine="0"/>
              <w:jc w:val="center"/>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踏勘人/委托代理人身份证号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4" w:type="dxa"/>
            <w:vAlign w:val="bottom"/>
            <w:textDirection w:val="lrTb"/>
            <w:noWrap w:val="false"/>
          </w:tcPr>
          <w:p>
            <w:pPr>
              <w:spacing w:before="0" w:after="0" w:line="57" w:lineRule="atLeast"/>
            </w:pPr>
            <w:r/>
            <w:r/>
          </w:p>
        </w:tc>
      </w:tr>
      <w:tr>
        <w:trPr>
          <w:gridAfter w:val="2"/>
          <w:trHeight w:val="5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4" w:type="dxa"/>
            <w:vAlign w:val="bottom"/>
            <w:textDirection w:val="lrTb"/>
            <w:noWrap w:val="false"/>
          </w:tcPr>
          <w:p>
            <w:pPr>
              <w:ind w:left="0" w:right="0" w:firstLine="0"/>
              <w:jc w:val="center"/>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踏勘人/委托代理人联系方式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4" w:type="dxa"/>
            <w:vAlign w:val="bottom"/>
            <w:textDirection w:val="lrTb"/>
            <w:noWrap w:val="false"/>
          </w:tcPr>
          <w:p>
            <w:pPr>
              <w:spacing w:before="0" w:after="0" w:line="57" w:lineRule="atLeast"/>
            </w:pPr>
            <w:r/>
            <w:r/>
          </w:p>
        </w:tc>
      </w:tr>
      <w:tr>
        <w:trPr>
          <w:gridAfter w:val="2"/>
          <w:trHeight w:val="47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7" w:type="dxa"/>
            <w:vAlign w:val="top"/>
            <w:vMerge w:val="restart"/>
            <w:textDirection w:val="lrTb"/>
            <w:noWrap w:val="false"/>
          </w:tcPr>
          <w:p>
            <w:pPr>
              <w:ind w:left="221" w:right="0" w:hanging="221"/>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w:t>
            </w:r>
            <w:r/>
          </w:p>
          <w:p>
            <w:pPr>
              <w:ind w:left="220" w:right="0" w:hanging="220"/>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我方已对项目的状况、要求完全清楚。</w:t>
            </w:r>
            <w:r/>
          </w:p>
        </w:tc>
      </w:tr>
      <w:tr>
        <w:trPr>
          <w:trHeight w:val="508"/>
        </w:trPr>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ind w:left="0" w:right="0" w:firstLine="0"/>
              <w:jc w:val="center"/>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踏勘人/授权委托人签字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spacing w:before="0" w:after="0" w:line="57" w:lineRule="atLeast"/>
            </w:pPr>
            <w:r/>
            <w:r/>
          </w:p>
        </w:tc>
      </w:tr>
      <w:tr>
        <w:trPr>
          <w:trHeight w:val="558"/>
        </w:trPr>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ind w:left="0" w:right="0" w:firstLine="0"/>
              <w:jc w:val="center"/>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采购人/验证人签字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ind w:left="0" w:right="0" w:firstLine="0"/>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2"/>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4" w:type="dxa"/>
            <w:vAlign w:val="bottom"/>
            <w:textDirection w:val="lrTb"/>
            <w:noWrap w:val="false"/>
          </w:tcPr>
          <w:p>
            <w:pPr>
              <w:ind w:left="0" w:right="0" w:firstLine="0"/>
              <w:jc w:val="center"/>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验证时间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4" w:type="dxa"/>
            <w:vAlign w:val="bottom"/>
            <w:textDirection w:val="lrTb"/>
            <w:noWrap w:val="false"/>
          </w:tcPr>
          <w:p>
            <w:pPr>
              <w:ind w:left="0" w:right="0" w:firstLine="0"/>
              <w:jc w:val="center"/>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年    月    日   时   分</w:t>
            </w:r>
            <w:r/>
          </w:p>
        </w:tc>
      </w:tr>
      <w:tr>
        <w:trPr>
          <w:gridAfter w:val="2"/>
          <w:trHeight w:val="225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717" w:type="dxa"/>
            <w:vAlign w:val="bottom"/>
            <w:textDirection w:val="lrTb"/>
            <w:noWrap w:val="false"/>
          </w:tcPr>
          <w:p>
            <w:pPr>
              <w:ind w:left="0" w:right="0" w:firstLine="0"/>
              <w:spacing w:before="200" w:after="12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w:t>
            </w:r>
            <w:r/>
          </w:p>
          <w:p>
            <w:pPr>
              <w:ind w:left="0" w:right="0" w:firstLine="0"/>
              <w:spacing w:before="200" w:after="12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1、参与踏勘的供应商必须携带营业执照（复印件）、授权委托书（原件）及踏勘授权代表身份证（复印件）加盖公章。</w:t>
            </w:r>
            <w:r/>
          </w:p>
          <w:p>
            <w:pPr>
              <w:ind w:left="0" w:right="0" w:firstLine="0"/>
              <w:spacing w:before="200" w:after="12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2、若参与现场踏勘的供应商未按本通知准时参与或未按照要求提供相关证件，采购人将拒绝其踏勘要求；</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spacing w:before="29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电子公章：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6.质疑供应商为自然人的，质疑函应由本人签字；质疑供应商为法人或者其他组织的，质疑函应由法定代表人、主要负责人，或者其授权代表签字或者盖章，并加盖电子公章。</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jc w:val="both"/>
        <w:spacing w:line="68" w:lineRule="atLeast"/>
        <w:rPr>
          <w:rFonts w:ascii="仿宋" w:hAnsi="仿宋" w:eastAsia="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rPr>
      </w:r>
      <w:r/>
    </w:p>
    <w:sectPr>
      <w:headerReference w:type="default" r:id="rId9"/>
      <w:footerReference w:type="default" r:id="rId10"/>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YouYuan">
    <w:panose1 w:val="02010509060101010101"/>
  </w:font>
  <w:font w:name="FangSong">
    <w:panose1 w:val="02010609060101010101"/>
  </w:font>
  <w:font w:name="Symbol">
    <w:panose1 w:val="05050102010706020507"/>
  </w:font>
  <w:font w:name="KaiTi">
    <w:panose1 w:val="02010609060101010101"/>
  </w:font>
  <w:font w:name="Wingdings">
    <w:panose1 w:val="05000000000000000000"/>
  </w:font>
  <w:font w:name="Courier New">
    <w:panose1 w:val="02070309020205020404"/>
  </w:font>
  <w:font w:name="方正中等线简体">
    <w:panose1 w:val="020B0503020202020204"/>
  </w:font>
  <w:font w:name="Cambria">
    <w:panose1 w:val="02040503050406030204"/>
  </w:font>
  <w:font w:name="Calibri">
    <w:panose1 w:val="020F0502020204030204"/>
  </w:font>
  <w:font w:name="楷体_GB2312">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Microsoft YaHei">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40"/>
          <w:jc w:val="center"/>
        </w:pPr>
        <w:r>
          <w:fldChar w:fldCharType="begin"/>
        </w:r>
        <w:r>
          <w:instrText xml:space="preserve">PAGE   \* MERGEFORMAT</w:instrText>
        </w:r>
        <w:r>
          <w:fldChar w:fldCharType="separate"/>
        </w:r>
        <w:r>
          <w:rPr>
            <w:lang w:val="zh-CN"/>
          </w:rPr>
          <w:t xml:space="preserve">99</w:t>
        </w:r>
        <w:r>
          <w:rPr>
            <w:lang w:val="zh-CN"/>
          </w:rPr>
          <w:fldChar w:fldCharType="end"/>
        </w:r>
        <w:r/>
      </w:p>
    </w:sdtContent>
  </w:sdt>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840" w:hanging="144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第%1章"/>
      <w:lvlJc w:val="left"/>
      <w:pPr>
        <w:ind w:left="1840" w:hanging="144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num w:numId="1">
    <w:abstractNumId w:val="1"/>
  </w:num>
  <w:num w:numId="2">
    <w:abstractNumId w:val="4"/>
  </w:num>
  <w:num w:numId="3">
    <w:abstractNumId w:val="2"/>
  </w:num>
  <w:num w:numId="4">
    <w:abstractNumId w:val="3"/>
  </w:num>
  <w:num w:numId="5">
    <w:abstractNumId w:val="0"/>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2">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1">
    <w:name w:val="TOC Heading"/>
    <w:uiPriority w:val="39"/>
    <w:unhideWhenUsed/>
  </w:style>
  <w:style w:type="paragraph" w:styleId="712" w:default="1">
    <w:name w:val="Normal"/>
    <w:qFormat/>
    <w:pPr>
      <w:spacing w:after="160" w:line="278" w:lineRule="auto"/>
    </w:pPr>
    <w:rPr>
      <w:rFonts w:eastAsiaTheme="minorEastAsia"/>
    </w:rPr>
  </w:style>
  <w:style w:type="paragraph" w:styleId="713">
    <w:name w:val="Heading 1"/>
    <w:basedOn w:val="712"/>
    <w:next w:val="712"/>
    <w:link w:val="956"/>
    <w:qFormat/>
    <w:pPr>
      <w:keepLines/>
      <w:keepNext/>
      <w:spacing w:before="480" w:after="200"/>
      <w:outlineLvl w:val="0"/>
    </w:pPr>
    <w:rPr>
      <w:rFonts w:ascii="Arial" w:hAnsi="Arial" w:eastAsia="Arial" w:cs="Arial"/>
      <w:sz w:val="40"/>
      <w:szCs w:val="40"/>
    </w:rPr>
  </w:style>
  <w:style w:type="paragraph" w:styleId="714">
    <w:name w:val="Heading 2"/>
    <w:next w:val="712"/>
    <w:link w:val="799"/>
    <w:unhideWhenUsed/>
    <w:qFormat/>
    <w:pPr>
      <w:keepLines/>
      <w:keepNext/>
      <w:spacing w:before="360" w:after="200" w:line="278" w:lineRule="auto"/>
      <w:outlineLvl w:val="1"/>
    </w:pPr>
    <w:rPr>
      <w:rFonts w:ascii="Arial" w:hAnsi="Arial" w:eastAsia="Arial" w:cs="Arial"/>
      <w:sz w:val="34"/>
    </w:rPr>
  </w:style>
  <w:style w:type="paragraph" w:styleId="715">
    <w:name w:val="Heading 3"/>
    <w:next w:val="712"/>
    <w:link w:val="800"/>
    <w:unhideWhenUsed/>
    <w:qFormat/>
    <w:pPr>
      <w:keepLines/>
      <w:keepNext/>
      <w:spacing w:before="320" w:after="200" w:line="278" w:lineRule="auto"/>
      <w:outlineLvl w:val="2"/>
    </w:pPr>
    <w:rPr>
      <w:rFonts w:ascii="Arial" w:hAnsi="Arial" w:eastAsia="Arial" w:cs="Arial"/>
      <w:sz w:val="30"/>
      <w:szCs w:val="30"/>
    </w:rPr>
  </w:style>
  <w:style w:type="paragraph" w:styleId="716">
    <w:name w:val="Heading 4"/>
    <w:next w:val="712"/>
    <w:link w:val="801"/>
    <w:uiPriority w:val="9"/>
    <w:unhideWhenUsed/>
    <w:qFormat/>
    <w:pPr>
      <w:keepLines/>
      <w:keepNext/>
      <w:spacing w:before="320" w:after="200" w:line="278" w:lineRule="auto"/>
      <w:outlineLvl w:val="3"/>
    </w:pPr>
    <w:rPr>
      <w:rFonts w:ascii="Arial" w:hAnsi="Arial" w:eastAsia="Arial" w:cs="Arial"/>
      <w:b/>
      <w:bCs/>
      <w:sz w:val="26"/>
      <w:szCs w:val="26"/>
    </w:rPr>
  </w:style>
  <w:style w:type="paragraph" w:styleId="717">
    <w:name w:val="Heading 5"/>
    <w:basedOn w:val="712"/>
    <w:next w:val="725"/>
    <w:link w:val="802"/>
    <w:unhideWhenUsed/>
    <w:qFormat/>
    <w:pPr>
      <w:keepLines/>
      <w:keepNext/>
      <w:spacing w:before="320" w:after="200"/>
      <w:outlineLvl w:val="4"/>
    </w:pPr>
    <w:rPr>
      <w:rFonts w:ascii="Arial" w:hAnsi="Arial" w:eastAsia="Arial" w:cs="Arial"/>
      <w:b/>
      <w:bCs/>
      <w:sz w:val="24"/>
      <w:szCs w:val="24"/>
    </w:rPr>
  </w:style>
  <w:style w:type="paragraph" w:styleId="718">
    <w:name w:val="Heading 6"/>
    <w:next w:val="712"/>
    <w:link w:val="803"/>
    <w:uiPriority w:val="9"/>
    <w:unhideWhenUsed/>
    <w:qFormat/>
    <w:pPr>
      <w:keepLines/>
      <w:keepNext/>
      <w:spacing w:before="320" w:after="200" w:line="278" w:lineRule="auto"/>
      <w:outlineLvl w:val="5"/>
    </w:pPr>
    <w:rPr>
      <w:rFonts w:ascii="Arial" w:hAnsi="Arial" w:eastAsia="Arial" w:cs="Arial"/>
      <w:b/>
      <w:bCs/>
      <w:sz w:val="22"/>
      <w:szCs w:val="22"/>
    </w:rPr>
  </w:style>
  <w:style w:type="paragraph" w:styleId="719">
    <w:name w:val="Heading 7"/>
    <w:next w:val="712"/>
    <w:link w:val="804"/>
    <w:uiPriority w:val="9"/>
    <w:unhideWhenUsed/>
    <w:qFormat/>
    <w:pPr>
      <w:keepLines/>
      <w:keepNext/>
      <w:spacing w:before="320" w:after="200" w:line="278" w:lineRule="auto"/>
      <w:outlineLvl w:val="6"/>
    </w:pPr>
    <w:rPr>
      <w:rFonts w:ascii="Arial" w:hAnsi="Arial" w:eastAsia="Arial" w:cs="Arial"/>
      <w:b/>
      <w:bCs/>
      <w:i/>
      <w:iCs/>
      <w:sz w:val="22"/>
      <w:szCs w:val="22"/>
    </w:rPr>
  </w:style>
  <w:style w:type="paragraph" w:styleId="720">
    <w:name w:val="Heading 8"/>
    <w:next w:val="712"/>
    <w:link w:val="805"/>
    <w:uiPriority w:val="9"/>
    <w:unhideWhenUsed/>
    <w:qFormat/>
    <w:pPr>
      <w:keepLines/>
      <w:keepNext/>
      <w:spacing w:before="320" w:after="200" w:line="278" w:lineRule="auto"/>
      <w:outlineLvl w:val="7"/>
    </w:pPr>
    <w:rPr>
      <w:rFonts w:ascii="Arial" w:hAnsi="Arial" w:eastAsia="Arial" w:cs="Arial"/>
      <w:i/>
      <w:iCs/>
      <w:sz w:val="22"/>
      <w:szCs w:val="22"/>
    </w:rPr>
  </w:style>
  <w:style w:type="paragraph" w:styleId="721">
    <w:name w:val="Heading 9"/>
    <w:next w:val="712"/>
    <w:link w:val="806"/>
    <w:uiPriority w:val="9"/>
    <w:unhideWhenUsed/>
    <w:qFormat/>
    <w:pPr>
      <w:keepLines/>
      <w:keepNext/>
      <w:spacing w:before="320" w:after="200" w:line="278" w:lineRule="auto"/>
      <w:outlineLvl w:val="8"/>
    </w:pPr>
    <w:rPr>
      <w:rFonts w:ascii="Arial" w:hAnsi="Arial" w:eastAsia="Arial" w:cs="Arial"/>
      <w:i/>
      <w:iCs/>
      <w:sz w:val="21"/>
      <w:szCs w:val="21"/>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name w:val="Normal Indent"/>
    <w:basedOn w:val="712"/>
    <w:qFormat/>
    <w:pPr>
      <w:ind w:firstLine="420"/>
      <w:jc w:val="both"/>
      <w:spacing w:after="0" w:line="240" w:lineRule="auto"/>
      <w:widowControl w:val="off"/>
    </w:pPr>
    <w:rPr>
      <w:rFonts w:asciiTheme="minorHAnsi" w:hAnsiTheme="minorHAnsi" w:cstheme="minorBidi"/>
      <w:sz w:val="21"/>
      <w:szCs w:val="24"/>
    </w:rPr>
  </w:style>
  <w:style w:type="paragraph" w:styleId="726">
    <w:name w:val="toc 7"/>
    <w:next w:val="712"/>
    <w:uiPriority w:val="39"/>
    <w:unhideWhenUsed/>
    <w:qFormat/>
    <w:pPr>
      <w:ind w:left="1701"/>
      <w:spacing w:after="57" w:line="278" w:lineRule="auto"/>
    </w:pPr>
    <w:rPr>
      <w:rFonts w:eastAsiaTheme="minorEastAsia"/>
    </w:rPr>
  </w:style>
  <w:style w:type="paragraph" w:styleId="727">
    <w:name w:val="Caption"/>
    <w:next w:val="712"/>
    <w:uiPriority w:val="35"/>
    <w:semiHidden/>
    <w:unhideWhenUsed/>
    <w:qFormat/>
    <w:pPr>
      <w:spacing w:after="160" w:line="276" w:lineRule="auto"/>
    </w:pPr>
    <w:rPr>
      <w:rFonts w:eastAsiaTheme="minorEastAsia"/>
      <w:b/>
      <w:bCs/>
      <w:color w:val="4f81bd" w:themeColor="accent1"/>
      <w:sz w:val="18"/>
      <w:szCs w:val="18"/>
    </w:rPr>
  </w:style>
  <w:style w:type="paragraph" w:styleId="728">
    <w:name w:val="toa heading"/>
    <w:basedOn w:val="712"/>
    <w:next w:val="712"/>
    <w:qFormat/>
    <w:pPr>
      <w:jc w:val="center"/>
      <w:spacing w:before="200" w:after="0" w:line="360" w:lineRule="atLeast"/>
    </w:pPr>
    <w:rPr>
      <w:rFonts w:ascii="Arial" w:hAnsi="Arial" w:eastAsia="黑体" w:cs="Arial"/>
      <w:color w:val="000000"/>
      <w:sz w:val="44"/>
      <w:lang w:eastAsia="en-US"/>
    </w:rPr>
  </w:style>
  <w:style w:type="paragraph" w:styleId="729">
    <w:name w:val="annotation text"/>
    <w:basedOn w:val="712"/>
    <w:link w:val="928"/>
    <w:unhideWhenUsed/>
    <w:qFormat/>
  </w:style>
  <w:style w:type="paragraph" w:styleId="730">
    <w:name w:val="Body Text"/>
    <w:basedOn w:val="712"/>
    <w:link w:val="947"/>
    <w:qFormat/>
    <w:rPr>
      <w:rFonts w:ascii="楷体_GB2312" w:hAnsi="Arial" w:eastAsia="楷体_GB2312"/>
      <w:sz w:val="28"/>
      <w:szCs w:val="28"/>
    </w:rPr>
  </w:style>
  <w:style w:type="paragraph" w:styleId="731">
    <w:name w:val="Body Text Indent"/>
    <w:basedOn w:val="712"/>
    <w:next w:val="732"/>
    <w:link w:val="948"/>
    <w:qFormat/>
    <w:pPr>
      <w:ind w:firstLine="225"/>
      <w:jc w:val="both"/>
      <w:spacing w:after="0" w:line="240" w:lineRule="auto"/>
      <w:widowControl w:val="off"/>
    </w:pPr>
    <w:rPr>
      <w:rFonts w:ascii="仿宋_GB2312" w:eastAsia="仿宋_GB2312" w:hAnsiTheme="minorHAnsi" w:cstheme="minorBidi"/>
      <w:sz w:val="32"/>
      <w:szCs w:val="24"/>
    </w:rPr>
  </w:style>
  <w:style w:type="paragraph" w:styleId="732">
    <w:name w:val="Body Text First Indent 2"/>
    <w:basedOn w:val="731"/>
    <w:next w:val="725"/>
    <w:link w:val="949"/>
    <w:qFormat/>
    <w:pPr>
      <w:ind w:left="200" w:firstLine="200"/>
      <w:spacing w:after="120"/>
    </w:pPr>
    <w:rPr>
      <w:rFonts w:ascii="Times New Roman"/>
      <w:sz w:val="24"/>
    </w:rPr>
  </w:style>
  <w:style w:type="paragraph" w:styleId="733">
    <w:name w:val="index 4"/>
    <w:basedOn w:val="712"/>
    <w:next w:val="712"/>
    <w:qFormat/>
    <w:pPr>
      <w:ind w:left="600"/>
      <w:jc w:val="both"/>
      <w:spacing w:after="0" w:line="240" w:lineRule="auto"/>
      <w:widowControl w:val="off"/>
    </w:pPr>
    <w:rPr>
      <w:rFonts w:ascii="Calibri" w:hAnsi="Calibri" w:eastAsia="宋体"/>
      <w:sz w:val="21"/>
      <w:szCs w:val="22"/>
    </w:rPr>
  </w:style>
  <w:style w:type="paragraph" w:styleId="734">
    <w:name w:val="toc 5"/>
    <w:next w:val="712"/>
    <w:uiPriority w:val="39"/>
    <w:unhideWhenUsed/>
    <w:qFormat/>
    <w:pPr>
      <w:ind w:left="1134"/>
      <w:spacing w:after="57" w:line="278" w:lineRule="auto"/>
    </w:pPr>
    <w:rPr>
      <w:rFonts w:eastAsiaTheme="minorEastAsia"/>
    </w:rPr>
  </w:style>
  <w:style w:type="paragraph" w:styleId="735">
    <w:name w:val="toc 3"/>
    <w:next w:val="712"/>
    <w:uiPriority w:val="39"/>
    <w:unhideWhenUsed/>
    <w:qFormat/>
    <w:pPr>
      <w:ind w:left="567"/>
      <w:spacing w:after="57" w:line="278" w:lineRule="auto"/>
    </w:pPr>
    <w:rPr>
      <w:rFonts w:eastAsiaTheme="minorEastAsia"/>
    </w:rPr>
  </w:style>
  <w:style w:type="paragraph" w:styleId="736">
    <w:name w:val="toc 8"/>
    <w:next w:val="712"/>
    <w:uiPriority w:val="39"/>
    <w:unhideWhenUsed/>
    <w:qFormat/>
    <w:pPr>
      <w:ind w:left="1984"/>
      <w:spacing w:after="57" w:line="278" w:lineRule="auto"/>
    </w:pPr>
    <w:rPr>
      <w:rFonts w:eastAsiaTheme="minorEastAsia"/>
    </w:rPr>
  </w:style>
  <w:style w:type="paragraph" w:styleId="737">
    <w:name w:val="Body Text Indent 2"/>
    <w:basedOn w:val="712"/>
    <w:link w:val="950"/>
    <w:qFormat/>
    <w:pPr>
      <w:ind w:left="420"/>
      <w:jc w:val="both"/>
      <w:spacing w:after="120" w:line="480" w:lineRule="auto"/>
      <w:widowControl w:val="off"/>
    </w:pPr>
    <w:rPr>
      <w:rFonts w:asciiTheme="minorHAnsi" w:hAnsiTheme="minorHAnsi" w:cstheme="minorBidi"/>
      <w:sz w:val="22"/>
      <w:szCs w:val="24"/>
      <w:lang w:eastAsia="en-US"/>
    </w:rPr>
  </w:style>
  <w:style w:type="paragraph" w:styleId="738">
    <w:name w:val="endnote text"/>
    <w:link w:val="925"/>
    <w:uiPriority w:val="99"/>
    <w:semiHidden/>
    <w:unhideWhenUsed/>
    <w:qFormat/>
    <w:pPr>
      <w:spacing w:after="160" w:line="278" w:lineRule="auto"/>
    </w:pPr>
    <w:rPr>
      <w:rFonts w:eastAsiaTheme="minorEastAsia"/>
    </w:rPr>
  </w:style>
  <w:style w:type="paragraph" w:styleId="739">
    <w:name w:val="Balloon Text"/>
    <w:basedOn w:val="712"/>
    <w:link w:val="930"/>
    <w:uiPriority w:val="99"/>
    <w:semiHidden/>
    <w:unhideWhenUsed/>
    <w:qFormat/>
    <w:rPr>
      <w:sz w:val="18"/>
      <w:szCs w:val="18"/>
    </w:rPr>
  </w:style>
  <w:style w:type="paragraph" w:styleId="740">
    <w:name w:val="Footer"/>
    <w:basedOn w:val="712"/>
    <w:link w:val="817"/>
    <w:uiPriority w:val="99"/>
    <w:unhideWhenUsed/>
    <w:qFormat/>
    <w:pPr>
      <w:tabs>
        <w:tab w:val="center" w:pos="7143" w:leader="none"/>
        <w:tab w:val="right" w:pos="14287" w:leader="none"/>
      </w:tabs>
    </w:pPr>
  </w:style>
  <w:style w:type="paragraph" w:styleId="741">
    <w:name w:val="Header"/>
    <w:basedOn w:val="712"/>
    <w:link w:val="815"/>
    <w:unhideWhenUsed/>
    <w:qFormat/>
    <w:pPr>
      <w:tabs>
        <w:tab w:val="center" w:pos="7143" w:leader="none"/>
        <w:tab w:val="right" w:pos="14287" w:leader="none"/>
      </w:tabs>
    </w:pPr>
  </w:style>
  <w:style w:type="paragraph" w:styleId="742">
    <w:name w:val="toc 1"/>
    <w:next w:val="712"/>
    <w:uiPriority w:val="39"/>
    <w:unhideWhenUsed/>
    <w:qFormat/>
    <w:pPr>
      <w:spacing w:after="57" w:line="278" w:lineRule="auto"/>
    </w:pPr>
    <w:rPr>
      <w:rFonts w:eastAsiaTheme="minorEastAsia"/>
    </w:rPr>
  </w:style>
  <w:style w:type="paragraph" w:styleId="743">
    <w:name w:val="toc 4"/>
    <w:next w:val="712"/>
    <w:uiPriority w:val="39"/>
    <w:unhideWhenUsed/>
    <w:qFormat/>
    <w:pPr>
      <w:ind w:left="850"/>
      <w:spacing w:after="57" w:line="278" w:lineRule="auto"/>
    </w:pPr>
    <w:rPr>
      <w:rFonts w:eastAsiaTheme="minorEastAsia"/>
    </w:rPr>
  </w:style>
  <w:style w:type="paragraph" w:styleId="744">
    <w:name w:val="Subtitle"/>
    <w:link w:val="810"/>
    <w:uiPriority w:val="11"/>
    <w:qFormat/>
    <w:pPr>
      <w:spacing w:before="200" w:after="200" w:line="278" w:lineRule="auto"/>
    </w:pPr>
    <w:rPr>
      <w:rFonts w:eastAsiaTheme="minorEastAsia"/>
      <w:sz w:val="24"/>
      <w:szCs w:val="24"/>
    </w:rPr>
  </w:style>
  <w:style w:type="paragraph" w:styleId="745">
    <w:name w:val="footnote text"/>
    <w:link w:val="924"/>
    <w:unhideWhenUsed/>
    <w:qFormat/>
    <w:pPr>
      <w:spacing w:after="40" w:line="278" w:lineRule="auto"/>
    </w:pPr>
    <w:rPr>
      <w:rFonts w:eastAsiaTheme="minorEastAsia"/>
      <w:sz w:val="18"/>
    </w:rPr>
  </w:style>
  <w:style w:type="paragraph" w:styleId="746">
    <w:name w:val="toc 6"/>
    <w:next w:val="712"/>
    <w:uiPriority w:val="39"/>
    <w:unhideWhenUsed/>
    <w:qFormat/>
    <w:pPr>
      <w:ind w:left="1417"/>
      <w:spacing w:after="57" w:line="278" w:lineRule="auto"/>
    </w:pPr>
    <w:rPr>
      <w:rFonts w:eastAsiaTheme="minorEastAsia"/>
    </w:rPr>
  </w:style>
  <w:style w:type="paragraph" w:styleId="747">
    <w:name w:val="table of figures"/>
    <w:next w:val="712"/>
    <w:uiPriority w:val="99"/>
    <w:unhideWhenUsed/>
    <w:qFormat/>
    <w:pPr>
      <w:spacing w:after="160" w:line="278" w:lineRule="auto"/>
    </w:pPr>
    <w:rPr>
      <w:rFonts w:eastAsiaTheme="minorEastAsia"/>
    </w:rPr>
  </w:style>
  <w:style w:type="paragraph" w:styleId="748">
    <w:name w:val="toc 2"/>
    <w:next w:val="712"/>
    <w:uiPriority w:val="39"/>
    <w:unhideWhenUsed/>
    <w:qFormat/>
    <w:pPr>
      <w:ind w:left="283"/>
      <w:spacing w:after="57" w:line="278" w:lineRule="auto"/>
    </w:pPr>
    <w:rPr>
      <w:rFonts w:eastAsiaTheme="minorEastAsia"/>
    </w:rPr>
  </w:style>
  <w:style w:type="paragraph" w:styleId="749">
    <w:name w:val="toc 9"/>
    <w:next w:val="712"/>
    <w:uiPriority w:val="39"/>
    <w:unhideWhenUsed/>
    <w:qFormat/>
    <w:pPr>
      <w:ind w:left="2268"/>
      <w:spacing w:after="57" w:line="278" w:lineRule="auto"/>
    </w:pPr>
    <w:rPr>
      <w:rFonts w:eastAsiaTheme="minorEastAsia"/>
    </w:rPr>
  </w:style>
  <w:style w:type="paragraph" w:styleId="750">
    <w:name w:val="Body Text 2"/>
    <w:basedOn w:val="712"/>
    <w:link w:val="951"/>
    <w:qFormat/>
    <w:pPr>
      <w:jc w:val="center"/>
      <w:spacing w:after="0" w:line="240" w:lineRule="auto"/>
    </w:pPr>
    <w:rPr>
      <w:rFonts w:asciiTheme="minorHAnsi" w:hAnsiTheme="minorHAnsi" w:cstheme="minorBidi"/>
      <w:szCs w:val="24"/>
    </w:rPr>
  </w:style>
  <w:style w:type="paragraph" w:styleId="751">
    <w:name w:val="Normal (Web)"/>
    <w:basedOn w:val="712"/>
    <w:uiPriority w:val="99"/>
    <w:qFormat/>
    <w:pPr>
      <w:spacing w:before="100" w:beforeAutospacing="1" w:after="100" w:afterAutospacing="1" w:line="240" w:lineRule="auto"/>
    </w:pPr>
    <w:rPr>
      <w:rFonts w:ascii="Arial" w:hAnsi="Arial" w:cs="Arial"/>
      <w:sz w:val="24"/>
      <w:szCs w:val="24"/>
    </w:rPr>
  </w:style>
  <w:style w:type="paragraph" w:styleId="752">
    <w:name w:val="Title"/>
    <w:link w:val="809"/>
    <w:uiPriority w:val="10"/>
    <w:qFormat/>
    <w:pPr>
      <w:contextualSpacing/>
      <w:spacing w:before="300" w:after="200" w:line="278" w:lineRule="auto"/>
    </w:pPr>
    <w:rPr>
      <w:rFonts w:eastAsiaTheme="minorEastAsia"/>
      <w:sz w:val="48"/>
      <w:szCs w:val="48"/>
    </w:rPr>
  </w:style>
  <w:style w:type="paragraph" w:styleId="753">
    <w:name w:val="annotation subject"/>
    <w:basedOn w:val="729"/>
    <w:next w:val="729"/>
    <w:link w:val="929"/>
    <w:uiPriority w:val="99"/>
    <w:semiHidden/>
    <w:unhideWhenUsed/>
    <w:qFormat/>
    <w:rPr>
      <w:b/>
      <w:bCs/>
    </w:rPr>
  </w:style>
  <w:style w:type="paragraph" w:styleId="754">
    <w:name w:val="Body Text First Indent"/>
    <w:basedOn w:val="712"/>
    <w:link w:val="952"/>
    <w:qFormat/>
    <w:pPr>
      <w:ind w:firstLine="420"/>
      <w:spacing w:after="120"/>
    </w:pPr>
    <w:rPr>
      <w:sz w:val="21"/>
      <w:szCs w:val="24"/>
      <w:lang w:val="zh-CN"/>
    </w:rPr>
  </w:style>
  <w:style w:type="table" w:styleId="755">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rPr>
  </w:style>
  <w:style w:type="character" w:styleId="758">
    <w:name w:val="annotation reference"/>
    <w:basedOn w:val="722"/>
    <w:unhideWhenUsed/>
    <w:qFormat/>
    <w:rPr>
      <w:sz w:val="21"/>
      <w:szCs w:val="21"/>
    </w:rPr>
  </w:style>
  <w:style w:type="character" w:styleId="759">
    <w:name w:val="footnote reference"/>
    <w:uiPriority w:val="99"/>
    <w:unhideWhenUsed/>
    <w:qFormat/>
    <w:rPr>
      <w:vertAlign w:val="superscript"/>
    </w:rPr>
  </w:style>
  <w:style w:type="paragraph" w:styleId="760" w:customStyle="1">
    <w:name w:val="正文1"/>
    <w:basedOn w:val="712"/>
    <w:next w:val="712"/>
    <w:qFormat/>
    <w:pPr>
      <w:ind w:firstLine="510"/>
      <w:jc w:val="both"/>
      <w:spacing w:before="156" w:after="0" w:line="360" w:lineRule="auto"/>
      <w:widowControl w:val="off"/>
    </w:pPr>
    <w:rPr>
      <w:rFonts w:asciiTheme="minorHAnsi" w:hAnsiTheme="minorHAnsi" w:cstheme="minorBidi"/>
      <w:sz w:val="24"/>
    </w:rPr>
  </w:style>
  <w:style w:type="character" w:styleId="761" w:customStyle="1">
    <w:name w:val="Heading 1 Char"/>
    <w:basedOn w:val="722"/>
    <w:uiPriority w:val="9"/>
    <w:qFormat/>
    <w:rPr>
      <w:rFonts w:ascii="Arial" w:hAnsi="Arial" w:eastAsia="Arial" w:cs="Arial"/>
      <w:sz w:val="40"/>
      <w:szCs w:val="40"/>
    </w:rPr>
  </w:style>
  <w:style w:type="character" w:styleId="762" w:customStyle="1">
    <w:name w:val="Heading 2 Char"/>
    <w:basedOn w:val="722"/>
    <w:uiPriority w:val="9"/>
    <w:qFormat/>
    <w:rPr>
      <w:rFonts w:ascii="Arial" w:hAnsi="Arial" w:eastAsia="Arial" w:cs="Arial"/>
      <w:sz w:val="34"/>
    </w:rPr>
  </w:style>
  <w:style w:type="character" w:styleId="763" w:customStyle="1">
    <w:name w:val="Heading 3 Char"/>
    <w:basedOn w:val="722"/>
    <w:uiPriority w:val="9"/>
    <w:qFormat/>
    <w:rPr>
      <w:rFonts w:ascii="Arial" w:hAnsi="Arial" w:eastAsia="Arial" w:cs="Arial"/>
      <w:sz w:val="30"/>
      <w:szCs w:val="30"/>
    </w:rPr>
  </w:style>
  <w:style w:type="character" w:styleId="764" w:customStyle="1">
    <w:name w:val="Heading 4 Char"/>
    <w:basedOn w:val="722"/>
    <w:uiPriority w:val="9"/>
    <w:qFormat/>
    <w:rPr>
      <w:rFonts w:ascii="Arial" w:hAnsi="Arial" w:eastAsia="Arial" w:cs="Arial"/>
      <w:b/>
      <w:bCs/>
      <w:sz w:val="26"/>
      <w:szCs w:val="26"/>
    </w:rPr>
  </w:style>
  <w:style w:type="character" w:styleId="765" w:customStyle="1">
    <w:name w:val="Heading 5 Char"/>
    <w:basedOn w:val="722"/>
    <w:uiPriority w:val="9"/>
    <w:qFormat/>
    <w:rPr>
      <w:rFonts w:ascii="Arial" w:hAnsi="Arial" w:eastAsia="Arial" w:cs="Arial"/>
      <w:b/>
      <w:bCs/>
      <w:sz w:val="24"/>
      <w:szCs w:val="24"/>
    </w:rPr>
  </w:style>
  <w:style w:type="character" w:styleId="766" w:customStyle="1">
    <w:name w:val="Heading 6 Char"/>
    <w:basedOn w:val="722"/>
    <w:uiPriority w:val="9"/>
    <w:qFormat/>
    <w:rPr>
      <w:rFonts w:ascii="Arial" w:hAnsi="Arial" w:eastAsia="Arial" w:cs="Arial"/>
      <w:b/>
      <w:bCs/>
      <w:sz w:val="22"/>
      <w:szCs w:val="22"/>
    </w:rPr>
  </w:style>
  <w:style w:type="character" w:styleId="767" w:customStyle="1">
    <w:name w:val="Heading 7 Char"/>
    <w:basedOn w:val="722"/>
    <w:uiPriority w:val="9"/>
    <w:qFormat/>
    <w:rPr>
      <w:rFonts w:ascii="Arial" w:hAnsi="Arial" w:eastAsia="Arial" w:cs="Arial"/>
      <w:b/>
      <w:bCs/>
      <w:i/>
      <w:iCs/>
      <w:sz w:val="22"/>
      <w:szCs w:val="22"/>
    </w:rPr>
  </w:style>
  <w:style w:type="character" w:styleId="768" w:customStyle="1">
    <w:name w:val="Heading 8 Char"/>
    <w:basedOn w:val="722"/>
    <w:uiPriority w:val="9"/>
    <w:qFormat/>
    <w:rPr>
      <w:rFonts w:ascii="Arial" w:hAnsi="Arial" w:eastAsia="Arial" w:cs="Arial"/>
      <w:i/>
      <w:iCs/>
      <w:sz w:val="22"/>
      <w:szCs w:val="22"/>
    </w:rPr>
  </w:style>
  <w:style w:type="character" w:styleId="769" w:customStyle="1">
    <w:name w:val="Heading 9 Char"/>
    <w:basedOn w:val="722"/>
    <w:uiPriority w:val="9"/>
    <w:qFormat/>
    <w:rPr>
      <w:rFonts w:ascii="Arial" w:hAnsi="Arial" w:eastAsia="Arial" w:cs="Arial"/>
      <w:i/>
      <w:iCs/>
      <w:sz w:val="21"/>
      <w:szCs w:val="21"/>
    </w:rPr>
  </w:style>
  <w:style w:type="character" w:styleId="770" w:customStyle="1">
    <w:name w:val="Title Char"/>
    <w:basedOn w:val="722"/>
    <w:uiPriority w:val="10"/>
    <w:qFormat/>
    <w:rPr>
      <w:sz w:val="48"/>
      <w:szCs w:val="48"/>
    </w:rPr>
  </w:style>
  <w:style w:type="character" w:styleId="771" w:customStyle="1">
    <w:name w:val="Subtitle Char"/>
    <w:basedOn w:val="722"/>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22"/>
    <w:uiPriority w:val="99"/>
    <w:qFormat/>
  </w:style>
  <w:style w:type="character" w:styleId="775" w:customStyle="1">
    <w:name w:val="Caption Char"/>
    <w:uiPriority w:val="99"/>
    <w:qFormat/>
  </w:style>
  <w:style w:type="table" w:styleId="776" w:customStyle="1">
    <w:name w:val="无格式表格 11"/>
    <w:basedOn w:val="72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2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2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2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2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2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72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2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72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7" w:customStyle="1">
    <w:name w:val="网格表 7 彩色1"/>
    <w:basedOn w:val="72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72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72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72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3" w:customStyle="1">
    <w:name w:val="清单表 6 彩色1"/>
    <w:basedOn w:val="72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4" w:customStyle="1">
    <w:name w:val="清单表 7 彩色1"/>
    <w:basedOn w:val="72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标题1"/>
    <w:uiPriority w:val="39"/>
    <w:unhideWhenUsed/>
    <w:qFormat/>
    <w:pPr>
      <w:spacing w:after="160" w:line="278" w:lineRule="auto"/>
    </w:pPr>
    <w:rPr>
      <w:rFonts w:eastAsiaTheme="minorEastAsia"/>
    </w:rPr>
  </w:style>
  <w:style w:type="character" w:styleId="798" w:customStyle="1">
    <w:name w:val="标题 1 字符"/>
    <w:qFormat/>
    <w:rPr>
      <w:rFonts w:ascii="Arial" w:hAnsi="Arial" w:eastAsia="Arial" w:cs="Arial"/>
      <w:sz w:val="40"/>
      <w:szCs w:val="40"/>
    </w:rPr>
  </w:style>
  <w:style w:type="character" w:styleId="799" w:customStyle="1">
    <w:name w:val="标题 2 字符"/>
    <w:link w:val="714"/>
    <w:qFormat/>
    <w:rPr>
      <w:rFonts w:ascii="Arial" w:hAnsi="Arial" w:eastAsia="Arial" w:cs="Arial"/>
      <w:sz w:val="34"/>
    </w:rPr>
  </w:style>
  <w:style w:type="character" w:styleId="800" w:customStyle="1">
    <w:name w:val="标题 3 字符"/>
    <w:link w:val="715"/>
    <w:qFormat/>
    <w:rPr>
      <w:rFonts w:ascii="Arial" w:hAnsi="Arial" w:eastAsia="Arial" w:cs="Arial"/>
      <w:sz w:val="30"/>
      <w:szCs w:val="30"/>
    </w:rPr>
  </w:style>
  <w:style w:type="character" w:styleId="801" w:customStyle="1">
    <w:name w:val="标题 4 字符"/>
    <w:link w:val="716"/>
    <w:uiPriority w:val="9"/>
    <w:qFormat/>
    <w:rPr>
      <w:rFonts w:ascii="Arial" w:hAnsi="Arial" w:eastAsia="Arial" w:cs="Arial"/>
      <w:b/>
      <w:bCs/>
      <w:sz w:val="26"/>
      <w:szCs w:val="26"/>
    </w:rPr>
  </w:style>
  <w:style w:type="character" w:styleId="802" w:customStyle="1">
    <w:name w:val="标题 5 字符"/>
    <w:link w:val="717"/>
    <w:qFormat/>
    <w:rPr>
      <w:rFonts w:ascii="Arial" w:hAnsi="Arial" w:eastAsia="Arial" w:cs="Arial"/>
      <w:b/>
      <w:bCs/>
      <w:sz w:val="24"/>
      <w:szCs w:val="24"/>
    </w:rPr>
  </w:style>
  <w:style w:type="character" w:styleId="803" w:customStyle="1">
    <w:name w:val="标题 6 字符"/>
    <w:link w:val="718"/>
    <w:uiPriority w:val="9"/>
    <w:qFormat/>
    <w:rPr>
      <w:rFonts w:ascii="Arial" w:hAnsi="Arial" w:eastAsia="Arial" w:cs="Arial"/>
      <w:b/>
      <w:bCs/>
      <w:sz w:val="22"/>
      <w:szCs w:val="22"/>
    </w:rPr>
  </w:style>
  <w:style w:type="character" w:styleId="804" w:customStyle="1">
    <w:name w:val="标题 7 字符"/>
    <w:link w:val="719"/>
    <w:uiPriority w:val="9"/>
    <w:qFormat/>
    <w:rPr>
      <w:rFonts w:ascii="Arial" w:hAnsi="Arial" w:eastAsia="Arial" w:cs="Arial"/>
      <w:b/>
      <w:bCs/>
      <w:i/>
      <w:iCs/>
      <w:sz w:val="22"/>
      <w:szCs w:val="22"/>
    </w:rPr>
  </w:style>
  <w:style w:type="character" w:styleId="805" w:customStyle="1">
    <w:name w:val="标题 8 字符"/>
    <w:link w:val="720"/>
    <w:uiPriority w:val="9"/>
    <w:qFormat/>
    <w:rPr>
      <w:rFonts w:ascii="Arial" w:hAnsi="Arial" w:eastAsia="Arial" w:cs="Arial"/>
      <w:i/>
      <w:iCs/>
      <w:sz w:val="22"/>
      <w:szCs w:val="22"/>
    </w:rPr>
  </w:style>
  <w:style w:type="character" w:styleId="806" w:customStyle="1">
    <w:name w:val="标题 9 字符"/>
    <w:link w:val="721"/>
    <w:uiPriority w:val="9"/>
    <w:qFormat/>
    <w:rPr>
      <w:rFonts w:ascii="Arial" w:hAnsi="Arial" w:eastAsia="Arial" w:cs="Arial"/>
      <w:i/>
      <w:iCs/>
      <w:sz w:val="21"/>
      <w:szCs w:val="21"/>
    </w:rPr>
  </w:style>
  <w:style w:type="paragraph" w:styleId="807">
    <w:name w:val="List Paragraph"/>
    <w:basedOn w:val="712"/>
    <w:uiPriority w:val="99"/>
    <w:qFormat/>
    <w:pPr>
      <w:contextualSpacing/>
      <w:ind w:left="720"/>
    </w:pPr>
  </w:style>
  <w:style w:type="paragraph" w:styleId="808">
    <w:name w:val="No Spacing"/>
    <w:uiPriority w:val="1"/>
    <w:qFormat/>
    <w:pPr>
      <w:spacing w:after="160" w:line="278" w:lineRule="auto"/>
    </w:pPr>
    <w:rPr>
      <w:rFonts w:eastAsiaTheme="minorEastAsia"/>
    </w:rPr>
  </w:style>
  <w:style w:type="character" w:styleId="809" w:customStyle="1">
    <w:name w:val="标题 字符"/>
    <w:link w:val="752"/>
    <w:uiPriority w:val="10"/>
    <w:qFormat/>
    <w:rPr>
      <w:sz w:val="48"/>
      <w:szCs w:val="48"/>
    </w:rPr>
  </w:style>
  <w:style w:type="character" w:styleId="810" w:customStyle="1">
    <w:name w:val="副标题 字符"/>
    <w:link w:val="744"/>
    <w:uiPriority w:val="11"/>
    <w:qFormat/>
    <w:rPr>
      <w:sz w:val="24"/>
      <w:szCs w:val="24"/>
    </w:rPr>
  </w:style>
  <w:style w:type="paragraph" w:styleId="811">
    <w:name w:val="Quote"/>
    <w:link w:val="812"/>
    <w:uiPriority w:val="29"/>
    <w:qFormat/>
    <w:pPr>
      <w:ind w:left="720" w:right="720"/>
      <w:spacing w:after="160" w:line="278" w:lineRule="auto"/>
    </w:pPr>
    <w:rPr>
      <w:rFonts w:eastAsiaTheme="minorEastAsia"/>
      <w:i/>
    </w:rPr>
  </w:style>
  <w:style w:type="character" w:styleId="812" w:customStyle="1">
    <w:name w:val="引用 字符"/>
    <w:link w:val="811"/>
    <w:uiPriority w:val="29"/>
    <w:qFormat/>
    <w:rPr>
      <w:i/>
    </w:rPr>
  </w:style>
  <w:style w:type="paragraph" w:styleId="813">
    <w:name w:val="Intense Quote"/>
    <w:link w:val="814"/>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eastAsiaTheme="minorEastAsia"/>
      <w:i/>
    </w:rPr>
  </w:style>
  <w:style w:type="character" w:styleId="814" w:customStyle="1">
    <w:name w:val="明显引用 字符"/>
    <w:link w:val="813"/>
    <w:uiPriority w:val="30"/>
    <w:qFormat/>
    <w:rPr>
      <w:i/>
    </w:rPr>
  </w:style>
  <w:style w:type="character" w:styleId="815" w:customStyle="1">
    <w:name w:val="页眉 字符"/>
    <w:link w:val="741"/>
    <w:qFormat/>
  </w:style>
  <w:style w:type="character" w:styleId="816" w:customStyle="1">
    <w:name w:val="Footer Char"/>
    <w:uiPriority w:val="99"/>
    <w:qFormat/>
  </w:style>
  <w:style w:type="character" w:styleId="817" w:customStyle="1">
    <w:name w:val="页脚 字符"/>
    <w:link w:val="740"/>
    <w:uiPriority w:val="99"/>
    <w:qFormat/>
  </w:style>
  <w:style w:type="table" w:styleId="81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字符"/>
    <w:link w:val="745"/>
    <w:qFormat/>
    <w:rPr>
      <w:sz w:val="18"/>
    </w:rPr>
  </w:style>
  <w:style w:type="character" w:styleId="925" w:customStyle="1">
    <w:name w:val="尾注文本 字符"/>
    <w:link w:val="738"/>
    <w:uiPriority w:val="99"/>
    <w:qFormat/>
    <w:rPr>
      <w:sz w:val="20"/>
    </w:rPr>
  </w:style>
  <w:style w:type="paragraph" w:styleId="926" w:customStyle="1">
    <w:name w:val="TOC 标题11"/>
    <w:uiPriority w:val="39"/>
    <w:unhideWhenUsed/>
    <w:qFormat/>
    <w:pPr>
      <w:spacing w:after="160" w:line="278" w:lineRule="auto"/>
    </w:pPr>
    <w:rPr>
      <w:rFonts w:eastAsiaTheme="minorEastAsia"/>
    </w:rPr>
  </w:style>
  <w:style w:type="paragraph" w:styleId="927" w:customStyle="1">
    <w:name w:val="修订1"/>
    <w:hidden/>
    <w:uiPriority w:val="99"/>
    <w:semiHidden/>
    <w:qFormat/>
    <w:pPr>
      <w:spacing w:after="160" w:line="278" w:lineRule="auto"/>
    </w:pPr>
    <w:rPr>
      <w:rFonts w:eastAsiaTheme="minorEastAsia"/>
    </w:rPr>
  </w:style>
  <w:style w:type="character" w:styleId="928" w:customStyle="1">
    <w:name w:val="批注文字 字符"/>
    <w:basedOn w:val="722"/>
    <w:link w:val="729"/>
    <w:qFormat/>
  </w:style>
  <w:style w:type="character" w:styleId="929" w:customStyle="1">
    <w:name w:val="批注主题 字符"/>
    <w:basedOn w:val="928"/>
    <w:link w:val="753"/>
    <w:uiPriority w:val="99"/>
    <w:semiHidden/>
    <w:qFormat/>
    <w:rPr>
      <w:b/>
      <w:bCs/>
    </w:rPr>
  </w:style>
  <w:style w:type="character" w:styleId="930" w:customStyle="1">
    <w:name w:val="批注框文本 字符"/>
    <w:basedOn w:val="722"/>
    <w:link w:val="739"/>
    <w:uiPriority w:val="99"/>
    <w:semiHidden/>
    <w:qFormat/>
    <w:rPr>
      <w:sz w:val="18"/>
      <w:szCs w:val="18"/>
    </w:rPr>
  </w:style>
  <w:style w:type="paragraph" w:styleId="931" w:customStyle="1">
    <w:name w:val="修订2"/>
    <w:hidden/>
    <w:uiPriority w:val="99"/>
    <w:unhideWhenUsed/>
    <w:qFormat/>
    <w:pPr>
      <w:spacing w:after="160" w:line="278" w:lineRule="auto"/>
    </w:pPr>
    <w:rPr>
      <w:rFonts w:eastAsiaTheme="minorEastAsia"/>
    </w:rPr>
  </w:style>
  <w:style w:type="paragraph" w:styleId="932" w:customStyle="1">
    <w:name w:val="修订3"/>
    <w:hidden/>
    <w:uiPriority w:val="99"/>
    <w:semiHidden/>
    <w:qFormat/>
    <w:pPr>
      <w:spacing w:after="160" w:line="278" w:lineRule="auto"/>
    </w:pPr>
    <w:rPr>
      <w:rFonts w:eastAsiaTheme="minorEastAsia"/>
    </w:rPr>
  </w:style>
  <w:style w:type="paragraph" w:styleId="933" w:customStyle="1">
    <w:name w:val="普通正文"/>
    <w:basedOn w:val="712"/>
    <w:qFormat/>
    <w:pPr>
      <w:ind w:firstLine="480"/>
      <w:spacing w:before="120" w:after="120" w:line="360" w:lineRule="auto"/>
    </w:pPr>
    <w:rPr>
      <w:rFonts w:ascii="Arial" w:hAnsi="Arial"/>
      <w:szCs w:val="24"/>
    </w:rPr>
  </w:style>
  <w:style w:type="paragraph" w:styleId="934" w:customStyle="1">
    <w:name w:val="_Style 226"/>
    <w:basedOn w:val="713"/>
    <w:next w:val="712"/>
    <w:qFormat/>
    <w:pPr>
      <w:spacing w:line="276" w:lineRule="auto"/>
      <w:outlineLvl w:val="9"/>
    </w:pPr>
    <w:rPr>
      <w:rFonts w:ascii="Cambria" w:hAnsi="Cambria" w:eastAsia="宋体"/>
      <w:bCs/>
      <w:color w:val="365f91"/>
    </w:rPr>
  </w:style>
  <w:style w:type="paragraph" w:styleId="935" w:customStyle="1">
    <w:name w:val="修订4"/>
    <w:hidden/>
    <w:uiPriority w:val="99"/>
    <w:semiHidden/>
    <w:qFormat/>
    <w:pPr>
      <w:spacing w:after="160" w:line="278" w:lineRule="auto"/>
    </w:pPr>
    <w:rPr>
      <w:rFonts w:eastAsiaTheme="minorEastAsia"/>
    </w:rPr>
  </w:style>
  <w:style w:type="paragraph" w:styleId="936" w:customStyle="1">
    <w:name w:val="修订5"/>
    <w:hidden/>
    <w:uiPriority w:val="99"/>
    <w:unhideWhenUsed/>
    <w:qFormat/>
    <w:pPr>
      <w:spacing w:after="160" w:line="278" w:lineRule="auto"/>
    </w:pPr>
    <w:rPr>
      <w:rFonts w:eastAsiaTheme="minorEastAsia"/>
    </w:rPr>
  </w:style>
  <w:style w:type="paragraph" w:styleId="937" w:customStyle="1">
    <w:name w:val="修订6"/>
    <w:hidden/>
    <w:uiPriority w:val="99"/>
    <w:semiHidden/>
    <w:qFormat/>
    <w:pPr>
      <w:spacing w:after="160" w:line="278" w:lineRule="auto"/>
    </w:pPr>
    <w:rPr>
      <w:rFonts w:eastAsiaTheme="minorEastAsia"/>
    </w:rPr>
  </w:style>
  <w:style w:type="paragraph" w:styleId="938" w:customStyle="1">
    <w:name w:val="修订7"/>
    <w:hidden/>
    <w:uiPriority w:val="99"/>
    <w:semiHidden/>
    <w:qFormat/>
    <w:pPr>
      <w:spacing w:after="160" w:line="278" w:lineRule="auto"/>
    </w:pPr>
    <w:rPr>
      <w:rFonts w:eastAsiaTheme="minorEastAsia"/>
    </w:rPr>
  </w:style>
  <w:style w:type="paragraph" w:styleId="939" w:customStyle="1">
    <w:name w:val="修订8"/>
    <w:hidden/>
    <w:uiPriority w:val="99"/>
    <w:semiHidden/>
    <w:qFormat/>
    <w:pPr>
      <w:spacing w:after="160" w:line="278" w:lineRule="auto"/>
    </w:pPr>
    <w:rPr>
      <w:rFonts w:eastAsiaTheme="minorEastAsia"/>
    </w:rPr>
  </w:style>
  <w:style w:type="paragraph" w:styleId="940" w:customStyle="1">
    <w:name w:val="Table Text"/>
    <w:basedOn w:val="712"/>
    <w:semiHidden/>
    <w:qFormat/>
    <w:pPr>
      <w:jc w:val="center"/>
      <w:spacing w:before="22" w:line="195" w:lineRule="auto"/>
      <w:framePr w:hSpace="180" w:wrap="around" w:vAnchor="text" w:hAnchor="page" w:xAlign="center" w:y="29"/>
    </w:pPr>
    <w:rPr>
      <w:rFonts w:ascii="宋体" w:hAnsi="宋体" w:eastAsia="宋体" w:cs="宋体"/>
      <w:color w:val="000000"/>
      <w:sz w:val="22"/>
      <w:szCs w:val="22"/>
      <w:lang w:eastAsia="en-US"/>
    </w:rPr>
  </w:style>
  <w:style w:type="paragraph" w:styleId="941" w:customStyle="1">
    <w:name w:val="修订9"/>
    <w:hidden/>
    <w:uiPriority w:val="99"/>
    <w:unhideWhenUsed/>
    <w:qFormat/>
    <w:pPr>
      <w:spacing w:after="160" w:line="278" w:lineRule="auto"/>
    </w:pPr>
    <w:rPr>
      <w:rFonts w:eastAsiaTheme="minorEastAsia"/>
    </w:rPr>
  </w:style>
  <w:style w:type="paragraph" w:styleId="942" w:customStyle="1">
    <w:name w:val="修订10"/>
    <w:hidden/>
    <w:uiPriority w:val="99"/>
    <w:unhideWhenUsed/>
    <w:qFormat/>
    <w:rPr>
      <w:rFonts w:eastAsiaTheme="minorEastAsia"/>
    </w:rPr>
  </w:style>
  <w:style w:type="paragraph" w:styleId="943" w:customStyle="1">
    <w:name w:val="修订11"/>
    <w:hidden/>
    <w:uiPriority w:val="99"/>
    <w:qFormat/>
    <w:rPr>
      <w:rFonts w:eastAsiaTheme="minorEastAsia"/>
    </w:rPr>
  </w:style>
  <w:style w:type="paragraph" w:styleId="944" w:customStyle="1">
    <w:name w:val="正文_3"/>
    <w:qFormat/>
    <w:pPr>
      <w:jc w:val="both"/>
      <w:widowControl w:val="off"/>
    </w:pPr>
    <w:rPr>
      <w:sz w:val="21"/>
      <w:szCs w:val="24"/>
    </w:rPr>
  </w:style>
  <w:style w:type="paragraph" w:styleId="945" w:customStyle="1">
    <w:name w:val="样式 标题 2 + Times New Roman 四号 非加粗 段前: 5 磅 段后: 0 磅 行距: 固定值 20..."/>
    <w:basedOn w:val="714"/>
    <w:qFormat/>
    <w:pPr>
      <w:jc w:val="both"/>
      <w:spacing w:before="100" w:after="0" w:line="400" w:lineRule="exact"/>
      <w:widowControl w:val="off"/>
    </w:pPr>
    <w:rPr>
      <w:rFonts w:ascii="Times New Roman" w:hAnsi="Times New Roman" w:eastAsia="黑体" w:cs="宋体"/>
      <w:sz w:val="28"/>
    </w:rPr>
  </w:style>
  <w:style w:type="paragraph" w:styleId="946" w:customStyle="1">
    <w:name w:val="段落大意"/>
    <w:qFormat/>
    <w:pPr>
      <w:ind w:firstLine="200"/>
      <w:jc w:val="both"/>
      <w:spacing w:line="300" w:lineRule="auto"/>
    </w:pPr>
    <w:rPr>
      <w:rFonts w:ascii="方正中等线简体" w:hAnsi="方正中等线简体" w:eastAsia="方正中等线简体" w:cs="方正中等线简体"/>
      <w:sz w:val="21"/>
      <w:szCs w:val="22"/>
    </w:rPr>
  </w:style>
  <w:style w:type="character" w:styleId="947" w:customStyle="1">
    <w:name w:val="正文文本 字符"/>
    <w:basedOn w:val="722"/>
    <w:link w:val="730"/>
    <w:qFormat/>
    <w:rPr>
      <w:rFonts w:ascii="楷体_GB2312" w:hAnsi="Arial" w:eastAsia="楷体_GB2312"/>
      <w:sz w:val="28"/>
      <w:szCs w:val="28"/>
    </w:rPr>
  </w:style>
  <w:style w:type="character" w:styleId="948" w:customStyle="1">
    <w:name w:val="正文文本缩进 字符"/>
    <w:basedOn w:val="722"/>
    <w:link w:val="731"/>
    <w:qFormat/>
    <w:rPr>
      <w:rFonts w:ascii="仿宋_GB2312" w:eastAsia="仿宋_GB2312" w:hAnsiTheme="minorHAnsi" w:cstheme="minorBidi"/>
      <w:sz w:val="32"/>
      <w:szCs w:val="24"/>
    </w:rPr>
  </w:style>
  <w:style w:type="character" w:styleId="949" w:customStyle="1">
    <w:name w:val="正文文本首行缩进 2 字符"/>
    <w:basedOn w:val="948"/>
    <w:link w:val="732"/>
    <w:qFormat/>
    <w:rPr>
      <w:rFonts w:ascii="仿宋_GB2312" w:eastAsia="仿宋_GB2312" w:hAnsiTheme="minorHAnsi" w:cstheme="minorBidi"/>
      <w:sz w:val="24"/>
      <w:szCs w:val="24"/>
    </w:rPr>
  </w:style>
  <w:style w:type="character" w:styleId="950" w:customStyle="1">
    <w:name w:val="正文文本缩进 2 字符"/>
    <w:basedOn w:val="722"/>
    <w:link w:val="737"/>
    <w:qFormat/>
    <w:rPr>
      <w:rFonts w:asciiTheme="minorHAnsi" w:hAnsiTheme="minorHAnsi" w:cstheme="minorBidi"/>
      <w:sz w:val="22"/>
      <w:szCs w:val="24"/>
      <w:lang w:eastAsia="en-US"/>
    </w:rPr>
  </w:style>
  <w:style w:type="character" w:styleId="951" w:customStyle="1">
    <w:name w:val="正文文本 2 字符"/>
    <w:basedOn w:val="722"/>
    <w:link w:val="750"/>
    <w:qFormat/>
    <w:rPr>
      <w:rFonts w:asciiTheme="minorHAnsi" w:hAnsiTheme="minorHAnsi" w:cstheme="minorBidi"/>
      <w:szCs w:val="24"/>
    </w:rPr>
  </w:style>
  <w:style w:type="character" w:styleId="952" w:customStyle="1">
    <w:name w:val="正文文本首行缩进 字符"/>
    <w:basedOn w:val="947"/>
    <w:link w:val="754"/>
    <w:qFormat/>
    <w:rPr>
      <w:rFonts w:ascii="楷体_GB2312" w:hAnsi="Arial" w:eastAsia="楷体_GB2312"/>
      <w:sz w:val="21"/>
      <w:szCs w:val="24"/>
      <w:lang w:val="zh-CN"/>
    </w:rPr>
  </w:style>
  <w:style w:type="paragraph" w:styleId="953" w:customStyle="1">
    <w:name w:val="样式 标题 3 + (中文) 黑体 小四 非加粗 段前: 7.8 磅 段后: 0 磅 行距: 固定值 20 磅"/>
    <w:basedOn w:val="715"/>
    <w:qFormat/>
    <w:pPr>
      <w:jc w:val="both"/>
      <w:spacing w:before="0" w:after="0" w:line="400" w:lineRule="exact"/>
      <w:widowControl w:val="off"/>
    </w:pPr>
    <w:rPr>
      <w:rFonts w:eastAsia="黑体" w:asciiTheme="minorHAnsi" w:hAnsiTheme="minorHAnsi" w:cstheme="minorBidi"/>
      <w:sz w:val="24"/>
      <w:szCs w:val="20"/>
    </w:rPr>
  </w:style>
  <w:style w:type="paragraph" w:styleId="954" w:customStyle="1">
    <w:name w:val="(符号)标书正文"/>
    <w:basedOn w:val="712"/>
    <w:qFormat/>
    <w:pPr>
      <w:ind w:left="420"/>
      <w:jc w:val="both"/>
      <w:spacing w:before="100" w:beforeAutospacing="1" w:after="100" w:afterAutospacing="1" w:line="460" w:lineRule="exact"/>
      <w:widowControl w:val="off"/>
    </w:pPr>
    <w:rPr>
      <w:rFonts w:ascii="宋体" w:hAnsi="宋体" w:cstheme="minorBidi"/>
      <w:color w:val="000000"/>
      <w:sz w:val="21"/>
      <w:szCs w:val="22"/>
    </w:rPr>
  </w:style>
  <w:style w:type="paragraph" w:styleId="955" w:customStyle="1">
    <w:name w:val="修订12"/>
    <w:hidden/>
    <w:uiPriority w:val="99"/>
    <w:semiHidden/>
    <w:qFormat/>
    <w:rPr>
      <w:rFonts w:eastAsiaTheme="minorEastAsia"/>
    </w:rPr>
  </w:style>
  <w:style w:type="character" w:styleId="956" w:customStyle="1">
    <w:name w:val="标题 1 字符1"/>
    <w:link w:val="713"/>
    <w:qFormat/>
    <w:rPr>
      <w:b/>
      <w:sz w:val="44"/>
      <w:szCs w:val="20"/>
    </w:rPr>
  </w:style>
  <w:style w:type="paragraph" w:styleId="957" w:customStyle="1">
    <w:name w:val="正文+缩进"/>
    <w:basedOn w:val="712"/>
    <w:qFormat/>
    <w:pPr>
      <w:ind w:firstLine="200"/>
    </w:pPr>
  </w:style>
  <w:style w:type="paragraph" w:styleId="958" w:customStyle="1">
    <w:name w:val="Table Paragraph"/>
    <w:basedOn w:val="712"/>
    <w:uiPriority w:val="1"/>
    <w:qFormat/>
    <w:rPr>
      <w:rFonts w:ascii="宋体" w:hAnsi="宋体" w:eastAsia="宋体" w:cs="宋体"/>
    </w:rPr>
  </w:style>
  <w:style w:type="paragraph" w:styleId="959">
    <w:name w:val="Revision"/>
    <w:hidden/>
    <w:uiPriority w:val="99"/>
    <w:semiHidden/>
    <w:rPr>
      <w:rFonts w:eastAsiaTheme="minorEastAsi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FE3AE-FAB4-4F51-888B-FDC5F94E9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6</cp:revision>
  <dcterms:created xsi:type="dcterms:W3CDTF">2026-09-04T07:00:00Z</dcterms:created>
  <dcterms:modified xsi:type="dcterms:W3CDTF">2026-09-04T08:41:42Z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75F72EAAA251422F85353CD91F5AB273_13</vt:lpwstr>
  </property>
  <property fmtid="{D5CDD505-2E9C-101B-9397-08002B2CF9AE}" pid="4" name="KSOTemplateDocerSaveRecord">
    <vt:lpwstr>eyJoZGlkIjoiNzVhMDcyMWRjMWYwMDZmNjJlMDRmMGRhY2UyYmNjZjQiLCJ1c2VySWQiOiI0OTg2NzYyMTkifQ==</vt:lpwstr>
  </property>
</Properties>
</file>