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szCs w:val="20"/>
          <w:highlight w:val="none"/>
        </w:rPr>
      </w:pPr>
      <w:r/>
      <w:bookmarkStart w:id="0" w:name="_Toc453770647"/>
      <w:r/>
      <w:r/>
    </w:p>
    <w:p>
      <w:pPr>
        <w:jc w:val="center"/>
        <w:spacing w:line="360" w:lineRule="auto"/>
        <w:rPr>
          <w:rFonts w:ascii="宋体" w:hAnsi="宋体"/>
          <w:b/>
          <w:color w:val="auto"/>
          <w:sz w:val="72"/>
          <w:szCs w:val="20"/>
          <w:highlight w:val="none"/>
        </w:rPr>
      </w:pPr>
      <w:r>
        <w:rPr>
          <w:rFonts w:hint="eastAsia" w:ascii="宋体" w:hAnsi="宋体"/>
          <w:b/>
          <w:color w:val="auto"/>
          <w:sz w:val="72"/>
          <w:szCs w:val="20"/>
          <w:highlight w:val="none"/>
        </w:rPr>
        <w:t xml:space="preserve">苏州工业园区政府采购</w:t>
      </w:r>
      <w:r/>
    </w:p>
    <w:p>
      <w:pPr>
        <w:jc w:val="center"/>
        <w:spacing w:line="360" w:lineRule="auto"/>
        <w:rPr>
          <w:rFonts w:ascii="宋体" w:hAnsi="宋体"/>
          <w:b/>
          <w:color w:val="auto"/>
          <w:sz w:val="72"/>
          <w:szCs w:val="20"/>
          <w:highlight w:val="none"/>
        </w:rPr>
        <w:outlineLvl w:val="0"/>
      </w:pPr>
      <w:r/>
      <w:bookmarkStart w:id="1" w:name="_Toc23062"/>
      <w:r>
        <w:rPr>
          <w:rFonts w:hint="eastAsia" w:ascii="宋体" w:hAnsi="宋体"/>
          <w:b/>
          <w:color w:val="auto"/>
          <w:sz w:val="72"/>
          <w:szCs w:val="20"/>
          <w:highlight w:val="none"/>
        </w:rPr>
        <w:t xml:space="preserve">竞争性磋商文件</w:t>
      </w:r>
      <w:bookmarkEnd w:id="1"/>
      <w:r/>
      <w:r/>
    </w:p>
    <w:tbl>
      <w:tblPr>
        <w:tblStyle w:val="759"/>
        <w:tblW w:w="0" w:type="auto"/>
        <w:tblInd w:w="298" w:type="dxa"/>
        <w:tblLayout w:type="fixed"/>
        <w:tblCellMar>
          <w:left w:w="108" w:type="dxa"/>
          <w:top w:w="0" w:type="dxa"/>
          <w:right w:w="108" w:type="dxa"/>
          <w:bottom w:w="0" w:type="dxa"/>
        </w:tblCellMar>
        <w:tblLook w:val="04A0" w:firstRow="1" w:lastRow="0" w:firstColumn="1" w:lastColumn="0" w:noHBand="0" w:noVBand="1"/>
      </w:tblPr>
      <w:tblGrid>
        <w:gridCol w:w="1936"/>
        <w:gridCol w:w="6378"/>
      </w:tblGrid>
      <w:tr>
        <w:trPr/>
        <w:tc>
          <w:tcPr>
            <w:tcBorders>
              <w:top w:val="none" w:color="000000" w:sz="4" w:space="0"/>
              <w:left w:val="none" w:color="000000" w:sz="4" w:space="0"/>
              <w:bottom w:val="none" w:color="000000" w:sz="4" w:space="0"/>
              <w:right w:val="none" w:color="000000" w:sz="4" w:space="0"/>
            </w:tcBorders>
            <w:tcW w:w="1936"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采购编号：</w:t>
            </w:r>
            <w:r/>
          </w:p>
        </w:tc>
        <w:tc>
          <w:tcPr>
            <w:tcBorders>
              <w:top w:val="none" w:color="000000" w:sz="4" w:space="0"/>
              <w:left w:val="none" w:color="000000" w:sz="4" w:space="0"/>
              <w:bottom w:val="none" w:color="000000" w:sz="4" w:space="0"/>
              <w:right w:val="none" w:color="000000" w:sz="4" w:space="0"/>
            </w:tcBorders>
            <w:tcW w:w="6378" w:type="dxa"/>
            <w:textDirection w:val="lrTb"/>
            <w:noWrap w:val="false"/>
          </w:tcPr>
          <w:p>
            <w:pPr>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JSZC-320591-LHZX-C2026-0017</w:t>
            </w:r>
            <w:r/>
          </w:p>
        </w:tc>
      </w:tr>
      <w:tr>
        <w:trPr/>
        <w:tc>
          <w:tcPr>
            <w:tcBorders>
              <w:top w:val="none" w:color="000000" w:sz="4" w:space="0"/>
              <w:left w:val="none" w:color="000000" w:sz="4" w:space="0"/>
              <w:bottom w:val="none" w:color="000000" w:sz="4" w:space="0"/>
              <w:right w:val="none" w:color="000000" w:sz="4" w:space="0"/>
            </w:tcBorders>
            <w:tcW w:w="1936"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采购单位：</w:t>
            </w:r>
            <w:r/>
          </w:p>
        </w:tc>
        <w:tc>
          <w:tcPr>
            <w:tcBorders>
              <w:top w:val="none" w:color="000000" w:sz="4" w:space="0"/>
              <w:left w:val="none" w:color="000000" w:sz="4" w:space="0"/>
              <w:bottom w:val="none" w:color="000000" w:sz="4" w:space="0"/>
              <w:right w:val="none" w:color="000000" w:sz="4" w:space="0"/>
            </w:tcBorders>
            <w:tcW w:w="6378" w:type="dxa"/>
            <w:textDirection w:val="lrTb"/>
            <w:noWrap w:val="false"/>
          </w:tcPr>
          <w:p>
            <w:pPr>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苏州大学附属中学</w:t>
            </w:r>
            <w:r/>
          </w:p>
        </w:tc>
      </w:tr>
      <w:tr>
        <w:trPr/>
        <w:tc>
          <w:tcPr>
            <w:tcBorders>
              <w:top w:val="none" w:color="000000" w:sz="4" w:space="0"/>
              <w:left w:val="none" w:color="000000" w:sz="4" w:space="0"/>
              <w:bottom w:val="none" w:color="000000" w:sz="4" w:space="0"/>
              <w:right w:val="none" w:color="000000" w:sz="4" w:space="0"/>
            </w:tcBorders>
            <w:tcW w:w="1936"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采购内容：</w:t>
            </w:r>
            <w:r/>
          </w:p>
        </w:tc>
        <w:tc>
          <w:tcPr>
            <w:tcBorders>
              <w:top w:val="none" w:color="000000" w:sz="4" w:space="0"/>
              <w:left w:val="none" w:color="000000" w:sz="4" w:space="0"/>
              <w:bottom w:val="none" w:color="000000" w:sz="4" w:space="0"/>
              <w:right w:val="none" w:color="000000" w:sz="4" w:space="0"/>
            </w:tcBorders>
            <w:tcW w:w="6378" w:type="dxa"/>
            <w:textDirection w:val="lrTb"/>
            <w:noWrap w:val="false"/>
          </w:tcPr>
          <w:p>
            <w:pPr>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现代生物技术创新实验课程</w:t>
            </w:r>
            <w:r/>
          </w:p>
        </w:tc>
      </w:tr>
      <w:tr>
        <w:trPr/>
        <w:tc>
          <w:tcPr>
            <w:tcBorders>
              <w:top w:val="none" w:color="000000" w:sz="4" w:space="0"/>
              <w:left w:val="none" w:color="000000" w:sz="4" w:space="0"/>
              <w:bottom w:val="none" w:color="000000" w:sz="4" w:space="0"/>
              <w:right w:val="none" w:color="000000" w:sz="4" w:space="0"/>
            </w:tcBorders>
            <w:tcW w:w="1936"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采购类别：</w:t>
            </w:r>
            <w:r/>
          </w:p>
        </w:tc>
        <w:tc>
          <w:tcPr>
            <w:tcBorders>
              <w:top w:val="none" w:color="000000" w:sz="4" w:space="0"/>
              <w:left w:val="none" w:color="000000" w:sz="4" w:space="0"/>
              <w:bottom w:val="none" w:color="000000" w:sz="4" w:space="0"/>
              <w:right w:val="none" w:color="000000" w:sz="4" w:space="0"/>
            </w:tcBorders>
            <w:tcW w:w="6378" w:type="dxa"/>
            <w:textDirection w:val="lrTb"/>
            <w:noWrap w:val="false"/>
          </w:tcPr>
          <w:p>
            <w:pPr>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服务类</w:t>
            </w:r>
            <w:r/>
          </w:p>
        </w:tc>
      </w:tr>
    </w:tbl>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mc:AlternateContent>
          <mc:Choice Requires="wpg">
            <w:drawing>
              <wp:inline xmlns:wp="http://schemas.openxmlformats.org/drawingml/2006/wordprocessingDrawing" distT="0" distB="0" distL="0" distR="0">
                <wp:extent cx="2667000" cy="14478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2667000" cy="14478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0.0pt;height:114.0pt;mso-wrap-distance-left:0.0pt;mso-wrap-distance-top:0.0pt;mso-wrap-distance-right:0.0pt;mso-wrap-distance-bottom:0.0pt;" stroked="f">
                <v:path textboxrect="0,0,0,0"/>
                <v:imagedata r:id="rId12" o:title=""/>
              </v:shape>
            </w:pict>
          </mc:Fallback>
        </mc:AlternateContent>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jc w:val="center"/>
        <w:spacing w:line="360" w:lineRule="auto"/>
        <w:rPr>
          <w:rFonts w:ascii="宋体" w:hAnsi="宋体"/>
          <w:b/>
          <w:color w:val="auto"/>
          <w:sz w:val="32"/>
          <w:szCs w:val="20"/>
          <w:highlight w:val="none"/>
        </w:rPr>
        <w:outlineLvl w:val="0"/>
      </w:pPr>
      <w:r/>
      <w:bookmarkStart w:id="2" w:name="_Toc28572"/>
      <w:r>
        <w:rPr>
          <w:rFonts w:hint="eastAsia" w:ascii="宋体" w:hAnsi="宋体"/>
          <w:b/>
          <w:color w:val="auto"/>
          <w:sz w:val="32"/>
          <w:szCs w:val="20"/>
          <w:highlight w:val="none"/>
        </w:rPr>
        <w:t xml:space="preserve">苏州乐慧招投标咨询有限公司</w:t>
      </w:r>
      <w:bookmarkEnd w:id="2"/>
      <w:r/>
      <w:r/>
    </w:p>
    <w:p>
      <w:pPr>
        <w:jc w:val="center"/>
        <w:spacing w:line="360" w:lineRule="auto"/>
        <w:rPr>
          <w:rFonts w:ascii="宋体" w:hAnsi="宋体"/>
          <w:b/>
          <w:color w:val="auto"/>
          <w:sz w:val="32"/>
          <w:szCs w:val="20"/>
          <w:highlight w:val="none"/>
        </w:rPr>
      </w:pPr>
      <w:r>
        <w:rPr>
          <w:rFonts w:hint="eastAsia" w:ascii="宋体" w:hAnsi="宋体"/>
          <w:b/>
          <w:color w:val="auto"/>
          <w:sz w:val="32"/>
          <w:szCs w:val="20"/>
          <w:highlight w:val="none"/>
        </w:rPr>
        <w:t xml:space="preserve">二○二六年九月</w:t>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bCs/>
          <w:color w:val="auto"/>
          <w:sz w:val="44"/>
          <w:szCs w:val="44"/>
          <w:highlight w:val="none"/>
        </w:rPr>
      </w:pPr>
      <w:r>
        <w:rPr>
          <w:color w:val="auto"/>
          <w:highlight w:val="none"/>
        </w:rPr>
        <w:br w:type="page" w:clear="all"/>
      </w:r>
      <w:bookmarkStart w:id="3" w:name="_Toc20696"/>
      <w:r>
        <w:rPr>
          <w:rFonts w:hint="eastAsia" w:ascii="宋体" w:hAnsi="宋体" w:cs="宋体"/>
          <w:b/>
          <w:bCs/>
          <w:color w:val="auto"/>
          <w:sz w:val="44"/>
          <w:szCs w:val="44"/>
          <w:highlight w:val="none"/>
        </w:rPr>
        <w:t xml:space="preserve">目     录</w:t>
      </w:r>
      <w:r/>
    </w:p>
    <w:p>
      <w:pPr>
        <w:pStyle w:val="990"/>
        <w:spacing w:line="360" w:lineRule="auto"/>
        <w:tabs>
          <w:tab w:val="right" w:pos="8306" w:leader="dot"/>
        </w:tabs>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p>
    <w:p>
      <w:pPr>
        <w:pStyle w:val="990"/>
        <w:spacing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"_Toc18664" </w:instrText>
      </w:r>
      <w:r>
        <w:rPr>
          <w:color w:val="auto"/>
          <w:highlight w:val="none"/>
        </w:rPr>
        <w:fldChar w:fldCharType="separate"/>
      </w:r>
      <w:r>
        <w:rPr>
          <w:rFonts w:hint="eastAsia" w:ascii="宋体" w:hAnsi="宋体" w:cs="宋体"/>
          <w:bCs/>
          <w:color w:val="auto"/>
          <w:sz w:val="28"/>
          <w:szCs w:val="28"/>
          <w:highlight w:val="none"/>
          <w:lang w:val="zh-CN"/>
        </w:rPr>
        <w:t xml:space="preserve">第一章、竞争性磋商公告</w:t>
      </w:r>
      <w:r>
        <w:rPr>
          <w:rFonts w:hint="eastAsia" w:ascii="宋体" w:hAnsi="宋体" w:cs="宋体"/>
          <w:bCs/>
          <w:color w:val="auto"/>
          <w:sz w:val="28"/>
          <w:szCs w:val="28"/>
          <w:highlight w:val="none"/>
          <w:lang w:val="zh-CN"/>
        </w:rPr>
        <w:fldChar w:fldCharType="end"/>
      </w:r>
      <w:r/>
    </w:p>
    <w:p>
      <w:pPr>
        <w:pStyle w:val="990"/>
        <w:spacing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"_Toc18907" </w:instrText>
      </w:r>
      <w:r>
        <w:rPr>
          <w:color w:val="auto"/>
          <w:highlight w:val="none"/>
        </w:rPr>
        <w:fldChar w:fldCharType="separate"/>
      </w:r>
      <w:r>
        <w:rPr>
          <w:rFonts w:hint="eastAsia" w:ascii="宋体" w:hAnsi="宋体" w:cs="宋体"/>
          <w:bCs/>
          <w:color w:val="auto"/>
          <w:sz w:val="28"/>
          <w:szCs w:val="28"/>
          <w:highlight w:val="none"/>
        </w:rPr>
        <w:t xml:space="preserve">第二章、磋商供应商须知</w:t>
      </w:r>
      <w:r>
        <w:rPr>
          <w:rFonts w:hint="eastAsia" w:ascii="宋体" w:hAnsi="宋体" w:cs="宋体"/>
          <w:bCs/>
          <w:color w:val="auto"/>
          <w:sz w:val="28"/>
          <w:szCs w:val="28"/>
          <w:highlight w:val="none"/>
        </w:rPr>
        <w:fldChar w:fldCharType="end"/>
      </w:r>
      <w:r/>
    </w:p>
    <w:p>
      <w:pPr>
        <w:pStyle w:val="990"/>
        <w:spacing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"_Toc5707" </w:instrText>
      </w:r>
      <w:r>
        <w:rPr>
          <w:color w:val="auto"/>
          <w:highlight w:val="none"/>
        </w:rPr>
        <w:fldChar w:fldCharType="separate"/>
      </w:r>
      <w:r>
        <w:rPr>
          <w:rFonts w:hint="eastAsia" w:ascii="宋体" w:hAnsi="宋体" w:cs="宋体"/>
          <w:bCs/>
          <w:color w:val="auto"/>
          <w:sz w:val="28"/>
          <w:szCs w:val="28"/>
          <w:highlight w:val="none"/>
        </w:rPr>
        <w:t xml:space="preserve">第三章、磋商响应文件格式</w:t>
      </w:r>
      <w:r>
        <w:rPr>
          <w:rFonts w:hint="eastAsia" w:ascii="宋体" w:hAnsi="宋体" w:cs="宋体"/>
          <w:bCs/>
          <w:color w:val="auto"/>
          <w:sz w:val="28"/>
          <w:szCs w:val="28"/>
          <w:highlight w:val="none"/>
        </w:rPr>
        <w:fldChar w:fldCharType="end"/>
      </w:r>
      <w:r/>
    </w:p>
    <w:p>
      <w:pPr>
        <w:pStyle w:val="990"/>
        <w:spacing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"_Toc18073" </w:instrText>
      </w:r>
      <w:r>
        <w:rPr>
          <w:color w:val="auto"/>
          <w:highlight w:val="none"/>
        </w:rPr>
        <w:fldChar w:fldCharType="separate"/>
      </w:r>
      <w:r>
        <w:rPr>
          <w:rFonts w:hint="eastAsia" w:ascii="宋体" w:hAnsi="宋体" w:cs="宋体"/>
          <w:bCs/>
          <w:color w:val="auto"/>
          <w:sz w:val="28"/>
          <w:szCs w:val="28"/>
          <w:highlight w:val="none"/>
          <w:lang w:val="zh-CN"/>
        </w:rPr>
        <w:t xml:space="preserve">第四章、采购需求</w:t>
      </w:r>
      <w:r>
        <w:rPr>
          <w:rFonts w:hint="eastAsia" w:ascii="宋体" w:hAnsi="宋体" w:cs="宋体"/>
          <w:bCs/>
          <w:color w:val="auto"/>
          <w:sz w:val="28"/>
          <w:szCs w:val="28"/>
          <w:highlight w:val="none"/>
          <w:lang w:val="zh-CN"/>
        </w:rPr>
        <w:fldChar w:fldCharType="end"/>
      </w:r>
      <w:r/>
    </w:p>
    <w:p>
      <w:pPr>
        <w:pStyle w:val="990"/>
        <w:spacing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"_Toc24023" </w:instrText>
      </w:r>
      <w:r>
        <w:rPr>
          <w:color w:val="auto"/>
          <w:highlight w:val="none"/>
        </w:rPr>
        <w:fldChar w:fldCharType="separate"/>
      </w:r>
      <w:r>
        <w:rPr>
          <w:rFonts w:hint="eastAsia" w:ascii="宋体" w:hAnsi="宋体" w:cs="宋体"/>
          <w:bCs/>
          <w:color w:val="auto"/>
          <w:sz w:val="28"/>
          <w:szCs w:val="28"/>
          <w:highlight w:val="none"/>
        </w:rPr>
        <w:t xml:space="preserve">第五章、合同主要条款</w:t>
      </w:r>
      <w:r>
        <w:rPr>
          <w:rFonts w:hint="eastAsia" w:ascii="宋体" w:hAnsi="宋体" w:cs="宋体"/>
          <w:bCs/>
          <w:color w:val="auto"/>
          <w:sz w:val="28"/>
          <w:szCs w:val="28"/>
          <w:highlight w:val="none"/>
        </w:rPr>
        <w:fldChar w:fldCharType="end"/>
      </w:r>
      <w:r/>
    </w:p>
    <w:p>
      <w:pPr>
        <w:pStyle w:val="990"/>
        <w:spacing w:line="360" w:lineRule="auto"/>
        <w:tabs>
          <w:tab w:val="right" w:pos="830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"_Toc13415" </w:instrText>
      </w:r>
      <w:r>
        <w:rPr>
          <w:color w:val="auto"/>
          <w:highlight w:val="none"/>
        </w:rPr>
        <w:fldChar w:fldCharType="separate"/>
      </w:r>
      <w:r>
        <w:rPr>
          <w:rFonts w:hint="eastAsia" w:ascii="宋体" w:hAnsi="宋体" w:cs="宋体"/>
          <w:bCs/>
          <w:color w:val="auto"/>
          <w:sz w:val="28"/>
          <w:szCs w:val="28"/>
          <w:highlight w:val="none"/>
        </w:rPr>
        <w:t xml:space="preserve">第六章、评分标准</w:t>
      </w:r>
      <w:r>
        <w:rPr>
          <w:rFonts w:hint="eastAsia" w:ascii="宋体" w:hAnsi="宋体" w:cs="宋体"/>
          <w:bCs/>
          <w:color w:val="auto"/>
          <w:sz w:val="28"/>
          <w:szCs w:val="28"/>
          <w:highlight w:val="none"/>
        </w:rPr>
        <w:fldChar w:fldCharType="end"/>
      </w:r>
      <w:r/>
    </w:p>
    <w:p>
      <w:pPr>
        <w:spacing w:line="360" w:lineRule="auto"/>
        <w:rPr>
          <w:color w:val="auto"/>
          <w:highlight w:val="none"/>
        </w:rPr>
      </w:pPr>
      <w:r>
        <w:rPr>
          <w:rFonts w:hint="eastAsia" w:ascii="宋体" w:hAnsi="宋体" w:cs="宋体"/>
          <w:color w:val="auto"/>
          <w:sz w:val="28"/>
          <w:szCs w:val="28"/>
          <w:highlight w:val="none"/>
        </w:rPr>
        <w:fldChar w:fldCharType="end"/>
      </w:r>
      <w:r/>
    </w:p>
    <w:p>
      <w:pPr>
        <w:jc w:val="center"/>
        <w:keepLines/>
        <w:keepNext/>
        <w:rPr>
          <w:rFonts w:ascii="宋体" w:hAnsi="宋体"/>
          <w:b/>
          <w:color w:val="auto"/>
          <w:sz w:val="32"/>
          <w:szCs w:val="32"/>
          <w:highlight w:val="none"/>
        </w:rPr>
        <w:outlineLvl w:val="0"/>
      </w:pPr>
      <w:r>
        <w:rPr>
          <w:color w:val="auto"/>
          <w:highlight w:val="none"/>
        </w:rPr>
        <w:br w:type="page" w:clear="all"/>
      </w:r>
      <w:r>
        <w:rPr>
          <w:rFonts w:hint="eastAsia" w:ascii="宋体" w:hAnsi="宋体"/>
          <w:b/>
          <w:color w:val="auto"/>
          <w:sz w:val="32"/>
          <w:szCs w:val="32"/>
          <w:highlight w:val="none"/>
        </w:rPr>
        <w:t xml:space="preserve">前附表</w:t>
      </w:r>
      <w:bookmarkEnd w:id="3"/>
      <w:r/>
      <w:r/>
    </w:p>
    <w:tbl>
      <w:tblPr>
        <w:tblStyle w:val="759"/>
        <w:tblpPr w:horzAnchor="margin" w:tblpXSpec="center" w:vertAnchor="text" w:tblpY="368" w:leftFromText="180" w:topFromText="0" w:rightFromText="180" w:bottomFromText="0"/>
        <w:tblW w:w="513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12"/>
        <w:gridCol w:w="8147"/>
      </w:tblGrid>
      <w:tr>
        <w:trPr>
          <w:trHeight w:val="269"/>
        </w:trPr>
        <w:tc>
          <w:tcPr>
            <w:tcW w:w="812" w:type="dxa"/>
            <w:vAlign w:val="center"/>
            <w:textDirection w:val="lrTb"/>
            <w:noWrap w:val="false"/>
          </w:tcPr>
          <w:p>
            <w:pPr>
              <w:jc w:val="center"/>
              <w:spacing w:line="276" w:lineRule="auto"/>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8147" w:type="dxa"/>
            <w:vAlign w:val="center"/>
            <w:textDirection w:val="lrTb"/>
            <w:noWrap w:val="false"/>
          </w:tcPr>
          <w:p>
            <w:pPr>
              <w:jc w:val="center"/>
              <w:spacing w:line="276" w:lineRule="auto"/>
              <w:rPr>
                <w:rFonts w:ascii="宋体" w:hAnsi="宋体"/>
                <w:b/>
                <w:color w:val="auto"/>
                <w:sz w:val="24"/>
                <w:szCs w:val="24"/>
                <w:highlight w:val="none"/>
              </w:rPr>
            </w:pPr>
            <w:r>
              <w:rPr>
                <w:rFonts w:hint="eastAsia" w:ascii="宋体" w:hAnsi="宋体"/>
                <w:b/>
                <w:color w:val="auto"/>
                <w:sz w:val="24"/>
                <w:szCs w:val="24"/>
                <w:highlight w:val="none"/>
              </w:rPr>
              <w:t xml:space="preserve">内容规定</w:t>
            </w:r>
            <w:r/>
          </w:p>
        </w:tc>
      </w:tr>
      <w:tr>
        <w:trPr>
          <w:trHeight w:val="389"/>
        </w:trPr>
        <w:tc>
          <w:tcPr>
            <w:tcW w:w="812"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147" w:type="dxa"/>
            <w:vAlign w:val="center"/>
            <w:textDirection w:val="lrTb"/>
            <w:noWrap w:val="false"/>
          </w:tcPr>
          <w:p>
            <w:pPr>
              <w:contextualSpacing/>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采购编号：JSZC-320591-LHZX-C2026-0017</w:t>
            </w:r>
            <w:r/>
          </w:p>
        </w:tc>
      </w:tr>
      <w:tr>
        <w:trPr>
          <w:trHeight w:val="389"/>
        </w:trPr>
        <w:tc>
          <w:tcPr>
            <w:tcW w:w="812"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8147" w:type="dxa"/>
            <w:vAlign w:val="center"/>
            <w:textDirection w:val="lrTb"/>
            <w:noWrap w:val="false"/>
          </w:tcPr>
          <w:p>
            <w:pPr>
              <w:contextualSpacing/>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采购内容：现代生物技术创新实验课程项目</w:t>
            </w:r>
            <w:r/>
          </w:p>
        </w:tc>
      </w:tr>
      <w:tr>
        <w:trPr>
          <w:trHeight w:val="394"/>
        </w:trPr>
        <w:tc>
          <w:tcPr>
            <w:tcW w:w="812"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8147"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磋商响应文件有效期为：响应文件提交截止之日起九十天（日历日）</w:t>
            </w:r>
            <w:r/>
          </w:p>
        </w:tc>
      </w:tr>
      <w:tr>
        <w:trPr>
          <w:trHeight w:val="65"/>
        </w:trPr>
        <w:tc>
          <w:tcPr>
            <w:tcW w:w="812"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8147"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本项目不收取投标（响应）保证金</w:t>
            </w:r>
            <w:r/>
          </w:p>
        </w:tc>
      </w:tr>
      <w:tr>
        <w:trPr>
          <w:trHeight w:val="65"/>
        </w:trPr>
        <w:tc>
          <w:tcPr>
            <w:tcW w:w="812" w:type="dxa"/>
            <w:vAlign w:val="center"/>
            <w:textDirection w:val="lrTb"/>
            <w:noWrap w:val="false"/>
          </w:tcPr>
          <w:p>
            <w:pPr>
              <w:jc w:val="center"/>
              <w:spacing w:line="276"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W w:w="8147" w:type="dxa"/>
            <w:vAlign w:val="center"/>
            <w:textDirection w:val="lrTb"/>
            <w:noWrap w:val="false"/>
          </w:tcPr>
          <w:p>
            <w:pPr>
              <w:spacing w:line="276" w:lineRule="auto"/>
              <w:rPr>
                <w:rFonts w:ascii="宋体" w:hAnsi="宋体"/>
                <w:color w:val="auto"/>
                <w:sz w:val="24"/>
                <w:szCs w:val="24"/>
                <w:highlight w:val="none"/>
              </w:rPr>
            </w:pPr>
            <w:r>
              <w:rPr>
                <w:rFonts w:ascii="宋体" w:hAnsi="宋体"/>
                <w:color w:val="auto"/>
                <w:sz w:val="24"/>
                <w:szCs w:val="24"/>
                <w:highlight w:val="none"/>
              </w:rPr>
              <w:t xml:space="preserve">质疑：</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质疑要求：</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1）供应商质疑办法具体详见《政府采购质疑和投诉办法》。要求供应商在法定质疑期内一次性提出针对同一采购程序环节的质疑。</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2）接受质疑函的方式为现场接收或邮寄（不接收到付快递）。</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3）供应商递交质疑函时须一并提交本项目的“投标供应商确认函”，未提供的视为未依照采购公告要求获取采购文件，不具备对该政府采购项目提出质疑的法定权利。</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4）质疑函格式请自行至苏州市政府采购网“下载中心”下载，并按照格式要求执行。</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采购代理机构名称：苏州乐慧招投标咨询有限公司</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联系地址：苏州市相城区元和街道华元路766号都会商业中心1幢2706室</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ascii="宋体" w:hAnsi="宋体"/>
                <w:color w:val="auto"/>
                <w:sz w:val="24"/>
                <w:szCs w:val="24"/>
                <w:highlight w:val="none"/>
              </w:rPr>
              <w:t xml:space="preserve">0512-69223600  </w:t>
            </w:r>
            <w:r>
              <w:rPr>
                <w:rFonts w:hint="eastAsia" w:ascii="宋体" w:hAnsi="宋体"/>
                <w:color w:val="auto"/>
                <w:sz w:val="24"/>
                <w:szCs w:val="24"/>
                <w:highlight w:val="none"/>
              </w:rPr>
              <w:t xml:space="preserve">联系人：王佳静、陈浩</w:t>
            </w:r>
            <w:r/>
          </w:p>
        </w:tc>
      </w:tr>
      <w:tr>
        <w:trPr>
          <w:trHeight w:val="65"/>
        </w:trPr>
        <w:tc>
          <w:tcPr>
            <w:tcW w:w="812"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8147"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代理服务费：</w:t>
            </w:r>
            <w:r/>
          </w:p>
          <w:p>
            <w:pPr>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rPr>
              <w:t xml:space="preserve">由中标（成交）供应商承担并支付；</w:t>
            </w:r>
            <w:r/>
          </w:p>
          <w:p>
            <w:pPr>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rPr>
              <w:t xml:space="preserve">因采购预算已包含本项目代理服务费用，采购代理机构与采购人协议确定以下收费标准，并由中标（成交）供应商支付。中标（成交）供应商应当在投标（响应）报价中包含代理服务费，并在领取中标（成交）通知书时向采购代理机构一次性付清。</w:t>
            </w:r>
            <w:r/>
          </w:p>
          <w:p>
            <w:pPr>
              <w:jc w:val="left"/>
              <w:widowControl/>
              <w:rPr>
                <w:rFonts w:ascii="宋体" w:hAnsi="宋体" w:cs="宋体"/>
                <w:color w:val="auto"/>
                <w:sz w:val="24"/>
                <w:szCs w:val="24"/>
                <w:highlight w:val="none"/>
              </w:rPr>
            </w:pPr>
            <w:r>
              <w:rPr>
                <w:rFonts w:hint="eastAsia" w:ascii="宋体" w:hAnsi="宋体" w:cs="宋体"/>
                <w:color w:val="auto"/>
                <w:sz w:val="24"/>
                <w:szCs w:val="20"/>
                <w:highlight w:val="none"/>
              </w:rPr>
              <w:t xml:space="preserve">代理服务费以采购预算金额为计费基数，按以下收费标准*100%收取，由中标（成交）供应商在领取中标（成交）通知书时付清：</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预算金额100万元以下部分，费率为该部分预算金额的1.5%；</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预算金额100万元（含）－500万元部分，费率为该部分预算金额的1.1%；</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预算金额500万元（含）-1000万元部分，费率为该部分预算金额的0.8%；</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预算金额1000万元（含）-5000万元部分，费率为该部分预算金额的0.5%；</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预算金额5000万元以上部分，费率为该部分预算金额的0.25%。</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本项目代理费金额：</w:t>
            </w:r>
            <w:r>
              <w:rPr>
                <w:rFonts w:hint="eastAsia" w:ascii="宋体" w:hAnsi="宋体" w:cs="宋体"/>
                <w:color w:val="auto"/>
                <w:sz w:val="24"/>
                <w:szCs w:val="24"/>
                <w:highlight w:val="none"/>
                <w:u w:val="single"/>
              </w:rPr>
              <w:t xml:space="preserve">人民币15000.00</w:t>
            </w:r>
            <w:r>
              <w:rPr>
                <w:rFonts w:ascii="宋体" w:hAnsi="宋体" w:cs="宋体"/>
                <w:color w:val="auto"/>
                <w:sz w:val="24"/>
                <w:szCs w:val="24"/>
                <w:highlight w:val="none"/>
                <w:u w:val="single"/>
              </w:rPr>
              <w:t xml:space="preserve">元</w:t>
            </w:r>
            <w:r>
              <w:rPr>
                <w:rFonts w:hint="eastAsia" w:ascii="宋体" w:hAnsi="宋体" w:cs="宋体"/>
                <w:color w:val="auto"/>
                <w:sz w:val="24"/>
                <w:szCs w:val="24"/>
                <w:highlight w:val="none"/>
                <w:u w:val="single"/>
              </w:rPr>
              <w:t xml:space="preserve">整</w:t>
            </w:r>
            <w:r>
              <w:rPr>
                <w:rFonts w:hint="eastAsia" w:ascii="宋体" w:hAnsi="宋体" w:cs="宋体"/>
                <w:color w:val="auto"/>
                <w:sz w:val="24"/>
                <w:szCs w:val="24"/>
                <w:highlight w:val="none"/>
              </w:rPr>
              <w:t xml:space="preserve">。</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服务费账号：155189060</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账户名：苏州乐慧招投标咨询有限公司</w:t>
            </w:r>
            <w:r/>
          </w:p>
          <w:p>
            <w:pPr>
              <w:spacing w:line="276" w:lineRule="auto"/>
              <w:rPr>
                <w:rFonts w:ascii="宋体" w:hAnsi="宋体"/>
                <w:color w:val="auto"/>
                <w:sz w:val="24"/>
                <w:szCs w:val="24"/>
                <w:highlight w:val="none"/>
              </w:rPr>
            </w:pPr>
            <w:r>
              <w:rPr>
                <w:rFonts w:hint="eastAsia" w:ascii="宋体" w:hAnsi="宋体" w:cs="宋体"/>
                <w:color w:val="auto"/>
                <w:sz w:val="24"/>
                <w:szCs w:val="24"/>
                <w:highlight w:val="none"/>
              </w:rPr>
              <w:t xml:space="preserve">开户行：民生银行苏州相城支行</w:t>
            </w:r>
            <w:r/>
          </w:p>
        </w:tc>
      </w:tr>
      <w:tr>
        <w:trPr>
          <w:trHeight w:val="387"/>
        </w:trPr>
        <w:tc>
          <w:tcPr>
            <w:tcW w:w="812"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8147" w:type="dxa"/>
            <w:vAlign w:val="center"/>
            <w:textDirection w:val="lrTb"/>
            <w:noWrap w:val="false"/>
          </w:tcPr>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苏州工业园区财政审计局政府采购监督电话：0512-66681110</w:t>
            </w:r>
            <w:r/>
          </w:p>
        </w:tc>
      </w:tr>
    </w:tbl>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rPr>
          <w:color w:val="auto"/>
          <w:highlight w:val="none"/>
        </w:rPr>
      </w:pPr>
      <w:r>
        <w:rPr>
          <w:color w:val="auto"/>
          <w:highlight w:val="none"/>
        </w:rPr>
      </w:r>
      <w:r/>
    </w:p>
    <w:p>
      <w:pPr>
        <w:jc w:val="center"/>
        <w:keepLines/>
        <w:keepNext/>
        <w:rPr>
          <w:color w:val="auto"/>
          <w:highlight w:val="none"/>
        </w:rPr>
        <w:outlineLvl w:val="0"/>
      </w:pPr>
      <w:r>
        <w:rPr>
          <w:color w:val="auto"/>
          <w:highlight w:val="none"/>
        </w:rPr>
        <w:br w:type="page" w:clear="all"/>
      </w:r>
      <w:r/>
    </w:p>
    <w:p>
      <w:pPr>
        <w:rPr>
          <w:color w:val="auto"/>
          <w:highlight w:val="none"/>
        </w:rPr>
      </w:pPr>
      <w:r>
        <w:rPr>
          <w:color w:val="auto"/>
          <w:highlight w:val="none"/>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outlineLvl w:val="0"/>
      </w:pPr>
      <w:r/>
      <w:bookmarkStart w:id="4" w:name="_Toc18664"/>
      <w:r>
        <w:rPr>
          <w:rFonts w:hint="eastAsia"/>
          <w:b/>
          <w:bCs/>
          <w:color w:val="auto"/>
          <w:sz w:val="44"/>
          <w:szCs w:val="44"/>
          <w:highlight w:val="none"/>
          <w:lang w:val="zh-CN"/>
        </w:rPr>
        <w:t xml:space="preserve">第一章、</w:t>
      </w:r>
      <w:bookmarkEnd w:id="4"/>
      <w:r>
        <w:rPr>
          <w:rFonts w:hint="eastAsia"/>
          <w:b/>
          <w:bCs/>
          <w:color w:val="auto"/>
          <w:sz w:val="44"/>
          <w:szCs w:val="44"/>
          <w:highlight w:val="none"/>
          <w:lang w:val="zh-CN"/>
        </w:rPr>
        <w:t xml:space="preserve">竞争性磋商公告</w:t>
      </w:r>
      <w:r/>
    </w:p>
    <w:p>
      <w:pPr>
        <w:rPr>
          <w:color w:val="auto"/>
          <w:sz w:val="44"/>
          <w:szCs w:val="44"/>
          <w:highlight w:val="none"/>
          <w:lang w:val="zh-CN"/>
        </w:rPr>
      </w:pPr>
      <w:r>
        <w:rPr>
          <w:color w:val="auto"/>
          <w:sz w:val="44"/>
          <w:szCs w:val="44"/>
          <w:highlight w:val="none"/>
          <w:lang w:val="zh-CN"/>
        </w:rPr>
      </w:r>
      <w:r/>
    </w:p>
    <w:p>
      <w:pPr>
        <w:jc w:val="center"/>
        <w:spacing w:line="360" w:lineRule="auto"/>
        <w:rPr>
          <w:rFonts w:ascii="宋体" w:hAnsi="宋体" w:cs="宋体"/>
          <w:b/>
          <w:color w:val="auto"/>
          <w:sz w:val="32"/>
          <w:szCs w:val="32"/>
          <w:highlight w:val="none"/>
        </w:rPr>
      </w:pPr>
      <w:r>
        <w:rPr>
          <w:rFonts w:ascii="宋体" w:hAnsi="宋体"/>
          <w:b/>
          <w:color w:val="auto"/>
          <w:sz w:val="32"/>
          <w:szCs w:val="32"/>
          <w:highlight w:val="none"/>
          <w:lang w:val="zh-CN"/>
        </w:rPr>
        <w:br w:type="page" w:clear="all"/>
      </w:r>
      <w:r>
        <w:rPr>
          <w:rFonts w:hint="eastAsia" w:ascii="宋体" w:hAnsi="宋体"/>
          <w:b/>
          <w:color w:val="auto"/>
          <w:sz w:val="32"/>
          <w:szCs w:val="32"/>
          <w:highlight w:val="none"/>
          <w:lang w:val="zh-CN"/>
        </w:rPr>
        <w:t xml:space="preserve">竞争性磋商公告</w:t>
      </w:r>
      <w:r/>
    </w:p>
    <w:tbl>
      <w:tblPr>
        <w:tblStyle w:val="7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tc>
          <w:tcPr>
            <w:tcW w:w="5000" w:type="pct"/>
            <w:textDirection w:val="lrTb"/>
            <w:noWrap w:val="false"/>
          </w:tcPr>
          <w:p>
            <w:pPr>
              <w:ind w:firstLine="480"/>
              <w:jc w:val="left"/>
              <w:spacing w:line="360" w:lineRule="auto"/>
              <w:shd w:val="clear" w:color="auto" w:fill="ffffff"/>
              <w:widowControl/>
              <w:rPr>
                <w:rFonts w:ascii="宋体" w:hAnsi="宋体" w:cs="宋体"/>
                <w:color w:val="auto"/>
                <w:sz w:val="24"/>
                <w:highlight w:val="none"/>
              </w:rPr>
            </w:pPr>
            <w:r/>
            <w:bookmarkStart w:id="5" w:name="_Toc28359089"/>
            <w:r/>
            <w:bookmarkStart w:id="6" w:name="_Toc28359012"/>
            <w:r/>
            <w:bookmarkStart w:id="7" w:name="_Toc35393629"/>
            <w:r/>
            <w:bookmarkStart w:id="8" w:name="_Toc35393798"/>
            <w:r>
              <w:rPr>
                <w:rFonts w:hint="eastAsia" w:ascii="宋体" w:hAnsi="宋体" w:cs="宋体"/>
                <w:color w:val="auto"/>
                <w:sz w:val="24"/>
                <w:highlight w:val="none"/>
              </w:rPr>
              <w:t xml:space="preserve">项目概况</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现代生物技术创新实验课程采购项目的潜在供应商应在江苏省政府采购一体化平台“苏采云”系统获取采购文件，并于2026年9月15日9点30分（北京时间）前提交响应文件。</w:t>
            </w:r>
            <w:r/>
          </w:p>
        </w:tc>
      </w:tr>
    </w:tbl>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一、项目基本情况</w:t>
      </w:r>
      <w:bookmarkEnd w:id="5"/>
      <w:r/>
      <w:bookmarkEnd w:id="6"/>
      <w:r/>
      <w:bookmarkEnd w:id="7"/>
      <w:r/>
      <w:bookmarkEnd w:id="8"/>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1.项目编号：JSZC-320591-LHZX-C2026-0017；</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2.项目名称：现代生物技术创新实验课程项目；</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4.预算金额：人民币壹佰万元整（￥1000000.00）</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5.最高限价：人民币壹佰万元整（￥1000000.00）</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6.采购需求：</w:t>
      </w:r>
      <w:bookmarkStart w:id="9" w:name="_Toc28359090"/>
      <w:r/>
      <w:bookmarkStart w:id="10" w:name="_Toc35393799"/>
      <w:r/>
      <w:bookmarkStart w:id="11" w:name="_Toc28359013"/>
      <w:r/>
      <w:bookmarkStart w:id="12" w:name="_Toc35393630"/>
      <w:r>
        <w:rPr>
          <w:color w:val="auto"/>
          <w:sz w:val="24"/>
          <w:szCs w:val="24"/>
          <w:highlight w:val="none"/>
        </w:rPr>
        <w:t xml:space="preserve">结合国家教材，有效帮助学生理解基因工程、微生物培养、酶工程等知识，使学生通过实验操作，对现代生物技术手段有更直观的认识，做到理论与实践的有机结合，提升学生实验操作能力、科学探究能力和逻辑思维，促进学生生物学科核心素养的提升。</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7.合同履行期限：普及性课程授课时间为2026年秋季、2027年春季；社会团活动课程开课时间为2026年秋季(或2027年春季)。2027年7月30日之前完成所有课程服务。</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8.本项目不接受联合体。</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二、申请人的资格要求：</w:t>
      </w:r>
      <w:bookmarkEnd w:id="9"/>
      <w:r/>
      <w:bookmarkEnd w:id="10"/>
      <w:r/>
      <w:bookmarkEnd w:id="11"/>
      <w:r/>
      <w:bookmarkEnd w:id="12"/>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1.4有依法缴纳税收和社会保障资金的良好记录；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spacing w:line="360" w:lineRule="auto"/>
        <w:widowControl/>
        <w:rPr>
          <w:rFonts w:ascii="宋体" w:hAnsi="宋体" w:cs="宋体"/>
          <w:color w:val="auto"/>
          <w:sz w:val="24"/>
          <w:highlight w:val="none"/>
        </w:rPr>
      </w:pPr>
      <w:r/>
      <w:bookmarkStart w:id="13" w:name="_Toc28359014"/>
      <w:r/>
      <w:bookmarkStart w:id="14" w:name="_Toc28359091"/>
      <w:r>
        <w:rPr>
          <w:rFonts w:hint="eastAsia" w:ascii="宋体" w:hAnsi="宋体" w:cs="宋体"/>
          <w:color w:val="auto"/>
          <w:sz w:val="24"/>
          <w:highlight w:val="none"/>
        </w:rPr>
        <w:t xml:space="preserve">2.落实政府采购政策需满足的资格要求：无。</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3.本项目的特定资格要求：无。</w:t>
      </w:r>
      <w:bookmarkEnd w:id="13"/>
      <w:r/>
      <w:bookmarkEnd w:id="14"/>
      <w:r/>
      <w:r/>
    </w:p>
    <w:p>
      <w:pPr>
        <w:spacing w:line="360" w:lineRule="auto"/>
        <w:widowControl/>
        <w:rPr>
          <w:rFonts w:ascii="宋体" w:hAnsi="宋体" w:cs="宋体"/>
          <w:b/>
          <w:color w:val="auto"/>
          <w:sz w:val="24"/>
          <w:highlight w:val="none"/>
        </w:rPr>
      </w:pPr>
      <w:r/>
      <w:bookmarkStart w:id="15" w:name="_Toc28359001"/>
      <w:r/>
      <w:bookmarkStart w:id="16" w:name="_Toc35393789"/>
      <w:r/>
      <w:bookmarkStart w:id="17" w:name="_Toc35393801"/>
      <w:r/>
      <w:bookmarkStart w:id="18" w:name="_Toc35393632"/>
      <w:r/>
      <w:bookmarkStart w:id="19" w:name="_Toc28359092"/>
      <w:r/>
      <w:bookmarkStart w:id="20" w:name="_Toc28359015"/>
      <w:r>
        <w:rPr>
          <w:rFonts w:hint="eastAsia" w:ascii="宋体" w:hAnsi="宋体" w:cs="宋体"/>
          <w:b/>
          <w:color w:val="auto"/>
          <w:sz w:val="24"/>
          <w:highlight w:val="none"/>
        </w:rPr>
        <w:t xml:space="preserve">三、报名及采购文件的获取</w:t>
      </w:r>
      <w:bookmarkEnd w:id="15"/>
      <w:r/>
      <w:bookmarkEnd w:id="16"/>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1.时间：自磋商文件公告发布之日起至2026年9月1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日；</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2.地点：江苏省政府采购一体化平台“苏采云”系统；</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（1）CA证书办理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szCs w:val="24"/>
          <w:highlight w:val="none"/>
        </w:rPr>
        <w:t xml:space="preserve">苏州现场办理地址：苏州市高新区邓尉路105号狮山科技馆1楼服务大厅政府采购CA办理窗口，咨询电话：0512-65737699。</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（2）参与采购活动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4.售价：免费。</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四、响应文件提交</w:t>
      </w:r>
      <w:bookmarkEnd w:id="17"/>
      <w:r/>
      <w:bookmarkEnd w:id="18"/>
      <w:r/>
      <w:bookmarkEnd w:id="19"/>
      <w:r/>
      <w:bookmarkEnd w:id="20"/>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1.截止时间：2026年9月15日9点30分（北京时间）</w:t>
      </w:r>
      <w:r/>
    </w:p>
    <w:p>
      <w:pPr>
        <w:ind w:firstLine="480"/>
        <w:spacing w:line="360" w:lineRule="auto"/>
        <w:widowControl/>
        <w:rPr>
          <w:rStyle w:val="985"/>
          <w:rFonts w:ascii="宋体" w:hAnsi="宋体" w:cs="宋体"/>
          <w:color w:val="auto"/>
          <w:sz w:val="24"/>
          <w:highlight w:val="none"/>
          <w:u w:val="none"/>
        </w:rPr>
      </w:pPr>
      <w:r>
        <w:rPr>
          <w:rFonts w:hint="eastAsia" w:ascii="宋体" w:hAnsi="宋体" w:cs="宋体"/>
          <w:color w:val="auto"/>
          <w:sz w:val="24"/>
          <w:highlight w:val="none"/>
        </w:rPr>
        <w:t xml:space="preserve">2.地点：“苏采云”系统（网址：</w:t>
      </w:r>
      <w:r>
        <w:rPr>
          <w:color w:val="auto"/>
          <w:highlight w:val="none"/>
        </w:rPr>
        <w:fldChar w:fldCharType="begin"/>
      </w:r>
      <w:r>
        <w:rPr>
          <w:color w:val="auto"/>
          <w:highlight w:val="none"/>
        </w:rPr>
        <w:instrText xml:space="preserve"> HYPERLINK "http://jszfcg.jsczt.cn/）。响应文件网上递交，不需要现场参加采购活动。" </w:instrText>
      </w:r>
      <w:r>
        <w:rPr>
          <w:color w:val="auto"/>
          <w:highlight w:val="none"/>
        </w:rPr>
        <w:fldChar w:fldCharType="separate"/>
      </w:r>
      <w:r>
        <w:rPr>
          <w:rStyle w:val="985"/>
          <w:rFonts w:hint="eastAsia" w:ascii="宋体" w:hAnsi="宋体" w:cs="宋体"/>
          <w:color w:val="auto"/>
          <w:sz w:val="24"/>
          <w:highlight w:val="none"/>
          <w:u w:val="none"/>
        </w:rPr>
        <w:t xml:space="preserve">https://jszfcg.jsczt.cn/）。响应文件网上递交，不需要现场参加采购活动。</w:t>
      </w:r>
      <w:r>
        <w:rPr>
          <w:rStyle w:val="985"/>
          <w:rFonts w:hint="eastAsia" w:ascii="宋体" w:hAnsi="宋体" w:cs="宋体"/>
          <w:color w:val="auto"/>
          <w:sz w:val="24"/>
          <w:highlight w:val="none"/>
          <w:u w:val="none"/>
        </w:rPr>
        <w:fldChar w:fldCharType="end"/>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hint="eastAsia" w:ascii="宋体" w:hAnsi="宋体" w:cs="宋体"/>
          <w:color w:val="auto"/>
          <w:sz w:val="24"/>
          <w:szCs w:val="24"/>
          <w:highlight w:val="none"/>
          <w:shd w:val="clear" w:color="auto" w:fill="ffffff"/>
        </w:rPr>
        <w:t xml:space="preserve">电子投标（响应）文件制作完成后请于投标（响应）截止时间前成功上传，</w:t>
      </w:r>
      <w:r>
        <w:rPr>
          <w:rFonts w:hint="eastAsia" w:ascii="宋体" w:hAnsi="宋体" w:cs="宋体"/>
          <w:b/>
          <w:color w:val="auto"/>
          <w:sz w:val="24"/>
          <w:szCs w:val="24"/>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spacing w:line="360" w:lineRule="auto"/>
        <w:widowControl/>
        <w:rPr>
          <w:rFonts w:ascii="宋体" w:hAnsi="宋体" w:cs="宋体"/>
          <w:b/>
          <w:color w:val="auto"/>
          <w:sz w:val="24"/>
          <w:highlight w:val="none"/>
        </w:rPr>
      </w:pPr>
      <w:r/>
      <w:bookmarkStart w:id="21" w:name="_Toc28359016"/>
      <w:r/>
      <w:bookmarkStart w:id="22" w:name="_Toc35393633"/>
      <w:r/>
      <w:bookmarkStart w:id="23" w:name="_Toc35393802"/>
      <w:r/>
      <w:bookmarkStart w:id="24" w:name="_Toc28359093"/>
      <w:r>
        <w:rPr>
          <w:rFonts w:hint="eastAsia" w:ascii="宋体" w:hAnsi="宋体" w:cs="宋体"/>
          <w:b/>
          <w:color w:val="auto"/>
          <w:sz w:val="24"/>
          <w:highlight w:val="none"/>
        </w:rPr>
        <w:t xml:space="preserve">五、开启</w:t>
      </w:r>
      <w:bookmarkEnd w:id="21"/>
      <w:r/>
      <w:bookmarkEnd w:id="22"/>
      <w:r/>
      <w:bookmarkEnd w:id="23"/>
      <w:r/>
      <w:bookmarkEnd w:id="24"/>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1.时间：2026年9月15日9点30分（北京时间）</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85"/>
          <w:rFonts w:hint="eastAsia" w:ascii="宋体" w:hAnsi="宋体" w:cs="宋体"/>
          <w:color w:val="auto"/>
          <w:sz w:val="24"/>
          <w:highlight w:val="none"/>
          <w:u w:val="none"/>
        </w:rPr>
        <w:t xml:space="preserve">https://jszfcg.jsczt.cn/）</w:t>
      </w:r>
      <w:r>
        <w:rPr>
          <w:rStyle w:val="985"/>
          <w:rFonts w:hint="eastAsia" w:ascii="宋体" w:hAnsi="宋体" w:cs="宋体"/>
          <w:color w:val="auto"/>
          <w:sz w:val="24"/>
          <w:highlight w:val="none"/>
          <w:u w:val="none"/>
        </w:rPr>
        <w:fldChar w:fldCharType="end"/>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3.线上参加开标（开启）会方式：供应商登录“苏采云”系统，点击“开标大厅”，选择对应项目，点击进入不见面开标系统。</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本项目为不见面开标（开启）项目，开启阶段供应商在【解密】环节必须使用CA证书解密电子响应文件，如在</w:t>
      </w:r>
      <w:r>
        <w:rPr>
          <w:rFonts w:hint="eastAsia" w:ascii="宋体" w:hAnsi="宋体" w:cs="宋体"/>
          <w:b/>
          <w:color w:val="auto"/>
          <w:sz w:val="24"/>
          <w:szCs w:val="24"/>
          <w:highlight w:val="none"/>
        </w:rPr>
        <w:t xml:space="preserve">“苏采云”</w:t>
      </w:r>
      <w:r>
        <w:rPr>
          <w:rFonts w:hint="eastAsia" w:ascii="宋体" w:hAnsi="宋体" w:cs="宋体"/>
          <w:b/>
          <w:bCs/>
          <w:color w:val="auto"/>
          <w:sz w:val="24"/>
          <w:szCs w:val="24"/>
          <w:highlight w:val="none"/>
        </w:rPr>
        <w:t xml:space="preserve">系统规定的解密时间内未能成功解密的视为放弃参与本项目，响应无效。</w:t>
      </w:r>
      <w:r/>
    </w:p>
    <w:p>
      <w:pPr>
        <w:spacing w:line="360" w:lineRule="auto"/>
        <w:widowControl/>
        <w:rPr>
          <w:rFonts w:ascii="宋体" w:hAnsi="宋体" w:cs="宋体"/>
          <w:b/>
          <w:bCs/>
          <w:color w:val="auto"/>
          <w:sz w:val="24"/>
          <w:highlight w:val="none"/>
        </w:rPr>
      </w:pPr>
      <w:r/>
      <w:bookmarkStart w:id="25" w:name="_Toc28359017"/>
      <w:r/>
      <w:bookmarkStart w:id="26" w:name="_Toc35393803"/>
      <w:r/>
      <w:bookmarkStart w:id="27" w:name="_Toc28359094"/>
      <w:r/>
      <w:bookmarkStart w:id="28" w:name="_Toc35393634"/>
      <w:r>
        <w:rPr>
          <w:rFonts w:hint="eastAsia" w:ascii="宋体" w:hAnsi="宋体" w:cs="宋体"/>
          <w:b/>
          <w:bCs/>
          <w:color w:val="auto"/>
          <w:sz w:val="24"/>
          <w:highlight w:val="none"/>
        </w:rPr>
        <w:t xml:space="preserve">六、公告期限</w:t>
      </w:r>
      <w:bookmarkEnd w:id="25"/>
      <w:r/>
      <w:bookmarkEnd w:id="26"/>
      <w:r/>
      <w:bookmarkEnd w:id="27"/>
      <w:r/>
      <w:bookmarkEnd w:id="28"/>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spacing w:line="360" w:lineRule="auto"/>
        <w:widowControl/>
        <w:rPr>
          <w:rFonts w:ascii="宋体" w:hAnsi="宋体" w:cs="宋体"/>
          <w:b/>
          <w:color w:val="auto"/>
          <w:sz w:val="24"/>
          <w:highlight w:val="none"/>
        </w:rPr>
      </w:pPr>
      <w:r/>
      <w:bookmarkStart w:id="29" w:name="_Toc35393804"/>
      <w:r/>
      <w:bookmarkStart w:id="30" w:name="_Toc35393635"/>
      <w:r>
        <w:rPr>
          <w:rFonts w:hint="eastAsia" w:ascii="宋体" w:hAnsi="宋体" w:cs="宋体"/>
          <w:b/>
          <w:color w:val="auto"/>
          <w:sz w:val="24"/>
          <w:highlight w:val="none"/>
        </w:rPr>
        <w:t xml:space="preserve">七、其他补充事宜</w:t>
      </w:r>
      <w:bookmarkEnd w:id="29"/>
      <w:r/>
      <w:bookmarkEnd w:id="30"/>
      <w:r/>
      <w:r/>
    </w:p>
    <w:p>
      <w:pPr>
        <w:ind w:firstLine="480"/>
        <w:spacing w:line="360" w:lineRule="auto"/>
        <w:widowControl/>
        <w:rPr>
          <w:rFonts w:ascii="宋体" w:hAnsi="宋体" w:cs="宋体"/>
          <w:color w:val="auto"/>
          <w:sz w:val="24"/>
          <w:highlight w:val="none"/>
        </w:rPr>
      </w:pPr>
      <w:r/>
      <w:bookmarkStart w:id="31" w:name="_Toc28359095"/>
      <w:r/>
      <w:bookmarkStart w:id="32" w:name="_Toc35393805"/>
      <w:r/>
      <w:bookmarkStart w:id="33" w:name="_Toc35393636"/>
      <w:r/>
      <w:bookmarkStart w:id="34" w:name="_Toc28359018"/>
      <w:r>
        <w:rPr>
          <w:rFonts w:hint="eastAsia" w:ascii="宋体" w:hAnsi="宋体" w:cs="宋体"/>
          <w:color w:val="auto"/>
          <w:sz w:val="24"/>
          <w:highlight w:val="none"/>
        </w:rPr>
        <w:t xml:space="preserve">1.苏州工业园区财政审计局政府采购监督电话：0512-66681110。</w:t>
      </w:r>
      <w:r/>
    </w:p>
    <w:p>
      <w:pPr>
        <w:ind w:firstLine="480"/>
        <w:spacing w:line="360" w:lineRule="auto"/>
        <w:widowControl/>
        <w:rPr>
          <w:rFonts w:ascii="宋体" w:hAnsi="宋体" w:cs="宋体"/>
          <w:color w:val="auto"/>
          <w:sz w:val="24"/>
          <w:szCs w:val="24"/>
          <w:highlight w:val="none"/>
          <w:shd w:val="clear" w:color="auto" w:fill="ffffff"/>
        </w:rPr>
      </w:pPr>
      <w:r>
        <w:rPr>
          <w:rFonts w:hint="eastAsia" w:ascii="宋体" w:hAnsi="宋体" w:cs="宋体"/>
          <w:color w:val="auto"/>
          <w:sz w:val="24"/>
          <w:highlight w:val="none"/>
        </w:rPr>
        <w:t xml:space="preserve">2.</w:t>
      </w:r>
      <w:r>
        <w:rPr>
          <w:color w:val="auto"/>
          <w:highlight w:val="none"/>
        </w:rPr>
        <w:fldChar w:fldCharType="begin"/>
      </w:r>
      <w:r>
        <w:rPr>
          <w:color w:val="auto"/>
          <w:highlight w:val="none"/>
        </w:rPr>
        <w:instrText xml:space="preserve"> HYPERLINK "https://czju.suzhou.gov.cn/zfcg/html/project/ae528ab03df04aa5976dfedac325d8cb.shtml" </w:instrText>
      </w:r>
      <w:r>
        <w:rPr>
          <w:color w:val="auto"/>
          <w:highlight w:val="none"/>
        </w:rPr>
        <w:fldChar w:fldCharType="separate"/>
      </w:r>
      <w:r>
        <w:rPr>
          <w:rStyle w:val="985"/>
          <w:rFonts w:hint="eastAsia" w:ascii="宋体" w:hAnsi="宋体" w:cs="宋体"/>
          <w:color w:val="auto"/>
          <w:sz w:val="24"/>
          <w:szCs w:val="24"/>
          <w:highlight w:val="none"/>
          <w:u w:val="none"/>
          <w:shd w:val="clear" w:color="auto" w:fill="ffffff"/>
        </w:rPr>
        <w:t xml:space="preserve">本次采购的有关信息将在江苏政府采购网、苏州市政府采购网</w:t>
      </w:r>
      <w:r>
        <w:rPr>
          <w:rStyle w:val="985"/>
          <w:rFonts w:hint="eastAsia" w:ascii="宋体" w:hAnsi="宋体" w:cs="宋体"/>
          <w:color w:val="auto"/>
          <w:sz w:val="24"/>
          <w:szCs w:val="24"/>
          <w:highlight w:val="none"/>
          <w:u w:val="none"/>
          <w:shd w:val="clear" w:color="auto" w:fill="ffffff"/>
        </w:rPr>
        <w:fldChar w:fldCharType="end"/>
      </w:r>
      <w:r>
        <w:rPr>
          <w:color w:val="auto"/>
          <w:highlight w:val="none"/>
        </w:rPr>
        <w:fldChar w:fldCharType="begin"/>
      </w:r>
      <w:r>
        <w:rPr>
          <w:color w:val="auto"/>
          <w:highlight w:val="none"/>
        </w:rPr>
        <w:instrText xml:space="preserve"> HYPERLINK "http://www.szweikang.xn--com-6y3ba7cbgc4097e4kax19cqoerohxod7w1bva254sga6035lg4sc/" </w:instrText>
      </w:r>
      <w:r>
        <w:rPr>
          <w:color w:val="auto"/>
          <w:highlight w:val="none"/>
        </w:rPr>
        <w:fldChar w:fldCharType="separate"/>
      </w:r>
      <w:r>
        <w:rPr>
          <w:rStyle w:val="985"/>
          <w:rFonts w:hint="eastAsia" w:ascii="宋体" w:hAnsi="宋体" w:cs="宋体"/>
          <w:color w:val="auto"/>
          <w:sz w:val="24"/>
          <w:szCs w:val="24"/>
          <w:highlight w:val="none"/>
          <w:u w:val="none"/>
          <w:shd w:val="clear" w:color="auto" w:fill="ffffff"/>
        </w:rPr>
        <w:t xml:space="preserve">上发布，敬请留意。</w:t>
      </w:r>
      <w:r>
        <w:rPr>
          <w:rStyle w:val="985"/>
          <w:rFonts w:hint="eastAsia" w:ascii="宋体" w:hAnsi="宋体" w:cs="宋体"/>
          <w:color w:val="auto"/>
          <w:sz w:val="24"/>
          <w:szCs w:val="24"/>
          <w:highlight w:val="none"/>
          <w:u w:val="none"/>
          <w:shd w:val="clear" w:color="auto" w:fill="ffffff"/>
        </w:rPr>
        <w:fldChar w:fldCharType="end"/>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本项目获取</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文件截止日期之后仍可以下载</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文件，但截止日期之后下载的</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文件，视为非有效方式且不作为供应商权益受到损害的证明材料和依据</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szCs w:val="24"/>
          <w:highlight w:val="none"/>
        </w:rPr>
      </w:pPr>
      <w:r/>
      <w:bookmarkStart w:id="35" w:name="_Hlk157939003"/>
      <w:r>
        <w:rPr>
          <w:rFonts w:hint="eastAsia" w:ascii="宋体" w:hAnsi="宋体" w:cs="宋体"/>
          <w:color w:val="auto"/>
          <w:sz w:val="24"/>
          <w:highlight w:val="none"/>
        </w:rPr>
        <w:t xml:space="preserve">4.</w:t>
      </w:r>
      <w:r>
        <w:rPr>
          <w:rFonts w:hint="eastAsia" w:ascii="宋体" w:hAnsi="宋体" w:cs="宋体"/>
          <w:color w:val="auto"/>
          <w:sz w:val="24"/>
          <w:szCs w:val="24"/>
          <w:highlight w:val="none"/>
        </w:rPr>
        <w:t xml:space="preserve">更正（补充）公告及附件的获取：供应商应及时关注政府采购信息发布媒体上发布的更正（补充）公告，同时在“苏采云”系统中下载更正（补充）资料，</w:t>
      </w:r>
      <w:r>
        <w:rPr>
          <w:rFonts w:hint="eastAsia" w:ascii="宋体" w:hAnsi="宋体" w:cs="宋体"/>
          <w:b/>
          <w:color w:val="auto"/>
          <w:sz w:val="24"/>
          <w:szCs w:val="24"/>
          <w:highlight w:val="none"/>
        </w:rPr>
        <w:t xml:space="preserve">如有遗漏（包括但不限于文件未下载或下载不完整），可能无法解密投标（响应）文件，由此所造成的响应失败或损失由供应商自行负责。</w:t>
      </w:r>
      <w:bookmarkEnd w:id="35"/>
      <w:r/>
      <w:r/>
    </w:p>
    <w:p>
      <w:pPr>
        <w:ind w:firstLine="480"/>
        <w:spacing w:line="360" w:lineRule="auto"/>
        <w:rPr>
          <w:rFonts w:ascii="宋体" w:hAnsi="宋体" w:cs="宋体"/>
          <w:b/>
          <w:color w:val="auto"/>
          <w:sz w:val="24"/>
          <w:szCs w:val="24"/>
          <w:highlight w:val="none"/>
        </w:rPr>
      </w:pPr>
      <w:r/>
      <w:bookmarkStart w:id="36" w:name="_Hlk157939025"/>
      <w:r>
        <w:rPr>
          <w:rFonts w:hint="eastAsia" w:ascii="宋体" w:hAnsi="宋体" w:cs="宋体"/>
          <w:color w:val="auto"/>
          <w:sz w:val="24"/>
          <w:szCs w:val="24"/>
          <w:highlight w:val="none"/>
          <w:shd w:val="clear" w:color="auto" w:fill="ffffff"/>
        </w:rPr>
        <w:t xml:space="preserve">5.</w:t>
      </w:r>
      <w:r>
        <w:rPr>
          <w:rFonts w:hint="eastAsia" w:ascii="宋体" w:hAnsi="宋体" w:cs="宋体"/>
          <w:b/>
          <w:color w:val="auto"/>
          <w:sz w:val="24"/>
          <w:szCs w:val="24"/>
          <w:highlight w:val="none"/>
          <w:shd w:val="clear" w:color="auto" w:fill="ffffff"/>
        </w:rPr>
        <w:t xml:space="preserve">投标供应商需保持</w:t>
      </w:r>
      <w:r>
        <w:rPr>
          <w:rFonts w:hint="eastAsia" w:ascii="宋体" w:hAnsi="宋体" w:cs="宋体"/>
          <w:b/>
          <w:color w:val="auto"/>
          <w:sz w:val="24"/>
          <w:szCs w:val="24"/>
          <w:highlight w:val="none"/>
        </w:rPr>
        <w:t xml:space="preserve">“苏采云”系统不见面开标大厅</w:t>
      </w:r>
      <w:r>
        <w:rPr>
          <w:rFonts w:hint="eastAsia" w:ascii="宋体" w:hAnsi="宋体" w:cs="宋体"/>
          <w:b/>
          <w:color w:val="auto"/>
          <w:sz w:val="24"/>
          <w:szCs w:val="24"/>
          <w:highlight w:val="none"/>
          <w:shd w:val="clear" w:color="auto" w:fill="ffffff"/>
        </w:rPr>
        <w:t xml:space="preserve">在线状态，并按要求在规定时间内进行响应。</w:t>
      </w:r>
      <w:r>
        <w:rPr>
          <w:rFonts w:hint="eastAsia" w:ascii="宋体" w:hAnsi="宋体" w:cs="宋体"/>
          <w:color w:val="auto"/>
          <w:sz w:val="24"/>
          <w:szCs w:val="24"/>
          <w:highlight w:val="none"/>
        </w:rPr>
        <w:t xml:space="preserve">在评审过程中系统如有特殊情况，工作人员会及时通过《投标供应商确认函》或法人授权委托书（如有）中留存的手机号与供应商联系。</w:t>
      </w:r>
      <w:r>
        <w:rPr>
          <w:rFonts w:hint="eastAsia" w:ascii="宋体" w:hAnsi="宋体" w:cs="宋体"/>
          <w:b/>
          <w:color w:val="auto"/>
          <w:sz w:val="24"/>
          <w:szCs w:val="24"/>
          <w:highlight w:val="none"/>
        </w:rPr>
        <w:t xml:space="preserve">请供应商确保系统在线状态且该手机号开评标当日通讯畅通，否则导致的对供应商不利的后果由供应商自行承担。</w:t>
      </w:r>
      <w:bookmarkEnd w:id="36"/>
      <w:r/>
      <w:r/>
    </w:p>
    <w:p>
      <w:pPr>
        <w:ind w:firstLine="480"/>
        <w:spacing w:line="360" w:lineRule="auto"/>
        <w:rPr>
          <w:rFonts w:ascii="宋体" w:hAnsi="宋体" w:cs="宋体"/>
          <w:color w:val="auto"/>
          <w:sz w:val="24"/>
          <w:szCs w:val="24"/>
          <w:highlight w:val="none"/>
          <w:shd w:val="clear" w:color="auto" w:fill="ffffff"/>
        </w:rPr>
      </w:pPr>
      <w:r/>
      <w:bookmarkStart w:id="37" w:name="_Hlk157939038"/>
      <w:r>
        <w:rPr>
          <w:rFonts w:hint="eastAsia" w:ascii="宋体" w:hAnsi="宋体" w:cs="宋体"/>
          <w:color w:val="auto"/>
          <w:sz w:val="24"/>
          <w:szCs w:val="24"/>
          <w:highlight w:val="none"/>
        </w:rPr>
        <w:t xml:space="preserve">6.</w:t>
      </w:r>
      <w:bookmarkEnd w:id="37"/>
      <w:r>
        <w:rPr>
          <w:rFonts w:hint="eastAsia" w:ascii="宋体" w:hAnsi="宋体" w:cs="宋体"/>
          <w:color w:val="auto"/>
          <w:sz w:val="24"/>
          <w:szCs w:val="24"/>
          <w:highlight w:val="none"/>
          <w:shd w:val="clear" w:color="auto" w:fill="ffffff"/>
        </w:rPr>
        <w:t xml:space="preserve">技术支持</w:t>
      </w:r>
      <w:r/>
    </w:p>
    <w:p>
      <w:pPr>
        <w:ind w:firstLine="480"/>
        <w:spacing w:line="360" w:lineRule="auto"/>
        <w:rPr>
          <w:rFonts w:ascii="宋体" w:hAnsi="宋体" w:cs="宋体"/>
          <w:color w:val="auto"/>
          <w:sz w:val="24"/>
          <w:szCs w:val="24"/>
          <w:highlight w:val="none"/>
        </w:rPr>
      </w:pPr>
      <w:r/>
      <w:bookmarkStart w:id="38" w:name="_Hlk157939100"/>
      <w:r/>
      <w:bookmarkStart w:id="39" w:name="_Hlk155717243"/>
      <w:r>
        <w:rPr>
          <w:rFonts w:hint="eastAsia" w:ascii="宋体" w:hAnsi="宋体" w:cs="宋体"/>
          <w:color w:val="auto"/>
          <w:sz w:val="24"/>
          <w:szCs w:val="24"/>
          <w:highlight w:val="none"/>
        </w:rPr>
        <w:t xml:space="preserve">CA技术咨询服务电话：400-608-6099。</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电子签章技术咨询服务电话：15380932027、15371015030、13675197356、13675197221。</w:t>
      </w:r>
      <w:r/>
    </w:p>
    <w:p>
      <w:pPr>
        <w:ind w:firstLine="480"/>
        <w:spacing w:line="360" w:lineRule="auto"/>
        <w:rPr>
          <w:rFonts w:ascii="宋体" w:hAnsi="宋体" w:cs="宋体"/>
          <w:color w:val="auto"/>
          <w:sz w:val="24"/>
          <w:szCs w:val="24"/>
          <w:highlight w:val="none"/>
        </w:rPr>
      </w:pPr>
      <w:r/>
      <w:bookmarkStart w:id="40" w:name="_Hlk154588790"/>
      <w:r>
        <w:rPr>
          <w:rFonts w:hint="eastAsia" w:ascii="宋体" w:hAnsi="宋体" w:cs="宋体"/>
          <w:color w:val="auto"/>
          <w:sz w:val="24"/>
          <w:szCs w:val="24"/>
          <w:highlight w:val="none"/>
        </w:rPr>
        <w:t xml:space="preserve">“苏采云”平台技术咨询电话：0519-86722802、13914088964</w:t>
      </w:r>
      <w:bookmarkEnd w:id="38"/>
      <w:r/>
      <w:bookmarkEnd w:id="39"/>
      <w:r/>
      <w:bookmarkEnd w:id="40"/>
      <w:r>
        <w:rPr>
          <w:rFonts w:hint="eastAsia" w:ascii="宋体" w:hAnsi="宋体" w:cs="宋体"/>
          <w:color w:val="auto"/>
          <w:sz w:val="24"/>
          <w:szCs w:val="24"/>
          <w:highlight w:val="none"/>
        </w:rPr>
        <w:t xml:space="preserve">。</w:t>
      </w:r>
      <w:r/>
    </w:p>
    <w:p>
      <w:pPr>
        <w:pStyle w:val="781"/>
        <w:ind w:firstLine="480"/>
        <w:spacing w:after="0"/>
        <w:rPr>
          <w:color w:val="auto"/>
          <w:highlight w:val="none"/>
        </w:rPr>
      </w:pPr>
      <w:r>
        <w:rPr>
          <w:rFonts w:hint="eastAsia" w:ascii="宋体" w:hAnsi="宋体" w:cs="宋体"/>
          <w:color w:val="auto"/>
          <w:sz w:val="24"/>
          <w:szCs w:val="24"/>
          <w:highlight w:val="none"/>
        </w:rPr>
        <w:t xml:space="preserve">智能客服：登录苏采云系统后，联系系统右下方智能客服图标进行咨询。</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八、凡对本次采购提出询问，请按以下方式联系。</w:t>
      </w:r>
      <w:bookmarkEnd w:id="31"/>
      <w:r/>
      <w:bookmarkEnd w:id="32"/>
      <w:r/>
      <w:bookmarkEnd w:id="33"/>
      <w:r/>
      <w:bookmarkEnd w:id="34"/>
      <w:r/>
      <w:r/>
    </w:p>
    <w:p>
      <w:pPr>
        <w:ind w:firstLine="480"/>
        <w:spacing w:line="360" w:lineRule="auto"/>
        <w:widowControl/>
        <w:rPr>
          <w:rFonts w:ascii="宋体" w:hAnsi="宋体" w:cs="宋体"/>
          <w:color w:val="auto"/>
          <w:sz w:val="24"/>
          <w:highlight w:val="none"/>
        </w:rPr>
      </w:pPr>
      <w:r/>
      <w:bookmarkStart w:id="41" w:name="_Toc28359075"/>
      <w:r/>
      <w:bookmarkStart w:id="42" w:name="_Toc28358998"/>
      <w:r/>
      <w:bookmarkStart w:id="43" w:name="_Toc35393617"/>
      <w:r/>
      <w:bookmarkStart w:id="44" w:name="_Toc35393786"/>
      <w:r>
        <w:rPr>
          <w:rFonts w:hint="eastAsia" w:ascii="宋体" w:hAnsi="宋体" w:cs="宋体"/>
          <w:color w:val="auto"/>
          <w:sz w:val="24"/>
          <w:highlight w:val="none"/>
        </w:rPr>
        <w:t xml:space="preserve">1.采购人信息</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名称：苏州大学附属中学</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地址：苏州工业园区东振路29号</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联系方式：时倩雯0512-62521392</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名称：苏州乐慧招投标咨询有限公司</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地址：苏州市相城区元和街道华元路766号都会商业中心1幢2706室</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联系方式：0512-69223600</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项目联系人：王佳静、陈浩</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电话：0512-69223600</w:t>
      </w:r>
      <w:bookmarkEnd w:id="41"/>
      <w:r/>
      <w:bookmarkEnd w:id="42"/>
      <w:r/>
      <w:bookmarkEnd w:id="43"/>
      <w:r/>
      <w:bookmarkEnd w:id="44"/>
      <w:r/>
      <w:r/>
    </w:p>
    <w:p>
      <w:pPr>
        <w:rPr>
          <w:color w:val="auto"/>
          <w:highlight w:val="none"/>
        </w:rPr>
      </w:pPr>
      <w:r>
        <w:rPr>
          <w:color w:val="auto"/>
          <w:highlight w:val="none"/>
        </w:rPr>
        <w:br w:type="page" w:clear="all"/>
      </w:r>
      <w:r/>
    </w:p>
    <w:p>
      <w:pPr>
        <w:jc w:val="left"/>
        <w:widowControl/>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rPr>
          <w:rFonts w:eastAsia="楷体_GB2312"/>
          <w:color w:val="auto"/>
          <w:sz w:val="26"/>
          <w:szCs w:val="20"/>
          <w:highlight w:val="none"/>
        </w:rPr>
      </w:pPr>
      <w:r>
        <w:rPr>
          <w:rFonts w:eastAsia="楷体_GB2312"/>
          <w:color w:val="auto"/>
          <w:sz w:val="26"/>
          <w:szCs w:val="20"/>
          <w:highlight w:val="none"/>
        </w:rPr>
      </w:r>
      <w:r/>
    </w:p>
    <w:p>
      <w:pPr>
        <w:jc w:val="center"/>
        <w:keepLines/>
        <w:keepNext/>
        <w:spacing w:before="340" w:after="330" w:line="578" w:lineRule="auto"/>
        <w:rPr>
          <w:b/>
          <w:bCs/>
          <w:color w:val="auto"/>
          <w:sz w:val="44"/>
          <w:szCs w:val="44"/>
          <w:highlight w:val="none"/>
        </w:rPr>
        <w:outlineLvl w:val="0"/>
      </w:pPr>
      <w:r/>
      <w:bookmarkStart w:id="45" w:name="_Toc18907"/>
      <w:r/>
      <w:bookmarkStart w:id="46" w:name="_Toc514512743"/>
      <w:r>
        <w:rPr>
          <w:rFonts w:hint="eastAsia"/>
          <w:b/>
          <w:bCs/>
          <w:color w:val="auto"/>
          <w:sz w:val="44"/>
          <w:szCs w:val="44"/>
          <w:highlight w:val="none"/>
        </w:rPr>
        <w:t xml:space="preserve">第二章、磋商供应商须知</w:t>
      </w:r>
      <w:bookmarkEnd w:id="45"/>
      <w:r/>
      <w:bookmarkEnd w:id="46"/>
      <w:r/>
      <w:r/>
    </w:p>
    <w:p>
      <w:pPr>
        <w:rPr>
          <w:rFonts w:eastAsia="楷体_GB2312"/>
          <w:color w:val="auto"/>
          <w:sz w:val="26"/>
          <w:szCs w:val="20"/>
          <w:highlight w:val="none"/>
        </w:rPr>
      </w:pPr>
      <w:r>
        <w:rPr>
          <w:rFonts w:eastAsia="楷体_GB2312"/>
          <w:color w:val="auto"/>
          <w:sz w:val="26"/>
          <w:szCs w:val="20"/>
          <w:highlight w:val="none"/>
        </w:rPr>
        <w:br w:type="page" w:clear="all"/>
      </w:r>
      <w:r/>
    </w:p>
    <w:p>
      <w:pPr>
        <w:numPr>
          <w:ilvl w:val="0"/>
          <w:numId w:val="3"/>
        </w:numPr>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总则</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响应单位资格要求</w:t>
      </w:r>
      <w:r/>
    </w:p>
    <w:p>
      <w:pPr>
        <w:numPr>
          <w:ilvl w:val="2"/>
          <w:numId w:val="4"/>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详见第一章竞争性磋商公告中“二、申请人的资格要求”。</w:t>
      </w:r>
      <w:r/>
    </w:p>
    <w:p>
      <w:pPr>
        <w:numPr>
          <w:ilvl w:val="2"/>
          <w:numId w:val="4"/>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响应单位不得存在下列情形之一：</w:t>
      </w:r>
      <w:r/>
    </w:p>
    <w:p>
      <w:pPr>
        <w:numPr>
          <w:ilvl w:val="3"/>
          <w:numId w:val="4"/>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苏州市财政局《关于印发苏州市市级政府采购信用记录查询和使用工作试行办法的通知》（苏财购（2017）11号）文件规定应拒绝的失信信息。</w:t>
      </w:r>
      <w:r/>
    </w:p>
    <w:p>
      <w:pPr>
        <w:numPr>
          <w:ilvl w:val="3"/>
          <w:numId w:val="4"/>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为采购项目提供整体设计、规范编制或者项目管理、监理、监测等服务的供应商，不得再参加该采购项目的其他采购活动。</w:t>
      </w:r>
      <w:r/>
    </w:p>
    <w:p>
      <w:pPr>
        <w:numPr>
          <w:ilvl w:val="3"/>
          <w:numId w:val="4"/>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单位负责人为同一人或者存在直接控股、管理关系的不同供应商，不得参加同一合同项下的政府采购活动。</w:t>
      </w:r>
      <w:r/>
    </w:p>
    <w:p>
      <w:pPr>
        <w:numPr>
          <w:ilvl w:val="2"/>
          <w:numId w:val="4"/>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联合体投标：第一章竞争性磋商公告规定接受联合体投标的，联合体除应符合上述资格要求外，还应遵守以下规定：</w:t>
      </w:r>
      <w:r/>
    </w:p>
    <w:p>
      <w:pPr>
        <w:numPr>
          <w:ilvl w:val="3"/>
          <w:numId w:val="4"/>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联合体各方应当向采购人提交联合体协议书，载明联合体各方承担的工作和义务，否则投标无效。</w:t>
      </w:r>
      <w:r/>
    </w:p>
    <w:p>
      <w:pPr>
        <w:numPr>
          <w:ilvl w:val="3"/>
          <w:numId w:val="4"/>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联合体中有同类资质的供应商按照联合体分工承担相同工作的，应当按照资质等级较低的供应商确定资质等级。</w:t>
      </w:r>
      <w:r/>
    </w:p>
    <w:p>
      <w:pPr>
        <w:numPr>
          <w:ilvl w:val="3"/>
          <w:numId w:val="4"/>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联合体各方不得再单独参加或者与其他供应商另外组成联合体参加同一合同项下的政府采购活动，否则各相关投标均无效。</w:t>
      </w:r>
      <w:r/>
    </w:p>
    <w:p>
      <w:pPr>
        <w:numPr>
          <w:ilvl w:val="3"/>
          <w:numId w:val="4"/>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联合体各方应当共同与采购人签订采购合同，就采购合同约定的事项对采购人承担连带责任。</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分包</w:t>
      </w:r>
      <w:r/>
    </w:p>
    <w:p>
      <w:pPr>
        <w:ind w:firstLine="480"/>
        <w:spacing w:line="350" w:lineRule="auto"/>
        <w:rPr>
          <w:rFonts w:ascii="宋体" w:hAnsi="宋体" w:cs="宋体"/>
          <w:color w:val="auto"/>
          <w:sz w:val="24"/>
          <w:highlight w:val="none"/>
        </w:rPr>
      </w:pPr>
      <w:r>
        <w:rPr>
          <w:rFonts w:hint="eastAsia" w:ascii="宋体" w:hAnsi="宋体" w:cs="宋体"/>
          <w:color w:val="auto"/>
          <w:sz w:val="24"/>
          <w:highlight w:val="none"/>
        </w:rPr>
        <w:t xml:space="preserve">本项目不得转包、分包。</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磋商费用</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磋商供应商应自行承担所有准备及参加投标（响应）的相关费用。不论采购结果如何，采购代理机构在任何情况下均无义务也无责任承担这些费用。</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保密</w:t>
      </w:r>
      <w:r/>
    </w:p>
    <w:p>
      <w:pPr>
        <w:ind w:firstLine="480"/>
        <w:spacing w:line="350" w:lineRule="auto"/>
        <w:rPr>
          <w:rFonts w:ascii="宋体" w:hAnsi="宋体" w:cs="宋体"/>
          <w:color w:val="auto"/>
          <w:sz w:val="24"/>
          <w:highlight w:val="none"/>
        </w:rPr>
      </w:pPr>
      <w:r>
        <w:rPr>
          <w:rFonts w:hint="eastAsia" w:ascii="宋体" w:hAnsi="宋体" w:cs="宋体"/>
          <w:color w:val="auto"/>
          <w:sz w:val="24"/>
          <w:highlight w:val="none"/>
        </w:rPr>
        <w:t xml:space="preserve">参与采购活动的各方应对采购文件和响应文件中的商业和技术等秘密保密，否则应承担相应的法律责任。</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语言文字</w:t>
      </w:r>
      <w:r/>
    </w:p>
    <w:p>
      <w:pPr>
        <w:ind w:firstLine="480"/>
        <w:spacing w:line="350" w:lineRule="auto"/>
        <w:rPr>
          <w:rFonts w:ascii="宋体" w:hAnsi="宋体" w:cs="宋体"/>
          <w:color w:val="auto"/>
          <w:sz w:val="24"/>
          <w:highlight w:val="none"/>
        </w:rPr>
      </w:pPr>
      <w:r>
        <w:rPr>
          <w:rFonts w:hint="eastAsia" w:ascii="宋体" w:hAnsi="宋体" w:cs="宋体"/>
          <w:color w:val="auto"/>
          <w:sz w:val="24"/>
          <w:highlight w:val="none"/>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计量单位</w:t>
      </w:r>
      <w:r/>
    </w:p>
    <w:p>
      <w:pPr>
        <w:ind w:firstLine="480"/>
        <w:spacing w:line="350" w:lineRule="auto"/>
        <w:rPr>
          <w:rFonts w:ascii="宋体" w:hAnsi="宋体" w:cs="宋体"/>
          <w:color w:val="auto"/>
          <w:sz w:val="24"/>
          <w:highlight w:val="none"/>
        </w:rPr>
      </w:pPr>
      <w:r>
        <w:rPr>
          <w:rFonts w:hint="eastAsia" w:ascii="宋体" w:hAnsi="宋体" w:cs="宋体"/>
          <w:color w:val="auto"/>
          <w:sz w:val="24"/>
          <w:highlight w:val="none"/>
        </w:rPr>
        <w:t xml:space="preserve">除磋商文件有特殊要求外，所有计量均采用中华人民共和国法定计量单位。</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知识产权</w:t>
      </w:r>
      <w:r/>
    </w:p>
    <w:p>
      <w:pPr>
        <w:ind w:firstLine="480"/>
        <w:spacing w:line="350" w:lineRule="auto"/>
        <w:rPr>
          <w:rFonts w:ascii="宋体" w:hAnsi="宋体" w:cs="宋体"/>
          <w:color w:val="auto"/>
          <w:sz w:val="24"/>
          <w:highlight w:val="none"/>
        </w:rPr>
      </w:pPr>
      <w:r>
        <w:rPr>
          <w:rFonts w:hint="eastAsia" w:ascii="宋体" w:hAnsi="宋体" w:cs="宋体"/>
          <w:color w:val="auto"/>
          <w:sz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现场踏勘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可自行对有关现场和周围环境进行踏勘，以获取编制投标（响应）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集中现场考察</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本项目按以下第</w:t>
      </w:r>
      <w:r>
        <w:rPr>
          <w:rFonts w:hint="eastAsia" w:ascii="宋体" w:hAnsi="宋体" w:cs="宋体"/>
          <w:bCs/>
          <w:color w:val="auto"/>
          <w:sz w:val="24"/>
          <w:highlight w:val="none"/>
          <w:u w:val="single"/>
        </w:rPr>
        <w:t xml:space="preserve">  ①  </w:t>
      </w:r>
      <w:r>
        <w:rPr>
          <w:rFonts w:hint="eastAsia" w:ascii="宋体" w:hAnsi="宋体" w:cs="宋体"/>
          <w:bCs/>
          <w:color w:val="auto"/>
          <w:sz w:val="24"/>
          <w:highlight w:val="none"/>
        </w:rPr>
        <w:t xml:space="preserve">种方式组织集中现场考察：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①采购人不组织集中现场考察；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②采购人组织集中现场考察，请供应商持在”苏采云”系统中下载本项目采购文件的</w:t>
      </w:r>
      <w:r>
        <w:rPr>
          <w:rFonts w:hint="eastAsia" w:ascii="宋体" w:hAnsi="宋体" w:cs="宋体"/>
          <w:b/>
          <w:color w:val="auto"/>
          <w:sz w:val="24"/>
          <w:szCs w:val="24"/>
          <w:highlight w:val="none"/>
        </w:rPr>
        <w:t xml:space="preserve">《投标供应商确认函》</w:t>
      </w:r>
      <w:r>
        <w:rPr>
          <w:rFonts w:hint="eastAsia" w:ascii="宋体" w:hAnsi="宋体" w:cs="宋体"/>
          <w:color w:val="auto"/>
          <w:sz w:val="24"/>
          <w:szCs w:val="24"/>
          <w:highlight w:val="none"/>
        </w:rPr>
        <w:t xml:space="preserve">，按以下时间地点参加集中现场考察：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集合时间：</w:t>
      </w:r>
      <w:r>
        <w:rPr>
          <w:rFonts w:hint="eastAsia" w:ascii="宋体" w:hAnsi="宋体" w:cs="宋体"/>
          <w:color w:val="auto"/>
          <w:sz w:val="24"/>
          <w:szCs w:val="24"/>
          <w:highlight w:val="none"/>
          <w:u w:val="single"/>
        </w:rPr>
        <w:t xml:space="preserve">   /年/月/日/时/分（北京时间）</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集合地点：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请供应商安排好行程，不得迟到。未提供《投标供应商确认函》或迟到者，恕不接待。</w:t>
      </w:r>
      <w:r/>
    </w:p>
    <w:p>
      <w:pPr>
        <w:ind w:firstLine="480"/>
        <w:jc w:val="left"/>
        <w:spacing w:line="360" w:lineRule="auto"/>
        <w:tabs>
          <w:tab w:val="left" w:pos="63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（1）根据自身投标需要，供应商可对项目相关情况进行考察，以获取编制响应文件和签署合同所需的信息。考察现场所发生的费用由供应商自己承担。</w:t>
      </w:r>
      <w:r/>
    </w:p>
    <w:p>
      <w:pPr>
        <w:ind w:firstLine="480"/>
        <w:jc w:val="left"/>
        <w:spacing w:line="360" w:lineRule="auto"/>
        <w:tabs>
          <w:tab w:val="left" w:pos="63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jc w:val="left"/>
        <w:spacing w:line="360" w:lineRule="auto"/>
        <w:tabs>
          <w:tab w:val="left" w:pos="63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（3）经采购人允许，供应商可为考察目的进入采购人的项目现场，但供应商不得因此使采购人承担有关的责任和蒙受损失。供应商应承担考察现场的责任和风险。</w:t>
      </w:r>
      <w:r/>
    </w:p>
    <w:p>
      <w:pPr>
        <w:ind w:firstLine="480"/>
        <w:jc w:val="left"/>
        <w:spacing w:line="360" w:lineRule="auto"/>
        <w:tabs>
          <w:tab w:val="left" w:pos="63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供应商应在现场考察时，熟悉现场及本项目的背景概况等情况，以获得一切可能影响其投标的直接资料。供应商成交后，不得以不完全了解情况为理由而向采购人或采购代理机构提出任何索赔的要求，对此采购人或采购代理机构不承担任何责任并将不作任何答复与考虑。</w:t>
      </w:r>
      <w:r/>
    </w:p>
    <w:p>
      <w:pPr>
        <w:ind w:firstLine="480"/>
        <w:jc w:val="left"/>
        <w:spacing w:line="360" w:lineRule="auto"/>
        <w:tabs>
          <w:tab w:val="left" w:pos="63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（5）由于未进行现场考察造成的任何问题由供应商自行承担。</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本项目若涉及采购货物，则应满足以下要求，否则响应无效：</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必须是全新、未使用过的原装合格正品（包括零部件），如安装或配置了软件的，须为正版软件。</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国产的货物及其有关服务必须符合中华人民共和国的设计、制造生产标准及行业标准。采购公告有其他要求的，亦应符合其要求。在本项目政府采购活动过程中，如果所执行的标准有更新的，按照最新标准执行。</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投标人、制造商及其所提供的货物未能满足前述要求而导致采购人遭受任何损失的，投标人应承担全部责任。</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法律适用</w:t>
      </w:r>
      <w:r/>
    </w:p>
    <w:p>
      <w:pPr>
        <w:ind w:firstLine="480"/>
        <w:jc w:val="left"/>
        <w:spacing w:line="360" w:lineRule="auto"/>
        <w:tabs>
          <w:tab w:val="left" w:pos="63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本次采购活动及因本次采购产生的合同受中华人民共和国有关的法律法规制约和保护。</w:t>
      </w:r>
      <w:r/>
    </w:p>
    <w:p>
      <w:pPr>
        <w:numPr>
          <w:ilvl w:val="0"/>
          <w:numId w:val="3"/>
        </w:numPr>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磋商文件的说明</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磋商文件的获取</w:t>
      </w:r>
      <w:r/>
    </w:p>
    <w:p>
      <w:pPr>
        <w:ind w:firstLine="480"/>
        <w:jc w:val="left"/>
        <w:spacing w:line="360" w:lineRule="auto"/>
        <w:tabs>
          <w:tab w:val="left" w:pos="63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见第一章竞争性磋商公告</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磋商文件的询问</w:t>
      </w:r>
      <w:r/>
    </w:p>
    <w:p>
      <w:pPr>
        <w:ind w:firstLine="480"/>
        <w:jc w:val="left"/>
        <w:spacing w:line="360" w:lineRule="auto"/>
        <w:tabs>
          <w:tab w:val="left" w:pos="63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供应商在收到磋商文件后，若有问题需要询问，应于下载磋商文件后，可通过公告中的联系方式及时提出，采购人或采购代理机构将予以解答，但答复内容不得涉及商业秘密。</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磋商文件的澄清或修改</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为保证供应商有足够时间修正响应文件，或出于其他合理原因，采购代理机构可依法顺延提交首次响应文件截止之日。</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供应商应及时关注政府采购信息发布媒体上发布的更正（补充）公告，同时在“苏采云”系统中下载更正（补充）资料，</w:t>
      </w:r>
      <w:r>
        <w:rPr>
          <w:rFonts w:hint="eastAsia" w:ascii="宋体" w:hAnsi="宋体" w:cs="宋体"/>
          <w:b/>
          <w:color w:val="auto"/>
          <w:sz w:val="24"/>
          <w:highlight w:val="none"/>
        </w:rPr>
        <w:t xml:space="preserve">如有遗漏（包括但不限于文件未下载或下载不完整），可能无法解密投标（响应）文件，由此所造成的投标失败或损失由供应商自行负责。</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磋商文件的约束力</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供应商一旦参加本项目采购活动，即被认为接受了本采购文件的规定和约束。</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numPr>
          <w:ilvl w:val="0"/>
          <w:numId w:val="3"/>
        </w:numPr>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响应文件说明</w:t>
      </w:r>
      <w:r/>
    </w:p>
    <w:p>
      <w:pPr>
        <w:ind w:firstLine="480"/>
        <w:jc w:val="left"/>
        <w:spacing w:line="360" w:lineRule="auto"/>
        <w:tabs>
          <w:tab w:val="left" w:pos="63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响应单位应详细阅读磋商文件的全部内容，不按磋商文件的要求提供的响应文件和资料，其风险由响应单位自行承担，并根据有关条款规定，可能导致响应无效。</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磋商保证金：</w:t>
      </w:r>
      <w:r/>
    </w:p>
    <w:p>
      <w:pPr>
        <w:ind w:left="420"/>
        <w:spacing w:line="360" w:lineRule="auto"/>
        <w:tabs>
          <w:tab w:val="left" w:pos="0" w:leader="none"/>
        </w:tabs>
        <w:rPr>
          <w:rFonts w:ascii="宋体" w:hAnsi="宋体" w:cs="宋体"/>
          <w:b/>
          <w:color w:val="auto"/>
          <w:sz w:val="24"/>
          <w:highlight w:val="none"/>
        </w:rPr>
      </w:pPr>
      <w:r>
        <w:rPr>
          <w:rFonts w:hint="eastAsia" w:ascii="宋体" w:hAnsi="宋体" w:cs="宋体"/>
          <w:bCs/>
          <w:color w:val="auto"/>
          <w:sz w:val="24"/>
          <w:highlight w:val="none"/>
        </w:rPr>
        <w:t xml:space="preserve">无。</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响应文件的组成</w:t>
      </w:r>
      <w:r/>
    </w:p>
    <w:p>
      <w:pPr>
        <w:numPr>
          <w:ilvl w:val="2"/>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封面</w:t>
      </w:r>
      <w:r/>
    </w:p>
    <w:p>
      <w:pPr>
        <w:numPr>
          <w:ilvl w:val="2"/>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开标一览表</w:t>
      </w:r>
      <w:r/>
    </w:p>
    <w:p>
      <w:pPr>
        <w:numPr>
          <w:ilvl w:val="2"/>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资格审查响应文件：</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具有独立承担民事责任的能力（</w:t>
      </w:r>
      <w:r>
        <w:rPr>
          <w:rFonts w:hint="eastAsia" w:ascii="宋体" w:hAnsi="宋体" w:cs="宋体"/>
          <w:color w:val="auto"/>
          <w:sz w:val="24"/>
          <w:highlight w:val="none"/>
        </w:rPr>
        <w:t xml:space="preserve">包括法人或者其他组织的营业执照等证明文件，自然人的身份证明</w:t>
      </w:r>
      <w:r>
        <w:rPr>
          <w:rFonts w:hint="eastAsia" w:ascii="宋体" w:hAnsi="宋体" w:cs="宋体"/>
          <w:bCs/>
          <w:color w:val="auto"/>
          <w:sz w:val="24"/>
          <w:highlight w:val="none"/>
        </w:rPr>
        <w:t xml:space="preserve">）；</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具有良好的商业信誉和健全的财务会计制度（</w:t>
      </w:r>
      <w:r>
        <w:rPr>
          <w:rFonts w:hint="eastAsia" w:ascii="宋体" w:hAnsi="宋体" w:cs="宋体"/>
          <w:color w:val="auto"/>
          <w:sz w:val="24"/>
          <w:highlight w:val="none"/>
        </w:rPr>
        <w:t xml:space="preserve">最近一期经审计的财务报告，或银行出具的资信证明，或财政部门认可的政府采购专业担保机构出具的投标担保函</w:t>
      </w:r>
      <w:r>
        <w:rPr>
          <w:rFonts w:hint="eastAsia" w:ascii="宋体" w:hAnsi="宋体" w:cs="宋体"/>
          <w:bCs/>
          <w:color w:val="auto"/>
          <w:sz w:val="24"/>
          <w:highlight w:val="none"/>
        </w:rPr>
        <w:t xml:space="preserve">）；</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具有履行合同所必需的设备和专业技术能力（根据项目需求提供履行合同所必需的设备和专业技术能力的声明或证明材料）；</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有依法缴纳税收和社会保障资金的良好记录（</w:t>
      </w:r>
      <w:r>
        <w:rPr>
          <w:rFonts w:hint="eastAsia" w:ascii="宋体" w:hAnsi="宋体" w:cs="宋体"/>
          <w:color w:val="auto"/>
          <w:sz w:val="24"/>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auto"/>
          <w:sz w:val="24"/>
          <w:highlight w:val="none"/>
        </w:rPr>
        <w:t xml:space="preserve">）；</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参加政府采购活动前三年内，在经营活动中没有重大违法记录（提供参加本次政府采购活动前3年内在经营活动中没有重大违法记录的书面声明）（格式自拟）；</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法律、行政法规规定的其他条件。</w:t>
      </w:r>
      <w:r/>
    </w:p>
    <w:p>
      <w:pPr>
        <w:numPr>
          <w:ilvl w:val="2"/>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符合性审查响应文件</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磋商报价分析表（格式见第三章）；</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磋商响应单位法定代表人身份证扫描件；</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法定代表人授权委托书（如有授权，格式见第三章）；</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磋商响应单位授权代理人身份证扫描件（如有授权）；</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磋商响应函（格式见第三章）；</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关于资格文件的声明函（格式见第三章）；</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磋商响应单位基本情况表（格式见第三章）；</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偏离表（格式见第三章）；</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val="zh-CN"/>
        </w:rPr>
        <w:t xml:space="preserve">投入本项目人员配备一览表</w:t>
      </w:r>
      <w:r>
        <w:rPr>
          <w:rFonts w:hint="eastAsia" w:ascii="宋体" w:hAnsi="宋体" w:cs="宋体"/>
          <w:bCs/>
          <w:color w:val="auto"/>
          <w:sz w:val="24"/>
          <w:highlight w:val="none"/>
        </w:rPr>
        <w:t xml:space="preserve">（格式见第三章）；</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采购需求中所涉及到的或响应单位认为需加以说明或证明的其他材料、证明（如有）。</w:t>
      </w:r>
      <w:r/>
    </w:p>
    <w:p>
      <w:pPr>
        <w:numPr>
          <w:ilvl w:val="2"/>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综合评审响应文件</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针对本项目的各项实施、服务方案及相关制度；</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类似业绩一览表（格式见第三章）；</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评分标准中所涉及到的其他材料、证明。</w:t>
      </w:r>
      <w:r/>
    </w:p>
    <w:p>
      <w:pPr>
        <w:numPr>
          <w:ilvl w:val="2"/>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价格折扣文件（如有）</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《中小企业声明函》或《残疾人福利性单位声明函》或由省级以上监狱管理局、戒毒管理局（含新疆生产建设兵团）出具的属于监狱企业的证明文件（如属，格式见第三章）；</w:t>
      </w:r>
      <w:r/>
    </w:p>
    <w:p>
      <w:pPr>
        <w:numPr>
          <w:ilvl w:val="3"/>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val="zh-CN"/>
        </w:rPr>
        <w:t xml:space="preserve">供应商对其提供的产品出具符合要求的《关于符合本国产品标准的声明函》（</w:t>
      </w:r>
      <w:r>
        <w:rPr>
          <w:rFonts w:hint="eastAsia" w:ascii="宋体" w:hAnsi="宋体" w:cs="宋体"/>
          <w:bCs/>
          <w:color w:val="auto"/>
          <w:sz w:val="24"/>
          <w:highlight w:val="none"/>
        </w:rPr>
        <w:t xml:space="preserve">如属，</w:t>
      </w:r>
      <w:r>
        <w:rPr>
          <w:rFonts w:hint="eastAsia" w:ascii="宋体" w:hAnsi="宋体" w:cs="宋体"/>
          <w:bCs/>
          <w:color w:val="auto"/>
          <w:sz w:val="24"/>
          <w:highlight w:val="none"/>
          <w:lang w:val="zh-CN"/>
        </w:rPr>
        <w:t xml:space="preserve">格式见第三章》）或财政部会同有关部门规定的有关证明文件的，将按照评定成交标准享受价格评审优惠政策。</w:t>
      </w:r>
      <w:r/>
    </w:p>
    <w:p>
      <w:pPr>
        <w:pStyle w:val="962"/>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注：①以上2.3.1-2.3.6为资格审查要求提供的材料，是作为对供应商资格审查认定的依据，响应供应商必须提供并加盖电子公章。否则，磋商响应文件将被认定为不符合资格审查要求。</w:t>
      </w:r>
      <w:r/>
    </w:p>
    <w:p>
      <w:pPr>
        <w:pStyle w:val="962"/>
        <w:ind w:firstLine="482"/>
        <w:spacing w:line="360" w:lineRule="auto"/>
        <w:rPr>
          <w:rFonts w:ascii="宋体" w:hAnsi="宋体" w:cs="宋体"/>
          <w:color w:val="auto"/>
          <w:szCs w:val="24"/>
          <w:highlight w:val="none"/>
        </w:rPr>
      </w:pPr>
      <w:r>
        <w:rPr>
          <w:rFonts w:hint="eastAsia" w:ascii="宋体" w:hAnsi="宋体" w:cs="宋体"/>
          <w:b/>
          <w:bCs/>
          <w:color w:val="auto"/>
          <w:szCs w:val="24"/>
          <w:highlight w:val="none"/>
        </w:rPr>
        <w:t xml:space="preserve">②以上2.4.1-2.4.10为符合性审查须提供的资料，响应供应商必须提供并加盖电子公章。否则，磋商响应文件将被认定为未实质性响应。</w:t>
      </w:r>
      <w:r/>
    </w:p>
    <w:p>
      <w:pPr>
        <w:pStyle w:val="962"/>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③制作电子响应文件时必须与投标文件制作软件目录一一对应，将相关资料上传至相应模块。供应商应保证上传的投标（响应）文件完整、清晰可辨认，若因上传资料过小或模糊不清等无法辨认的都视为该资料未提供。</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响应报价</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响应报价应包括完成本采购项目全部内容的一切费用，除非合同条款中另有规定，响应单位所报价格在合同实施期间不因市场变化因素而变动。</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如果磋商文件要求分标段投标的，则供应商可以根据自身经营许可范围，选择响应其中部分或者全部标段，但各标段应分别计算填写单价和总价。</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供应商应对所投项目的全部内容进行报价，只对其中部分内容报价的，其响应无效。</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一项采购内容只允许一个报价，任何有选择性响应报价的，其响应无效。</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任意一次报价（包括首次报价、多轮报价）超过磋商文件中规定的预算金额或者最高限价的，包括报的各标的物的单价超过预算单价的（针对采购文件标明预算单价的项目），其响应文件按无效文件处理。</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报价的大写金额和小写金额不一致的，以大写金额为准。</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单价金额小数点或者百分比有明显错位的，以该次报价总价为准。</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总价金额与按单价汇总金额不一致的，以单价金额计算结果为准。</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响应文件报价中的单价和总价全部采用人民币表示，除非另有规定。</w:t>
      </w:r>
      <w:r/>
    </w:p>
    <w:p>
      <w:pPr>
        <w:numPr>
          <w:ilvl w:val="2"/>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异常低价投标（响应）审查</w:t>
      </w:r>
      <w:r/>
    </w:p>
    <w:p>
      <w:pPr>
        <w:pStyle w:val="781"/>
        <w:ind w:firstLine="480"/>
        <w:spacing w:after="0"/>
        <w:rPr>
          <w:rFonts w:ascii="宋体" w:hAnsi="宋体" w:cs="宋体"/>
          <w:bCs/>
          <w:color w:val="auto"/>
          <w:sz w:val="24"/>
          <w:highlight w:val="none"/>
        </w:rPr>
      </w:pPr>
      <w:r>
        <w:rPr>
          <w:rFonts w:hint="eastAsia" w:ascii="宋体" w:hAnsi="宋体" w:cs="宋体"/>
          <w:bCs/>
          <w:color w:val="auto"/>
          <w:sz w:val="24"/>
          <w:highlight w:val="none"/>
        </w:rPr>
        <w:t xml:space="preserve">评审过程中出现下列情形之一的，评审委员会应当启动异常低价投标（响应）审查程序：</w:t>
      </w:r>
      <w:r/>
    </w:p>
    <w:p>
      <w:pPr>
        <w:pStyle w:val="781"/>
        <w:ind w:firstLine="480"/>
        <w:spacing w:after="0"/>
        <w:rPr>
          <w:rFonts w:ascii="宋体" w:hAnsi="宋体" w:cs="宋体"/>
          <w:bCs/>
          <w:color w:val="auto"/>
          <w:sz w:val="24"/>
          <w:highlight w:val="none"/>
        </w:rPr>
      </w:pPr>
      <w:r>
        <w:rPr>
          <w:rFonts w:hint="eastAsia" w:ascii="宋体" w:hAnsi="宋体" w:cs="宋体"/>
          <w:bCs/>
          <w:color w:val="auto"/>
          <w:sz w:val="24"/>
          <w:highlight w:val="none"/>
        </w:rPr>
        <w:t xml:space="preserve">①投标（响应）报价低于全部通过符合性审查供应商投标（响应）报价平均值50%的，即投标（响应）报价&lt;全部通过符合性审查供应商投标（响应）报价平均值×50%；</w:t>
      </w:r>
      <w:r/>
    </w:p>
    <w:p>
      <w:pPr>
        <w:pStyle w:val="781"/>
        <w:ind w:firstLine="480"/>
        <w:spacing w:after="0"/>
        <w:rPr>
          <w:rFonts w:ascii="宋体" w:hAnsi="宋体" w:cs="宋体"/>
          <w:bCs/>
          <w:color w:val="auto"/>
          <w:sz w:val="24"/>
          <w:highlight w:val="none"/>
        </w:rPr>
      </w:pPr>
      <w:r>
        <w:rPr>
          <w:rFonts w:hint="eastAsia" w:ascii="宋体" w:hAnsi="宋体" w:cs="宋体"/>
          <w:bCs/>
          <w:color w:val="auto"/>
          <w:sz w:val="24"/>
          <w:highlight w:val="none"/>
        </w:rPr>
        <w:t xml:space="preserve">②投标（响应）报价低于通过符合性审查的次低报价供应商投标（响应）报价50%的，即投标（响应）报价&lt;通过符合性审查的次低报价供应商投标（响应）报价×50%；</w:t>
      </w:r>
      <w:r/>
    </w:p>
    <w:p>
      <w:pPr>
        <w:pStyle w:val="781"/>
        <w:ind w:firstLine="480"/>
        <w:spacing w:after="0"/>
        <w:rPr>
          <w:rFonts w:ascii="宋体" w:hAnsi="宋体" w:cs="宋体"/>
          <w:bCs/>
          <w:color w:val="auto"/>
          <w:sz w:val="24"/>
          <w:highlight w:val="none"/>
        </w:rPr>
      </w:pPr>
      <w:r>
        <w:rPr>
          <w:rFonts w:hint="eastAsia" w:ascii="宋体" w:hAnsi="宋体" w:cs="宋体"/>
          <w:bCs/>
          <w:color w:val="auto"/>
          <w:sz w:val="24"/>
          <w:highlight w:val="none"/>
        </w:rPr>
        <w:t xml:space="preserve">③投标（响应）报价低于采购项目最高限价45%的，即投标（响应）报价&lt;采购项目最高限价×45%；</w:t>
      </w:r>
      <w:r/>
    </w:p>
    <w:p>
      <w:pPr>
        <w:pStyle w:val="781"/>
        <w:ind w:firstLine="480"/>
        <w:spacing w:after="0"/>
        <w:rPr>
          <w:rFonts w:ascii="宋体" w:hAnsi="宋体" w:cs="宋体"/>
          <w:bCs/>
          <w:color w:val="auto"/>
          <w:sz w:val="24"/>
          <w:highlight w:val="none"/>
        </w:rPr>
      </w:pPr>
      <w:r>
        <w:rPr>
          <w:rFonts w:hint="eastAsia" w:ascii="宋体" w:hAnsi="宋体" w:cs="宋体"/>
          <w:bCs/>
          <w:color w:val="auto"/>
          <w:sz w:val="24"/>
          <w:highlight w:val="none"/>
        </w:rPr>
        <w:t xml:space="preserve">④评审委员会基于专业判断，认为供应商报价过低，有可能影响产品质量或者不能诚信履约的其他情形。</w:t>
      </w:r>
      <w:r/>
    </w:p>
    <w:p>
      <w:pPr>
        <w:pStyle w:val="781"/>
        <w:ind w:firstLine="480"/>
        <w:spacing w:after="0"/>
        <w:rPr>
          <w:rFonts w:ascii="宋体" w:hAnsi="宋体" w:cs="宋体"/>
          <w:bCs/>
          <w:color w:val="auto"/>
          <w:sz w:val="24"/>
          <w:highlight w:val="none"/>
        </w:rPr>
      </w:pPr>
      <w:r>
        <w:rPr>
          <w:rFonts w:hint="eastAsia" w:ascii="宋体" w:hAnsi="宋体" w:cs="宋体"/>
          <w:bCs/>
          <w:color w:val="auto"/>
          <w:sz w:val="24"/>
          <w:highlight w:val="none"/>
        </w:rPr>
        <w:t xml:space="preserve">评审委员会启动异常低价投标（响应）审查后，应当要求相关供应商在评审现场合理的时间内对投标（响应）价格作出解释（线上开评标项目可通过“苏采云”系统要求其提供），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781"/>
        <w:ind w:firstLine="480"/>
        <w:spacing w:after="0"/>
        <w:rPr>
          <w:rFonts w:ascii="宋体" w:hAnsi="宋体" w:cs="宋体"/>
          <w:bCs/>
          <w:color w:val="auto"/>
          <w:sz w:val="24"/>
          <w:highlight w:val="none"/>
        </w:rPr>
      </w:pPr>
      <w:r>
        <w:rPr>
          <w:rFonts w:hint="eastAsia" w:ascii="宋体" w:hAnsi="宋体" w:cs="宋体"/>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w:t>
      </w:r>
      <w:r/>
    </w:p>
    <w:p>
      <w:pPr>
        <w:pStyle w:val="781"/>
        <w:ind w:firstLine="480"/>
        <w:spacing w:after="0"/>
        <w:rPr>
          <w:rFonts w:ascii="宋体" w:hAnsi="宋体" w:cs="宋体"/>
          <w:bCs/>
          <w:color w:val="auto"/>
          <w:sz w:val="24"/>
          <w:highlight w:val="none"/>
        </w:rPr>
      </w:pPr>
      <w:r>
        <w:rPr>
          <w:rFonts w:hint="eastAsia" w:ascii="宋体" w:hAnsi="宋体" w:cs="宋体"/>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电子投标（响应）文件的编制与递交</w:t>
      </w:r>
      <w:r/>
    </w:p>
    <w:p>
      <w:pPr>
        <w:numPr>
          <w:ilvl w:val="2"/>
          <w:numId w:val="3"/>
        </w:numPr>
        <w:ind w:firstLine="480"/>
        <w:spacing w:line="360" w:lineRule="auto"/>
        <w:tabs>
          <w:tab w:val="left" w:pos="0" w:leader="none"/>
        </w:tabs>
        <w:rPr>
          <w:rFonts w:ascii="宋体" w:hAnsi="宋体" w:cs="宋体"/>
          <w:bCs/>
          <w:color w:val="auto"/>
          <w:sz w:val="24"/>
          <w:highlight w:val="none"/>
        </w:rPr>
      </w:pPr>
      <w:r/>
      <w:bookmarkStart w:id="47" w:name="_Hlk157941471"/>
      <w:r/>
      <w:bookmarkStart w:id="48" w:name="_Hlk132648568"/>
      <w:r>
        <w:rPr>
          <w:rFonts w:hint="eastAsia" w:ascii="宋体" w:hAnsi="宋体" w:cs="宋体"/>
          <w:bCs/>
          <w:color w:val="auto"/>
          <w:sz w:val="24"/>
          <w:highlight w:val="none"/>
        </w:rPr>
        <w:t xml:space="preserve">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bookmarkEnd w:id="47"/>
      <w:r>
        <w:rPr>
          <w:rFonts w:hint="eastAsia" w:ascii="宋体" w:hAnsi="宋体" w:cs="宋体"/>
          <w:bCs/>
          <w:color w:val="auto"/>
          <w:sz w:val="24"/>
          <w:highlight w:val="none"/>
        </w:rPr>
        <w:t xml:space="preserve">。</w:t>
      </w:r>
      <w:bookmarkEnd w:id="48"/>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电子投标（响应)文件递交：供应商应当按照《操作手册》指引，</w:t>
      </w:r>
      <w:r>
        <w:rPr>
          <w:rFonts w:hint="eastAsia" w:ascii="宋体" w:hAnsi="宋体" w:cs="宋体"/>
          <w:b/>
          <w:color w:val="auto"/>
          <w:sz w:val="24"/>
          <w:highlight w:val="none"/>
        </w:rPr>
        <w:t xml:space="preserve">在投标（响应）文件提交截止时间前完成电子投标（响应）文件的上传，未按要求成功上传的投标（响应）文件视为未递交。</w:t>
      </w:r>
      <w:r>
        <w:rPr>
          <w:rFonts w:hint="eastAsia" w:ascii="宋体" w:hAnsi="宋体" w:cs="宋体"/>
          <w:bCs/>
          <w:color w:val="auto"/>
          <w:sz w:val="24"/>
          <w:highlight w:val="none"/>
        </w:rPr>
        <w:t xml:space="preserve">供应商应充分考虑到网络环境、网络带宽等风险因素，如因供应商自身原因造成的电子投标（响应）文件上传不成功由供应商自行承担全部责任。</w:t>
      </w:r>
      <w:r/>
    </w:p>
    <w:p>
      <w:pPr>
        <w:pStyle w:val="827"/>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①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827"/>
        <w:ind w:firstLine="48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numPr>
          <w:ilvl w:val="2"/>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响应文件未按照磋商文件要求加盖CA电子公章的，响应无效。</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联合体投标：如招标（采购）公告中允许联合体投标，联合体投标的投标（响应）文件制作上传操作如下：</w:t>
      </w:r>
      <w:r/>
    </w:p>
    <w:p>
      <w:pPr>
        <w:pStyle w:val="828"/>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第一步：在投标（响应）文件中上传联合体投标协议书。</w:t>
      </w:r>
      <w:r/>
    </w:p>
    <w:p>
      <w:pPr>
        <w:pStyle w:val="828"/>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第二步；在投标（响应）文件中，由联合体中的牵头人制作投标（响应）文件。</w:t>
      </w:r>
      <w:r/>
    </w:p>
    <w:p>
      <w:pPr>
        <w:numPr>
          <w:ilvl w:val="2"/>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如投标（响应）文件制作机器码信息一致，视为不同投标供应商使用同一台电脑编制投标（响应）文件，投标（响应）无效。</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响应文件开启（解密）</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本项目为不见面开标（开启）项目，</w:t>
      </w:r>
      <w:r>
        <w:rPr>
          <w:rFonts w:hint="eastAsia" w:ascii="宋体" w:hAnsi="宋体" w:cs="宋体"/>
          <w:b/>
          <w:color w:val="auto"/>
          <w:sz w:val="24"/>
          <w:highlight w:val="none"/>
        </w:rPr>
        <w:t xml:space="preserve">开启阶段供应商在【解密】环节必须使用CA证书解密电子投标（响应）文件，请供应商确保电脑、系统及其他设备（视频输入输出设备等）无误，且开启直至项目结束始终保持系统在线状态。</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线上参加（观看）开标（开启）会方式：登录“苏采云”系统，点击“开标大厅”，选择对应项目，点击进入不见面开标系统。</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不合格原因告知等提示，</w:t>
      </w:r>
      <w:r>
        <w:rPr>
          <w:rFonts w:hint="eastAsia" w:ascii="宋体" w:hAnsi="宋体" w:cs="宋体"/>
          <w:b/>
          <w:color w:val="auto"/>
          <w:sz w:val="24"/>
          <w:highlight w:val="none"/>
        </w:rPr>
        <w:t xml:space="preserve">否则导致的对供应商不利的后果由供应商自行承担。</w:t>
      </w:r>
      <w:r/>
    </w:p>
    <w:p>
      <w:pPr>
        <w:numPr>
          <w:ilvl w:val="2"/>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供应商在“苏采云”系统规定的时间内未成功解密电子响应文件的，响应无效。</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响应文件的修改和撤回</w:t>
      </w:r>
      <w:r/>
    </w:p>
    <w:p>
      <w:pPr>
        <w:numPr>
          <w:ilvl w:val="2"/>
          <w:numId w:val="3"/>
        </w:numPr>
        <w:ind w:firstLine="480"/>
        <w:spacing w:line="360" w:lineRule="auto"/>
        <w:tabs>
          <w:tab w:val="left" w:pos="0" w:leader="none"/>
        </w:tabs>
        <w:rPr>
          <w:rFonts w:ascii="宋体" w:hAnsi="宋体" w:cs="宋体"/>
          <w:bCs/>
          <w:color w:val="auto"/>
          <w:sz w:val="24"/>
          <w:highlight w:val="none"/>
        </w:rPr>
      </w:pPr>
      <w:r/>
      <w:bookmarkStart w:id="49" w:name="_Hlk158219959"/>
      <w:r>
        <w:rPr>
          <w:rFonts w:hint="eastAsia" w:ascii="宋体" w:hAnsi="宋体" w:cs="宋体"/>
          <w:bCs/>
          <w:color w:val="auto"/>
          <w:sz w:val="24"/>
          <w:highlight w:val="none"/>
        </w:rPr>
        <w:t xml:space="preserve">供应商在提交投标（响应）文件截止时间前，</w:t>
      </w:r>
      <w:bookmarkStart w:id="50" w:name="_Hlk157942116"/>
      <w:r>
        <w:rPr>
          <w:rFonts w:hint="eastAsia" w:ascii="宋体" w:hAnsi="宋体" w:cs="宋体"/>
          <w:bCs/>
          <w:color w:val="auto"/>
          <w:sz w:val="24"/>
          <w:highlight w:val="none"/>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49"/>
      <w:r/>
      <w:bookmarkEnd w:id="50"/>
      <w:r>
        <w:rPr>
          <w:rFonts w:hint="eastAsia" w:ascii="宋体" w:hAnsi="宋体" w:cs="宋体"/>
          <w:bCs/>
          <w:color w:val="auto"/>
          <w:sz w:val="24"/>
          <w:highlight w:val="none"/>
        </w:rPr>
        <w:t xml:space="preserve">。</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磋商响应文件的有效期</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响应文件提交截止之日起</w:t>
      </w:r>
      <w:r>
        <w:rPr>
          <w:rFonts w:hint="eastAsia" w:ascii="宋体" w:hAnsi="宋体" w:cs="宋体"/>
          <w:bCs/>
          <w:color w:val="auto"/>
          <w:sz w:val="24"/>
          <w:highlight w:val="none"/>
          <w:u w:val="single"/>
        </w:rPr>
        <w:t xml:space="preserve">90</w:t>
      </w:r>
      <w:r>
        <w:rPr>
          <w:rFonts w:hint="eastAsia" w:ascii="宋体" w:hAnsi="宋体" w:cs="宋体"/>
          <w:bCs/>
          <w:color w:val="auto"/>
          <w:sz w:val="24"/>
          <w:highlight w:val="none"/>
        </w:rPr>
        <w:t xml:space="preserve">天内，磋商响应文件应保持有效。有效期短于这个规定期限的响应，将被拒绝。</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p>
    <w:p>
      <w:pPr>
        <w:numPr>
          <w:ilvl w:val="0"/>
          <w:numId w:val="3"/>
        </w:numPr>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磋商程序</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磋商小组</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采购代理机构负责组织评审工作；磋商小组由相关专家及采购人代表组成，且人员构成符合政府采购有关规定。磋商小组负责具体评审事务，并独立履行法律、法规规定的职责。</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磋商小组与参加采购活动的供应商存在下列利害关系之一的，应当回避：</w:t>
      </w:r>
      <w:r/>
    </w:p>
    <w:p>
      <w:pPr>
        <w:pStyle w:val="828"/>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①参加采购活动前三年内，与供应商存在劳动关系，或者担任过供应商的董事、监事，或者是供应商的控股股东或实际控制人；</w:t>
      </w:r>
      <w:r/>
    </w:p>
    <w:p>
      <w:pPr>
        <w:pStyle w:val="828"/>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②与供应商的法定代表人或者负责人有夫妻、直系血亲、三代以内旁系血亲或者近姻亲关系；</w:t>
      </w:r>
      <w:r/>
    </w:p>
    <w:p>
      <w:pPr>
        <w:pStyle w:val="828"/>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③与供应商有其他可能影响政府采购活动公平、公正进行的关系。</w:t>
      </w:r>
      <w:r/>
    </w:p>
    <w:p>
      <w:pPr>
        <w:pStyle w:val="828"/>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磋商小组成员应当按照客观、公正、审慎的原则，根据磋商文件规定的评审程序、评审方法和评审标准进行独立评审。</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响应文件审查</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由磋商小组按磋商文件的资格条件进行资格性审查，未通过资格性审查的响应无效。</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符合性审查：磋商小组应当对响应文件进行评审，未实质性响应磋商文件的响应文件按无效处理，磋商小组应当告知有关供应商。</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磋商</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磋商小组认为有必要与供应商进行磋商的，磋商供应商按顺序进行磋商。磋商小组所有成员应当集中与单一供应商分别进行磋商，并给予所有参加磋商的供应商平等的磋商机会。</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对磋商文件作出的实质性变动是磋商文件的有效组成部分，磋商小组应以书面形式记录具体变动内容并经采购人代表签字确认后及时以书面形式（通过“苏采云”系统）同时通知所有参加磋商的供应商。</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供应商应当在规定时间内按照磋商文件的变动情况和磋商小组的要求通过“苏采云”系统重新提交响应文件，并加盖CA电子公章。重新提交的响应文件按磋商文件进行评审。</w:t>
      </w:r>
      <w:r>
        <w:rPr>
          <w:rFonts w:hint="eastAsia" w:ascii="宋体" w:hAnsi="宋体" w:cs="宋体"/>
          <w:b/>
          <w:color w:val="auto"/>
          <w:sz w:val="24"/>
          <w:highlight w:val="none"/>
        </w:rPr>
        <w:t xml:space="preserve">未按要求重新提交响应文件的按响应无效处理。</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澄清</w:t>
      </w:r>
      <w:r/>
    </w:p>
    <w:p>
      <w:pPr>
        <w:pStyle w:val="828"/>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本项目采用线上澄清。</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color w:val="auto"/>
          <w:sz w:val="24"/>
          <w:highlight w:val="none"/>
        </w:rPr>
        <w:t xml:space="preserve">未加盖CA电子公章的澄清无效。</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接到磋商小组澄清、说明和更正要求的供应商如未按规定做出澄清、说明和更正，其风险由供应商自行承担。</w:t>
      </w:r>
      <w:r/>
    </w:p>
    <w:p>
      <w:pPr>
        <w:numPr>
          <w:ilvl w:val="1"/>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最后报价</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本项目采用线上最后报价。</w:t>
      </w:r>
      <w:r/>
    </w:p>
    <w:p>
      <w:pPr>
        <w:numPr>
          <w:ilvl w:val="2"/>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szCs w:val="24"/>
          <w:highlight w:val="none"/>
          <w:lang w:val="zh-CN"/>
        </w:rPr>
        <w:t xml:space="preserve">磋商结束后，磋商小组将在“苏采云”系统中向所有实质性响应的供应商发布“最后报价要求函”及分项报价表（如有），要求所有实质性响应的供应商在规定时间</w:t>
      </w:r>
      <w:r>
        <w:rPr>
          <w:rFonts w:hint="eastAsia" w:ascii="宋体" w:hAnsi="宋体" w:cs="宋体"/>
          <w:b/>
          <w:color w:val="auto"/>
          <w:sz w:val="24"/>
          <w:szCs w:val="24"/>
          <w:highlight w:val="none"/>
        </w:rPr>
        <w:t xml:space="preserve">（15分钟）</w:t>
      </w:r>
      <w:r>
        <w:rPr>
          <w:rFonts w:hint="eastAsia" w:ascii="宋体" w:hAnsi="宋体" w:cs="宋体"/>
          <w:b/>
          <w:color w:val="auto"/>
          <w:sz w:val="24"/>
          <w:szCs w:val="24"/>
          <w:highlight w:val="none"/>
          <w:lang w:val="zh-CN"/>
        </w:rPr>
        <w:t xml:space="preserve">内提交最后报价。（此处规定时间的计算以系统中的倒计时间为准）。</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因供应商自身原因导致线上报价失败的后果由供应商自行承担。</w:t>
      </w:r>
      <w:r/>
    </w:p>
    <w:p>
      <w:pPr>
        <w:numPr>
          <w:ilvl w:val="2"/>
          <w:numId w:val="3"/>
        </w:num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供应商未在磋商小组规定的时间（15分钟）内在“苏采云”系统中提交最后报价的视为放弃磋商，其响应文件按无效响应处理，提交最后报价须加盖CA电子签章,否则视为未提交最后报价。</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在提交最后报价之前，可以根据磋商情况退出磋商，并在“苏采云”系统中提交“退出磋商函”并加盖CA电子公章。</w:t>
      </w:r>
      <w:r/>
    </w:p>
    <w:p>
      <w:pPr>
        <w:numPr>
          <w:ilvl w:val="2"/>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如磋商过程中出现本磋商文件未尽事宜，由磋商小组根据政府采购有关法律、法规讨论决定。</w:t>
      </w:r>
      <w:r/>
    </w:p>
    <w:p>
      <w:pPr>
        <w:numPr>
          <w:ilvl w:val="0"/>
          <w:numId w:val="3"/>
        </w:numPr>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项目终止</w:t>
      </w:r>
      <w:r/>
    </w:p>
    <w:p>
      <w:pPr>
        <w:numPr>
          <w:ilvl w:val="1"/>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color w:val="auto"/>
          <w:sz w:val="24"/>
          <w:szCs w:val="24"/>
          <w:highlight w:val="none"/>
        </w:rPr>
        <w:t xml:space="preserve">出现下列情形之一的，采购人或者采购代理机构应当终止竞争性磋商采购活动，发布项目终止公告并说明原因，重新开展采购活动</w:t>
      </w:r>
      <w:r>
        <w:rPr>
          <w:rFonts w:hint="eastAsia" w:ascii="宋体" w:hAnsi="宋体" w:cs="宋体"/>
          <w:bCs/>
          <w:color w:val="auto"/>
          <w:sz w:val="24"/>
          <w:highlight w:val="none"/>
        </w:rPr>
        <w:t xml:space="preserve">：</w:t>
      </w:r>
      <w:r/>
    </w:p>
    <w:p>
      <w:pPr>
        <w:pStyle w:val="828"/>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①因情况变化，不再符合规定的竞争性磋商采购方式适用情形的；</w:t>
      </w:r>
      <w:r/>
    </w:p>
    <w:p>
      <w:pPr>
        <w:pStyle w:val="828"/>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②出现影响采购公正的违法、违规行为的；</w:t>
      </w:r>
      <w:r/>
    </w:p>
    <w:p>
      <w:pPr>
        <w:pStyle w:val="828"/>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③在采购过程中符合竞争要求的供应商或者报价未超过采购预算的供应商不足3家的，但符合《政府采购竞争性磋商采购方式管理暂行办法》第三条第四项的情形除外。</w:t>
      </w:r>
      <w:r/>
    </w:p>
    <w:p>
      <w:pPr>
        <w:numPr>
          <w:ilvl w:val="1"/>
          <w:numId w:val="3"/>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numPr>
          <w:ilvl w:val="0"/>
          <w:numId w:val="3"/>
        </w:numPr>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成交通知书</w:t>
      </w:r>
      <w:r/>
    </w:p>
    <w:p>
      <w:pPr>
        <w:numPr>
          <w:ilvl w:val="1"/>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确定出成交单位后，采购代理机构在法定时间内向成交单位发出成交通知书。成交通知书将成为合同的组成部分。</w:t>
      </w:r>
      <w:r/>
    </w:p>
    <w:p>
      <w:pPr>
        <w:numPr>
          <w:ilvl w:val="1"/>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请成交单位在成交结果公告届满之日起30日内,使用CA证书登录“苏采云”系统及时下载成交通知书。</w:t>
      </w:r>
      <w:r/>
    </w:p>
    <w:p>
      <w:pPr>
        <w:numPr>
          <w:ilvl w:val="1"/>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成交通知书发出后，采购人不得违法改变成交结果，成交供应商无正当理由不得放弃成交。</w:t>
      </w:r>
      <w:r/>
    </w:p>
    <w:p>
      <w:pPr>
        <w:numPr>
          <w:ilvl w:val="0"/>
          <w:numId w:val="3"/>
        </w:numPr>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履约保证金</w:t>
      </w:r>
      <w:r/>
    </w:p>
    <w:p>
      <w:pPr>
        <w:numPr>
          <w:ilvl w:val="1"/>
          <w:numId w:val="3"/>
        </w:numPr>
        <w:ind w:firstLine="480"/>
        <w:spacing w:line="360" w:lineRule="auto"/>
        <w:tabs>
          <w:tab w:val="left" w:pos="0" w:leader="none"/>
        </w:tabs>
        <w:rPr>
          <w:rFonts w:ascii="宋体" w:hAnsi="宋体" w:cs="宋体"/>
          <w:bCs/>
          <w:color w:val="auto"/>
          <w:sz w:val="24"/>
          <w:highlight w:val="none"/>
        </w:rPr>
      </w:pPr>
      <w:r/>
      <w:bookmarkStart w:id="51" w:name="_Hlk121218612"/>
      <w:r>
        <w:rPr>
          <w:rFonts w:hint="eastAsia" w:ascii="宋体" w:hAnsi="宋体" w:cs="宋体"/>
          <w:bCs/>
          <w:color w:val="auto"/>
          <w:sz w:val="24"/>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详见本采购文件合同文本中的约定。</w:t>
      </w:r>
      <w:bookmarkEnd w:id="51"/>
      <w:r/>
      <w:r/>
    </w:p>
    <w:p>
      <w:pPr>
        <w:numPr>
          <w:ilvl w:val="0"/>
          <w:numId w:val="3"/>
        </w:numPr>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合同</w:t>
      </w:r>
      <w:r/>
    </w:p>
    <w:p>
      <w:pPr>
        <w:numPr>
          <w:ilvl w:val="1"/>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采购人原则上应当自中标（成交）通知书发出之日起15日内（最迟30日内），按照磋商文件确定的合同文本以及采购标的、规格型号、采购金额、采购数量、技术和服务要求等事项签订政府采购合同。</w:t>
      </w:r>
      <w:r/>
    </w:p>
    <w:p>
      <w:pPr>
        <w:numPr>
          <w:ilvl w:val="1"/>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color w:val="auto"/>
          <w:sz w:val="24"/>
          <w:highlight w:val="none"/>
        </w:rPr>
        <w:t xml:space="preserve">本项目将根据政府采购法及相关法规，以及《江苏省政府采购履约验收管理办法》文件的规定，对供应商进行履约验收，确认验收合格的，将出具《政府采购履约验收书》。《政府采购履约验收书》、合同是申请支付政府采购合同价款的必备资料。</w:t>
      </w:r>
      <w:r/>
    </w:p>
    <w:p>
      <w:pPr>
        <w:numPr>
          <w:ilvl w:val="0"/>
          <w:numId w:val="3"/>
        </w:numPr>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服务费</w:t>
      </w:r>
      <w:r/>
    </w:p>
    <w:p>
      <w:pPr>
        <w:numPr>
          <w:ilvl w:val="1"/>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成交单位须按前附表的规定按其预算金额计算并支付服务费，该费用应在领取成交通知书时向采购代理机构付清。</w:t>
      </w:r>
      <w:r/>
    </w:p>
    <w:p>
      <w:pPr>
        <w:numPr>
          <w:ilvl w:val="1"/>
          <w:numId w:val="3"/>
        </w:num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成交单位如果未按规定缴纳服务费，代理机构保留诉讼的权利。</w:t>
      </w:r>
      <w:r/>
    </w:p>
    <w:p>
      <w:pPr>
        <w:numPr>
          <w:ilvl w:val="0"/>
          <w:numId w:val="3"/>
        </w:numPr>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未尽事宜</w:t>
      </w:r>
      <w:r/>
    </w:p>
    <w:p>
      <w:pPr>
        <w:pStyle w:val="828"/>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按《中华人民共和国政府采购法》及其他有关法律法规的规定执行。</w:t>
      </w:r>
      <w:r/>
    </w:p>
    <w:p>
      <w:pPr>
        <w:pStyle w:val="828"/>
        <w:rPr>
          <w:rFonts w:ascii="宋体" w:hAnsi="宋体" w:cs="宋体"/>
          <w:bCs/>
          <w:color w:val="auto"/>
          <w:highlight w:val="none"/>
        </w:rPr>
      </w:pPr>
      <w:r>
        <w:rPr>
          <w:rFonts w:ascii="宋体" w:hAnsi="宋体" w:cs="宋体"/>
          <w:bCs/>
          <w:color w:val="auto"/>
          <w:highlight w:val="none"/>
        </w:rPr>
      </w:r>
      <w:r/>
    </w:p>
    <w:p>
      <w:pPr>
        <w:pStyle w:val="828"/>
        <w:rPr>
          <w:rFonts w:ascii="宋体" w:hAnsi="宋体" w:cs="宋体"/>
          <w:bCs/>
          <w:color w:val="auto"/>
          <w:highlight w:val="none"/>
        </w:rPr>
      </w:pPr>
      <w:r>
        <w:rPr>
          <w:rFonts w:ascii="宋体" w:hAnsi="宋体" w:cs="宋体"/>
          <w:bCs/>
          <w:color w:val="auto"/>
          <w:highlight w:val="none"/>
        </w:rPr>
      </w:r>
      <w:r/>
    </w:p>
    <w:p>
      <w:pPr>
        <w:pStyle w:val="828"/>
        <w:rPr>
          <w:rFonts w:ascii="宋体" w:hAnsi="宋体" w:cs="宋体"/>
          <w:bCs/>
          <w:color w:val="auto"/>
          <w:highlight w:val="none"/>
        </w:rPr>
      </w:pPr>
      <w:r>
        <w:rPr>
          <w:rFonts w:ascii="宋体" w:hAnsi="宋体" w:cs="宋体"/>
          <w:bCs/>
          <w:color w:val="auto"/>
          <w:highlight w:val="none"/>
        </w:rPr>
      </w:r>
      <w:r/>
    </w:p>
    <w:p>
      <w:pPr>
        <w:rPr>
          <w:color w:val="auto"/>
          <w:highlight w:val="none"/>
        </w:rPr>
      </w:pPr>
      <w:r>
        <w:rPr>
          <w:color w:val="auto"/>
          <w:highlight w:val="none"/>
        </w:rPr>
        <w:br w:type="page" w:clear="all"/>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tabs>
          <w:tab w:val="left" w:pos="0" w:leader="none"/>
        </w:tabs>
        <w:rPr>
          <w:rFonts w:ascii="宋体" w:hAnsi="宋体"/>
          <w:color w:val="auto"/>
          <w:sz w:val="24"/>
          <w:highlight w:val="none"/>
        </w:rPr>
      </w:pPr>
      <w:r>
        <w:rPr>
          <w:rFonts w:ascii="宋体" w:hAnsi="宋体"/>
          <w:color w:val="auto"/>
          <w:sz w:val="24"/>
          <w:highlight w:val="none"/>
        </w:rPr>
      </w:r>
      <w:r/>
    </w:p>
    <w:p>
      <w:pPr>
        <w:jc w:val="left"/>
        <w:widowControl/>
        <w:rPr>
          <w:rFonts w:ascii="宋体" w:eastAsia="楷体_GB2312"/>
          <w:color w:val="auto"/>
          <w:sz w:val="26"/>
          <w:szCs w:val="20"/>
          <w:highlight w:val="none"/>
        </w:rPr>
      </w:pPr>
      <w:r>
        <w:rPr>
          <w:rFonts w:ascii="宋体" w:eastAsia="楷体_GB2312"/>
          <w:color w:val="auto"/>
          <w:sz w:val="26"/>
          <w:szCs w:val="20"/>
          <w:highlight w:val="none"/>
        </w:rPr>
      </w:r>
      <w:r/>
    </w:p>
    <w:p>
      <w:pPr>
        <w:jc w:val="center"/>
        <w:keepLines/>
        <w:keepNext/>
        <w:spacing w:before="340" w:after="330" w:line="578" w:lineRule="auto"/>
        <w:rPr>
          <w:b/>
          <w:bCs/>
          <w:color w:val="auto"/>
          <w:sz w:val="44"/>
          <w:szCs w:val="44"/>
          <w:highlight w:val="none"/>
        </w:rPr>
        <w:outlineLvl w:val="0"/>
      </w:pPr>
      <w:r/>
      <w:bookmarkStart w:id="52" w:name="_Toc514512744"/>
      <w:r/>
      <w:bookmarkStart w:id="53" w:name="_Toc5707"/>
      <w:r>
        <w:rPr>
          <w:rFonts w:hint="eastAsia"/>
          <w:b/>
          <w:bCs/>
          <w:color w:val="auto"/>
          <w:sz w:val="44"/>
          <w:szCs w:val="44"/>
          <w:highlight w:val="none"/>
        </w:rPr>
        <w:t xml:space="preserve">第三章、磋商响应文件格式</w:t>
      </w:r>
      <w:bookmarkEnd w:id="52"/>
      <w:r/>
      <w:bookmarkEnd w:id="53"/>
      <w:r/>
      <w:r/>
    </w:p>
    <w:p>
      <w:pPr>
        <w:rPr>
          <w:rFonts w:eastAsia="楷体_GB2312"/>
          <w:color w:val="auto"/>
          <w:sz w:val="26"/>
          <w:szCs w:val="20"/>
          <w:highlight w:val="none"/>
        </w:rPr>
      </w:pPr>
      <w:r>
        <w:rPr>
          <w:rFonts w:eastAsia="楷体_GB2312"/>
          <w:color w:val="auto"/>
          <w:sz w:val="26"/>
          <w:szCs w:val="20"/>
          <w:highlight w:val="none"/>
        </w:rPr>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说明：</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对本章所有的格式，磋商供应商可根据自身情况进行补充和修改，但补充和修改不得造成与本格式内容有实质性的违背。</w:t>
      </w:r>
      <w:r/>
    </w:p>
    <w:p>
      <w:pPr>
        <w:spacing w:line="360" w:lineRule="auto"/>
        <w:rPr>
          <w:rFonts w:ascii="宋体" w:hAnsi="宋体"/>
          <w:b/>
          <w:color w:val="auto"/>
          <w:szCs w:val="21"/>
          <w:highlight w:val="none"/>
        </w:rPr>
      </w:pPr>
      <w:r>
        <w:rPr>
          <w:rFonts w:ascii="宋体" w:hAnsi="宋体"/>
          <w:b/>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502"/>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jc w:val="left"/>
        <w:widowControl/>
        <w:rPr>
          <w:rFonts w:ascii="宋体" w:hAnsi="宋体" w:cs="宋体"/>
          <w:b/>
          <w:color w:val="auto"/>
          <w:sz w:val="24"/>
          <w:highlight w:val="none"/>
        </w:rPr>
      </w:pPr>
      <w:r>
        <w:rPr>
          <w:rFonts w:eastAsia="楷体_GB2312"/>
          <w:color w:val="auto"/>
          <w:sz w:val="26"/>
          <w:szCs w:val="20"/>
          <w:highlight w:val="none"/>
        </w:rPr>
        <w:br w:type="page" w:clear="all"/>
      </w:r>
      <w:r>
        <w:rPr>
          <w:rFonts w:hint="eastAsia" w:ascii="宋体" w:hAnsi="宋体" w:cs="宋体"/>
          <w:b/>
          <w:color w:val="auto"/>
          <w:sz w:val="24"/>
          <w:highlight w:val="none"/>
        </w:rPr>
        <w:t xml:space="preserve">格式1、开标一览表</w:t>
      </w:r>
      <w:r/>
    </w:p>
    <w:p>
      <w:pPr>
        <w:jc w:val="center"/>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开标一览表（总报价）</w:t>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投标人全称（加盖公章）：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w:t>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tbl>
      <w:tblPr>
        <w:tblStyle w:val="759"/>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项目总价（元）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投标报价（大写金额）</w:t>
            </w:r>
            <w:r/>
          </w:p>
        </w:tc>
      </w:tr>
    </w:tbl>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p>
      <w:pPr>
        <w:ind w:left="1024" w:right="300" w:firstLine="264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left="1024" w:right="300" w:firstLine="264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widowControl/>
        <w:rPr>
          <w:rFonts w:ascii="宋体" w:hAnsi="宋体"/>
          <w:b/>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right="30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left="1024" w:right="300" w:firstLine="264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p>
      <w:pPr>
        <w:ind w:right="-210"/>
        <w:jc w:val="right"/>
        <w:spacing w:line="360" w:lineRule="auto"/>
        <w:rPr>
          <w:rFonts w:ascii="宋体" w:hAnsi="宋体"/>
          <w:b/>
          <w:color w:val="auto"/>
          <w:szCs w:val="21"/>
          <w:highlight w:val="none"/>
        </w:rPr>
      </w:pPr>
      <w:r>
        <w:rPr>
          <w:rFonts w:ascii="宋体" w:hAnsi="宋体"/>
          <w:b/>
          <w:color w:val="auto"/>
          <w:szCs w:val="21"/>
          <w:highlight w:val="none"/>
        </w:rPr>
      </w:r>
      <w:r/>
    </w:p>
    <w:p>
      <w:pPr>
        <w:ind w:right="40"/>
        <w:spacing w:line="360" w:lineRule="auto"/>
        <w:widowControl/>
        <w:rPr>
          <w:rFonts w:ascii="宋体" w:hAnsi="Calibri" w:cs="宋体"/>
          <w:color w:val="auto"/>
          <w:sz w:val="22"/>
          <w:highlight w:val="none"/>
          <w:lang w:val="zh-CN"/>
        </w:rPr>
      </w:pPr>
      <w:r>
        <w:rPr>
          <w:rFonts w:ascii="宋体" w:hAnsi="Calibri" w:cs="宋体"/>
          <w:color w:val="auto"/>
          <w:sz w:val="22"/>
          <w:highlight w:val="none"/>
          <w:lang w:val="zh-CN"/>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格式2、磋商报价分析表</w:t>
      </w:r>
      <w:r/>
    </w:p>
    <w:p>
      <w:pPr>
        <w:pStyle w:val="982"/>
        <w:rPr>
          <w:rFonts w:ascii="宋体" w:hAnsi="宋体" w:cs="宋体"/>
          <w:b/>
          <w:color w:val="auto"/>
          <w:sz w:val="24"/>
          <w:highlight w:val="none"/>
        </w:rPr>
      </w:pPr>
      <w:r>
        <w:rPr>
          <w:rFonts w:ascii="宋体" w:hAnsi="宋体" w:cs="宋体"/>
          <w:b/>
          <w:color w:val="auto"/>
          <w:sz w:val="24"/>
          <w:highlight w:val="none"/>
        </w:rPr>
      </w:r>
      <w:r/>
    </w:p>
    <w:p>
      <w:pPr>
        <w:pStyle w:val="982"/>
        <w:ind w:left="0" w:firstLine="0"/>
        <w:jc w:val="center"/>
        <w:rPr>
          <w:rFonts w:ascii="宋体" w:hAnsi="宋体" w:cs="宋体"/>
          <w:b/>
          <w:color w:val="auto"/>
          <w:sz w:val="24"/>
          <w:highlight w:val="none"/>
        </w:rPr>
      </w:pPr>
      <w:r>
        <w:rPr>
          <w:rFonts w:hint="eastAsia" w:ascii="宋体" w:hAnsi="宋体" w:cs="宋体"/>
          <w:b/>
          <w:color w:val="auto"/>
          <w:sz w:val="24"/>
          <w:highlight w:val="none"/>
        </w:rPr>
        <w:t xml:space="preserve">磋商报价分析表</w:t>
      </w:r>
      <w:r/>
    </w:p>
    <w:tbl>
      <w:tblPr>
        <w:tblStyle w:val="75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575"/>
        <w:gridCol w:w="2313"/>
        <w:gridCol w:w="873"/>
        <w:gridCol w:w="859"/>
        <w:gridCol w:w="1410"/>
        <w:gridCol w:w="1264"/>
        <w:gridCol w:w="1261"/>
      </w:tblGrid>
      <w:tr>
        <w:trPr>
          <w:cantSplit/>
          <w:jc w:val="center"/>
          <w:trHeight w:val="523"/>
        </w:trPr>
        <w:tc>
          <w:tcPr>
            <w:tcW w:w="336"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352"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510"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502"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824"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单价（元）</w:t>
            </w:r>
            <w:r/>
          </w:p>
        </w:tc>
        <w:tc>
          <w:tcPr>
            <w:tcW w:w="739"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总价（元）</w:t>
            </w:r>
            <w:r/>
          </w:p>
        </w:tc>
        <w:tc>
          <w:tcPr>
            <w:tcW w:w="735" w:type="pct"/>
            <w:vAlign w:val="center"/>
            <w:textDirection w:val="lrTb"/>
            <w:noWrap w:val="false"/>
          </w:tcPr>
          <w:p>
            <w:pPr>
              <w:jc w:val="center"/>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备注</w:t>
            </w:r>
            <w:r/>
          </w:p>
        </w:tc>
      </w:tr>
      <w:tr>
        <w:trPr>
          <w:cantSplit/>
          <w:jc w:val="center"/>
          <w:trHeight w:val="523"/>
        </w:trPr>
        <w:tc>
          <w:tcPr>
            <w:tcW w:w="336" w:type="pct"/>
            <w:vAlign w:val="center"/>
            <w:textDirection w:val="lrTb"/>
            <w:noWrap w:val="false"/>
          </w:tcPr>
          <w:p>
            <w:pPr>
              <w:jc w:val="center"/>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w:t>
            </w:r>
            <w:r/>
          </w:p>
        </w:tc>
        <w:tc>
          <w:tcPr>
            <w:tcW w:w="1352" w:type="pct"/>
            <w:vAlign w:val="center"/>
            <w:textDirection w:val="lrTb"/>
            <w:noWrap w:val="false"/>
          </w:tcPr>
          <w:p>
            <w:pPr>
              <w:jc w:val="center"/>
              <w:spacing w:before="100" w:beforeAutospacing="1" w:after="100" w:afterAutospacing="1"/>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502"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824"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739"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735"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r>
      <w:tr>
        <w:trPr>
          <w:cantSplit/>
          <w:jc w:val="center"/>
          <w:trHeight w:val="523"/>
        </w:trPr>
        <w:tc>
          <w:tcPr>
            <w:tcW w:w="336" w:type="pct"/>
            <w:vAlign w:val="center"/>
            <w:textDirection w:val="lrTb"/>
            <w:noWrap w:val="false"/>
          </w:tcPr>
          <w:p>
            <w:pPr>
              <w:jc w:val="center"/>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2</w:t>
            </w:r>
            <w:r/>
          </w:p>
        </w:tc>
        <w:tc>
          <w:tcPr>
            <w:tcW w:w="1352" w:type="pct"/>
            <w:vAlign w:val="center"/>
            <w:textDirection w:val="lrTb"/>
            <w:noWrap w:val="false"/>
          </w:tcPr>
          <w:p>
            <w:pPr>
              <w:jc w:val="center"/>
              <w:spacing w:before="100" w:beforeAutospacing="1" w:after="100" w:afterAutospacing="1"/>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502"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824"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739"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735"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r>
      <w:tr>
        <w:trPr>
          <w:cantSplit/>
          <w:jc w:val="center"/>
          <w:trHeight w:val="523"/>
        </w:trPr>
        <w:tc>
          <w:tcPr>
            <w:tcW w:w="336" w:type="pct"/>
            <w:vAlign w:val="center"/>
            <w:textDirection w:val="lrTb"/>
            <w:noWrap w:val="false"/>
          </w:tcPr>
          <w:p>
            <w:pPr>
              <w:jc w:val="center"/>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3</w:t>
            </w:r>
            <w:r/>
          </w:p>
        </w:tc>
        <w:tc>
          <w:tcPr>
            <w:tcW w:w="1352" w:type="pct"/>
            <w:vAlign w:val="center"/>
            <w:textDirection w:val="lrTb"/>
            <w:noWrap w:val="false"/>
          </w:tcPr>
          <w:p>
            <w:pPr>
              <w:jc w:val="center"/>
              <w:spacing w:before="100" w:beforeAutospacing="1" w:after="100" w:afterAutospacing="1"/>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502"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824"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739"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735"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r>
      <w:tr>
        <w:trPr>
          <w:cantSplit/>
          <w:jc w:val="center"/>
          <w:trHeight w:val="524"/>
        </w:trPr>
        <w:tc>
          <w:tcPr>
            <w:tcW w:w="336" w:type="pct"/>
            <w:vAlign w:val="center"/>
            <w:textDirection w:val="lrTb"/>
            <w:noWrap w:val="false"/>
          </w:tcPr>
          <w:p>
            <w:pPr>
              <w:jc w:val="center"/>
              <w:rPr>
                <w:rFonts w:ascii="宋体" w:hAnsi="宋体" w:cs="仿宋_GB2312"/>
                <w:color w:val="auto"/>
                <w:sz w:val="24"/>
                <w:szCs w:val="24"/>
                <w:highlight w:val="none"/>
              </w:rPr>
            </w:pPr>
            <w:r>
              <w:rPr>
                <w:rFonts w:hint="eastAsia" w:ascii="宋体" w:hAnsi="宋体"/>
                <w:color w:val="auto"/>
                <w:sz w:val="24"/>
                <w:szCs w:val="24"/>
                <w:highlight w:val="none"/>
              </w:rPr>
              <w:t xml:space="preserve">……</w:t>
            </w:r>
            <w:r/>
          </w:p>
        </w:tc>
        <w:tc>
          <w:tcPr>
            <w:tcW w:w="1352"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510"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502"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824"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739"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735"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r>
      <w:tr>
        <w:trPr>
          <w:cantSplit/>
          <w:jc w:val="center"/>
          <w:trHeight w:val="523"/>
        </w:trPr>
        <w:tc>
          <w:tcPr>
            <w:tcW w:w="336"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1352"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510"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502"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824"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739"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735"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r>
      <w:tr>
        <w:trPr>
          <w:cantSplit/>
          <w:jc w:val="center"/>
          <w:trHeight w:val="523"/>
        </w:trPr>
        <w:tc>
          <w:tcPr>
            <w:tcW w:w="336"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1352"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502"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824"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739"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735"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r>
      <w:tr>
        <w:trPr>
          <w:cantSplit/>
          <w:jc w:val="center"/>
          <w:trHeight w:val="523"/>
        </w:trPr>
        <w:tc>
          <w:tcPr>
            <w:tcW w:w="336"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1352"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502"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824"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739"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c>
          <w:tcPr>
            <w:tcW w:w="735" w:type="pct"/>
            <w:vAlign w:val="center"/>
            <w:textDirection w:val="lrTb"/>
            <w:noWrap w:val="false"/>
          </w:tcPr>
          <w:p>
            <w:pPr>
              <w:jc w:val="center"/>
              <w:rPr>
                <w:rFonts w:ascii="宋体" w:hAnsi="宋体" w:cs="仿宋_GB2312"/>
                <w:color w:val="auto"/>
                <w:sz w:val="24"/>
                <w:szCs w:val="24"/>
                <w:highlight w:val="none"/>
              </w:rPr>
            </w:pPr>
            <w:r>
              <w:rPr>
                <w:rFonts w:ascii="宋体" w:hAnsi="宋体" w:cs="仿宋_GB2312"/>
                <w:color w:val="auto"/>
                <w:sz w:val="24"/>
                <w:szCs w:val="24"/>
                <w:highlight w:val="none"/>
              </w:rPr>
            </w:r>
            <w:r/>
          </w:p>
        </w:tc>
      </w:tr>
      <w:tr>
        <w:trPr>
          <w:cantSplit/>
          <w:jc w:val="center"/>
          <w:trHeight w:val="523"/>
        </w:trPr>
        <w:tc>
          <w:tcPr>
            <w:gridSpan w:val="7"/>
            <w:tcW w:w="5000" w:type="pct"/>
            <w:vAlign w:val="center"/>
            <w:textDirection w:val="lrTb"/>
            <w:noWrap w:val="false"/>
          </w:tcPr>
          <w:p>
            <w:pPr>
              <w:jc w:val="left"/>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合计：人民币</w:t>
            </w:r>
            <w:r>
              <w:rPr>
                <w:rFonts w:hint="eastAsia" w:ascii="宋体" w:hAnsi="宋体" w:cs="仿宋_GB2312"/>
                <w:color w:val="auto"/>
                <w:sz w:val="24"/>
                <w:szCs w:val="24"/>
                <w:highlight w:val="none"/>
                <w:u w:val="single"/>
              </w:rPr>
              <w:t xml:space="preserve">（大写）                 ；￥：（小写）         </w:t>
            </w:r>
            <w:r>
              <w:rPr>
                <w:rFonts w:hint="eastAsia" w:ascii="宋体" w:hAnsi="宋体" w:cs="仿宋_GB2312"/>
                <w:color w:val="auto"/>
                <w:sz w:val="24"/>
                <w:szCs w:val="24"/>
                <w:highlight w:val="none"/>
              </w:rPr>
              <w:t xml:space="preserve">。</w:t>
            </w:r>
            <w:r/>
          </w:p>
        </w:tc>
      </w:tr>
    </w:tbl>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注：1.《磋商报价分析表》合计金额应与《开标一览表》的</w:t>
      </w:r>
      <w:r>
        <w:rPr>
          <w:rFonts w:hint="eastAsia" w:ascii="宋体" w:hAnsi="宋体"/>
          <w:color w:val="auto"/>
          <w:sz w:val="24"/>
          <w:szCs w:val="24"/>
          <w:highlight w:val="none"/>
        </w:rPr>
        <w:t xml:space="preserve">总报价</w:t>
      </w:r>
      <w:r>
        <w:rPr>
          <w:rFonts w:hint="eastAsia" w:ascii="宋体" w:hAnsi="宋体" w:cs="宋体"/>
          <w:bCs/>
          <w:color w:val="auto"/>
          <w:sz w:val="24"/>
          <w:szCs w:val="24"/>
          <w:highlight w:val="none"/>
        </w:rPr>
        <w:t xml:space="preserve">一致，否则以开标一览表为准。</w:t>
      </w:r>
      <w:r/>
    </w:p>
    <w:p>
      <w:pPr>
        <w:ind w:firstLine="480"/>
        <w:spacing w:line="360" w:lineRule="auto"/>
        <w:rPr>
          <w:rFonts w:ascii="宋体" w:hAnsi="宋体" w:cs="宋体"/>
          <w:color w:val="auto"/>
          <w:sz w:val="24"/>
          <w:szCs w:val="24"/>
          <w:highlight w:val="none"/>
          <w:lang w:val="zh-CN"/>
        </w:rPr>
      </w:pPr>
      <w:r>
        <w:rPr>
          <w:rFonts w:hint="eastAsia" w:ascii="宋体" w:hAnsi="宋体" w:cs="宋体"/>
          <w:bCs/>
          <w:color w:val="auto"/>
          <w:sz w:val="24"/>
          <w:szCs w:val="24"/>
          <w:highlight w:val="none"/>
        </w:rPr>
        <w:t xml:space="preserve">2.响应单位可自行添加表格中项目明细的内容。</w:t>
      </w:r>
      <w:r/>
    </w:p>
    <w:p>
      <w:pPr>
        <w:ind w:firstLine="48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ind w:right="615"/>
        <w:jc w:val="left"/>
        <w:spacing w:line="400" w:lineRule="exact"/>
        <w:widowControl/>
        <w:rPr>
          <w:rFonts w:ascii="宋体" w:hAnsi="宋体" w:cs="宋体"/>
          <w:color w:val="auto"/>
          <w:szCs w:val="21"/>
          <w:highlight w:val="none"/>
        </w:rPr>
      </w:pPr>
      <w:r>
        <w:rPr>
          <w:rFonts w:ascii="宋体" w:hAnsi="宋体"/>
          <w:b/>
          <w:color w:val="auto"/>
          <w:szCs w:val="21"/>
          <w:highlight w:val="none"/>
        </w:rPr>
        <w:br w:type="page" w:clear="all"/>
      </w:r>
      <w:r>
        <w:rPr>
          <w:rFonts w:hint="eastAsia" w:ascii="宋体" w:hAnsi="宋体" w:cs="宋体"/>
          <w:b/>
          <w:color w:val="auto"/>
          <w:sz w:val="24"/>
          <w:highlight w:val="none"/>
        </w:rPr>
        <w:t xml:space="preserve">格式3、法定代表人授权委托书</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2"/>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法定代表人授权委托书</w:t>
      </w:r>
      <w:r/>
    </w:p>
    <w:p>
      <w:pPr>
        <w:pStyle w:val="982"/>
        <w:rPr>
          <w:color w:val="auto"/>
          <w:highlight w:val="none"/>
        </w:rPr>
      </w:pP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（供应单位名称）</w:t>
      </w:r>
      <w:r>
        <w:rPr>
          <w:rFonts w:hint="eastAsia" w:ascii="宋体" w:hAnsi="宋体"/>
          <w:color w:val="auto"/>
          <w:sz w:val="24"/>
          <w:highlight w:val="none"/>
        </w:rPr>
        <w:t xml:space="preserve">的法定代表人，现授权委托</w:t>
      </w:r>
      <w:r>
        <w:rPr>
          <w:rFonts w:hint="eastAsia" w:ascii="宋体" w:hAnsi="宋体"/>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为我公司代理人，以本公司的名义参加苏州乐慧招投标咨询有限公司组织实施的编号为</w:t>
      </w:r>
      <w:r>
        <w:rPr>
          <w:rFonts w:ascii="宋体" w:hAnsi="宋体"/>
          <w:color w:val="auto"/>
          <w:sz w:val="24"/>
          <w:highlight w:val="none"/>
          <w:u w:val="single"/>
        </w:rPr>
        <w:t xml:space="preserve">                  </w:t>
      </w:r>
      <w:r>
        <w:rPr>
          <w:rFonts w:hint="eastAsia" w:ascii="宋体" w:hAnsi="宋体"/>
          <w:color w:val="auto"/>
          <w:sz w:val="24"/>
          <w:highlight w:val="none"/>
        </w:rPr>
        <w:t xml:space="preserve">号的竞争性磋商采购活动。代理人在磋商活动过程中所签署的一切文件和处理与这有关的一切事务，我均予以承认。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被授权人身份证号码：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被授权人联系电话：（手机）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2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代理人：（签字或盖章）</w:t>
      </w:r>
      <w:r/>
    </w:p>
    <w:p>
      <w:pPr>
        <w:spacing w:line="360" w:lineRule="auto"/>
        <w:rPr>
          <w:rFonts w:ascii="宋体" w:hAnsi="宋体"/>
          <w:color w:val="auto"/>
          <w:sz w:val="26"/>
          <w:highlight w:val="none"/>
        </w:rPr>
      </w:pPr>
      <w:r>
        <w:rPr>
          <w:rFonts w:hint="eastAsia" w:ascii="宋体" w:hAnsi="宋体"/>
          <w:color w:val="auto"/>
          <w:sz w:val="24"/>
          <w:highlight w:val="none"/>
        </w:rPr>
        <w:t xml:space="preserve">日期：</w:t>
      </w:r>
      <w:r>
        <w:rPr>
          <w:rFonts w:hint="eastAsia" w:ascii="宋体" w:hAnsi="宋体"/>
          <w:color w:val="auto"/>
          <w:sz w:val="26"/>
          <w:highlight w:val="none"/>
        </w:rPr>
        <w:t xml:space="preserve">　　　　　年　　</w:t>
      </w:r>
      <w:r>
        <w:rPr>
          <w:rFonts w:ascii="宋体" w:hAnsi="宋体"/>
          <w:color w:val="auto"/>
          <w:sz w:val="26"/>
          <w:highlight w:val="none"/>
        </w:rPr>
        <w:t xml:space="preserve">  月　　  日</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982"/>
        <w:rPr>
          <w:color w:val="auto"/>
          <w:highlight w:val="none"/>
        </w:rPr>
      </w:pPr>
      <w:r>
        <w:rPr>
          <w:color w:val="auto"/>
          <w:highlight w:val="none"/>
        </w:rPr>
      </w:r>
      <w:r/>
    </w:p>
    <w:p>
      <w:pPr>
        <w:pStyle w:val="982"/>
        <w:rPr>
          <w:color w:val="auto"/>
          <w:highlight w:val="none"/>
        </w:rPr>
      </w:pPr>
      <w:r>
        <w:rPr>
          <w:color w:val="auto"/>
          <w:highlight w:val="none"/>
        </w:rPr>
      </w:r>
      <w:r/>
    </w:p>
    <w:p>
      <w:pPr>
        <w:pStyle w:val="982"/>
        <w:rPr>
          <w:color w:val="auto"/>
          <w:highlight w:val="none"/>
        </w:rPr>
      </w:pPr>
      <w:r>
        <w:rPr>
          <w:color w:val="auto"/>
          <w:highlight w:val="none"/>
        </w:rPr>
      </w:r>
      <w:r/>
    </w:p>
    <w:p>
      <w:pPr>
        <w:spacing w:line="350" w:lineRule="auto"/>
        <w:rPr>
          <w:rFonts w:ascii="宋体" w:hAnsi="宋体" w:cs="宋体"/>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格式4、磋商响应函</w:t>
      </w:r>
      <w:r/>
    </w:p>
    <w:p>
      <w:pPr>
        <w:ind w:firstLine="3489"/>
        <w:jc w:val="left"/>
        <w:rPr>
          <w:rFonts w:ascii="宋体" w:hAnsi="宋体"/>
          <w:b/>
          <w:color w:val="auto"/>
          <w:sz w:val="24"/>
          <w:highlight w:val="none"/>
        </w:rPr>
        <w:outlineLvl w:val="1"/>
      </w:pPr>
      <w:r>
        <w:rPr>
          <w:rFonts w:hint="eastAsia" w:ascii="宋体" w:hAnsi="宋体"/>
          <w:b/>
          <w:color w:val="auto"/>
          <w:sz w:val="24"/>
          <w:highlight w:val="none"/>
        </w:rPr>
        <w:t xml:space="preserve">磋商响应函</w:t>
      </w:r>
      <w:r/>
    </w:p>
    <w:p>
      <w:pPr>
        <w:jc w:val="left"/>
        <w:rPr>
          <w:rFonts w:ascii="宋体" w:hAnsi="宋体"/>
          <w:b/>
          <w:color w:val="auto"/>
          <w:sz w:val="24"/>
          <w:highlight w:val="none"/>
        </w:rPr>
        <w:outlineLvl w:val="1"/>
      </w:pPr>
      <w:r>
        <w:rPr>
          <w:rFonts w:ascii="宋体" w:hAnsi="宋体"/>
          <w:color w:val="auto"/>
          <w:sz w:val="24"/>
          <w:highlight w:val="none"/>
          <w:u w:val="single"/>
        </w:rPr>
        <w:t xml:space="preserve">                </w:t>
      </w:r>
      <w:r>
        <w:rPr>
          <w:rFonts w:hint="eastAsia" w:ascii="宋体" w:hAnsi="宋体"/>
          <w:b/>
          <w:color w:val="auto"/>
          <w:sz w:val="24"/>
          <w:highlight w:val="none"/>
        </w:rPr>
        <w:t xml:space="preserve">：</w:t>
      </w:r>
      <w:r/>
    </w:p>
    <w:p>
      <w:pPr>
        <w:ind w:firstLine="480"/>
        <w:rPr>
          <w:rFonts w:ascii="宋体" w:hAnsi="宋体"/>
          <w:color w:val="auto"/>
          <w:sz w:val="24"/>
          <w:highlight w:val="none"/>
        </w:rPr>
      </w:pPr>
      <w:r>
        <w:rPr>
          <w:rFonts w:hint="eastAsia" w:ascii="宋体" w:hAnsi="宋体"/>
          <w:color w:val="auto"/>
          <w:sz w:val="24"/>
          <w:highlight w:val="none"/>
        </w:rPr>
        <w:t xml:space="preserve">我们收到贵公司</w:t>
      </w:r>
      <w:r>
        <w:rPr>
          <w:rFonts w:ascii="宋体" w:hAnsi="宋体"/>
          <w:color w:val="auto"/>
          <w:sz w:val="24"/>
          <w:highlight w:val="none"/>
          <w:u w:val="single"/>
        </w:rPr>
        <w:t xml:space="preserve">             </w:t>
      </w:r>
      <w:r>
        <w:rPr>
          <w:rFonts w:hint="eastAsia" w:ascii="宋体" w:hAnsi="宋体"/>
          <w:color w:val="auto"/>
          <w:sz w:val="24"/>
          <w:highlight w:val="none"/>
        </w:rPr>
        <w:t xml:space="preserve">号采购文件，经仔细阅读和研究，我们决定参加磋商活动。</w:t>
      </w:r>
      <w:r/>
    </w:p>
    <w:p>
      <w:pPr>
        <w:ind w:firstLine="480"/>
        <w:rPr>
          <w:rFonts w:ascii="宋体" w:hAnsi="宋体"/>
          <w:color w:val="auto"/>
          <w:sz w:val="24"/>
          <w:highlight w:val="none"/>
        </w:rPr>
      </w:pPr>
      <w:r>
        <w:rPr>
          <w:rFonts w:ascii="宋体" w:hAnsi="宋体"/>
          <w:color w:val="auto"/>
          <w:sz w:val="24"/>
          <w:highlight w:val="none"/>
        </w:rPr>
        <w:t xml:space="preserve">1、我们愿意按照采购文件的一切要求，提供完成该项目的全部内容，我们的</w:t>
      </w:r>
      <w:r>
        <w:rPr>
          <w:rFonts w:hint="eastAsia" w:ascii="宋体" w:hAnsi="宋体"/>
          <w:color w:val="auto"/>
          <w:sz w:val="24"/>
          <w:highlight w:val="none"/>
        </w:rPr>
        <w:t xml:space="preserve">总报价包括完成该项工作所需的全部服务和货物的报价包括劳务、材料、耗材、分析、专利、知识产权、配套费用、设备、工具、保险、劳保、代理服务费、税费及服务相关等所发生的全部费用以及企业利润、税金和政策性文件规定及合同包含的所有风险、责任等各项应有费用。供应商应将所有费用在合同实施期间因市场变化因素而变动进行调整的情况包含在内，采购人不再为此承担任何费用和责任，除非因特殊原因并经双方协商同意，供应商不得再要求追加任何费用</w:t>
      </w:r>
      <w:r>
        <w:rPr>
          <w:rFonts w:ascii="宋体" w:hAnsi="宋体"/>
          <w:color w:val="auto"/>
          <w:sz w:val="24"/>
          <w:highlight w:val="none"/>
        </w:rPr>
        <w:t xml:space="preserve">。</w:t>
      </w:r>
      <w:r/>
    </w:p>
    <w:p>
      <w:pPr>
        <w:ind w:firstLine="480"/>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、如果我们的磋商响应文件被接受，我们将严格履行采购文件中规定的每一项要求，按期、按质、按量履行合同的义务。</w:t>
      </w:r>
      <w:r/>
    </w:p>
    <w:p>
      <w:pPr>
        <w:ind w:firstLine="480"/>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、我们已</w:t>
      </w:r>
      <w:r>
        <w:rPr>
          <w:rFonts w:ascii="宋体" w:hAnsi="宋体"/>
          <w:color w:val="auto"/>
          <w:sz w:val="24"/>
          <w:highlight w:val="none"/>
        </w:rPr>
        <w:t xml:space="preserve">详细审查全部</w:t>
      </w:r>
      <w:r>
        <w:rPr>
          <w:rFonts w:hint="eastAsia" w:ascii="宋体" w:hAnsi="宋体"/>
          <w:color w:val="auto"/>
          <w:sz w:val="24"/>
          <w:highlight w:val="none"/>
        </w:rPr>
        <w:t xml:space="preserve">采购</w:t>
      </w:r>
      <w:r>
        <w:rPr>
          <w:rFonts w:ascii="宋体" w:hAnsi="宋体"/>
          <w:color w:val="auto"/>
          <w:sz w:val="24"/>
          <w:highlight w:val="none"/>
        </w:rPr>
        <w:t xml:space="preserve">文件，包括</w:t>
      </w:r>
      <w:r>
        <w:rPr>
          <w:rFonts w:hint="eastAsia" w:ascii="宋体" w:hAnsi="宋体"/>
          <w:color w:val="auto"/>
          <w:sz w:val="24"/>
          <w:highlight w:val="none"/>
        </w:rPr>
        <w:t xml:space="preserve">补充文件</w:t>
      </w:r>
      <w:r>
        <w:rPr>
          <w:rFonts w:ascii="宋体" w:hAnsi="宋体"/>
          <w:color w:val="auto"/>
          <w:sz w:val="24"/>
          <w:highlight w:val="none"/>
        </w:rPr>
        <w:t xml:space="preserve">(如</w:t>
      </w:r>
      <w:r>
        <w:rPr>
          <w:rFonts w:hint="eastAsia" w:ascii="宋体" w:hAnsi="宋体"/>
          <w:color w:val="auto"/>
          <w:sz w:val="24"/>
          <w:highlight w:val="none"/>
        </w:rPr>
        <w:t xml:space="preserve">有</w:t>
      </w:r>
      <w:r>
        <w:rPr>
          <w:rFonts w:ascii="宋体" w:hAnsi="宋体"/>
          <w:color w:val="auto"/>
          <w:sz w:val="24"/>
          <w:highlight w:val="none"/>
        </w:rPr>
        <w:t xml:space="preserve">)。我们完全理解并同意放弃对这方面有不明及误解的权力。</w:t>
      </w:r>
      <w:r/>
    </w:p>
    <w:p>
      <w:pPr>
        <w:ind w:firstLine="480"/>
        <w:rPr>
          <w:rFonts w:ascii="宋体" w:hAnsi="宋体"/>
          <w:color w:val="auto"/>
          <w:sz w:val="24"/>
          <w:highlight w:val="none"/>
        </w:rPr>
      </w:pPr>
      <w:r>
        <w:rPr>
          <w:rFonts w:ascii="宋体" w:hAnsi="宋体"/>
          <w:color w:val="auto"/>
          <w:sz w:val="24"/>
          <w:highlight w:val="none"/>
        </w:rPr>
        <w:t xml:space="preserve">4、我们同意按采购文件中的规定，本磋商响应文件的有效期限为</w:t>
      </w:r>
      <w:r>
        <w:rPr>
          <w:rFonts w:hint="eastAsia" w:ascii="宋体" w:hAnsi="宋体"/>
          <w:color w:val="auto"/>
          <w:sz w:val="24"/>
          <w:highlight w:val="none"/>
        </w:rPr>
        <w:t xml:space="preserve">响应文件提交截止之日起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天。</w:t>
      </w:r>
      <w:r/>
    </w:p>
    <w:p>
      <w:pPr>
        <w:ind w:firstLine="480"/>
        <w:rPr>
          <w:rFonts w:ascii="宋体" w:hAnsi="宋体"/>
          <w:color w:val="auto"/>
          <w:sz w:val="24"/>
          <w:highlight w:val="none"/>
        </w:rPr>
      </w:pPr>
      <w:r>
        <w:rPr>
          <w:rFonts w:ascii="宋体" w:hAnsi="宋体"/>
          <w:color w:val="auto"/>
          <w:sz w:val="24"/>
          <w:highlight w:val="none"/>
        </w:rPr>
        <w:t xml:space="preserve">5、我们愿意提供磋商采购单位在采购文件中要求的所有资料。</w:t>
      </w:r>
      <w:r/>
    </w:p>
    <w:p>
      <w:pPr>
        <w:ind w:firstLine="480"/>
        <w:rPr>
          <w:rFonts w:ascii="宋体" w:hAnsi="宋体"/>
          <w:color w:val="auto"/>
          <w:sz w:val="24"/>
          <w:highlight w:val="none"/>
        </w:rPr>
      </w:pPr>
      <w:r>
        <w:rPr>
          <w:rFonts w:ascii="宋体" w:hAnsi="宋体"/>
          <w:color w:val="auto"/>
          <w:sz w:val="24"/>
          <w:highlight w:val="none"/>
        </w:rPr>
        <w:t xml:space="preserve">6、我们愿意遵守采购文件中所列的收费标准。</w:t>
      </w:r>
      <w:r/>
    </w:p>
    <w:p>
      <w:pPr>
        <w:ind w:firstLine="480"/>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我们承诺该磋商响应文件在磋商开始后的全过程中保持有效，不作任何更改和变动。</w:t>
      </w:r>
      <w:r/>
    </w:p>
    <w:p>
      <w:pPr>
        <w:ind w:firstLine="480"/>
        <w:rPr>
          <w:rFonts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我们承诺我公司符合采购文件中“合格磋商供应商的一般条件和特殊条件”的要求，若与真实情况不符，本公司愿意承担由此而产生的一切后果。</w:t>
      </w:r>
      <w:r/>
    </w:p>
    <w:p>
      <w:pPr>
        <w:ind w:firstLine="480"/>
        <w:rPr>
          <w:rFonts w:ascii="宋体" w:hAnsi="宋体"/>
          <w:color w:val="auto"/>
          <w:sz w:val="24"/>
          <w:highlight w:val="none"/>
        </w:rPr>
      </w:pPr>
      <w:r>
        <w:rPr>
          <w:rFonts w:ascii="宋体" w:hAnsi="宋体"/>
          <w:color w:val="auto"/>
          <w:sz w:val="24"/>
          <w:highlight w:val="none"/>
        </w:rPr>
        <w:t xml:space="preserve">9、我们声明：我们在参加本次政府采购活动前3年内在经营活动中没有重大违法记录。</w:t>
      </w:r>
      <w:r/>
    </w:p>
    <w:p>
      <w:pPr>
        <w:ind w:firstLine="480"/>
        <w:rPr>
          <w:rFonts w:ascii="宋体" w:hAnsi="宋体"/>
          <w:color w:val="auto"/>
          <w:sz w:val="24"/>
          <w:highlight w:val="none"/>
        </w:rPr>
      </w:pPr>
      <w:r>
        <w:rPr>
          <w:rFonts w:ascii="宋体" w:hAnsi="宋体"/>
          <w:color w:val="auto"/>
          <w:sz w:val="24"/>
          <w:highlight w:val="none"/>
        </w:rPr>
        <w:t xml:space="preserve">10、综合说明：</w:t>
      </w:r>
      <w:r/>
    </w:p>
    <w:p>
      <w:pPr>
        <w:ind w:firstLine="480"/>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80"/>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）对采购文件有不同意见的偏离说明；（</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ind w:firstLine="480"/>
        <w:rPr>
          <w:rFonts w:ascii="宋体" w:hAnsi="宋体"/>
          <w:color w:val="auto"/>
          <w:sz w:val="24"/>
          <w:highlight w:val="none"/>
        </w:rPr>
      </w:pPr>
      <w:r>
        <w:rPr>
          <w:rFonts w:hint="eastAsia" w:ascii="宋体" w:hAnsi="宋体"/>
          <w:color w:val="auto"/>
          <w:sz w:val="24"/>
          <w:highlight w:val="none"/>
        </w:rPr>
        <w:t xml:space="preserve">所有有关磋商响应文件的函电，请按下列地址联系：</w:t>
      </w:r>
      <w:r/>
    </w:p>
    <w:p>
      <w:pPr>
        <w:ind w:firstLine="480"/>
        <w:rPr>
          <w:rFonts w:ascii="宋体" w:hAnsi="宋体"/>
          <w:color w:val="auto"/>
          <w:sz w:val="24"/>
          <w:highlight w:val="none"/>
        </w:rPr>
      </w:pPr>
      <w:r>
        <w:rPr>
          <w:rFonts w:hint="eastAsia" w:ascii="宋体" w:hAnsi="宋体"/>
          <w:color w:val="auto"/>
          <w:sz w:val="24"/>
          <w:highlight w:val="none"/>
        </w:rPr>
        <w:t xml:space="preserve">单位：</w:t>
      </w:r>
      <w:r>
        <w:rPr>
          <w:rFonts w:ascii="宋体" w:hAnsi="宋体"/>
          <w:color w:val="auto"/>
          <w:sz w:val="24"/>
          <w:highlight w:val="none"/>
        </w:rPr>
        <w:t xml:space="preserve">                             </w:t>
      </w:r>
      <w:r>
        <w:rPr>
          <w:rFonts w:hint="eastAsia" w:ascii="宋体" w:hAnsi="宋体"/>
          <w:color w:val="auto"/>
          <w:sz w:val="24"/>
          <w:highlight w:val="none"/>
        </w:rPr>
        <w:t xml:space="preserve">联系人：</w:t>
      </w:r>
      <w:r/>
    </w:p>
    <w:p>
      <w:pPr>
        <w:ind w:firstLine="480"/>
        <w:rPr>
          <w:rFonts w:ascii="宋体" w:hAnsi="宋体"/>
          <w:color w:val="auto"/>
          <w:sz w:val="24"/>
          <w:highlight w:val="none"/>
        </w:rPr>
      </w:pPr>
      <w:r>
        <w:rPr>
          <w:rFonts w:hint="eastAsia" w:ascii="宋体" w:hAnsi="宋体"/>
          <w:color w:val="auto"/>
          <w:sz w:val="24"/>
          <w:highlight w:val="none"/>
        </w:rPr>
        <w:t xml:space="preserve">地址：</w:t>
      </w:r>
      <w:r>
        <w:rPr>
          <w:rFonts w:ascii="宋体" w:hAnsi="宋体"/>
          <w:color w:val="auto"/>
          <w:sz w:val="24"/>
          <w:highlight w:val="none"/>
        </w:rPr>
        <w:t xml:space="preserve">                             </w:t>
      </w:r>
      <w:r>
        <w:rPr>
          <w:rFonts w:hint="eastAsia" w:ascii="宋体" w:hAnsi="宋体"/>
          <w:color w:val="auto"/>
          <w:sz w:val="24"/>
          <w:highlight w:val="none"/>
        </w:rPr>
        <w:t xml:space="preserve">邮政编码：</w:t>
      </w:r>
      <w:r/>
    </w:p>
    <w:p>
      <w:pPr>
        <w:ind w:firstLine="480"/>
        <w:rPr>
          <w:rFonts w:ascii="宋体" w:hAnsi="宋体"/>
          <w:color w:val="auto"/>
          <w:sz w:val="24"/>
          <w:highlight w:val="none"/>
        </w:rPr>
      </w:pPr>
      <w:r>
        <w:rPr>
          <w:rFonts w:hint="eastAsia" w:ascii="宋体" w:hAnsi="宋体"/>
          <w:color w:val="auto"/>
          <w:sz w:val="24"/>
          <w:highlight w:val="none"/>
        </w:rPr>
        <w:t xml:space="preserve">联系电话：</w:t>
      </w:r>
      <w:r>
        <w:rPr>
          <w:rFonts w:ascii="宋体" w:hAnsi="宋体"/>
          <w:color w:val="auto"/>
          <w:sz w:val="24"/>
          <w:highlight w:val="none"/>
        </w:rPr>
        <w:t xml:space="preserve">                         </w:t>
      </w:r>
      <w:r>
        <w:rPr>
          <w:rFonts w:hint="eastAsia" w:ascii="宋体" w:hAnsi="宋体"/>
          <w:color w:val="auto"/>
          <w:sz w:val="24"/>
          <w:highlight w:val="none"/>
        </w:rPr>
        <w:t xml:space="preserve">传真：</w:t>
      </w:r>
      <w:r/>
    </w:p>
    <w:p>
      <w:pPr>
        <w:ind w:firstLine="48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hAnsi="宋体"/>
          <w:color w:val="auto"/>
          <w:sz w:val="24"/>
          <w:highlight w:val="none"/>
        </w:rPr>
      </w:pPr>
      <w:r>
        <w:rPr>
          <w:rFonts w:ascii="宋体" w:hAnsi="宋体"/>
          <w:color w:val="auto"/>
          <w:sz w:val="24"/>
          <w:highlight w:val="none"/>
        </w:rPr>
      </w:r>
      <w:r/>
    </w:p>
    <w:p>
      <w:pPr>
        <w:spacing w:line="350" w:lineRule="auto"/>
        <w:rPr>
          <w:rFonts w:ascii="宋体" w:hAnsi="宋体" w:cs="宋体"/>
          <w:b/>
          <w:color w:val="auto"/>
          <w:sz w:val="24"/>
          <w:highlight w:val="none"/>
        </w:rPr>
      </w:pPr>
      <w:r>
        <w:rPr>
          <w:rFonts w:ascii="宋体" w:hAnsi="宋体"/>
          <w:b/>
          <w:color w:val="auto"/>
          <w:szCs w:val="21"/>
          <w:highlight w:val="none"/>
        </w:rPr>
        <w:br w:type="page" w:clear="all"/>
      </w:r>
      <w:r>
        <w:rPr>
          <w:rFonts w:hint="eastAsia" w:ascii="宋体" w:hAnsi="宋体" w:cs="宋体"/>
          <w:b/>
          <w:color w:val="auto"/>
          <w:sz w:val="24"/>
          <w:highlight w:val="none"/>
        </w:rPr>
        <w:t xml:space="preserve">格式5、关于资格文件的声明函</w:t>
      </w:r>
      <w:r/>
    </w:p>
    <w:p>
      <w:pPr>
        <w:pStyle w:val="982"/>
        <w:rPr>
          <w:color w:val="auto"/>
          <w:highlight w:val="none"/>
        </w:rPr>
      </w:pPr>
      <w:r>
        <w:rPr>
          <w:color w:val="auto"/>
          <w:highlight w:val="none"/>
        </w:rPr>
      </w:r>
      <w:r/>
    </w:p>
    <w:p>
      <w:pPr>
        <w:jc w:val="center"/>
        <w:spacing w:line="360" w:lineRule="auto"/>
        <w:rPr>
          <w:rFonts w:ascii="宋体" w:hAnsi="宋体"/>
          <w:b/>
          <w:color w:val="auto"/>
          <w:sz w:val="24"/>
          <w:highlight w:val="none"/>
        </w:rPr>
        <w:outlineLvl w:val="1"/>
      </w:pPr>
      <w:r>
        <w:rPr>
          <w:rFonts w:hint="eastAsia" w:ascii="宋体" w:hAnsi="宋体"/>
          <w:b/>
          <w:color w:val="auto"/>
          <w:sz w:val="24"/>
          <w:highlight w:val="none"/>
        </w:rPr>
        <w:t xml:space="preserve">关于资格文件的声明函</w:t>
      </w:r>
      <w:r/>
    </w:p>
    <w:p>
      <w:pPr>
        <w:jc w:val="left"/>
        <w:spacing w:line="360" w:lineRule="auto"/>
        <w:rPr>
          <w:rFonts w:ascii="宋体" w:hAnsi="宋体"/>
          <w:color w:val="auto"/>
          <w:sz w:val="24"/>
          <w:highlight w:val="none"/>
          <w:u w:val="single"/>
        </w:rPr>
      </w:pPr>
      <w:r>
        <w:rPr>
          <w:rFonts w:ascii="宋体" w:hAnsi="宋体"/>
          <w:color w:val="auto"/>
          <w:sz w:val="24"/>
          <w:highlight w:val="none"/>
          <w:u w:val="single"/>
        </w:rPr>
      </w:r>
      <w:r/>
    </w:p>
    <w:p>
      <w:pPr>
        <w:jc w:val="left"/>
        <w:spacing w:line="360" w:lineRule="auto"/>
        <w:rPr>
          <w:rFonts w:ascii="宋体" w:hAnsi="宋体"/>
          <w:color w:val="auto"/>
          <w:sz w:val="24"/>
          <w:highlight w:val="none"/>
          <w:u w:val="single"/>
        </w:rPr>
      </w:pP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hAnsi="宋体"/>
          <w:color w:val="auto"/>
          <w:sz w:val="24"/>
          <w:highlight w:val="none"/>
        </w:rPr>
      </w:pPr>
      <w:r>
        <w:rPr>
          <w:rFonts w:ascii="宋体" w:hAnsi="宋体"/>
          <w:color w:val="auto"/>
          <w:sz w:val="24"/>
          <w:highlight w:val="none"/>
        </w:rPr>
      </w:r>
      <w:r/>
    </w:p>
    <w:p>
      <w:pPr>
        <w:ind w:right="615" w:firstLine="840"/>
        <w:jc w:val="right"/>
        <w:spacing w:line="400" w:lineRule="exact"/>
        <w:widowControl/>
        <w:rPr>
          <w:rFonts w:ascii="宋体" w:hAnsi="宋体" w:cs="宋体"/>
          <w:color w:val="auto"/>
          <w:szCs w:val="21"/>
          <w:highlight w:val="none"/>
          <w:lang w:val="zh-CN"/>
        </w:rPr>
      </w:pPr>
      <w:r>
        <w:rPr>
          <w:rFonts w:ascii="宋体" w:hAnsi="宋体" w:cs="宋体"/>
          <w:color w:val="auto"/>
          <w:szCs w:val="21"/>
          <w:highlight w:val="none"/>
          <w:lang w:val="zh-CN"/>
        </w:rPr>
      </w:r>
      <w:r/>
    </w:p>
    <w:p>
      <w:pPr>
        <w:pStyle w:val="982"/>
        <w:rPr>
          <w:color w:val="auto"/>
          <w:highlight w:val="none"/>
        </w:rPr>
      </w:pPr>
      <w:r>
        <w:rPr>
          <w:color w:val="auto"/>
          <w:highlight w:val="none"/>
        </w:rPr>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格式6、磋商响应单位基本情况表</w:t>
      </w:r>
      <w:r/>
    </w:p>
    <w:p>
      <w:pPr>
        <w:pStyle w:val="982"/>
        <w:ind w:left="0" w:firstLine="0"/>
        <w:jc w:val="center"/>
        <w:rPr>
          <w:rFonts w:ascii="宋体" w:hAnsi="宋体" w:cs="宋体"/>
          <w:b/>
          <w:color w:val="auto"/>
          <w:sz w:val="24"/>
          <w:highlight w:val="none"/>
        </w:rPr>
      </w:pPr>
      <w:r>
        <w:rPr>
          <w:rFonts w:ascii="宋体" w:hAnsi="宋体" w:cs="宋体"/>
          <w:b/>
          <w:color w:val="auto"/>
          <w:sz w:val="24"/>
          <w:highlight w:val="none"/>
        </w:rPr>
      </w:r>
      <w:r/>
    </w:p>
    <w:p>
      <w:pPr>
        <w:pStyle w:val="982"/>
        <w:ind w:left="0" w:firstLine="0"/>
        <w:jc w:val="center"/>
        <w:rPr>
          <w:color w:val="auto"/>
          <w:highlight w:val="none"/>
        </w:rPr>
      </w:pPr>
      <w:r>
        <w:rPr>
          <w:rFonts w:hint="eastAsia" w:ascii="宋体" w:hAnsi="宋体" w:cs="宋体"/>
          <w:b/>
          <w:color w:val="auto"/>
          <w:sz w:val="24"/>
          <w:highlight w:val="none"/>
        </w:rPr>
        <w:t xml:space="preserve">磋商响应单位基本情况表</w:t>
      </w:r>
      <w:r/>
    </w:p>
    <w:p>
      <w:pPr>
        <w:pStyle w:val="982"/>
        <w:rPr>
          <w:color w:val="auto"/>
          <w:highlight w:val="none"/>
        </w:rPr>
      </w:pPr>
      <w:r>
        <w:rPr>
          <w:color w:val="auto"/>
          <w:highlight w:val="none"/>
        </w:rPr>
      </w:r>
      <w:r/>
    </w:p>
    <w:tbl>
      <w:tblPr>
        <w:tblStyle w:val="759"/>
        <w:tblW w:w="9073" w:type="dxa"/>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年 </w:t>
            </w:r>
            <w:r>
              <w:rPr>
                <w:color w:val="auto"/>
                <w:sz w:val="24"/>
                <w:szCs w:val="24"/>
                <w:highlight w:val="none"/>
              </w:rPr>
              <w:t xml:space="preserve">  </w:t>
            </w:r>
            <w:r>
              <w:rPr>
                <w:rFonts w:hint="eastAsia"/>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80"/>
              <w:widowControl/>
              <w:rPr>
                <w:color w:val="auto"/>
                <w:sz w:val="24"/>
                <w:szCs w:val="24"/>
                <w:highlight w:val="none"/>
              </w:rPr>
            </w:pPr>
            <w:r>
              <w:rPr>
                <w:color w:val="auto"/>
                <w:sz w:val="24"/>
                <w:szCs w:val="24"/>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bl>
    <w:p>
      <w:pPr>
        <w:spacing w:line="350" w:lineRule="auto"/>
        <w:rPr>
          <w:rFonts w:ascii="宋体" w:hAnsi="宋体" w:cs="宋体"/>
          <w:color w:val="auto"/>
          <w:sz w:val="24"/>
          <w:highlight w:val="none"/>
        </w:rPr>
      </w:pPr>
      <w:r>
        <w:rPr>
          <w:rFonts w:hint="eastAsia" w:ascii="宋体" w:hAnsi="宋体" w:cs="宋体"/>
          <w:color w:val="auto"/>
          <w:sz w:val="24"/>
          <w:highlight w:val="none"/>
        </w:rPr>
        <w:t xml:space="preserve">注：若事项较多，供应商可根据实际情况另纸说明。</w:t>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982"/>
        <w:ind w:left="0" w:firstLine="0"/>
        <w:rPr>
          <w:rFonts w:ascii="宋体" w:hAnsi="宋体" w:cs="宋体"/>
          <w:b/>
          <w:color w:val="auto"/>
          <w:sz w:val="24"/>
          <w:highlight w:val="none"/>
        </w:rPr>
      </w:pPr>
      <w:r>
        <w:rPr>
          <w:rFonts w:ascii="宋体" w:hAnsi="宋体" w:cs="宋体"/>
          <w:color w:val="auto"/>
          <w:szCs w:val="21"/>
          <w:highlight w:val="none"/>
        </w:rPr>
        <w:br w:type="page" w:clear="all"/>
      </w:r>
      <w:r>
        <w:rPr>
          <w:rFonts w:hint="eastAsia" w:ascii="宋体" w:hAnsi="宋体" w:cs="宋体"/>
          <w:b/>
          <w:color w:val="auto"/>
          <w:sz w:val="24"/>
          <w:highlight w:val="none"/>
        </w:rPr>
        <w:t xml:space="preserve">格式7、偏离表</w:t>
      </w:r>
      <w:r/>
    </w:p>
    <w:p>
      <w:pPr>
        <w:jc w:val="center"/>
        <w:spacing w:line="480" w:lineRule="exact"/>
        <w:widowControl/>
        <w:rPr>
          <w:b/>
          <w:color w:val="auto"/>
          <w:sz w:val="24"/>
          <w:szCs w:val="24"/>
          <w:highlight w:val="none"/>
        </w:rPr>
      </w:pPr>
      <w:r>
        <w:rPr>
          <w:b/>
          <w:color w:val="auto"/>
          <w:sz w:val="24"/>
          <w:szCs w:val="24"/>
          <w:highlight w:val="none"/>
        </w:rPr>
        <w:t xml:space="preserve">偏离表</w:t>
      </w:r>
      <w:r>
        <w:rPr>
          <w:rFonts w:hint="eastAsia"/>
          <w:b/>
          <w:color w:val="auto"/>
          <w:sz w:val="24"/>
          <w:szCs w:val="24"/>
          <w:highlight w:val="none"/>
        </w:rPr>
        <w:t xml:space="preserve">（服务、商务）</w:t>
      </w:r>
      <w:r/>
    </w:p>
    <w:p>
      <w:pPr>
        <w:ind w:left="420" w:firstLine="480"/>
        <w:spacing w:after="120"/>
        <w:rPr>
          <w:rFonts w:ascii="Calibri" w:hAnsi="Calibri"/>
          <w:color w:val="auto"/>
          <w:sz w:val="24"/>
          <w:szCs w:val="24"/>
          <w:highlight w:val="none"/>
        </w:rPr>
      </w:pPr>
      <w:r>
        <w:rPr>
          <w:rFonts w:ascii="Calibri" w:hAnsi="Calibri"/>
          <w:color w:val="auto"/>
          <w:sz w:val="24"/>
          <w:szCs w:val="24"/>
          <w:highlight w:val="none"/>
        </w:rPr>
      </w:r>
      <w:r/>
    </w:p>
    <w:tbl>
      <w:tblPr>
        <w:tblStyle w:val="759"/>
        <w:tblW w:w="4998" w:type="pct"/>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1" w:type="dxa"/>
          <w:top w:w="0" w:type="dxa"/>
          <w:right w:w="11" w:type="dxa"/>
          <w:bottom w:w="0" w:type="dxa"/>
        </w:tblCellMar>
        <w:tblLook w:val="04A0" w:firstRow="1" w:lastRow="0" w:firstColumn="1" w:lastColumn="0" w:noHBand="0" w:noVBand="1"/>
      </w:tblPr>
      <w:tblGrid>
        <w:gridCol w:w="595"/>
        <w:gridCol w:w="1503"/>
        <w:gridCol w:w="1636"/>
        <w:gridCol w:w="1753"/>
        <w:gridCol w:w="1518"/>
        <w:gridCol w:w="1518"/>
      </w:tblGrid>
      <w:tr>
        <w:trPr>
          <w:trHeight w:val="760"/>
        </w:trPr>
        <w:tc>
          <w:tcPr>
            <w:tcMar>
              <w:left w:w="11" w:type="dxa"/>
              <w:top w:w="0" w:type="dxa"/>
              <w:right w:w="11" w:type="dxa"/>
              <w:bottom w:w="0" w:type="dxa"/>
            </w:tcMar>
            <w:tcW w:w="34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Mar>
              <w:left w:w="11" w:type="dxa"/>
              <w:top w:w="0" w:type="dxa"/>
              <w:right w:w="11" w:type="dxa"/>
              <w:bottom w:w="0" w:type="dxa"/>
            </w:tcMar>
            <w:tcW w:w="88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w:t>
            </w:r>
            <w:r/>
          </w:p>
        </w:tc>
        <w:tc>
          <w:tcPr>
            <w:tcMar>
              <w:left w:w="11" w:type="dxa"/>
              <w:top w:w="0" w:type="dxa"/>
              <w:right w:w="11" w:type="dxa"/>
              <w:bottom w:w="0" w:type="dxa"/>
            </w:tcMar>
            <w:tcW w:w="9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采购要求</w:t>
            </w:r>
            <w:r/>
          </w:p>
        </w:tc>
        <w:tc>
          <w:tcPr>
            <w:tcMar>
              <w:left w:w="11" w:type="dxa"/>
              <w:top w:w="0" w:type="dxa"/>
              <w:right w:w="11" w:type="dxa"/>
              <w:bottom w:w="0" w:type="dxa"/>
            </w:tcMar>
            <w:tcW w:w="102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正/负/无偏离</w:t>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说明</w:t>
            </w:r>
            <w:r/>
          </w:p>
        </w:tc>
      </w:tr>
      <w:tr>
        <w:trPr>
          <w:cantSplit/>
          <w:trHeight w:val="495"/>
        </w:trPr>
        <w:tc>
          <w:tcPr>
            <w:tcMar>
              <w:left w:w="11" w:type="dxa"/>
              <w:top w:w="0" w:type="dxa"/>
              <w:right w:w="11" w:type="dxa"/>
              <w:bottom w:w="0" w:type="dxa"/>
            </w:tcMar>
            <w:tcW w:w="34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8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9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102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495"/>
        </w:trPr>
        <w:tc>
          <w:tcPr>
            <w:tcMar>
              <w:left w:w="11" w:type="dxa"/>
              <w:top w:w="0" w:type="dxa"/>
              <w:right w:w="11" w:type="dxa"/>
              <w:bottom w:w="0" w:type="dxa"/>
            </w:tcMar>
            <w:tcW w:w="34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8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9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102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495"/>
        </w:trPr>
        <w:tc>
          <w:tcPr>
            <w:tcMar>
              <w:left w:w="11" w:type="dxa"/>
              <w:top w:w="0" w:type="dxa"/>
              <w:right w:w="11" w:type="dxa"/>
              <w:bottom w:w="0" w:type="dxa"/>
            </w:tcMar>
            <w:tcW w:w="34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8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9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102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495"/>
        </w:trPr>
        <w:tc>
          <w:tcPr>
            <w:tcMar>
              <w:left w:w="11" w:type="dxa"/>
              <w:top w:w="0" w:type="dxa"/>
              <w:right w:w="11" w:type="dxa"/>
              <w:bottom w:w="0" w:type="dxa"/>
            </w:tcMar>
            <w:tcW w:w="34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8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9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102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495"/>
        </w:trPr>
        <w:tc>
          <w:tcPr>
            <w:tcMar>
              <w:left w:w="11" w:type="dxa"/>
              <w:top w:w="0" w:type="dxa"/>
              <w:right w:w="11" w:type="dxa"/>
              <w:bottom w:w="0" w:type="dxa"/>
            </w:tcMar>
            <w:tcW w:w="349"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8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9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102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495"/>
        </w:trPr>
        <w:tc>
          <w:tcPr>
            <w:tcMar>
              <w:left w:w="11" w:type="dxa"/>
              <w:top w:w="0" w:type="dxa"/>
              <w:right w:w="11" w:type="dxa"/>
              <w:bottom w:w="0" w:type="dxa"/>
            </w:tcMar>
            <w:tcW w:w="349"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8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9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102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495"/>
        </w:trPr>
        <w:tc>
          <w:tcPr>
            <w:tcMar>
              <w:left w:w="11" w:type="dxa"/>
              <w:top w:w="0" w:type="dxa"/>
              <w:right w:w="11" w:type="dxa"/>
              <w:bottom w:w="0" w:type="dxa"/>
            </w:tcMar>
            <w:tcW w:w="349"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8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9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102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495"/>
        </w:trPr>
        <w:tc>
          <w:tcPr>
            <w:tcMar>
              <w:left w:w="11" w:type="dxa"/>
              <w:top w:w="0" w:type="dxa"/>
              <w:right w:w="11" w:type="dxa"/>
              <w:bottom w:w="0" w:type="dxa"/>
            </w:tcMar>
            <w:tcW w:w="349"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8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9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102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495"/>
        </w:trPr>
        <w:tc>
          <w:tcPr>
            <w:tcMar>
              <w:left w:w="11" w:type="dxa"/>
              <w:top w:w="0" w:type="dxa"/>
              <w:right w:w="11" w:type="dxa"/>
              <w:bottom w:w="0" w:type="dxa"/>
            </w:tcMar>
            <w:tcW w:w="349"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8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9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102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1" w:type="dxa"/>
              <w:top w:w="0" w:type="dxa"/>
              <w:right w:w="11" w:type="dxa"/>
              <w:bottom w:w="0" w:type="dxa"/>
            </w:tcMar>
            <w:tcW w:w="8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jc w:val="left"/>
        <w:spacing w:line="380" w:lineRule="exact"/>
        <w:widowControl/>
        <w:rPr>
          <w:color w:val="auto"/>
          <w:szCs w:val="20"/>
          <w:highlight w:val="none"/>
        </w:rPr>
      </w:pPr>
      <w:r>
        <w:rPr>
          <w:color w:val="auto"/>
          <w:szCs w:val="20"/>
          <w:highlight w:val="none"/>
        </w:rPr>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注：</w:t>
      </w:r>
      <w:r>
        <w:rPr>
          <w:rFonts w:hint="eastAsia" w:ascii="宋体" w:hAnsi="宋体" w:cs="宋体"/>
          <w:color w:val="auto"/>
          <w:sz w:val="24"/>
          <w:highlight w:val="none"/>
        </w:rPr>
        <w:t xml:space="preserve">1.磋商响应单位应对照采购文件要求，所投标的物（服务）与采购文件的规定有偏离的，应在此表中申明与采购要求条文的偏差和例外</w:t>
      </w:r>
      <w:r>
        <w:rPr>
          <w:rFonts w:hint="eastAsia" w:ascii="宋体" w:hAnsi="宋体" w:cs="宋体"/>
          <w:color w:val="auto"/>
          <w:sz w:val="24"/>
          <w:highlight w:val="none"/>
          <w:lang w:val="zh-CN"/>
        </w:rPr>
        <w:t xml:space="preserve">，并在“</w:t>
      </w:r>
      <w:r>
        <w:rPr>
          <w:rFonts w:hint="eastAsia" w:ascii="宋体" w:hAnsi="宋体"/>
          <w:color w:val="auto"/>
          <w:sz w:val="24"/>
          <w:szCs w:val="24"/>
          <w:highlight w:val="none"/>
        </w:rPr>
        <w:t xml:space="preserve">正/负/无偏离</w:t>
      </w:r>
      <w:r>
        <w:rPr>
          <w:rFonts w:hint="eastAsia" w:ascii="宋体" w:hAnsi="宋体" w:cs="宋体"/>
          <w:color w:val="auto"/>
          <w:sz w:val="24"/>
          <w:highlight w:val="none"/>
          <w:lang w:val="zh-CN"/>
        </w:rPr>
        <w:t xml:space="preserve">”项下填写以下内容：优于的，填写“正偏离”；符合的，填写“无偏离”；低于的，填写“负偏离”。</w:t>
      </w:r>
      <w:r>
        <w:rPr>
          <w:rFonts w:hint="eastAsia" w:ascii="宋体" w:hAnsi="宋体" w:cs="宋体"/>
          <w:color w:val="auto"/>
          <w:sz w:val="24"/>
          <w:highlight w:val="none"/>
        </w:rPr>
        <w:t xml:space="preserve">出现</w:t>
      </w:r>
      <w:r>
        <w:rPr>
          <w:rFonts w:hint="eastAsia" w:ascii="宋体" w:hAnsi="宋体" w:cs="宋体"/>
          <w:color w:val="auto"/>
          <w:sz w:val="24"/>
          <w:highlight w:val="none"/>
          <w:lang w:val="zh-CN"/>
        </w:rPr>
        <w:t xml:space="preserve">“负偏离”</w:t>
      </w:r>
      <w:r>
        <w:rPr>
          <w:rFonts w:hint="eastAsia" w:ascii="宋体" w:hAnsi="宋体" w:cs="宋体"/>
          <w:color w:val="auto"/>
          <w:sz w:val="24"/>
          <w:highlight w:val="none"/>
        </w:rPr>
        <w:t xml:space="preserve">的</w:t>
      </w:r>
      <w:r>
        <w:rPr>
          <w:rFonts w:hint="eastAsia" w:ascii="宋体" w:hAnsi="宋体" w:cs="宋体"/>
          <w:color w:val="auto"/>
          <w:sz w:val="24"/>
          <w:highlight w:val="none"/>
          <w:lang w:val="zh-CN"/>
        </w:rPr>
        <w:t xml:space="preserve">按响应无效处理。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未在上表中说明的，如在响应文件其他内容中已有文字说明的，则以已有文字说明为准，否则，将被认为完全响应磋商采购文件的规定。但该表不作为供应商对所投标的物关于服务、商务条款等详细描述和说明的替代。</w:t>
      </w:r>
      <w:r/>
    </w:p>
    <w:p>
      <w:pPr>
        <w:ind w:firstLine="480"/>
        <w:spacing w:line="360" w:lineRule="auto"/>
        <w:rPr>
          <w:color w:val="auto"/>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若事项较多，供应商可根据实际情况自行增减。</w:t>
      </w:r>
      <w:r/>
    </w:p>
    <w:p>
      <w:pPr>
        <w:ind w:firstLine="48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ind w:firstLine="420"/>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t xml:space="preserve"> </w:t>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格式8、投入本项目人员配备一览表</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投入本项目人员配备一览表</w:t>
      </w:r>
      <w:r/>
    </w:p>
    <w:tbl>
      <w:tblPr>
        <w:tblStyle w:val="759"/>
        <w:tblW w:w="88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780"/>
        <w:gridCol w:w="945"/>
        <w:gridCol w:w="870"/>
        <w:gridCol w:w="780"/>
        <w:gridCol w:w="810"/>
        <w:gridCol w:w="1575"/>
        <w:gridCol w:w="1454"/>
        <w:gridCol w:w="902"/>
      </w:tblGrid>
      <w:tr>
        <w:trPr>
          <w:jc w:val="center"/>
          <w:trHeight w:val="337"/>
        </w:trPr>
        <w:tc>
          <w:tcPr>
            <w:tcW w:w="734"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序号</w:t>
            </w:r>
            <w:r/>
          </w:p>
        </w:tc>
        <w:tc>
          <w:tcPr>
            <w:tcW w:w="78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姓名</w:t>
            </w:r>
            <w:r/>
          </w:p>
        </w:tc>
        <w:tc>
          <w:tcPr>
            <w:tcW w:w="945"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性别</w:t>
            </w:r>
            <w:r/>
          </w:p>
        </w:tc>
        <w:tc>
          <w:tcPr>
            <w:tcW w:w="87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年龄</w:t>
            </w:r>
            <w:r/>
          </w:p>
        </w:tc>
        <w:tc>
          <w:tcPr>
            <w:tcW w:w="78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学历</w:t>
            </w:r>
            <w:r/>
          </w:p>
        </w:tc>
        <w:tc>
          <w:tcPr>
            <w:tcW w:w="810"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证书</w:t>
            </w:r>
            <w:r/>
          </w:p>
        </w:tc>
        <w:tc>
          <w:tcPr>
            <w:gridSpan w:val="2"/>
            <w:tcW w:w="302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从事工作</w:t>
            </w:r>
            <w:r/>
          </w:p>
        </w:tc>
        <w:tc>
          <w:tcPr>
            <w:tcW w:w="816"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335"/>
        </w:trPr>
        <w:tc>
          <w:tcPr>
            <w:tcW w:w="734"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78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945"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7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78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1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7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工作年限</w:t>
            </w:r>
            <w:r/>
          </w:p>
        </w:tc>
        <w:tc>
          <w:tcPr>
            <w:tcW w:w="14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工作领域</w:t>
            </w:r>
            <w:r/>
          </w:p>
        </w:tc>
        <w:tc>
          <w:tcPr>
            <w:tcW w:w="816"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85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项目负责人</w:t>
            </w:r>
            <w:r/>
          </w:p>
        </w:tc>
      </w:tr>
      <w:tr>
        <w:trPr>
          <w:cantSplit/>
          <w:jc w:val="center"/>
          <w:trHeight w:val="495"/>
        </w:trPr>
        <w:tc>
          <w:tcPr>
            <w:tcW w:w="7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94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7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1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85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其他项目组成员</w:t>
            </w:r>
            <w:r/>
          </w:p>
        </w:tc>
      </w:tr>
      <w:tr>
        <w:trPr>
          <w:cantSplit/>
          <w:jc w:val="center"/>
          <w:trHeight w:val="495"/>
        </w:trPr>
        <w:tc>
          <w:tcPr>
            <w:tcW w:w="7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94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7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1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7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94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7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1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7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94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7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1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7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94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7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1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7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94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7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78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1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rPr>
          <w:rFonts w:ascii="宋体" w:hAnsi="宋体"/>
          <w:color w:val="auto"/>
          <w:sz w:val="24"/>
          <w:highlight w:val="none"/>
        </w:rPr>
      </w:pPr>
      <w:r>
        <w:rPr>
          <w:rFonts w:hint="eastAsia" w:ascii="宋体" w:hAnsi="宋体"/>
          <w:color w:val="auto"/>
          <w:sz w:val="24"/>
          <w:highlight w:val="none"/>
        </w:rPr>
        <w:t xml:space="preserve">日期：         年   月   日</w:t>
      </w:r>
      <w:r/>
    </w:p>
    <w:p>
      <w:pPr>
        <w:rPr>
          <w:color w:val="auto"/>
          <w:highlight w:val="none"/>
        </w:rPr>
      </w:pPr>
      <w:r>
        <w:rPr>
          <w:rFonts w:hint="eastAsia" w:ascii="宋体" w:hAnsi="宋体" w:cs="宋体"/>
          <w:b/>
          <w:color w:val="auto"/>
          <w:sz w:val="24"/>
          <w:highlight w:val="none"/>
        </w:rPr>
        <w:br w:type="page" w:clear="all"/>
      </w:r>
      <w:r/>
    </w:p>
    <w:p>
      <w:pPr>
        <w:spacing w:line="360" w:lineRule="auto"/>
        <w:rPr>
          <w:color w:val="auto"/>
          <w:sz w:val="24"/>
          <w:szCs w:val="24"/>
          <w:highlight w:val="none"/>
        </w:rPr>
      </w:pPr>
      <w:r>
        <w:rPr>
          <w:rFonts w:hint="eastAsia" w:ascii="宋体" w:hAnsi="宋体" w:cs="宋体"/>
          <w:b/>
          <w:color w:val="auto"/>
          <w:sz w:val="24"/>
          <w:highlight w:val="none"/>
        </w:rPr>
        <w:t xml:space="preserve">格式10、</w:t>
      </w:r>
      <w:r>
        <w:rPr>
          <w:rFonts w:hint="eastAsia" w:ascii="宋体" w:hAnsi="宋体" w:cs="宋体"/>
          <w:b/>
          <w:bCs/>
          <w:color w:val="auto"/>
          <w:sz w:val="24"/>
          <w:highlight w:val="none"/>
        </w:rPr>
        <w:t xml:space="preserve">类似业绩一览表</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类似业绩一览表</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759"/>
        <w:tblW w:w="92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5"/>
        <w:gridCol w:w="1214"/>
        <w:gridCol w:w="1276"/>
        <w:gridCol w:w="1559"/>
        <w:gridCol w:w="1560"/>
        <w:gridCol w:w="992"/>
        <w:gridCol w:w="1276"/>
        <w:gridCol w:w="768"/>
      </w:tblGrid>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21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项目时间</w:t>
            </w:r>
            <w:r/>
          </w:p>
        </w:tc>
        <w:tc>
          <w:tcPr>
            <w:tcW w:w="15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合同金额</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W w:w="1560" w:type="dxa"/>
            <w:vAlign w:val="center"/>
            <w:textDirection w:val="lrTb"/>
            <w:noWrap w:val="false"/>
          </w:tcPr>
          <w:p>
            <w:pPr>
              <w:jc w:val="center"/>
              <w:spacing w:line="360" w:lineRule="auto"/>
              <w:widowControl/>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业主单位</w:t>
            </w:r>
            <w:r/>
          </w:p>
        </w:tc>
        <w:tc>
          <w:tcPr>
            <w:tcW w:w="9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联系人</w:t>
            </w:r>
            <w:r/>
          </w:p>
        </w:tc>
        <w:tc>
          <w:tcPr>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tcW w:w="7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17"/>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color w:val="auto"/>
          <w:highlight w:val="none"/>
        </w:rPr>
      </w:pPr>
      <w:r>
        <w:rPr>
          <w:color w:val="auto"/>
          <w:highlight w:val="none"/>
        </w:rPr>
      </w:r>
      <w:r/>
    </w:p>
    <w:p>
      <w:pPr>
        <w:spacing w:line="350" w:lineRule="auto"/>
        <w:rPr>
          <w:rFonts w:ascii="宋体" w:hAnsi="宋体" w:cs="宋体"/>
          <w:color w:val="auto"/>
          <w:sz w:val="24"/>
          <w:highlight w:val="none"/>
        </w:rPr>
      </w:pPr>
      <w:r>
        <w:rPr>
          <w:color w:val="auto"/>
          <w:highlight w:val="none"/>
        </w:rPr>
        <w:br w:type="page" w:clear="all"/>
      </w:r>
      <w:r>
        <w:rPr>
          <w:rFonts w:hint="eastAsia" w:ascii="宋体" w:hAnsi="宋体" w:cs="宋体"/>
          <w:b/>
          <w:color w:val="auto"/>
          <w:sz w:val="24"/>
          <w:highlight w:val="none"/>
        </w:rPr>
        <w:t xml:space="preserve">格式11、《中小企业声明函》或《残疾人福利性单位声明函》或由省级以上监狱管理局、戒毒管理局（含新疆生产建设兵团）出具的属于监狱企业的证明文件</w:t>
      </w:r>
      <w:r/>
    </w:p>
    <w:p>
      <w:pPr>
        <w:ind w:firstLine="502"/>
        <w:spacing w:line="35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cs="宋体"/>
          <w:b/>
          <w:color w:val="auto"/>
          <w:sz w:val="24"/>
          <w:highlight w:val="none"/>
        </w:rPr>
      </w:pPr>
      <w:r>
        <w:rPr>
          <w:rFonts w:hint="eastAsia" w:ascii="宋体" w:cs="宋体"/>
          <w:b/>
          <w:color w:val="auto"/>
          <w:sz w:val="24"/>
          <w:highlight w:val="none"/>
        </w:rPr>
        <w:t xml:space="preserve">中小企业声明函（服务）</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本公司（联合体）郑重声明，根据《政府采购促进中小企业发展管理办法》（财库﹝</w:t>
      </w:r>
      <w:r>
        <w:rPr>
          <w:rFonts w:ascii="宋体" w:hAnsi="宋体" w:cs="宋体"/>
          <w:color w:val="auto"/>
          <w:sz w:val="24"/>
          <w:highlight w:val="none"/>
          <w:lang w:val="zh-CN"/>
        </w:rPr>
        <w:t xml:space="preserve">2020</w:t>
      </w:r>
      <w:r>
        <w:rPr>
          <w:rFonts w:hint="eastAsia" w:ascii="宋体" w:hAnsi="宋体" w:cs="宋体"/>
          <w:color w:val="auto"/>
          <w:sz w:val="24"/>
          <w:highlight w:val="none"/>
          <w:lang w:val="zh-CN"/>
        </w:rPr>
        <w:t xml:space="preserve">﹞</w:t>
      </w:r>
      <w:r>
        <w:rPr>
          <w:rFonts w:ascii="宋体" w:hAnsi="宋体" w:cs="宋体"/>
          <w:color w:val="auto"/>
          <w:sz w:val="24"/>
          <w:highlight w:val="none"/>
          <w:lang w:val="zh-CN"/>
        </w:rPr>
        <w:t xml:space="preserve">46 </w:t>
      </w:r>
      <w:r>
        <w:rPr>
          <w:rFonts w:hint="eastAsia" w:ascii="宋体" w:hAnsi="宋体" w:cs="宋体"/>
          <w:color w:val="auto"/>
          <w:sz w:val="24"/>
          <w:highlight w:val="none"/>
          <w:lang w:val="zh-CN"/>
        </w:rPr>
        <w:t xml:space="preserve">号）的规定，本公司（联合体）参加</w:t>
      </w:r>
      <w:r>
        <w:rPr>
          <w:rFonts w:hint="eastAsia" w:ascii="宋体" w:hAnsi="宋体" w:cs="宋体"/>
          <w:color w:val="auto"/>
          <w:sz w:val="24"/>
          <w:highlight w:val="none"/>
          <w:u w:val="single"/>
          <w:lang w:val="zh-CN"/>
        </w:rPr>
        <w:t xml:space="preserve">（单位名称）</w:t>
      </w:r>
      <w:r>
        <w:rPr>
          <w:rFonts w:hint="eastAsia" w:ascii="宋体" w:hAnsi="宋体" w:cs="宋体"/>
          <w:color w:val="auto"/>
          <w:sz w:val="24"/>
          <w:highlight w:val="none"/>
          <w:lang w:val="zh-CN"/>
        </w:rPr>
        <w:t xml:space="preserve">的</w:t>
      </w:r>
      <w:r>
        <w:rPr>
          <w:rFonts w:hint="eastAsia" w:ascii="宋体" w:hAnsi="宋体" w:cs="宋体"/>
          <w:color w:val="auto"/>
          <w:sz w:val="24"/>
          <w:highlight w:val="none"/>
          <w:u w:val="single"/>
          <w:lang w:val="zh-CN"/>
        </w:rPr>
        <w:t xml:space="preserve">（项目名称）</w:t>
      </w:r>
      <w:r>
        <w:rPr>
          <w:rFonts w:hint="eastAsia" w:ascii="宋体" w:hAnsi="宋体" w:cs="宋体"/>
          <w:color w:val="auto"/>
          <w:sz w:val="24"/>
          <w:highlight w:val="none"/>
          <w:lang w:val="zh-CN"/>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color w:val="auto"/>
          <w:sz w:val="24"/>
          <w:highlight w:val="none"/>
          <w:lang w:val="zh-CN"/>
        </w:rPr>
      </w:pPr>
      <w:r>
        <w:rPr>
          <w:rFonts w:ascii="宋体" w:hAnsi="宋体" w:cs="宋体"/>
          <w:color w:val="auto"/>
          <w:sz w:val="24"/>
          <w:highlight w:val="none"/>
          <w:lang w:val="zh-CN"/>
        </w:rPr>
        <w:t xml:space="preserve">1. </w:t>
      </w:r>
      <w:r>
        <w:rPr>
          <w:rFonts w:hint="eastAsia" w:ascii="宋体" w:hAnsi="宋体" w:cs="宋体"/>
          <w:color w:val="auto"/>
          <w:sz w:val="24"/>
          <w:highlight w:val="none"/>
          <w:u w:val="single"/>
          <w:lang w:val="zh-CN"/>
        </w:rPr>
        <w:t xml:space="preserve">（标的名称）</w:t>
      </w:r>
      <w:r>
        <w:rPr>
          <w:rFonts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，属于</w:t>
      </w:r>
      <w:r>
        <w:rPr>
          <w:rFonts w:hint="eastAsia" w:ascii="宋体" w:hAnsi="宋体" w:cs="宋体"/>
          <w:color w:val="auto"/>
          <w:sz w:val="24"/>
          <w:highlight w:val="none"/>
          <w:u w:val="single"/>
          <w:lang w:val="zh-CN"/>
        </w:rPr>
        <w:t xml:space="preserve">（采购文件中明确的所属行业）</w:t>
      </w:r>
      <w:r>
        <w:rPr>
          <w:rFonts w:hint="eastAsia" w:ascii="宋体" w:hAnsi="宋体" w:cs="宋体"/>
          <w:color w:val="auto"/>
          <w:sz w:val="24"/>
          <w:highlight w:val="none"/>
          <w:lang w:val="zh-CN"/>
        </w:rPr>
        <w:t xml:space="preserve">行业；承接企业为</w:t>
      </w:r>
      <w:r>
        <w:rPr>
          <w:rFonts w:hint="eastAsia" w:ascii="宋体" w:hAnsi="宋体" w:cs="宋体"/>
          <w:color w:val="auto"/>
          <w:sz w:val="24"/>
          <w:highlight w:val="none"/>
          <w:u w:val="single"/>
          <w:lang w:val="zh-CN"/>
        </w:rPr>
        <w:t xml:space="preserve">（企业名称）</w:t>
      </w:r>
      <w:r>
        <w:rPr>
          <w:rFonts w:hint="eastAsia" w:ascii="宋体" w:hAnsi="宋体" w:cs="宋体"/>
          <w:color w:val="auto"/>
          <w:sz w:val="24"/>
          <w:highlight w:val="none"/>
          <w:lang w:val="zh-CN"/>
        </w:rPr>
        <w:t xml:space="preserve">，从业人员</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人，营业收入为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万元，资产总额为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万元，属于</w:t>
      </w:r>
      <w:r>
        <w:rPr>
          <w:rFonts w:hint="eastAsia" w:ascii="宋体" w:hAnsi="宋体" w:cs="宋体"/>
          <w:color w:val="auto"/>
          <w:sz w:val="24"/>
          <w:highlight w:val="none"/>
          <w:u w:val="single"/>
          <w:lang w:val="zh-CN"/>
        </w:rPr>
        <w:t xml:space="preserve">（中型企业、小型企业、微型企业，三者选一填写）</w:t>
      </w:r>
      <w:r>
        <w:rPr>
          <w:rFonts w:hint="eastAsia" w:ascii="宋体" w:hAnsi="宋体" w:cs="宋体"/>
          <w:color w:val="auto"/>
          <w:sz w:val="24"/>
          <w:highlight w:val="none"/>
          <w:lang w:val="zh-CN"/>
        </w:rPr>
        <w:t xml:space="preserve">；</w:t>
      </w:r>
      <w:r/>
    </w:p>
    <w:p>
      <w:pPr>
        <w:ind w:firstLine="480"/>
        <w:spacing w:line="360" w:lineRule="auto"/>
        <w:rPr>
          <w:rFonts w:ascii="宋体" w:hAnsi="宋体" w:cs="宋体"/>
          <w:color w:val="auto"/>
          <w:sz w:val="24"/>
          <w:highlight w:val="none"/>
          <w:lang w:val="zh-CN"/>
        </w:rPr>
      </w:pPr>
      <w:r>
        <w:rPr>
          <w:rFonts w:ascii="宋体" w:hAnsi="宋体" w:cs="宋体"/>
          <w:color w:val="auto"/>
          <w:sz w:val="24"/>
          <w:highlight w:val="none"/>
          <w:lang w:val="zh-CN"/>
        </w:rPr>
        <w:t xml:space="preserve">2. </w:t>
      </w:r>
      <w:r>
        <w:rPr>
          <w:rFonts w:hint="eastAsia" w:ascii="宋体" w:hAnsi="宋体" w:cs="宋体"/>
          <w:color w:val="auto"/>
          <w:sz w:val="24"/>
          <w:highlight w:val="none"/>
          <w:u w:val="single"/>
          <w:lang w:val="zh-CN"/>
        </w:rPr>
        <w:t xml:space="preserve">（标的名称）</w:t>
      </w:r>
      <w:r>
        <w:rPr>
          <w:rFonts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，属于</w:t>
      </w:r>
      <w:r>
        <w:rPr>
          <w:rFonts w:hint="eastAsia" w:ascii="宋体" w:hAnsi="宋体" w:cs="宋体"/>
          <w:color w:val="auto"/>
          <w:sz w:val="24"/>
          <w:highlight w:val="none"/>
          <w:u w:val="single"/>
          <w:lang w:val="zh-CN"/>
        </w:rPr>
        <w:t xml:space="preserve">（采购文件中明确的所属行业）</w:t>
      </w:r>
      <w:r>
        <w:rPr>
          <w:rFonts w:hint="eastAsia" w:ascii="宋体" w:hAnsi="宋体" w:cs="宋体"/>
          <w:color w:val="auto"/>
          <w:sz w:val="24"/>
          <w:highlight w:val="none"/>
          <w:lang w:val="zh-CN"/>
        </w:rPr>
        <w:t xml:space="preserve">行业；承接企业为</w:t>
      </w:r>
      <w:r>
        <w:rPr>
          <w:rFonts w:hint="eastAsia" w:ascii="宋体" w:hAnsi="宋体" w:cs="宋体"/>
          <w:color w:val="auto"/>
          <w:sz w:val="24"/>
          <w:highlight w:val="none"/>
          <w:u w:val="single"/>
          <w:lang w:val="zh-CN"/>
        </w:rPr>
        <w:t xml:space="preserve">（企业名称）</w:t>
      </w:r>
      <w:r>
        <w:rPr>
          <w:rFonts w:hint="eastAsia" w:ascii="宋体" w:hAnsi="宋体" w:cs="宋体"/>
          <w:color w:val="auto"/>
          <w:sz w:val="24"/>
          <w:highlight w:val="none"/>
          <w:lang w:val="zh-CN"/>
        </w:rPr>
        <w:t xml:space="preserve">，从业人员</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人，营业收入为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万元，资产总额为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万元，属于</w:t>
      </w:r>
      <w:r>
        <w:rPr>
          <w:rFonts w:hint="eastAsia" w:ascii="宋体" w:hAnsi="宋体" w:cs="宋体"/>
          <w:color w:val="auto"/>
          <w:sz w:val="24"/>
          <w:highlight w:val="none"/>
          <w:u w:val="single"/>
          <w:lang w:val="zh-CN"/>
        </w:rPr>
        <w:t xml:space="preserve">（中型企业、小型企业、微型企业，三者选一填写）</w:t>
      </w:r>
      <w:r>
        <w:rPr>
          <w:rFonts w:hint="eastAsia" w:ascii="宋体" w:hAnsi="宋体" w:cs="宋体"/>
          <w:color w:val="auto"/>
          <w:sz w:val="24"/>
          <w:highlight w:val="none"/>
          <w:lang w:val="zh-CN"/>
        </w:rPr>
        <w:t xml:space="preserve">；</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本企业对上述声明内容的真实性负责。如有虚假，将依法承担相应责任。</w:t>
      </w:r>
      <w:r/>
    </w:p>
    <w:p>
      <w:pPr>
        <w:ind w:firstLine="480"/>
        <w:jc w:val="righ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企业名称（盖章）：             </w:t>
      </w:r>
      <w:r/>
    </w:p>
    <w:p>
      <w:pPr>
        <w:ind w:firstLine="480"/>
        <w:jc w:val="righ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日期：             </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注：1.从业人员、营业收入、资产总额填报上一年度数据，无上一年度数据的新成立企业可不填报。</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2.根据“工信部联企业〔2011〕300号通知中的《中小企业划型标准规定》”，本项目所属行业为</w:t>
      </w:r>
      <w:r>
        <w:rPr>
          <w:rFonts w:hint="eastAsia" w:ascii="宋体" w:hAnsi="宋体" w:cs="宋体"/>
          <w:b/>
          <w:bCs/>
          <w:color w:val="auto"/>
          <w:sz w:val="24"/>
          <w:highlight w:val="none"/>
          <w:lang w:val="zh-CN"/>
        </w:rPr>
        <w:t xml:space="preserve">其他未列明行业</w:t>
      </w:r>
      <w:r>
        <w:rPr>
          <w:rFonts w:hint="eastAsia" w:ascii="宋体" w:hAnsi="宋体" w:cs="宋体"/>
          <w:color w:val="auto"/>
          <w:sz w:val="24"/>
          <w:highlight w:val="none"/>
          <w:lang w:val="zh-CN"/>
        </w:rPr>
        <w:t xml:space="preserve">。《中小企业声明函》中所填的行业应与本采购标的对应的中小企业划分标准所属行业一致，不一致的不可享受相应政策。</w:t>
      </w:r>
      <w:r/>
    </w:p>
    <w:p>
      <w:pPr>
        <w:ind w:firstLine="482"/>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3.如未对（中型企业、小型企业、微型企业）进行勾选，视同非中小微企业，不可享受相应扶持政策。</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.成交单位为中小企业的，《中小企业声明函》将随成交结果同时公告。</w:t>
      </w:r>
      <w:r/>
    </w:p>
    <w:p>
      <w:pPr>
        <w:spacing w:line="360" w:lineRule="auto"/>
        <w:rPr>
          <w:rFonts w:ascii="宋体" w:hAnsi="宋体" w:cs="宋体"/>
          <w:b/>
          <w:color w:val="auto"/>
          <w:sz w:val="24"/>
          <w:szCs w:val="24"/>
          <w:highlight w:val="none"/>
        </w:rPr>
      </w:pPr>
      <w:r>
        <w:rPr>
          <w:rFonts w:hint="eastAsia" w:ascii="宋体" w:hAnsi="宋体" w:cs="宋体"/>
          <w:color w:val="auto"/>
          <w:sz w:val="24"/>
          <w:highlight w:val="none"/>
          <w:lang w:val="zh-CN"/>
        </w:rPr>
        <w:br w:type="page" w:clear="all"/>
      </w:r>
      <w:r>
        <w:rPr>
          <w:rFonts w:hint="eastAsia" w:ascii="宋体" w:hAnsi="宋体" w:cs="宋体"/>
          <w:b/>
          <w:color w:val="auto"/>
          <w:sz w:val="24"/>
          <w:szCs w:val="24"/>
          <w:highlight w:val="none"/>
        </w:rPr>
        <w:t xml:space="preserve">附：中小企业划型标准规定（工信部联企业〔2011〕300号）</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（一）农、林、牧、渔业。</w:t>
      </w:r>
      <w:r>
        <w:rPr>
          <w:rFonts w:hint="eastAsia" w:ascii="宋体" w:hAnsi="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（二）工业。</w:t>
      </w:r>
      <w:r>
        <w:rPr>
          <w:rFonts w:hint="eastAsia" w:ascii="宋体" w:hAnsi="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（三）建筑业。</w:t>
      </w:r>
      <w:r>
        <w:rPr>
          <w:rFonts w:hint="eastAsia" w:ascii="宋体" w:hAnsi="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（四）批发业。</w:t>
      </w:r>
      <w:r>
        <w:rPr>
          <w:rFonts w:hint="eastAsia" w:ascii="宋体" w:hAnsi="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（五）零售业。</w:t>
      </w:r>
      <w:r>
        <w:rPr>
          <w:rFonts w:hint="eastAsia" w:ascii="宋体" w:hAnsi="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（六）交通运输业。</w:t>
      </w:r>
      <w:r>
        <w:rPr>
          <w:rFonts w:hint="eastAsia" w:ascii="宋体" w:hAnsi="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（七）仓储业。</w:t>
      </w:r>
      <w:r>
        <w:rPr>
          <w:rFonts w:hint="eastAsia" w:ascii="宋体" w:hAnsi="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（八）邮政业。</w:t>
      </w:r>
      <w:r>
        <w:rPr>
          <w:rFonts w:hint="eastAsia" w:ascii="宋体" w:hAnsi="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（九）住宿业。</w:t>
      </w:r>
      <w:r>
        <w:rPr>
          <w:rFonts w:hint="eastAsia" w:ascii="宋体" w:hAnsi="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（十）餐饮业。</w:t>
      </w:r>
      <w:r>
        <w:rPr>
          <w:rFonts w:hint="eastAsia" w:ascii="宋体" w:hAnsi="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（十一）信息传输业。</w:t>
      </w:r>
      <w:r>
        <w:rPr>
          <w:rFonts w:hint="eastAsia" w:ascii="宋体" w:hAnsi="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（十二）软件和信息技术服务业。</w:t>
      </w:r>
      <w:r>
        <w:rPr>
          <w:rFonts w:hint="eastAsia" w:ascii="宋体" w:hAnsi="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（十三）房地产开发经营。</w:t>
      </w:r>
      <w:r>
        <w:rPr>
          <w:rFonts w:hint="eastAsia" w:ascii="宋体" w:hAnsi="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（十四）物业管理。</w:t>
      </w:r>
      <w:r>
        <w:rPr>
          <w:rFonts w:hint="eastAsia" w:ascii="宋体" w:hAnsi="宋体" w:cs="宋体"/>
          <w:color w:val="auto"/>
          <w:sz w:val="24"/>
          <w:szCs w:val="24"/>
          <w:highlight w:val="none"/>
        </w:rPr>
        <w:t xml:space="preserve">从业人员1000人以下或营业收入5000万元以下的为中小微型企业。其中，从业人员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（十五）租赁和商务服务业。</w:t>
      </w:r>
      <w:r>
        <w:rPr>
          <w:rFonts w:hint="eastAsia" w:ascii="宋体" w:hAnsi="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（十六）其他未列明行业。</w:t>
      </w:r>
      <w:r>
        <w:rPr>
          <w:rFonts w:hint="eastAsia" w:ascii="宋体" w:hAnsi="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ascii="Arial" w:hAnsi="Arial" w:eastAsia="Arial" w:cs="宋体"/>
          <w:b/>
          <w:color w:val="auto"/>
          <w:szCs w:val="21"/>
          <w:highlight w:val="none"/>
          <w:lang w:val="zh-CN"/>
        </w:rPr>
      </w:pPr>
      <w:r>
        <w:rPr>
          <w:rFonts w:ascii="Arial" w:hAnsi="Arial" w:eastAsia="Arial" w:cs="宋体"/>
          <w:color w:val="auto"/>
          <w:szCs w:val="21"/>
          <w:highlight w:val="none"/>
          <w:lang w:val="zh-CN"/>
        </w:rPr>
        <w:br w:type="page" w:clear="all"/>
      </w:r>
      <w:r/>
    </w:p>
    <w:p>
      <w:pPr>
        <w:jc w:val="left"/>
        <w:widowControl/>
        <w:rPr>
          <w:rFonts w:ascii="宋体" w:hAnsi="宋体" w:cs="宋体"/>
          <w:b/>
          <w:color w:val="auto"/>
          <w:sz w:val="24"/>
          <w:highlight w:val="none"/>
        </w:rPr>
      </w:pPr>
      <w:r>
        <w:rPr>
          <w:rFonts w:ascii="宋体" w:hAnsi="宋体" w:cs="宋体"/>
          <w:b/>
          <w:color w:val="auto"/>
          <w:sz w:val="24"/>
          <w:highlight w:val="none"/>
        </w:rPr>
      </w:r>
      <w:r/>
    </w:p>
    <w:p>
      <w:pPr>
        <w:jc w:val="left"/>
        <w:rPr>
          <w:rFonts w:ascii="宋体" w:hAnsi="宋体" w:cs="宋体"/>
          <w:b/>
          <w:color w:val="auto"/>
          <w:sz w:val="24"/>
          <w:highlight w:val="none"/>
        </w:rPr>
      </w:pPr>
      <w:r>
        <w:rPr>
          <w:rFonts w:ascii="宋体" w:hAnsi="宋体" w:cs="宋体"/>
          <w:b/>
          <w:color w:val="auto"/>
          <w:sz w:val="24"/>
          <w:highlight w:val="none"/>
        </w:rPr>
      </w:r>
      <w:r/>
    </w:p>
    <w:p>
      <w:pPr>
        <w:jc w:val="center"/>
        <w:spacing w:line="400" w:lineRule="exact"/>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残疾人福利性单位声明函</w:t>
      </w:r>
      <w:r/>
    </w:p>
    <w:p>
      <w:pPr>
        <w:spacing w:line="580" w:lineRule="exact"/>
        <w:rPr>
          <w:rFonts w:ascii="宋体" w:hAnsi="宋体" w:cs="宋体"/>
          <w:b/>
          <w:color w:val="auto"/>
          <w:spacing w:val="6"/>
          <w:sz w:val="24"/>
          <w:highlight w:val="none"/>
        </w:rPr>
      </w:pPr>
      <w:r>
        <w:rPr>
          <w:rFonts w:ascii="宋体" w:hAnsi="宋体" w:cs="宋体"/>
          <w:b/>
          <w:color w:val="auto"/>
          <w:spacing w:val="6"/>
          <w:sz w:val="24"/>
          <w:highlight w:val="none"/>
        </w:rPr>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本单位郑重声明，根据《财政部</w:t>
      </w:r>
      <w:r>
        <w:rPr>
          <w:rFonts w:ascii="宋体" w:hAnsi="宋体" w:cs="宋体"/>
          <w:color w:val="auto"/>
          <w:sz w:val="24"/>
          <w:highlight w:val="none"/>
          <w:lang w:val="zh-CN"/>
        </w:rPr>
        <w:t xml:space="preserve">  </w:t>
      </w:r>
      <w:r>
        <w:rPr>
          <w:rFonts w:hint="eastAsia" w:ascii="宋体" w:hAnsi="宋体" w:cs="宋体"/>
          <w:color w:val="auto"/>
          <w:sz w:val="24"/>
          <w:highlight w:val="none"/>
          <w:lang w:val="zh-CN"/>
        </w:rPr>
        <w:t xml:space="preserve">民政部</w:t>
      </w:r>
      <w:r>
        <w:rPr>
          <w:rFonts w:ascii="宋体" w:hAnsi="宋体" w:cs="宋体"/>
          <w:color w:val="auto"/>
          <w:sz w:val="24"/>
          <w:highlight w:val="none"/>
          <w:lang w:val="zh-CN"/>
        </w:rPr>
        <w:t xml:space="preserve">  </w:t>
      </w:r>
      <w:r>
        <w:rPr>
          <w:rFonts w:hint="eastAsia" w:ascii="宋体" w:hAnsi="宋体" w:cs="宋体"/>
          <w:color w:val="auto"/>
          <w:sz w:val="24"/>
          <w:highlight w:val="none"/>
          <w:lang w:val="zh-CN"/>
        </w:rPr>
        <w:t xml:space="preserve">中国残疾人联合会关于促进残疾人就业政府采购政策的通知》（财库〔</w:t>
      </w:r>
      <w:r>
        <w:rPr>
          <w:rFonts w:ascii="宋体" w:hAnsi="宋体" w:cs="宋体"/>
          <w:color w:val="auto"/>
          <w:sz w:val="24"/>
          <w:highlight w:val="none"/>
          <w:lang w:val="zh-CN"/>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本单位对上述声明的真实性负责。如有虚假，将依法承担相应责任。</w:t>
      </w:r>
      <w:r/>
    </w:p>
    <w:p>
      <w:pPr>
        <w:ind w:firstLine="504"/>
        <w:spacing w:line="5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left="3400" w:firstLine="22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单位名称（盖章）：</w:t>
      </w:r>
      <w:r/>
    </w:p>
    <w:p>
      <w:pPr>
        <w:ind w:left="3400" w:firstLine="22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w:t>
      </w:r>
      <w:r>
        <w:rPr>
          <w:rFonts w:ascii="宋体" w:hAnsi="宋体" w:cs="宋体"/>
          <w:color w:val="auto"/>
          <w:sz w:val="24"/>
          <w:highlight w:val="none"/>
        </w:rPr>
        <w:t xml:space="preserve">  </w:t>
      </w:r>
      <w:r>
        <w:rPr>
          <w:rFonts w:hint="eastAsia" w:ascii="宋体" w:hAnsi="宋体" w:cs="宋体"/>
          <w:color w:val="auto"/>
          <w:sz w:val="24"/>
          <w:highlight w:val="none"/>
        </w:rPr>
        <w:t xml:space="preserve">期：</w:t>
      </w:r>
      <w:r/>
    </w:p>
    <w:p>
      <w:pPr>
        <w:tabs>
          <w:tab w:val="left" w:pos="2830" w:leader="none"/>
        </w:tabs>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rPr>
          <w:rFonts w:ascii="宋体" w:hAnsi="宋体"/>
          <w:b/>
          <w:color w:val="auto"/>
          <w:sz w:val="24"/>
          <w:highlight w:val="none"/>
        </w:rPr>
      </w:pPr>
      <w:r>
        <w:rPr>
          <w:rFonts w:hint="eastAsia" w:ascii="宋体" w:hAnsi="宋体"/>
          <w:b/>
          <w:color w:val="auto"/>
          <w:sz w:val="24"/>
          <w:highlight w:val="none"/>
        </w:rPr>
        <w:br w:type="page" w:clear="all"/>
      </w:r>
      <w:r/>
    </w:p>
    <w:p>
      <w:pPr>
        <w:spacing w:after="120"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格式12、关于符合本国产品标准的声明函（采购包号：**）</w:t>
      </w:r>
      <w:r/>
    </w:p>
    <w:p>
      <w:pPr>
        <w:pStyle w:val="781"/>
        <w:rPr>
          <w:color w:val="auto"/>
          <w:highlight w:val="none"/>
        </w:rPr>
      </w:pPr>
      <w:r>
        <w:rPr>
          <w:color w:val="auto"/>
          <w:highlight w:val="none"/>
        </w:rPr>
      </w:r>
      <w:r/>
    </w:p>
    <w:p>
      <w:pPr>
        <w:ind w:left="40" w:firstLine="482"/>
        <w:jc w:val="center"/>
        <w:spacing w:after="120"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关于符合本国产品标准的声明函（采购包号：**）</w:t>
      </w:r>
      <w:r/>
    </w:p>
    <w:p>
      <w:pPr>
        <w:ind w:left="40" w:right="4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（产品名称1）</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，生产厂为</w:t>
      </w:r>
      <w:r>
        <w:rPr>
          <w:rFonts w:hint="eastAsia" w:ascii="宋体" w:hAnsi="宋体" w:cs="宋体"/>
          <w:color w:val="auto"/>
          <w:sz w:val="24"/>
          <w:szCs w:val="24"/>
          <w:highlight w:val="none"/>
          <w:u w:val="single"/>
        </w:rPr>
        <w:t xml:space="preserve">（厂名）</w:t>
      </w:r>
      <w:r>
        <w:rPr>
          <w:rFonts w:hint="eastAsia" w:ascii="宋体" w:hAnsi="宋体" w:cs="宋体"/>
          <w:color w:val="auto"/>
          <w:sz w:val="24"/>
          <w:szCs w:val="24"/>
          <w:highlight w:val="none"/>
          <w:vertAlign w:val="superscript"/>
        </w:rPr>
        <w:t xml:space="preserve">2</w:t>
      </w:r>
      <w:r>
        <w:rPr>
          <w:rFonts w:hint="eastAsia" w:ascii="宋体" w:hAnsi="宋体" w:cs="宋体"/>
          <w:color w:val="auto"/>
          <w:sz w:val="24"/>
          <w:szCs w:val="24"/>
          <w:highlight w:val="none"/>
        </w:rPr>
        <w:t xml:space="preserve">，厂址为</w:t>
      </w:r>
      <w:r>
        <w:rPr>
          <w:rFonts w:hint="eastAsia" w:ascii="宋体" w:hAnsi="宋体" w:cs="宋体"/>
          <w:color w:val="auto"/>
          <w:sz w:val="24"/>
          <w:szCs w:val="24"/>
          <w:highlight w:val="none"/>
          <w:u w:val="single"/>
        </w:rPr>
        <w:t xml:space="preserve">（生产厂址）</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的中国境内生产的组件成本占比≥</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vertAlign w:val="superscript"/>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vertAlign w:val="superscript"/>
        </w:rPr>
        <w:t xml:space="preserve">4</w:t>
      </w:r>
      <w:r>
        <w:rPr>
          <w:rFonts w:hint="eastAsia" w:ascii="宋体" w:hAnsi="宋体" w:cs="宋体"/>
          <w:color w:val="auto"/>
          <w:sz w:val="24"/>
          <w:szCs w:val="24"/>
          <w:highlight w:val="none"/>
        </w:rPr>
        <w:t xml:space="preserve">在中国境内生产。</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vertAlign w:val="superscript"/>
        </w:rPr>
        <w:t xml:space="preserve">5</w:t>
      </w:r>
      <w:r>
        <w:rPr>
          <w:rFonts w:hint="eastAsia" w:ascii="宋体" w:hAnsi="宋体" w:cs="宋体"/>
          <w:color w:val="auto"/>
          <w:sz w:val="24"/>
          <w:szCs w:val="24"/>
          <w:highlight w:val="none"/>
        </w:rPr>
        <w:t xml:space="preserve">在中国境内完成。</w:t>
      </w:r>
      <w:r/>
    </w:p>
    <w:p>
      <w:pPr>
        <w:ind w:left="40" w:right="40" w:firstLine="480"/>
        <w:jc w:val="left"/>
        <w:spacing w:after="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（产品名称2）</w:t>
      </w:r>
      <w:r>
        <w:rPr>
          <w:rFonts w:hint="eastAsia" w:ascii="宋体" w:hAnsi="宋体" w:cs="宋体"/>
          <w:color w:val="auto"/>
          <w:sz w:val="24"/>
          <w:szCs w:val="24"/>
          <w:highlight w:val="none"/>
        </w:rPr>
        <w:t xml:space="preserve">，生产厂为</w:t>
      </w:r>
      <w:r>
        <w:rPr>
          <w:rFonts w:hint="eastAsia" w:ascii="宋体" w:hAnsi="宋体" w:cs="宋体"/>
          <w:color w:val="auto"/>
          <w:sz w:val="24"/>
          <w:szCs w:val="24"/>
          <w:highlight w:val="none"/>
          <w:u w:val="single"/>
        </w:rPr>
        <w:t xml:space="preserve">（厂名）</w:t>
      </w:r>
      <w:r>
        <w:rPr>
          <w:rFonts w:hint="eastAsia" w:ascii="宋体" w:hAnsi="宋体" w:cs="宋体"/>
          <w:color w:val="auto"/>
          <w:sz w:val="24"/>
          <w:szCs w:val="24"/>
          <w:highlight w:val="none"/>
        </w:rPr>
        <w:t xml:space="preserve">，厂址为</w:t>
      </w:r>
      <w:r>
        <w:rPr>
          <w:rFonts w:hint="eastAsia" w:ascii="宋体" w:hAnsi="宋体" w:cs="宋体"/>
          <w:color w:val="auto"/>
          <w:sz w:val="24"/>
          <w:szCs w:val="24"/>
          <w:highlight w:val="none"/>
          <w:u w:val="single"/>
        </w:rPr>
        <w:t xml:space="preserve">（生产厂址）</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的中国境内生产的组件成本占比≥</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在中国境内生产。</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在中国境内完成</w:t>
      </w:r>
      <w:r>
        <w:rPr>
          <w:rFonts w:hint="eastAsia" w:ascii="宋体" w:hAnsi="宋体" w:cs="宋体"/>
          <w:color w:val="auto"/>
          <w:sz w:val="24"/>
          <w:szCs w:val="24"/>
          <w:highlight w:val="none"/>
          <w:shd w:val="clear" w:color="auto" w:fill="ffffff"/>
        </w:rPr>
        <w:t xml:space="preserve">。</w:t>
      </w:r>
      <w:r/>
    </w:p>
    <w:p>
      <w:pPr>
        <w:ind w:left="40" w:right="40" w:firstLine="480"/>
        <w:jc w:val="left"/>
        <w:spacing w:before="30" w:after="30"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w:t>
      </w:r>
      <w:r/>
    </w:p>
    <w:p>
      <w:pPr>
        <w:ind w:left="40" w:right="40" w:firstLine="480"/>
        <w:jc w:val="left"/>
        <w:spacing w:before="30" w:after="30"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本公司（单位）对上述声明内容的真实性负责。如有虚假，愿承担相应法律责任。</w:t>
      </w:r>
      <w:r/>
    </w:p>
    <w:p>
      <w:pPr>
        <w:ind w:left="40" w:right="40" w:firstLine="480"/>
        <w:jc w:val="left"/>
        <w:spacing w:before="30" w:after="3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40" w:right="480" w:firstLine="480"/>
        <w:jc w:val="right"/>
        <w:spacing w:before="30" w:after="30"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公司（单位）名称（盖章）：         </w:t>
      </w:r>
      <w:r/>
    </w:p>
    <w:p>
      <w:pPr>
        <w:ind w:left="40" w:right="40" w:firstLine="480"/>
        <w:jc w:val="center"/>
        <w:spacing w:before="30" w:after="30"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                                日期：    年    月     日 </w:t>
      </w:r>
      <w:r/>
    </w:p>
    <w:p>
      <w:pPr>
        <w:ind w:left="40" w:right="40"/>
        <w:jc w:val="left"/>
        <w:spacing w:before="30" w:after="30" w:line="360" w:lineRule="auto"/>
        <w:rPr>
          <w:rFonts w:hint="eastAsia" w:ascii="方正魏碑_GBK" w:hAnsi="方正魏碑_GBK"/>
          <w:color w:val="auto"/>
          <w:sz w:val="24"/>
          <w:szCs w:val="20"/>
          <w:highlight w:val="none"/>
        </w:rPr>
      </w:pPr>
      <w:r>
        <w:rPr>
          <w:rFonts w:ascii="方正魏碑_GBK" w:hAnsi="方正魏碑_GBK"/>
          <w:color w:val="auto"/>
          <w:sz w:val="24"/>
          <w:szCs w:val="20"/>
          <w:highlight w:val="none"/>
          <w:shd w:val="clear" w:color="auto" w:fill="ffffff"/>
        </w:rPr>
        <w:t xml:space="preserve">__________________</w:t>
      </w:r>
      <w:r/>
    </w:p>
    <w:p>
      <w:pPr>
        <w:ind w:right="40"/>
        <w:jc w:val="left"/>
        <w:spacing w:before="30" w:after="30" w:line="360" w:lineRule="auto"/>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1.产品如有型号，请在“产品名称”栏一并填写。</w:t>
      </w:r>
      <w:r/>
    </w:p>
    <w:p>
      <w:pPr>
        <w:ind w:right="40"/>
        <w:jc w:val="left"/>
        <w:spacing w:before="30" w:after="30" w:line="360" w:lineRule="auto"/>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p>
    <w:p>
      <w:pPr>
        <w:ind w:right="40"/>
        <w:jc w:val="left"/>
        <w:spacing w:before="30" w:after="30" w:line="360" w:lineRule="auto"/>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3.该产品的中国境内生产的组件成本占比相关要求实施前，“规定比例”栏可不填，下同。</w:t>
      </w:r>
      <w:r/>
    </w:p>
    <w:p>
      <w:pPr>
        <w:ind w:right="40"/>
        <w:jc w:val="left"/>
        <w:spacing w:before="30" w:after="30" w:line="360" w:lineRule="auto"/>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4.该产品的关键组件要求实施前，“关键组件”栏可不填，下同。</w:t>
      </w:r>
      <w:r/>
    </w:p>
    <w:p>
      <w:pPr>
        <w:ind w:right="40"/>
        <w:jc w:val="left"/>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5.该产品的关键工序要求实施前，“关键工序”栏可不填，下同。</w:t>
      </w:r>
      <w:r/>
    </w:p>
    <w:p>
      <w:pPr>
        <w:ind w:right="40"/>
        <w:jc w:val="left"/>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6.《声明函》中标注“</w:t>
      </w:r>
      <w:r>
        <w:rPr>
          <w:rFonts w:hint="eastAsia" w:ascii="宋体" w:hAnsi="宋体" w:cs="宋体"/>
          <w:color w:val="auto"/>
          <w:szCs w:val="21"/>
          <w:highlight w:val="none"/>
          <w:u w:val="single"/>
          <w:shd w:val="clear" w:color="auto" w:fill="ffffff"/>
        </w:rPr>
        <w:t xml:space="preserve">  /  </w:t>
      </w:r>
      <w:r>
        <w:rPr>
          <w:rFonts w:hint="eastAsia" w:ascii="宋体" w:hAnsi="宋体" w:cs="宋体"/>
          <w:color w:val="auto"/>
          <w:szCs w:val="21"/>
          <w:highlight w:val="none"/>
          <w:shd w:val="clear" w:color="auto" w:fill="ffffff"/>
        </w:rPr>
        <w:t xml:space="preserve">”的地方无需填写。</w:t>
      </w:r>
      <w:r/>
    </w:p>
    <w:p>
      <w:pPr>
        <w:spacing w:after="120" w:line="360" w:lineRule="auto"/>
        <w:widowControl/>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7.政府采购服务项目中涉及的货物需填写本表，不涉及无需填写。</w:t>
      </w:r>
      <w:r/>
    </w:p>
    <w:p>
      <w:pPr>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br w:type="page" w:clear="all"/>
      </w:r>
      <w:r/>
    </w:p>
    <w:p>
      <w:pPr>
        <w:spacing w:line="360" w:lineRule="auto"/>
        <w:widowControl/>
        <w:rPr>
          <w:rFonts w:ascii="宋体" w:hAnsi="宋体" w:cs="宋体"/>
          <w:b/>
          <w:color w:val="auto"/>
          <w:sz w:val="24"/>
          <w:szCs w:val="24"/>
          <w:highlight w:val="none"/>
        </w:rPr>
      </w:pPr>
      <w:r>
        <w:rPr>
          <w:rFonts w:hint="eastAsia" w:ascii="宋体" w:hAnsi="宋体" w:cs="宋体"/>
          <w:b/>
          <w:color w:val="auto"/>
          <w:sz w:val="24"/>
          <w:highlight w:val="none"/>
        </w:rPr>
        <w:t xml:space="preserve">格式</w:t>
      </w:r>
      <w:r>
        <w:rPr>
          <w:rFonts w:hint="eastAsia" w:ascii="宋体" w:hAnsi="宋体" w:cs="宋体"/>
          <w:b/>
          <w:color w:val="auto"/>
          <w:sz w:val="24"/>
          <w:szCs w:val="24"/>
          <w:highlight w:val="none"/>
        </w:rPr>
        <w:t xml:space="preserve">13、投标（响应）报价合理性澄清说明函</w:t>
      </w:r>
      <w:r/>
    </w:p>
    <w:p>
      <w:pPr>
        <w:spacing w:line="360" w:lineRule="auto"/>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投标（响应）报价合理性澄清说明函</w:t>
      </w:r>
      <w:r/>
    </w:p>
    <w:p>
      <w:pPr>
        <w:ind w:left="40" w:firstLine="420"/>
        <w:spacing w:after="120"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本公司愿就项目编号：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的采购活动进行投标，对于本公司的投标（响应）报价合理性作出说明如下：</w:t>
      </w:r>
      <w:r/>
    </w:p>
    <w:tbl>
      <w:tblPr>
        <w:tblStyle w:val="7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jc w:val="center"/>
          <w:trHeight w:val="3940"/>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ascii="宋体" w:hAnsi="宋体" w:cs="宋体"/>
                <w:b/>
                <w:color w:val="auto"/>
                <w:sz w:val="24"/>
                <w:szCs w:val="24"/>
                <w:highlight w:val="none"/>
                <w:shd w:val="pct10" w:color="auto" w:fill="ffffff"/>
              </w:rPr>
            </w:pPr>
            <w:r>
              <w:rPr>
                <w:rFonts w:hint="eastAsia" w:ascii="宋体" w:hAnsi="宋体" w:cs="宋体"/>
                <w:b/>
                <w:color w:val="auto"/>
                <w:sz w:val="24"/>
                <w:szCs w:val="24"/>
                <w:highlight w:val="none"/>
              </w:rPr>
              <w:t xml:space="preserve">供应商应根据实际情况自拟澄清说明，并按照评审委员会关于澄清的要求提供相关证明材料作为附件。</w:t>
            </w:r>
            <w:r/>
          </w:p>
        </w:tc>
      </w:tr>
    </w:tbl>
    <w:p>
      <w:pPr>
        <w:ind w:firstLine="482"/>
        <w:spacing w:line="360" w:lineRule="auto"/>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备注：根据采购文件第二章“磋商供应商须知”中的相关要求，评审委员会认为投标人的报价符合异常低价投标（响应）审查的情形时，应当要求相关供应商在评审现场合理的时间内，提供项目具体成本测算等与报价合理性相关的书面说明及相关证明材料（线上开评标项目可通过“苏采云”系统要求其提供），投标（响应）供应商不提供书面说明、证明材料，或者提供的书面说明、证明材料不能证明其报价合理性的，评审委员会应当将其作为无效投标（响应）处理。</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color w:val="auto"/>
          <w:highlight w:val="none"/>
        </w:rPr>
      </w:pPr>
      <w:r>
        <w:rPr>
          <w:color w:val="auto"/>
          <w:highlight w:val="none"/>
        </w:rPr>
      </w:r>
      <w:r/>
    </w:p>
    <w:p>
      <w:pPr>
        <w:pStyle w:val="781"/>
        <w:rPr>
          <w:color w:val="auto"/>
          <w:highlight w:val="none"/>
        </w:rPr>
      </w:pPr>
      <w:r>
        <w:rPr>
          <w:color w:val="auto"/>
          <w:highlight w:val="none"/>
        </w:rPr>
      </w:r>
      <w:r/>
    </w:p>
    <w:p>
      <w:pPr>
        <w:pStyle w:val="781"/>
        <w:ind w:firstLine="0"/>
        <w:rPr>
          <w:rFonts w:ascii="宋体" w:hAnsi="宋体"/>
          <w:b/>
          <w:color w:val="auto"/>
          <w:sz w:val="24"/>
          <w:highlight w:val="none"/>
        </w:rPr>
      </w:pPr>
      <w:r>
        <w:rPr>
          <w:rFonts w:ascii="宋体" w:hAnsi="宋体"/>
          <w:b/>
          <w:color w:val="auto"/>
          <w:sz w:val="24"/>
          <w:highlight w:val="none"/>
        </w:rPr>
      </w:r>
      <w:r/>
    </w:p>
    <w:p>
      <w:pPr>
        <w:pStyle w:val="781"/>
        <w:rPr>
          <w:rFonts w:ascii="宋体" w:hAnsi="宋体"/>
          <w:b/>
          <w:color w:val="auto"/>
          <w:sz w:val="24"/>
          <w:highlight w:val="none"/>
        </w:rPr>
      </w:pPr>
      <w:r>
        <w:rPr>
          <w:rFonts w:ascii="宋体" w:hAnsi="宋体"/>
          <w:b/>
          <w:color w:val="auto"/>
          <w:sz w:val="24"/>
          <w:highlight w:val="none"/>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outlineLvl w:val="0"/>
      </w:pPr>
      <w:r/>
      <w:bookmarkStart w:id="54" w:name="_Toc18073"/>
      <w:r/>
      <w:bookmarkStart w:id="55" w:name="_Toc514512745"/>
      <w:r>
        <w:rPr>
          <w:rFonts w:hint="eastAsia"/>
          <w:b/>
          <w:bCs/>
          <w:color w:val="auto"/>
          <w:sz w:val="44"/>
          <w:szCs w:val="44"/>
          <w:highlight w:val="none"/>
          <w:lang w:val="zh-CN"/>
        </w:rPr>
        <w:t xml:space="preserve">第四章、</w:t>
      </w:r>
      <w:bookmarkEnd w:id="0"/>
      <w:r/>
      <w:bookmarkEnd w:id="54"/>
      <w:r/>
      <w:bookmarkEnd w:id="55"/>
      <w:r>
        <w:rPr>
          <w:rFonts w:hint="eastAsia"/>
          <w:b/>
          <w:bCs/>
          <w:color w:val="auto"/>
          <w:sz w:val="44"/>
          <w:szCs w:val="44"/>
          <w:highlight w:val="none"/>
          <w:lang w:val="zh-CN"/>
        </w:rPr>
        <w:t xml:space="preserve">采购需求</w:t>
      </w:r>
      <w:r/>
    </w:p>
    <w:p>
      <w:pPr>
        <w:numPr>
          <w:ilvl w:val="0"/>
          <w:numId w:val="5"/>
        </w:numPr>
        <w:contextualSpacing/>
        <w:ind w:firstLine="420"/>
        <w:spacing w:line="360" w:lineRule="auto"/>
        <w:rPr>
          <w:rFonts w:ascii="宋体" w:hAnsi="宋体" w:cs="宋体"/>
          <w:b/>
          <w:color w:val="auto"/>
          <w:sz w:val="24"/>
          <w:szCs w:val="24"/>
          <w:highlight w:val="none"/>
        </w:rPr>
      </w:pPr>
      <w:r>
        <w:rPr>
          <w:rFonts w:ascii="宋体" w:hAnsi="宋体"/>
          <w:color w:val="auto"/>
          <w:szCs w:val="21"/>
          <w:highlight w:val="none"/>
          <w:u w:val="single"/>
        </w:rPr>
        <w:br w:type="page" w:clear="all"/>
      </w:r>
      <w:bookmarkStart w:id="56" w:name="_Toc390875524"/>
      <w:r/>
      <w:bookmarkEnd w:id="56"/>
      <w:r/>
      <w:bookmarkStart w:id="57" w:name="_Toc441220318"/>
      <w:r/>
      <w:bookmarkEnd w:id="57"/>
      <w:r/>
      <w:bookmarkStart w:id="58" w:name="_Toc390868108"/>
      <w:r/>
      <w:bookmarkEnd w:id="58"/>
      <w:r/>
      <w:bookmarkStart w:id="59" w:name="_Toc441221164"/>
      <w:r/>
      <w:bookmarkEnd w:id="59"/>
      <w:r>
        <w:rPr>
          <w:rFonts w:hint="eastAsia" w:ascii="宋体" w:hAnsi="宋体" w:cs="宋体"/>
          <w:b/>
          <w:color w:val="auto"/>
          <w:sz w:val="24"/>
          <w:szCs w:val="24"/>
          <w:highlight w:val="none"/>
        </w:rPr>
        <w:t xml:space="preserve">目的</w:t>
      </w:r>
      <w:r/>
    </w:p>
    <w:p>
      <w:pPr>
        <w:ind w:firstLine="480"/>
        <w:spacing w:line="360" w:lineRule="auto"/>
        <w:tabs>
          <w:tab w:val="left" w:pos="709" w:leader="none"/>
        </w:tabs>
        <w:rPr>
          <w:rFonts w:ascii="宋体" w:hAnsi="宋体"/>
          <w:color w:val="auto"/>
          <w:sz w:val="24"/>
          <w:szCs w:val="24"/>
          <w:highlight w:val="none"/>
        </w:rPr>
      </w:pPr>
      <w:r>
        <w:rPr>
          <w:color w:val="auto"/>
          <w:sz w:val="24"/>
          <w:szCs w:val="24"/>
          <w:highlight w:val="none"/>
        </w:rPr>
        <w:t xml:space="preserve">结合国家教材，有效帮助学生理解基因工程、微生物培养、酶工程等知识，使学生通过实验操作，对现代生物技术手段有更直观的认识，做到理论与实践的有机结合，提升学生实验操作能力、科学探究能力和逻辑思维，促进学生生物学科核心素养的提升。</w:t>
      </w:r>
      <w:r/>
    </w:p>
    <w:p>
      <w:pPr>
        <w:numPr>
          <w:ilvl w:val="0"/>
          <w:numId w:val="5"/>
        </w:num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服务要求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1、受益对象和受益面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普及性课程：星海实验初级中学2024级选修生物的学生，园区教育局直属高中学校其他三所学校2025级选修生物的学生；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社团课程：苏州大学附属中学2026级选修生物的学生。</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2、实施内容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1.普及性实验课程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星海实验初级中学两个校区高三学生，其余三所学校高二学生，预计人数约3000人，具体以实际人数为准。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2.现代生物技术社团活动课程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针对苏州大学附属中学在校学生开设现代生物技术社团活动课程，授课总人数约40人，具体以实际人数为准。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rPr>
          <w:rFonts w:ascii="宋体" w:hAnsi="宋体" w:cs="宋体"/>
          <w:b/>
          <w:bCs/>
          <w:color w:val="auto"/>
          <w:sz w:val="24"/>
          <w:szCs w:val="24"/>
          <w:highlight w:val="none"/>
        </w:rPr>
        <w:t xml:space="preserve">课程描述</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1.普及性实验课程</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（1）依据“生物新课标”P29 5.1.2 “阐明DNA重组技术的实验需要利用限制性内切核酸酶、DNA连接酶和载体三种工具。”设计一个实验，介绍限制性内切酶、连接酶及质粒在DNA重组技术中的作用，介绍质粒构建的方法。</w:t>
      </w:r>
      <w:r>
        <w:rPr>
          <w:rFonts w:hint="eastAsia" w:ascii="宋体" w:hAnsi="宋体" w:cs="宋体"/>
          <w:color w:val="auto"/>
          <w:sz w:val="24"/>
          <w:szCs w:val="24"/>
          <w:highlight w:val="none"/>
        </w:rPr>
        <w:t xml:space="preserve">课时</w:t>
      </w:r>
      <w:r>
        <w:rPr>
          <w:rFonts w:ascii="宋体" w:hAnsi="宋体" w:cs="宋体"/>
          <w:color w:val="auto"/>
          <w:sz w:val="24"/>
          <w:szCs w:val="24"/>
          <w:highlight w:val="none"/>
        </w:rPr>
        <w:t xml:space="preserve">时长2课时。</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（2）依据“生物新课标”P29 5.1.3 “阐明基因工程的基本操作程序主要包括目的基因的获取、基因表达载体的构建、目的基因导入受体细胞和目的基因及其表达产物的检测鉴定等步骤。”设计一个实验，完成目的基因导入受体细胞和目的基因及其表达产物的鉴定的操作步骤，完成目的基因及表达产物鉴定的，同时</w:t>
      </w:r>
      <w:r>
        <w:rPr>
          <w:rFonts w:hint="eastAsia" w:ascii="宋体" w:hAnsi="宋体" w:cs="宋体"/>
          <w:color w:val="auto"/>
          <w:sz w:val="24"/>
          <w:szCs w:val="24"/>
          <w:highlight w:val="none"/>
        </w:rPr>
        <w:t xml:space="preserve">学习</w:t>
      </w:r>
      <w:r>
        <w:rPr>
          <w:rFonts w:ascii="宋体" w:hAnsi="宋体" w:cs="宋体"/>
          <w:color w:val="auto"/>
          <w:sz w:val="24"/>
          <w:szCs w:val="24"/>
          <w:highlight w:val="none"/>
        </w:rPr>
        <w:t xml:space="preserve">微生物划线及涂布的接种方式。</w:t>
      </w:r>
      <w:r>
        <w:rPr>
          <w:rFonts w:hint="eastAsia" w:ascii="宋体" w:hAnsi="宋体" w:cs="宋体"/>
          <w:color w:val="auto"/>
          <w:sz w:val="24"/>
          <w:szCs w:val="24"/>
          <w:highlight w:val="none"/>
        </w:rPr>
        <w:t xml:space="preserve">课时</w:t>
      </w:r>
      <w:r>
        <w:rPr>
          <w:rFonts w:ascii="宋体" w:hAnsi="宋体" w:cs="宋体"/>
          <w:color w:val="auto"/>
          <w:sz w:val="24"/>
          <w:szCs w:val="24"/>
          <w:highlight w:val="none"/>
        </w:rPr>
        <w:t xml:space="preserve">时长3课时。</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2.现代生物技术社团活动课程（生物选修课程）</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课程内容为DNA条形码系列实验。拟包括以下内容：①DNA条形码简介、样方法取样；②样品的拍照、存档与记录；③ DNA样品的提取（whatman法）；④DNA样品的提取（Silica方法）；⑤PCR目的条带的扩增；⑥琼脂糖凝胶电泳检测PCR产物；⑦介绍桑格测序法与DNA序列分析；⑧介绍DNA Subway 软件；⑨介绍系统发育树；⑩生成系统发育树；⑪科学海报写作指导；⑫生成海报汇报。</w:t>
      </w:r>
      <w:r/>
    </w:p>
    <w:p>
      <w:pPr>
        <w:numPr>
          <w:ilvl w:val="0"/>
          <w:numId w:val="5"/>
        </w:numPr>
        <w:contextualSpacing/>
        <w:ind w:firstLine="482"/>
        <w:keepLines w:val="0"/>
        <w:keepNext w:val="0"/>
        <w:pageBreakBefore w:val="0"/>
        <w:spacing w:line="360"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人员要求</w:t>
      </w:r>
      <w:r/>
    </w:p>
    <w:p>
      <w:pPr>
        <w:pStyle w:val="781"/>
        <w:ind w:firstLine="480"/>
        <w:keepLines w:val="0"/>
        <w:keepNext w:val="0"/>
        <w:pageBreakBefore w:val="0"/>
        <w:spacing w:after="0"/>
        <w:widowControl w:val="off"/>
        <w:rPr>
          <w:rFonts w:ascii="宋体" w:hAnsi="宋体" w:cs="宋体"/>
          <w:b/>
          <w:color w:val="auto"/>
          <w:sz w:val="24"/>
          <w:szCs w:val="24"/>
          <w:highlight w:val="none"/>
        </w:rPr>
      </w:pPr>
      <w:r>
        <w:rPr>
          <w:rFonts w:hint="eastAsia" w:ascii="宋体" w:hAnsi="宋体" w:cs="宋体"/>
          <w:color w:val="auto"/>
          <w:sz w:val="24"/>
          <w:szCs w:val="24"/>
          <w:highlight w:val="none"/>
        </w:rPr>
        <w:t xml:space="preserve">响应单位人员和设施要求：</w:t>
      </w:r>
      <w:r>
        <w:rPr>
          <w:rFonts w:hint="eastAsia" w:ascii="宋体" w:hAnsi="宋体" w:cs="宋体"/>
          <w:b/>
          <w:bCs/>
          <w:color w:val="auto"/>
          <w:sz w:val="24"/>
          <w:szCs w:val="24"/>
          <w:highlight w:val="none"/>
        </w:rPr>
        <w:t xml:space="preserve">响应单位专业人员不少于5人，</w:t>
      </w:r>
      <w:r>
        <w:rPr>
          <w:rFonts w:hint="eastAsia" w:ascii="宋体" w:hAnsi="宋体" w:cs="宋体"/>
          <w:color w:val="auto"/>
          <w:sz w:val="24"/>
          <w:szCs w:val="24"/>
          <w:highlight w:val="none"/>
        </w:rPr>
        <w:t xml:space="preserve">且有必要的实验分析设备。</w:t>
      </w:r>
      <w:bookmarkStart w:id="66" w:name="_GoBack"/>
      <w:r/>
      <w:bookmarkEnd w:id="66"/>
      <w:r/>
      <w:r/>
    </w:p>
    <w:p>
      <w:pPr>
        <w:numPr>
          <w:ilvl w:val="0"/>
          <w:numId w:val="5"/>
        </w:numPr>
        <w:contextualSpacing/>
        <w:ind w:firstLine="482"/>
        <w:keepLines w:val="0"/>
        <w:keepNext w:val="0"/>
        <w:pageBreakBefore w:val="0"/>
        <w:spacing w:line="360"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综合说明及要求</w:t>
      </w:r>
      <w:r/>
    </w:p>
    <w:p>
      <w:pPr>
        <w:numPr>
          <w:ilvl w:val="0"/>
          <w:numId w:val="6"/>
        </w:numPr>
        <w:ind w:firstLine="480"/>
        <w:keepLines w:val="0"/>
        <w:keepNext w:val="0"/>
        <w:pageBreakBefore w:val="0"/>
        <w:spacing w:line="360" w:lineRule="auto"/>
        <w:widowControl w:val="off"/>
        <w:rPr>
          <w:rFonts w:ascii="宋体" w:hAnsi="宋体" w:cs="宋体"/>
          <w:color w:val="auto"/>
          <w:sz w:val="24"/>
          <w:szCs w:val="20"/>
          <w:highlight w:val="none"/>
        </w:rPr>
      </w:pPr>
      <w:r>
        <w:rPr>
          <w:rFonts w:hint="eastAsia" w:ascii="宋体" w:hAnsi="宋体" w:cs="宋体"/>
          <w:color w:val="auto"/>
          <w:sz w:val="24"/>
          <w:szCs w:val="20"/>
          <w:highlight w:val="none"/>
        </w:rPr>
        <w:t xml:space="preserve">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w:t>
      </w:r>
      <w:r>
        <w:rPr>
          <w:rFonts w:hint="eastAsia" w:ascii="宋体" w:hAnsi="宋体"/>
          <w:color w:val="auto"/>
          <w:sz w:val="24"/>
          <w:szCs w:val="24"/>
          <w:highlight w:val="none"/>
        </w:rPr>
        <w:t xml:space="preserve">供应商</w:t>
      </w:r>
      <w:r>
        <w:rPr>
          <w:rFonts w:hint="eastAsia" w:ascii="宋体" w:hAnsi="宋体"/>
          <w:bCs/>
          <w:color w:val="auto"/>
          <w:sz w:val="24"/>
          <w:szCs w:val="24"/>
          <w:highlight w:val="none"/>
        </w:rPr>
        <w:t xml:space="preserve">所提供的服务必须符合国家相关标准，必须满足本次采购的要求，若所提供的服务无法满足采购方的需求，造成的损失和后果由成交供应商负全责。</w:t>
      </w:r>
      <w:r/>
    </w:p>
    <w:p>
      <w:pPr>
        <w:numPr>
          <w:ilvl w:val="0"/>
          <w:numId w:val="6"/>
        </w:num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响应总报价包括完成该项工作所需的全部服务和货物的报价包括劳务、材料、耗材、分析、专利、知识产权、配套费用、设备、工具、保险、劳保、代理服务费、税费及服务相关等所发生的全部费用以及企业利润、税金和政策性文件规定及合同包含的所有风险、责任等各项应有费用。响应报价为最终报价，除非因特殊原因并经买卖双方协商同意，响应单位不得再要求追加任何费用。同时，除非合同条款中另有规定，否则，响应单位所报价格在合同实施期间不因市场变化因素而变动。</w:t>
      </w:r>
      <w:r/>
    </w:p>
    <w:p>
      <w:pPr>
        <w:numPr>
          <w:ilvl w:val="0"/>
          <w:numId w:val="6"/>
        </w:num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响应单位必须承诺采购文件中提出的全部要求，如果其中某些条款不响应时，应在文件中逐条列出，未列出的视同响应。</w:t>
      </w:r>
      <w:r/>
    </w:p>
    <w:p>
      <w:pPr>
        <w:numPr>
          <w:ilvl w:val="0"/>
          <w:numId w:val="6"/>
        </w:num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供应商所需的全部设备和消耗材料均由供应商自行负责提供，并自行承担相应费用，采购人不再为此承担任何费用和责任。</w:t>
      </w:r>
      <w:r/>
    </w:p>
    <w:p>
      <w:pPr>
        <w:numPr>
          <w:ilvl w:val="0"/>
          <w:numId w:val="6"/>
        </w:num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供应商对服务缺陷不予更正的，采购人有权另请其他单位进行更正，所发生的费用由成交单位承担。</w:t>
      </w:r>
      <w:r/>
    </w:p>
    <w:p>
      <w:pPr>
        <w:numPr>
          <w:ilvl w:val="0"/>
          <w:numId w:val="6"/>
        </w:num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政府采购政策：</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w:t>
      </w:r>
      <w:r/>
    </w:p>
    <w:p>
      <w:pPr>
        <w:ind w:firstLine="480"/>
        <w:spacing w:line="360" w:lineRule="auto"/>
        <w:widowControl/>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numPr>
          <w:ilvl w:val="0"/>
          <w:numId w:val="7"/>
        </w:numPr>
        <w:ind w:firstLine="480"/>
        <w:spacing w:line="360" w:lineRule="auto"/>
        <w:widowControl/>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numPr>
          <w:ilvl w:val="0"/>
          <w:numId w:val="7"/>
        </w:numPr>
        <w:ind w:firstLine="480"/>
        <w:jc w:val="left"/>
        <w:spacing w:line="360" w:lineRule="auto"/>
        <w:rPr>
          <w:rFonts w:ascii="宋体" w:hAnsi="宋体"/>
          <w:color w:val="auto"/>
          <w:sz w:val="24"/>
          <w:szCs w:val="24"/>
          <w:highlight w:val="none"/>
        </w:rPr>
      </w:pPr>
      <w:r>
        <w:rPr>
          <w:rFonts w:hint="eastAsia"/>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b/>
          <w:color w:val="auto"/>
          <w:sz w:val="24"/>
          <w:szCs w:val="24"/>
          <w:highlight w:val="none"/>
        </w:rPr>
        <w:t xml:space="preserve">服务类项目中供应商若使用退休人员，将不享受中小企业扶持政策。</w:t>
      </w:r>
      <w:r/>
    </w:p>
    <w:p>
      <w:pPr>
        <w:numPr>
          <w:ilvl w:val="0"/>
          <w:numId w:val="7"/>
        </w:numPr>
        <w:ind w:firstLine="480"/>
        <w:spacing w:line="360" w:lineRule="auto"/>
        <w:widowControl/>
        <w:tabs>
          <w:tab w:val="left" w:pos="567" w:leader="none"/>
        </w:tabs>
        <w:rPr>
          <w:rFonts w:ascii="Calibri" w:hAnsi="Calibri" w:cs="宋体"/>
          <w:color w:val="auto"/>
          <w:sz w:val="24"/>
          <w:szCs w:val="24"/>
          <w:highlight w:val="none"/>
        </w:rPr>
      </w:pPr>
      <w:r>
        <w:rPr>
          <w:rFonts w:hint="eastAsia" w:ascii="宋体" w:hAnsi="宋体" w:cs="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p>
      <w:pPr>
        <w:numPr>
          <w:ilvl w:val="0"/>
          <w:numId w:val="7"/>
        </w:num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7"/>
        </w:numPr>
        <w:ind w:firstLine="482"/>
        <w:jc w:val="left"/>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本项目</w:t>
      </w:r>
      <w:r>
        <w:rPr>
          <w:rFonts w:hint="eastAsia" w:ascii="宋体" w:hAnsi="宋体"/>
          <w:b/>
          <w:bCs/>
          <w:color w:val="auto"/>
          <w:sz w:val="24"/>
          <w:szCs w:val="24"/>
          <w:highlight w:val="none"/>
          <w:u w:val="single"/>
        </w:rPr>
        <w:t xml:space="preserve"> 非专门 </w:t>
      </w:r>
      <w:r>
        <w:rPr>
          <w:rFonts w:hint="eastAsia" w:ascii="宋体" w:hAnsi="宋体"/>
          <w:b/>
          <w:bCs/>
          <w:color w:val="auto"/>
          <w:sz w:val="24"/>
          <w:szCs w:val="24"/>
          <w:highlight w:val="none"/>
        </w:rPr>
        <w:t xml:space="preserve">面向中小企业采购</w:t>
      </w:r>
      <w:r>
        <w:rPr>
          <w:rFonts w:hint="eastAsia" w:ascii="宋体" w:hAnsi="宋体"/>
          <w:color w:val="auto"/>
          <w:sz w:val="24"/>
          <w:szCs w:val="24"/>
          <w:highlight w:val="none"/>
        </w:rPr>
        <w:t xml:space="preserve">，对属于小型、微型企业产品或服务的价格给予20％的扣除，用扣除后的价格参与评审。</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（2）残疾人福利性单位</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（3）监狱企业</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（4）绿色采购</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②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（5）信用记录</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5.1采购代理机构会在接收响应文件截止时间后，登录信用中国网站（www.creditchina.gov.cn/）和中国政府采购网（www.ccgp.gov.cn/）查询供应商的信用记录，并将查询结果递交评审小组。</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5.3供应商若在经营活动中受到罚款的，请携带相关地方、部门对较大数额认定标准的证明材料，与响应文件一并提交。若无法提供，则可能承担响应无效等相应不利后果。</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5.4对存在失信信息的供应商，由失信供应商进行确认。同时，采购代理机构工作人员应根据评审小组确认的失信信息，登录到相关来源网站页面进行复核并打印，作为证据留存。</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s="宋体"/>
          <w:color w:val="auto"/>
          <w:sz w:val="24"/>
          <w:szCs w:val="24"/>
          <w:highlight w:val="none"/>
        </w:rPr>
        <w:t xml:space="preserve">实施本国产品标准及相关政策</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☑本项目为服务项目，不涉及货物，不涉及以下内容。</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□本项目为服务项目，但涉及货物，需要执行以下内容：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6.1根据《国务院办公厅关于在政府采购中实施本国产品标准及相关政策的通知》（国办发〔2025〕34号）的规定，本项目对采购本国产品给予政策支持。</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6.4本项目政府采购活动中既有本国产品又有非本国产品参与竞争的，依法对本国产品给予价格评审优惠，对本国产品的报价给予</w:t>
      </w:r>
      <w:r>
        <w:rPr>
          <w:rFonts w:hint="eastAsia" w:ascii="宋体" w:hAnsi="宋体" w:cs="宋体"/>
          <w:color w:val="auto"/>
          <w:sz w:val="24"/>
          <w:szCs w:val="24"/>
          <w:highlight w:val="none"/>
          <w:u w:val="single"/>
        </w:rPr>
        <w:t xml:space="preserve">20%</w:t>
      </w:r>
      <w:r>
        <w:rPr>
          <w:rFonts w:hint="eastAsia" w:ascii="宋体" w:hAnsi="宋体" w:cs="宋体"/>
          <w:color w:val="auto"/>
          <w:sz w:val="24"/>
          <w:szCs w:val="24"/>
          <w:highlight w:val="none"/>
        </w:rPr>
        <w:t xml:space="preserve">的价格扣除，用扣除后的价格参与评审。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 w:val="24"/>
          <w:szCs w:val="24"/>
          <w:highlight w:val="none"/>
          <w:u w:val="single"/>
        </w:rPr>
        <w:t xml:space="preserve">80%</w:t>
      </w:r>
      <w:r>
        <w:rPr>
          <w:rFonts w:hint="eastAsia" w:ascii="宋体" w:hAnsi="宋体" w:cs="宋体"/>
          <w:color w:val="auto"/>
          <w:sz w:val="24"/>
          <w:szCs w:val="24"/>
          <w:highlight w:val="none"/>
        </w:rPr>
        <w:t xml:space="preserve">以上时，依法对该供应商提供的全部产品给予价格评审优惠，即对该供应商提供的全部产品的总报价给予</w:t>
      </w:r>
      <w:r>
        <w:rPr>
          <w:rFonts w:hint="eastAsia" w:ascii="宋体" w:hAnsi="宋体" w:cs="宋体"/>
          <w:color w:val="auto"/>
          <w:sz w:val="24"/>
          <w:szCs w:val="24"/>
          <w:highlight w:val="none"/>
          <w:u w:val="single"/>
        </w:rPr>
        <w:t xml:space="preserve">20%</w:t>
      </w:r>
      <w:r>
        <w:rPr>
          <w:rFonts w:hint="eastAsia" w:ascii="宋体" w:hAnsi="宋体" w:cs="宋体"/>
          <w:color w:val="auto"/>
          <w:sz w:val="24"/>
          <w:szCs w:val="24"/>
          <w:highlight w:val="none"/>
        </w:rPr>
        <w:t xml:space="preserve">的价格扣除，用扣除后的价格参与评审。</w:t>
      </w:r>
      <w:r>
        <w:rPr>
          <w:rFonts w:hint="eastAsia" w:ascii="宋体" w:hAnsi="宋体" w:cs="宋体"/>
          <w:b/>
          <w:color w:val="auto"/>
          <w:sz w:val="24"/>
          <w:szCs w:val="24"/>
          <w:highlight w:val="none"/>
        </w:rPr>
        <w:t xml:space="preserve">供应商未填写比例数值，或比例数值未达到80%的，将不享受本国产品价格评审优惠。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6.5供应商需按照招标文件的要求提供《关于符合本国产品标准的声明函》（以下简称《声明函》）或财政部会同有关部门规定的有关证明文件的，</w:t>
      </w:r>
      <w:r>
        <w:rPr>
          <w:rFonts w:hint="eastAsia" w:ascii="宋体" w:hAnsi="宋体" w:cs="宋体"/>
          <w:b/>
          <w:color w:val="auto"/>
          <w:sz w:val="24"/>
          <w:szCs w:val="24"/>
          <w:highlight w:val="none"/>
        </w:rPr>
        <w:t xml:space="preserve">如不提供或提供不符要求的将不享受本国产品价格评审优惠。</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6.6供应商需在《声明函》中逐一、准确填写产品名称、厂名、生产厂址三项信息（《声明函》中标注</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的地方无需填写），</w:t>
      </w:r>
      <w:r>
        <w:rPr>
          <w:rFonts w:hint="eastAsia" w:ascii="宋体" w:hAnsi="宋体" w:cs="宋体"/>
          <w:b/>
          <w:color w:val="auto"/>
          <w:sz w:val="24"/>
          <w:szCs w:val="24"/>
          <w:highlight w:val="none"/>
        </w:rPr>
        <w:t xml:space="preserve">三项信息中任意一项未填写的视为该项产品不符合本国产品标准，不享受本国产品价格评审优惠。</w:t>
      </w:r>
      <w:r/>
    </w:p>
    <w:p>
      <w:pPr>
        <w:ind w:firstLine="480"/>
        <w:jc w:val="left"/>
        <w:spacing w:after="12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b/>
          <w:color w:val="auto"/>
          <w:sz w:val="24"/>
          <w:szCs w:val="24"/>
          <w:highlight w:val="none"/>
        </w:rPr>
        <w:t xml:space="preserve">，供应商提供的相关产品视为不符合本国产品标准。</w:t>
      </w:r>
      <w:r/>
    </w:p>
    <w:p>
      <w:pPr>
        <w:pStyle w:val="781"/>
        <w:rPr>
          <w:color w:val="auto"/>
          <w:highlight w:val="none"/>
        </w:rPr>
      </w:pPr>
      <w:r>
        <w:rPr>
          <w:color w:val="auto"/>
          <w:highlight w:val="none"/>
        </w:rPr>
      </w:r>
      <w:r/>
    </w:p>
    <w:p>
      <w:pPr>
        <w:contextualSpacing/>
        <w:ind w:firstLine="480"/>
        <w:jc w:val="left"/>
        <w:spacing w:line="360" w:lineRule="auto"/>
        <w:rPr>
          <w:color w:val="auto"/>
          <w:highlight w:val="none"/>
        </w:rPr>
      </w:pPr>
      <w:r>
        <w:rPr>
          <w:color w:val="auto"/>
          <w:highlight w:val="none"/>
        </w:rPr>
        <w:br w:type="page" w:clear="all"/>
      </w:r>
      <w:r/>
    </w:p>
    <w:p>
      <w:pP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outlineLvl w:val="0"/>
      </w:pPr>
      <w:r/>
      <w:bookmarkStart w:id="60" w:name="_Toc514512746"/>
      <w:r/>
      <w:bookmarkStart w:id="61" w:name="_Toc24023"/>
      <w:r>
        <w:rPr>
          <w:rFonts w:hint="eastAsia"/>
          <w:b/>
          <w:bCs/>
          <w:color w:val="auto"/>
          <w:sz w:val="44"/>
          <w:szCs w:val="44"/>
          <w:highlight w:val="none"/>
        </w:rPr>
        <w:t xml:space="preserve">第五章、合同主要条款</w:t>
      </w:r>
      <w:bookmarkEnd w:id="60"/>
      <w:r/>
      <w:bookmarkEnd w:id="61"/>
      <w:r/>
      <w:r/>
    </w:p>
    <w:p>
      <w:pPr>
        <w:jc w:val="center"/>
        <w:rPr>
          <w:b/>
          <w:color w:val="auto"/>
          <w:sz w:val="32"/>
          <w:szCs w:val="32"/>
          <w:highlight w:val="none"/>
        </w:rPr>
      </w:pPr>
      <w:r>
        <w:rPr>
          <w:rFonts w:eastAsia="楷体_GB2312"/>
          <w:color w:val="auto"/>
          <w:sz w:val="26"/>
          <w:szCs w:val="20"/>
          <w:highlight w:val="none"/>
        </w:rPr>
        <w:br w:type="page" w:clear="all"/>
      </w:r>
      <w:r>
        <w:rPr>
          <w:rFonts w:hint="eastAsia"/>
          <w:b/>
          <w:color w:val="auto"/>
          <w:sz w:val="32"/>
          <w:szCs w:val="32"/>
          <w:highlight w:val="none"/>
        </w:rPr>
        <w:t xml:space="preserve">政府采购合同</w:t>
      </w:r>
      <w:r/>
    </w:p>
    <w:p>
      <w:pPr>
        <w:pStyle w:val="827"/>
        <w:rPr>
          <w:color w:val="auto"/>
          <w:highlight w:val="none"/>
        </w:rPr>
      </w:pPr>
      <w:r>
        <w:rPr>
          <w:color w:val="auto"/>
          <w:highlight w:val="none"/>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项目名称：                       </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项目编号：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甲方（采购单位）：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乙方（成交单位）：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根据采购编号</w:t>
      </w:r>
      <w:r>
        <w:rPr>
          <w:rFonts w:hint="eastAsia" w:ascii="宋体" w:hAnsi="宋体" w:cs="宋体"/>
          <w:color w:val="auto"/>
          <w:sz w:val="24"/>
          <w:szCs w:val="24"/>
          <w:highlight w:val="none"/>
          <w:u w:val="single"/>
        </w:rPr>
        <w:t xml:space="preserve">JSZC-320591-LHZX-C2026-0017</w:t>
      </w:r>
      <w:r>
        <w:rPr>
          <w:rFonts w:hint="eastAsia" w:ascii="宋体" w:hAnsi="宋体" w:cs="宋体"/>
          <w:color w:val="auto"/>
          <w:sz w:val="24"/>
          <w:szCs w:val="24"/>
          <w:highlight w:val="none"/>
        </w:rPr>
        <w:t xml:space="preserve">采购文件及成交通知书，甲乙双方根据《中华人民共和国民法典》、《中华人民共和国政府采购法》及有关法律、法规的规定，遵循平等自愿、公平和诚实信用的原则，就</w:t>
      </w:r>
      <w:r>
        <w:rPr>
          <w:rFonts w:hint="eastAsia" w:ascii="宋体" w:hAnsi="宋体" w:cs="宋体"/>
          <w:color w:val="auto"/>
          <w:sz w:val="24"/>
          <w:szCs w:val="24"/>
          <w:highlight w:val="none"/>
          <w:u w:val="single"/>
        </w:rPr>
        <w:t xml:space="preserve">现代生物技术创新实验课程</w:t>
      </w:r>
      <w:r>
        <w:rPr>
          <w:rFonts w:hint="eastAsia" w:ascii="宋体" w:hAnsi="宋体" w:cs="宋体"/>
          <w:color w:val="auto"/>
          <w:sz w:val="24"/>
          <w:szCs w:val="24"/>
          <w:highlight w:val="none"/>
        </w:rPr>
        <w:t xml:space="preserve">有关事项协商一致，共同达成如下协议：</w:t>
      </w:r>
      <w:r/>
    </w:p>
    <w:p>
      <w:pPr>
        <w:numPr>
          <w:ilvl w:val="0"/>
          <w:numId w:val="8"/>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合同文件：</w:t>
      </w:r>
      <w:r/>
    </w:p>
    <w:p>
      <w:p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下列文件为本合同不可分割部分：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①本项目采购文件；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②成交供应商响应文件；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③合同条款；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④成交供应商做出的有关澄清、说明或者补正文件；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⑤确定成交供应商的文件（包括但不限于中标通知书、成交通知书等）；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⑥本合同附件。</w:t>
      </w:r>
      <w:r/>
    </w:p>
    <w:p>
      <w:pPr>
        <w:numPr>
          <w:ilvl w:val="0"/>
          <w:numId w:val="8"/>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服务内容及要求：</w:t>
      </w:r>
      <w:r/>
    </w:p>
    <w:p>
      <w:pPr>
        <w:numPr>
          <w:ilvl w:val="1"/>
          <w:numId w:val="8"/>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本合同项下乙方所提供的服务内容为：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numPr>
          <w:ilvl w:val="1"/>
          <w:numId w:val="8"/>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乙方提供的服务应符合采购文件、投标（响应）文件的服务标准及乙方做出的书面澄清及承诺。</w:t>
      </w:r>
      <w:r/>
    </w:p>
    <w:p>
      <w:pPr>
        <w:numPr>
          <w:ilvl w:val="0"/>
          <w:numId w:val="8"/>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合同金额与支付方式：</w:t>
      </w:r>
      <w:r/>
    </w:p>
    <w:p>
      <w:pPr>
        <w:numPr>
          <w:ilvl w:val="1"/>
          <w:numId w:val="8"/>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合同总金额为：</w:t>
      </w:r>
      <w:r>
        <w:rPr>
          <w:rFonts w:hint="eastAsia" w:ascii="宋体" w:hAnsi="宋体" w:cs="宋体"/>
          <w:color w:val="auto"/>
          <w:sz w:val="24"/>
          <w:szCs w:val="24"/>
          <w:highlight w:val="none"/>
          <w:u w:val="single"/>
        </w:rPr>
        <w:t xml:space="preserve">人民币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价格包括完成该项工作所需的全部服务和货物的报价包括劳务、材料、耗材、分析、专利、知识产权、配套费用、设备、工具、保险、劳保、代理服务费、税费及服务相关等所发生的全部费用以及企业利润、税金和政策性文件规定及合同包含的所有风险、责任等各项应有费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在合同履行过程中，采购人需追加与合同标的物相同的服务的，在不改变合同其他条款的前提下，可以与成交供应商签订补充合同，但所有补充合同的采购金额不得超过原合同采购金额的百分之十。</w:t>
      </w:r>
      <w:r/>
    </w:p>
    <w:p>
      <w:pPr>
        <w:numPr>
          <w:ilvl w:val="1"/>
          <w:numId w:val="8"/>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付款方式：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合同签订生效后，2026年12月底之前支付合同金额的50%，待项目验收合格后，由甲方向乙方一次性支付剩余余款。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付款前，乙方需向甲方提供：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A、合格发票；</w:t>
      </w:r>
      <w:r/>
    </w:p>
    <w:p>
      <w:pPr>
        <w:ind w:firstLine="48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B、</w:t>
      </w:r>
      <w:r>
        <w:rPr>
          <w:rFonts w:hint="eastAsia" w:ascii="宋体" w:hAnsi="宋体"/>
          <w:color w:val="auto"/>
          <w:sz w:val="24"/>
          <w:highlight w:val="none"/>
        </w:rPr>
        <w:t xml:space="preserve">政府采购履约验收书</w:t>
      </w:r>
      <w:r>
        <w:rPr>
          <w:rFonts w:hint="eastAsia" w:ascii="宋体" w:hAnsi="宋体"/>
          <w:color w:val="auto"/>
          <w:sz w:val="24"/>
          <w:szCs w:val="24"/>
          <w:highlight w:val="none"/>
        </w:rPr>
        <w:t xml:space="preserve">。</w:t>
      </w:r>
      <w:r/>
    </w:p>
    <w:p>
      <w:pPr>
        <w:numPr>
          <w:ilvl w:val="1"/>
          <w:numId w:val="8"/>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付款约定：甲方根据乙方在本合同中所提供银行开户信息转账支付。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乙方开户名称：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数字人民币账号：</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10个工作日书面通知甲方，否则产生的一切责任、因变更引起的额外费用由乙方承担。</w:t>
      </w:r>
      <w:r/>
    </w:p>
    <w:p>
      <w:pPr>
        <w:numPr>
          <w:ilvl w:val="0"/>
          <w:numId w:val="8"/>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服务履行地点、期限</w:t>
      </w:r>
      <w:r/>
    </w:p>
    <w:p>
      <w:pPr>
        <w:numPr>
          <w:ilvl w:val="1"/>
          <w:numId w:val="8"/>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服务履行地点：采购单位指定地点（苏州市范围内）。</w:t>
      </w:r>
      <w:r/>
    </w:p>
    <w:p>
      <w:pPr>
        <w:numPr>
          <w:ilvl w:val="1"/>
          <w:numId w:val="8"/>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合同履行期限：普及性课程授课时间为2026年秋季、2027年春季；社会团活动课程开课时间为2026年秋季(或2027年春季)。2027年7月30日之前完成所有课程服务。</w:t>
      </w:r>
      <w:r/>
    </w:p>
    <w:p>
      <w:pPr>
        <w:numPr>
          <w:ilvl w:val="0"/>
          <w:numId w:val="8"/>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服务质量</w:t>
      </w:r>
      <w:r/>
    </w:p>
    <w:p>
      <w:pPr>
        <w:numPr>
          <w:ilvl w:val="1"/>
          <w:numId w:val="0"/>
        </w:numPr>
        <w:ind w:firstLine="480"/>
        <w:spacing w:line="360" w:lineRule="auto"/>
        <w:tabs>
          <w:tab w:val="left" w:pos="0" w:leader="none"/>
        </w:tabs>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乙方应保证提供给甲方的服务完全符合本项目采购文件规定的服务标准。</w:t>
      </w:r>
      <w:r/>
    </w:p>
    <w:p>
      <w:pPr>
        <w:numPr>
          <w:ilvl w:val="1"/>
          <w:numId w:val="0"/>
        </w:numPr>
        <w:ind w:firstLine="480"/>
        <w:spacing w:line="360" w:lineRule="auto"/>
        <w:tabs>
          <w:tab w:val="left" w:pos="0" w:leader="none"/>
        </w:tabs>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乙方应保证提供的服务应符合中华人民共和国相关标准及相应的技术规范、本次采购相关文件中的全部相关要求及相关标准及相应的技术规范中之较高者。</w:t>
      </w:r>
      <w:r/>
    </w:p>
    <w:p>
      <w:pPr>
        <w:numPr>
          <w:ilvl w:val="1"/>
          <w:numId w:val="0"/>
        </w:numPr>
        <w:ind w:firstLine="480"/>
        <w:spacing w:line="360" w:lineRule="auto"/>
        <w:tabs>
          <w:tab w:val="left" w:pos="0" w:leader="none"/>
        </w:tabs>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乙方保证提供的服务符合中华人民共和国国家及行业的安全质量标准、环保标准中之较高者。</w:t>
      </w:r>
      <w:r/>
    </w:p>
    <w:p>
      <w:pPr>
        <w:numPr>
          <w:ilvl w:val="1"/>
          <w:numId w:val="0"/>
        </w:numPr>
        <w:ind w:firstLine="480"/>
        <w:spacing w:line="360" w:lineRule="auto"/>
        <w:tabs>
          <w:tab w:val="left" w:pos="0" w:leader="none"/>
        </w:tabs>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如果在合同履行过程中有新的国家或行业（部）规范和标准出台的，则乙方应确保其合同标的物达到并符合新的国家或行业（部）规范和标准，因此而增加的费用及风险由乙方自行承担。</w:t>
      </w:r>
      <w:r/>
    </w:p>
    <w:p>
      <w:pPr>
        <w:numPr>
          <w:ilvl w:val="1"/>
          <w:numId w:val="0"/>
        </w:numPr>
        <w:ind w:firstLine="480"/>
        <w:spacing w:line="360" w:lineRule="auto"/>
        <w:tabs>
          <w:tab w:val="left" w:pos="0" w:leader="none"/>
        </w:tabs>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numPr>
          <w:ilvl w:val="1"/>
          <w:numId w:val="0"/>
        </w:numPr>
        <w:ind w:firstLine="480"/>
        <w:spacing w:line="360" w:lineRule="auto"/>
        <w:tabs>
          <w:tab w:val="left" w:pos="0" w:leader="none"/>
        </w:tabs>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7、与本次采购项目相关的所有项目质量、安全问题均由乙方终身负责，如因上述原因造成的一切后果均由乙方自行承担，与他人无涉。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8、乙方对服务缺陷不予更正，甲方有权另请其他单位更正，所发生的费用在合同金额中直接扣除。</w:t>
      </w:r>
      <w:r/>
    </w:p>
    <w:p>
      <w:pPr>
        <w:numPr>
          <w:ilvl w:val="1"/>
          <w:numId w:val="0"/>
        </w:numPr>
        <w:ind w:firstLine="480"/>
        <w:spacing w:line="360" w:lineRule="auto"/>
        <w:tabs>
          <w:tab w:val="left" w:pos="0" w:leader="none"/>
        </w:tabs>
        <w:rPr>
          <w:rFonts w:ascii="宋体" w:hAnsi="宋体" w:cs="宋体"/>
          <w:b/>
          <w:bCs/>
          <w:color w:val="auto"/>
          <w:sz w:val="24"/>
          <w:szCs w:val="24"/>
          <w:highlight w:val="none"/>
        </w:rPr>
      </w:pPr>
      <w:r>
        <w:rPr>
          <w:rFonts w:hint="eastAsia" w:ascii="宋体" w:hAnsi="宋体" w:cs="宋体"/>
          <w:color w:val="auto"/>
          <w:sz w:val="24"/>
          <w:szCs w:val="24"/>
          <w:highlight w:val="none"/>
        </w:rPr>
        <w:t xml:space="preserve">9、乙方</w:t>
      </w:r>
      <w:r>
        <w:rPr>
          <w:rFonts w:hint="eastAsia" w:ascii="宋体" w:hAnsi="宋体"/>
          <w:color w:val="auto"/>
          <w:sz w:val="24"/>
          <w:szCs w:val="24"/>
          <w:highlight w:val="none"/>
        </w:rPr>
        <w:t xml:space="preserve">除应做好服务人员的安全教育外，还应为服务人员提供必要的劳动保护条件，为服务人员办理作业时的人身安全保险和意外伤害险，一切安全责任事故均由</w:t>
      </w:r>
      <w:r>
        <w:rPr>
          <w:rFonts w:hint="eastAsia" w:ascii="宋体" w:hAnsi="宋体" w:cs="宋体"/>
          <w:color w:val="auto"/>
          <w:sz w:val="24"/>
          <w:szCs w:val="24"/>
          <w:highlight w:val="none"/>
        </w:rPr>
        <w:t xml:space="preserve">乙方</w:t>
      </w:r>
      <w:r>
        <w:rPr>
          <w:rFonts w:hint="eastAsia" w:ascii="宋体" w:hAnsi="宋体"/>
          <w:color w:val="auto"/>
          <w:sz w:val="24"/>
          <w:szCs w:val="24"/>
          <w:highlight w:val="none"/>
        </w:rPr>
        <w:t xml:space="preserve">负责（保险种类由乙方自行选择）。</w:t>
      </w:r>
      <w:r/>
    </w:p>
    <w:p>
      <w:pPr>
        <w:numPr>
          <w:ilvl w:val="0"/>
          <w:numId w:val="8"/>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验收</w:t>
      </w:r>
      <w:r/>
    </w:p>
    <w:p>
      <w:pPr>
        <w:ind w:firstLine="480"/>
        <w:spacing w:line="360" w:lineRule="auto"/>
        <w:rPr>
          <w:rFonts w:ascii="宋体" w:hAnsi="宋体"/>
          <w:color w:val="auto"/>
          <w:sz w:val="24"/>
          <w:highlight w:val="none"/>
        </w:rPr>
      </w:pPr>
      <w:r>
        <w:rPr>
          <w:rFonts w:hint="eastAsia" w:ascii="宋体" w:hAnsi="宋体" w:cs="宋体"/>
          <w:color w:val="auto"/>
          <w:sz w:val="24"/>
          <w:szCs w:val="24"/>
          <w:highlight w:val="none"/>
        </w:rPr>
        <w:t xml:space="preserve">1、验收标准：根据采购文件要求及乙方响应文件中承诺、国家法律法规规定执行。</w:t>
      </w:r>
      <w:r>
        <w:rPr>
          <w:rFonts w:hint="eastAsia" w:ascii="宋体" w:hAnsi="宋体"/>
          <w:color w:val="auto"/>
          <w:sz w:val="24"/>
          <w:highlight w:val="none"/>
        </w:rPr>
        <w:t xml:space="preserve">对供应商进行履约验收，确认验收合格的，将出具《政府采购履约验收书》。《政府采购履约验收书》、合同是申请支付政府采购合同价款的必备资料。</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2、履约验收主体：由甲方进行验收。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履约验收方式：乙方应当按照政府采购合同的约定，配合甲方做好项目验收，提供与验收相关的技术、服务、数量、质量、安全等资料，根据实际需要做好技术说明等工作，并对所提供资料和材料的真实性负责。验收结束后,出具验收书，列明各分项标准的验收情况及项目总体评价，由验收双方共同签署。</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4、验收程序：</w:t>
      </w:r>
      <w:r/>
    </w:p>
    <w:p>
      <w:pPr>
        <w:numPr>
          <w:ilvl w:val="0"/>
          <w:numId w:val="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履约验收时间：本项目采用阶段验收，每次付款前需进行阶段性验收。</w:t>
      </w:r>
      <w:r/>
    </w:p>
    <w:p>
      <w:pPr>
        <w:numPr>
          <w:ilvl w:val="0"/>
          <w:numId w:val="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政府采购合同约定的履约验收条件达到时，甲方应当在5个工作日内启动履约验收工作。在政府采购合同约定的履行验收条件达到时，乙方可以主动联系甲方启动履约验收工作。</w:t>
      </w:r>
      <w:r/>
    </w:p>
    <w:p>
      <w:pPr>
        <w:numPr>
          <w:ilvl w:val="0"/>
          <w:numId w:val="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甲方成立验收小组，负责采购项目履约验收具体工作。</w:t>
      </w:r>
      <w:r/>
    </w:p>
    <w:p>
      <w:pPr>
        <w:numPr>
          <w:ilvl w:val="0"/>
          <w:numId w:val="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验收小组应当按照验收工作实施方案开展验收，对乙方提供的服务按照采购文件、响应文件、政府采购合同等进行逐一核对、验收，并做好验收记录。 </w:t>
      </w:r>
      <w:r/>
    </w:p>
    <w:p>
      <w:pPr>
        <w:numPr>
          <w:ilvl w:val="0"/>
          <w:numId w:val="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numPr>
          <w:ilvl w:val="0"/>
          <w:numId w:val="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numPr>
          <w:ilvl w:val="0"/>
          <w:numId w:val="8"/>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履约保证金</w:t>
      </w:r>
      <w:r/>
    </w:p>
    <w:p>
      <w:pPr>
        <w:numPr>
          <w:ilvl w:val="1"/>
          <w:numId w:val="10"/>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☑不要求提交履约保证金</w:t>
      </w:r>
      <w:r/>
    </w:p>
    <w:p>
      <w:pPr>
        <w:numPr>
          <w:ilvl w:val="1"/>
          <w:numId w:val="10"/>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□要求提交履约保证金：乙方交纳合同金额的</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%（不得超过合同金额的10%），即人民币</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元，作为本合同的履约保证金。在签订合同前，中标人应当以支票、汇票、本票或者金融机构、担保机构出具的保函等非现金形式提交，本项目优先选用电子履约保函（保险）。联合体中标的，其履约保证金以联合体各方或者联合体中牵头人的名义提交。</w:t>
      </w:r>
      <w:r/>
    </w:p>
    <w:p>
      <w:pPr>
        <w:numPr>
          <w:ilvl w:val="1"/>
          <w:numId w:val="10"/>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合同履行结束后，甲方应及时退还交纳的履约保证金。采购人逾期退还的，应当根据实际逾期期限向成交供应商支付逾期利息，逾期利率：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numPr>
          <w:ilvl w:val="1"/>
          <w:numId w:val="10"/>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履约保证金退还条件：</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numPr>
          <w:ilvl w:val="1"/>
          <w:numId w:val="10"/>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履约保证金退还时间：</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numPr>
          <w:ilvl w:val="1"/>
          <w:numId w:val="10"/>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履约保证金退还方式：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numPr>
          <w:ilvl w:val="1"/>
          <w:numId w:val="10"/>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履约保证金不予退还的情形：</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numPr>
          <w:ilvl w:val="1"/>
          <w:numId w:val="10"/>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其他：中标人无故拖延或拒不提交履约保证金的，视为拒绝与采购人签订合同。</w:t>
      </w:r>
      <w:r/>
    </w:p>
    <w:p>
      <w:pPr>
        <w:numPr>
          <w:ilvl w:val="1"/>
          <w:numId w:val="10"/>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0"/>
          <w:numId w:val="8"/>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违约责任：</w:t>
      </w:r>
      <w:r/>
    </w:p>
    <w:p>
      <w:pPr>
        <w:numPr>
          <w:ilvl w:val="1"/>
          <w:numId w:val="11"/>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若乙方未按照合同约定提供服务，或乙方未能履行合同规定的任何其他义务时，甲方有权直接向乙方发出违约通知书，乙方应按照甲方选择的下列一种或多种方式承担赔偿责任及违约责任：</w:t>
      </w:r>
      <w:r/>
    </w:p>
    <w:p>
      <w:pPr>
        <w:numPr>
          <w:ilvl w:val="2"/>
          <w:numId w:val="11"/>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乙方未按合同约定期限提供服务的，每迟延一日，乙方应按照本合同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p>
    <w:p>
      <w:pPr>
        <w:numPr>
          <w:ilvl w:val="2"/>
          <w:numId w:val="11"/>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甲方有权部分或全部解除合同，并要求乙方赔偿由此造成的损失及甲方因此产生的对第三方的责任。此时甲方可采取必要的补救措施，相关费用由乙方承担。</w:t>
      </w:r>
      <w:r/>
    </w:p>
    <w:p>
      <w:pPr>
        <w:numPr>
          <w:ilvl w:val="2"/>
          <w:numId w:val="11"/>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甲方为采取必要的补救措施或因防止损失扩大而支出的合理费用应由乙方承担。</w:t>
      </w:r>
      <w:r/>
    </w:p>
    <w:p>
      <w:pPr>
        <w:numPr>
          <w:ilvl w:val="1"/>
          <w:numId w:val="11"/>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在收到甲方的违约通知书【7】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p>
    <w:p>
      <w:pPr>
        <w:numPr>
          <w:ilvl w:val="1"/>
          <w:numId w:val="11"/>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当违约行为给对方造成损失时，违约方还应当赔偿对方因此所受全部损失。当构成严重违约致使不能实现合同目的时，守约方可以单方面决定解除合同，违约方同时还应当承担违约责任。</w:t>
      </w:r>
      <w:r/>
    </w:p>
    <w:p>
      <w:pPr>
        <w:numPr>
          <w:ilvl w:val="1"/>
          <w:numId w:val="11"/>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因乙方违约导致合同解除的，乙方应向甲方支付合同总金额5%的违约金并承担所有费用。</w:t>
      </w:r>
      <w:r/>
    </w:p>
    <w:p>
      <w:pPr>
        <w:numPr>
          <w:ilvl w:val="1"/>
          <w:numId w:val="11"/>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如果出现政府采购监管部门在处理投诉事项期间，通知甲方暂停采购活动的情形，或者询问或质疑事项可能影响最终成交结果的，导致甲方中止履行合同的情形，均不视为甲方违约。</w:t>
      </w:r>
      <w:r/>
    </w:p>
    <w:p>
      <w:pPr>
        <w:numPr>
          <w:ilvl w:val="1"/>
          <w:numId w:val="11"/>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numPr>
          <w:ilvl w:val="0"/>
          <w:numId w:val="8"/>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合同的解除和转让</w:t>
      </w:r>
      <w:r/>
    </w:p>
    <w:p>
      <w:pPr>
        <w:numPr>
          <w:ilvl w:val="1"/>
          <w:numId w:val="12"/>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有下列情形之一，合同一方可以解除合同：</w:t>
      </w:r>
      <w:r/>
    </w:p>
    <w:p>
      <w:pPr>
        <w:numPr>
          <w:ilvl w:val="2"/>
          <w:numId w:val="12"/>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因不可抗力致使不能实现合同目的，未受不可抗力影响的一方有权解除合同；</w:t>
      </w:r>
      <w:r/>
    </w:p>
    <w:p>
      <w:pPr>
        <w:numPr>
          <w:ilvl w:val="2"/>
          <w:numId w:val="12"/>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采购文件约定的解除合同的情形。</w:t>
      </w:r>
      <w:r/>
    </w:p>
    <w:p>
      <w:pPr>
        <w:numPr>
          <w:ilvl w:val="1"/>
          <w:numId w:val="12"/>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政府采购合同继续履行将损害国家利益和社会公共利益，甲方有权变更、中止或者终止、解除合同。</w:t>
      </w:r>
      <w:r/>
    </w:p>
    <w:p>
      <w:pPr>
        <w:numPr>
          <w:ilvl w:val="1"/>
          <w:numId w:val="12"/>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合同的部分和全部都不得转让，否则甲方有权单方解除合同。</w:t>
      </w:r>
      <w:r/>
    </w:p>
    <w:p>
      <w:pPr>
        <w:numPr>
          <w:ilvl w:val="1"/>
          <w:numId w:val="12"/>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p>
      <w:pPr>
        <w:numPr>
          <w:ilvl w:val="0"/>
          <w:numId w:val="8"/>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不可抗力</w:t>
      </w:r>
      <w:r/>
    </w:p>
    <w:p>
      <w:pPr>
        <w:numPr>
          <w:ilvl w:val="1"/>
          <w:numId w:val="13"/>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不可抗力指下列事件：战争、动乱、瘟疫、严重火灾、洪水、地震、风暴或其他自然灾害，以及本合同各方不可预见、不可防止并不能避免或克服的一切其他因素及事件。</w:t>
      </w:r>
      <w:r/>
    </w:p>
    <w:p>
      <w:pPr>
        <w:numPr>
          <w:ilvl w:val="1"/>
          <w:numId w:val="13"/>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任何一方因不可抗力不能履行本合同规定的全部或部分义务，该方应尽快通知另一方，并须在不可抗力发生后15日内以书面形式向另一方提供详细情况报告及不可抗力对履行本合同的影响程度的说明。就上述不可抗力的发生须由受到不可抗力影响的一方负责同时提供由公证机关做出的公证证明。</w:t>
      </w:r>
      <w:r/>
    </w:p>
    <w:p>
      <w:pPr>
        <w:numPr>
          <w:ilvl w:val="1"/>
          <w:numId w:val="13"/>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numPr>
          <w:ilvl w:val="1"/>
          <w:numId w:val="13"/>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合同各方应根据不可抗力对本合同履行的影响程度，协商确定是否终止本合同，或是继续履行本合同。</w:t>
      </w:r>
      <w:r/>
    </w:p>
    <w:p>
      <w:pPr>
        <w:numPr>
          <w:ilvl w:val="0"/>
          <w:numId w:val="8"/>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保密条款</w:t>
      </w:r>
      <w:r/>
    </w:p>
    <w:p>
      <w:pPr>
        <w:numPr>
          <w:ilvl w:val="1"/>
          <w:numId w:val="14"/>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任何一方对其获知的本合同及附件中其他各方的商业秘密和国家秘密等非公开信息负有保密义务。</w:t>
      </w:r>
      <w:r/>
    </w:p>
    <w:p>
      <w:pPr>
        <w:numPr>
          <w:ilvl w:val="1"/>
          <w:numId w:val="14"/>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numPr>
          <w:ilvl w:val="1"/>
          <w:numId w:val="14"/>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numPr>
          <w:ilvl w:val="0"/>
          <w:numId w:val="8"/>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联系方式</w:t>
      </w:r>
      <w:r/>
    </w:p>
    <w:p>
      <w:pPr>
        <w:numPr>
          <w:ilvl w:val="1"/>
          <w:numId w:val="15"/>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numPr>
          <w:ilvl w:val="1"/>
          <w:numId w:val="15"/>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numPr>
          <w:ilvl w:val="1"/>
          <w:numId w:val="15"/>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上述发出通知、回复的费用由发出一方承担。</w:t>
      </w:r>
      <w:r/>
    </w:p>
    <w:p>
      <w:pPr>
        <w:numPr>
          <w:ilvl w:val="0"/>
          <w:numId w:val="8"/>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争议的解决</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与本合同有关的一切争议，双方应通过友好协商解决。如果经协商不能达成协议，可以向甲方所在地有管辖权的人民法院起诉。</w:t>
      </w:r>
      <w:r/>
    </w:p>
    <w:p>
      <w:pPr>
        <w:numPr>
          <w:ilvl w:val="0"/>
          <w:numId w:val="8"/>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合同生效及其它</w:t>
      </w:r>
      <w:r/>
    </w:p>
    <w:p>
      <w:pPr>
        <w:numPr>
          <w:ilvl w:val="1"/>
          <w:numId w:val="16"/>
        </w:numPr>
        <w:ind w:firstLine="480"/>
        <w:spacing w:line="360" w:lineRule="auto"/>
        <w:tabs>
          <w:tab w:val="left" w:pos="0" w:leader="none"/>
        </w:tabs>
        <w:rPr>
          <w:rFonts w:ascii="宋体" w:hAnsi="宋体" w:cs="宋体"/>
          <w:color w:val="auto"/>
          <w:sz w:val="24"/>
          <w:szCs w:val="24"/>
          <w:highlight w:val="none"/>
        </w:rPr>
      </w:pPr>
      <w:r/>
      <w:bookmarkStart w:id="62" w:name="_Hlk160809803"/>
      <w:r>
        <w:rPr>
          <w:rFonts w:hint="eastAsia" w:ascii="宋体" w:hAnsi="宋体" w:cs="宋体"/>
          <w:color w:val="auto"/>
          <w:sz w:val="24"/>
          <w:szCs w:val="24"/>
          <w:highlight w:val="none"/>
        </w:rPr>
        <w:t xml:space="preserve">如甲乙双方通过“苏采云”系统线上签订电子合同的，则本合同自双方在“苏采云”系统中加盖电子印章之日起生效。如甲乙双方签订纸质合同的，则本合同自甲乙双方签章之日起生效。</w:t>
      </w:r>
      <w:bookmarkEnd w:id="62"/>
      <w:r/>
      <w:r/>
    </w:p>
    <w:p>
      <w:pPr>
        <w:numPr>
          <w:ilvl w:val="1"/>
          <w:numId w:val="16"/>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如签署纸质合同，合同壹式伍份，甲乙双方各执贰份，代理机构壹份，具有同等法律效力。</w:t>
      </w:r>
      <w:r/>
    </w:p>
    <w:p>
      <w:pPr>
        <w:numPr>
          <w:ilvl w:val="1"/>
          <w:numId w:val="16"/>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合同系指本文件及其附件中的所有部分，采购文件、成交的响应文件、成交通知书、成交人在采购过程中的澄清和承诺等为本合同不可缺少的组成部分。本合同履行过程中发生相关修改内容，须符合《中华人民共和国政府采购法》和相关法律法规规定；补充协议作为本合同不可分割的一部分。</w:t>
      </w:r>
      <w:r/>
    </w:p>
    <w:p>
      <w:pPr>
        <w:numPr>
          <w:ilvl w:val="1"/>
          <w:numId w:val="16"/>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本合同应按照中华人民共和国的现行法律进行解释。</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67"/>
        <w:ind w:left="0"/>
        <w:spacing w:line="360" w:lineRule="auto"/>
        <w:rPr>
          <w:color w:val="auto"/>
          <w:sz w:val="24"/>
          <w:szCs w:val="24"/>
          <w:highlight w:val="none"/>
        </w:rPr>
      </w:pPr>
      <w:r>
        <w:rPr>
          <w:rFonts w:hint="eastAsia"/>
          <w:color w:val="auto"/>
          <w:sz w:val="24"/>
          <w:szCs w:val="24"/>
          <w:highlight w:val="none"/>
        </w:rPr>
        <w:t xml:space="preserve">甲方（盖章）：                          乙方（盖章）：</w:t>
      </w:r>
      <w:r/>
    </w:p>
    <w:p>
      <w:pPr>
        <w:spacing w:line="360" w:lineRule="auto"/>
        <w:rPr>
          <w:color w:val="auto"/>
          <w:sz w:val="24"/>
          <w:szCs w:val="24"/>
          <w:highlight w:val="none"/>
        </w:rPr>
      </w:pPr>
      <w:r>
        <w:rPr>
          <w:color w:val="auto"/>
          <w:sz w:val="24"/>
          <w:szCs w:val="24"/>
          <w:highlight w:val="none"/>
        </w:rPr>
      </w:r>
      <w:r/>
    </w:p>
    <w:p>
      <w:pPr>
        <w:pStyle w:val="967"/>
        <w:ind w:left="0"/>
        <w:spacing w:line="360" w:lineRule="auto"/>
        <w:rPr>
          <w:color w:val="auto"/>
          <w:sz w:val="24"/>
          <w:szCs w:val="24"/>
          <w:highlight w:val="none"/>
        </w:rPr>
      </w:pPr>
      <w:r>
        <w:rPr>
          <w:rFonts w:hint="eastAsia"/>
          <w:color w:val="auto"/>
          <w:sz w:val="24"/>
          <w:szCs w:val="24"/>
          <w:highlight w:val="none"/>
        </w:rPr>
        <w:t xml:space="preserve">法定（授权）代表人（签字）：            法定（授权）代表人（签字）：</w:t>
      </w:r>
      <w:r/>
    </w:p>
    <w:p>
      <w:pPr>
        <w:spacing w:line="360" w:lineRule="auto"/>
        <w:rPr>
          <w:color w:val="auto"/>
          <w:sz w:val="24"/>
          <w:szCs w:val="24"/>
          <w:highlight w:val="none"/>
        </w:rPr>
      </w:pPr>
      <w:r>
        <w:rPr>
          <w:color w:val="auto"/>
          <w:sz w:val="24"/>
          <w:szCs w:val="24"/>
          <w:highlight w:val="none"/>
        </w:rPr>
      </w:r>
      <w:r/>
    </w:p>
    <w:p>
      <w:pPr>
        <w:pStyle w:val="967"/>
        <w:ind w:left="0"/>
        <w:spacing w:line="360" w:lineRule="auto"/>
        <w:rPr>
          <w:color w:val="auto"/>
          <w:sz w:val="24"/>
          <w:szCs w:val="24"/>
          <w:highlight w:val="none"/>
        </w:rPr>
      </w:pPr>
      <w:r>
        <w:rPr>
          <w:rFonts w:hint="eastAsia"/>
          <w:color w:val="auto"/>
          <w:sz w:val="24"/>
          <w:szCs w:val="24"/>
          <w:highlight w:val="none"/>
        </w:rPr>
        <w:t xml:space="preserve">日期：      年     月   日              日期：     年     月     日</w:t>
      </w:r>
      <w:r/>
    </w:p>
    <w:p>
      <w:pPr>
        <w:jc w:val="left"/>
        <w:widowControl/>
        <w:rPr>
          <w:rFonts w:ascii="宋体" w:hAnsi="宋体" w:cs="宋体"/>
          <w:color w:val="auto"/>
          <w:sz w:val="24"/>
          <w:highlight w:val="none"/>
        </w:rPr>
      </w:pPr>
      <w:r>
        <w:rPr>
          <w:color w:val="auto"/>
          <w:highlight w:val="none"/>
        </w:rPr>
        <w:br w:type="page" w:clear="all"/>
      </w:r>
      <w:r/>
    </w:p>
    <w:p>
      <w:pPr>
        <w:pStyle w:val="828"/>
        <w:rPr>
          <w:rFonts w:ascii="宋体" w:hAnsi="宋体" w:cs="宋体"/>
          <w:b/>
          <w:bCs/>
          <w:color w:val="auto"/>
          <w:szCs w:val="24"/>
          <w:highlight w:val="none"/>
        </w:rPr>
      </w:pPr>
      <w:r>
        <w:rPr>
          <w:rFonts w:ascii="宋体" w:hAnsi="宋体" w:cs="宋体"/>
          <w:b/>
          <w:bCs/>
          <w:color w:val="auto"/>
          <w:szCs w:val="2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outlineLvl w:val="0"/>
      </w:pPr>
      <w:r/>
      <w:bookmarkStart w:id="63" w:name="_Toc13415"/>
      <w:r/>
      <w:bookmarkStart w:id="64" w:name="_Toc514512747"/>
      <w:r>
        <w:rPr>
          <w:rFonts w:hint="eastAsia"/>
          <w:b/>
          <w:bCs/>
          <w:color w:val="auto"/>
          <w:sz w:val="44"/>
          <w:szCs w:val="44"/>
          <w:highlight w:val="none"/>
        </w:rPr>
        <w:t xml:space="preserve">第六章、评分标准</w:t>
      </w:r>
      <w:bookmarkEnd w:id="63"/>
      <w:r/>
      <w:bookmarkEnd w:id="64"/>
      <w:r/>
      <w:r/>
    </w:p>
    <w:p>
      <w:pPr>
        <w:rPr>
          <w:color w:val="auto"/>
          <w:sz w:val="44"/>
          <w:szCs w:val="44"/>
          <w:highlight w:val="none"/>
        </w:rPr>
      </w:pPr>
      <w:r>
        <w:rPr>
          <w:color w:val="auto"/>
          <w:sz w:val="44"/>
          <w:szCs w:val="44"/>
          <w:highlight w:val="none"/>
        </w:rPr>
      </w:r>
      <w:r/>
    </w:p>
    <w:p>
      <w:pPr>
        <w:spacing w:line="360" w:lineRule="auto"/>
        <w:rPr>
          <w:rFonts w:ascii="宋体" w:hAnsi="宋体"/>
          <w:b/>
          <w:color w:val="auto"/>
          <w:sz w:val="24"/>
          <w:highlight w:val="none"/>
        </w:rPr>
      </w:pPr>
      <w:r>
        <w:rPr>
          <w:rFonts w:ascii="宋体" w:hAnsi="宋体"/>
          <w:color w:val="auto"/>
          <w:sz w:val="24"/>
          <w:szCs w:val="20"/>
          <w:highlight w:val="none"/>
        </w:rPr>
        <w:br w:type="page" w:clear="all"/>
      </w:r>
      <w:r>
        <w:rPr>
          <w:rFonts w:hint="eastAsia" w:ascii="宋体" w:hAnsi="宋体"/>
          <w:b/>
          <w:color w:val="auto"/>
          <w:sz w:val="24"/>
          <w:highlight w:val="none"/>
        </w:rPr>
        <w:t xml:space="preserve">一、评审方法</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次评审采用综合评分法，即在满足磋商文件实质性要求前提下，根据按照磋商文件中规定的评审标准和各项因素进行综合评审，按照评审得分由高到低顺序推荐3名成交候选供应商。磋商小组直接确定成交候选供应商中的第一名作为成交供应商</w:t>
      </w:r>
      <w:r>
        <w:rPr>
          <w:rFonts w:ascii="宋体" w:hAnsi="宋体"/>
          <w:color w:val="auto"/>
          <w:sz w:val="24"/>
          <w:highlight w:val="none"/>
        </w:rPr>
        <w:t xml:space="preserve">。</w:t>
      </w:r>
      <w:r>
        <w:rPr>
          <w:rFonts w:hint="eastAsia" w:ascii="宋体" w:hAnsi="宋体"/>
          <w:color w:val="auto"/>
          <w:sz w:val="24"/>
          <w:highlight w:val="none"/>
        </w:rPr>
        <w:t xml:space="preserve">评审得分相同的，按照最后报价由低到高的顺序推荐。评审得分且最后报价相同的，按照技术指标优劣顺序推荐。</w:t>
      </w:r>
      <w:r>
        <w:rPr>
          <w:rFonts w:hint="eastAsia" w:ascii="宋体" w:hAnsi="宋体" w:cs="宋体"/>
          <w:color w:val="auto"/>
          <w:sz w:val="24"/>
          <w:szCs w:val="24"/>
          <w:highlight w:val="none"/>
        </w:rPr>
        <w:t xml:space="preserve">如果技术指标也相同，则由磋商小组</w:t>
      </w:r>
      <w:r>
        <w:rPr>
          <w:rFonts w:hint="eastAsia" w:ascii="宋体" w:hAnsi="宋体" w:cs="宋体"/>
          <w:color w:val="auto"/>
          <w:sz w:val="24"/>
          <w:highlight w:val="none"/>
        </w:rPr>
        <w:t xml:space="preserve">组织抽签</w:t>
      </w:r>
      <w:r>
        <w:rPr>
          <w:rFonts w:hint="eastAsia" w:ascii="宋体" w:hAnsi="宋体" w:cs="宋体"/>
          <w:color w:val="auto"/>
          <w:sz w:val="24"/>
          <w:szCs w:val="24"/>
          <w:highlight w:val="none"/>
        </w:rPr>
        <w:t xml:space="preserve">确定成交供应商。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综合评分的主要因素为：价格、人员配备、技术力量、项目方案、服务保障、供应商的综合情况、业绩、服务、承诺、对磋商文件的响应程度，以及相应的比重或者数值等。总分值为100分，评审因素及各比重如下：价格分值占总分值的比重为20%（权重），技术与质量及其它占80%（权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w:t>
      </w:r>
      <w:r>
        <w:rPr>
          <w:rFonts w:hint="eastAsia" w:ascii="宋体" w:hAnsi="宋体" w:cs="宋体"/>
          <w:color w:val="auto"/>
          <w:sz w:val="24"/>
          <w:highlight w:val="none"/>
        </w:rPr>
        <w:t xml:space="preserve">计算结果四舍五入保留两位小数</w:t>
      </w:r>
      <w:r>
        <w:rPr>
          <w:rFonts w:hint="eastAsia" w:ascii="宋体" w:hAnsi="宋体"/>
          <w:color w:val="auto"/>
          <w:sz w:val="24"/>
          <w:highlight w:val="none"/>
        </w:rPr>
        <w:t xml:space="preserve">）。报价得分按文件规定的计算公式直接计算取得，技术、资质评审得分和价格标得分相加即为供应商的总得分。</w:t>
      </w:r>
      <w:r/>
    </w:p>
    <w:p>
      <w:pPr>
        <w:spacing w:line="360" w:lineRule="auto"/>
        <w:rPr>
          <w:rFonts w:ascii="宋体" w:hAnsi="宋体"/>
          <w:b/>
          <w:color w:val="auto"/>
          <w:sz w:val="24"/>
          <w:highlight w:val="none"/>
        </w:rPr>
      </w:pPr>
      <w:r>
        <w:rPr>
          <w:rFonts w:ascii="宋体" w:hAnsi="宋体"/>
          <w:b/>
          <w:color w:val="auto"/>
          <w:sz w:val="24"/>
          <w:highlight w:val="none"/>
        </w:rPr>
        <w:t xml:space="preserve">二、评分标准</w:t>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（一）价格部分（20分）</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第一步：未被认定响应无效的最后报价为有效磋商报价。</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第二步：</w:t>
      </w:r>
      <w:r>
        <w:rPr>
          <w:rFonts w:hint="eastAsia" w:ascii="宋体" w:hAnsi="宋体" w:cs="宋体"/>
          <w:color w:val="auto"/>
          <w:sz w:val="24"/>
          <w:szCs w:val="24"/>
          <w:highlight w:val="none"/>
        </w:rPr>
        <w:t xml:space="preserve">价格分采用低价优先法计算，即满足磋商文件要求且最后报价最低的供应商的价格为磋商基准价，其价格分为满分20分</w:t>
      </w:r>
      <w:r>
        <w:rPr>
          <w:rFonts w:hint="eastAsia" w:ascii="宋体" w:hAnsi="宋体" w:cs="宋体"/>
          <w:color w:val="auto"/>
          <w:sz w:val="24"/>
          <w:highlight w:val="none"/>
        </w:rPr>
        <w:t xml:space="preserve">，其他供应商的价格分按照下列公式计算（计算结果四舍五入保留两位小数）。</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磋商报价得分＝（磋商基准价/最终磋商报价）×20%×100</w:t>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（二）技术、商务部分（80分）</w:t>
      </w:r>
      <w:r/>
    </w:p>
    <w:p>
      <w:pPr>
        <w:ind w:firstLine="482"/>
        <w:spacing w:line="360" w:lineRule="auto"/>
        <w:rPr>
          <w:rFonts w:ascii="宋体" w:hAnsi="宋体" w:cs="宋体"/>
          <w:b/>
          <w:bCs/>
          <w:color w:val="auto"/>
          <w:sz w:val="24"/>
          <w:szCs w:val="24"/>
          <w:highlight w:val="none"/>
        </w:rPr>
      </w:pPr>
      <w:r>
        <w:rPr>
          <w:rFonts w:hint="eastAsia" w:ascii="宋体" w:hAnsi="宋体"/>
          <w:b/>
          <w:bCs/>
          <w:color w:val="auto"/>
          <w:sz w:val="24"/>
          <w:szCs w:val="24"/>
          <w:highlight w:val="none"/>
        </w:rPr>
        <w:t xml:space="preserve">1、响应单位针对本项目总体要求的理解和分析（9分）：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理解全面、透彻，专业分析科学合理的9分；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基本理解</w:t>
      </w:r>
      <w:r>
        <w:rPr>
          <w:rFonts w:hint="eastAsia" w:ascii="宋体" w:hAnsi="宋体"/>
          <w:color w:val="auto"/>
          <w:sz w:val="24"/>
          <w:szCs w:val="24"/>
          <w:highlight w:val="none"/>
        </w:rPr>
        <w:t xml:space="preserve">项目要求，</w:t>
      </w:r>
      <w:r>
        <w:rPr>
          <w:rFonts w:hint="eastAsia" w:ascii="宋体" w:hAnsi="宋体" w:cs="宋体"/>
          <w:color w:val="auto"/>
          <w:sz w:val="24"/>
          <w:szCs w:val="24"/>
          <w:highlight w:val="none"/>
        </w:rPr>
        <w:t xml:space="preserve">专业分析较为合理的6分；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理解片面，专业分析不够合理的3分；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未提供或与项目无关的不得分。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2、针对本项目普及性实验课程设计（10分）：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要求提供实验课程设计方案，课程内容应符合生物新课标要求，理论和实验相结合，突破基因工程的学习难点，同时提升学生实验技能。</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根据课程设计方案的逻辑性、契合性、详实性、可操作性，以及惠及学生人数和授课总课时进行评分。</w:t>
      </w:r>
      <w:bookmarkStart w:id="65" w:name="_Hlk7048377"/>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方案科学合理、专业性及可操作性强、措施标准规范的得10分；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方案较合理、专业性及可操作性较强、措施较为规范的得7分；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方案不够合理、专业性及操作性差、措施规范性不足的得3分。</w:t>
      </w:r>
      <w:bookmarkEnd w:id="65"/>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未提供或与项目无关的不得分。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3、针对本项目现代生物技术社团活动课程设计（10分）：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要求提供实验课程设计方案，为学生提供针对性实验课程服务；提供课程目标、实施方案及评估方案。</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根据课程设计方案的逻辑性、契合性、详实性、可操作性，以及惠及学生人数和授课总课时进行评分。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方案科学合理、专业性及可操作性强、措施标准规范的得10分；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方案较合理、专业性及可操作性较强、措施较为规范的得7分；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方案不够合理、专业性及操作性差、措施规范性不足的得3分。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未提供或与项目无关的不得分。</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4、针对本项目的学生安全实验保障预案（8分）：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安全实验保障预案全面完整，可行性高的得8分；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安全实验保障预案较为全面完整，可行性较高的得5分；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安全实验保障预案不够全面完整，可行性不足的得2分；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未提供或与项目无关的不得分。</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5、响应供应商操作及分析能力（20分）：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为了考量响应单位实验仪器的正确操作及实验结果的正确分析。各响应单位结合采购文件的要求进行如下实验，实验操作过程统一采用图片形式展示。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各响应单位必须自行准备图片文件，未能提供实验操作图片或提供的资料不满足采购要求的不得分。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5.1实验1、目的基因的获取及基因表达载体（4分）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依据“生物新课标”P29 5.1.2 “阐明DNA重组技术的实验需要利用限制性内切核酸酶、DNA连接酶和载体三种工具。”设计一个实验，介绍限制性内切酶及连接酶在DNA重组技术中的作用。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提供材料应包括微量移液器的使用方法，酶切与连接反应体系的配制，凝胶电泳过程需包括点样、结果分析等步骤。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①微量移液器的使用：展示三种量程移液器；使用方法；提供图片且正确的得1分；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②反应体系的配制：按照要求配制酶切及连接反应体系；提供图片且正确的得1分；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③点样：加入样品，插电源；跑胶。提供图片且正确的得1分；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④条带分析：分析条带。提供图片且正确的得1分。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5.2实验2、重组质粒导入受体细胞（6分）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依据“生物新课标”P29 5.1.3 “阐明基因工程的基本操作程序主要包括目的基因的获取、基因表达载体的构建、目的基因导入受体细胞和目的基因及其表达产物的检测鉴定等步骤。”设计一个实验，完成目的基因导入受体细胞和目的基因及其表达产物的鉴定的操作步骤并介绍微生物分离和纯化的常用方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实验操作包括无菌操作、微生物培养、细菌转化等实验技能。</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 细菌转化：需包括冰浴、热击、冰浴步骤；提供图片且正确的得1分；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 涂布平板：无菌操作涂布平板；提供图片且正确的得1分；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③介绍其他微生物分离纯化方法：平板划线法；提供图片且正确的得1分；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④结果分析：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分析细菌转化结果；提供图片且正确的得1分；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分析平板划线法结果；提供图片且正确的得1分；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 PCR反应体系的配置及PCR反应程序的运行：提供图片且正确得1分。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5.3实验3、现代生物技术社团活动（10分）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生物新课标”选择性必修课程和选修课程所提供的选题及实际实施建议（P31-P50），“针对高中生物选修生提供提升性学习实验课程，培养和提升科学研究能力，帮助学生进行职业体验，拓宽国际视野，提升科学素养。”设计一个实验，帮助学生主动地参与学习，在亲历提出问题、获取信息、寻找证据、检验假设、发现规律等过程中习得生物学知识，养成科学思维的习惯，形成积极的科学态度，发展终身学生及创新实践能力。实验中应开展下列教学内容：DNA条形码系列实验</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 DNA条形码技术的发展及应用介绍，提供图片且正确得1分；</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 样品采集、存档方法介绍，提供图片且正确得1分；</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 植物样品DNA提取，每提供一种方法得1分，本项最高2分；</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 目的条带的扩增，提供图片且正确得1分；</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 PCR产物的验证方法，提供图片且正确得1分；</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 PCR产物结果的分析，提供图片且正确得1分；</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⑦ DNA序列分析，提供图片且正确得1分；</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⑧ 使用软件生成系统发育树，提供图片且正确得1分；</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⑨ 科学海报写作指导方案，提供图片且正确得1分。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注：上述实验均需提供图片且正确，不提供或提供图片不正确不得分。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6、针对本项目的人员配备（9分）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6.1项目负责人（3分）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①具有本项目相关专业博士或以上学历证书，得2分。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②具有教师资格证，得1分。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6.2服务团队（项目负责人除外）（6分）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①具有生物学相关专业硕士学历证书，有1人得1分，最高2分；具有生物学相关专业博士或以上毕业证书，有1人得2分。本项最高得4分。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②具有教师资格证，有一人得1分，最高得2分。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注：上述6.1-6.2中的相关人员必须是响应单位在职职工，响应文件中必须提供相关证书和社保部门出具的最近一期响应单位为其缴纳社保的证明文件扫描件，否则对应项不得分。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7、针对本项目的设备设施配备（4分）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实验室能同时开班，20-25人学生实验工位有4间或以上的，得4分；20-25人学生实验工位有3间的，得3分；20-25人学生实验工位有2间的，得2分；20-25人学生实验工位有1间的，得1分。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注：需提供证明材料，如实验室实景照片，基本设备设施清单等，否则不得分。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8、类似项目业绩（10分）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响应单位自2023年9月1日（以合同签订时间为准）以来类似项目业绩比较，每提供一份证明资料得2分，最高10分。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注：响应文件中提供合同扫描件和对应合同期内任意一张发票扫描件，否则对应项不得分。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备注：</w:t>
      </w:r>
      <w:r>
        <w:rPr>
          <w:rFonts w:hint="eastAsia" w:ascii="宋体" w:hAnsi="宋体" w:cs="宋体"/>
          <w:color w:val="auto"/>
          <w:sz w:val="24"/>
          <w:szCs w:val="24"/>
          <w:highlight w:val="none"/>
        </w:rPr>
        <w:t xml:space="preserve">①针对评分标准中评分的每一条，响应单位在响应文件中均应提供相关资料并作出相应说明供评委评判，不提供相关资料，提供的材料不全、不符、说明不清晰或不提供的，视为不具备该项得分的条件。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②所有扫描件字迹须清晰可见，扫描不全或字迹不清晰的，视为未提供。</w:t>
      </w:r>
      <w:r/>
    </w:p>
    <w:p>
      <w:pPr>
        <w:ind w:firstLine="480"/>
        <w:jc w:val="right"/>
        <w:spacing w:line="360" w:lineRule="auto"/>
        <w:rPr>
          <w:rFonts w:ascii="宋体" w:hAnsi="宋体"/>
          <w:color w:val="auto"/>
          <w:sz w:val="24"/>
          <w:szCs w:val="20"/>
          <w:highlight w:val="none"/>
        </w:rPr>
      </w:pPr>
      <w:r>
        <w:rPr>
          <w:rFonts w:ascii="宋体" w:hAnsi="宋体"/>
          <w:color w:val="auto"/>
          <w:sz w:val="24"/>
          <w:szCs w:val="20"/>
          <w:highlight w:val="none"/>
        </w:rPr>
        <w:t xml:space="preserve">      （全文完）</w:t>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pPr>
    <w:r/>
    <w:r/>
  </w:p>
  <w:p>
    <w:pPr>
      <w:pStyle w:val="973"/>
      <w:rPr>
        <w:rStyle w:val="984"/>
        <w:rFonts w:ascii="宋体" w:hAnsi="宋体"/>
      </w:rPr>
      <w:framePr w:wrap="around" w:vAnchor="text" w:hAnchor="page" w:x="5506" w:y="5"/>
    </w:pPr>
    <w:r>
      <w:rPr>
        <w:rStyle w:val="984"/>
        <w:rFonts w:ascii="宋体" w:hAnsi="宋体"/>
      </w:rPr>
      <w:fldChar w:fldCharType="begin"/>
    </w:r>
    <w:r>
      <w:rPr>
        <w:rStyle w:val="984"/>
        <w:rFonts w:ascii="宋体" w:hAnsi="宋体"/>
      </w:rPr>
      <w:instrText xml:space="preserve">PAGE  </w:instrText>
    </w:r>
    <w:r>
      <w:rPr>
        <w:rStyle w:val="984"/>
        <w:rFonts w:ascii="宋体" w:hAnsi="宋体"/>
      </w:rPr>
      <w:fldChar w:fldCharType="separate"/>
    </w:r>
    <w:r>
      <w:rPr>
        <w:rStyle w:val="984"/>
        <w:rFonts w:ascii="宋体" w:hAnsi="宋体"/>
      </w:rPr>
      <w:t xml:space="preserve">42</w:t>
    </w:r>
    <w:r>
      <w:rPr>
        <w:rStyle w:val="984"/>
        <w:rFonts w:ascii="宋体" w:hAnsi="宋体"/>
      </w:rPr>
      <w:fldChar w:fldCharType="end"/>
    </w:r>
    <w:r/>
  </w:p>
  <w:p>
    <w:pPr>
      <w:pStyle w:val="9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84"/>
      </w:rPr>
      <w:framePr w:wrap="around" w:vAnchor="text" w:hAnchor="margin" w:xAlign="center" w:y="1"/>
    </w:pPr>
    <w:r>
      <w:rPr>
        <w:rStyle w:val="984"/>
      </w:rPr>
      <w:fldChar w:fldCharType="begin"/>
    </w:r>
    <w:r>
      <w:rPr>
        <w:rStyle w:val="984"/>
      </w:rPr>
      <w:instrText xml:space="preserve">PAGE  </w:instrText>
    </w:r>
    <w:r>
      <w:rPr>
        <w:rStyle w:val="984"/>
      </w:rPr>
      <w:fldChar w:fldCharType="separate"/>
    </w:r>
    <w:r>
      <w:rPr>
        <w:rStyle w:val="984"/>
      </w:rPr>
      <w:t xml:space="preserve">- 1 -</w:t>
    </w:r>
    <w:r>
      <w:rPr>
        <w:rStyle w:val="984"/>
      </w:rP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tabs>
        <w:tab w:val="clear" w:pos="4153" w:leader="none"/>
        <w:tab w:val="clear" w:pos="8306" w:leader="none"/>
      </w:tabs>
      <w:rPr>
        <w:rFonts w:ascii="宋体" w:hAnsi="宋体"/>
        <w:u w:val="single"/>
      </w:rPr>
    </w:pPr>
    <w:r>
      <w:rPr>
        <w:rFonts w:ascii="宋体" w:hAnsi="宋体" w:cs="仿宋_GB2312"/>
        <w:b/>
        <w:sz w:val="32"/>
        <w:szCs w:val="32"/>
        <w:u w:val="single"/>
      </w:rPr>
      <mc:AlternateContent>
        <mc:Choice Requires="wpg">
          <w:drawing>
            <wp:inline xmlns:wp="http://schemas.openxmlformats.org/drawingml/2006/wordprocessingDrawing" distT="0" distB="0" distL="0" distR="0">
              <wp:extent cx="352425" cy="1809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52425" cy="1809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8pt;height:14.2pt;mso-wrap-distance-left:0.0pt;mso-wrap-distance-top:0.0pt;mso-wrap-distance-right:0.0pt;mso-wrap-distance-bottom:0.0pt;" stroked="f">
              <v:path textboxrect="0,0,0,0"/>
              <v:imagedata r:id="rId1" o:title=""/>
            </v:shape>
          </w:pict>
        </mc:Fallback>
      </mc:AlternateContent>
    </w:r>
    <w:r>
      <w:rPr>
        <w:rFonts w:hint="eastAsia" w:ascii="宋体" w:hAnsi="宋体"/>
        <w:u w:val="single"/>
      </w:rPr>
      <w:t xml:space="preserve">苏州乐慧招投标咨询有限公司                       采购编号：JSZC-320591-LHZX-C2026-0017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00"/>
        <w:tabs>
          <w:tab w:val="left" w:pos="0" w:leader="none"/>
        </w:tabs>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3.%4"/>
      <w:lvlJc w:val="left"/>
      <w:pPr>
        <w:ind w:left="0" w:firstLine="402"/>
      </w:pPr>
      <w:rPr>
        <w:rFonts w:hint="eastAsia"/>
      </w:rPr>
    </w:lvl>
    <w:lvl w:ilvl="4">
      <w:start w:val="1"/>
      <w:numFmt w:val="decimal"/>
      <w:isLgl w:val="false"/>
      <w:suff w:val="nothing"/>
      <w:lvlText w:val="%3.%4.%5"/>
      <w:lvlJc w:val="left"/>
      <w:pPr>
        <w:ind w:left="0" w:firstLine="402"/>
      </w:pPr>
      <w:rPr>
        <w:rFonts w:hint="eastAsia"/>
      </w:rPr>
    </w:lvl>
    <w:lvl w:ilvl="5">
      <w:start w:val="1"/>
      <w:numFmt w:val="decimal"/>
      <w:isLgl w:val="false"/>
      <w:suff w:val="nothing"/>
      <w:lvlText w:val="%3.%4.%5.%6"/>
      <w:lvlJc w:val="left"/>
      <w:pPr>
        <w:ind w:left="0" w:firstLine="402"/>
      </w:pPr>
      <w:rPr>
        <w:rFonts w:hint="eastAsia"/>
      </w:rPr>
    </w:lvl>
    <w:lvl w:ilvl="6">
      <w:start w:val="1"/>
      <w:numFmt w:val="decimalEnclosedCircleChinese"/>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
    <w:multiLevelType w:val="hybridMultilevel"/>
    <w:lvl w:ilvl="0">
      <w:start w:val="1"/>
      <w:numFmt w:val="chineseCounting"/>
      <w:isLgl w:val="false"/>
      <w:suff w:val="nothing"/>
      <w:lvlText w:val="%1、"/>
      <w:lvlJc w:val="left"/>
      <w:pPr>
        <w:ind w:left="0" w:firstLine="400"/>
        <w:tabs>
          <w:tab w:val="left" w:pos="0" w:leader="none"/>
        </w:tabs>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2.%3"/>
      <w:lvlJc w:val="left"/>
      <w:pPr>
        <w:ind w:left="0" w:firstLine="402"/>
      </w:pPr>
      <w:rPr>
        <w:rFonts w:hint="eastAsia"/>
      </w:rPr>
    </w:lvl>
    <w:lvl w:ilvl="3">
      <w:start w:val="1"/>
      <w:numFmt w:val="decimal"/>
      <w:isLgl w:val="false"/>
      <w:suff w:val="nothing"/>
      <w:lvlText w:val="%2.%3.%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decimal"/>
      <w:isLgl w:val="false"/>
      <w:suff w:val="nothing"/>
      <w:lvlText w:val="%2."/>
      <w:lvlJc w:val="left"/>
      <w:pPr>
        <w:ind w:left="0" w:firstLine="40"/>
      </w:pPr>
      <w:rPr>
        <w:rFonts w:hint="eastAsia"/>
      </w:rPr>
    </w:lvl>
    <w:lvl w:ilvl="2">
      <w:start w:val="1"/>
      <w:numFmt w:val="decimal"/>
      <w:isLgl w:val="false"/>
      <w:suff w:val="nothing"/>
      <w:lvlText w:val="%2.%3"/>
      <w:lvlJc w:val="left"/>
      <w:pPr>
        <w:ind w:left="0" w:firstLine="40"/>
      </w:pPr>
      <w:rPr>
        <w:rFonts w:hint="eastAsia"/>
      </w:rPr>
    </w:lvl>
    <w:lvl w:ilvl="3">
      <w:start w:val="1"/>
      <w:numFmt w:val="decimal"/>
      <w:isLgl w:val="false"/>
      <w:suff w:val="nothing"/>
      <w:lvlText w:val="%2.%3.%4"/>
      <w:lvlJc w:val="left"/>
      <w:pPr>
        <w:ind w:left="0" w:firstLine="402"/>
      </w:pPr>
      <w:rPr>
        <w:rFonts w:hint="eastAsia"/>
      </w:rPr>
    </w:lvl>
    <w:lvl w:ilvl="4">
      <w:start w:val="1"/>
      <w:numFmt w:val="decimal"/>
      <w:isLgl w:val="false"/>
      <w:suff w:val="nothing"/>
      <w:lvlText w:val="%2.%3.%4.%5"/>
      <w:lvlJc w:val="left"/>
      <w:pPr>
        <w:ind w:left="0" w:firstLine="402"/>
      </w:pPr>
      <w:rPr>
        <w:rFonts w:hint="eastAsia"/>
      </w:rPr>
    </w:lvl>
    <w:lvl w:ilvl="5">
      <w:start w:val="1"/>
      <w:numFmt w:val="decimal"/>
      <w:isLgl w:val="false"/>
      <w:suff w:val="nothing"/>
      <w:lvlText w:val="%2.%3.%4.%5.%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3">
    <w:multiLevelType w:val="hybridMultilevel"/>
    <w:lvl w:ilvl="0">
      <w:start w:val="1"/>
      <w:numFmt w:val="chineseCounting"/>
      <w:isLgl w:val="false"/>
      <w:suff w:val="nothing"/>
      <w:lvlText w:val="%1、"/>
      <w:lvlJc w:val="left"/>
      <w:pPr>
        <w:ind w:left="0" w:firstLine="400"/>
        <w:tabs>
          <w:tab w:val="left" w:pos="0" w:leader="none"/>
        </w:tabs>
      </w:pPr>
      <w:rPr>
        <w:rFonts w:hint="eastAsia" w:ascii="宋体" w:hAnsi="宋体" w:eastAsia="宋体" w:cs="宋体"/>
        <w:sz w:val="24"/>
        <w:szCs w:val="24"/>
      </w:rPr>
    </w:lvl>
    <w:lvl w:ilvl="1">
      <w:start w:val="1"/>
      <w:numFmt w:val="decimal"/>
      <w:isLgl w:val="false"/>
      <w:suff w:val="nothing"/>
      <w:lvlText w:val="%2、"/>
      <w:lvlJc w:val="left"/>
      <w:pPr>
        <w:ind w:left="0" w:firstLine="400"/>
      </w:pPr>
      <w:rPr>
        <w:rFonts w:hint="default" w:ascii="宋体" w:hAnsi="宋体" w:eastAsia="宋体" w:cs="宋体"/>
        <w:sz w:val="24"/>
        <w:szCs w:val="24"/>
      </w:rPr>
    </w:lvl>
    <w:lvl w:ilvl="2">
      <w:start w:val="1"/>
      <w:numFmt w:val="decimalEnclosedCircleChinese"/>
      <w:isLgl w:val="false"/>
      <w:suff w:val="nothing"/>
      <w:lvlText w:val="%3"/>
      <w:lvlJc w:val="left"/>
      <w:pPr>
        <w:ind w:left="0" w:firstLine="402"/>
      </w:pPr>
      <w:rPr>
        <w:rFonts w:hint="eastAsia" w:ascii="宋体" w:hAnsi="宋体" w:eastAsia="宋体" w:cs="宋体"/>
        <w:sz w:val="24"/>
        <w:szCs w:val="24"/>
      </w:rPr>
    </w:lvl>
    <w:lvl w:ilvl="3">
      <w:start w:val="1"/>
      <w:numFmt w:val="decimal"/>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4">
    <w:multiLevelType w:val="hybridMultilevel"/>
    <w:lvl w:ilvl="0">
      <w:start w:val="1"/>
      <w:numFmt w:val="bullet"/>
      <w:pStyle w:val="963"/>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00"/>
        <w:tabs>
          <w:tab w:val="left" w:pos="0" w:leader="none"/>
        </w:tabs>
      </w:pPr>
      <w:rPr>
        <w:rFonts w:hint="eastAsia" w:ascii="宋体" w:hAnsi="宋体" w:eastAsia="宋体" w:cs="宋体"/>
        <w:sz w:val="24"/>
        <w:szCs w:val="24"/>
      </w:rPr>
    </w:lvl>
    <w:lvl w:ilvl="1">
      <w:start w:val="1"/>
      <w:numFmt w:val="decimal"/>
      <w:isLgl w:val="false"/>
      <w:suff w:val="nothing"/>
      <w:lvlText w:val="%2、"/>
      <w:lvlJc w:val="left"/>
      <w:pPr>
        <w:ind w:left="0" w:firstLine="400"/>
      </w:pPr>
      <w:rPr>
        <w:rFonts w:hint="default" w:ascii="宋体" w:hAnsi="宋体" w:eastAsia="宋体" w:cs="宋体"/>
        <w:sz w:val="24"/>
        <w:szCs w:val="24"/>
      </w:rPr>
    </w:lvl>
    <w:lvl w:ilvl="2">
      <w:start w:val="1"/>
      <w:numFmt w:val="decimalEnclosedCircleChinese"/>
      <w:isLgl w:val="false"/>
      <w:suff w:val="nothing"/>
      <w:lvlText w:val="%3"/>
      <w:lvlJc w:val="left"/>
      <w:pPr>
        <w:ind w:left="0" w:firstLine="402"/>
      </w:pPr>
      <w:rPr>
        <w:rFonts w:hint="eastAsia" w:ascii="宋体" w:hAnsi="宋体" w:eastAsia="宋体" w:cs="宋体"/>
        <w:sz w:val="24"/>
        <w:szCs w:val="24"/>
      </w:rPr>
    </w:lvl>
    <w:lvl w:ilvl="3">
      <w:start w:val="1"/>
      <w:numFmt w:val="decimal"/>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6">
    <w:multiLevelType w:val="hybridMultilevel"/>
    <w:lvl w:ilvl="0">
      <w:start w:val="1"/>
      <w:numFmt w:val="chineseCounting"/>
      <w:isLgl w:val="false"/>
      <w:suff w:val="nothing"/>
      <w:lvlText w:val="%1、"/>
      <w:lvlJc w:val="left"/>
      <w:pPr>
        <w:ind w:left="0" w:firstLine="400"/>
        <w:tabs>
          <w:tab w:val="left" w:pos="0" w:leader="none"/>
        </w:tabs>
      </w:pPr>
      <w:rPr>
        <w:rFonts w:hint="eastAsia" w:ascii="宋体" w:hAnsi="宋体" w:eastAsia="宋体" w:cs="宋体"/>
        <w:sz w:val="24"/>
        <w:szCs w:val="24"/>
      </w:rPr>
    </w:lvl>
    <w:lvl w:ilvl="1">
      <w:start w:val="1"/>
      <w:numFmt w:val="decimal"/>
      <w:isLgl w:val="false"/>
      <w:suff w:val="nothing"/>
      <w:lvlText w:val="%2、"/>
      <w:lvlJc w:val="left"/>
      <w:pPr>
        <w:ind w:left="0" w:firstLine="400"/>
      </w:pPr>
      <w:rPr>
        <w:rFonts w:hint="default" w:ascii="宋体" w:hAnsi="宋体" w:eastAsia="宋体" w:cs="宋体"/>
        <w:sz w:val="24"/>
        <w:szCs w:val="24"/>
      </w:rPr>
    </w:lvl>
    <w:lvl w:ilvl="2">
      <w:start w:val="1"/>
      <w:numFmt w:val="decimalEnclosedCircleChinese"/>
      <w:isLgl w:val="false"/>
      <w:suff w:val="nothing"/>
      <w:lvlText w:val="%3"/>
      <w:lvlJc w:val="left"/>
      <w:pPr>
        <w:ind w:left="0" w:firstLine="402"/>
      </w:pPr>
      <w:rPr>
        <w:rFonts w:hint="eastAsia" w:ascii="宋体" w:hAnsi="宋体" w:eastAsia="宋体" w:cs="宋体"/>
        <w:sz w:val="24"/>
        <w:szCs w:val="24"/>
      </w:rPr>
    </w:lvl>
    <w:lvl w:ilvl="3">
      <w:start w:val="1"/>
      <w:numFmt w:val="decimal"/>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7">
    <w:multiLevelType w:val="hybridMultilevel"/>
    <w:lvl w:ilvl="0">
      <w:start w:val="1"/>
      <w:numFmt w:val="chineseCounting"/>
      <w:isLgl w:val="false"/>
      <w:suff w:val="nothing"/>
      <w:lvlText w:val="%1、"/>
      <w:lvlJc w:val="left"/>
      <w:pPr>
        <w:ind w:left="0" w:firstLine="400"/>
        <w:tabs>
          <w:tab w:val="left" w:pos="0" w:leader="none"/>
        </w:tabs>
      </w:pPr>
      <w:rPr>
        <w:rFonts w:hint="eastAsia" w:ascii="宋体" w:hAnsi="宋体" w:eastAsia="宋体" w:cs="宋体"/>
        <w:sz w:val="24"/>
        <w:szCs w:val="24"/>
      </w:rPr>
    </w:lvl>
    <w:lvl w:ilvl="1">
      <w:start w:val="1"/>
      <w:numFmt w:val="decimal"/>
      <w:isLgl w:val="false"/>
      <w:suff w:val="nothing"/>
      <w:lvlText w:val="%2、"/>
      <w:lvlJc w:val="left"/>
      <w:pPr>
        <w:ind w:left="0" w:firstLine="400"/>
      </w:pPr>
      <w:rPr>
        <w:rFonts w:hint="default" w:ascii="宋体" w:hAnsi="宋体" w:eastAsia="宋体" w:cs="宋体"/>
        <w:sz w:val="24"/>
        <w:szCs w:val="24"/>
      </w:rPr>
    </w:lvl>
    <w:lvl w:ilvl="2">
      <w:start w:val="1"/>
      <w:numFmt w:val="decimalEnclosedCircleChinese"/>
      <w:isLgl w:val="false"/>
      <w:suff w:val="nothing"/>
      <w:lvlText w:val="%3"/>
      <w:lvlJc w:val="left"/>
      <w:pPr>
        <w:ind w:left="0" w:firstLine="402"/>
      </w:pPr>
      <w:rPr>
        <w:rFonts w:hint="eastAsia" w:ascii="宋体" w:hAnsi="宋体" w:eastAsia="宋体" w:cs="宋体"/>
        <w:sz w:val="24"/>
        <w:szCs w:val="24"/>
      </w:rPr>
    </w:lvl>
    <w:lvl w:ilvl="3">
      <w:start w:val="1"/>
      <w:numFmt w:val="decimal"/>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8">
    <w:multiLevelType w:val="hybridMultilevel"/>
    <w:lvl w:ilvl="0">
      <w:start w:val="1"/>
      <w:numFmt w:val="chineseCounting"/>
      <w:pStyle w:val="749"/>
      <w:isLgl w:val="false"/>
      <w:suff w:val="nothing"/>
      <w:lvlText w:val="%1、"/>
      <w:lvlJc w:val="left"/>
      <w:pPr>
        <w:ind w:left="210" w:firstLine="0"/>
        <w:tabs>
          <w:tab w:val="left" w:pos="0" w:leader="none"/>
        </w:tabs>
      </w:pPr>
      <w:rPr>
        <w:rFonts w:hint="eastAsia"/>
      </w:rPr>
    </w:lvl>
    <w:lvl w:ilvl="1">
      <w:start w:val="1"/>
      <w:numFmt w:val="decimal"/>
      <w:pStyle w:val="750"/>
      <w:isLgl w:val="false"/>
      <w:suff w:val="nothing"/>
      <w:lvlText w:val="%2、"/>
      <w:lvlJc w:val="left"/>
      <w:pPr>
        <w:ind w:left="210" w:firstLine="0"/>
      </w:pPr>
      <w:rPr>
        <w:rFonts w:hint="eastAsia"/>
      </w:rPr>
    </w:lvl>
    <w:lvl w:ilvl="2">
      <w:start w:val="1"/>
      <w:numFmt w:val="decimal"/>
      <w:pStyle w:val="751"/>
      <w:isLgl w:val="false"/>
      <w:suff w:val="nothing"/>
      <w:lvlText w:val="%3."/>
      <w:lvlJc w:val="left"/>
      <w:pPr>
        <w:ind w:left="210" w:firstLine="400"/>
      </w:pPr>
      <w:rPr>
        <w:rFonts w:hint="eastAsia"/>
      </w:rPr>
    </w:lvl>
    <w:lvl w:ilvl="3">
      <w:start w:val="1"/>
      <w:numFmt w:val="decimal"/>
      <w:pStyle w:val="752"/>
      <w:isLgl w:val="false"/>
      <w:suff w:val="nothing"/>
      <w:lvlText w:val="%3.%4"/>
      <w:lvlJc w:val="left"/>
      <w:pPr>
        <w:ind w:left="210" w:firstLine="402"/>
      </w:pPr>
      <w:rPr>
        <w:rFonts w:hint="eastAsia"/>
      </w:rPr>
    </w:lvl>
    <w:lvl w:ilvl="4">
      <w:start w:val="1"/>
      <w:numFmt w:val="decimal"/>
      <w:pStyle w:val="753"/>
      <w:isLgl w:val="false"/>
      <w:suff w:val="nothing"/>
      <w:lvlText w:val="%3.%4.%5"/>
      <w:lvlJc w:val="left"/>
      <w:pPr>
        <w:ind w:left="210" w:firstLine="402"/>
      </w:pPr>
      <w:rPr>
        <w:rFonts w:hint="eastAsia"/>
      </w:rPr>
    </w:lvl>
    <w:lvl w:ilvl="5">
      <w:start w:val="1"/>
      <w:numFmt w:val="decimal"/>
      <w:pStyle w:val="754"/>
      <w:isLgl w:val="false"/>
      <w:suff w:val="nothing"/>
      <w:lvlText w:val="%3.%4.%5.%6"/>
      <w:lvlJc w:val="left"/>
      <w:pPr>
        <w:ind w:left="210" w:firstLine="402"/>
      </w:pPr>
      <w:rPr>
        <w:rFonts w:hint="eastAsia"/>
      </w:rPr>
    </w:lvl>
    <w:lvl w:ilvl="6">
      <w:start w:val="1"/>
      <w:numFmt w:val="lowerLetter"/>
      <w:pStyle w:val="755"/>
      <w:isLgl w:val="false"/>
      <w:suff w:val="nothing"/>
      <w:lvlText w:val="%7．"/>
      <w:lvlJc w:val="left"/>
      <w:pPr>
        <w:ind w:left="210" w:firstLine="402"/>
      </w:pPr>
      <w:rPr>
        <w:rFonts w:hint="eastAsia"/>
      </w:rPr>
    </w:lvl>
    <w:lvl w:ilvl="7">
      <w:start w:val="1"/>
      <w:numFmt w:val="lowerLetter"/>
      <w:pStyle w:val="756"/>
      <w:isLgl w:val="false"/>
      <w:suff w:val="nothing"/>
      <w:lvlText w:val="%8）"/>
      <w:lvlJc w:val="left"/>
      <w:pPr>
        <w:ind w:left="210" w:firstLine="402"/>
      </w:pPr>
      <w:rPr>
        <w:rFonts w:hint="eastAsia"/>
      </w:rPr>
    </w:lvl>
    <w:lvl w:ilvl="8">
      <w:start w:val="1"/>
      <w:numFmt w:val="lowerRoman"/>
      <w:pStyle w:val="757"/>
      <w:isLgl w:val="false"/>
      <w:suff w:val="nothing"/>
      <w:lvlText w:val="%9 "/>
      <w:lvlJc w:val="left"/>
      <w:pPr>
        <w:ind w:left="210" w:firstLine="402"/>
      </w:pPr>
      <w:rPr>
        <w:rFonts w:hint="eastAsia"/>
      </w:rPr>
    </w:lvl>
  </w:abstractNum>
  <w:abstractNum w:abstractNumId="9">
    <w:multiLevelType w:val="hybridMultilevel"/>
    <w:lvl w:ilvl="0">
      <w:start w:val="1"/>
      <w:numFmt w:val="decimalEnclosedCircleChinese"/>
      <w:isLgl w:val="false"/>
      <w:suff w:val="nothing"/>
      <w:lvlText w:val="%1"/>
      <w:lvlJc w:val="left"/>
      <w:pPr>
        <w:ind w:left="0"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w:lvlJc w:val="left"/>
      <w:pPr>
        <w:ind w:left="0"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00"/>
        <w:tabs>
          <w:tab w:val="left" w:pos="0" w:leader="none"/>
        </w:tabs>
      </w:pPr>
      <w:rPr>
        <w:rFonts w:hint="eastAsia" w:ascii="宋体" w:hAnsi="宋体" w:eastAsia="宋体" w:cs="宋体"/>
        <w:sz w:val="24"/>
        <w:szCs w:val="24"/>
      </w:rPr>
    </w:lvl>
    <w:lvl w:ilvl="1">
      <w:start w:val="1"/>
      <w:numFmt w:val="decimal"/>
      <w:isLgl w:val="false"/>
      <w:suff w:val="nothing"/>
      <w:lvlText w:val="%2、"/>
      <w:lvlJc w:val="left"/>
      <w:pPr>
        <w:ind w:left="0" w:firstLine="400"/>
      </w:pPr>
      <w:rPr>
        <w:rFonts w:hint="default" w:ascii="宋体" w:hAnsi="宋体" w:eastAsia="宋体" w:cs="宋体"/>
        <w:sz w:val="24"/>
        <w:szCs w:val="24"/>
      </w:rPr>
    </w:lvl>
    <w:lvl w:ilvl="2">
      <w:start w:val="1"/>
      <w:numFmt w:val="decimalEnclosedCircleChinese"/>
      <w:isLgl w:val="false"/>
      <w:suff w:val="nothing"/>
      <w:lvlText w:val="%3"/>
      <w:lvlJc w:val="left"/>
      <w:pPr>
        <w:ind w:left="0" w:firstLine="402"/>
      </w:pPr>
      <w:rPr>
        <w:rFonts w:hint="eastAsia" w:ascii="宋体" w:hAnsi="宋体" w:eastAsia="宋体" w:cs="宋体"/>
        <w:sz w:val="24"/>
        <w:szCs w:val="24"/>
      </w:rPr>
    </w:lvl>
    <w:lvl w:ilvl="3">
      <w:start w:val="1"/>
      <w:numFmt w:val="decimal"/>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2">
    <w:multiLevelType w:val="hybridMultilevel"/>
    <w:lvl w:ilvl="0">
      <w:start w:val="1"/>
      <w:numFmt w:val="chineseCounting"/>
      <w:isLgl w:val="false"/>
      <w:suff w:val="nothing"/>
      <w:lvlText w:val="%1、"/>
      <w:lvlJc w:val="left"/>
      <w:pPr>
        <w:ind w:left="0" w:firstLine="400"/>
        <w:tabs>
          <w:tab w:val="left" w:pos="0" w:leader="none"/>
        </w:tabs>
      </w:pPr>
      <w:rPr>
        <w:rFonts w:hint="eastAsia" w:ascii="宋体" w:hAnsi="宋体" w:eastAsia="宋体" w:cs="宋体"/>
        <w:sz w:val="24"/>
        <w:szCs w:val="24"/>
      </w:rPr>
    </w:lvl>
    <w:lvl w:ilvl="1">
      <w:start w:val="1"/>
      <w:numFmt w:val="decimal"/>
      <w:isLgl w:val="false"/>
      <w:suff w:val="nothing"/>
      <w:lvlText w:val="%2、"/>
      <w:lvlJc w:val="left"/>
      <w:pPr>
        <w:ind w:left="0" w:firstLine="400"/>
      </w:pPr>
      <w:rPr>
        <w:rFonts w:hint="default" w:ascii="宋体" w:hAnsi="宋体" w:eastAsia="宋体" w:cs="宋体"/>
        <w:sz w:val="24"/>
        <w:szCs w:val="24"/>
      </w:rPr>
    </w:lvl>
    <w:lvl w:ilvl="2">
      <w:start w:val="1"/>
      <w:numFmt w:val="decimalEnclosedCircleChinese"/>
      <w:isLgl w:val="false"/>
      <w:suff w:val="nothing"/>
      <w:lvlText w:val="%3"/>
      <w:lvlJc w:val="left"/>
      <w:pPr>
        <w:ind w:left="0" w:firstLine="402"/>
      </w:pPr>
      <w:rPr>
        <w:rFonts w:hint="eastAsia" w:ascii="宋体" w:hAnsi="宋体" w:eastAsia="宋体" w:cs="宋体"/>
        <w:sz w:val="24"/>
        <w:szCs w:val="24"/>
      </w:rPr>
    </w:lvl>
    <w:lvl w:ilvl="3">
      <w:start w:val="1"/>
      <w:numFmt w:val="decimal"/>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3">
    <w:multiLevelType w:val="hybridMultilevel"/>
    <w:lvl w:ilvl="0">
      <w:start w:val="1"/>
      <w:numFmt w:val="chineseCounting"/>
      <w:isLgl w:val="false"/>
      <w:suff w:val="nothing"/>
      <w:lvlText w:val="%1、"/>
      <w:lvlJc w:val="left"/>
      <w:pPr>
        <w:ind w:left="0" w:firstLine="0"/>
      </w:pPr>
      <w:rPr>
        <w:rFonts w:hint="eastAsia"/>
      </w:rPr>
    </w:lvl>
    <w:lvl w:ilvl="1">
      <w:start w:val="1"/>
      <w:numFmt w:val="decimal"/>
      <w:isLgl w:val="false"/>
      <w:suff w:val="nothing"/>
      <w:lvlText w:val="%2."/>
      <w:lvlJc w:val="left"/>
      <w:pPr>
        <w:ind w:left="0" w:firstLine="40"/>
      </w:pPr>
      <w:rPr>
        <w:rFonts w:hint="eastAsia"/>
      </w:rPr>
    </w:lvl>
    <w:lvl w:ilvl="2">
      <w:start w:val="1"/>
      <w:numFmt w:val="decimal"/>
      <w:isLgl w:val="false"/>
      <w:suff w:val="nothing"/>
      <w:lvlText w:val="%2.%3"/>
      <w:lvlJc w:val="left"/>
      <w:pPr>
        <w:ind w:left="0" w:firstLine="402"/>
      </w:pPr>
      <w:rPr>
        <w:rFonts w:hint="default"/>
        <w:b w:val="0"/>
        <w:bCs w:val="0"/>
      </w:rPr>
    </w:lvl>
    <w:lvl w:ilvl="3">
      <w:start w:val="1"/>
      <w:numFmt w:val="decimal"/>
      <w:isLgl w:val="false"/>
      <w:suff w:val="nothing"/>
      <w:lvlText w:val="%2.%3.%4"/>
      <w:lvlJc w:val="left"/>
      <w:pPr>
        <w:ind w:left="0" w:firstLine="402"/>
      </w:pPr>
      <w:rPr>
        <w:rFonts w:hint="eastAsia"/>
      </w:rPr>
    </w:lvl>
    <w:lvl w:ilvl="4">
      <w:start w:val="1"/>
      <w:numFmt w:val="decimal"/>
      <w:isLgl w:val="false"/>
      <w:suff w:val="nothing"/>
      <w:lvlText w:val="%2.%3.%4.%5"/>
      <w:lvlJc w:val="left"/>
      <w:pPr>
        <w:ind w:left="0" w:firstLine="402"/>
      </w:pPr>
      <w:rPr>
        <w:rFonts w:hint="eastAsia"/>
      </w:rPr>
    </w:lvl>
    <w:lvl w:ilvl="5">
      <w:start w:val="1"/>
      <w:numFmt w:val="decimal"/>
      <w:isLgl w:val="false"/>
      <w:suff w:val="nothing"/>
      <w:lvlText w:val="%2.%3.%4.%5.%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4">
    <w:multiLevelType w:val="hybridMultilevel"/>
    <w:lvl w:ilvl="0">
      <w:start w:val="1"/>
      <w:numFmt w:val="chineseCounting"/>
      <w:isLgl w:val="false"/>
      <w:suff w:val="nothing"/>
      <w:lvlText w:val="%1、"/>
      <w:lvlJc w:val="left"/>
      <w:pPr>
        <w:ind w:left="0" w:firstLine="400"/>
        <w:tabs>
          <w:tab w:val="left" w:pos="0" w:leader="none"/>
        </w:tabs>
      </w:pPr>
      <w:rPr>
        <w:rFonts w:hint="eastAsia" w:ascii="宋体" w:hAnsi="宋体" w:eastAsia="宋体" w:cs="宋体"/>
        <w:sz w:val="24"/>
        <w:szCs w:val="24"/>
      </w:rPr>
    </w:lvl>
    <w:lvl w:ilvl="1">
      <w:start w:val="1"/>
      <w:numFmt w:val="decimal"/>
      <w:isLgl w:val="false"/>
      <w:suff w:val="nothing"/>
      <w:lvlText w:val="%2、"/>
      <w:lvlJc w:val="left"/>
      <w:pPr>
        <w:ind w:left="0" w:firstLine="400"/>
      </w:pPr>
      <w:rPr>
        <w:rFonts w:hint="default" w:ascii="宋体" w:hAnsi="宋体" w:eastAsia="宋体" w:cs="宋体"/>
        <w:sz w:val="24"/>
        <w:szCs w:val="24"/>
      </w:rPr>
    </w:lvl>
    <w:lvl w:ilvl="2">
      <w:start w:val="1"/>
      <w:numFmt w:val="decimalEnclosedCircleChinese"/>
      <w:isLgl w:val="false"/>
      <w:suff w:val="nothing"/>
      <w:lvlText w:val="%3"/>
      <w:lvlJc w:val="left"/>
      <w:pPr>
        <w:ind w:left="0" w:firstLine="402"/>
      </w:pPr>
      <w:rPr>
        <w:rFonts w:hint="eastAsia" w:ascii="宋体" w:hAnsi="宋体" w:eastAsia="宋体" w:cs="宋体"/>
        <w:sz w:val="24"/>
        <w:szCs w:val="24"/>
      </w:rPr>
    </w:lvl>
    <w:lvl w:ilvl="3">
      <w:start w:val="1"/>
      <w:numFmt w:val="decimal"/>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5">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3"/>
  </w:num>
  <w:num w:numId="4">
    <w:abstractNumId w:val="2"/>
  </w:num>
  <w:num w:numId="5">
    <w:abstractNumId w:val="1"/>
  </w:num>
  <w:num w:numId="6">
    <w:abstractNumId w:val="15"/>
  </w:num>
  <w:num w:numId="7">
    <w:abstractNumId w:val="9"/>
  </w:num>
  <w:num w:numId="8">
    <w:abstractNumId w:val="0"/>
  </w:num>
  <w:num w:numId="9">
    <w:abstractNumId w:val="10"/>
  </w:num>
  <w:num w:numId="10">
    <w:abstractNumId w:val="14"/>
  </w:num>
  <w:num w:numId="11">
    <w:abstractNumId w:val="3"/>
  </w:num>
  <w:num w:numId="12">
    <w:abstractNumId w:val="12"/>
  </w:num>
  <w:num w:numId="13">
    <w:abstractNumId w:val="7"/>
  </w:num>
  <w:num w:numId="14">
    <w:abstractNumId w:val="11"/>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8">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7">
    <w:name w:val="TOC Heading"/>
    <w:uiPriority w:val="39"/>
    <w:unhideWhenUsed/>
  </w:style>
  <w:style w:type="paragraph" w:styleId="74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9">
    <w:name w:val="Heading 1"/>
    <w:basedOn w:val="748"/>
    <w:next w:val="748"/>
    <w:link w:val="829"/>
    <w:uiPriority w:val="9"/>
    <w:qFormat/>
    <w:pPr>
      <w:numPr>
        <w:ilvl w:val="0"/>
        <w:numId w:val="1"/>
      </w:numPr>
      <w:keepLines/>
      <w:keepNext/>
      <w:spacing w:before="480" w:after="200"/>
      <w:outlineLvl w:val="0"/>
    </w:pPr>
    <w:rPr>
      <w:rFonts w:ascii="Arial" w:hAnsi="Arial" w:eastAsia="Arial"/>
      <w:sz w:val="40"/>
      <w:szCs w:val="40"/>
    </w:rPr>
  </w:style>
  <w:style w:type="paragraph" w:styleId="750">
    <w:name w:val="Heading 2"/>
    <w:basedOn w:val="748"/>
    <w:next w:val="748"/>
    <w:link w:val="830"/>
    <w:uiPriority w:val="9"/>
    <w:unhideWhenUsed/>
    <w:qFormat/>
    <w:pPr>
      <w:numPr>
        <w:ilvl w:val="1"/>
        <w:numId w:val="1"/>
      </w:numPr>
      <w:keepLines/>
      <w:keepNext/>
      <w:spacing w:before="360" w:after="200"/>
      <w:outlineLvl w:val="1"/>
    </w:pPr>
    <w:rPr>
      <w:rFonts w:ascii="Arial" w:hAnsi="Arial" w:eastAsia="Arial"/>
      <w:sz w:val="34"/>
      <w:szCs w:val="20"/>
    </w:rPr>
  </w:style>
  <w:style w:type="paragraph" w:styleId="751">
    <w:name w:val="Heading 3"/>
    <w:basedOn w:val="748"/>
    <w:next w:val="748"/>
    <w:link w:val="831"/>
    <w:uiPriority w:val="9"/>
    <w:unhideWhenUsed/>
    <w:qFormat/>
    <w:pPr>
      <w:numPr>
        <w:ilvl w:val="2"/>
        <w:numId w:val="1"/>
      </w:numPr>
      <w:keepLines/>
      <w:keepNext/>
      <w:spacing w:before="320" w:after="200"/>
      <w:outlineLvl w:val="2"/>
    </w:pPr>
    <w:rPr>
      <w:rFonts w:ascii="Arial" w:hAnsi="Arial" w:eastAsia="Arial"/>
      <w:sz w:val="30"/>
      <w:szCs w:val="30"/>
    </w:rPr>
  </w:style>
  <w:style w:type="paragraph" w:styleId="752">
    <w:name w:val="Heading 4"/>
    <w:basedOn w:val="748"/>
    <w:next w:val="748"/>
    <w:link w:val="832"/>
    <w:uiPriority w:val="9"/>
    <w:unhideWhenUsed/>
    <w:qFormat/>
    <w:pPr>
      <w:numPr>
        <w:ilvl w:val="3"/>
        <w:numId w:val="1"/>
      </w:numPr>
      <w:keepLines/>
      <w:keepNext/>
      <w:spacing w:before="320" w:after="200"/>
      <w:outlineLvl w:val="3"/>
    </w:pPr>
    <w:rPr>
      <w:rFonts w:ascii="Arial" w:hAnsi="Arial" w:eastAsia="Arial"/>
      <w:b/>
      <w:bCs/>
      <w:sz w:val="26"/>
      <w:szCs w:val="26"/>
    </w:rPr>
  </w:style>
  <w:style w:type="paragraph" w:styleId="753">
    <w:name w:val="Heading 5"/>
    <w:basedOn w:val="748"/>
    <w:next w:val="748"/>
    <w:link w:val="833"/>
    <w:uiPriority w:val="9"/>
    <w:unhideWhenUsed/>
    <w:qFormat/>
    <w:pPr>
      <w:numPr>
        <w:ilvl w:val="4"/>
        <w:numId w:val="1"/>
      </w:numPr>
      <w:keepLines/>
      <w:keepNext/>
      <w:spacing w:before="320" w:after="200"/>
      <w:outlineLvl w:val="4"/>
    </w:pPr>
    <w:rPr>
      <w:rFonts w:ascii="Arial" w:hAnsi="Arial" w:eastAsia="Arial"/>
      <w:b/>
      <w:bCs/>
      <w:sz w:val="24"/>
      <w:szCs w:val="24"/>
    </w:rPr>
  </w:style>
  <w:style w:type="paragraph" w:styleId="754">
    <w:name w:val="Heading 6"/>
    <w:basedOn w:val="748"/>
    <w:next w:val="748"/>
    <w:link w:val="834"/>
    <w:uiPriority w:val="9"/>
    <w:unhideWhenUsed/>
    <w:qFormat/>
    <w:pPr>
      <w:numPr>
        <w:ilvl w:val="5"/>
        <w:numId w:val="1"/>
      </w:numPr>
      <w:keepLines/>
      <w:keepNext/>
      <w:spacing w:before="320" w:after="200"/>
      <w:outlineLvl w:val="5"/>
    </w:pPr>
    <w:rPr>
      <w:rFonts w:ascii="Arial" w:hAnsi="Arial" w:eastAsia="Arial"/>
      <w:b/>
      <w:bCs/>
      <w:sz w:val="22"/>
    </w:rPr>
  </w:style>
  <w:style w:type="paragraph" w:styleId="755">
    <w:name w:val="Heading 7"/>
    <w:basedOn w:val="748"/>
    <w:next w:val="748"/>
    <w:link w:val="835"/>
    <w:uiPriority w:val="9"/>
    <w:unhideWhenUsed/>
    <w:qFormat/>
    <w:pPr>
      <w:numPr>
        <w:ilvl w:val="6"/>
        <w:numId w:val="1"/>
      </w:numPr>
      <w:keepLines/>
      <w:keepNext/>
      <w:spacing w:before="320" w:after="200"/>
      <w:outlineLvl w:val="6"/>
    </w:pPr>
    <w:rPr>
      <w:rFonts w:ascii="Arial" w:hAnsi="Arial" w:eastAsia="Arial"/>
      <w:b/>
      <w:bCs/>
      <w:i/>
      <w:iCs/>
      <w:sz w:val="22"/>
    </w:rPr>
  </w:style>
  <w:style w:type="paragraph" w:styleId="756">
    <w:name w:val="Heading 8"/>
    <w:basedOn w:val="748"/>
    <w:next w:val="748"/>
    <w:link w:val="836"/>
    <w:uiPriority w:val="9"/>
    <w:unhideWhenUsed/>
    <w:qFormat/>
    <w:pPr>
      <w:numPr>
        <w:ilvl w:val="7"/>
        <w:numId w:val="1"/>
      </w:numPr>
      <w:keepLines/>
      <w:keepNext/>
      <w:spacing w:before="320" w:after="200"/>
      <w:outlineLvl w:val="7"/>
    </w:pPr>
    <w:rPr>
      <w:rFonts w:ascii="Arial" w:hAnsi="Arial" w:eastAsia="Arial"/>
      <w:i/>
      <w:iCs/>
      <w:sz w:val="22"/>
    </w:rPr>
  </w:style>
  <w:style w:type="paragraph" w:styleId="757">
    <w:name w:val="Heading 9"/>
    <w:basedOn w:val="748"/>
    <w:next w:val="748"/>
    <w:link w:val="837"/>
    <w:uiPriority w:val="9"/>
    <w:unhideWhenUsed/>
    <w:qFormat/>
    <w:pPr>
      <w:numPr>
        <w:ilvl w:val="8"/>
        <w:numId w:val="1"/>
      </w:numPr>
      <w:keepLines/>
      <w:keepNext/>
      <w:spacing w:before="320" w:after="200"/>
      <w:outlineLvl w:val="8"/>
    </w:pPr>
    <w:rPr>
      <w:rFonts w:ascii="Arial" w:hAnsi="Arial" w:eastAsia="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toc 7"/>
    <w:basedOn w:val="748"/>
    <w:next w:val="748"/>
    <w:uiPriority w:val="39"/>
    <w:unhideWhenUsed/>
    <w:qFormat/>
    <w:pPr>
      <w:ind w:left="1701"/>
      <w:spacing w:after="57"/>
    </w:pPr>
  </w:style>
  <w:style w:type="paragraph" w:styleId="761">
    <w:name w:val="Caption"/>
    <w:basedOn w:val="748"/>
    <w:next w:val="748"/>
    <w:uiPriority w:val="35"/>
    <w:semiHidden/>
    <w:unhideWhenUsed/>
    <w:qFormat/>
    <w:pPr>
      <w:spacing w:line="276" w:lineRule="auto"/>
    </w:pPr>
    <w:rPr>
      <w:b/>
      <w:bCs/>
      <w:color w:val="4f81bd"/>
      <w:sz w:val="18"/>
      <w:szCs w:val="18"/>
    </w:rPr>
  </w:style>
  <w:style w:type="paragraph" w:styleId="762">
    <w:name w:val="annotation text"/>
    <w:basedOn w:val="748"/>
    <w:link w:val="999"/>
    <w:uiPriority w:val="99"/>
    <w:semiHidden/>
    <w:unhideWhenUsed/>
    <w:qFormat/>
    <w:pPr>
      <w:jc w:val="left"/>
    </w:pPr>
  </w:style>
  <w:style w:type="paragraph" w:styleId="763">
    <w:name w:val="Body Text Indent"/>
    <w:basedOn w:val="748"/>
    <w:uiPriority w:val="99"/>
    <w:unhideWhenUsed/>
    <w:qFormat/>
    <w:pPr>
      <w:ind w:left="420"/>
      <w:spacing w:after="120"/>
    </w:pPr>
  </w:style>
  <w:style w:type="paragraph" w:styleId="764">
    <w:name w:val="toc 5"/>
    <w:basedOn w:val="748"/>
    <w:next w:val="748"/>
    <w:uiPriority w:val="39"/>
    <w:unhideWhenUsed/>
    <w:qFormat/>
    <w:pPr>
      <w:ind w:left="1134"/>
      <w:spacing w:after="57"/>
    </w:pPr>
  </w:style>
  <w:style w:type="paragraph" w:styleId="765">
    <w:name w:val="toc 3"/>
    <w:basedOn w:val="748"/>
    <w:next w:val="748"/>
    <w:uiPriority w:val="39"/>
    <w:unhideWhenUsed/>
    <w:qFormat/>
    <w:pPr>
      <w:ind w:left="567"/>
      <w:spacing w:after="57"/>
    </w:pPr>
  </w:style>
  <w:style w:type="paragraph" w:styleId="766">
    <w:name w:val="toc 8"/>
    <w:basedOn w:val="748"/>
    <w:next w:val="748"/>
    <w:uiPriority w:val="39"/>
    <w:unhideWhenUsed/>
    <w:qFormat/>
    <w:pPr>
      <w:ind w:left="1984"/>
      <w:spacing w:after="57"/>
    </w:pPr>
  </w:style>
  <w:style w:type="paragraph" w:styleId="767">
    <w:name w:val="endnote text"/>
    <w:basedOn w:val="748"/>
    <w:link w:val="956"/>
    <w:uiPriority w:val="99"/>
    <w:semiHidden/>
    <w:unhideWhenUsed/>
    <w:qFormat/>
    <w:rPr>
      <w:sz w:val="20"/>
      <w:szCs w:val="20"/>
    </w:rPr>
  </w:style>
  <w:style w:type="paragraph" w:styleId="768">
    <w:name w:val="Balloon Text"/>
    <w:basedOn w:val="748"/>
    <w:link w:val="998"/>
    <w:uiPriority w:val="99"/>
    <w:semiHidden/>
    <w:unhideWhenUsed/>
    <w:qFormat/>
    <w:rPr>
      <w:sz w:val="18"/>
      <w:szCs w:val="18"/>
    </w:rPr>
  </w:style>
  <w:style w:type="paragraph" w:styleId="769">
    <w:name w:val="Footer"/>
    <w:basedOn w:val="748"/>
    <w:link w:val="848"/>
    <w:uiPriority w:val="99"/>
    <w:unhideWhenUsed/>
    <w:qFormat/>
    <w:pPr>
      <w:tabs>
        <w:tab w:val="center" w:pos="7143" w:leader="none"/>
        <w:tab w:val="right" w:pos="14287" w:leader="none"/>
      </w:tabs>
    </w:pPr>
  </w:style>
  <w:style w:type="paragraph" w:styleId="770">
    <w:name w:val="Header"/>
    <w:basedOn w:val="748"/>
    <w:link w:val="846"/>
    <w:uiPriority w:val="99"/>
    <w:unhideWhenUsed/>
    <w:qFormat/>
    <w:pPr>
      <w:tabs>
        <w:tab w:val="center" w:pos="7143" w:leader="none"/>
        <w:tab w:val="right" w:pos="14287" w:leader="none"/>
      </w:tabs>
    </w:pPr>
  </w:style>
  <w:style w:type="paragraph" w:styleId="771">
    <w:name w:val="toc 1"/>
    <w:basedOn w:val="748"/>
    <w:next w:val="748"/>
    <w:uiPriority w:val="39"/>
    <w:unhideWhenUsed/>
    <w:qFormat/>
    <w:pPr>
      <w:spacing w:after="57"/>
    </w:pPr>
  </w:style>
  <w:style w:type="paragraph" w:styleId="772">
    <w:name w:val="toc 4"/>
    <w:basedOn w:val="748"/>
    <w:next w:val="748"/>
    <w:uiPriority w:val="39"/>
    <w:unhideWhenUsed/>
    <w:qFormat/>
    <w:pPr>
      <w:ind w:left="850"/>
      <w:spacing w:after="57"/>
    </w:pPr>
  </w:style>
  <w:style w:type="paragraph" w:styleId="773">
    <w:name w:val="Subtitle"/>
    <w:basedOn w:val="748"/>
    <w:next w:val="748"/>
    <w:link w:val="841"/>
    <w:uiPriority w:val="11"/>
    <w:qFormat/>
    <w:pPr>
      <w:spacing w:before="200" w:after="200"/>
    </w:pPr>
    <w:rPr>
      <w:sz w:val="24"/>
      <w:szCs w:val="24"/>
    </w:rPr>
  </w:style>
  <w:style w:type="paragraph" w:styleId="774">
    <w:name w:val="footnote text"/>
    <w:basedOn w:val="748"/>
    <w:link w:val="955"/>
    <w:uiPriority w:val="99"/>
    <w:semiHidden/>
    <w:unhideWhenUsed/>
    <w:qFormat/>
    <w:pPr>
      <w:spacing w:after="40"/>
    </w:pPr>
    <w:rPr>
      <w:sz w:val="18"/>
      <w:szCs w:val="20"/>
    </w:rPr>
  </w:style>
  <w:style w:type="paragraph" w:styleId="775">
    <w:name w:val="toc 6"/>
    <w:basedOn w:val="748"/>
    <w:next w:val="748"/>
    <w:uiPriority w:val="39"/>
    <w:unhideWhenUsed/>
    <w:qFormat/>
    <w:pPr>
      <w:ind w:left="1417"/>
      <w:spacing w:after="57"/>
    </w:pPr>
  </w:style>
  <w:style w:type="paragraph" w:styleId="776">
    <w:name w:val="table of figures"/>
    <w:basedOn w:val="748"/>
    <w:next w:val="748"/>
    <w:uiPriority w:val="99"/>
    <w:unhideWhenUsed/>
    <w:qFormat/>
  </w:style>
  <w:style w:type="paragraph" w:styleId="777">
    <w:name w:val="toc 2"/>
    <w:basedOn w:val="748"/>
    <w:next w:val="748"/>
    <w:uiPriority w:val="39"/>
    <w:unhideWhenUsed/>
    <w:qFormat/>
    <w:pPr>
      <w:ind w:left="283"/>
      <w:spacing w:after="57"/>
    </w:pPr>
  </w:style>
  <w:style w:type="paragraph" w:styleId="778">
    <w:name w:val="toc 9"/>
    <w:basedOn w:val="748"/>
    <w:next w:val="748"/>
    <w:uiPriority w:val="39"/>
    <w:unhideWhenUsed/>
    <w:qFormat/>
    <w:pPr>
      <w:ind w:left="2268"/>
      <w:spacing w:after="57"/>
    </w:pPr>
  </w:style>
  <w:style w:type="paragraph" w:styleId="779">
    <w:name w:val="Title"/>
    <w:basedOn w:val="748"/>
    <w:next w:val="748"/>
    <w:link w:val="840"/>
    <w:uiPriority w:val="10"/>
    <w:qFormat/>
    <w:pPr>
      <w:contextualSpacing/>
      <w:spacing w:before="300" w:after="200"/>
    </w:pPr>
    <w:rPr>
      <w:sz w:val="48"/>
      <w:szCs w:val="48"/>
    </w:rPr>
  </w:style>
  <w:style w:type="paragraph" w:styleId="780">
    <w:name w:val="annotation subject"/>
    <w:basedOn w:val="762"/>
    <w:next w:val="762"/>
    <w:link w:val="1000"/>
    <w:uiPriority w:val="99"/>
    <w:semiHidden/>
    <w:unhideWhenUsed/>
    <w:qFormat/>
    <w:rPr>
      <w:b/>
      <w:bCs/>
    </w:rPr>
  </w:style>
  <w:style w:type="paragraph" w:styleId="781">
    <w:name w:val="Body Text First Indent 2"/>
    <w:basedOn w:val="763"/>
    <w:uiPriority w:val="0"/>
    <w:qFormat/>
    <w:pPr>
      <w:ind w:left="0" w:firstLine="420"/>
      <w:spacing w:line="360" w:lineRule="auto"/>
    </w:pPr>
    <w:rPr>
      <w:sz w:val="20"/>
      <w:szCs w:val="20"/>
    </w:r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Hyperlink"/>
    <w:uiPriority w:val="99"/>
    <w:unhideWhenUsed/>
    <w:qFormat/>
    <w:rPr>
      <w:color w:val="0000ff"/>
      <w:u w:val="single"/>
    </w:rPr>
  </w:style>
  <w:style w:type="character" w:styleId="785">
    <w:name w:val="annotation reference"/>
    <w:uiPriority w:val="99"/>
    <w:semiHidden/>
    <w:unhideWhenUsed/>
    <w:qFormat/>
    <w:rPr>
      <w:sz w:val="21"/>
      <w:szCs w:val="21"/>
    </w:rPr>
  </w:style>
  <w:style w:type="character" w:styleId="786">
    <w:name w:val="footnote reference"/>
    <w:uiPriority w:val="99"/>
    <w:unhideWhenUsed/>
    <w:qFormat/>
    <w:rPr>
      <w:vertAlign w:val="superscript"/>
    </w:rPr>
  </w:style>
  <w:style w:type="table" w:styleId="787" w:customStyle="1">
    <w:name w:val="无格式表格 11"/>
    <w:basedOn w:val="75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basedOn w:val="75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basedOn w:val="7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basedOn w:val="7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basedOn w:val="7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basedOn w:val="75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网格表 21"/>
    <w:basedOn w:val="75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网格表 31"/>
    <w:basedOn w:val="75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75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网格表 5 深色1"/>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网格表 6 彩色1"/>
    <w:basedOn w:val="75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98" w:customStyle="1">
    <w:name w:val="网格表 7 彩色1"/>
    <w:basedOn w:val="75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清单表 1 浅色1"/>
    <w:basedOn w:val="75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清单表 21"/>
    <w:basedOn w:val="75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清单表 31"/>
    <w:basedOn w:val="75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清单表 41"/>
    <w:basedOn w:val="75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5 深色1"/>
    <w:basedOn w:val="75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4" w:customStyle="1">
    <w:name w:val="清单表 6 彩色1"/>
    <w:basedOn w:val="75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5" w:customStyle="1">
    <w:name w:val="清单表 7 彩色1"/>
    <w:basedOn w:val="75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6" w:customStyle="1">
    <w:name w:val="TOC 标题1"/>
    <w:uiPriority w:val="39"/>
    <w:unhideWhenUsed/>
    <w:qFormat/>
    <w:rPr>
      <w:rFonts w:ascii="Times New Roman" w:hAnsi="Times New Roman" w:eastAsia="宋体" w:cs="Times New Roman"/>
      <w:lang w:val="en-US" w:eastAsia="zh-CN" w:bidi="ar-SA"/>
    </w:rPr>
  </w:style>
  <w:style w:type="paragraph" w:styleId="807" w:customStyle="1">
    <w:name w:val="TOC 标题113"/>
    <w:uiPriority w:val="39"/>
    <w:unhideWhenUsed/>
    <w:qFormat/>
    <w:rPr>
      <w:rFonts w:ascii="Times New Roman" w:hAnsi="Times New Roman" w:eastAsia="宋体" w:cs="Times New Roman"/>
      <w:lang w:val="en-US" w:eastAsia="zh-CN" w:bidi="ar-SA"/>
    </w:rPr>
  </w:style>
  <w:style w:type="paragraph" w:styleId="808" w:customStyle="1">
    <w:name w:val="TOC 标题112"/>
    <w:uiPriority w:val="39"/>
    <w:unhideWhenUsed/>
    <w:qFormat/>
    <w:rPr>
      <w:rFonts w:ascii="Times New Roman" w:hAnsi="Times New Roman" w:eastAsia="宋体" w:cs="Times New Roman"/>
      <w:lang w:val="en-US" w:eastAsia="zh-CN" w:bidi="ar-SA"/>
    </w:rPr>
  </w:style>
  <w:style w:type="character" w:styleId="809" w:customStyle="1">
    <w:name w:val="Heading 1 Char"/>
    <w:uiPriority w:val="9"/>
    <w:qFormat/>
    <w:rPr>
      <w:rFonts w:ascii="Arial" w:hAnsi="Arial" w:eastAsia="Arial" w:cs="Arial"/>
      <w:sz w:val="40"/>
      <w:szCs w:val="40"/>
    </w:rPr>
  </w:style>
  <w:style w:type="character" w:styleId="810" w:customStyle="1">
    <w:name w:val="Heading 2 Char"/>
    <w:uiPriority w:val="9"/>
    <w:qFormat/>
    <w:rPr>
      <w:rFonts w:ascii="Arial" w:hAnsi="Arial" w:eastAsia="Arial" w:cs="Arial"/>
      <w:sz w:val="34"/>
    </w:rPr>
  </w:style>
  <w:style w:type="character" w:styleId="811" w:customStyle="1">
    <w:name w:val="Heading 3 Char"/>
    <w:uiPriority w:val="9"/>
    <w:qFormat/>
    <w:rPr>
      <w:rFonts w:ascii="Arial" w:hAnsi="Arial" w:eastAsia="Arial" w:cs="Arial"/>
      <w:sz w:val="30"/>
      <w:szCs w:val="30"/>
    </w:rPr>
  </w:style>
  <w:style w:type="character" w:styleId="812" w:customStyle="1">
    <w:name w:val="Heading 4 Char"/>
    <w:uiPriority w:val="9"/>
    <w:qFormat/>
    <w:rPr>
      <w:rFonts w:ascii="Arial" w:hAnsi="Arial" w:eastAsia="Arial" w:cs="Arial"/>
      <w:b/>
      <w:bCs/>
      <w:sz w:val="26"/>
      <w:szCs w:val="26"/>
    </w:rPr>
  </w:style>
  <w:style w:type="character" w:styleId="813" w:customStyle="1">
    <w:name w:val="Heading 5 Char"/>
    <w:uiPriority w:val="9"/>
    <w:qFormat/>
    <w:rPr>
      <w:rFonts w:ascii="Arial" w:hAnsi="Arial" w:eastAsia="Arial" w:cs="Arial"/>
      <w:b/>
      <w:bCs/>
      <w:sz w:val="24"/>
      <w:szCs w:val="24"/>
    </w:rPr>
  </w:style>
  <w:style w:type="character" w:styleId="814" w:customStyle="1">
    <w:name w:val="Heading 6 Char"/>
    <w:uiPriority w:val="9"/>
    <w:qFormat/>
    <w:rPr>
      <w:rFonts w:ascii="Arial" w:hAnsi="Arial" w:eastAsia="Arial" w:cs="Arial"/>
      <w:b/>
      <w:bCs/>
      <w:sz w:val="22"/>
      <w:szCs w:val="22"/>
    </w:rPr>
  </w:style>
  <w:style w:type="character" w:styleId="815" w:customStyle="1">
    <w:name w:val="Heading 7 Char"/>
    <w:uiPriority w:val="9"/>
    <w:qFormat/>
    <w:rPr>
      <w:rFonts w:ascii="Arial" w:hAnsi="Arial" w:eastAsia="Arial" w:cs="Arial"/>
      <w:b/>
      <w:bCs/>
      <w:i/>
      <w:iCs/>
      <w:sz w:val="22"/>
      <w:szCs w:val="22"/>
    </w:rPr>
  </w:style>
  <w:style w:type="character" w:styleId="816" w:customStyle="1">
    <w:name w:val="Heading 8 Char"/>
    <w:uiPriority w:val="9"/>
    <w:qFormat/>
    <w:rPr>
      <w:rFonts w:ascii="Arial" w:hAnsi="Arial" w:eastAsia="Arial" w:cs="Arial"/>
      <w:i/>
      <w:iCs/>
      <w:sz w:val="22"/>
      <w:szCs w:val="22"/>
    </w:rPr>
  </w:style>
  <w:style w:type="character" w:styleId="817" w:customStyle="1">
    <w:name w:val="Heading 9 Char"/>
    <w:uiPriority w:val="9"/>
    <w:qFormat/>
    <w:rPr>
      <w:rFonts w:ascii="Arial" w:hAnsi="Arial" w:eastAsia="Arial" w:cs="Arial"/>
      <w:i/>
      <w:iCs/>
      <w:sz w:val="21"/>
      <w:szCs w:val="21"/>
    </w:rPr>
  </w:style>
  <w:style w:type="character" w:styleId="818" w:customStyle="1">
    <w:name w:val="Title Char"/>
    <w:uiPriority w:val="10"/>
    <w:qFormat/>
    <w:rPr>
      <w:sz w:val="48"/>
      <w:szCs w:val="48"/>
    </w:rPr>
  </w:style>
  <w:style w:type="character" w:styleId="819" w:customStyle="1">
    <w:name w:val="Subtitle Char"/>
    <w:uiPriority w:val="11"/>
    <w:qFormat/>
    <w:rPr>
      <w:sz w:val="24"/>
      <w:szCs w:val="24"/>
    </w:rPr>
  </w:style>
  <w:style w:type="character" w:styleId="820" w:customStyle="1">
    <w:name w:val="Quote Char"/>
    <w:uiPriority w:val="29"/>
    <w:qFormat/>
    <w:rPr>
      <w:i/>
    </w:rPr>
  </w:style>
  <w:style w:type="character" w:styleId="821" w:customStyle="1">
    <w:name w:val="Intense Quote Char"/>
    <w:uiPriority w:val="30"/>
    <w:qFormat/>
    <w:rPr>
      <w:i/>
    </w:rPr>
  </w:style>
  <w:style w:type="character" w:styleId="822" w:customStyle="1">
    <w:name w:val="Header Char"/>
    <w:basedOn w:val="758"/>
    <w:uiPriority w:val="99"/>
    <w:qFormat/>
  </w:style>
  <w:style w:type="character" w:styleId="823" w:customStyle="1">
    <w:name w:val="Caption Char"/>
    <w:uiPriority w:val="99"/>
    <w:qFormat/>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TOC 标题111"/>
    <w:uiPriority w:val="39"/>
    <w:unhideWhenUsed/>
    <w:qFormat/>
    <w:rPr>
      <w:rFonts w:ascii="Times New Roman" w:hAnsi="Times New Roman" w:eastAsia="宋体" w:cs="Times New Roman"/>
      <w:lang w:val="en-US" w:eastAsia="zh-CN" w:bidi="ar-SA"/>
    </w:rPr>
  </w:style>
  <w:style w:type="paragraph" w:styleId="827" w:customStyle="1">
    <w:name w:val="正文文本1"/>
    <w:basedOn w:val="748"/>
    <w:next w:val="828"/>
    <w:uiPriority w:val="99"/>
    <w:unhideWhenUsed/>
    <w:qFormat/>
    <w:pPr>
      <w:spacing w:after="120"/>
    </w:pPr>
  </w:style>
  <w:style w:type="paragraph" w:styleId="828" w:customStyle="1">
    <w:name w:val="正文缩进1"/>
    <w:basedOn w:val="748"/>
    <w:uiPriority w:val="0"/>
    <w:qFormat/>
    <w:pPr>
      <w:ind w:firstLine="420"/>
      <w:jc w:val="left"/>
    </w:pPr>
    <w:rPr>
      <w:sz w:val="24"/>
    </w:rPr>
  </w:style>
  <w:style w:type="character" w:styleId="829" w:customStyle="1">
    <w:name w:val="标题 1 Char"/>
    <w:link w:val="749"/>
    <w:uiPriority w:val="9"/>
    <w:qFormat/>
    <w:rPr>
      <w:rFonts w:ascii="Arial" w:hAnsi="Arial" w:eastAsia="Arial" w:cs="Arial"/>
      <w:sz w:val="40"/>
      <w:szCs w:val="40"/>
    </w:rPr>
  </w:style>
  <w:style w:type="character" w:styleId="830" w:customStyle="1">
    <w:name w:val="标题 2 Char"/>
    <w:link w:val="750"/>
    <w:uiPriority w:val="9"/>
    <w:qFormat/>
    <w:rPr>
      <w:rFonts w:ascii="Arial" w:hAnsi="Arial" w:eastAsia="Arial" w:cs="Arial"/>
      <w:sz w:val="34"/>
    </w:rPr>
  </w:style>
  <w:style w:type="character" w:styleId="831" w:customStyle="1">
    <w:name w:val="标题 3 Char"/>
    <w:link w:val="751"/>
    <w:uiPriority w:val="9"/>
    <w:qFormat/>
    <w:rPr>
      <w:rFonts w:ascii="Arial" w:hAnsi="Arial" w:eastAsia="Arial" w:cs="Arial"/>
      <w:sz w:val="30"/>
      <w:szCs w:val="30"/>
    </w:rPr>
  </w:style>
  <w:style w:type="character" w:styleId="832" w:customStyle="1">
    <w:name w:val="标题 4 Char"/>
    <w:link w:val="752"/>
    <w:uiPriority w:val="9"/>
    <w:qFormat/>
    <w:rPr>
      <w:rFonts w:ascii="Arial" w:hAnsi="Arial" w:eastAsia="Arial" w:cs="Arial"/>
      <w:b/>
      <w:bCs/>
      <w:sz w:val="26"/>
      <w:szCs w:val="26"/>
    </w:rPr>
  </w:style>
  <w:style w:type="character" w:styleId="833" w:customStyle="1">
    <w:name w:val="标题 5 Char"/>
    <w:link w:val="753"/>
    <w:uiPriority w:val="9"/>
    <w:qFormat/>
    <w:rPr>
      <w:rFonts w:ascii="Arial" w:hAnsi="Arial" w:eastAsia="Arial" w:cs="Arial"/>
      <w:b/>
      <w:bCs/>
      <w:sz w:val="24"/>
      <w:szCs w:val="24"/>
    </w:rPr>
  </w:style>
  <w:style w:type="character" w:styleId="834" w:customStyle="1">
    <w:name w:val="标题 6 Char"/>
    <w:link w:val="754"/>
    <w:uiPriority w:val="9"/>
    <w:qFormat/>
    <w:rPr>
      <w:rFonts w:ascii="Arial" w:hAnsi="Arial" w:eastAsia="Arial" w:cs="Arial"/>
      <w:b/>
      <w:bCs/>
      <w:sz w:val="22"/>
      <w:szCs w:val="22"/>
    </w:rPr>
  </w:style>
  <w:style w:type="character" w:styleId="835" w:customStyle="1">
    <w:name w:val="标题 7 Char"/>
    <w:link w:val="755"/>
    <w:uiPriority w:val="9"/>
    <w:qFormat/>
    <w:rPr>
      <w:rFonts w:ascii="Arial" w:hAnsi="Arial" w:eastAsia="Arial" w:cs="Arial"/>
      <w:b/>
      <w:bCs/>
      <w:i/>
      <w:iCs/>
      <w:sz w:val="22"/>
      <w:szCs w:val="22"/>
    </w:rPr>
  </w:style>
  <w:style w:type="character" w:styleId="836" w:customStyle="1">
    <w:name w:val="标题 8 Char"/>
    <w:link w:val="756"/>
    <w:uiPriority w:val="9"/>
    <w:qFormat/>
    <w:rPr>
      <w:rFonts w:ascii="Arial" w:hAnsi="Arial" w:eastAsia="Arial" w:cs="Arial"/>
      <w:i/>
      <w:iCs/>
      <w:sz w:val="22"/>
      <w:szCs w:val="22"/>
    </w:rPr>
  </w:style>
  <w:style w:type="character" w:styleId="837" w:customStyle="1">
    <w:name w:val="标题 9 Char"/>
    <w:link w:val="757"/>
    <w:uiPriority w:val="9"/>
    <w:qFormat/>
    <w:rPr>
      <w:rFonts w:ascii="Arial" w:hAnsi="Arial" w:eastAsia="Arial" w:cs="Arial"/>
      <w:i/>
      <w:iCs/>
      <w:sz w:val="21"/>
      <w:szCs w:val="21"/>
    </w:rPr>
  </w:style>
  <w:style w:type="paragraph" w:styleId="838">
    <w:name w:val="List Paragraph"/>
    <w:basedOn w:val="748"/>
    <w:uiPriority w:val="34"/>
    <w:qFormat/>
    <w:pPr>
      <w:contextualSpacing/>
      <w:ind w:left="720"/>
    </w:pPr>
  </w:style>
  <w:style w:type="paragraph" w:styleId="839">
    <w:name w:val="No Spacing"/>
    <w:uiPriority w:val="1"/>
    <w:qFormat/>
    <w:rPr>
      <w:rFonts w:ascii="Times New Roman" w:hAnsi="Times New Roman" w:eastAsia="宋体" w:cs="Times New Roman"/>
      <w:lang w:val="en-US" w:eastAsia="zh-CN" w:bidi="ar-SA"/>
    </w:rPr>
  </w:style>
  <w:style w:type="character" w:styleId="840" w:customStyle="1">
    <w:name w:val="标题 Char"/>
    <w:link w:val="779"/>
    <w:uiPriority w:val="10"/>
    <w:qFormat/>
    <w:rPr>
      <w:sz w:val="48"/>
      <w:szCs w:val="48"/>
    </w:rPr>
  </w:style>
  <w:style w:type="character" w:styleId="841" w:customStyle="1">
    <w:name w:val="副标题 Char"/>
    <w:link w:val="773"/>
    <w:uiPriority w:val="11"/>
    <w:qFormat/>
    <w:rPr>
      <w:sz w:val="24"/>
      <w:szCs w:val="24"/>
    </w:rPr>
  </w:style>
  <w:style w:type="paragraph" w:styleId="842">
    <w:name w:val="Quote"/>
    <w:basedOn w:val="748"/>
    <w:next w:val="748"/>
    <w:link w:val="843"/>
    <w:uiPriority w:val="29"/>
    <w:qFormat/>
    <w:pPr>
      <w:ind w:left="720" w:right="720"/>
    </w:pPr>
    <w:rPr>
      <w:i/>
      <w:sz w:val="20"/>
      <w:szCs w:val="20"/>
    </w:rPr>
  </w:style>
  <w:style w:type="character" w:styleId="843" w:customStyle="1">
    <w:name w:val="引用 Char"/>
    <w:link w:val="842"/>
    <w:uiPriority w:val="29"/>
    <w:qFormat/>
    <w:rPr>
      <w:i/>
    </w:rPr>
  </w:style>
  <w:style w:type="paragraph" w:styleId="844">
    <w:name w:val="Intense Quote"/>
    <w:basedOn w:val="748"/>
    <w:next w:val="748"/>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45" w:customStyle="1">
    <w:name w:val="明显引用 Char"/>
    <w:link w:val="844"/>
    <w:uiPriority w:val="30"/>
    <w:qFormat/>
    <w:rPr>
      <w:i/>
    </w:rPr>
  </w:style>
  <w:style w:type="character" w:styleId="846" w:customStyle="1">
    <w:name w:val="页眉 Char"/>
    <w:link w:val="770"/>
    <w:uiPriority w:val="99"/>
    <w:qFormat/>
  </w:style>
  <w:style w:type="character" w:styleId="847" w:customStyle="1">
    <w:name w:val="Footer Char"/>
    <w:uiPriority w:val="99"/>
    <w:qFormat/>
  </w:style>
  <w:style w:type="character" w:styleId="848" w:customStyle="1">
    <w:name w:val="页脚 Char"/>
    <w:link w:val="769"/>
    <w:uiPriority w:val="99"/>
    <w:qFormat/>
  </w:style>
  <w:style w:type="table" w:styleId="84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2" w:customStyle="1">
    <w:name w:val="List Table 1 Light - Accent 1"/>
    <w:uiPriority w:val="99"/>
    <w:qFormat/>
    <w:tblPr>
      <w:tblCellMar>
        <w:left w:w="0" w:type="dxa"/>
        <w:top w:w="0" w:type="dxa"/>
        <w:right w:w="0" w:type="dxa"/>
        <w:bottom w:w="0" w:type="dxa"/>
      </w:tblCellMar>
    </w:tblPr>
  </w:style>
  <w:style w:type="table" w:styleId="893" w:customStyle="1">
    <w:name w:val="List Table 1 Light - Accent 2"/>
    <w:uiPriority w:val="99"/>
    <w:qFormat/>
    <w:tblPr>
      <w:tblCellMar>
        <w:left w:w="0" w:type="dxa"/>
        <w:top w:w="0" w:type="dxa"/>
        <w:right w:w="0" w:type="dxa"/>
        <w:bottom w:w="0" w:type="dxa"/>
      </w:tblCellMar>
    </w:tblPr>
  </w:style>
  <w:style w:type="table" w:styleId="894" w:customStyle="1">
    <w:name w:val="List Table 1 Light - Accent 3"/>
    <w:uiPriority w:val="99"/>
    <w:qFormat/>
    <w:tblPr>
      <w:tblCellMar>
        <w:left w:w="0" w:type="dxa"/>
        <w:top w:w="0" w:type="dxa"/>
        <w:right w:w="0" w:type="dxa"/>
        <w:bottom w:w="0" w:type="dxa"/>
      </w:tblCellMar>
    </w:tblPr>
  </w:style>
  <w:style w:type="table" w:styleId="895" w:customStyle="1">
    <w:name w:val="List Table 1 Light - Accent 4"/>
    <w:uiPriority w:val="99"/>
    <w:qFormat/>
    <w:tblPr>
      <w:tblCellMar>
        <w:left w:w="0" w:type="dxa"/>
        <w:top w:w="0" w:type="dxa"/>
        <w:right w:w="0" w:type="dxa"/>
        <w:bottom w:w="0" w:type="dxa"/>
      </w:tblCellMar>
    </w:tblPr>
  </w:style>
  <w:style w:type="table" w:styleId="896" w:customStyle="1">
    <w:name w:val="List Table 1 Light - Accent 5"/>
    <w:uiPriority w:val="99"/>
    <w:qFormat/>
    <w:tblPr>
      <w:tblCellMar>
        <w:left w:w="0" w:type="dxa"/>
        <w:top w:w="0" w:type="dxa"/>
        <w:right w:w="0" w:type="dxa"/>
        <w:bottom w:w="0" w:type="dxa"/>
      </w:tblCellMar>
    </w:tblPr>
  </w:style>
  <w:style w:type="table" w:styleId="897" w:customStyle="1">
    <w:name w:val="List Table 1 Light - Accent 6"/>
    <w:uiPriority w:val="99"/>
    <w:qFormat/>
    <w:tblPr>
      <w:tblCellMar>
        <w:left w:w="0" w:type="dxa"/>
        <w:top w:w="0" w:type="dxa"/>
        <w:right w:w="0" w:type="dxa"/>
        <w:bottom w:w="0" w:type="dxa"/>
      </w:tblCellMar>
    </w:tblPr>
  </w:style>
  <w:style w:type="table" w:styleId="8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4" w:customStyle="1">
    <w:name w:val="Lined - Accent"/>
    <w:uiPriority w:val="99"/>
    <w:qFormat/>
    <w:rPr>
      <w:color w:val="404040"/>
    </w:rPr>
    <w:tblPr>
      <w:tblCellMar>
        <w:left w:w="0" w:type="dxa"/>
        <w:top w:w="0" w:type="dxa"/>
        <w:right w:w="0" w:type="dxa"/>
        <w:bottom w:w="0" w:type="dxa"/>
      </w:tblCellMar>
    </w:tblPr>
  </w:style>
  <w:style w:type="table" w:styleId="935" w:customStyle="1">
    <w:name w:val="Lined - Accent 1"/>
    <w:uiPriority w:val="99"/>
    <w:qFormat/>
    <w:rPr>
      <w:color w:val="404040"/>
    </w:rPr>
    <w:tblPr>
      <w:tblCellMar>
        <w:left w:w="0" w:type="dxa"/>
        <w:top w:w="0" w:type="dxa"/>
        <w:right w:w="0" w:type="dxa"/>
        <w:bottom w:w="0" w:type="dxa"/>
      </w:tblCellMar>
    </w:tblPr>
  </w:style>
  <w:style w:type="table" w:styleId="936" w:customStyle="1">
    <w:name w:val="Lined - Accent 2"/>
    <w:uiPriority w:val="99"/>
    <w:qFormat/>
    <w:rPr>
      <w:color w:val="404040"/>
    </w:rPr>
    <w:tblPr>
      <w:tblCellMar>
        <w:left w:w="0" w:type="dxa"/>
        <w:top w:w="0" w:type="dxa"/>
        <w:right w:w="0" w:type="dxa"/>
        <w:bottom w:w="0" w:type="dxa"/>
      </w:tblCellMar>
    </w:tblPr>
  </w:style>
  <w:style w:type="table" w:styleId="937" w:customStyle="1">
    <w:name w:val="Lined - Accent 3"/>
    <w:uiPriority w:val="99"/>
    <w:qFormat/>
    <w:rPr>
      <w:color w:val="404040"/>
    </w:rPr>
    <w:tblPr>
      <w:tblCellMar>
        <w:left w:w="0" w:type="dxa"/>
        <w:top w:w="0" w:type="dxa"/>
        <w:right w:w="0" w:type="dxa"/>
        <w:bottom w:w="0" w:type="dxa"/>
      </w:tblCellMar>
    </w:tblPr>
  </w:style>
  <w:style w:type="table" w:styleId="938" w:customStyle="1">
    <w:name w:val="Lined - Accent 4"/>
    <w:uiPriority w:val="99"/>
    <w:qFormat/>
    <w:rPr>
      <w:color w:val="404040"/>
    </w:rPr>
    <w:tblPr>
      <w:tblCellMar>
        <w:left w:w="0" w:type="dxa"/>
        <w:top w:w="0" w:type="dxa"/>
        <w:right w:w="0" w:type="dxa"/>
        <w:bottom w:w="0" w:type="dxa"/>
      </w:tblCellMar>
    </w:tblPr>
  </w:style>
  <w:style w:type="table" w:styleId="939" w:customStyle="1">
    <w:name w:val="Lined - Accent 5"/>
    <w:uiPriority w:val="99"/>
    <w:qFormat/>
    <w:rPr>
      <w:color w:val="404040"/>
    </w:rPr>
    <w:tblPr>
      <w:tblCellMar>
        <w:left w:w="0" w:type="dxa"/>
        <w:top w:w="0" w:type="dxa"/>
        <w:right w:w="0" w:type="dxa"/>
        <w:bottom w:w="0" w:type="dxa"/>
      </w:tblCellMar>
    </w:tblPr>
  </w:style>
  <w:style w:type="table" w:styleId="940" w:customStyle="1">
    <w:name w:val="Lined - Accent 6"/>
    <w:uiPriority w:val="99"/>
    <w:qFormat/>
    <w:rPr>
      <w:color w:val="404040"/>
    </w:rPr>
    <w:tblPr>
      <w:tblCellMar>
        <w:left w:w="0" w:type="dxa"/>
        <w:top w:w="0" w:type="dxa"/>
        <w:right w:w="0" w:type="dxa"/>
        <w:bottom w:w="0" w:type="dxa"/>
      </w:tblCellMar>
    </w:tblPr>
  </w:style>
  <w:style w:type="table" w:styleId="94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5" w:customStyle="1">
    <w:name w:val="脚注文本 Char"/>
    <w:link w:val="774"/>
    <w:uiPriority w:val="99"/>
    <w:qFormat/>
    <w:rPr>
      <w:sz w:val="18"/>
    </w:rPr>
  </w:style>
  <w:style w:type="character" w:styleId="956" w:customStyle="1">
    <w:name w:val="尾注文本 Char"/>
    <w:link w:val="767"/>
    <w:uiPriority w:val="99"/>
    <w:qFormat/>
    <w:rPr>
      <w:sz w:val="20"/>
    </w:rPr>
  </w:style>
  <w:style w:type="paragraph" w:styleId="957" w:customStyle="1">
    <w:name w:val="TOC 标题11"/>
    <w:uiPriority w:val="39"/>
    <w:unhideWhenUsed/>
    <w:qFormat/>
    <w:rPr>
      <w:rFonts w:ascii="Times New Roman" w:hAnsi="Times New Roman" w:eastAsia="宋体" w:cs="Times New Roman"/>
      <w:lang w:val="en-US" w:eastAsia="zh-CN" w:bidi="ar-SA"/>
    </w:rPr>
  </w:style>
  <w:style w:type="paragraph" w:styleId="958" w:customStyle="1">
    <w:name w:val="标题 11"/>
    <w:next w:val="748"/>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959" w:customStyle="1">
    <w:name w:val="标题 21"/>
    <w:basedOn w:val="748"/>
    <w:next w:val="748"/>
    <w:uiPriority w:val="9"/>
    <w:qFormat/>
    <w:pPr>
      <w:jc w:val="left"/>
      <w:spacing w:before="100" w:beforeAutospacing="1" w:after="100" w:afterAutospacing="1"/>
      <w:outlineLvl w:val="1"/>
    </w:pPr>
    <w:rPr>
      <w:rFonts w:hint="eastAsia" w:ascii="宋体" w:hAnsi="宋体"/>
      <w:b/>
      <w:bCs/>
      <w:sz w:val="36"/>
      <w:szCs w:val="36"/>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paragraph" w:styleId="962" w:customStyle="1">
    <w:name w:val="正文缩进2"/>
    <w:basedOn w:val="748"/>
    <w:uiPriority w:val="0"/>
    <w:qFormat/>
    <w:pPr>
      <w:ind w:firstLine="420"/>
      <w:jc w:val="left"/>
    </w:pPr>
    <w:rPr>
      <w:sz w:val="24"/>
    </w:rPr>
  </w:style>
  <w:style w:type="paragraph" w:styleId="963" w:customStyle="1">
    <w:name w:val="列表项目符号1"/>
    <w:basedOn w:val="958"/>
    <w:next w:val="748"/>
    <w:uiPriority w:val="99"/>
    <w:unhideWhenUsed/>
    <w:qFormat/>
    <w:pPr>
      <w:numPr>
        <w:ilvl w:val="0"/>
        <w:numId w:val="2"/>
      </w:numPr>
    </w:pPr>
  </w:style>
  <w:style w:type="paragraph" w:styleId="964" w:customStyle="1">
    <w:name w:val="批注文字1"/>
    <w:basedOn w:val="748"/>
    <w:link w:val="965"/>
    <w:uiPriority w:val="99"/>
    <w:unhideWhenUsed/>
    <w:qFormat/>
    <w:pPr>
      <w:jc w:val="left"/>
    </w:pPr>
  </w:style>
  <w:style w:type="character" w:styleId="965" w:customStyle="1">
    <w:name w:val="批注文字 字符"/>
    <w:link w:val="964"/>
    <w:uiPriority w:val="99"/>
    <w:qFormat/>
    <w:rPr>
      <w:sz w:val="21"/>
      <w:szCs w:val="22"/>
    </w:rPr>
  </w:style>
  <w:style w:type="paragraph" w:styleId="966" w:customStyle="1">
    <w:name w:val="正文文本2"/>
    <w:basedOn w:val="748"/>
    <w:next w:val="962"/>
    <w:uiPriority w:val="99"/>
    <w:unhideWhenUsed/>
    <w:qFormat/>
    <w:pPr>
      <w:spacing w:after="120"/>
    </w:pPr>
  </w:style>
  <w:style w:type="paragraph" w:styleId="967" w:customStyle="1">
    <w:name w:val="正文文本缩进1"/>
    <w:basedOn w:val="748"/>
    <w:next w:val="748"/>
    <w:uiPriority w:val="99"/>
    <w:unhideWhenUsed/>
    <w:qFormat/>
    <w:pPr>
      <w:ind w:left="420"/>
      <w:spacing w:after="120"/>
    </w:pPr>
  </w:style>
  <w:style w:type="paragraph" w:styleId="968" w:customStyle="1">
    <w:name w:val="纯文本1"/>
    <w:basedOn w:val="748"/>
    <w:uiPriority w:val="0"/>
    <w:qFormat/>
    <w:rPr>
      <w:rFonts w:ascii="宋体" w:hAnsi="Courier New" w:eastAsia="楷体_GB2312"/>
      <w:sz w:val="28"/>
      <w:szCs w:val="20"/>
    </w:rPr>
  </w:style>
  <w:style w:type="paragraph" w:styleId="969" w:customStyle="1">
    <w:name w:val="日期1"/>
    <w:basedOn w:val="748"/>
    <w:next w:val="748"/>
    <w:link w:val="970"/>
    <w:uiPriority w:val="99"/>
    <w:unhideWhenUsed/>
    <w:qFormat/>
    <w:pPr>
      <w:ind w:left="100"/>
    </w:pPr>
  </w:style>
  <w:style w:type="character" w:styleId="970" w:customStyle="1">
    <w:name w:val="日期 字符"/>
    <w:link w:val="969"/>
    <w:uiPriority w:val="99"/>
    <w:semiHidden/>
    <w:qFormat/>
    <w:rPr>
      <w:sz w:val="21"/>
      <w:szCs w:val="22"/>
    </w:rPr>
  </w:style>
  <w:style w:type="paragraph" w:styleId="971" w:customStyle="1">
    <w:name w:val="批注框文本1"/>
    <w:basedOn w:val="748"/>
    <w:link w:val="972"/>
    <w:uiPriority w:val="99"/>
    <w:unhideWhenUsed/>
    <w:qFormat/>
    <w:rPr>
      <w:sz w:val="18"/>
      <w:szCs w:val="18"/>
    </w:rPr>
  </w:style>
  <w:style w:type="character" w:styleId="972" w:customStyle="1">
    <w:name w:val="批注框文本 字符"/>
    <w:link w:val="971"/>
    <w:uiPriority w:val="99"/>
    <w:semiHidden/>
    <w:qFormat/>
    <w:rPr>
      <w:sz w:val="18"/>
      <w:szCs w:val="18"/>
    </w:rPr>
  </w:style>
  <w:style w:type="paragraph" w:styleId="973" w:customStyle="1">
    <w:name w:val="页脚1"/>
    <w:basedOn w:val="748"/>
    <w:link w:val="974"/>
    <w:uiPriority w:val="0"/>
    <w:qFormat/>
    <w:pPr>
      <w:jc w:val="left"/>
      <w:tabs>
        <w:tab w:val="center" w:pos="4153" w:leader="none"/>
        <w:tab w:val="right" w:pos="8306" w:leader="none"/>
      </w:tabs>
    </w:pPr>
    <w:rPr>
      <w:rFonts w:ascii="Calibri" w:hAnsi="Calibri"/>
      <w:sz w:val="18"/>
      <w:szCs w:val="18"/>
    </w:rPr>
  </w:style>
  <w:style w:type="character" w:styleId="974" w:customStyle="1">
    <w:name w:val="页脚 字符"/>
    <w:link w:val="973"/>
    <w:uiPriority w:val="0"/>
    <w:qFormat/>
    <w:rPr>
      <w:rFonts w:ascii="Calibri" w:hAnsi="Calibri" w:eastAsia="宋体" w:cs="Times New Roman"/>
      <w:sz w:val="18"/>
      <w:szCs w:val="18"/>
    </w:rPr>
  </w:style>
  <w:style w:type="paragraph" w:styleId="975" w:customStyle="1">
    <w:name w:val="寄信人地址1"/>
    <w:basedOn w:val="748"/>
    <w:uiPriority w:val="0"/>
    <w:qFormat/>
    <w:rPr>
      <w:rFonts w:ascii="Arial" w:hAnsi="Arial" w:eastAsia="楷体_GB2312"/>
      <w:sz w:val="26"/>
      <w:szCs w:val="20"/>
    </w:rPr>
  </w:style>
  <w:style w:type="paragraph" w:styleId="976" w:customStyle="1">
    <w:name w:val="页眉1"/>
    <w:basedOn w:val="748"/>
    <w:link w:val="977"/>
    <w:uiPriority w:val="0"/>
    <w:qFormat/>
    <w:pPr>
      <w:jc w:val="center"/>
      <w:tabs>
        <w:tab w:val="center" w:pos="4153" w:leader="none"/>
        <w:tab w:val="right" w:pos="8306" w:leader="none"/>
      </w:tabs>
    </w:pPr>
    <w:rPr>
      <w:sz w:val="18"/>
      <w:szCs w:val="18"/>
    </w:rPr>
  </w:style>
  <w:style w:type="character" w:styleId="977" w:customStyle="1">
    <w:name w:val="页眉 字符"/>
    <w:link w:val="976"/>
    <w:uiPriority w:val="0"/>
    <w:qFormat/>
    <w:rPr>
      <w:sz w:val="18"/>
      <w:szCs w:val="18"/>
    </w:rPr>
  </w:style>
  <w:style w:type="paragraph" w:styleId="978" w:customStyle="1">
    <w:name w:val="正文文本 21"/>
    <w:basedOn w:val="958"/>
    <w:next w:val="963"/>
    <w:uiPriority w:val="0"/>
    <w:qFormat/>
    <w:pPr>
      <w:ind w:left="0" w:firstLine="1024"/>
      <w:spacing w:before="0" w:after="120" w:line="480" w:lineRule="auto"/>
    </w:pPr>
  </w:style>
  <w:style w:type="paragraph" w:styleId="979" w:customStyle="1">
    <w:name w:val="普通(网站)1"/>
    <w:basedOn w:val="748"/>
    <w:uiPriority w:val="99"/>
    <w:qFormat/>
    <w:pPr>
      <w:jc w:val="left"/>
      <w:spacing w:before="100" w:beforeAutospacing="1" w:after="100" w:afterAutospacing="1"/>
    </w:pPr>
    <w:rPr>
      <w:sz w:val="24"/>
    </w:rPr>
  </w:style>
  <w:style w:type="paragraph" w:styleId="980" w:customStyle="1">
    <w:name w:val="批注主题1"/>
    <w:basedOn w:val="964"/>
    <w:next w:val="964"/>
    <w:link w:val="981"/>
    <w:uiPriority w:val="0"/>
    <w:unhideWhenUsed/>
    <w:qFormat/>
    <w:rPr>
      <w:b/>
      <w:bCs/>
    </w:rPr>
  </w:style>
  <w:style w:type="character" w:styleId="981" w:customStyle="1">
    <w:name w:val="批注主题 字符"/>
    <w:link w:val="980"/>
    <w:uiPriority w:val="0"/>
    <w:qFormat/>
  </w:style>
  <w:style w:type="paragraph" w:styleId="982" w:customStyle="1">
    <w:name w:val="正文首行缩进 21"/>
    <w:basedOn w:val="967"/>
    <w:uiPriority w:val="0"/>
    <w:qFormat/>
    <w:pPr>
      <w:ind w:firstLine="420"/>
    </w:pPr>
  </w:style>
  <w:style w:type="table" w:styleId="983" w:customStyle="1">
    <w:name w:val="网格型1"/>
    <w:basedOn w:val="961"/>
    <w:uiPriority w:val="39"/>
    <w:qFormat/>
    <w:rPr>
      <w:sz w:val="21"/>
      <w:szCs w:val="22"/>
    </w:rPr>
    <w:tblPr>
      <w:tblCellMar>
        <w:left w:w="0" w:type="dxa"/>
        <w:top w:w="0" w:type="dxa"/>
        <w:right w:w="0" w:type="dxa"/>
        <w:bottom w:w="0" w:type="dxa"/>
      </w:tblCellMar>
    </w:tblPr>
  </w:style>
  <w:style w:type="character" w:styleId="984" w:customStyle="1">
    <w:name w:val="页码1"/>
    <w:uiPriority w:val="99"/>
    <w:unhideWhenUsed/>
    <w:qFormat/>
  </w:style>
  <w:style w:type="character" w:styleId="985" w:customStyle="1">
    <w:name w:val="超链接1"/>
    <w:uiPriority w:val="99"/>
    <w:unhideWhenUsed/>
    <w:qFormat/>
    <w:rPr>
      <w:color w:val="0000ff"/>
      <w:u w:val="single"/>
    </w:rPr>
  </w:style>
  <w:style w:type="character" w:styleId="986" w:customStyle="1">
    <w:name w:val="批注引用1"/>
    <w:uiPriority w:val="99"/>
    <w:unhideWhenUsed/>
    <w:qFormat/>
    <w:rPr>
      <w:sz w:val="21"/>
      <w:szCs w:val="21"/>
    </w:rPr>
  </w:style>
  <w:style w:type="paragraph" w:styleId="987" w:customStyle="1">
    <w:name w:val="段"/>
    <w:next w:val="748"/>
    <w:uiPriority w:val="0"/>
    <w:qFormat/>
    <w:pPr>
      <w:ind w:firstLine="200"/>
      <w:jc w:val="both"/>
    </w:pPr>
    <w:rPr>
      <w:rFonts w:ascii="宋体" w:hAnsi="Times New Roman" w:eastAsia="宋体" w:cs="Times New Roman"/>
      <w:sz w:val="21"/>
      <w:szCs w:val="22"/>
      <w:lang w:val="en-US" w:eastAsia="zh-CN" w:bidi="ar-SA"/>
    </w:rPr>
  </w:style>
  <w:style w:type="paragraph" w:styleId="988" w:customStyle="1">
    <w:name w:val="首行缩进"/>
    <w:basedOn w:val="748"/>
    <w:uiPriority w:val="0"/>
    <w:qFormat/>
    <w:pPr>
      <w:ind w:firstLine="480"/>
    </w:pPr>
    <w:rPr>
      <w:lang w:val="zh-CN"/>
    </w:rPr>
  </w:style>
  <w:style w:type="paragraph" w:styleId="989" w:customStyle="1">
    <w:name w:val="纯文本4"/>
    <w:basedOn w:val="748"/>
    <w:uiPriority w:val="0"/>
    <w:qFormat/>
    <w:rPr>
      <w:rFonts w:ascii="宋体" w:hAnsi="Courier New"/>
    </w:rPr>
  </w:style>
  <w:style w:type="paragraph" w:styleId="990" w:customStyle="1">
    <w:name w:val="WPSOffice手动目录 1"/>
    <w:uiPriority w:val="0"/>
    <w:qFormat/>
    <w:rPr>
      <w:rFonts w:ascii="Times New Roman" w:hAnsi="Times New Roman" w:eastAsia="宋体" w:cs="Times New Roman"/>
      <w:lang w:val="en-US" w:eastAsia="zh-CN" w:bidi="ar-SA"/>
    </w:rPr>
  </w:style>
  <w:style w:type="paragraph" w:styleId="991" w:customStyle="1">
    <w:name w:val="列表段落1"/>
    <w:basedOn w:val="748"/>
    <w:next w:val="992"/>
    <w:uiPriority w:val="34"/>
    <w:qFormat/>
    <w:pPr>
      <w:ind w:left="420" w:firstLine="3748"/>
    </w:pPr>
  </w:style>
  <w:style w:type="paragraph" w:styleId="992" w:customStyle="1">
    <w:name w:val="xl91"/>
    <w:basedOn w:val="958"/>
    <w:next w:val="993"/>
    <w:uiPriority w:val="0"/>
    <w:qFormat/>
    <w:pPr>
      <w:ind w:left="0" w:firstLine="3584"/>
      <w:spacing w:before="280" w:after="280" w:line="240" w:lineRule="auto"/>
    </w:pPr>
  </w:style>
  <w:style w:type="paragraph" w:styleId="993" w:customStyle="1">
    <w:name w:val="xl76"/>
    <w:basedOn w:val="958"/>
    <w:next w:val="978"/>
    <w:uiPriority w:val="0"/>
    <w:qFormat/>
    <w:pPr>
      <w:ind w:left="0" w:firstLine="3584"/>
      <w:jc w:val="center"/>
      <w:spacing w:before="280" w:after="280" w:line="240" w:lineRule="auto"/>
    </w:pPr>
  </w:style>
  <w:style w:type="paragraph" w:styleId="994" w:customStyle="1">
    <w:name w:val="msolistparagraph"/>
    <w:basedOn w:val="748"/>
    <w:uiPriority w:val="0"/>
    <w:qFormat/>
    <w:pPr>
      <w:ind w:firstLine="420"/>
    </w:pPr>
    <w:rPr>
      <w:rFonts w:ascii="Calibri" w:hAnsi="Calibri"/>
    </w:rPr>
  </w:style>
  <w:style w:type="paragraph" w:styleId="995"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table" w:styleId="996" w:customStyle="1">
    <w:name w:val="Table Normal"/>
    <w:uiPriority w:val="0"/>
    <w:unhideWhenUsed/>
    <w:qFormat/>
    <w:tblPr>
      <w:tblCellMar>
        <w:left w:w="0" w:type="dxa"/>
        <w:top w:w="0" w:type="dxa"/>
        <w:right w:w="0" w:type="dxa"/>
        <w:bottom w:w="0" w:type="dxa"/>
      </w:tblCellMar>
    </w:tblPr>
  </w:style>
  <w:style w:type="character" w:styleId="997" w:customStyle="1">
    <w:name w:val="font11"/>
    <w:uiPriority w:val="0"/>
    <w:qFormat/>
    <w:rPr>
      <w:rFonts w:ascii="宋体" w:hAnsi="宋体" w:eastAsia="宋体" w:cs="宋体"/>
      <w:color w:val="000000"/>
      <w:sz w:val="16"/>
      <w:szCs w:val="16"/>
      <w:u w:val="none"/>
    </w:rPr>
  </w:style>
  <w:style w:type="character" w:styleId="998" w:customStyle="1">
    <w:name w:val="批注框文本 Char"/>
    <w:link w:val="768"/>
    <w:uiPriority w:val="99"/>
    <w:semiHidden/>
    <w:qFormat/>
    <w:rPr>
      <w:sz w:val="18"/>
      <w:szCs w:val="18"/>
    </w:rPr>
  </w:style>
  <w:style w:type="character" w:styleId="999" w:customStyle="1">
    <w:name w:val="批注文字 Char"/>
    <w:link w:val="762"/>
    <w:uiPriority w:val="99"/>
    <w:semiHidden/>
    <w:qFormat/>
    <w:rPr>
      <w:sz w:val="21"/>
      <w:szCs w:val="22"/>
    </w:rPr>
  </w:style>
  <w:style w:type="character" w:styleId="1000" w:customStyle="1">
    <w:name w:val="批注主题 Char"/>
    <w:link w:val="780"/>
    <w:uiPriority w:val="99"/>
    <w:semiHidden/>
    <w:qFormat/>
    <w:rPr>
      <w:b/>
      <w:bCs/>
      <w:sz w:val="21"/>
      <w:szCs w:val="22"/>
    </w:rPr>
  </w:style>
  <w:style w:type="paragraph" w:styleId="1001" w:customStyle="1">
    <w:name w:val="目录 11"/>
    <w:next w:val="748"/>
    <w:uiPriority w:val="0"/>
    <w:qFormat/>
    <w:pPr>
      <w:widowControl w:val="off"/>
    </w:pPr>
    <w:rPr>
      <w:rFonts w:ascii="Times New Roman" w:hAnsi="Times New Roman" w:eastAsia="楷体_GB2312" w:cs="Times New Roman"/>
      <w:sz w:val="24"/>
      <w:lang w:val="en-US" w:eastAsia="zh-CN" w:bidi="ar-SA"/>
    </w:rPr>
  </w:style>
  <w:style w:type="paragraph" w:styleId="1002" w:customStyle="1">
    <w:name w:val="列表段落2"/>
    <w:uiPriority w:val="34"/>
    <w:qFormat/>
    <w:pPr>
      <w:contextualSpacing/>
      <w:ind w:left="720"/>
      <w:jc w:val="both"/>
      <w:widowControl w:val="off"/>
    </w:pPr>
    <w:rPr>
      <w:rFonts w:ascii="Calibri" w:hAnsi="Calibri" w:eastAsia="宋体" w:cs="Times New Roman"/>
      <w:sz w:val="21"/>
      <w:szCs w:val="22"/>
      <w:lang w:val="en-US" w:eastAsia="zh-CN" w:bidi="ar-SA"/>
    </w:rPr>
  </w:style>
  <w:style w:type="paragraph" w:styleId="1003" w:customStyle="1">
    <w:name w:val="修订1"/>
    <w:hidden/>
    <w:uiPriority w:val="99"/>
    <w:unhideWhenUsed/>
    <w:qFormat/>
    <w:rPr>
      <w:rFonts w:ascii="Times New Roman" w:hAnsi="Times New Roman" w:eastAsia="宋体" w:cs="Times New Roman"/>
      <w:sz w:val="21"/>
      <w:szCs w:val="22"/>
      <w:lang w:val="en-US" w:eastAsia="zh-CN" w:bidi="ar-SA"/>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苏州乐慧招投标</dc:creator>
  <cp:lastModifiedBy>王佳静</cp:lastModifiedBy>
  <cp:revision>7</cp:revision>
  <dcterms:created xsi:type="dcterms:W3CDTF">2026-09-01T11:39:00Z</dcterms:created>
  <dcterms:modified xsi:type="dcterms:W3CDTF">2026-09-03T05:26:58Z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eyJoZGlkIjoiYjE4NDNmZTFlYjg5MDBiMWYyYTBkOTUzOWJiMWNjYWEiLCJ1c2VySWQiOiIxMDAzNzk0ODM2In0=</vt:lpwstr>
  </property>
  <property fmtid="{D5CDD505-2E9C-101B-9397-08002B2CF9AE}" pid="3" name="KSOProductBuildVer">
    <vt:lpwstr>2052-12.1.0.28505</vt:lpwstr>
  </property>
  <property fmtid="{D5CDD505-2E9C-101B-9397-08002B2CF9AE}" pid="4" name="ICV">
    <vt:lpwstr>D4C4AA0D02AB4CC3A77EB05D2502173C_12</vt:lpwstr>
  </property>
</Properties>
</file>