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0"/>
        <w:ind w:firstLine="160"/>
        <w:spacing w:line="360" w:lineRule="auto"/>
        <w:rPr>
          <w:rFonts w:hint="eastAsia" w:ascii="宋体" w:hAnsi="宋体" w:cs="CESI黑体-GB2312"/>
          <w:sz w:val="32"/>
          <w:szCs w:val="32"/>
        </w:rPr>
      </w:pPr>
      <w:r>
        <w:rPr>
          <w:rFonts w:hint="eastAsia" w:ascii="宋体" w:hAnsi="宋体" w:cs="CESI黑体-GB2312"/>
          <w:sz w:val="32"/>
          <w:szCs w:val="32"/>
        </w:rPr>
        <w:t xml:space="preserve"> </w:t>
      </w:r>
      <w:r/>
    </w:p>
    <w:p>
      <w:pPr>
        <w:pStyle w:val="1100"/>
        <w:ind w:firstLine="300"/>
        <w:spacing w:line="360" w:lineRule="auto"/>
        <w:rPr>
          <w:rFonts w:ascii="宋体" w:hAnsi="宋体"/>
          <w:sz w:val="60"/>
          <w:szCs w:val="60"/>
        </w:rPr>
      </w:pPr>
      <w:r>
        <w:rPr>
          <w:rFonts w:ascii="宋体" w:hAnsi="宋体"/>
          <w:sz w:val="60"/>
          <w:szCs w:val="60"/>
        </w:rPr>
      </w:r>
      <w:r/>
    </w:p>
    <w:p>
      <w:pPr>
        <w:pStyle w:val="1100"/>
        <w:jc w:val="center"/>
        <w:rPr>
          <w:rFonts w:ascii="宋体" w:hAnsi="宋体"/>
          <w:b/>
          <w:bCs/>
          <w:sz w:val="60"/>
          <w:szCs w:val="60"/>
        </w:rPr>
      </w:pPr>
      <w:r>
        <w:rPr>
          <w:rFonts w:ascii="宋体" w:hAnsi="宋体"/>
          <w:b/>
          <w:bCs/>
          <w:sz w:val="60"/>
          <w:szCs w:val="60"/>
        </w:rPr>
        <w:t xml:space="preserve">常州市政府采购项目</w:t>
      </w:r>
      <w:r/>
    </w:p>
    <w:p>
      <w:pPr>
        <w:pStyle w:val="1100"/>
        <w:jc w:val="center"/>
        <w:rPr>
          <w:rFonts w:ascii="宋体" w:hAnsi="宋体"/>
          <w:b/>
          <w:bCs/>
          <w:sz w:val="60"/>
          <w:szCs w:val="60"/>
        </w:rPr>
      </w:pPr>
      <w:r>
        <w:rPr>
          <w:rFonts w:ascii="宋体" w:hAnsi="宋体"/>
          <w:b/>
          <w:bCs/>
          <w:sz w:val="60"/>
          <w:szCs w:val="60"/>
        </w:rPr>
      </w:r>
      <w:r/>
    </w:p>
    <w:p>
      <w:pPr>
        <w:pStyle w:val="1100"/>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100"/>
        <w:jc w:val="center"/>
        <w:rPr>
          <w:rFonts w:ascii="宋体" w:hAnsi="宋体"/>
          <w:b/>
          <w:bCs/>
          <w:sz w:val="60"/>
          <w:szCs w:val="60"/>
        </w:rPr>
      </w:pPr>
      <w:r>
        <w:rPr>
          <w:rFonts w:ascii="宋体" w:hAnsi="宋体"/>
          <w:b/>
          <w:bCs/>
          <w:sz w:val="60"/>
          <w:szCs w:val="60"/>
        </w:rPr>
      </w:r>
      <w:r/>
    </w:p>
    <w:p>
      <w:pPr>
        <w:pStyle w:val="1100"/>
        <w:jc w:val="center"/>
        <w:rPr>
          <w:rFonts w:ascii="宋体" w:hAnsi="宋体"/>
          <w:b/>
          <w:bCs/>
          <w:sz w:val="60"/>
          <w:szCs w:val="60"/>
        </w:rPr>
      </w:pPr>
      <w:r>
        <w:rPr>
          <w:rFonts w:ascii="宋体" w:hAnsi="宋体"/>
          <w:b/>
          <w:bCs/>
          <w:sz w:val="60"/>
          <w:szCs w:val="60"/>
        </w:rPr>
      </w:r>
      <w:r/>
    </w:p>
    <w:p>
      <w:pPr>
        <w:pStyle w:val="1100"/>
        <w:jc w:val="center"/>
        <w:spacing w:line="360" w:lineRule="auto"/>
        <w:rPr>
          <w:rFonts w:ascii="宋体" w:hAnsi="宋体"/>
          <w:sz w:val="60"/>
          <w:szCs w:val="60"/>
        </w:rPr>
      </w:pPr>
      <w:r>
        <w:rPr>
          <w:rFonts w:ascii="宋体" w:hAnsi="宋体"/>
          <w:sz w:val="60"/>
          <w:szCs w:val="60"/>
        </w:rPr>
      </w:r>
      <w:r/>
    </w:p>
    <w:p>
      <w:pPr>
        <w:pStyle w:val="110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江苏省常州技师学院机电设备电气控制技术实训室教学设施设备采购项目</w:t>
      </w:r>
      <w:r>
        <w:rPr>
          <w:rFonts w:ascii="宋体" w:hAnsi="宋体"/>
          <w:bCs/>
          <w:sz w:val="36"/>
          <w:szCs w:val="36"/>
        </w:rPr>
      </w:r>
      <w:r/>
    </w:p>
    <w:p>
      <w:pPr>
        <w:pStyle w:val="110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JSZC-320400-CTZB-G2026-0102</w:t>
      </w:r>
      <w:r>
        <w:rPr>
          <w:rFonts w:ascii="宋体" w:hAnsi="宋体"/>
          <w:bCs/>
          <w:sz w:val="36"/>
          <w:szCs w:val="36"/>
        </w:rPr>
      </w:r>
      <w:r/>
    </w:p>
    <w:p>
      <w:pPr>
        <w:pStyle w:val="110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江苏省常州技师学院</w:t>
      </w:r>
      <w:r>
        <w:rPr>
          <w:rFonts w:ascii="宋体" w:hAnsi="宋体"/>
          <w:bCs/>
          <w:sz w:val="36"/>
          <w:szCs w:val="36"/>
        </w:rPr>
      </w:r>
      <w:r/>
    </w:p>
    <w:p>
      <w:pPr>
        <w:pStyle w:val="1100"/>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100"/>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100"/>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153"/>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53"/>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76"/>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153"/>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76"/>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fldChar w:fldCharType="end"/>
      </w:r>
      <w:r>
        <w:rPr>
          <w:b w:val="0"/>
          <w:sz w:val="32"/>
          <w:szCs w:val="32"/>
        </w:rPr>
      </w:r>
      <w:r/>
    </w:p>
    <w:p>
      <w:pPr>
        <w:pStyle w:val="1153"/>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76"/>
          <w:color w:val="000000"/>
          <w:sz w:val="32"/>
          <w:szCs w:val="32"/>
        </w:rPr>
        <w:t xml:space="preserve">第三章   资</w:t>
      </w:r>
      <w:bookmarkStart w:id="1" w:name="_Hlt100754117"/>
      <w:r>
        <w:rPr>
          <w:rStyle w:val="1176"/>
          <w:color w:val="000000"/>
          <w:sz w:val="32"/>
          <w:szCs w:val="32"/>
        </w:rPr>
        <w:t xml:space="preserve">格</w:t>
      </w:r>
      <w:bookmarkEnd w:id="1"/>
      <w:r>
        <w:rPr>
          <w:rStyle w:val="1176"/>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fldChar w:fldCharType="end"/>
      </w:r>
      <w:r>
        <w:rPr>
          <w:b w:val="0"/>
          <w:sz w:val="32"/>
          <w:szCs w:val="32"/>
        </w:rPr>
      </w:r>
      <w:r/>
    </w:p>
    <w:p>
      <w:pPr>
        <w:pStyle w:val="1153"/>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76"/>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1153"/>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76"/>
          <w:color w:val="000000"/>
          <w:sz w:val="32"/>
          <w:szCs w:val="32"/>
        </w:rPr>
        <w:t xml:space="preserve">第五章   采购</w:t>
      </w:r>
      <w:bookmarkStart w:id="2" w:name="_Hlt100754103"/>
      <w:r/>
      <w:bookmarkStart w:id="3" w:name="_Hlt100754102"/>
      <w:r>
        <w:rPr>
          <w:rStyle w:val="1176"/>
          <w:color w:val="000000"/>
          <w:sz w:val="32"/>
          <w:szCs w:val="32"/>
        </w:rPr>
        <w:t xml:space="preserve">需</w:t>
      </w:r>
      <w:bookmarkEnd w:id="2"/>
      <w:r/>
      <w:bookmarkEnd w:id="3"/>
      <w:r>
        <w:rPr>
          <w:rStyle w:val="1176"/>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fldChar w:fldCharType="end"/>
      </w:r>
      <w:r>
        <w:rPr>
          <w:b w:val="0"/>
          <w:sz w:val="32"/>
          <w:szCs w:val="32"/>
        </w:rPr>
      </w:r>
      <w:r/>
    </w:p>
    <w:p>
      <w:pPr>
        <w:pStyle w:val="1153"/>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76"/>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1153"/>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76"/>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fldChar w:fldCharType="end"/>
      </w:r>
      <w:r>
        <w:rPr>
          <w:b w:val="0"/>
          <w:sz w:val="32"/>
          <w:szCs w:val="32"/>
        </w:rPr>
      </w:r>
      <w:r/>
    </w:p>
    <w:p>
      <w:pPr>
        <w:pStyle w:val="1153"/>
        <w:spacing w:line="720" w:lineRule="auto"/>
        <w:rPr>
          <w:b w:val="0"/>
        </w:rPr>
      </w:pPr>
      <w:r>
        <w:rPr>
          <w:b w:val="0"/>
          <w:sz w:val="32"/>
          <w:szCs w:val="32"/>
        </w:rPr>
        <w:fldChar w:fldCharType="end"/>
      </w:r>
      <w:r>
        <w:rPr>
          <w:b w:val="0"/>
        </w:rPr>
      </w:r>
      <w:r/>
    </w:p>
    <w:p>
      <w:pPr>
        <w:pStyle w:val="1100"/>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10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10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江苏省常州技师学院机电设备电气控制技术实训室教学设施设备采购项目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026</w:t>
      </w:r>
      <w:r>
        <w:rPr>
          <w:rFonts w:hint="eastAsia" w:ascii="仿宋" w:hAnsi="仿宋" w:eastAsia="仿宋" w:cs="宋体"/>
          <w:b/>
          <w:bCs/>
          <w:sz w:val="32"/>
          <w:szCs w:val="32"/>
        </w:rPr>
        <w:t xml:space="preserve">年</w:t>
      </w:r>
      <w:r>
        <w:rPr>
          <w:rFonts w:hint="eastAsia" w:ascii="仿宋" w:hAnsi="仿宋" w:eastAsia="仿宋" w:cs="宋体"/>
          <w:b/>
          <w:bCs/>
          <w:sz w:val="32"/>
          <w:szCs w:val="32"/>
          <w:highlight w:val="yellow"/>
        </w:rPr>
        <w:t xml:space="preserve">0</w:t>
      </w:r>
      <w:r>
        <w:rPr>
          <w:rFonts w:ascii="仿宋" w:hAnsi="仿宋" w:eastAsia="仿宋" w:cs="宋体"/>
          <w:b/>
          <w:bCs/>
          <w:sz w:val="32"/>
          <w:szCs w:val="32"/>
          <w:highlight w:val="yellow"/>
        </w:rPr>
        <w:t xml:space="preserve">9</w:t>
      </w:r>
      <w:r>
        <w:rPr>
          <w:rFonts w:hint="eastAsia" w:ascii="仿宋" w:hAnsi="仿宋" w:eastAsia="仿宋" w:cs="宋体"/>
          <w:b/>
          <w:bCs/>
          <w:sz w:val="32"/>
          <w:szCs w:val="32"/>
          <w:highlight w:val="yellow"/>
        </w:rPr>
        <w:t xml:space="preserve">月</w:t>
      </w:r>
      <w:r>
        <w:rPr>
          <w:rFonts w:ascii="仿宋" w:hAnsi="仿宋" w:eastAsia="仿宋" w:cs="宋体"/>
          <w:b/>
          <w:bCs/>
          <w:sz w:val="32"/>
          <w:szCs w:val="32"/>
          <w:highlight w:val="yellow"/>
        </w:rPr>
        <w:t xml:space="preserve">14</w:t>
      </w:r>
      <w:r>
        <w:rPr>
          <w:rFonts w:hint="eastAsia" w:ascii="仿宋" w:hAnsi="仿宋" w:eastAsia="仿宋" w:cs="宋体"/>
          <w:b/>
          <w:bCs/>
          <w:sz w:val="32"/>
          <w:szCs w:val="32"/>
          <w:highlight w:val="yellow"/>
        </w:rPr>
        <w:t xml:space="preserve">日</w:t>
      </w:r>
      <w:r>
        <w:rPr>
          <w:rFonts w:ascii="仿宋" w:hAnsi="仿宋" w:eastAsia="仿宋" w:cs="宋体"/>
          <w:b/>
          <w:bCs/>
          <w:sz w:val="32"/>
          <w:szCs w:val="32"/>
          <w:highlight w:val="yellow"/>
        </w:rPr>
        <w:t xml:space="preserve">14</w:t>
      </w:r>
      <w:r>
        <w:rPr>
          <w:rFonts w:hint="eastAsia" w:ascii="仿宋" w:hAnsi="仿宋" w:eastAsia="仿宋" w:cs="宋体"/>
          <w:b/>
          <w:bCs/>
          <w:sz w:val="32"/>
          <w:szCs w:val="32"/>
          <w:highlight w:val="yellow"/>
        </w:rPr>
        <w:t xml:space="preserve">点</w:t>
      </w:r>
      <w:r>
        <w:rPr>
          <w:rFonts w:ascii="仿宋" w:hAnsi="仿宋" w:eastAsia="仿宋" w:cs="宋体"/>
          <w:b/>
          <w:bCs/>
          <w:sz w:val="32"/>
          <w:szCs w:val="32"/>
          <w:highlight w:val="yellow"/>
        </w:rPr>
        <w:t xml:space="preserve">00</w:t>
      </w:r>
      <w:r>
        <w:rPr>
          <w:rFonts w:hint="eastAsia" w:ascii="仿宋" w:hAnsi="仿宋" w:eastAsia="仿宋" w:cs="宋体"/>
          <w:b/>
          <w:bCs/>
          <w:sz w:val="32"/>
          <w:szCs w:val="32"/>
          <w:highlight w:val="yellow"/>
        </w:rPr>
        <w:t xml:space="preserve">分</w:t>
      </w:r>
      <w:r>
        <w:rPr>
          <w:rFonts w:hint="eastAsia" w:ascii="仿宋" w:hAnsi="仿宋" w:eastAsia="仿宋" w:cs="宋体"/>
          <w:b/>
          <w:bCs/>
          <w:sz w:val="32"/>
          <w:szCs w:val="32"/>
        </w:rPr>
        <w:t xml:space="preserve">（北京时间）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102"/>
        <w:ind w:firstLine="643"/>
        <w:jc w:val="left"/>
        <w:spacing w:before="240" w:line="360" w:lineRule="auto"/>
        <w:rPr>
          <w:rFonts w:ascii="仿宋" w:hAnsi="仿宋" w:eastAsia="仿宋"/>
          <w:sz w:val="32"/>
          <w:szCs w:val="32"/>
        </w:rPr>
      </w:pPr>
      <w:r/>
      <w:bookmarkStart w:id="5" w:name="_Toc28359002"/>
      <w:r/>
      <w:bookmarkStart w:id="6" w:name="_Toc28359079"/>
      <w:r/>
      <w:bookmarkStart w:id="7" w:name="_Toc35393790"/>
      <w:r/>
      <w:bookmarkStart w:id="8" w:name="_Toc35393621"/>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100"/>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JSZC-320400-CTZB-G2026-0102</w:t>
      </w:r>
      <w:r>
        <w:rPr>
          <w:rFonts w:ascii="仿宋" w:hAnsi="仿宋" w:eastAsia="仿宋"/>
          <w:sz w:val="32"/>
          <w:szCs w:val="32"/>
        </w:rPr>
      </w:r>
      <w:r/>
    </w:p>
    <w:p>
      <w:pPr>
        <w:pStyle w:val="1100"/>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江苏省常州技师学院机电设备电气控制技术实训室教学设施设备采购项目</w:t>
      </w:r>
      <w:r>
        <w:rPr>
          <w:rFonts w:ascii="仿宋" w:hAnsi="仿宋" w:eastAsia="仿宋"/>
          <w:sz w:val="32"/>
          <w:szCs w:val="32"/>
        </w:rPr>
      </w:r>
      <w:r/>
    </w:p>
    <w:p>
      <w:pPr>
        <w:pStyle w:val="1100"/>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1</w:t>
      </w:r>
      <w:r>
        <w:rPr>
          <w:rFonts w:ascii="仿宋" w:hAnsi="仿宋" w:eastAsia="仿宋"/>
          <w:sz w:val="32"/>
          <w:szCs w:val="32"/>
        </w:rPr>
        <w:t xml:space="preserve">50</w:t>
      </w:r>
      <w:r>
        <w:rPr>
          <w:rFonts w:ascii="仿宋" w:hAnsi="仿宋" w:eastAsia="仿宋"/>
          <w:sz w:val="32"/>
          <w:szCs w:val="32"/>
        </w:rPr>
        <w:t xml:space="preserve">万元</w:t>
      </w:r>
      <w:r>
        <w:rPr>
          <w:rFonts w:hint="eastAsia" w:ascii="仿宋" w:hAnsi="仿宋" w:eastAsia="仿宋"/>
          <w:sz w:val="32"/>
          <w:szCs w:val="32"/>
        </w:rPr>
      </w:r>
      <w:r/>
    </w:p>
    <w:p>
      <w:pPr>
        <w:pStyle w:val="1100"/>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1</w:t>
      </w:r>
      <w:r>
        <w:rPr>
          <w:rFonts w:ascii="仿宋" w:hAnsi="仿宋" w:eastAsia="仿宋"/>
          <w:sz w:val="32"/>
          <w:szCs w:val="32"/>
        </w:rPr>
        <w:t xml:space="preserve">50</w:t>
      </w:r>
      <w:r>
        <w:rPr>
          <w:rFonts w:ascii="仿宋" w:hAnsi="仿宋" w:eastAsia="仿宋"/>
          <w:sz w:val="32"/>
          <w:szCs w:val="32"/>
        </w:rPr>
        <w:t xml:space="preserve">万元</w:t>
      </w:r>
      <w:r/>
    </w:p>
    <w:p>
      <w:pPr>
        <w:pStyle w:val="1100"/>
        <w:ind w:firstLine="640"/>
        <w:spacing w:line="360" w:lineRule="auto"/>
        <w:rPr>
          <w:rFonts w:hint="eastAsia" w:ascii="仿宋" w:hAnsi="仿宋" w:eastAsia="仿宋" w:cs="宋体"/>
          <w:b/>
          <w:spacing w:val="2"/>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为加强专业建设，进一步完善构建机电复合型高技能人才培养专业课程体系，扎实推进教学改革，契合行业与技术发展对人才培养质量的需求，拟建设机电设备电气控制技术实训室，主要设施设备包含电气线路装调平台、自动控制装调平台等。</w:t>
      </w:r>
      <w:r>
        <w:rPr>
          <w:rFonts w:hint="eastAsia" w:ascii="仿宋" w:hAnsi="仿宋" w:eastAsia="仿宋" w:cs="宋体"/>
          <w:b/>
          <w:spacing w:val="2"/>
          <w:sz w:val="32"/>
          <w:szCs w:val="32"/>
        </w:rPr>
      </w:r>
      <w:r/>
    </w:p>
    <w:p>
      <w:pPr>
        <w:pStyle w:val="1100"/>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w:t>
      </w:r>
      <w:r>
        <w:rPr>
          <w:rFonts w:hint="eastAsia" w:ascii="仿宋" w:hAnsi="仿宋" w:eastAsia="仿宋"/>
          <w:sz w:val="32"/>
          <w:szCs w:val="32"/>
        </w:rPr>
        <w:t xml:space="preserve">合同签订后30日内完成全部设备供货、安装调试、验收交付。</w:t>
      </w:r>
      <w:r>
        <w:rPr>
          <w:rFonts w:ascii="仿宋" w:hAnsi="仿宋" w:eastAsia="仿宋"/>
          <w:sz w:val="32"/>
          <w:szCs w:val="32"/>
          <w:u w:val="single"/>
        </w:rPr>
      </w:r>
      <w:r/>
    </w:p>
    <w:p>
      <w:pPr>
        <w:pStyle w:val="1100"/>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100"/>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102"/>
        <w:ind w:firstLine="643"/>
        <w:jc w:val="left"/>
        <w:spacing w:before="0" w:line="360" w:lineRule="auto"/>
        <w:rPr>
          <w:rFonts w:ascii="仿宋" w:hAnsi="仿宋" w:eastAsia="仿宋"/>
          <w:sz w:val="32"/>
          <w:szCs w:val="32"/>
        </w:rPr>
      </w:pPr>
      <w:r/>
      <w:bookmarkStart w:id="10" w:name="_Toc28359003"/>
      <w:r/>
      <w:bookmarkStart w:id="11" w:name="_Toc35393622"/>
      <w:r/>
      <w:bookmarkStart w:id="12" w:name="_Toc35393791"/>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t xml:space="preserve">   </w:t>
      </w:r>
      <w:r/>
    </w:p>
    <w:p>
      <w:pPr>
        <w:pStyle w:val="1100"/>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100"/>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100"/>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100"/>
        <w:ind w:firstLine="640"/>
        <w:spacing w:line="360" w:lineRule="auto"/>
        <w:rPr>
          <w:rFonts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p>
    <w:p>
      <w:pPr>
        <w:pStyle w:val="1100"/>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100"/>
        <w:ind w:firstLine="640"/>
        <w:spacing w:line="360" w:lineRule="auto"/>
        <w:rPr>
          <w:rFonts w:ascii="仿宋" w:hAnsi="仿宋" w:eastAsia="仿宋"/>
          <w:sz w:val="32"/>
          <w:szCs w:val="32"/>
        </w:rPr>
      </w:pPr>
      <w:r>
        <w:rPr>
          <w:rFonts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100"/>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  采购。即：</w:t>
      </w:r>
      <w:r>
        <w:rPr>
          <w:rFonts w:ascii="仿宋" w:hAnsi="仿宋" w:eastAsia="仿宋"/>
          <w:b/>
          <w:sz w:val="32"/>
          <w:szCs w:val="32"/>
        </w:rPr>
        <w:t xml:space="preserve">提供的货物全部由符合政策要求的中小/小微企业制造接。</w:t>
      </w:r>
      <w:r/>
    </w:p>
    <w:p>
      <w:pPr>
        <w:pStyle w:val="1100"/>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100"/>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100"/>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100"/>
        <w:ind w:firstLine="640"/>
        <w:spacing w:line="360" w:lineRule="auto"/>
        <w:tabs>
          <w:tab w:val="left" w:pos="900" w:leader="none"/>
          <w:tab w:val="left" w:pos="1134" w:leader="none"/>
          <w:tab w:val="left" w:pos="1589" w:leader="none"/>
          <w:tab w:val="left" w:pos="5521" w:leader="none"/>
        </w:tabs>
        <w:rPr>
          <w:rFonts w:ascii="仿宋" w:hAnsi="仿宋" w:eastAsia="仿宋"/>
          <w:i/>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i/>
          <w:sz w:val="32"/>
          <w:szCs w:val="32"/>
        </w:rPr>
      </w:r>
      <w:r/>
    </w:p>
    <w:p>
      <w:pPr>
        <w:pStyle w:val="110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10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10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100"/>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1102"/>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100"/>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8</w:t>
      </w:r>
      <w:r>
        <w:rPr>
          <w:rFonts w:hint="eastAsia" w:ascii="仿宋" w:hAnsi="仿宋" w:eastAsia="仿宋" w:cs="宋体"/>
          <w:sz w:val="32"/>
          <w:szCs w:val="32"/>
        </w:rPr>
        <w:t xml:space="preserve">月</w:t>
      </w:r>
      <w:r>
        <w:rPr>
          <w:rFonts w:hint="eastAsia" w:ascii="仿宋" w:hAnsi="仿宋" w:eastAsia="仿宋" w:cs="宋体"/>
          <w:sz w:val="32"/>
          <w:szCs w:val="32"/>
        </w:rPr>
        <w:t xml:space="preserve">0</w:t>
      </w:r>
      <w:r>
        <w:rPr>
          <w:rFonts w:ascii="仿宋" w:hAnsi="仿宋" w:eastAsia="仿宋" w:cs="宋体"/>
          <w:sz w:val="32"/>
          <w:szCs w:val="32"/>
        </w:rPr>
        <w:t xml:space="preserve">7</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8</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ascii="仿宋" w:hAnsi="仿宋" w:eastAsia="仿宋" w:cs="宋体"/>
          <w:sz w:val="32"/>
          <w:szCs w:val="32"/>
        </w:rPr>
        <w:t xml:space="preserve">4</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1100"/>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100"/>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100"/>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102"/>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100"/>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bCs/>
          <w:sz w:val="32"/>
          <w:szCs w:val="32"/>
          <w:highlight w:val="yellow"/>
        </w:rPr>
        <w:t xml:space="preserve">0</w:t>
      </w:r>
      <w:r>
        <w:rPr>
          <w:rFonts w:ascii="仿宋" w:hAnsi="仿宋" w:eastAsia="仿宋" w:cs="宋体"/>
          <w:bCs/>
          <w:sz w:val="32"/>
          <w:szCs w:val="32"/>
          <w:highlight w:val="yellow"/>
        </w:rPr>
        <w:t xml:space="preserve">9</w:t>
      </w:r>
      <w:r>
        <w:rPr>
          <w:rFonts w:hint="eastAsia" w:ascii="仿宋" w:hAnsi="仿宋" w:eastAsia="仿宋" w:cs="宋体"/>
          <w:bCs/>
          <w:sz w:val="32"/>
          <w:szCs w:val="32"/>
          <w:highlight w:val="yellow"/>
        </w:rPr>
        <w:t xml:space="preserve">月</w:t>
      </w:r>
      <w:r>
        <w:rPr>
          <w:rFonts w:ascii="仿宋" w:hAnsi="仿宋" w:eastAsia="仿宋" w:cs="宋体"/>
          <w:bCs/>
          <w:sz w:val="32"/>
          <w:szCs w:val="32"/>
          <w:highlight w:val="yellow"/>
        </w:rPr>
        <w:t xml:space="preserve">14</w:t>
      </w:r>
      <w:r>
        <w:rPr>
          <w:rFonts w:hint="eastAsia" w:ascii="仿宋" w:hAnsi="仿宋" w:eastAsia="仿宋" w:cs="宋体"/>
          <w:bCs/>
          <w:sz w:val="32"/>
          <w:szCs w:val="32"/>
          <w:highlight w:val="yellow"/>
        </w:rPr>
        <w:t xml:space="preserve">日</w:t>
      </w:r>
      <w:r>
        <w:rPr>
          <w:rFonts w:ascii="仿宋" w:hAnsi="仿宋" w:eastAsia="仿宋" w:cs="宋体"/>
          <w:bCs/>
          <w:sz w:val="32"/>
          <w:szCs w:val="32"/>
          <w:highlight w:val="yellow"/>
        </w:rPr>
        <w:t xml:space="preserve">14</w:t>
      </w:r>
      <w:r>
        <w:rPr>
          <w:rFonts w:hint="eastAsia" w:ascii="仿宋" w:hAnsi="仿宋" w:eastAsia="仿宋" w:cs="宋体"/>
          <w:bCs/>
          <w:sz w:val="32"/>
          <w:szCs w:val="32"/>
          <w:highlight w:val="yellow"/>
        </w:rPr>
        <w:t xml:space="preserve">点</w:t>
      </w:r>
      <w:r>
        <w:rPr>
          <w:rFonts w:ascii="仿宋" w:hAnsi="仿宋" w:eastAsia="仿宋" w:cs="宋体"/>
          <w:bCs/>
          <w:sz w:val="32"/>
          <w:szCs w:val="32"/>
          <w:highlight w:val="yellow"/>
        </w:rPr>
        <w:t xml:space="preserve">00</w:t>
      </w:r>
      <w:r>
        <w:rPr>
          <w:rFonts w:hint="eastAsia" w:ascii="仿宋" w:hAnsi="仿宋" w:eastAsia="仿宋" w:cs="宋体"/>
          <w:bCs/>
          <w:sz w:val="32"/>
          <w:szCs w:val="32"/>
          <w:highlight w:val="yellow"/>
        </w:rPr>
        <w:t xml:space="preserve">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100"/>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102"/>
        <w:ind w:firstLine="643"/>
        <w:jc w:val="left"/>
        <w:spacing w:before="0" w:line="360" w:lineRule="auto"/>
        <w:rPr>
          <w:rFonts w:ascii="仿宋" w:hAnsi="仿宋" w:eastAsia="仿宋"/>
          <w:sz w:val="32"/>
          <w:szCs w:val="32"/>
        </w:rPr>
      </w:pPr>
      <w:r/>
      <w:bookmarkStart w:id="22" w:name="_Toc35393625"/>
      <w:r/>
      <w:bookmarkStart w:id="23" w:name="_Toc28359084"/>
      <w:r/>
      <w:bookmarkStart w:id="24" w:name="_Toc35393794"/>
      <w:r/>
      <w:bookmarkStart w:id="25" w:name="_Toc28359007"/>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100"/>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102"/>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100"/>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100"/>
        <w:ind w:firstLine="640"/>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100"/>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100"/>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100"/>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102"/>
        <w:ind w:firstLine="643"/>
        <w:jc w:val="left"/>
        <w:spacing w:before="0" w:line="360" w:lineRule="auto"/>
        <w:rPr>
          <w:rFonts w:ascii="仿宋" w:hAnsi="仿宋" w:eastAsia="仿宋"/>
          <w:sz w:val="32"/>
          <w:szCs w:val="32"/>
        </w:rPr>
      </w:pPr>
      <w:r/>
      <w:bookmarkStart w:id="28" w:name="_Toc28359085"/>
      <w:r/>
      <w:bookmarkStart w:id="29" w:name="_Toc35393796"/>
      <w:r/>
      <w:bookmarkStart w:id="30" w:name="_Toc35393627"/>
      <w:r/>
      <w:bookmarkStart w:id="31" w:name="_Toc28359008"/>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100"/>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100"/>
        <w:ind w:firstLine="640"/>
        <w:jc w:val="left"/>
        <w:spacing w:line="360" w:lineRule="auto"/>
        <w:rPr>
          <w:rFonts w:hint="eastAsia" w:ascii="仿宋" w:hAnsi="仿宋" w:eastAsia="仿宋"/>
          <w:sz w:val="32"/>
          <w:szCs w:val="32"/>
        </w:rPr>
      </w:pPr>
      <w:r/>
      <w:bookmarkStart w:id="32" w:name="_Toc28359086"/>
      <w:r/>
      <w:bookmarkStart w:id="33" w:name="_Toc28359009"/>
      <w:r>
        <w:rPr>
          <w:rFonts w:hint="eastAsia" w:ascii="仿宋" w:hAnsi="仿宋" w:eastAsia="仿宋"/>
          <w:sz w:val="32"/>
          <w:szCs w:val="32"/>
        </w:rPr>
        <w:t xml:space="preserve">名    称：江苏省常州技师学院</w:t>
      </w:r>
      <w:r/>
    </w:p>
    <w:p>
      <w:pPr>
        <w:pStyle w:val="110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址：江苏省常州市新北区新桥镇嫩江路8号</w:t>
      </w:r>
      <w:r/>
    </w:p>
    <w:p>
      <w:pPr>
        <w:pStyle w:val="1100"/>
        <w:ind w:firstLine="640"/>
        <w:jc w:val="left"/>
        <w:spacing w:line="360" w:lineRule="auto"/>
        <w:rPr>
          <w:rFonts w:ascii="仿宋" w:hAnsi="仿宋" w:eastAsia="仿宋"/>
          <w:sz w:val="32"/>
          <w:szCs w:val="32"/>
        </w:rPr>
      </w:pPr>
      <w:r>
        <w:rPr>
          <w:rFonts w:hint="eastAsia" w:ascii="仿宋" w:hAnsi="仿宋" w:eastAsia="仿宋"/>
          <w:sz w:val="32"/>
          <w:szCs w:val="32"/>
        </w:rPr>
        <w:t xml:space="preserve">联系方式：姚老师、王老师  0519-81162606</w:t>
      </w:r>
      <w:r>
        <w:rPr>
          <w:rFonts w:ascii="仿宋" w:hAnsi="仿宋" w:eastAsia="仿宋"/>
          <w:sz w:val="32"/>
          <w:szCs w:val="32"/>
        </w:rPr>
      </w:r>
      <w:r/>
    </w:p>
    <w:p>
      <w:pPr>
        <w:pStyle w:val="1100"/>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100"/>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1100"/>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100"/>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100"/>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100"/>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w:t>
      </w:r>
      <w:r>
        <w:rPr>
          <w:rFonts w:hint="eastAsia" w:ascii="仿宋" w:hAnsi="仿宋" w:eastAsia="仿宋"/>
          <w:sz w:val="32"/>
          <w:szCs w:val="32"/>
        </w:rPr>
        <w:t xml:space="preserve">王逸菲</w:t>
      </w:r>
      <w:r>
        <w:rPr>
          <w:rFonts w:hint="eastAsia" w:ascii="仿宋" w:hAnsi="仿宋" w:eastAsia="仿宋"/>
          <w:sz w:val="32"/>
          <w:szCs w:val="32"/>
        </w:rPr>
      </w:r>
      <w:r/>
    </w:p>
    <w:p>
      <w:pPr>
        <w:pStyle w:val="1100"/>
        <w:ind w:firstLine="640"/>
        <w:spacing w:line="360" w:lineRule="auto"/>
        <w:rPr>
          <w:rFonts w:hint="eastAsia" w:ascii="仿宋" w:hAnsi="仿宋" w:eastAsia="仿宋"/>
          <w:sz w:val="32"/>
          <w:szCs w:val="32"/>
        </w:rPr>
      </w:pPr>
      <w:r>
        <w:rPr>
          <w:rFonts w:hint="eastAsia" w:ascii="仿宋" w:hAnsi="仿宋" w:eastAsia="仿宋"/>
          <w:sz w:val="32"/>
          <w:szCs w:val="32"/>
        </w:rPr>
        <w:t xml:space="preserve">电      话：0519-81580152  81580191  81580192（转分机号</w:t>
      </w:r>
      <w:r>
        <w:rPr>
          <w:rFonts w:hint="eastAsia" w:ascii="仿宋" w:hAnsi="仿宋" w:eastAsia="仿宋"/>
          <w:sz w:val="32"/>
          <w:szCs w:val="32"/>
        </w:rPr>
        <w:t xml:space="preserve">6</w:t>
      </w:r>
      <w:r>
        <w:rPr>
          <w:rFonts w:ascii="仿宋" w:hAnsi="仿宋" w:eastAsia="仿宋"/>
          <w:sz w:val="32"/>
          <w:szCs w:val="32"/>
        </w:rPr>
        <w:t xml:space="preserve">012</w:t>
      </w:r>
      <w:r>
        <w:rPr>
          <w:rFonts w:hint="eastAsia" w:ascii="仿宋" w:hAnsi="仿宋" w:eastAsia="仿宋"/>
          <w:sz w:val="32"/>
          <w:szCs w:val="32"/>
        </w:rPr>
        <w:t xml:space="preserve">）</w:t>
      </w:r>
      <w:r/>
    </w:p>
    <w:p>
      <w:pPr>
        <w:pStyle w:val="1100"/>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1100"/>
        <w:jc w:val="center"/>
        <w:spacing w:line="360" w:lineRule="auto"/>
        <w:rPr>
          <w:rFonts w:ascii="宋体" w:hAnsi="宋体"/>
          <w:b/>
          <w:sz w:val="32"/>
          <w:szCs w:val="32"/>
        </w:rPr>
        <w:outlineLvl w:val="0"/>
      </w:pPr>
      <w:r>
        <w:rPr>
          <w:rFonts w:ascii="宋体" w:hAnsi="宋体"/>
          <w:sz w:val="24"/>
        </w:rPr>
        <w:br w:type="page" w:clear="all"/>
      </w:r>
      <w:bookmarkStart w:id="36" w:name="_Toc353825548"/>
      <w:r/>
      <w:bookmarkStart w:id="37" w:name="_Toc195842950"/>
      <w:r/>
      <w:bookmarkStart w:id="38" w:name="_Toc305158854"/>
      <w:r/>
      <w:bookmarkStart w:id="39" w:name="_Toc150774783"/>
      <w:r/>
      <w:bookmarkStart w:id="40" w:name="_Toc99301420"/>
      <w:r/>
      <w:bookmarkStart w:id="41" w:name="_Toc265228423"/>
      <w:r/>
      <w:bookmarkStart w:id="42" w:name="_Toc264969275"/>
      <w:r/>
      <w:bookmarkStart w:id="43" w:name="_Toc226965856"/>
      <w:r/>
      <w:bookmarkStart w:id="44" w:name="_Toc127161488"/>
      <w:r/>
      <w:bookmarkStart w:id="45" w:name="_Toc127151777"/>
      <w:r/>
      <w:bookmarkStart w:id="46" w:name="_Toc512937850"/>
      <w:r/>
      <w:bookmarkStart w:id="47" w:name="_Toc353873938"/>
      <w:r/>
      <w:bookmarkStart w:id="48" w:name="_Toc30515892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102"/>
        <w:spacing w:before="0" w:line="360" w:lineRule="auto"/>
        <w:tabs>
          <w:tab w:val="center" w:pos="4592" w:leader="none"/>
          <w:tab w:val="left" w:pos="7860" w:leader="none"/>
        </w:tabs>
        <w:rPr>
          <w:rFonts w:ascii="宋体" w:hAnsi="宋体" w:eastAsia="宋体"/>
          <w:sz w:val="28"/>
        </w:rPr>
      </w:pPr>
      <w:r/>
      <w:bookmarkStart w:id="49" w:name="_Toc150480757"/>
      <w:r/>
      <w:bookmarkStart w:id="50" w:name="_Toc226965792"/>
      <w:r/>
      <w:bookmarkStart w:id="51" w:name="_Toc127151720"/>
      <w:r/>
      <w:bookmarkStart w:id="52" w:name="_Toc142311021"/>
      <w:r/>
      <w:bookmarkStart w:id="53" w:name="_Toc195842884"/>
      <w:r/>
      <w:bookmarkStart w:id="54" w:name="_Toc226309763"/>
      <w:r/>
      <w:bookmarkStart w:id="55" w:name="_Toc164229360"/>
      <w:r/>
      <w:bookmarkStart w:id="56" w:name="_Toc226965709"/>
      <w:r/>
      <w:bookmarkStart w:id="57" w:name="_Toc151190146"/>
      <w:r/>
      <w:bookmarkStart w:id="58" w:name="_Toc150774619"/>
      <w:r/>
      <w:bookmarkStart w:id="59" w:name="_Toc149720812"/>
      <w:r/>
      <w:bookmarkStart w:id="60" w:name="_Toc151193907"/>
      <w:r/>
      <w:bookmarkStart w:id="61" w:name="_Toc151193617"/>
      <w:r/>
      <w:bookmarkStart w:id="62" w:name="_Toc150509270"/>
      <w:r/>
      <w:bookmarkStart w:id="63" w:name="_Toc164608788"/>
      <w:r/>
      <w:bookmarkStart w:id="64" w:name="_Toc164229214"/>
      <w:r/>
      <w:bookmarkStart w:id="65" w:name="_Toc127151519"/>
      <w:r/>
      <w:bookmarkStart w:id="66" w:name="_Toc127161433"/>
      <w:r/>
      <w:bookmarkStart w:id="67" w:name="_Toc164351613"/>
      <w:r/>
      <w:bookmarkStart w:id="68" w:name="_Toc150774724"/>
      <w:r/>
      <w:bookmarkStart w:id="69" w:name="_Toc151193833"/>
      <w:r/>
      <w:bookmarkStart w:id="70" w:name="_Toc164608633"/>
      <w:r/>
      <w:bookmarkStart w:id="71" w:name="_Toc151193761"/>
      <w:r/>
      <w:bookmarkStart w:id="72" w:name="_Toc151193689"/>
      <w:r/>
      <w:bookmarkStart w:id="73" w:name="_Toc520356144"/>
      <w:r/>
      <w:bookmarkStart w:id="74" w:name="_Toc226337215"/>
      <w:r>
        <w:rPr>
          <w:rFonts w:ascii="宋体" w:hAnsi="宋体" w:eastAsia="宋体"/>
          <w:sz w:val="28"/>
        </w:rPr>
        <w:t xml:space="preserve">投标人须知资料表</w:t>
      </w:r>
      <w:r/>
    </w:p>
    <w:p>
      <w:pPr>
        <w:pStyle w:val="1100"/>
        <w:jc w:val="center"/>
        <w:rPr>
          <w:rFonts w:ascii="宋体" w:hAnsi="宋体"/>
          <w:b/>
          <w:sz w:val="28"/>
          <w:szCs w:val="28"/>
        </w:rPr>
      </w:pPr>
      <w:r>
        <w:rPr>
          <w:rFonts w:ascii="宋体" w:hAnsi="宋体"/>
          <w:b/>
          <w:sz w:val="28"/>
          <w:szCs w:val="28"/>
        </w:rPr>
      </w:r>
      <w:r/>
    </w:p>
    <w:p>
      <w:pPr>
        <w:pStyle w:val="1100"/>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100"/>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100"/>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100"/>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100"/>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项目属性：</w:t>
            </w:r>
            <w:r/>
          </w:p>
          <w:p>
            <w:pPr>
              <w:pStyle w:val="1100"/>
              <w:jc w:val="left"/>
              <w:rPr>
                <w:rFonts w:hint="eastAsia" w:ascii="宋体" w:hAnsi="宋体" w:cs="宋体"/>
                <w:sz w:val="24"/>
              </w:rPr>
            </w:pPr>
            <w:r>
              <w:rPr>
                <w:rFonts w:hint="eastAsia" w:ascii="宋体" w:hAnsi="宋体" w:cs="宋体"/>
                <w:sz w:val="24"/>
              </w:rPr>
              <w:t xml:space="preserve">□服务</w:t>
            </w:r>
            <w:r/>
          </w:p>
          <w:p>
            <w:pPr>
              <w:pStyle w:val="1100"/>
              <w:jc w:val="left"/>
              <w:rPr>
                <w:rFonts w:hint="eastAsia" w:ascii="宋体" w:hAnsi="宋体" w:cs="宋体"/>
                <w:sz w:val="24"/>
                <w:u w:val="single"/>
              </w:rPr>
            </w:pPr>
            <w:r>
              <w:rPr>
                <w:rFonts w:hint="eastAsia" w:ascii="宋体" w:hAnsi="宋体" w:cs="宋体"/>
                <w:b/>
                <w:sz w:val="24"/>
              </w:rPr>
              <w:t xml:space="preserve">■</w:t>
            </w: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是否属于科研仪器设备采购项目：</w:t>
            </w:r>
            <w:r/>
          </w:p>
          <w:p>
            <w:pPr>
              <w:pStyle w:val="1100"/>
              <w:jc w:val="left"/>
              <w:rPr>
                <w:rFonts w:hint="eastAsia" w:ascii="宋体" w:hAnsi="宋体" w:cs="宋体"/>
                <w:sz w:val="24"/>
              </w:rPr>
            </w:pPr>
            <w:r>
              <w:rPr>
                <w:rFonts w:hint="eastAsia" w:ascii="宋体" w:hAnsi="宋体" w:cs="宋体"/>
                <w:sz w:val="24"/>
              </w:rPr>
              <w:t xml:space="preserve">□是</w:t>
            </w:r>
            <w:r/>
          </w:p>
          <w:p>
            <w:pPr>
              <w:pStyle w:val="1100"/>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40"/>
              <w:rPr>
                <w:rFonts w:hAnsi="宋体" w:cs="宋体"/>
                <w:sz w:val="24"/>
                <w:szCs w:val="24"/>
              </w:rPr>
            </w:pPr>
            <w:r>
              <w:rPr>
                <w:rFonts w:hAnsi="宋体" w:cs="宋体"/>
                <w:sz w:val="24"/>
                <w:szCs w:val="24"/>
              </w:rPr>
              <w:t xml:space="preserve">□关于核心产品本项目__包不适用。</w:t>
            </w:r>
            <w:r/>
          </w:p>
          <w:p>
            <w:pPr>
              <w:pStyle w:val="1140"/>
              <w:rPr>
                <w:rFonts w:hAnsi="宋体" w:cs="宋体"/>
                <w:sz w:val="24"/>
                <w:szCs w:val="24"/>
              </w:rPr>
            </w:pPr>
            <w:r>
              <w:rPr>
                <w:rFonts w:hAnsi="宋体" w:cs="宋体"/>
                <w:sz w:val="24"/>
                <w:szCs w:val="24"/>
              </w:rPr>
              <w:t xml:space="preserve">□本项目__包为单一产品采购项目。</w:t>
            </w:r>
            <w:r/>
          </w:p>
          <w:p>
            <w:pPr>
              <w:pStyle w:val="1100"/>
              <w:jc w:val="left"/>
              <w:rPr>
                <w:rFonts w:hint="eastAsia" w:ascii="宋体" w:hAnsi="宋体" w:cs="宋体"/>
                <w:sz w:val="24"/>
              </w:rPr>
            </w:pPr>
            <w:r>
              <w:rPr>
                <w:rFonts w:hint="eastAsia" w:ascii="宋体" w:hAnsi="宋体" w:cs="宋体"/>
                <w:sz w:val="24"/>
              </w:rPr>
              <w:t xml:space="preserve">■本项目为非单一产品采购项目，核心产品为：</w:t>
            </w:r>
            <w:r>
              <w:rPr>
                <w:rFonts w:hint="eastAsia" w:ascii="宋体" w:hAnsi="宋体" w:cs="宋体"/>
                <w:b/>
                <w:sz w:val="24"/>
              </w:rPr>
              <w:t xml:space="preserve">自动控制装调平台</w:t>
            </w:r>
            <w:r>
              <w:rPr>
                <w:rFonts w:hint="eastAsia" w:ascii="宋体" w:hAnsi="宋体" w:cs="宋体"/>
                <w:b/>
                <w:sz w:val="24"/>
              </w:rPr>
              <w:t xml:space="preserve">。</w:t>
            </w:r>
            <w:r>
              <w:rPr>
                <w:rFonts w:hint="eastAsia" w:ascii="宋体" w:hAnsi="宋体" w:cs="宋体"/>
                <w:sz w:val="24"/>
              </w:rPr>
            </w:r>
            <w:r/>
          </w:p>
        </w:tc>
      </w:tr>
      <w:tr>
        <w:trPr>
          <w:cantSplit/>
          <w:trHeight w:val="20"/>
        </w:trPr>
        <w:tc>
          <w:tcPr>
            <w:tcW w:w="988" w:type="dxa"/>
            <w:vAlign w:val="center"/>
            <w:vMerge w:val="restart"/>
            <w:textDirection w:val="lrTb"/>
            <w:noWrap w:val="false"/>
          </w:tcPr>
          <w:p>
            <w:pPr>
              <w:pStyle w:val="1140"/>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■不组织</w:t>
            </w:r>
            <w:r/>
          </w:p>
          <w:p>
            <w:pPr>
              <w:pStyle w:val="1100"/>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40"/>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40"/>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■不召开</w:t>
            </w:r>
            <w:r/>
          </w:p>
          <w:p>
            <w:pPr>
              <w:pStyle w:val="1100"/>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100"/>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投标样品递交：</w:t>
            </w:r>
            <w:r/>
          </w:p>
          <w:p>
            <w:pPr>
              <w:pStyle w:val="1100"/>
              <w:jc w:val="left"/>
              <w:rPr>
                <w:rFonts w:hint="eastAsia" w:ascii="宋体" w:hAnsi="宋体" w:cs="宋体"/>
                <w:sz w:val="24"/>
              </w:rPr>
            </w:pPr>
            <w:r>
              <w:rPr>
                <w:rFonts w:hint="eastAsia" w:ascii="宋体" w:hAnsi="宋体" w:cs="宋体"/>
                <w:sz w:val="24"/>
              </w:rPr>
              <w:t xml:space="preserve">■不需要</w:t>
            </w:r>
            <w:r/>
          </w:p>
          <w:p>
            <w:pPr>
              <w:pStyle w:val="1100"/>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sz w:val="24"/>
              </w:rPr>
              <w:t xml:space="preserve">：</w:t>
            </w:r>
            <w:r>
              <w:rPr>
                <w:rFonts w:hint="eastAsia" w:ascii="宋体" w:hAnsi="宋体" w:cs="宋体"/>
                <w:b/>
                <w:sz w:val="24"/>
              </w:rPr>
              <w:t xml:space="preserve">工业。</w:t>
            </w:r>
            <w:r>
              <w:rPr>
                <w:rFonts w:hint="eastAsia" w:ascii="宋体" w:hAnsi="宋体" w:cs="宋体"/>
                <w:sz w:val="24"/>
              </w:rPr>
            </w:r>
            <w:r/>
          </w:p>
        </w:tc>
      </w:tr>
      <w:tr>
        <w:trPr>
          <w:trHeight w:val="517"/>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1100"/>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100"/>
              <w:jc w:val="left"/>
              <w:spacing w:line="360" w:lineRule="exact"/>
              <w:rPr>
                <w:rFonts w:hint="eastAsia"/>
                <w:sz w:val="24"/>
              </w:rPr>
            </w:pPr>
            <w:r>
              <w:rPr>
                <w:sz w:val="24"/>
              </w:rPr>
              <w:t xml:space="preserve">关于</w:t>
            </w:r>
            <w:r>
              <w:rPr>
                <w:rFonts w:hint="eastAsia"/>
                <w:sz w:val="24"/>
              </w:rPr>
              <w:t xml:space="preserve">对采购本国产品给予政策支持，</w:t>
            </w:r>
            <w:r>
              <w:rPr>
                <w:rFonts w:hint="eastAsia"/>
                <w:b/>
                <w:sz w:val="24"/>
              </w:rPr>
              <w:t xml:space="preserve">本项目：适用。</w:t>
            </w:r>
            <w:r>
              <w:rPr>
                <w:rFonts w:hint="eastAsia"/>
                <w:sz w:val="24"/>
              </w:rPr>
            </w:r>
            <w:r/>
          </w:p>
          <w:p>
            <w:pPr>
              <w:pStyle w:val="1102"/>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投标报价的特殊规定：</w:t>
            </w:r>
            <w:r/>
          </w:p>
          <w:p>
            <w:pPr>
              <w:pStyle w:val="1100"/>
              <w:jc w:val="left"/>
              <w:rPr>
                <w:rFonts w:hint="eastAsia" w:ascii="宋体" w:hAnsi="宋体" w:cs="宋体"/>
                <w:sz w:val="24"/>
              </w:rPr>
            </w:pPr>
            <w:r>
              <w:rPr>
                <w:rFonts w:hint="eastAsia" w:ascii="宋体" w:hAnsi="宋体" w:cs="宋体"/>
                <w:sz w:val="24"/>
              </w:rPr>
              <w:t xml:space="preserve">■无</w:t>
            </w:r>
            <w:r/>
          </w:p>
          <w:p>
            <w:pPr>
              <w:pStyle w:val="1100"/>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100"/>
              <w:jc w:val="left"/>
              <w:rPr>
                <w:rFonts w:hint="eastAsia" w:ascii="宋体" w:hAnsi="宋体" w:cs="宋体"/>
                <w:sz w:val="24"/>
              </w:rPr>
            </w:pPr>
            <w:r>
              <w:rPr>
                <w:rFonts w:hint="eastAsia" w:ascii="宋体" w:hAnsi="宋体" w:cs="宋体"/>
                <w:sz w:val="24"/>
              </w:rPr>
              <w:t xml:space="preserve">■不允许</w:t>
            </w:r>
            <w:r/>
          </w:p>
          <w:p>
            <w:pPr>
              <w:pStyle w:val="1100"/>
              <w:jc w:val="left"/>
              <w:rPr>
                <w:rFonts w:hint="eastAsia" w:ascii="宋体" w:hAnsi="宋体" w:cs="宋体"/>
                <w:sz w:val="24"/>
              </w:rPr>
            </w:pPr>
            <w:r>
              <w:rPr>
                <w:rFonts w:hint="eastAsia" w:ascii="宋体" w:hAnsi="宋体" w:cs="宋体"/>
                <w:sz w:val="24"/>
              </w:rPr>
              <w:t xml:space="preserve">□允许，具体要求：</w:t>
            </w:r>
            <w:r/>
          </w:p>
          <w:p>
            <w:pPr>
              <w:pStyle w:val="1100"/>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100"/>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100"/>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20</w:t>
            </w:r>
            <w:r>
              <w:rPr>
                <w:rFonts w:ascii="宋体" w:hAnsi="宋体" w:cs="宋体"/>
                <w:b/>
                <w:sz w:val="24"/>
              </w:rPr>
              <w:t xml:space="preserve">26</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8</w:t>
            </w:r>
            <w:r>
              <w:rPr>
                <w:rFonts w:hint="eastAsia" w:ascii="宋体" w:hAnsi="宋体" w:cs="宋体"/>
                <w:b/>
                <w:sz w:val="24"/>
              </w:rPr>
              <w:t xml:space="preserve">月</w:t>
            </w:r>
            <w:r>
              <w:rPr>
                <w:rFonts w:hint="eastAsia" w:ascii="宋体" w:hAnsi="宋体" w:cs="宋体"/>
                <w:b/>
                <w:sz w:val="24"/>
              </w:rPr>
              <w:t xml:space="preserve">1</w:t>
            </w:r>
            <w:r>
              <w:rPr>
                <w:rFonts w:ascii="宋体" w:hAnsi="宋体" w:cs="宋体"/>
                <w:b/>
                <w:sz w:val="24"/>
              </w:rPr>
              <w:t xml:space="preserve">7</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100"/>
              <w:jc w:val="left"/>
              <w:rPr>
                <w:rFonts w:hint="eastAsia" w:ascii="宋体" w:hAnsi="宋体" w:cs="宋体"/>
                <w:sz w:val="24"/>
              </w:rPr>
            </w:pPr>
            <w:r>
              <w:rPr>
                <w:rFonts w:hint="eastAsia" w:ascii="宋体" w:hAnsi="宋体" w:cs="宋体"/>
                <w:sz w:val="24"/>
              </w:rPr>
              <w:t xml:space="preserve">接收询问和质疑的联系方式</w:t>
            </w:r>
            <w:r/>
          </w:p>
          <w:p>
            <w:pPr>
              <w:pStyle w:val="1100"/>
              <w:jc w:val="left"/>
              <w:rPr>
                <w:rFonts w:hint="eastAsia" w:ascii="宋体" w:hAnsi="宋体" w:cs="宋体"/>
                <w:sz w:val="24"/>
              </w:rPr>
            </w:pPr>
            <w:r>
              <w:rPr>
                <w:rFonts w:hint="eastAsia" w:ascii="宋体" w:hAnsi="宋体" w:cs="宋体"/>
                <w:sz w:val="24"/>
              </w:rPr>
              <w:t xml:space="preserve">联系部门：技术部；</w:t>
            </w:r>
            <w:r/>
          </w:p>
          <w:p>
            <w:pPr>
              <w:pStyle w:val="1100"/>
              <w:jc w:val="left"/>
              <w:rPr>
                <w:rFonts w:hint="eastAsia" w:ascii="宋体" w:hAnsi="宋体" w:cs="宋体"/>
                <w:sz w:val="24"/>
              </w:rPr>
            </w:pPr>
            <w:r>
              <w:rPr>
                <w:rFonts w:hint="eastAsia" w:ascii="宋体" w:hAnsi="宋体" w:cs="宋体"/>
                <w:sz w:val="24"/>
              </w:rPr>
              <w:t xml:space="preserve">联系电话：0519-81580152  81580191  81580192（转分机号</w:t>
            </w:r>
            <w:r>
              <w:rPr>
                <w:rFonts w:hint="eastAsia" w:ascii="宋体" w:hAnsi="宋体" w:cs="宋体"/>
                <w:sz w:val="24"/>
              </w:rPr>
              <w:t xml:space="preserve">6</w:t>
            </w:r>
            <w:r>
              <w:rPr>
                <w:rFonts w:ascii="宋体" w:hAnsi="宋体" w:cs="宋体"/>
                <w:sz w:val="24"/>
              </w:rPr>
              <w:t xml:space="preserve">012</w:t>
            </w:r>
            <w:r>
              <w:rPr>
                <w:rFonts w:hint="eastAsia" w:ascii="宋体" w:hAnsi="宋体" w:cs="宋体"/>
                <w:sz w:val="24"/>
              </w:rPr>
              <w:t xml:space="preserve">）；</w:t>
            </w:r>
            <w:r/>
          </w:p>
          <w:p>
            <w:pPr>
              <w:pStyle w:val="1100"/>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40"/>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100"/>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100"/>
              <w:jc w:val="left"/>
              <w:rPr>
                <w:rFonts w:hint="eastAsia" w:ascii="宋体" w:hAnsi="宋体" w:cs="宋体"/>
                <w:b/>
                <w:sz w:val="24"/>
              </w:rPr>
            </w:pPr>
            <w:r>
              <w:rPr>
                <w:rFonts w:hint="eastAsia" w:ascii="宋体" w:hAnsi="宋体" w:cs="宋体"/>
                <w:b/>
                <w:sz w:val="24"/>
              </w:rPr>
              <w:t xml:space="preserve">（一）收费对象：</w:t>
            </w:r>
            <w:r/>
          </w:p>
          <w:p>
            <w:pPr>
              <w:pStyle w:val="1100"/>
              <w:jc w:val="left"/>
              <w:rPr>
                <w:rFonts w:hint="eastAsia" w:ascii="宋体" w:hAnsi="宋体" w:cs="宋体"/>
                <w:sz w:val="24"/>
              </w:rPr>
            </w:pPr>
            <w:r>
              <w:rPr>
                <w:rFonts w:hint="eastAsia" w:ascii="宋体" w:hAnsi="宋体" w:cs="宋体"/>
                <w:sz w:val="24"/>
              </w:rPr>
              <w:t xml:space="preserve">□采购人</w:t>
            </w:r>
            <w:r/>
          </w:p>
          <w:p>
            <w:pPr>
              <w:pStyle w:val="1100"/>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中标人收取</w:t>
            </w:r>
            <w:r>
              <w:rPr>
                <w:rFonts w:hint="eastAsia" w:ascii="宋体" w:hAnsi="宋体" w:cs="宋体"/>
                <w:bCs/>
                <w:sz w:val="24"/>
              </w:rPr>
              <w:t xml:space="preserve">代理费</w:t>
            </w:r>
            <w:r>
              <w:rPr>
                <w:rFonts w:hint="eastAsia" w:ascii="宋体" w:hAnsi="宋体" w:cs="宋体"/>
                <w:sz w:val="24"/>
              </w:rPr>
              <w:t xml:space="preserve">。</w:t>
            </w:r>
            <w:r/>
          </w:p>
          <w:p>
            <w:pPr>
              <w:pStyle w:val="1100"/>
              <w:numPr>
                <w:ilvl w:val="0"/>
                <w:numId w:val="8"/>
              </w:numPr>
              <w:jc w:val="left"/>
              <w:rPr>
                <w:rFonts w:hint="eastAsia" w:ascii="宋体" w:hAnsi="宋体" w:cs="宋体"/>
                <w:b/>
                <w:sz w:val="24"/>
              </w:rPr>
            </w:pPr>
            <w:r>
              <w:rPr>
                <w:rFonts w:hint="eastAsia" w:ascii="宋体" w:hAnsi="宋体" w:cs="宋体"/>
                <w:b/>
                <w:sz w:val="24"/>
              </w:rPr>
              <w:t xml:space="preserve">收费标准：</w:t>
            </w:r>
            <w:r/>
          </w:p>
          <w:p>
            <w:pPr>
              <w:pStyle w:val="1100"/>
              <w:jc w:val="left"/>
              <w:rPr>
                <w:rFonts w:hint="eastAsia" w:ascii="宋体" w:hAnsi="宋体" w:cs="宋体"/>
                <w:sz w:val="24"/>
              </w:rPr>
            </w:pPr>
            <w:r>
              <w:rPr>
                <w:rFonts w:hint="eastAsia" w:ascii="宋体" w:hAnsi="宋体" w:cs="宋体"/>
                <w:sz w:val="24"/>
              </w:rPr>
            </w:r>
            <w:r/>
          </w:p>
          <w:tbl>
            <w:tblPr>
              <w:tblW w:w="5430" w:type="dxa"/>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100"/>
                    <w:ind w:firstLine="945"/>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服</w:t>
                  </w:r>
                  <w:r/>
                </w:p>
                <w:p>
                  <w:pPr>
                    <w:pStyle w:val="1100"/>
                    <w:ind w:firstLine="210"/>
                    <w:spacing w:line="440" w:lineRule="exact"/>
                    <w:rPr>
                      <w:rFonts w:hint="eastAsia" w:ascii="宋体" w:hAnsi="宋体" w:cs="宋体"/>
                      <w:bCs/>
                      <w:szCs w:val="21"/>
                    </w:rPr>
                  </w:pPr>
                  <w:r>
                    <w:rPr>
                      <w:rFonts w:hint="eastAsia" w:ascii="宋体" w:hAnsi="宋体" w:cs="宋体"/>
                      <w:bCs/>
                      <w:szCs w:val="21"/>
                    </w:rPr>
                    <w:t xml:space="preserve">费　　　   务</w:t>
                  </w:r>
                  <w:r/>
                </w:p>
                <w:p>
                  <w:pPr>
                    <w:pStyle w:val="1100"/>
                    <w:ind w:firstLine="1260"/>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Cs w:val="21"/>
                    </w:rPr>
                    <w:t xml:space="preserve">　   类</w:t>
                  </w:r>
                  <w:r/>
                </w:p>
                <w:p>
                  <w:pPr>
                    <w:pStyle w:val="1100"/>
                    <w:ind w:firstLine="1050"/>
                    <w:spacing w:line="440" w:lineRule="exact"/>
                    <w:rPr>
                      <w:rFonts w:hint="eastAsia" w:ascii="宋体" w:hAnsi="宋体" w:cs="宋体"/>
                      <w:bCs/>
                      <w:szCs w:val="21"/>
                    </w:rPr>
                  </w:pPr>
                  <w:r>
                    <w:rPr>
                      <w:rFonts w:hint="eastAsia" w:ascii="宋体" w:hAnsi="宋体" w:cs="宋体"/>
                      <w:bCs/>
                      <w:szCs w:val="21"/>
                    </w:rPr>
                    <w:t xml:space="preserve">率　       型</w:t>
                  </w:r>
                  <w:r/>
                </w:p>
                <w:p>
                  <w:pPr>
                    <w:pStyle w:val="1100"/>
                    <w:ind w:firstLine="1050"/>
                    <w:spacing w:line="440" w:lineRule="exact"/>
                    <w:rPr>
                      <w:rFonts w:hint="eastAsia" w:ascii="宋体" w:hAnsi="宋体" w:cs="宋体"/>
                      <w:bCs/>
                      <w:szCs w:val="21"/>
                    </w:rPr>
                  </w:pPr>
                  <w:r>
                    <w:rPr>
                      <w:rFonts w:hint="eastAsia" w:ascii="宋体" w:hAnsi="宋体" w:cs="宋体"/>
                      <w:bCs/>
                      <w:szCs w:val="21"/>
                    </w:rPr>
                    <w:t xml:space="preserve">　　　　</w:t>
                  </w:r>
                  <w:r/>
                </w:p>
                <w:p>
                  <w:pPr>
                    <w:pStyle w:val="1100"/>
                    <w:spacing w:line="440" w:lineRule="exact"/>
                    <w:rPr>
                      <w:rFonts w:hint="eastAsia" w:ascii="宋体" w:hAnsi="宋体" w:cs="宋体"/>
                      <w:bCs/>
                      <w:szCs w:val="21"/>
                    </w:rPr>
                  </w:pPr>
                  <w:r>
                    <w:rPr>
                      <w:rFonts w:hint="eastAsia" w:ascii="宋体" w:hAnsi="宋体" w:cs="宋体"/>
                      <w:bCs/>
                      <w:szCs w:val="21"/>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100"/>
                    <w:jc w:val="center"/>
                    <w:rPr>
                      <w:rFonts w:hint="eastAsia" w:ascii="宋体" w:hAnsi="宋体" w:cs="宋体"/>
                      <w:bCs/>
                      <w:szCs w:val="21"/>
                    </w:rPr>
                  </w:pPr>
                  <w:r>
                    <w:rPr>
                      <w:rFonts w:hint="eastAsia" w:ascii="宋体" w:hAnsi="宋体" w:cs="宋体"/>
                      <w:bCs/>
                      <w:szCs w:val="21"/>
                    </w:rPr>
                    <w:t xml:space="preserve">货物类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100"/>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100"/>
                    <w:jc w:val="center"/>
                    <w:rPr>
                      <w:rFonts w:hint="eastAsia" w:ascii="宋体" w:hAnsi="宋体" w:cs="宋体"/>
                      <w:szCs w:val="21"/>
                    </w:rPr>
                  </w:pPr>
                  <w:r>
                    <w:rPr>
                      <w:rFonts w:hint="eastAsia" w:ascii="宋体" w:hAnsi="宋体" w:cs="宋体"/>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100"/>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100"/>
                    <w:jc w:val="center"/>
                    <w:rPr>
                      <w:rFonts w:hint="eastAsia" w:ascii="宋体" w:hAnsi="宋体" w:cs="宋体"/>
                      <w:szCs w:val="21"/>
                    </w:rPr>
                  </w:pPr>
                  <w:r>
                    <w:rPr>
                      <w:rFonts w:hint="eastAsia" w:ascii="宋体" w:hAnsi="宋体" w:cs="宋体"/>
                      <w:szCs w:val="21"/>
                    </w:rPr>
                    <w:t xml:space="preserve">1.1%</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1100"/>
                    <w:jc w:val="center"/>
                    <w:spacing w:line="280" w:lineRule="exact"/>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100"/>
                    <w:jc w:val="center"/>
                    <w:rPr>
                      <w:rFonts w:hint="eastAsia" w:ascii="宋体" w:hAnsi="宋体" w:cs="宋体"/>
                      <w:szCs w:val="21"/>
                    </w:rPr>
                  </w:pPr>
                  <w:r>
                    <w:rPr>
                      <w:rFonts w:hint="eastAsia" w:ascii="宋体" w:hAnsi="宋体" w:cs="宋体"/>
                      <w:szCs w:val="21"/>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100"/>
                    <w:jc w:val="center"/>
                    <w:spacing w:line="44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100"/>
                    <w:jc w:val="center"/>
                    <w:rPr>
                      <w:rFonts w:hint="eastAsia" w:ascii="宋体" w:hAnsi="宋体" w:cs="宋体"/>
                      <w:szCs w:val="21"/>
                    </w:rPr>
                  </w:pPr>
                  <w:r>
                    <w:rPr>
                      <w:rFonts w:hint="eastAsia" w:ascii="宋体" w:hAnsi="宋体" w:cs="宋体"/>
                      <w:szCs w:val="21"/>
                    </w:rPr>
                    <w:t xml:space="preserve">…</w:t>
                  </w:r>
                  <w:r/>
                </w:p>
              </w:tc>
            </w:tr>
          </w:tbl>
          <w:p>
            <w:pPr>
              <w:pStyle w:val="1100"/>
              <w:ind w:firstLine="480"/>
              <w:jc w:val="left"/>
              <w:rPr>
                <w:rFonts w:hint="eastAsia" w:ascii="宋体" w:hAnsi="宋体" w:cs="宋体"/>
                <w:sz w:val="24"/>
              </w:rPr>
            </w:pPr>
            <w:r>
              <w:rPr>
                <w:rFonts w:hint="eastAsia" w:ascii="宋体" w:hAnsi="宋体" w:cs="宋体"/>
                <w:sz w:val="24"/>
              </w:rPr>
              <w:t xml:space="preserve">代理费按差额定率累进法计算。 </w:t>
            </w:r>
            <w:r/>
          </w:p>
          <w:p>
            <w:pPr>
              <w:pStyle w:val="1100"/>
              <w:ind w:firstLine="480"/>
              <w:jc w:val="left"/>
              <w:rPr>
                <w:rFonts w:hint="eastAsia" w:ascii="宋体" w:hAnsi="宋体" w:cs="宋体"/>
                <w:b/>
                <w:sz w:val="24"/>
              </w:rPr>
            </w:pPr>
            <w:r>
              <w:rPr>
                <w:rFonts w:hint="eastAsia" w:ascii="宋体" w:hAnsi="宋体" w:cs="宋体"/>
                <w:sz w:val="24"/>
              </w:rPr>
              <w:t xml:space="preserve">每年代理费</w:t>
            </w:r>
            <w:r>
              <w:rPr>
                <w:rFonts w:hint="eastAsia" w:ascii="宋体" w:hAnsi="宋体" w:cs="宋体"/>
                <w:b/>
                <w:sz w:val="24"/>
              </w:rPr>
              <w:t xml:space="preserve">按照上述标准的</w:t>
            </w:r>
            <w:r>
              <w:rPr>
                <w:rFonts w:ascii="宋体" w:hAnsi="宋体" w:cs="宋体"/>
                <w:b/>
                <w:sz w:val="24"/>
              </w:rPr>
              <w:t xml:space="preserve">40</w:t>
            </w:r>
            <w:r>
              <w:rPr>
                <w:rFonts w:hint="eastAsia" w:ascii="宋体" w:hAnsi="宋体" w:cs="宋体"/>
                <w:b/>
                <w:sz w:val="24"/>
              </w:rPr>
              <w:t xml:space="preserve">%收取。</w:t>
            </w:r>
            <w:r/>
          </w:p>
          <w:p>
            <w:pPr>
              <w:pStyle w:val="1100"/>
              <w:ind w:firstLine="480"/>
              <w:jc w:val="left"/>
              <w:rPr>
                <w:rFonts w:hint="eastAsia" w:ascii="宋体" w:hAnsi="宋体" w:cs="宋体"/>
                <w:sz w:val="24"/>
              </w:rPr>
            </w:pPr>
            <w:r>
              <w:rPr>
                <w:rFonts w:hint="eastAsia" w:ascii="宋体" w:hAnsi="宋体" w:cs="宋体"/>
                <w:sz w:val="24"/>
              </w:rPr>
              <w:t xml:space="preserve">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100"/>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bCs/>
                <w:sz w:val="24"/>
              </w:rPr>
              <w:t xml:space="preserve">中标供应商应</w:t>
            </w:r>
            <w:r>
              <w:rPr>
                <w:rFonts w:hint="eastAsia" w:ascii="宋体" w:hAnsi="宋体" w:cs="宋体"/>
                <w:sz w:val="24"/>
              </w:rPr>
              <w:t xml:space="preserve">在领取中标通知书时将代理费支付至常州市城投建设工程招标有限公司账户。</w:t>
            </w:r>
            <w:r/>
          </w:p>
          <w:p>
            <w:pPr>
              <w:pStyle w:val="1100"/>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100"/>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100"/>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40"/>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100"/>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100"/>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100"/>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100"/>
        <w:jc w:val="center"/>
        <w:spacing w:before="240" w:after="240"/>
        <w:rPr>
          <w:rFonts w:hint="eastAsia" w:ascii="宋体" w:hAnsi="宋体" w:cs="宋体"/>
          <w:b/>
          <w:sz w:val="28"/>
          <w:szCs w:val="28"/>
        </w:rPr>
      </w:pPr>
      <w:r/>
      <w:bookmarkStart w:id="75" w:name="_Toc353873932"/>
      <w:r/>
      <w:bookmarkStart w:id="76" w:name="_Toc353873662"/>
      <w:r/>
      <w:bookmarkStart w:id="77" w:name="_Toc226965790"/>
      <w:r/>
      <w:bookmarkStart w:id="78" w:name="_Toc226337213"/>
      <w:r/>
      <w:bookmarkStart w:id="79" w:name="_Toc127151517"/>
      <w:r/>
      <w:bookmarkStart w:id="80" w:name="_Toc195842882"/>
      <w:r/>
      <w:bookmarkStart w:id="81" w:name="_Toc150480755"/>
      <w:r/>
      <w:bookmarkStart w:id="82" w:name="_Toc264969207"/>
      <w:r/>
      <w:bookmarkStart w:id="83" w:name="_Toc150774722"/>
      <w:r/>
      <w:bookmarkStart w:id="84" w:name="_Toc265228355"/>
      <w:r/>
      <w:bookmarkStart w:id="85" w:name="_Toc142311019"/>
      <w:r/>
      <w:bookmarkStart w:id="86" w:name="_Toc353825542"/>
      <w:r/>
      <w:bookmarkStart w:id="87" w:name="_Toc305158785"/>
      <w:r/>
      <w:bookmarkStart w:id="88" w:name="_Toc305158859"/>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102"/>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51190145"/>
      <w:r/>
      <w:bookmarkStart w:id="92" w:name="_Toc151193906"/>
      <w:r/>
      <w:bookmarkStart w:id="93" w:name="_Toc226337214"/>
      <w:r/>
      <w:bookmarkStart w:id="94" w:name="_Toc226965791"/>
      <w:r/>
      <w:bookmarkStart w:id="95" w:name="_Toc151193688"/>
      <w:r/>
      <w:bookmarkStart w:id="96" w:name="_Toc151193616"/>
      <w:r/>
      <w:bookmarkStart w:id="97" w:name="_Toc195842883"/>
      <w:r/>
      <w:bookmarkStart w:id="98" w:name="_Toc226965708"/>
      <w:r/>
      <w:bookmarkStart w:id="99" w:name="_Toc151193760"/>
      <w:r/>
      <w:bookmarkStart w:id="100" w:name="_Toc150774618"/>
      <w:r/>
      <w:bookmarkStart w:id="101" w:name="_Toc305158786"/>
      <w:r/>
      <w:bookmarkStart w:id="102" w:name="_Toc151193832"/>
      <w:r/>
      <w:bookmarkStart w:id="103" w:name="_Toc226309762"/>
      <w:r/>
      <w:bookmarkStart w:id="104" w:name="_Toc150480756"/>
      <w:r/>
      <w:bookmarkStart w:id="105" w:name="_Toc305158860"/>
      <w:r/>
      <w:bookmarkStart w:id="106" w:name="_Toc265228356"/>
      <w:r/>
      <w:bookmarkStart w:id="107" w:name="_Toc264969208"/>
      <w:r/>
      <w:bookmarkStart w:id="108" w:name="_Toc150509269"/>
      <w:r/>
      <w:bookmarkStart w:id="109" w:name="_Toc142311020"/>
      <w:r/>
      <w:bookmarkStart w:id="110" w:name="_Toc150774723"/>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100"/>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861"/>
      <w:r/>
      <w:bookmarkStart w:id="112" w:name="_Toc265228357"/>
      <w:r/>
      <w:bookmarkStart w:id="113" w:name="_Toc305158787"/>
      <w:r/>
      <w:bookmarkStart w:id="114" w:name="_Toc264969209"/>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100"/>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100"/>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100"/>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100"/>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1193690"/>
      <w:r/>
      <w:bookmarkStart w:id="116" w:name="_Toc127151721"/>
      <w:r/>
      <w:bookmarkStart w:id="117" w:name="_Toc164229215"/>
      <w:r/>
      <w:bookmarkStart w:id="118" w:name="_Toc151193834"/>
      <w:r/>
      <w:bookmarkStart w:id="119" w:name="_Toc164608789"/>
      <w:r/>
      <w:bookmarkStart w:id="120" w:name="_Toc149720813"/>
      <w:r/>
      <w:bookmarkStart w:id="121" w:name="_Toc226965793"/>
      <w:r/>
      <w:bookmarkStart w:id="122" w:name="_Toc151190147"/>
      <w:r/>
      <w:bookmarkStart w:id="123" w:name="_Toc305158788"/>
      <w:r/>
      <w:bookmarkStart w:id="124" w:name="_Toc265228358"/>
      <w:r/>
      <w:bookmarkStart w:id="125" w:name="_Toc150509271"/>
      <w:r/>
      <w:bookmarkStart w:id="126" w:name="_Toc151193908"/>
      <w:r/>
      <w:bookmarkStart w:id="127" w:name="_Toc142311022"/>
      <w:r/>
      <w:bookmarkStart w:id="128" w:name="_Toc195842885"/>
      <w:r/>
      <w:bookmarkStart w:id="129" w:name="_Toc226309764"/>
      <w:r/>
      <w:bookmarkStart w:id="130" w:name="_Toc127151520"/>
      <w:r/>
      <w:bookmarkStart w:id="131" w:name="_Toc226337216"/>
      <w:r/>
      <w:bookmarkStart w:id="132" w:name="_Toc151193618"/>
      <w:r/>
      <w:bookmarkStart w:id="133" w:name="_Toc127161434"/>
      <w:r/>
      <w:bookmarkStart w:id="134" w:name="_Toc164351614"/>
      <w:r/>
      <w:bookmarkStart w:id="135" w:name="_Toc305158862"/>
      <w:r/>
      <w:bookmarkStart w:id="136" w:name="_Toc150774725"/>
      <w:r/>
      <w:bookmarkStart w:id="137" w:name="_Toc164608634"/>
      <w:r/>
      <w:bookmarkStart w:id="138" w:name="_Toc151193762"/>
      <w:r/>
      <w:bookmarkStart w:id="139" w:name="_Toc226965710"/>
      <w:r/>
      <w:bookmarkStart w:id="140" w:name="_Toc150774620"/>
      <w:r/>
      <w:bookmarkStart w:id="141" w:name="_Toc150480758"/>
      <w:r/>
      <w:bookmarkStart w:id="142" w:name="_Toc164229361"/>
      <w:r/>
      <w:bookmarkStart w:id="143" w:name="_Toc264969210"/>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100"/>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100"/>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1193910"/>
      <w:r/>
      <w:bookmarkStart w:id="145" w:name="_Toc195842887"/>
      <w:r/>
      <w:bookmarkStart w:id="146" w:name="_Toc151193836"/>
      <w:r/>
      <w:bookmarkStart w:id="147" w:name="_Toc151190149"/>
      <w:r/>
      <w:bookmarkStart w:id="148" w:name="_Toc226337218"/>
      <w:r/>
      <w:bookmarkStart w:id="149" w:name="_Toc226965712"/>
      <w:r/>
      <w:bookmarkStart w:id="150" w:name="_Toc151193764"/>
      <w:r/>
      <w:bookmarkStart w:id="151" w:name="_Toc520356146"/>
      <w:r/>
      <w:bookmarkStart w:id="152" w:name="_Toc150774622"/>
      <w:r/>
      <w:bookmarkStart w:id="153" w:name="_Toc150774727"/>
      <w:r/>
      <w:bookmarkStart w:id="154" w:name="_Toc264969212"/>
      <w:r/>
      <w:bookmarkStart w:id="155" w:name="_Toc305158790"/>
      <w:r/>
      <w:bookmarkStart w:id="156" w:name="_Toc150480760"/>
      <w:r/>
      <w:bookmarkStart w:id="157" w:name="_Toc151193692"/>
      <w:r/>
      <w:bookmarkStart w:id="158" w:name="_Toc150509273"/>
      <w:r/>
      <w:bookmarkStart w:id="159" w:name="_Toc142311024"/>
      <w:r/>
      <w:bookmarkStart w:id="160" w:name="_Toc151193620"/>
      <w:r/>
      <w:bookmarkStart w:id="161" w:name="_Toc265228360"/>
      <w:r/>
      <w:bookmarkStart w:id="162" w:name="_Toc127151522"/>
      <w:r/>
      <w:bookmarkStart w:id="163" w:name="_Toc226309766"/>
      <w:r/>
      <w:bookmarkStart w:id="164" w:name="_Toc305158864"/>
      <w:r/>
      <w:bookmarkStart w:id="165" w:name="_Toc226965795"/>
      <w:r>
        <w:rPr>
          <w:rFonts w:hint="eastAsia" w:ascii="宋体" w:hAnsi="宋体" w:cs="宋体"/>
          <w:sz w:val="28"/>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100"/>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100"/>
        <w:numPr>
          <w:ilvl w:val="0"/>
          <w:numId w:val="9"/>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10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100"/>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10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9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9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9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9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9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95"/>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95"/>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95"/>
        <w:numPr>
          <w:ilvl w:val="2"/>
          <w:numId w:val="10"/>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00"/>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100"/>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10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10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10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100"/>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100"/>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100"/>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100"/>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95"/>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95"/>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00"/>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100"/>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100"/>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100"/>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100"/>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100"/>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10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10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100"/>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10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10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100"/>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100"/>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100"/>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100"/>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100"/>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100"/>
        <w:numPr>
          <w:ilvl w:val="2"/>
          <w:numId w:val="9"/>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100"/>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100"/>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100"/>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100"/>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102"/>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265228361"/>
      <w:r/>
      <w:bookmarkStart w:id="168" w:name="_Toc226965796"/>
      <w:r/>
      <w:bookmarkStart w:id="169" w:name="_Toc150774728"/>
      <w:r/>
      <w:bookmarkStart w:id="170" w:name="_Toc226309767"/>
      <w:r/>
      <w:bookmarkStart w:id="171" w:name="_Toc164608637"/>
      <w:r/>
      <w:bookmarkStart w:id="172" w:name="_Toc142311025"/>
      <w:r/>
      <w:bookmarkStart w:id="173" w:name="_Toc264969213"/>
      <w:r/>
      <w:bookmarkStart w:id="174" w:name="_Toc150509274"/>
      <w:r/>
      <w:bookmarkStart w:id="175" w:name="_Toc520356147"/>
      <w:r/>
      <w:bookmarkStart w:id="176" w:name="_Toc150480761"/>
      <w:r/>
      <w:bookmarkStart w:id="177" w:name="_Toc195842888"/>
      <w:r/>
      <w:bookmarkStart w:id="178" w:name="_Toc151193693"/>
      <w:r/>
      <w:bookmarkStart w:id="179" w:name="_Toc164229364"/>
      <w:r/>
      <w:bookmarkStart w:id="180" w:name="_Toc164229218"/>
      <w:r/>
      <w:bookmarkStart w:id="181" w:name="_Toc150774623"/>
      <w:r/>
      <w:bookmarkStart w:id="182" w:name="_Toc226337219"/>
      <w:r/>
      <w:bookmarkStart w:id="183" w:name="_Toc127151724"/>
      <w:r/>
      <w:bookmarkStart w:id="184" w:name="_Toc151193621"/>
      <w:r/>
      <w:bookmarkStart w:id="185" w:name="_Toc305158791"/>
      <w:r/>
      <w:bookmarkStart w:id="186" w:name="_Toc127161437"/>
      <w:r/>
      <w:bookmarkStart w:id="187" w:name="_Toc151193911"/>
      <w:r/>
      <w:bookmarkStart w:id="188" w:name="_Toc149720816"/>
      <w:r/>
      <w:bookmarkStart w:id="189" w:name="_Toc164351617"/>
      <w:r/>
      <w:bookmarkStart w:id="190" w:name="_Toc151190150"/>
      <w:r/>
      <w:bookmarkStart w:id="191" w:name="_Toc127151523"/>
      <w:r/>
      <w:bookmarkStart w:id="192" w:name="_Toc164608792"/>
      <w:r/>
      <w:bookmarkStart w:id="193" w:name="_Toc151193765"/>
      <w:r/>
      <w:bookmarkStart w:id="194" w:name="_Toc151193837"/>
      <w:r/>
      <w:bookmarkStart w:id="195" w:name="_Toc305158865"/>
      <w:r/>
      <w:bookmarkStart w:id="196" w:name="_Toc226965713"/>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10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10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10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10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10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10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10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100"/>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100"/>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102"/>
        <w:ind w:firstLine="562"/>
        <w:spacing w:before="0" w:line="360" w:lineRule="auto"/>
        <w:rPr>
          <w:rFonts w:hint="eastAsia" w:ascii="宋体" w:hAnsi="宋体" w:eastAsia="宋体" w:cs="宋体"/>
          <w:sz w:val="28"/>
        </w:rPr>
      </w:pPr>
      <w:r/>
      <w:bookmarkStart w:id="197" w:name="_Toc265228364"/>
      <w:r/>
      <w:bookmarkStart w:id="198" w:name="_Toc226337222"/>
      <w:r/>
      <w:bookmarkStart w:id="199" w:name="_Toc151193768"/>
      <w:r/>
      <w:bookmarkStart w:id="200" w:name="_Toc151193624"/>
      <w:r/>
      <w:bookmarkStart w:id="201" w:name="_Toc150480764"/>
      <w:r/>
      <w:bookmarkStart w:id="202" w:name="_Toc142311028"/>
      <w:r/>
      <w:bookmarkStart w:id="203" w:name="_Toc264969216"/>
      <w:r/>
      <w:bookmarkStart w:id="204" w:name="_Toc151193914"/>
      <w:r/>
      <w:bookmarkStart w:id="205" w:name="_Toc151193696"/>
      <w:r/>
      <w:bookmarkStart w:id="206" w:name="_Toc305158794"/>
      <w:r/>
      <w:bookmarkStart w:id="207" w:name="_Toc226965716"/>
      <w:r/>
      <w:bookmarkStart w:id="208" w:name="_Toc305158868"/>
      <w:r/>
      <w:bookmarkStart w:id="209" w:name="_Toc150509277"/>
      <w:r/>
      <w:bookmarkStart w:id="210" w:name="_Toc516367020"/>
      <w:r/>
      <w:bookmarkStart w:id="211" w:name="_Toc127151526"/>
      <w:r/>
      <w:bookmarkStart w:id="212" w:name="_Toc195842891"/>
      <w:r/>
      <w:bookmarkStart w:id="213" w:name="_Toc226309770"/>
      <w:r/>
      <w:bookmarkStart w:id="214" w:name="_Toc150774626"/>
      <w:r/>
      <w:bookmarkStart w:id="215" w:name="_Toc226965799"/>
      <w:r/>
      <w:bookmarkStart w:id="216" w:name="_Toc151190153"/>
      <w:r/>
      <w:bookmarkStart w:id="217" w:name="_Toc520356150"/>
      <w:r/>
      <w:bookmarkStart w:id="218" w:name="_Toc151193840"/>
      <w:r/>
      <w:bookmarkStart w:id="219" w:name="_Toc150774731"/>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42311029"/>
      <w:r/>
      <w:bookmarkStart w:id="221" w:name="_Toc151193769"/>
      <w:r/>
      <w:bookmarkStart w:id="222" w:name="_Toc127151728"/>
      <w:r/>
      <w:bookmarkStart w:id="223" w:name="_Toc516367021"/>
      <w:r/>
      <w:bookmarkStart w:id="224" w:name="_Toc305158795"/>
      <w:r/>
      <w:bookmarkStart w:id="225" w:name="_Toc195842892"/>
      <w:r/>
      <w:bookmarkStart w:id="226" w:name="_Toc164229368"/>
      <w:r/>
      <w:bookmarkStart w:id="227" w:name="_Toc164608641"/>
      <w:r/>
      <w:bookmarkStart w:id="228" w:name="_Toc226309771"/>
      <w:r/>
      <w:bookmarkStart w:id="229" w:name="_Toc150509278"/>
      <w:r/>
      <w:bookmarkStart w:id="230" w:name="_Toc127161441"/>
      <w:r/>
      <w:bookmarkStart w:id="231" w:name="_Toc265228365"/>
      <w:r/>
      <w:bookmarkStart w:id="232" w:name="_Toc151190154"/>
      <w:r/>
      <w:bookmarkStart w:id="233" w:name="_Toc164351621"/>
      <w:r/>
      <w:bookmarkStart w:id="234" w:name="_Toc305158869"/>
      <w:r/>
      <w:bookmarkStart w:id="235" w:name="_Toc149720820"/>
      <w:r/>
      <w:bookmarkStart w:id="236" w:name="_Toc226965800"/>
      <w:r/>
      <w:bookmarkStart w:id="237" w:name="_Toc226337223"/>
      <w:r/>
      <w:bookmarkStart w:id="238" w:name="_Toc127151527"/>
      <w:r/>
      <w:bookmarkStart w:id="239" w:name="_Toc151193697"/>
      <w:r/>
      <w:bookmarkStart w:id="240" w:name="_Toc150480765"/>
      <w:r/>
      <w:bookmarkStart w:id="241" w:name="_Toc164608796"/>
      <w:r/>
      <w:bookmarkStart w:id="242" w:name="_Toc151193915"/>
      <w:r/>
      <w:bookmarkStart w:id="243" w:name="_Toc226965717"/>
      <w:r/>
      <w:bookmarkStart w:id="244" w:name="_Toc520356151"/>
      <w:r/>
      <w:bookmarkStart w:id="245" w:name="_Toc150774732"/>
      <w:r/>
      <w:bookmarkStart w:id="246" w:name="_Toc150774627"/>
      <w:r/>
      <w:bookmarkStart w:id="247" w:name="_Toc164229222"/>
      <w:r/>
      <w:bookmarkStart w:id="248" w:name="_Toc151193841"/>
      <w:r/>
      <w:bookmarkStart w:id="249" w:name="_Toc151193625"/>
      <w:r/>
      <w:bookmarkStart w:id="250" w:name="_Toc264969217"/>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520356152"/>
      <w:r/>
      <w:bookmarkStart w:id="252" w:name="_Toc164351622"/>
      <w:r/>
      <w:bookmarkStart w:id="253" w:name="_Toc150509279"/>
      <w:r/>
      <w:bookmarkStart w:id="254" w:name="_Toc164229223"/>
      <w:r/>
      <w:bookmarkStart w:id="255" w:name="_Toc151193770"/>
      <w:r/>
      <w:bookmarkStart w:id="256" w:name="_Toc151193626"/>
      <w:r/>
      <w:bookmarkStart w:id="257" w:name="_Toc305158796"/>
      <w:r/>
      <w:bookmarkStart w:id="258" w:name="_Ref467306195"/>
      <w:r/>
      <w:bookmarkStart w:id="259" w:name="_Ref467306676"/>
      <w:r/>
      <w:bookmarkStart w:id="260" w:name="_Toc516367022"/>
      <w:r/>
      <w:bookmarkStart w:id="261" w:name="_Toc150774628"/>
      <w:r/>
      <w:bookmarkStart w:id="262" w:name="_Toc151193698"/>
      <w:r/>
      <w:bookmarkStart w:id="263" w:name="_Toc151193916"/>
      <w:r/>
      <w:bookmarkStart w:id="264" w:name="_Toc149720821"/>
      <w:r/>
      <w:bookmarkStart w:id="265" w:name="_Toc142311030"/>
      <w:r/>
      <w:bookmarkStart w:id="266" w:name="_Toc226309772"/>
      <w:r/>
      <w:bookmarkStart w:id="267" w:name="_Toc226337224"/>
      <w:r/>
      <w:bookmarkStart w:id="268" w:name="_Toc164608642"/>
      <w:r/>
      <w:bookmarkStart w:id="269" w:name="_Toc150480766"/>
      <w:r/>
      <w:bookmarkStart w:id="270" w:name="_Toc305158870"/>
      <w:r/>
      <w:bookmarkStart w:id="271" w:name="_Toc164229369"/>
      <w:r/>
      <w:bookmarkStart w:id="272" w:name="_Toc127151729"/>
      <w:r/>
      <w:bookmarkStart w:id="273" w:name="_Toc127151528"/>
      <w:r/>
      <w:bookmarkStart w:id="274" w:name="_Toc265228366"/>
      <w:r/>
      <w:bookmarkStart w:id="275" w:name="_Toc264969218"/>
      <w:r/>
      <w:bookmarkStart w:id="276" w:name="_Toc151193842"/>
      <w:r/>
      <w:bookmarkStart w:id="277" w:name="_Toc226965801"/>
      <w:r/>
      <w:bookmarkStart w:id="278" w:name="_Toc226965718"/>
      <w:r/>
      <w:bookmarkStart w:id="279" w:name="_Toc151190155"/>
      <w:r/>
      <w:bookmarkStart w:id="280" w:name="_Toc195842893"/>
      <w:r/>
      <w:bookmarkStart w:id="281" w:name="_Toc150774733"/>
      <w:r/>
      <w:bookmarkStart w:id="282" w:name="_Toc164608797"/>
      <w:r/>
      <w:bookmarkStart w:id="283" w:name="_Toc127161442"/>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0480768"/>
      <w:r/>
      <w:bookmarkStart w:id="286" w:name="_Toc149720823"/>
      <w:r/>
      <w:bookmarkStart w:id="287" w:name="_Toc150774630"/>
      <w:r/>
      <w:bookmarkStart w:id="288" w:name="_Toc127161444"/>
      <w:r/>
      <w:bookmarkStart w:id="289" w:name="_Toc151193844"/>
      <w:r/>
      <w:bookmarkStart w:id="290" w:name="_Toc151193918"/>
      <w:r/>
      <w:bookmarkStart w:id="291" w:name="_Toc127151530"/>
      <w:r/>
      <w:bookmarkStart w:id="292" w:name="_Toc164608799"/>
      <w:r/>
      <w:bookmarkStart w:id="293" w:name="_Toc151193772"/>
      <w:r/>
      <w:bookmarkStart w:id="294" w:name="_Toc150509281"/>
      <w:r/>
      <w:bookmarkStart w:id="295" w:name="_Toc150774735"/>
      <w:r/>
      <w:bookmarkStart w:id="296" w:name="_Toc164608644"/>
      <w:r/>
      <w:bookmarkStart w:id="297" w:name="_Toc164229371"/>
      <w:r/>
      <w:bookmarkStart w:id="298" w:name="_Toc195842895"/>
      <w:r/>
      <w:bookmarkStart w:id="299" w:name="_Toc520356155"/>
      <w:r/>
      <w:bookmarkStart w:id="300" w:name="_Toc151193628"/>
      <w:r/>
      <w:bookmarkStart w:id="301" w:name="_Toc142311032"/>
      <w:r/>
      <w:bookmarkStart w:id="302" w:name="_Toc164229225"/>
      <w:r/>
      <w:bookmarkStart w:id="303" w:name="_Toc151190157"/>
      <w:r/>
      <w:bookmarkStart w:id="304" w:name="_Toc127151731"/>
      <w:r/>
      <w:bookmarkStart w:id="305" w:name="_Toc164351624"/>
      <w:r/>
      <w:bookmarkStart w:id="306" w:name="_Toc151193700"/>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51193919"/>
      <w:r/>
      <w:bookmarkStart w:id="308" w:name="_Toc150480769"/>
      <w:r/>
      <w:bookmarkStart w:id="309" w:name="_Toc142311033"/>
      <w:r/>
      <w:bookmarkStart w:id="310" w:name="_Toc164608800"/>
      <w:r/>
      <w:bookmarkStart w:id="311" w:name="_Toc164351625"/>
      <w:r/>
      <w:bookmarkStart w:id="312" w:name="_Toc195842896"/>
      <w:r/>
      <w:bookmarkStart w:id="313" w:name="_Toc127151531"/>
      <w:r/>
      <w:bookmarkStart w:id="314" w:name="_Toc151193845"/>
      <w:r/>
      <w:bookmarkStart w:id="315" w:name="_Toc151193773"/>
      <w:r/>
      <w:bookmarkStart w:id="316" w:name="_Toc226965804"/>
      <w:r/>
      <w:bookmarkStart w:id="317" w:name="_Toc151193629"/>
      <w:r/>
      <w:bookmarkStart w:id="318" w:name="_Toc150774736"/>
      <w:r/>
      <w:bookmarkStart w:id="319" w:name="_Toc226309775"/>
      <w:r/>
      <w:bookmarkStart w:id="320" w:name="_Ref467306513"/>
      <w:r/>
      <w:bookmarkStart w:id="321" w:name="_Toc151193701"/>
      <w:r/>
      <w:bookmarkStart w:id="322" w:name="_Toc164229372"/>
      <w:r/>
      <w:bookmarkStart w:id="323" w:name="_Toc127151732"/>
      <w:r/>
      <w:bookmarkStart w:id="324" w:name="_Toc149720824"/>
      <w:r/>
      <w:bookmarkStart w:id="325" w:name="_Toc305158873"/>
      <w:r/>
      <w:bookmarkStart w:id="326" w:name="_Toc265228369"/>
      <w:r/>
      <w:bookmarkStart w:id="327" w:name="_Toc226337227"/>
      <w:r/>
      <w:bookmarkStart w:id="328" w:name="_Toc305158799"/>
      <w:r/>
      <w:bookmarkStart w:id="329" w:name="_Toc150774631"/>
      <w:r/>
      <w:bookmarkStart w:id="330" w:name="_Toc226965721"/>
      <w:r/>
      <w:bookmarkStart w:id="331" w:name="_Toc264969221"/>
      <w:r/>
      <w:bookmarkStart w:id="332" w:name="_Toc164608645"/>
      <w:r/>
      <w:bookmarkStart w:id="333" w:name="_Toc127161445"/>
      <w:r/>
      <w:bookmarkStart w:id="334" w:name="_Toc520356156"/>
      <w:r/>
      <w:bookmarkStart w:id="335" w:name="_Toc164229226"/>
      <w:r/>
      <w:bookmarkStart w:id="336" w:name="_Toc150509282"/>
      <w:r/>
      <w:bookmarkStart w:id="337" w:name="_Toc151190158"/>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100"/>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264969222"/>
      <w:r/>
      <w:bookmarkStart w:id="339" w:name="_Toc151193702"/>
      <w:r/>
      <w:bookmarkStart w:id="340" w:name="_Toc164608801"/>
      <w:r/>
      <w:bookmarkStart w:id="341" w:name="_Toc127151532"/>
      <w:r/>
      <w:bookmarkStart w:id="342" w:name="_Toc149720825"/>
      <w:r/>
      <w:bookmarkStart w:id="343" w:name="_Toc520356157"/>
      <w:r/>
      <w:bookmarkStart w:id="344" w:name="_Toc265228370"/>
      <w:r/>
      <w:bookmarkStart w:id="345" w:name="_Toc226965805"/>
      <w:r/>
      <w:bookmarkStart w:id="346" w:name="_Toc142311034"/>
      <w:r/>
      <w:bookmarkStart w:id="347" w:name="_Toc226337228"/>
      <w:r/>
      <w:bookmarkStart w:id="348" w:name="_Toc164229227"/>
      <w:r/>
      <w:bookmarkStart w:id="349" w:name="_Toc151193630"/>
      <w:r/>
      <w:bookmarkStart w:id="350" w:name="_Toc150774632"/>
      <w:r/>
      <w:bookmarkStart w:id="351" w:name="_Toc226965722"/>
      <w:r/>
      <w:bookmarkStart w:id="352" w:name="_Toc226309776"/>
      <w:r/>
      <w:bookmarkStart w:id="353" w:name="_Toc150480770"/>
      <w:r/>
      <w:bookmarkStart w:id="354" w:name="_Toc164229373"/>
      <w:r/>
      <w:bookmarkStart w:id="355" w:name="_Toc127151733"/>
      <w:r/>
      <w:bookmarkStart w:id="356" w:name="_Toc305158800"/>
      <w:r/>
      <w:bookmarkStart w:id="357" w:name="_Toc164351626"/>
      <w:r/>
      <w:bookmarkStart w:id="358" w:name="_Toc151193774"/>
      <w:r/>
      <w:bookmarkStart w:id="359" w:name="_Toc305158874"/>
      <w:r/>
      <w:bookmarkStart w:id="360" w:name="_Toc151190159"/>
      <w:r/>
      <w:bookmarkStart w:id="361" w:name="_Toc127161446"/>
      <w:r/>
      <w:bookmarkStart w:id="362" w:name="_Toc195842897"/>
      <w:r/>
      <w:bookmarkStart w:id="363" w:name="_Toc150509283"/>
      <w:r/>
      <w:bookmarkStart w:id="364" w:name="_Toc151193846"/>
      <w:r/>
      <w:bookmarkStart w:id="365" w:name="_Toc150774737"/>
      <w:r/>
      <w:bookmarkStart w:id="366" w:name="_Toc164608646"/>
      <w:r/>
      <w:bookmarkStart w:id="367" w:name="_Toc151193920"/>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0774738"/>
      <w:r/>
      <w:bookmarkStart w:id="369" w:name="_Toc151193703"/>
      <w:r/>
      <w:bookmarkStart w:id="370" w:name="_Toc305158875"/>
      <w:r/>
      <w:bookmarkStart w:id="371" w:name="_Toc151193631"/>
      <w:r/>
      <w:bookmarkStart w:id="372" w:name="_Toc164608802"/>
      <w:r/>
      <w:bookmarkStart w:id="373" w:name="_Toc127151734"/>
      <w:r/>
      <w:bookmarkStart w:id="374" w:name="_Toc127151533"/>
      <w:r/>
      <w:bookmarkStart w:id="375" w:name="_Toc164351627"/>
      <w:r/>
      <w:bookmarkStart w:id="376" w:name="_Toc164229228"/>
      <w:r/>
      <w:bookmarkStart w:id="377" w:name="_Toc226965806"/>
      <w:r/>
      <w:bookmarkStart w:id="378" w:name="_Toc151193775"/>
      <w:r/>
      <w:bookmarkStart w:id="379" w:name="_Toc150774633"/>
      <w:r/>
      <w:bookmarkStart w:id="380" w:name="_Toc226337229"/>
      <w:r/>
      <w:bookmarkStart w:id="381" w:name="_Toc265228371"/>
      <w:r/>
      <w:bookmarkStart w:id="382" w:name="_Toc151190160"/>
      <w:r/>
      <w:bookmarkStart w:id="383" w:name="_Toc164229374"/>
      <w:r/>
      <w:bookmarkStart w:id="384" w:name="_Toc264969223"/>
      <w:r/>
      <w:bookmarkStart w:id="385" w:name="_Toc226309777"/>
      <w:r/>
      <w:bookmarkStart w:id="386" w:name="_Toc226965723"/>
      <w:r/>
      <w:bookmarkStart w:id="387" w:name="_Toc164608647"/>
      <w:r/>
      <w:bookmarkStart w:id="388" w:name="_Toc520356158"/>
      <w:r/>
      <w:bookmarkStart w:id="389" w:name="_Toc149720826"/>
      <w:r/>
      <w:bookmarkStart w:id="390" w:name="_Toc305158801"/>
      <w:r/>
      <w:bookmarkStart w:id="391" w:name="_Toc151193921"/>
      <w:r/>
      <w:bookmarkStart w:id="392" w:name="_Toc151193847"/>
      <w:r/>
      <w:bookmarkStart w:id="393" w:name="_Toc150509284"/>
      <w:r/>
      <w:bookmarkStart w:id="394" w:name="_Toc195842898"/>
      <w:r/>
      <w:bookmarkStart w:id="395" w:name="_Toc142311035"/>
      <w:r/>
      <w:bookmarkStart w:id="396" w:name="_Toc150480771"/>
      <w:r/>
      <w:bookmarkStart w:id="397" w:name="_Toc127161447"/>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26965807"/>
      <w:r/>
      <w:bookmarkStart w:id="399" w:name="_Toc150480772"/>
      <w:r/>
      <w:bookmarkStart w:id="400" w:name="_Toc150774634"/>
      <w:r/>
      <w:bookmarkStart w:id="401" w:name="_Toc226965724"/>
      <w:r/>
      <w:bookmarkStart w:id="402" w:name="_Toc264969224"/>
      <w:r/>
      <w:bookmarkStart w:id="403" w:name="_Toc305158802"/>
      <w:r/>
      <w:bookmarkStart w:id="404" w:name="_Toc151193776"/>
      <w:r/>
      <w:bookmarkStart w:id="405" w:name="_Toc151193704"/>
      <w:r/>
      <w:bookmarkStart w:id="406" w:name="_Toc305158876"/>
      <w:r/>
      <w:bookmarkStart w:id="407" w:name="_Toc151190161"/>
      <w:r/>
      <w:bookmarkStart w:id="408" w:name="_Toc226337230"/>
      <w:r/>
      <w:bookmarkStart w:id="409" w:name="_Toc142311036"/>
      <w:r/>
      <w:bookmarkStart w:id="410" w:name="_Toc151193848"/>
      <w:r/>
      <w:bookmarkStart w:id="411" w:name="_Toc195842899"/>
      <w:r/>
      <w:bookmarkStart w:id="412" w:name="_Toc265228372"/>
      <w:r/>
      <w:bookmarkStart w:id="413" w:name="_Toc127151534"/>
      <w:r/>
      <w:bookmarkStart w:id="414" w:name="_Toc150509285"/>
      <w:r/>
      <w:bookmarkStart w:id="415" w:name="_Toc151193632"/>
      <w:r/>
      <w:bookmarkStart w:id="416" w:name="_Toc226309778"/>
      <w:r/>
      <w:bookmarkStart w:id="417" w:name="_Toc520356159"/>
      <w:r/>
      <w:bookmarkStart w:id="418" w:name="_Toc151193922"/>
      <w:r/>
      <w:bookmarkStart w:id="419" w:name="_Toc150774739"/>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100"/>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102"/>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0509286"/>
      <w:r/>
      <w:bookmarkStart w:id="421" w:name="_Toc151193849"/>
      <w:r/>
      <w:bookmarkStart w:id="422" w:name="_Toc195842900"/>
      <w:r/>
      <w:bookmarkStart w:id="423" w:name="_Toc150480773"/>
      <w:r/>
      <w:bookmarkStart w:id="424" w:name="_Toc164229376"/>
      <w:r/>
      <w:bookmarkStart w:id="425" w:name="_Toc226309779"/>
      <w:r/>
      <w:bookmarkStart w:id="426" w:name="_Toc226337231"/>
      <w:r/>
      <w:bookmarkStart w:id="427" w:name="_Toc164608804"/>
      <w:r/>
      <w:bookmarkStart w:id="428" w:name="_Toc151193633"/>
      <w:r/>
      <w:bookmarkStart w:id="429" w:name="_Toc264969225"/>
      <w:r/>
      <w:bookmarkStart w:id="430" w:name="_Toc151193923"/>
      <w:r/>
      <w:bookmarkStart w:id="431" w:name="_Toc127161449"/>
      <w:r/>
      <w:bookmarkStart w:id="432" w:name="_Toc142311037"/>
      <w:r/>
      <w:bookmarkStart w:id="433" w:name="_Toc520356160"/>
      <w:r/>
      <w:bookmarkStart w:id="434" w:name="_Toc164351629"/>
      <w:r/>
      <w:bookmarkStart w:id="435" w:name="_Toc226965725"/>
      <w:r/>
      <w:bookmarkStart w:id="436" w:name="_Toc149720828"/>
      <w:r/>
      <w:bookmarkStart w:id="437" w:name="_Toc265228373"/>
      <w:r/>
      <w:bookmarkStart w:id="438" w:name="_Toc127151736"/>
      <w:r/>
      <w:bookmarkStart w:id="439" w:name="_Toc164608649"/>
      <w:r/>
      <w:bookmarkStart w:id="440" w:name="_Toc150774635"/>
      <w:r/>
      <w:bookmarkStart w:id="441" w:name="_Toc151190162"/>
      <w:r/>
      <w:bookmarkStart w:id="442" w:name="_Toc151193777"/>
      <w:r/>
      <w:bookmarkStart w:id="443" w:name="_Toc305158803"/>
      <w:r/>
      <w:bookmarkStart w:id="444" w:name="_Toc151193705"/>
      <w:r/>
      <w:bookmarkStart w:id="445" w:name="_Toc305158877"/>
      <w:r/>
      <w:bookmarkStart w:id="446" w:name="_Toc164229230"/>
      <w:r/>
      <w:bookmarkStart w:id="447" w:name="_Toc150774740"/>
      <w:r/>
      <w:bookmarkStart w:id="448" w:name="_Toc226965808"/>
      <w:r/>
      <w:bookmarkStart w:id="449" w:name="_Toc127151535"/>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305158878"/>
      <w:r/>
      <w:bookmarkStart w:id="451" w:name="_Toc151193778"/>
      <w:r/>
      <w:bookmarkStart w:id="452" w:name="_Toc520356161"/>
      <w:r/>
      <w:bookmarkStart w:id="453" w:name="_Toc150509287"/>
      <w:r/>
      <w:bookmarkStart w:id="454" w:name="_Toc127151737"/>
      <w:r/>
      <w:bookmarkStart w:id="455" w:name="_Toc164351630"/>
      <w:r/>
      <w:bookmarkStart w:id="456" w:name="_Toc264969226"/>
      <w:r/>
      <w:bookmarkStart w:id="457" w:name="_Toc151193706"/>
      <w:r/>
      <w:bookmarkStart w:id="458" w:name="_Toc150774636"/>
      <w:r/>
      <w:bookmarkStart w:id="459" w:name="_Toc164608805"/>
      <w:r/>
      <w:bookmarkStart w:id="460" w:name="_Toc151193850"/>
      <w:r/>
      <w:bookmarkStart w:id="461" w:name="_Toc164608650"/>
      <w:r/>
      <w:bookmarkStart w:id="462" w:name="_Toc127151536"/>
      <w:r/>
      <w:bookmarkStart w:id="463" w:name="_Toc226337232"/>
      <w:r/>
      <w:bookmarkStart w:id="464" w:name="_Toc305158804"/>
      <w:r/>
      <w:bookmarkStart w:id="465" w:name="_Toc127161450"/>
      <w:r/>
      <w:bookmarkStart w:id="466" w:name="_Toc164229377"/>
      <w:r/>
      <w:bookmarkStart w:id="467" w:name="_Toc150480774"/>
      <w:r/>
      <w:bookmarkStart w:id="468" w:name="_Toc151193634"/>
      <w:r/>
      <w:bookmarkStart w:id="469" w:name="_Toc195842901"/>
      <w:r/>
      <w:bookmarkStart w:id="470" w:name="_Toc151193924"/>
      <w:r/>
      <w:bookmarkStart w:id="471" w:name="_Toc151190163"/>
      <w:r/>
      <w:bookmarkStart w:id="472" w:name="_Toc226965726"/>
      <w:r/>
      <w:bookmarkStart w:id="473" w:name="_Toc150774741"/>
      <w:r/>
      <w:bookmarkStart w:id="474" w:name="_Toc265228374"/>
      <w:r/>
      <w:bookmarkStart w:id="475" w:name="_Toc142311038"/>
      <w:r/>
      <w:bookmarkStart w:id="476" w:name="_Toc226309780"/>
      <w:r/>
      <w:bookmarkStart w:id="477" w:name="_Toc149720829"/>
      <w:r/>
      <w:bookmarkStart w:id="478" w:name="_Toc226965809"/>
      <w:r/>
      <w:bookmarkStart w:id="479" w:name="_Toc164229231"/>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1190164"/>
      <w:r/>
      <w:bookmarkStart w:id="481" w:name="_Toc226965727"/>
      <w:r/>
      <w:bookmarkStart w:id="482" w:name="_Toc127151738"/>
      <w:r/>
      <w:bookmarkStart w:id="483" w:name="_Toc151193851"/>
      <w:r/>
      <w:bookmarkStart w:id="484" w:name="_Toc150480775"/>
      <w:r/>
      <w:bookmarkStart w:id="485" w:name="_Toc264969227"/>
      <w:r/>
      <w:bookmarkStart w:id="486" w:name="_Toc226337233"/>
      <w:r/>
      <w:bookmarkStart w:id="487" w:name="_Toc195842902"/>
      <w:r/>
      <w:bookmarkStart w:id="488" w:name="_Toc520356162"/>
      <w:r/>
      <w:bookmarkStart w:id="489" w:name="_Toc305158879"/>
      <w:r/>
      <w:bookmarkStart w:id="490" w:name="_Toc164229378"/>
      <w:r/>
      <w:bookmarkStart w:id="491" w:name="_Toc226309781"/>
      <w:r/>
      <w:bookmarkStart w:id="492" w:name="_Toc127151537"/>
      <w:r/>
      <w:bookmarkStart w:id="493" w:name="_Toc164608651"/>
      <w:r/>
      <w:bookmarkStart w:id="494" w:name="_Toc151193779"/>
      <w:r/>
      <w:bookmarkStart w:id="495" w:name="_Toc164229232"/>
      <w:r/>
      <w:bookmarkStart w:id="496" w:name="_Toc150509288"/>
      <w:r/>
      <w:bookmarkStart w:id="497" w:name="_Toc151193635"/>
      <w:r/>
      <w:bookmarkStart w:id="498" w:name="_Toc127161451"/>
      <w:r/>
      <w:bookmarkStart w:id="499" w:name="_Toc305158805"/>
      <w:r/>
      <w:bookmarkStart w:id="500" w:name="_Toc151193707"/>
      <w:r/>
      <w:bookmarkStart w:id="501" w:name="_Toc150774637"/>
      <w:r/>
      <w:bookmarkStart w:id="502" w:name="_Toc151193925"/>
      <w:r/>
      <w:bookmarkStart w:id="503" w:name="_Toc142311039"/>
      <w:r/>
      <w:bookmarkStart w:id="504" w:name="_Toc265228375"/>
      <w:r/>
      <w:bookmarkStart w:id="505" w:name="_Toc164351631"/>
      <w:r/>
      <w:bookmarkStart w:id="506" w:name="_Toc226965810"/>
      <w:r/>
      <w:bookmarkStart w:id="507" w:name="_Toc149720830"/>
      <w:r/>
      <w:bookmarkStart w:id="508" w:name="_Toc164608806"/>
      <w:r/>
      <w:bookmarkStart w:id="509" w:name="_Toc150774742"/>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100"/>
        <w:ind w:firstLine="480"/>
        <w:spacing w:line="360" w:lineRule="auto"/>
        <w:rPr>
          <w:rFonts w:hint="eastAsia" w:ascii="宋体" w:hAnsi="宋体" w:cs="宋体"/>
          <w:sz w:val="24"/>
        </w:rPr>
      </w:pPr>
      <w:r>
        <w:rPr>
          <w:rFonts w:hint="eastAsia" w:ascii="宋体" w:hAnsi="宋体" w:cs="宋体"/>
          <w:sz w:val="24"/>
        </w:rPr>
      </w:r>
      <w:r/>
    </w:p>
    <w:p>
      <w:pPr>
        <w:pStyle w:val="1102"/>
        <w:ind w:firstLine="562"/>
        <w:spacing w:before="0" w:line="360" w:lineRule="auto"/>
        <w:rPr>
          <w:rFonts w:hint="eastAsia" w:ascii="宋体" w:hAnsi="宋体" w:eastAsia="宋体" w:cs="宋体"/>
          <w:sz w:val="28"/>
        </w:rPr>
      </w:pPr>
      <w:r/>
      <w:bookmarkStart w:id="510" w:name="_Toc151193852"/>
      <w:r/>
      <w:bookmarkStart w:id="511" w:name="_Toc150480776"/>
      <w:r/>
      <w:bookmarkStart w:id="512" w:name="_Toc265228376"/>
      <w:r/>
      <w:bookmarkStart w:id="513" w:name="_Toc226965728"/>
      <w:r/>
      <w:bookmarkStart w:id="514" w:name="_Toc150509289"/>
      <w:r/>
      <w:bookmarkStart w:id="515" w:name="_Toc151190165"/>
      <w:r/>
      <w:bookmarkStart w:id="516" w:name="_Toc151193636"/>
      <w:r/>
      <w:bookmarkStart w:id="517" w:name="_Toc150774638"/>
      <w:r/>
      <w:bookmarkStart w:id="518" w:name="_Toc195842903"/>
      <w:r/>
      <w:bookmarkStart w:id="519" w:name="_Toc226965811"/>
      <w:r/>
      <w:bookmarkStart w:id="520" w:name="_Toc142311040"/>
      <w:r/>
      <w:bookmarkStart w:id="521" w:name="_Toc520356163"/>
      <w:r/>
      <w:bookmarkStart w:id="522" w:name="_Toc127151538"/>
      <w:r/>
      <w:bookmarkStart w:id="523" w:name="_Toc151193926"/>
      <w:r/>
      <w:bookmarkStart w:id="524" w:name="_Toc226337234"/>
      <w:r/>
      <w:bookmarkStart w:id="525" w:name="_Toc151193780"/>
      <w:r/>
      <w:bookmarkStart w:id="526" w:name="_Toc150774743"/>
      <w:r/>
      <w:bookmarkStart w:id="527" w:name="_Toc226309782"/>
      <w:r/>
      <w:bookmarkStart w:id="528" w:name="_Toc305158880"/>
      <w:r/>
      <w:bookmarkStart w:id="529" w:name="_Toc151193708"/>
      <w:r/>
      <w:bookmarkStart w:id="530" w:name="_Toc264969228"/>
      <w:r/>
      <w:bookmarkStart w:id="531" w:name="_Toc305158806"/>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226309783"/>
      <w:r/>
      <w:bookmarkStart w:id="533" w:name="_Toc305158807"/>
      <w:r/>
      <w:bookmarkStart w:id="534" w:name="_Toc151193781"/>
      <w:r/>
      <w:bookmarkStart w:id="535" w:name="_Toc150774744"/>
      <w:r/>
      <w:bookmarkStart w:id="536" w:name="_Toc150509290"/>
      <w:r/>
      <w:bookmarkStart w:id="537" w:name="_Toc226337235"/>
      <w:r/>
      <w:bookmarkStart w:id="538" w:name="_Toc151193853"/>
      <w:r/>
      <w:bookmarkStart w:id="539" w:name="_Toc127161453"/>
      <w:r/>
      <w:bookmarkStart w:id="540" w:name="_Toc195842904"/>
      <w:r/>
      <w:bookmarkStart w:id="541" w:name="_Toc264969229"/>
      <w:r/>
      <w:bookmarkStart w:id="542" w:name="_Toc164608808"/>
      <w:r/>
      <w:bookmarkStart w:id="543" w:name="_Toc151193637"/>
      <w:r/>
      <w:bookmarkStart w:id="544" w:name="_Toc151193927"/>
      <w:r/>
      <w:bookmarkStart w:id="545" w:name="_Toc164229380"/>
      <w:r/>
      <w:bookmarkStart w:id="546" w:name="_Toc226965812"/>
      <w:r/>
      <w:bookmarkStart w:id="547" w:name="_Toc150774639"/>
      <w:r/>
      <w:bookmarkStart w:id="548" w:name="_Toc150480777"/>
      <w:r/>
      <w:bookmarkStart w:id="549" w:name="_Toc151190166"/>
      <w:r/>
      <w:bookmarkStart w:id="550" w:name="_Toc142311041"/>
      <w:r/>
      <w:bookmarkStart w:id="551" w:name="_Toc151193709"/>
      <w:r/>
      <w:bookmarkStart w:id="552" w:name="_Toc226965729"/>
      <w:r/>
      <w:bookmarkStart w:id="553" w:name="_Toc149720832"/>
      <w:r/>
      <w:bookmarkStart w:id="554" w:name="_Toc520356164"/>
      <w:r/>
      <w:bookmarkStart w:id="555" w:name="_Toc164351633"/>
      <w:r/>
      <w:bookmarkStart w:id="556" w:name="_Toc305158881"/>
      <w:r/>
      <w:bookmarkStart w:id="557" w:name="_Toc265228377"/>
      <w:r/>
      <w:bookmarkStart w:id="558" w:name="_Toc164229234"/>
      <w:r/>
      <w:bookmarkStart w:id="559" w:name="_Toc127151740"/>
      <w:r/>
      <w:bookmarkStart w:id="560" w:name="_Toc127151539"/>
      <w:r/>
      <w:bookmarkStart w:id="561" w:name="_Toc164608653"/>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100"/>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10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10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10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10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100"/>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51193782"/>
      <w:r/>
      <w:bookmarkStart w:id="564" w:name="_Toc164351634"/>
      <w:r/>
      <w:bookmarkStart w:id="565" w:name="_Toc226337236"/>
      <w:r/>
      <w:bookmarkStart w:id="566" w:name="_Toc164608809"/>
      <w:r/>
      <w:bookmarkStart w:id="567" w:name="_Toc195842905"/>
      <w:r/>
      <w:bookmarkStart w:id="568" w:name="_Toc150774640"/>
      <w:r/>
      <w:bookmarkStart w:id="569" w:name="_Toc305158808"/>
      <w:r/>
      <w:bookmarkStart w:id="570" w:name="_Toc164229235"/>
      <w:r/>
      <w:bookmarkStart w:id="571" w:name="_Toc226965730"/>
      <w:r/>
      <w:bookmarkStart w:id="572" w:name="_Toc151193710"/>
      <w:r/>
      <w:bookmarkStart w:id="573" w:name="_Toc265228378"/>
      <w:r/>
      <w:bookmarkStart w:id="574" w:name="_Toc150774745"/>
      <w:r/>
      <w:bookmarkStart w:id="575" w:name="_Toc305158882"/>
      <w:r/>
      <w:bookmarkStart w:id="576" w:name="_Toc151190167"/>
      <w:r/>
      <w:bookmarkStart w:id="577" w:name="_Toc264969230"/>
      <w:r/>
      <w:bookmarkStart w:id="578" w:name="_Toc226309784"/>
      <w:r/>
      <w:bookmarkStart w:id="579" w:name="_Toc164608654"/>
      <w:r/>
      <w:bookmarkStart w:id="580" w:name="_Toc151193638"/>
      <w:r/>
      <w:bookmarkStart w:id="581" w:name="_Toc150509291"/>
      <w:r/>
      <w:bookmarkStart w:id="582" w:name="_Toc151193854"/>
      <w:r/>
      <w:bookmarkStart w:id="583" w:name="_Toc142311042"/>
      <w:r/>
      <w:bookmarkStart w:id="584" w:name="_Toc127151540"/>
      <w:r/>
      <w:bookmarkStart w:id="585" w:name="_Toc127151741"/>
      <w:r/>
      <w:bookmarkStart w:id="586" w:name="_Toc226965813"/>
      <w:r/>
      <w:bookmarkStart w:id="587" w:name="_Toc150480778"/>
      <w:r/>
      <w:bookmarkStart w:id="588" w:name="_Toc127161454"/>
      <w:r/>
      <w:bookmarkStart w:id="589" w:name="_Toc149720833"/>
      <w:r/>
      <w:bookmarkStart w:id="590" w:name="_Toc164229381"/>
      <w:r/>
      <w:bookmarkStart w:id="591" w:name="_Toc151193928"/>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100"/>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102"/>
        <w:ind w:firstLine="562"/>
        <w:spacing w:before="0" w:line="360" w:lineRule="auto"/>
        <w:rPr>
          <w:rFonts w:hint="eastAsia" w:ascii="宋体" w:hAnsi="宋体" w:eastAsia="宋体" w:cs="宋体"/>
          <w:sz w:val="28"/>
        </w:rPr>
      </w:pPr>
      <w:r/>
      <w:bookmarkStart w:id="594" w:name="_Toc151193933"/>
      <w:r/>
      <w:bookmarkStart w:id="595" w:name="_Toc226965818"/>
      <w:r/>
      <w:bookmarkStart w:id="596" w:name="_Toc195842910"/>
      <w:r/>
      <w:bookmarkStart w:id="597" w:name="_Toc127151545"/>
      <w:r/>
      <w:bookmarkStart w:id="598" w:name="_Toc151190172"/>
      <w:r/>
      <w:bookmarkStart w:id="599" w:name="_Toc150774645"/>
      <w:r/>
      <w:bookmarkStart w:id="600" w:name="_Toc142311047"/>
      <w:r/>
      <w:bookmarkStart w:id="601" w:name="_Toc226337241"/>
      <w:r/>
      <w:bookmarkStart w:id="602" w:name="_Toc151193859"/>
      <w:r/>
      <w:bookmarkStart w:id="603" w:name="_Toc265228383"/>
      <w:r/>
      <w:bookmarkStart w:id="604" w:name="_Toc150480783"/>
      <w:r/>
      <w:bookmarkStart w:id="605" w:name="_Toc226965735"/>
      <w:r/>
      <w:bookmarkStart w:id="606" w:name="_Toc264969235"/>
      <w:r/>
      <w:bookmarkStart w:id="607" w:name="_Toc151193787"/>
      <w:r/>
      <w:bookmarkStart w:id="608" w:name="_Toc305158813"/>
      <w:r/>
      <w:bookmarkStart w:id="609" w:name="_Toc226309789"/>
      <w:r/>
      <w:bookmarkStart w:id="610" w:name="_Toc150509296"/>
      <w:r/>
      <w:bookmarkStart w:id="611" w:name="_Toc151193643"/>
      <w:r/>
      <w:bookmarkStart w:id="612" w:name="_Toc151193715"/>
      <w:r/>
      <w:bookmarkStart w:id="613" w:name="_Toc150774750"/>
      <w:r/>
      <w:bookmarkStart w:id="614" w:name="_Toc305158887"/>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608661"/>
      <w:r/>
      <w:bookmarkStart w:id="616" w:name="_Toc305158889"/>
      <w:r/>
      <w:bookmarkStart w:id="617" w:name="_Toc151193789"/>
      <w:r/>
      <w:bookmarkStart w:id="618" w:name="_Toc127151748"/>
      <w:r/>
      <w:bookmarkStart w:id="619" w:name="_Toc305158815"/>
      <w:r/>
      <w:bookmarkStart w:id="620" w:name="_Toc265228385"/>
      <w:r/>
      <w:bookmarkStart w:id="621" w:name="_Toc226965820"/>
      <w:r/>
      <w:bookmarkStart w:id="622" w:name="_Toc150774752"/>
      <w:r/>
      <w:bookmarkStart w:id="623" w:name="_Toc264969237"/>
      <w:r/>
      <w:bookmarkStart w:id="624" w:name="_Toc150480785"/>
      <w:r/>
      <w:bookmarkStart w:id="625" w:name="_Toc226309791"/>
      <w:r/>
      <w:bookmarkStart w:id="626" w:name="_Toc127161461"/>
      <w:r/>
      <w:bookmarkStart w:id="627" w:name="_Toc151193717"/>
      <w:r/>
      <w:bookmarkStart w:id="628" w:name="_Toc164229242"/>
      <w:r/>
      <w:bookmarkStart w:id="629" w:name="_Toc151193861"/>
      <w:r/>
      <w:bookmarkStart w:id="630" w:name="_Toc142311049"/>
      <w:r/>
      <w:bookmarkStart w:id="631" w:name="_Toc150509298"/>
      <w:r/>
      <w:bookmarkStart w:id="632" w:name="_Toc164351641"/>
      <w:r/>
      <w:bookmarkStart w:id="633" w:name="_Toc164608816"/>
      <w:r/>
      <w:bookmarkStart w:id="634" w:name="_Toc149720840"/>
      <w:r/>
      <w:bookmarkStart w:id="635" w:name="_Toc150774647"/>
      <w:r/>
      <w:bookmarkStart w:id="636" w:name="_Toc226965737"/>
      <w:r/>
      <w:bookmarkStart w:id="637" w:name="_Toc127151547"/>
      <w:r/>
      <w:bookmarkStart w:id="638" w:name="_Toc195842912"/>
      <w:r/>
      <w:bookmarkStart w:id="639" w:name="_Toc164229388"/>
      <w:r/>
      <w:bookmarkStart w:id="640" w:name="_Toc151190174"/>
      <w:r/>
      <w:bookmarkStart w:id="641" w:name="_Toc226337243"/>
      <w:r/>
      <w:bookmarkStart w:id="642" w:name="_Toc151193645"/>
      <w:r/>
      <w:bookmarkStart w:id="643" w:name="_Toc151193935"/>
      <w:r>
        <w:rPr>
          <w:rFonts w:hint="eastAsia" w:ascii="宋体" w:hAnsi="宋体" w:eastAsia="宋体" w:cs="宋体"/>
          <w:sz w:val="28"/>
        </w:rPr>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0774649"/>
      <w:r/>
      <w:bookmarkStart w:id="645" w:name="_Toc127161463"/>
      <w:r/>
      <w:bookmarkStart w:id="646" w:name="_Toc150509300"/>
      <w:r/>
      <w:bookmarkStart w:id="647" w:name="_Toc164351643"/>
      <w:r/>
      <w:bookmarkStart w:id="648" w:name="_Toc226309793"/>
      <w:r/>
      <w:bookmarkStart w:id="649" w:name="_Toc226965739"/>
      <w:r/>
      <w:bookmarkStart w:id="650" w:name="_Toc305158891"/>
      <w:r/>
      <w:bookmarkStart w:id="651" w:name="_Toc142311051"/>
      <w:r/>
      <w:bookmarkStart w:id="652" w:name="_Ref467307090"/>
      <w:r/>
      <w:bookmarkStart w:id="653" w:name="_Ref467306425"/>
      <w:r/>
      <w:bookmarkStart w:id="654" w:name="_Toc520356176"/>
      <w:r/>
      <w:bookmarkStart w:id="655" w:name="_Toc151193791"/>
      <w:r/>
      <w:bookmarkStart w:id="656" w:name="_Toc149720842"/>
      <w:r/>
      <w:bookmarkStart w:id="657" w:name="_Toc151193647"/>
      <w:r/>
      <w:bookmarkStart w:id="658" w:name="_Toc265228387"/>
      <w:r/>
      <w:bookmarkStart w:id="659" w:name="_Toc150480787"/>
      <w:r/>
      <w:bookmarkStart w:id="660" w:name="_Toc151193719"/>
      <w:r/>
      <w:bookmarkStart w:id="661" w:name="_Toc305158817"/>
      <w:r/>
      <w:bookmarkStart w:id="662" w:name="_Toc164608663"/>
      <w:r/>
      <w:bookmarkStart w:id="663" w:name="_Toc127151549"/>
      <w:r/>
      <w:bookmarkStart w:id="664" w:name="_Toc151190176"/>
      <w:r/>
      <w:bookmarkStart w:id="665" w:name="_Toc164229244"/>
      <w:r/>
      <w:bookmarkStart w:id="666" w:name="_Toc226337245"/>
      <w:r/>
      <w:bookmarkStart w:id="667" w:name="_Toc264969239"/>
      <w:r/>
      <w:bookmarkStart w:id="668" w:name="_Toc164608818"/>
      <w:r/>
      <w:bookmarkStart w:id="669" w:name="_Toc195842914"/>
      <w:r/>
      <w:bookmarkStart w:id="670" w:name="_Toc151193937"/>
      <w:r/>
      <w:bookmarkStart w:id="671" w:name="_Toc151193863"/>
      <w:r/>
      <w:bookmarkStart w:id="672" w:name="_Toc164229390"/>
      <w:r/>
      <w:bookmarkStart w:id="673" w:name="_Toc150774754"/>
      <w:r/>
      <w:bookmarkStart w:id="674" w:name="_Toc127151750"/>
      <w:r/>
      <w:bookmarkStart w:id="675" w:name="_Toc226965822"/>
      <w:r>
        <w:rPr>
          <w:rFonts w:hint="eastAsia" w:ascii="宋体" w:hAnsi="宋体" w:cs="宋体"/>
          <w:b/>
          <w:sz w:val="24"/>
        </w:rPr>
        <w:t xml:space="preserve">中标公告与中标通知书</w:t>
      </w:r>
      <w:bookmarkEnd w:id="650"/>
      <w:r/>
      <w:bookmarkEnd w:id="661"/>
      <w:r>
        <w:rPr>
          <w:rFonts w:hint="eastAsia" w:ascii="宋体" w:hAnsi="宋体" w:cs="宋体"/>
          <w:b/>
          <w:sz w:val="24"/>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100"/>
        <w:numPr>
          <w:ilvl w:val="2"/>
          <w:numId w:val="9"/>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520356175"/>
      <w:r/>
      <w:bookmarkStart w:id="677" w:name="_Toc164229391"/>
      <w:r/>
      <w:bookmarkStart w:id="678" w:name="_Toc226337246"/>
      <w:r/>
      <w:bookmarkStart w:id="679" w:name="_Toc195842915"/>
      <w:r/>
      <w:bookmarkStart w:id="680" w:name="_Toc149720843"/>
      <w:r/>
      <w:bookmarkStart w:id="681" w:name="_Toc151190177"/>
      <w:r/>
      <w:bookmarkStart w:id="682" w:name="_Toc226309794"/>
      <w:r/>
      <w:bookmarkStart w:id="683" w:name="_Ref467306978"/>
      <w:r/>
      <w:bookmarkStart w:id="684" w:name="_Toc151193864"/>
      <w:r/>
      <w:bookmarkStart w:id="685" w:name="_Toc226965740"/>
      <w:r/>
      <w:bookmarkStart w:id="686" w:name="_Toc151193648"/>
      <w:r/>
      <w:bookmarkStart w:id="687" w:name="_Toc142311052"/>
      <w:r/>
      <w:bookmarkStart w:id="688" w:name="_Toc265228388"/>
      <w:r/>
      <w:bookmarkStart w:id="689" w:name="_Toc305158818"/>
      <w:r/>
      <w:bookmarkStart w:id="690" w:name="_Ref467307204"/>
      <w:r/>
      <w:bookmarkStart w:id="691" w:name="_Toc150480788"/>
      <w:r/>
      <w:bookmarkStart w:id="692" w:name="_Toc151193720"/>
      <w:r/>
      <w:bookmarkStart w:id="693" w:name="_Toc164608664"/>
      <w:r/>
      <w:bookmarkStart w:id="694" w:name="_Toc164351644"/>
      <w:r/>
      <w:bookmarkStart w:id="695" w:name="_Toc127161464"/>
      <w:r/>
      <w:bookmarkStart w:id="696" w:name="_Toc305158892"/>
      <w:r/>
      <w:bookmarkStart w:id="697" w:name="_Toc164608819"/>
      <w:r/>
      <w:bookmarkStart w:id="698" w:name="_Toc264969240"/>
      <w:r/>
      <w:bookmarkStart w:id="699" w:name="_Toc127151550"/>
      <w:r/>
      <w:bookmarkStart w:id="700" w:name="_Toc150774755"/>
      <w:r/>
      <w:bookmarkStart w:id="701" w:name="_Toc151193792"/>
      <w:r/>
      <w:bookmarkStart w:id="702" w:name="_Toc151193938"/>
      <w:r/>
      <w:bookmarkStart w:id="703" w:name="_Toc226965823"/>
      <w:r/>
      <w:bookmarkStart w:id="704" w:name="_Toc150509301"/>
      <w:r/>
      <w:bookmarkStart w:id="705" w:name="_Toc127151751"/>
      <w:r/>
      <w:bookmarkStart w:id="706" w:name="_Toc150774650"/>
      <w:r/>
      <w:bookmarkStart w:id="707" w:name="_Toc164229245"/>
      <w:r/>
      <w:bookmarkStart w:id="708" w:name="_Ref467307062"/>
      <w:r/>
      <w:bookmarkStart w:id="709" w:name="_Ref467306377"/>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100"/>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100"/>
        <w:numPr>
          <w:ilvl w:val="2"/>
          <w:numId w:val="9"/>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76"/>
          <w:rFonts w:hint="eastAsia" w:ascii="宋体" w:hAnsi="宋体" w:cs="宋体"/>
          <w:color w:val="000000"/>
        </w:rPr>
        <w:t xml:space="preserve">http://gk</w:t>
      </w:r>
      <w:bookmarkStart w:id="710" w:name="_Hlt100654014"/>
      <w:r>
        <w:rPr>
          <w:rStyle w:val="1176"/>
          <w:rFonts w:hint="eastAsia" w:ascii="宋体" w:hAnsi="宋体" w:cs="宋体"/>
          <w:color w:val="000000"/>
        </w:rPr>
        <w:t xml:space="preserve">s</w:t>
      </w:r>
      <w:bookmarkEnd w:id="710"/>
      <w:r>
        <w:rPr>
          <w:rStyle w:val="1176"/>
          <w:rFonts w:hint="eastAsia" w:ascii="宋体" w:hAnsi="宋体" w:cs="宋体"/>
          <w:color w:val="000000"/>
        </w:rPr>
        <w:t xml:space="preserve">.m</w:t>
      </w:r>
      <w:bookmarkStart w:id="711" w:name="_Hlt100653993"/>
      <w:r/>
      <w:bookmarkStart w:id="712" w:name="_Hlt100653994"/>
      <w:r>
        <w:rPr>
          <w:rStyle w:val="1176"/>
          <w:rFonts w:hint="eastAsia" w:ascii="宋体" w:hAnsi="宋体" w:cs="宋体"/>
          <w:color w:val="000000"/>
        </w:rPr>
        <w:t xml:space="preserve">o</w:t>
      </w:r>
      <w:bookmarkEnd w:id="711"/>
      <w:r/>
      <w:bookmarkEnd w:id="712"/>
      <w:r>
        <w:rPr>
          <w:rStyle w:val="1176"/>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100"/>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100"/>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10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100"/>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100"/>
        <w:jc w:val="center"/>
        <w:spacing w:line="360" w:lineRule="auto"/>
        <w:rPr>
          <w:rFonts w:hint="eastAsia" w:ascii="宋体" w:hAnsi="宋体" w:cs="宋体"/>
          <w:b/>
          <w:sz w:val="36"/>
          <w:szCs w:val="36"/>
        </w:rPr>
        <w:outlineLvl w:val="0"/>
      </w:pPr>
      <w:r/>
      <w:bookmarkStart w:id="713" w:name="_Toc226337250"/>
      <w:r/>
      <w:bookmarkStart w:id="714" w:name="_Toc305158822"/>
      <w:r/>
      <w:bookmarkStart w:id="715" w:name="_Toc353873934"/>
      <w:r/>
      <w:bookmarkStart w:id="716" w:name="_Toc127151554"/>
      <w:r/>
      <w:bookmarkStart w:id="717" w:name="_Toc150480792"/>
      <w:r/>
      <w:bookmarkStart w:id="718" w:name="_Toc353873664"/>
      <w:r/>
      <w:bookmarkStart w:id="719" w:name="_Toc264969244"/>
      <w:r/>
      <w:bookmarkStart w:id="720" w:name="_Toc353825544"/>
      <w:r/>
      <w:bookmarkStart w:id="721" w:name="_Toc305158896"/>
      <w:r/>
      <w:bookmarkStart w:id="722" w:name="_Toc142311056"/>
      <w:r/>
      <w:bookmarkStart w:id="723" w:name="_Toc150774759"/>
      <w:r/>
      <w:bookmarkStart w:id="724" w:name="_Toc265228392"/>
      <w:r/>
      <w:bookmarkStart w:id="725" w:name="_Toc226965827"/>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100"/>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100"/>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100"/>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100"/>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100"/>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100"/>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100"/>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1100"/>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1100"/>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100"/>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100"/>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100"/>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100"/>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100"/>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100"/>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100"/>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100"/>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100"/>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67"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596"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1、投标人单独投标的，应提供中小企业声明函；如为监狱企业或残疾人福利性单位，不必提供中小企业声明函，但须按注1或注2要求提供证明材料。</w:t>
            </w:r>
            <w:r/>
          </w:p>
          <w:p>
            <w:pPr>
              <w:pStyle w:val="1100"/>
              <w:tabs>
                <w:tab w:val="left" w:pos="1080" w:leader="none"/>
              </w:tabs>
              <w:rPr>
                <w:rFonts w:hint="eastAsia" w:ascii="宋体" w:hAnsi="宋体" w:cs="宋体"/>
                <w:sz w:val="24"/>
              </w:rPr>
            </w:pPr>
            <w:r>
              <w:rPr>
                <w:rFonts w:hint="eastAsia" w:ascii="宋体" w:hAnsi="宋体" w:cs="宋体"/>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pStyle w:val="1100"/>
              <w:tabs>
                <w:tab w:val="left" w:pos="1080" w:leader="none"/>
              </w:tabs>
              <w:rPr>
                <w:rFonts w:hint="eastAsia" w:ascii="宋体" w:hAnsi="宋体" w:cs="宋体"/>
                <w:sz w:val="24"/>
              </w:rPr>
            </w:pPr>
            <w:r>
              <w:rPr>
                <w:rFonts w:hint="eastAsia" w:ascii="宋体" w:hAnsi="宋体" w:cs="宋体"/>
                <w:sz w:val="24"/>
              </w:rPr>
            </w:r>
            <w:r/>
          </w:p>
          <w:p>
            <w:pPr>
              <w:pStyle w:val="1100"/>
              <w:tabs>
                <w:tab w:val="left" w:pos="1080" w:leader="none"/>
              </w:tabs>
              <w:rPr>
                <w:rFonts w:hint="eastAsia" w:ascii="宋体" w:hAnsi="宋体" w:cs="宋体"/>
                <w:sz w:val="24"/>
              </w:rPr>
            </w:pPr>
            <w:r>
              <w:rPr>
                <w:rFonts w:hint="eastAsia" w:ascii="宋体" w:hAnsi="宋体" w:cs="宋体"/>
                <w:sz w:val="24"/>
              </w:rPr>
              <w:t xml:space="preserve">注1：监狱企业须提供由省级以上监狱管理局（常州市含教育矫治局）、戒毒管理局（含新疆生产建设兵团）出具的属于监狱企业的证明文件。</w:t>
            </w:r>
            <w:r/>
          </w:p>
          <w:p>
            <w:pPr>
              <w:pStyle w:val="1100"/>
              <w:tabs>
                <w:tab w:val="left" w:pos="1080" w:leader="none"/>
              </w:tabs>
              <w:rPr>
                <w:rFonts w:hint="eastAsia" w:ascii="宋体" w:hAnsi="宋体" w:cs="宋体"/>
                <w:sz w:val="24"/>
              </w:rPr>
            </w:pPr>
            <w:r>
              <w:rPr>
                <w:rFonts w:hint="eastAsia" w:ascii="宋体" w:hAnsi="宋体" w:cs="宋体"/>
                <w:sz w:val="24"/>
              </w:rPr>
              <w:t xml:space="preserve">注2：残疾人福利性单位须按招标文件要求提供《残疾人福利性单位声明函》。</w:t>
            </w:r>
            <w:r/>
          </w:p>
        </w:tc>
        <w:tc>
          <w:tcPr>
            <w:tcW w:w="882"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100"/>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r>
            <w:r/>
          </w:p>
        </w:tc>
        <w:tc>
          <w:tcPr>
            <w:tcW w:w="1067"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100"/>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r>
            <w:r/>
          </w:p>
        </w:tc>
      </w:tr>
      <w:tr>
        <w:trPr>
          <w:cantSplit/>
          <w:trHeight w:val="4548"/>
        </w:trPr>
        <w:tc>
          <w:tcPr>
            <w:tcW w:w="455" w:type="pct"/>
            <w:vAlign w:val="center"/>
            <w:textDirection w:val="lrTb"/>
            <w:noWrap w:val="false"/>
          </w:tcPr>
          <w:p>
            <w:pPr>
              <w:pStyle w:val="1100"/>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67"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是否接受联合体投标</w:t>
            </w:r>
            <w:r/>
          </w:p>
        </w:tc>
        <w:tc>
          <w:tcPr>
            <w:tcW w:w="2596"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pStyle w:val="1100"/>
              <w:tabs>
                <w:tab w:val="left" w:pos="1080" w:leader="none"/>
              </w:tabs>
              <w:rPr>
                <w:rFonts w:hint="eastAsia" w:ascii="宋体" w:hAnsi="宋体" w:cs="宋体"/>
                <w:sz w:val="24"/>
              </w:rPr>
            </w:pPr>
            <w:r>
              <w:rPr>
                <w:rFonts w:hint="eastAsia" w:ascii="宋体" w:hAnsi="宋体" w:cs="宋体"/>
                <w:sz w:val="24"/>
              </w:rPr>
              <w:t xml:space="preserve">2、联合体各成员单位均须提供本表中序号1-1、1-2的证明文件。</w:t>
            </w:r>
            <w:r/>
          </w:p>
          <w:p>
            <w:pPr>
              <w:pStyle w:val="1100"/>
              <w:tabs>
                <w:tab w:val="left" w:pos="1080" w:leader="none"/>
              </w:tabs>
              <w:rPr>
                <w:rFonts w:hint="eastAsia" w:ascii="宋体" w:hAnsi="宋体" w:cs="宋体"/>
                <w:sz w:val="24"/>
              </w:rPr>
            </w:pPr>
            <w:r>
              <w:rPr>
                <w:rFonts w:hint="eastAsia" w:ascii="宋体" w:hAnsi="宋体" w:cs="宋体"/>
                <w:sz w:val="24"/>
              </w:rPr>
              <w:t xml:space="preserve">3、本表序号3-2项规定的其他特定资格要求中的每一小项要求，联合体各方中至少应当有一方符合本表中其他资格要求并提供证明文件。</w:t>
            </w:r>
            <w:r/>
          </w:p>
          <w:p>
            <w:pPr>
              <w:pStyle w:val="1100"/>
              <w:tabs>
                <w:tab w:val="left" w:pos="1080" w:leader="none"/>
              </w:tabs>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p>
          <w:p>
            <w:pPr>
              <w:pStyle w:val="1100"/>
              <w:tabs>
                <w:tab w:val="left" w:pos="1080" w:leader="none"/>
              </w:tabs>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p>
          <w:p>
            <w:pPr>
              <w:pStyle w:val="1100"/>
              <w:tabs>
                <w:tab w:val="left" w:pos="1080" w:leader="none"/>
              </w:tabs>
              <w:rPr>
                <w:rFonts w:hint="eastAsia" w:ascii="宋体" w:hAnsi="宋体" w:cs="宋体"/>
                <w:sz w:val="24"/>
              </w:rPr>
            </w:pPr>
            <w:r>
              <w:rPr>
                <w:rFonts w:hint="eastAsia" w:ascii="宋体" w:hAnsi="宋体" w:cs="宋体"/>
                <w:sz w:val="24"/>
              </w:rPr>
              <w:t xml:space="preserve">6、若联合体中任一成员单位中途退出，则该联合体的</w:t>
            </w:r>
            <w:r>
              <w:rPr>
                <w:rFonts w:hint="eastAsia" w:ascii="宋体" w:hAnsi="宋体" w:cs="宋体"/>
                <w:b/>
                <w:sz w:val="24"/>
              </w:rPr>
              <w:t xml:space="preserve">投标无效</w:t>
            </w:r>
            <w:r>
              <w:rPr>
                <w:rFonts w:hint="eastAsia" w:ascii="宋体" w:hAnsi="宋体" w:cs="宋体"/>
                <w:sz w:val="24"/>
              </w:rPr>
              <w:t xml:space="preserve">。</w:t>
            </w:r>
            <w:r/>
          </w:p>
          <w:p>
            <w:pPr>
              <w:pStyle w:val="1100"/>
              <w:tabs>
                <w:tab w:val="left" w:pos="1080" w:leader="none"/>
              </w:tabs>
              <w:rPr>
                <w:rFonts w:hint="eastAsia" w:ascii="宋体" w:hAnsi="宋体" w:cs="宋体"/>
                <w:sz w:val="24"/>
              </w:rPr>
            </w:pPr>
            <w:r>
              <w:rPr>
                <w:rFonts w:hint="eastAsia" w:ascii="宋体" w:hAnsi="宋体" w:cs="宋体"/>
                <w:sz w:val="24"/>
              </w:rPr>
              <w:t xml:space="preserve">7、本项目不接受联合体投标时，投标人不得为联合体。</w:t>
            </w:r>
            <w:r/>
          </w:p>
        </w:tc>
        <w:tc>
          <w:tcPr>
            <w:tcW w:w="882"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提供《联合协议》原件的电子件</w:t>
            </w:r>
            <w:r/>
          </w:p>
          <w:p>
            <w:pPr>
              <w:pStyle w:val="1100"/>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0"/>
        </w:trPr>
        <w:tc>
          <w:tcPr>
            <w:tcW w:w="455" w:type="pct"/>
            <w:vAlign w:val="center"/>
            <w:textDirection w:val="lrTb"/>
            <w:noWrap w:val="false"/>
          </w:tcPr>
          <w:p>
            <w:pPr>
              <w:pStyle w:val="1100"/>
              <w:jc w:val="center"/>
              <w:tabs>
                <w:tab w:val="left" w:pos="1080" w:leader="none"/>
              </w:tabs>
              <w:rPr>
                <w:rFonts w:hint="eastAsia" w:ascii="宋体" w:hAnsi="宋体" w:cs="宋体"/>
                <w:sz w:val="24"/>
              </w:rPr>
            </w:pPr>
            <w:r>
              <w:rPr>
                <w:rFonts w:hint="eastAsia" w:ascii="宋体" w:hAnsi="宋体" w:cs="宋体"/>
                <w:sz w:val="24"/>
              </w:rPr>
              <w:t xml:space="preserve">3-2</w:t>
            </w:r>
            <w:r/>
          </w:p>
        </w:tc>
        <w:tc>
          <w:tcPr>
            <w:tcW w:w="1067"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10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100"/>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226965858"/>
      <w:r/>
      <w:bookmarkStart w:id="732" w:name="_Toc127151779"/>
      <w:r/>
      <w:bookmarkStart w:id="733" w:name="_Toc353873940"/>
      <w:r/>
      <w:bookmarkStart w:id="734" w:name="_Toc353825550"/>
      <w:r>
        <w:rPr>
          <w:rFonts w:hint="eastAsia" w:ascii="宋体" w:hAnsi="宋体" w:cs="宋体"/>
          <w:sz w:val="24"/>
        </w:rPr>
        <w:br w:type="page" w:clear="all"/>
      </w:r>
      <w:r/>
    </w:p>
    <w:p>
      <w:pPr>
        <w:pStyle w:val="1100"/>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100"/>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100"/>
        <w:numPr>
          <w:ilvl w:val="0"/>
          <w:numId w:val="13"/>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49720834"/>
      <w:r/>
      <w:bookmarkStart w:id="738" w:name="_Toc164229382"/>
      <w:r/>
      <w:bookmarkStart w:id="739" w:name="_Toc151193929"/>
      <w:r/>
      <w:bookmarkStart w:id="740" w:name="_Toc150774641"/>
      <w:r/>
      <w:bookmarkStart w:id="741" w:name="_Toc142311043"/>
      <w:r/>
      <w:bookmarkStart w:id="742" w:name="_Toc151193711"/>
      <w:r/>
      <w:bookmarkStart w:id="743" w:name="_Toc150774746"/>
      <w:r/>
      <w:bookmarkStart w:id="744" w:name="_Toc226965731"/>
      <w:r/>
      <w:bookmarkStart w:id="745" w:name="_Toc151190168"/>
      <w:r/>
      <w:bookmarkStart w:id="746" w:name="_Toc164608810"/>
      <w:r/>
      <w:bookmarkStart w:id="747" w:name="_Toc127161455"/>
      <w:r/>
      <w:bookmarkStart w:id="748" w:name="_Toc226337237"/>
      <w:r/>
      <w:bookmarkStart w:id="749" w:name="_Toc164229236"/>
      <w:r/>
      <w:bookmarkStart w:id="750" w:name="_Toc265228379"/>
      <w:r/>
      <w:bookmarkStart w:id="751" w:name="_Toc151193855"/>
      <w:r/>
      <w:bookmarkStart w:id="752" w:name="_Toc127151742"/>
      <w:r/>
      <w:bookmarkStart w:id="753" w:name="_Toc195842906"/>
      <w:r/>
      <w:bookmarkStart w:id="754" w:name="_Toc150480779"/>
      <w:r/>
      <w:bookmarkStart w:id="755" w:name="_Toc226965814"/>
      <w:r/>
      <w:bookmarkStart w:id="756" w:name="_Toc151193639"/>
      <w:r/>
      <w:bookmarkStart w:id="757" w:name="_Toc127151541"/>
      <w:r/>
      <w:bookmarkStart w:id="758" w:name="_Toc264969231"/>
      <w:r/>
      <w:bookmarkStart w:id="759" w:name="_Toc164351635"/>
      <w:r/>
      <w:bookmarkStart w:id="760" w:name="_Toc305158809"/>
      <w:r/>
      <w:bookmarkStart w:id="761" w:name="_Toc226309785"/>
      <w:r/>
      <w:bookmarkStart w:id="762" w:name="_Toc164608655"/>
      <w:r/>
      <w:bookmarkStart w:id="763" w:name="_Toc151193783"/>
      <w:r/>
      <w:bookmarkStart w:id="764" w:name="_Toc150509292"/>
      <w:r/>
      <w:bookmarkStart w:id="765" w:name="_Toc305158883"/>
      <w:r/>
      <w:bookmarkStart w:id="766" w:name="_Toc353825551"/>
      <w:r/>
      <w:bookmarkStart w:id="767" w:name="_Toc353873941"/>
      <w:r/>
      <w:bookmarkStart w:id="768" w:name="_Toc142311057"/>
      <w:r/>
      <w:bookmarkStart w:id="769" w:name="_Toc353873665"/>
      <w:r/>
      <w:bookmarkStart w:id="770" w:name="_Toc150480793"/>
      <w:r/>
      <w:bookmarkStart w:id="771" w:name="_Toc226965828"/>
      <w:r/>
      <w:bookmarkStart w:id="772" w:name="_Toc264969245"/>
      <w:r/>
      <w:bookmarkStart w:id="773" w:name="_Toc226337251"/>
      <w:r/>
      <w:bookmarkStart w:id="774" w:name="_Toc127151555"/>
      <w:r/>
      <w:bookmarkStart w:id="775" w:name="_Toc265228393"/>
      <w:r/>
      <w:bookmarkStart w:id="776" w:name="_Toc353873935"/>
      <w:r/>
      <w:bookmarkStart w:id="777" w:name="_Toc195842920"/>
      <w:r/>
      <w:bookmarkStart w:id="778" w:name="_Toc305158823"/>
      <w:r/>
      <w:bookmarkStart w:id="779" w:name="_Toc305158897"/>
      <w:r/>
      <w:bookmarkStart w:id="780" w:name="_Toc150774760"/>
      <w:r/>
      <w:bookmarkStart w:id="781" w:name="_Toc35382554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100"/>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100"/>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100"/>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100"/>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100"/>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100"/>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分包意向协议</w:t>
            </w:r>
            <w:r/>
          </w:p>
          <w:p>
            <w:pPr>
              <w:pStyle w:val="110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进口产品</w:t>
            </w:r>
            <w:r/>
          </w:p>
          <w:p>
            <w:pPr>
              <w:pStyle w:val="110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100"/>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100"/>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1100"/>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1100"/>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100"/>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100"/>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100"/>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100"/>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100"/>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100"/>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100"/>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100"/>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100"/>
        <w:numPr>
          <w:ilvl w:val="0"/>
          <w:numId w:val="14"/>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100"/>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100"/>
        <w:numPr>
          <w:ilvl w:val="1"/>
          <w:numId w:val="13"/>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1100"/>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1100"/>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1100"/>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1100"/>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1100"/>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100"/>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1100"/>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100"/>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10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10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10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100"/>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100"/>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100"/>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100"/>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100"/>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10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100"/>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100"/>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100"/>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00"/>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1100"/>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10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10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10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10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10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10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10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10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100"/>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265228384"/>
      <w:r/>
      <w:bookmarkStart w:id="784" w:name="_Toc149720839"/>
      <w:r/>
      <w:bookmarkStart w:id="785" w:name="_Toc150509297"/>
      <w:r/>
      <w:bookmarkStart w:id="786" w:name="_Toc151193934"/>
      <w:r/>
      <w:bookmarkStart w:id="787" w:name="_Toc151193644"/>
      <w:r/>
      <w:bookmarkStart w:id="788" w:name="_Toc520356170"/>
      <w:r/>
      <w:bookmarkStart w:id="789" w:name="_Toc164608815"/>
      <w:r/>
      <w:bookmarkStart w:id="790" w:name="_Toc151193716"/>
      <w:r/>
      <w:bookmarkStart w:id="791" w:name="_Toc195842911"/>
      <w:r/>
      <w:bookmarkStart w:id="792" w:name="_Toc151193788"/>
      <w:r/>
      <w:bookmarkStart w:id="793" w:name="_Toc226965819"/>
      <w:r/>
      <w:bookmarkStart w:id="794" w:name="_Toc164351640"/>
      <w:r/>
      <w:bookmarkStart w:id="795" w:name="_Toc151193860"/>
      <w:r/>
      <w:bookmarkStart w:id="796" w:name="_Toc150774751"/>
      <w:r/>
      <w:bookmarkStart w:id="797" w:name="_Toc127161460"/>
      <w:r/>
      <w:bookmarkStart w:id="798" w:name="_Ref467307010"/>
      <w:r/>
      <w:bookmarkStart w:id="799" w:name="_Toc164608660"/>
      <w:r/>
      <w:bookmarkStart w:id="800" w:name="_Toc164229387"/>
      <w:r/>
      <w:bookmarkStart w:id="801" w:name="_Toc226965736"/>
      <w:r/>
      <w:bookmarkStart w:id="802" w:name="_Toc150774646"/>
      <w:r/>
      <w:bookmarkStart w:id="803" w:name="_Toc127151747"/>
      <w:r/>
      <w:bookmarkStart w:id="804" w:name="_Toc226309790"/>
      <w:r/>
      <w:bookmarkStart w:id="805" w:name="_Toc151190173"/>
      <w:r/>
      <w:bookmarkStart w:id="806" w:name="_Toc127151546"/>
      <w:r/>
      <w:bookmarkStart w:id="807" w:name="_Toc264969236"/>
      <w:r/>
      <w:bookmarkStart w:id="808" w:name="_Toc142311048"/>
      <w:r/>
      <w:bookmarkStart w:id="809" w:name="_Toc226337242"/>
      <w:r/>
      <w:bookmarkStart w:id="810" w:name="_Toc164229241"/>
      <w:r/>
      <w:bookmarkStart w:id="811" w:name="_Toc305158814"/>
      <w:r/>
      <w:bookmarkStart w:id="812" w:name="_Toc305158888"/>
      <w:r/>
      <w:bookmarkStart w:id="813" w:name="_Toc150480784"/>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4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4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100"/>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10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100"/>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100"/>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538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294"/>
        <w:gridCol w:w="808"/>
        <w:gridCol w:w="6342"/>
      </w:tblGrid>
      <w:tr>
        <w:trPr/>
        <w:tc>
          <w:tcPr>
            <w:tcW w:w="401" w:type="pct"/>
            <w:vAlign w:val="center"/>
            <w:textDirection w:val="lrTb"/>
            <w:noWrap w:val="false"/>
          </w:tcPr>
          <w:p>
            <w:pPr>
              <w:pStyle w:val="1100"/>
              <w:ind w:firstLine="28"/>
              <w:jc w:val="center"/>
              <w:rPr>
                <w:rFonts w:ascii="宋体" w:hAnsi="宋体"/>
                <w:b/>
                <w:sz w:val="24"/>
              </w:rPr>
            </w:pPr>
            <w:r>
              <w:rPr>
                <w:rFonts w:ascii="宋体" w:hAnsi="宋体"/>
                <w:b/>
                <w:sz w:val="24"/>
              </w:rPr>
              <w:t xml:space="preserve">序号</w:t>
            </w:r>
            <w:r/>
          </w:p>
        </w:tc>
        <w:tc>
          <w:tcPr>
            <w:tcW w:w="705" w:type="pct"/>
            <w:vAlign w:val="center"/>
            <w:textDirection w:val="lrTb"/>
            <w:noWrap w:val="false"/>
          </w:tcPr>
          <w:p>
            <w:pPr>
              <w:pStyle w:val="1100"/>
              <w:ind w:firstLine="28"/>
              <w:jc w:val="center"/>
              <w:rPr>
                <w:rFonts w:ascii="宋体" w:hAnsi="宋体"/>
                <w:b/>
                <w:sz w:val="24"/>
              </w:rPr>
            </w:pPr>
            <w:r>
              <w:rPr>
                <w:rFonts w:ascii="宋体" w:hAnsi="宋体"/>
                <w:b/>
                <w:sz w:val="24"/>
              </w:rPr>
              <w:t xml:space="preserve">评分因素</w:t>
            </w:r>
            <w:r/>
          </w:p>
        </w:tc>
        <w:tc>
          <w:tcPr>
            <w:tcW w:w="440" w:type="pct"/>
            <w:vAlign w:val="center"/>
            <w:textDirection w:val="lrTb"/>
            <w:noWrap w:val="false"/>
          </w:tcPr>
          <w:p>
            <w:pPr>
              <w:pStyle w:val="1100"/>
              <w:ind w:firstLine="28"/>
              <w:jc w:val="center"/>
              <w:rPr>
                <w:rFonts w:ascii="宋体" w:hAnsi="宋体"/>
                <w:b/>
                <w:sz w:val="24"/>
              </w:rPr>
            </w:pPr>
            <w:r>
              <w:rPr>
                <w:rFonts w:ascii="宋体" w:hAnsi="宋体"/>
                <w:b/>
                <w:sz w:val="24"/>
              </w:rPr>
              <w:t xml:space="preserve">分值</w:t>
            </w:r>
            <w:r/>
          </w:p>
        </w:tc>
        <w:tc>
          <w:tcPr>
            <w:tcW w:w="3454" w:type="pct"/>
            <w:vAlign w:val="center"/>
            <w:textDirection w:val="lrTb"/>
            <w:noWrap w:val="false"/>
          </w:tcPr>
          <w:p>
            <w:pPr>
              <w:pStyle w:val="1100"/>
              <w:ind w:firstLine="28"/>
              <w:jc w:val="center"/>
              <w:rPr>
                <w:rFonts w:ascii="宋体" w:hAnsi="宋体"/>
                <w:b/>
                <w:sz w:val="24"/>
              </w:rPr>
            </w:pPr>
            <w:r>
              <w:rPr>
                <w:rFonts w:ascii="宋体" w:hAnsi="宋体"/>
                <w:b/>
                <w:sz w:val="24"/>
              </w:rPr>
              <w:t xml:space="preserve">评分标准</w:t>
            </w:r>
            <w:r/>
          </w:p>
        </w:tc>
      </w:tr>
      <w:tr>
        <w:trPr>
          <w:trHeight w:val="631"/>
        </w:trPr>
        <w:tc>
          <w:tcPr>
            <w:tcW w:w="401" w:type="pct"/>
            <w:vAlign w:val="center"/>
            <w:textDirection w:val="lrTb"/>
            <w:noWrap w:val="false"/>
          </w:tcPr>
          <w:p>
            <w:pPr>
              <w:pStyle w:val="1100"/>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705"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440"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3</w:t>
            </w:r>
            <w:r>
              <w:rPr>
                <w:rFonts w:ascii="宋体" w:hAnsi="宋体"/>
                <w:sz w:val="24"/>
              </w:rPr>
              <w:t xml:space="preserve">0</w:t>
            </w:r>
            <w:r/>
          </w:p>
        </w:tc>
        <w:tc>
          <w:tcPr>
            <w:tcW w:w="3454" w:type="pct"/>
            <w:vAlign w:val="center"/>
            <w:textDirection w:val="lrTb"/>
            <w:noWrap w:val="false"/>
          </w:tcPr>
          <w:p>
            <w:pPr>
              <w:pStyle w:val="1100"/>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p>
          <w:p>
            <w:pPr>
              <w:pStyle w:val="1100"/>
              <w:rPr>
                <w:rFonts w:ascii="宋体" w:hAnsi="宋体"/>
                <w:sz w:val="24"/>
              </w:rPr>
            </w:pPr>
            <w:r>
              <w:rPr>
                <w:rFonts w:ascii="宋体" w:hAnsi="宋体"/>
                <w:sz w:val="24"/>
              </w:rPr>
              <w:t xml:space="preserve">投标报价得分＝（评标基准价/投标报价）×分值。</w:t>
            </w:r>
            <w:r/>
          </w:p>
          <w:p>
            <w:pPr>
              <w:pStyle w:val="1100"/>
              <w:rPr>
                <w:rFonts w:hint="eastAsia" w:ascii="宋体" w:hAnsi="宋体"/>
                <w:b/>
                <w:sz w:val="24"/>
              </w:rPr>
            </w:pPr>
            <w:r>
              <w:rPr>
                <w:rFonts w:hint="eastAsia" w:ascii="宋体" w:hAnsi="宋体"/>
                <w:b/>
                <w:sz w:val="24"/>
              </w:rPr>
              <w:t xml:space="preserve">此处投标报价指经过报价修正，及</w:t>
            </w:r>
            <w:r>
              <w:rPr>
                <w:rFonts w:ascii="宋体" w:hAnsi="宋体"/>
                <w:b/>
                <w:sz w:val="24"/>
              </w:rPr>
              <w:t xml:space="preserve">因落实政府采购政策进行价格调整</w:t>
            </w:r>
            <w:r>
              <w:rPr>
                <w:rFonts w:hint="eastAsia" w:ascii="宋体" w:hAnsi="宋体"/>
                <w:b/>
                <w:sz w:val="24"/>
              </w:rPr>
              <w:t xml:space="preserve">后</w:t>
            </w:r>
            <w:r>
              <w:rPr>
                <w:rFonts w:ascii="宋体" w:hAnsi="宋体"/>
                <w:b/>
                <w:sz w:val="24"/>
              </w:rPr>
              <w:t xml:space="preserve">的</w:t>
            </w:r>
            <w:r>
              <w:rPr>
                <w:rFonts w:hint="eastAsia" w:ascii="宋体" w:hAnsi="宋体"/>
                <w:b/>
                <w:sz w:val="24"/>
              </w:rPr>
              <w:t xml:space="preserve">报价</w:t>
            </w:r>
            <w:r>
              <w:rPr>
                <w:rFonts w:ascii="宋体" w:hAnsi="宋体"/>
                <w:b/>
                <w:sz w:val="24"/>
              </w:rPr>
              <w:t xml:space="preserve">，详见第</w:t>
            </w:r>
            <w:r>
              <w:rPr>
                <w:rFonts w:hint="eastAsia" w:ascii="宋体" w:hAnsi="宋体"/>
                <w:b/>
                <w:sz w:val="24"/>
              </w:rPr>
              <w:t xml:space="preserve">四</w:t>
            </w:r>
            <w:r>
              <w:rPr>
                <w:rFonts w:ascii="宋体" w:hAnsi="宋体"/>
                <w:b/>
                <w:sz w:val="24"/>
              </w:rPr>
              <w:t xml:space="preserve">章《评标方法和评标标准》</w:t>
            </w:r>
            <w:r>
              <w:rPr>
                <w:rFonts w:hint="eastAsia" w:ascii="宋体" w:hAnsi="宋体"/>
                <w:b/>
                <w:sz w:val="24"/>
              </w:rPr>
            </w:r>
            <w:r/>
          </w:p>
        </w:tc>
      </w:tr>
      <w:tr>
        <w:trPr/>
        <w:tc>
          <w:tcPr>
            <w:tcW w:w="401"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2</w:t>
            </w:r>
            <w:r>
              <w:rPr>
                <w:rFonts w:ascii="宋体" w:hAnsi="宋体"/>
                <w:sz w:val="24"/>
              </w:rPr>
            </w:r>
            <w:r/>
          </w:p>
        </w:tc>
        <w:tc>
          <w:tcPr>
            <w:tcW w:w="705"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440" w:type="pct"/>
            <w:vAlign w:val="center"/>
            <w:textDirection w:val="lrTb"/>
            <w:noWrap w:val="false"/>
          </w:tcPr>
          <w:p>
            <w:pPr>
              <w:pStyle w:val="1100"/>
              <w:ind w:firstLine="28"/>
              <w:jc w:val="center"/>
              <w:rPr>
                <w:rFonts w:ascii="宋体" w:hAnsi="宋体"/>
                <w:sz w:val="24"/>
              </w:rPr>
            </w:pPr>
            <w:r>
              <w:rPr>
                <w:rFonts w:ascii="宋体" w:hAnsi="宋体"/>
                <w:sz w:val="24"/>
              </w:rPr>
            </w:r>
            <w:r/>
          </w:p>
        </w:tc>
        <w:tc>
          <w:tcPr>
            <w:tcW w:w="3454" w:type="pct"/>
            <w:vAlign w:val="center"/>
            <w:textDirection w:val="lrTb"/>
            <w:noWrap w:val="false"/>
          </w:tcPr>
          <w:p>
            <w:pPr>
              <w:pStyle w:val="1100"/>
              <w:rPr>
                <w:rFonts w:ascii="宋体" w:hAnsi="宋体"/>
                <w:sz w:val="24"/>
              </w:rPr>
            </w:pPr>
            <w:r>
              <w:rPr>
                <w:rFonts w:ascii="宋体" w:hAnsi="宋体"/>
                <w:sz w:val="24"/>
              </w:rPr>
            </w:r>
            <w:r/>
          </w:p>
        </w:tc>
      </w:tr>
      <w:tr>
        <w:trPr/>
        <w:tc>
          <w:tcPr>
            <w:tcW w:w="401"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2.1</w:t>
            </w:r>
            <w:r>
              <w:rPr>
                <w:rFonts w:ascii="宋体" w:hAnsi="宋体"/>
                <w:sz w:val="24"/>
              </w:rPr>
            </w:r>
            <w:r/>
          </w:p>
        </w:tc>
        <w:tc>
          <w:tcPr>
            <w:tcW w:w="705" w:type="pct"/>
            <w:vAlign w:val="center"/>
            <w:textDirection w:val="lrTb"/>
            <w:noWrap w:val="false"/>
          </w:tcPr>
          <w:p>
            <w:pPr>
              <w:pStyle w:val="1100"/>
              <w:ind w:firstLine="28"/>
              <w:jc w:val="center"/>
              <w:rPr>
                <w:rFonts w:ascii="宋体" w:hAnsi="宋体"/>
                <w:sz w:val="24"/>
              </w:rPr>
            </w:pPr>
            <w:r>
              <w:rPr>
                <w:rFonts w:hint="eastAsia" w:ascii="宋体" w:hAnsi="宋体" w:cs="宋体"/>
                <w:sz w:val="24"/>
              </w:rPr>
              <w:t xml:space="preserve">项目实施方案</w:t>
            </w:r>
            <w:r>
              <w:rPr>
                <w:rFonts w:ascii="宋体" w:hAnsi="宋体"/>
                <w:sz w:val="24"/>
              </w:rPr>
            </w:r>
            <w:r/>
          </w:p>
        </w:tc>
        <w:tc>
          <w:tcPr>
            <w:tcW w:w="440"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4</w:t>
            </w:r>
            <w:r>
              <w:rPr>
                <w:rFonts w:ascii="宋体" w:hAnsi="宋体"/>
                <w:sz w:val="24"/>
              </w:rPr>
            </w:r>
            <w:r/>
          </w:p>
        </w:tc>
        <w:tc>
          <w:tcPr>
            <w:tcW w:w="3454" w:type="pct"/>
            <w:vAlign w:val="center"/>
            <w:textDirection w:val="lrTb"/>
            <w:noWrap w:val="false"/>
          </w:tcPr>
          <w:p>
            <w:pPr>
              <w:pStyle w:val="1100"/>
              <w:rPr>
                <w:rFonts w:hint="eastAsia" w:ascii="宋体" w:hAnsi="宋体" w:cs="宋体"/>
                <w:sz w:val="24"/>
              </w:rPr>
            </w:pPr>
            <w:r>
              <w:rPr>
                <w:rFonts w:hint="eastAsia" w:ascii="宋体" w:hAnsi="宋体" w:cs="宋体"/>
                <w:sz w:val="24"/>
              </w:rPr>
              <w:t xml:space="preserve">供货、安装、调试、验收的各阶段的方案和措施，方案和措施科学合理、安全严密、条理清晰、完善、重点突出、专业性强的得4分；方案和措施完整、比较合理、安全可行、条理性和专业性较好的得2</w:t>
            </w:r>
            <w:r>
              <w:rPr>
                <w:rFonts w:ascii="宋体" w:hAnsi="宋体" w:cs="宋体"/>
                <w:sz w:val="24"/>
              </w:rPr>
              <w:t xml:space="preserve">.5</w:t>
            </w:r>
            <w:r>
              <w:rPr>
                <w:rFonts w:hint="eastAsia" w:ascii="宋体" w:hAnsi="宋体" w:cs="宋体"/>
                <w:sz w:val="24"/>
              </w:rPr>
              <w:t xml:space="preserve">分；方案和措施基本合理、安全可行、具有一定条理、基本完善、专业性一般的得1分；较差或未提供本项不得分。</w:t>
            </w:r>
            <w:r/>
          </w:p>
        </w:tc>
      </w:tr>
      <w:tr>
        <w:trPr/>
        <w:tc>
          <w:tcPr>
            <w:tcW w:w="401" w:type="pct"/>
            <w:vAlign w:val="center"/>
            <w:textDirection w:val="lrTb"/>
            <w:noWrap w:val="false"/>
          </w:tcPr>
          <w:p>
            <w:pPr>
              <w:pStyle w:val="1100"/>
              <w:ind w:firstLine="28"/>
              <w:jc w:val="center"/>
              <w:rPr>
                <w:rFonts w:ascii="宋体" w:hAnsi="宋体"/>
                <w:sz w:val="24"/>
              </w:rPr>
            </w:pPr>
            <w:r>
              <w:rPr>
                <w:rFonts w:ascii="宋体" w:hAnsi="宋体"/>
                <w:sz w:val="24"/>
              </w:rPr>
              <w:t xml:space="preserve">2.2</w:t>
            </w:r>
            <w:r>
              <w:rPr>
                <w:rFonts w:ascii="宋体" w:hAnsi="宋体"/>
                <w:sz w:val="24"/>
              </w:rPr>
            </w:r>
            <w:r/>
          </w:p>
        </w:tc>
        <w:tc>
          <w:tcPr>
            <w:tcW w:w="705"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场地整体设计方案</w:t>
            </w:r>
            <w:r>
              <w:rPr>
                <w:rFonts w:ascii="宋体" w:hAnsi="宋体"/>
                <w:sz w:val="24"/>
              </w:rPr>
            </w:r>
            <w:r/>
          </w:p>
        </w:tc>
        <w:tc>
          <w:tcPr>
            <w:tcW w:w="440"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4</w:t>
            </w:r>
            <w:r>
              <w:rPr>
                <w:rFonts w:ascii="宋体" w:hAnsi="宋体"/>
                <w:sz w:val="24"/>
              </w:rPr>
            </w:r>
            <w:r/>
          </w:p>
        </w:tc>
        <w:tc>
          <w:tcPr>
            <w:tcW w:w="3454" w:type="pct"/>
            <w:vAlign w:val="center"/>
            <w:textDirection w:val="lrTb"/>
            <w:noWrap w:val="false"/>
          </w:tcPr>
          <w:p>
            <w:pPr>
              <w:pStyle w:val="1100"/>
              <w:rPr>
                <w:rFonts w:ascii="宋体" w:hAnsi="宋体"/>
                <w:sz w:val="24"/>
              </w:rPr>
            </w:pPr>
            <w:r>
              <w:rPr>
                <w:rFonts w:hint="eastAsia" w:ascii="宋体" w:hAnsi="宋体" w:cs="宋体"/>
                <w:sz w:val="24"/>
              </w:rPr>
              <w:t xml:space="preserve">针对本项目场地整体设计方案、效果图及布局图完整的表现各区块的特点，创意新颖、主题鲜明，内容完整、充实的得4分；设计方案、效果图及布局图对各区块的特点有体现、方案有创新，内容较为完整，但有所欠缺的得2</w:t>
            </w:r>
            <w:r>
              <w:rPr>
                <w:rFonts w:ascii="宋体" w:hAnsi="宋体" w:cs="宋体"/>
                <w:sz w:val="24"/>
              </w:rPr>
              <w:t xml:space="preserve">.5</w:t>
            </w:r>
            <w:r>
              <w:rPr>
                <w:rFonts w:hint="eastAsia" w:ascii="宋体" w:hAnsi="宋体" w:cs="宋体"/>
                <w:sz w:val="24"/>
              </w:rPr>
              <w:t xml:space="preserve">分；</w:t>
            </w:r>
            <w:r>
              <w:rPr>
                <w:rFonts w:hint="eastAsia" w:ascii="宋体" w:hAnsi="宋体" w:cs="宋体"/>
                <w:sz w:val="24"/>
              </w:rPr>
              <w:t xml:space="preserve">设计方案、效果图及布局图</w:t>
            </w:r>
            <w:r>
              <w:rPr>
                <w:rFonts w:hint="eastAsia" w:ascii="宋体" w:hAnsi="宋体" w:cs="宋体"/>
                <w:sz w:val="24"/>
              </w:rPr>
              <w:t xml:space="preserve">体现内容不够全面的得1分；</w:t>
            </w:r>
            <w:r>
              <w:rPr>
                <w:rFonts w:hint="eastAsia" w:ascii="宋体" w:hAnsi="宋体" w:cs="宋体"/>
                <w:sz w:val="24"/>
              </w:rPr>
              <w:t xml:space="preserve">较差或未提供本项不得分。</w:t>
            </w:r>
            <w:r>
              <w:rPr>
                <w:rFonts w:ascii="宋体" w:hAnsi="宋体"/>
                <w:sz w:val="24"/>
              </w:rPr>
            </w:r>
            <w:r/>
          </w:p>
        </w:tc>
      </w:tr>
      <w:tr>
        <w:trPr/>
        <w:tc>
          <w:tcPr>
            <w:tcW w:w="401"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2</w:t>
            </w:r>
            <w:r>
              <w:rPr>
                <w:rFonts w:ascii="宋体" w:hAnsi="宋体"/>
                <w:sz w:val="24"/>
              </w:rPr>
              <w:t xml:space="preserve">.3</w:t>
            </w:r>
            <w:r/>
          </w:p>
        </w:tc>
        <w:tc>
          <w:tcPr>
            <w:tcW w:w="705" w:type="pct"/>
            <w:vAlign w:val="center"/>
            <w:textDirection w:val="lrTb"/>
            <w:noWrap w:val="false"/>
          </w:tcPr>
          <w:p>
            <w:pPr>
              <w:pStyle w:val="1100"/>
              <w:ind w:firstLine="28"/>
              <w:jc w:val="center"/>
              <w:rPr>
                <w:rFonts w:ascii="宋体" w:hAnsi="宋体"/>
                <w:sz w:val="24"/>
              </w:rPr>
            </w:pPr>
            <w:r>
              <w:rPr>
                <w:rFonts w:hint="eastAsia" w:ascii="宋体" w:hAnsi="宋体" w:cs="宋体"/>
                <w:spacing w:val="-3"/>
                <w:sz w:val="24"/>
              </w:rPr>
              <w:t xml:space="preserve">培训方案</w:t>
            </w:r>
            <w:r>
              <w:rPr>
                <w:rFonts w:ascii="宋体" w:hAnsi="宋体"/>
                <w:sz w:val="24"/>
              </w:rPr>
            </w:r>
            <w:r/>
          </w:p>
        </w:tc>
        <w:tc>
          <w:tcPr>
            <w:tcW w:w="440"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6</w:t>
            </w:r>
            <w:r>
              <w:rPr>
                <w:rFonts w:ascii="宋体" w:hAnsi="宋体"/>
                <w:sz w:val="24"/>
              </w:rPr>
            </w:r>
            <w:r/>
          </w:p>
        </w:tc>
        <w:tc>
          <w:tcPr>
            <w:tcW w:w="3454" w:type="pct"/>
            <w:vAlign w:val="top"/>
            <w:textDirection w:val="lrTb"/>
            <w:noWrap w:val="false"/>
          </w:tcPr>
          <w:p>
            <w:pPr>
              <w:pStyle w:val="1100"/>
              <w:rPr>
                <w:rFonts w:ascii="宋体" w:hAnsi="宋体"/>
                <w:sz w:val="24"/>
              </w:rPr>
            </w:pPr>
            <w:r>
              <w:rPr>
                <w:rFonts w:hint="eastAsia" w:ascii="宋体" w:hAnsi="宋体" w:cs="宋体"/>
                <w:sz w:val="24"/>
              </w:rPr>
              <w:t xml:space="preserve">投标人针对本项目的培训方案（</w:t>
            </w:r>
            <w:r>
              <w:rPr>
                <w:rFonts w:ascii="宋体" w:hAnsi="宋体"/>
                <w:sz w:val="24"/>
              </w:rPr>
              <w:t xml:space="preserve">包含但不限于培训师资、培训课时、培训内容、培训计划、实操演练</w:t>
            </w:r>
            <w:r>
              <w:rPr>
                <w:rFonts w:hint="eastAsia" w:ascii="宋体" w:hAnsi="宋体"/>
                <w:sz w:val="24"/>
              </w:rPr>
              <w:t xml:space="preserve">等</w:t>
            </w:r>
            <w:r>
              <w:rPr>
                <w:rFonts w:hint="eastAsia" w:ascii="宋体" w:hAnsi="宋体" w:cs="宋体"/>
                <w:sz w:val="24"/>
              </w:rPr>
              <w:t xml:space="preserve">）：方案完整科学、完善合理、操作性及指导性强的得6分；方案基本全面，基本科学合理，基本可行的得4分；方案不够全面，内容缺乏可操作性的得2分；未提供本项不得分。</w:t>
            </w:r>
            <w:r>
              <w:rPr>
                <w:rFonts w:ascii="宋体" w:hAnsi="宋体"/>
                <w:sz w:val="24"/>
              </w:rPr>
            </w:r>
            <w:r/>
          </w:p>
        </w:tc>
      </w:tr>
      <w:tr>
        <w:trPr/>
        <w:tc>
          <w:tcPr>
            <w:tcW w:w="401"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2</w:t>
            </w:r>
            <w:r>
              <w:rPr>
                <w:rFonts w:ascii="宋体" w:hAnsi="宋体"/>
                <w:sz w:val="24"/>
              </w:rPr>
              <w:t xml:space="preserve">.4</w:t>
            </w:r>
            <w:r/>
          </w:p>
        </w:tc>
        <w:tc>
          <w:tcPr>
            <w:tcW w:w="705" w:type="pct"/>
            <w:vAlign w:val="center"/>
            <w:textDirection w:val="lrTb"/>
            <w:noWrap w:val="false"/>
          </w:tcPr>
          <w:p>
            <w:pPr>
              <w:pStyle w:val="1100"/>
              <w:ind w:firstLine="28"/>
              <w:jc w:val="center"/>
              <w:rPr>
                <w:rFonts w:ascii="宋体" w:hAnsi="宋体"/>
                <w:sz w:val="24"/>
              </w:rPr>
            </w:pPr>
            <w:r>
              <w:rPr>
                <w:rFonts w:hint="eastAsia" w:ascii="宋体" w:hAnsi="宋体" w:cs="宋体"/>
                <w:spacing w:val="-3"/>
                <w:sz w:val="24"/>
              </w:rPr>
              <w:t xml:space="preserve">售后服务方案</w:t>
            </w:r>
            <w:r>
              <w:rPr>
                <w:rFonts w:ascii="宋体" w:hAnsi="宋体"/>
                <w:sz w:val="24"/>
              </w:rPr>
            </w:r>
            <w:r/>
          </w:p>
        </w:tc>
        <w:tc>
          <w:tcPr>
            <w:tcW w:w="440" w:type="pct"/>
            <w:vAlign w:val="center"/>
            <w:textDirection w:val="lrTb"/>
            <w:noWrap w:val="false"/>
          </w:tcPr>
          <w:p>
            <w:pPr>
              <w:pStyle w:val="1100"/>
              <w:ind w:firstLine="28"/>
              <w:jc w:val="center"/>
              <w:rPr>
                <w:rFonts w:ascii="宋体" w:hAnsi="宋体"/>
                <w:sz w:val="24"/>
              </w:rPr>
            </w:pPr>
            <w:r>
              <w:rPr>
                <w:rFonts w:ascii="宋体" w:hAnsi="宋体"/>
                <w:sz w:val="24"/>
              </w:rPr>
              <w:t xml:space="preserve">5</w:t>
            </w:r>
            <w:r>
              <w:rPr>
                <w:rFonts w:ascii="宋体" w:hAnsi="宋体"/>
                <w:sz w:val="24"/>
              </w:rPr>
            </w:r>
            <w:r/>
          </w:p>
        </w:tc>
        <w:tc>
          <w:tcPr>
            <w:tcW w:w="3454" w:type="pct"/>
            <w:vAlign w:val="center"/>
            <w:textDirection w:val="lrTb"/>
            <w:noWrap w:val="false"/>
          </w:tcPr>
          <w:p>
            <w:pPr>
              <w:pStyle w:val="1100"/>
              <w:rPr>
                <w:rFonts w:ascii="宋体" w:hAnsi="宋体"/>
                <w:sz w:val="24"/>
              </w:rPr>
            </w:pPr>
            <w:r>
              <w:rPr>
                <w:rFonts w:hint="eastAsia" w:ascii="宋体" w:hAnsi="宋体" w:cs="宋体"/>
                <w:sz w:val="24"/>
              </w:rPr>
              <w:t xml:space="preserve">投标人针对本项目的</w:t>
            </w:r>
            <w:r>
              <w:rPr>
                <w:rFonts w:hint="eastAsia" w:ascii="宋体" w:hAnsi="宋体" w:cs="宋体"/>
                <w:sz w:val="24"/>
              </w:rPr>
              <w:t xml:space="preserve">售后服务</w:t>
            </w:r>
            <w:r>
              <w:rPr>
                <w:rFonts w:hint="eastAsia" w:ascii="宋体" w:hAnsi="宋体" w:cs="宋体"/>
                <w:sz w:val="24"/>
              </w:rPr>
              <w:t xml:space="preserve">方案，包括但不限于</w:t>
            </w:r>
            <w:r>
              <w:rPr>
                <w:rFonts w:hint="eastAsia" w:ascii="宋体" w:hAnsi="宋体" w:cs="宋体"/>
                <w:sz w:val="24"/>
              </w:rPr>
              <w:t xml:space="preserve">优惠承诺</w:t>
            </w:r>
            <w:r>
              <w:rPr>
                <w:rFonts w:hint="eastAsia" w:ascii="宋体" w:hAnsi="宋体" w:cs="宋体"/>
                <w:sz w:val="24"/>
              </w:rPr>
              <w:t xml:space="preserve">、</w:t>
            </w:r>
            <w:r>
              <w:rPr>
                <w:rFonts w:hint="eastAsia" w:ascii="宋体" w:hAnsi="宋体" w:cs="宋体"/>
                <w:sz w:val="24"/>
              </w:rPr>
              <w:t xml:space="preserve">售后服务承诺、售后服务方案</w:t>
            </w:r>
            <w:r>
              <w:rPr>
                <w:rFonts w:hint="eastAsia" w:ascii="宋体" w:hAnsi="宋体" w:cs="宋体"/>
                <w:sz w:val="24"/>
              </w:rPr>
              <w:t xml:space="preserve">等</w:t>
            </w:r>
            <w:r>
              <w:rPr>
                <w:rFonts w:hint="eastAsia" w:ascii="宋体" w:hAnsi="宋体" w:cs="宋体"/>
                <w:sz w:val="24"/>
              </w:rPr>
              <w:t xml:space="preserve">，售后服务可行性合理、故障响应方式及保障措施等综合打分：方案完整全面、合理的得</w:t>
            </w:r>
            <w:r>
              <w:rPr>
                <w:rFonts w:ascii="宋体" w:hAnsi="宋体" w:cs="宋体"/>
                <w:sz w:val="24"/>
              </w:rPr>
              <w:t xml:space="preserve">5</w:t>
            </w:r>
            <w:r>
              <w:rPr>
                <w:rFonts w:hint="eastAsia" w:ascii="宋体" w:hAnsi="宋体" w:cs="宋体"/>
                <w:sz w:val="24"/>
              </w:rPr>
              <w:t xml:space="preserve">分；方案基本完整、基本合理的得</w:t>
            </w:r>
            <w:r>
              <w:rPr>
                <w:rFonts w:ascii="宋体" w:hAnsi="宋体" w:cs="宋体"/>
                <w:sz w:val="24"/>
              </w:rPr>
              <w:t xml:space="preserve">3</w:t>
            </w:r>
            <w:r>
              <w:rPr>
                <w:rFonts w:hint="eastAsia" w:ascii="宋体" w:hAnsi="宋体" w:cs="宋体"/>
                <w:sz w:val="24"/>
              </w:rPr>
              <w:t xml:space="preserve">分；方案简陋、不够合理、可操作性弱得</w:t>
            </w:r>
            <w:r>
              <w:rPr>
                <w:rFonts w:ascii="宋体" w:hAnsi="宋体" w:cs="宋体"/>
                <w:sz w:val="24"/>
              </w:rPr>
              <w:t xml:space="preserve">1</w:t>
            </w:r>
            <w:r>
              <w:rPr>
                <w:rFonts w:hint="eastAsia" w:ascii="宋体" w:hAnsi="宋体" w:cs="宋体"/>
                <w:sz w:val="24"/>
              </w:rPr>
              <w:t xml:space="preserve">分；未提供本项不得分。</w:t>
            </w:r>
            <w:r>
              <w:rPr>
                <w:rFonts w:ascii="宋体" w:hAnsi="宋体"/>
                <w:sz w:val="24"/>
              </w:rPr>
            </w:r>
            <w:r/>
          </w:p>
        </w:tc>
      </w:tr>
      <w:tr>
        <w:trPr/>
        <w:tc>
          <w:tcPr>
            <w:tcW w:w="401"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705"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客观分</w:t>
            </w:r>
            <w:r>
              <w:rPr>
                <w:rFonts w:ascii="宋体" w:hAnsi="宋体"/>
                <w:sz w:val="24"/>
              </w:rPr>
            </w:r>
            <w:r/>
          </w:p>
        </w:tc>
        <w:tc>
          <w:tcPr>
            <w:tcW w:w="440" w:type="pct"/>
            <w:vAlign w:val="center"/>
            <w:textDirection w:val="lrTb"/>
            <w:noWrap w:val="false"/>
          </w:tcPr>
          <w:p>
            <w:pPr>
              <w:pStyle w:val="1100"/>
              <w:ind w:firstLine="28"/>
              <w:jc w:val="center"/>
              <w:rPr>
                <w:rFonts w:ascii="宋体" w:hAnsi="宋体"/>
                <w:sz w:val="24"/>
              </w:rPr>
            </w:pPr>
            <w:r>
              <w:rPr>
                <w:rFonts w:ascii="宋体" w:hAnsi="宋体"/>
                <w:sz w:val="24"/>
              </w:rPr>
            </w:r>
            <w:r/>
          </w:p>
        </w:tc>
        <w:tc>
          <w:tcPr>
            <w:tcW w:w="3454" w:type="pct"/>
            <w:vAlign w:val="center"/>
            <w:textDirection w:val="lrTb"/>
            <w:noWrap w:val="false"/>
          </w:tcPr>
          <w:p>
            <w:pPr>
              <w:pStyle w:val="1100"/>
              <w:rPr>
                <w:rFonts w:ascii="宋体" w:hAnsi="宋体"/>
                <w:sz w:val="24"/>
              </w:rPr>
            </w:pPr>
            <w:r>
              <w:rPr>
                <w:rFonts w:ascii="宋体" w:hAnsi="宋体"/>
                <w:sz w:val="24"/>
              </w:rPr>
            </w:r>
            <w:r/>
          </w:p>
        </w:tc>
      </w:tr>
      <w:tr>
        <w:trPr/>
        <w:tc>
          <w:tcPr>
            <w:tcW w:w="401"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3</w:t>
            </w:r>
            <w:r>
              <w:rPr>
                <w:rFonts w:ascii="宋体" w:hAnsi="宋体"/>
                <w:sz w:val="24"/>
              </w:rPr>
              <w:t xml:space="preserve">.1</w:t>
            </w:r>
            <w:r/>
          </w:p>
        </w:tc>
        <w:tc>
          <w:tcPr>
            <w:tcW w:w="705" w:type="pct"/>
            <w:vAlign w:val="center"/>
            <w:textDirection w:val="lrTb"/>
            <w:noWrap w:val="false"/>
          </w:tcPr>
          <w:p>
            <w:pPr>
              <w:pStyle w:val="1100"/>
              <w:ind w:firstLine="28"/>
              <w:jc w:val="center"/>
              <w:rPr>
                <w:rFonts w:ascii="宋体" w:hAnsi="宋体"/>
                <w:sz w:val="24"/>
              </w:rPr>
            </w:pPr>
            <w:r>
              <w:rPr>
                <w:rFonts w:ascii="宋体" w:hAnsi="宋体"/>
                <w:sz w:val="24"/>
              </w:rPr>
              <w:t xml:space="preserve">业绩</w:t>
            </w:r>
            <w:r/>
          </w:p>
        </w:tc>
        <w:tc>
          <w:tcPr>
            <w:tcW w:w="440" w:type="pct"/>
            <w:vAlign w:val="center"/>
            <w:textDirection w:val="lrTb"/>
            <w:noWrap w:val="false"/>
          </w:tcPr>
          <w:p>
            <w:pPr>
              <w:pStyle w:val="1100"/>
              <w:ind w:firstLine="28"/>
              <w:jc w:val="center"/>
              <w:rPr>
                <w:rFonts w:ascii="宋体" w:hAnsi="宋体"/>
                <w:sz w:val="24"/>
              </w:rPr>
            </w:pPr>
            <w:r>
              <w:rPr>
                <w:rFonts w:ascii="宋体" w:hAnsi="宋体"/>
                <w:sz w:val="24"/>
              </w:rPr>
              <w:t xml:space="preserve">2</w:t>
            </w:r>
            <w:r/>
          </w:p>
        </w:tc>
        <w:tc>
          <w:tcPr>
            <w:tcW w:w="3454" w:type="pct"/>
            <w:vAlign w:val="center"/>
            <w:textDirection w:val="lrTb"/>
            <w:noWrap w:val="false"/>
          </w:tcPr>
          <w:p>
            <w:pPr>
              <w:pStyle w:val="1100"/>
              <w:rPr>
                <w:rFonts w:ascii="宋体" w:hAnsi="宋体" w:cs="宋体"/>
                <w:sz w:val="24"/>
              </w:rPr>
            </w:pPr>
            <w:r>
              <w:rPr>
                <w:rFonts w:hint="eastAsia" w:ascii="宋体" w:hAnsi="宋体" w:cs="宋体"/>
                <w:sz w:val="24"/>
              </w:rPr>
              <w:t xml:space="preserve">投标单位自2023年</w:t>
            </w:r>
            <w:r>
              <w:rPr>
                <w:rFonts w:ascii="宋体" w:hAnsi="宋体" w:cs="宋体"/>
                <w:sz w:val="24"/>
              </w:rPr>
              <w:t xml:space="preserve">1</w:t>
            </w:r>
            <w:r>
              <w:rPr>
                <w:rFonts w:hint="eastAsia" w:ascii="宋体" w:hAnsi="宋体" w:cs="宋体"/>
                <w:sz w:val="24"/>
              </w:rPr>
              <w:t xml:space="preserve">月1日（以合同签订时间为准）至今，具有类似项目业绩，有1份得1分，最高得2分。</w:t>
            </w:r>
            <w:r>
              <w:rPr>
                <w:rFonts w:ascii="宋体" w:hAnsi="宋体" w:cs="宋体"/>
                <w:sz w:val="24"/>
              </w:rPr>
            </w:r>
            <w:r/>
          </w:p>
          <w:p>
            <w:pPr>
              <w:pStyle w:val="1100"/>
              <w:rPr>
                <w:rFonts w:ascii="宋体" w:hAnsi="宋体"/>
                <w:sz w:val="24"/>
              </w:rPr>
            </w:pPr>
            <w:r>
              <w:rPr>
                <w:rFonts w:hint="eastAsia" w:ascii="宋体" w:hAnsi="宋体" w:cs="宋体"/>
                <w:b/>
                <w:bCs/>
                <w:sz w:val="24"/>
              </w:rPr>
              <w:t xml:space="preserve">注：业绩证明材料包括合同扫描件、中标（或成交）通知书扫描件和项目验收证明扫描件，未提供齐全的不得分。</w:t>
            </w:r>
            <w:r>
              <w:rPr>
                <w:rFonts w:ascii="宋体" w:hAnsi="宋体"/>
                <w:sz w:val="24"/>
              </w:rPr>
            </w:r>
            <w:r/>
          </w:p>
        </w:tc>
      </w:tr>
      <w:tr>
        <w:trPr/>
        <w:tc>
          <w:tcPr>
            <w:tcW w:w="401" w:type="pct"/>
            <w:vAlign w:val="center"/>
            <w:textDirection w:val="lrTb"/>
            <w:noWrap w:val="false"/>
          </w:tcPr>
          <w:p>
            <w:pPr>
              <w:pStyle w:val="1100"/>
              <w:ind w:firstLine="28"/>
              <w:jc w:val="center"/>
              <w:rPr>
                <w:rFonts w:ascii="宋体" w:hAnsi="宋体"/>
                <w:sz w:val="24"/>
                <w:highlight w:val="yellow"/>
              </w:rPr>
            </w:pPr>
            <w:r>
              <w:rPr>
                <w:rFonts w:hint="eastAsia" w:ascii="宋体" w:hAnsi="宋体"/>
                <w:sz w:val="24"/>
                <w:highlight w:val="yellow"/>
              </w:rPr>
              <w:t xml:space="preserve">3</w:t>
            </w:r>
            <w:r>
              <w:rPr>
                <w:rFonts w:ascii="宋体" w:hAnsi="宋体"/>
                <w:sz w:val="24"/>
                <w:highlight w:val="yellow"/>
              </w:rPr>
              <w:t xml:space="preserve">.2</w:t>
            </w:r>
            <w:r/>
          </w:p>
        </w:tc>
        <w:tc>
          <w:tcPr>
            <w:tcW w:w="705" w:type="pct"/>
            <w:vAlign w:val="center"/>
            <w:textDirection w:val="lrTb"/>
            <w:noWrap w:val="false"/>
          </w:tcPr>
          <w:p>
            <w:pPr>
              <w:pStyle w:val="1100"/>
              <w:ind w:firstLine="28"/>
              <w:jc w:val="center"/>
              <w:rPr>
                <w:rFonts w:ascii="宋体" w:hAnsi="宋体"/>
                <w:sz w:val="24"/>
                <w:highlight w:val="yellow"/>
              </w:rPr>
            </w:pPr>
            <w:r>
              <w:rPr>
                <w:rFonts w:hint="eastAsia" w:ascii="宋体" w:hAnsi="宋体" w:cs="宋体"/>
                <w:sz w:val="24"/>
                <w:highlight w:val="yellow"/>
              </w:rPr>
              <w:t xml:space="preserve">综合实力</w:t>
            </w:r>
            <w:r>
              <w:rPr>
                <w:rFonts w:ascii="宋体" w:hAnsi="宋体"/>
                <w:sz w:val="24"/>
                <w:highlight w:val="yellow"/>
              </w:rPr>
            </w:r>
            <w:r/>
          </w:p>
        </w:tc>
        <w:tc>
          <w:tcPr>
            <w:tcW w:w="440" w:type="pct"/>
            <w:vAlign w:val="center"/>
            <w:textDirection w:val="lrTb"/>
            <w:noWrap w:val="false"/>
          </w:tcPr>
          <w:p>
            <w:pPr>
              <w:pStyle w:val="1100"/>
              <w:ind w:firstLine="28"/>
              <w:jc w:val="center"/>
              <w:rPr>
                <w:rFonts w:ascii="宋体" w:hAnsi="宋体"/>
                <w:sz w:val="24"/>
                <w:highlight w:val="yellow"/>
              </w:rPr>
            </w:pPr>
            <w:r>
              <w:rPr>
                <w:rFonts w:ascii="宋体" w:hAnsi="宋体"/>
                <w:sz w:val="24"/>
                <w:highlight w:val="yellow"/>
              </w:rPr>
              <w:t xml:space="preserve">6</w:t>
            </w:r>
            <w:r>
              <w:rPr>
                <w:highlight w:val="yellow"/>
              </w:rPr>
            </w:r>
            <w:r/>
          </w:p>
        </w:tc>
        <w:tc>
          <w:tcPr>
            <w:tcW w:w="3454" w:type="pct"/>
            <w:vAlign w:val="center"/>
            <w:textDirection w:val="lrTb"/>
            <w:noWrap w:val="false"/>
          </w:tcPr>
          <w:p>
            <w:pPr>
              <w:pStyle w:val="1100"/>
              <w:rPr>
                <w:rFonts w:ascii="宋体" w:hAnsi="宋体" w:cs="宋体"/>
                <w:sz w:val="24"/>
                <w:highlight w:val="yellow"/>
                <w:lang w:bidi="ar"/>
              </w:rPr>
            </w:pPr>
            <w:r>
              <w:rPr>
                <w:rFonts w:hint="eastAsia" w:ascii="宋体" w:hAnsi="宋体"/>
                <w:sz w:val="24"/>
                <w:highlight w:val="yellow"/>
              </w:rPr>
              <w:t xml:space="preserve">投标人具有有效的质量管理体系认证、环境管理体系认证、职业健康管理体系认证证书、每个得</w:t>
            </w:r>
            <w:r>
              <w:rPr>
                <w:rFonts w:ascii="宋体" w:hAnsi="宋体"/>
                <w:sz w:val="24"/>
                <w:highlight w:val="yellow"/>
              </w:rPr>
              <w:t xml:space="preserve">2</w:t>
            </w:r>
            <w:r>
              <w:rPr>
                <w:rFonts w:hint="eastAsia" w:ascii="宋体" w:hAnsi="宋体"/>
                <w:sz w:val="24"/>
                <w:highlight w:val="yellow"/>
              </w:rPr>
              <w:t xml:space="preserve">分，最高得</w:t>
            </w:r>
            <w:r>
              <w:rPr>
                <w:rFonts w:ascii="宋体" w:hAnsi="宋体"/>
                <w:sz w:val="24"/>
                <w:highlight w:val="yellow"/>
              </w:rPr>
              <w:t xml:space="preserve">6</w:t>
            </w:r>
            <w:r>
              <w:rPr>
                <w:rFonts w:hint="eastAsia" w:ascii="宋体" w:hAnsi="宋体"/>
                <w:sz w:val="24"/>
                <w:highlight w:val="yellow"/>
              </w:rPr>
              <w:t xml:space="preserve">分。</w:t>
            </w:r>
            <w:r>
              <w:rPr>
                <w:rFonts w:hint="eastAsia" w:ascii="宋体" w:hAnsi="宋体"/>
                <w:b/>
                <w:sz w:val="24"/>
                <w:highlight w:val="yellow"/>
              </w:rPr>
              <w:t xml:space="preserve">（提供证书复印件及中国国家认证认可监督管理委员会网站查询页面完整截图且证书状态为有效，否则不得分）</w:t>
            </w:r>
            <w:r>
              <w:rPr>
                <w:rFonts w:ascii="宋体" w:hAnsi="宋体" w:cs="宋体"/>
                <w:sz w:val="24"/>
                <w:highlight w:val="yellow"/>
                <w:lang w:bidi="ar"/>
              </w:rPr>
            </w:r>
            <w:r/>
          </w:p>
        </w:tc>
      </w:tr>
      <w:tr>
        <w:trPr/>
        <w:tc>
          <w:tcPr>
            <w:tcW w:w="401"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3</w:t>
            </w:r>
            <w:r>
              <w:rPr>
                <w:rFonts w:ascii="宋体" w:hAnsi="宋体"/>
                <w:sz w:val="24"/>
              </w:rPr>
              <w:t xml:space="preserve">.3</w:t>
            </w:r>
            <w:r/>
          </w:p>
        </w:tc>
        <w:tc>
          <w:tcPr>
            <w:tcW w:w="705" w:type="pct"/>
            <w:vAlign w:val="center"/>
            <w:textDirection w:val="lrTb"/>
            <w:noWrap w:val="false"/>
          </w:tcPr>
          <w:p>
            <w:pPr>
              <w:pStyle w:val="1100"/>
              <w:ind w:firstLine="28"/>
              <w:jc w:val="center"/>
              <w:rPr>
                <w:rFonts w:ascii="宋体" w:hAnsi="宋体"/>
                <w:sz w:val="24"/>
              </w:rPr>
            </w:pPr>
            <w:r>
              <w:rPr>
                <w:rFonts w:hint="eastAsia" w:ascii="宋体" w:hAnsi="宋体" w:cs="宋体"/>
                <w:sz w:val="24"/>
              </w:rPr>
              <w:t xml:space="preserve">技术参数响应</w:t>
            </w:r>
            <w:r>
              <w:rPr>
                <w:rFonts w:ascii="宋体" w:hAnsi="宋体"/>
                <w:sz w:val="24"/>
              </w:rPr>
            </w:r>
            <w:r/>
          </w:p>
        </w:tc>
        <w:tc>
          <w:tcPr>
            <w:tcW w:w="440" w:type="pct"/>
            <w:vAlign w:val="center"/>
            <w:textDirection w:val="lrTb"/>
            <w:noWrap w:val="false"/>
          </w:tcPr>
          <w:p>
            <w:pPr>
              <w:pStyle w:val="1100"/>
              <w:ind w:firstLine="28"/>
              <w:jc w:val="center"/>
              <w:rPr>
                <w:rFonts w:ascii="宋体" w:hAnsi="宋体"/>
                <w:sz w:val="24"/>
                <w:highlight w:val="yellow"/>
              </w:rPr>
            </w:pPr>
            <w:r>
              <w:rPr>
                <w:rFonts w:ascii="宋体" w:hAnsi="宋体"/>
                <w:sz w:val="24"/>
                <w:highlight w:val="yellow"/>
              </w:rPr>
              <w:t xml:space="preserve">2</w:t>
            </w:r>
            <w:r>
              <w:rPr>
                <w:rFonts w:ascii="宋体" w:hAnsi="宋体"/>
                <w:sz w:val="24"/>
                <w:highlight w:val="yellow"/>
              </w:rPr>
              <w:t xml:space="preserve">7</w:t>
            </w:r>
            <w:r>
              <w:rPr>
                <w:rFonts w:ascii="宋体" w:hAnsi="宋体"/>
                <w:sz w:val="24"/>
                <w:highlight w:val="yellow"/>
              </w:rPr>
            </w:r>
            <w:r/>
          </w:p>
        </w:tc>
        <w:tc>
          <w:tcPr>
            <w:tcW w:w="3454" w:type="pct"/>
            <w:vAlign w:val="center"/>
            <w:textDirection w:val="lrTb"/>
            <w:noWrap w:val="false"/>
          </w:tcPr>
          <w:p>
            <w:pPr>
              <w:pStyle w:val="1100"/>
              <w:rPr>
                <w:rFonts w:ascii="宋体" w:hAnsi="宋体" w:cs="宋体"/>
                <w:sz w:val="24"/>
              </w:rPr>
            </w:pPr>
            <w:r>
              <w:rPr>
                <w:rFonts w:hint="eastAsia" w:ascii="宋体" w:hAnsi="宋体" w:cs="宋体"/>
                <w:sz w:val="24"/>
              </w:rPr>
              <w:t xml:space="preserve">由评标委员会根据投标人投标产品的功能及技术参数要求响应情况进行打分，所投产品技术参数完全满足或优于招标文件“（二）技术参数及功能要求”要求的得满分。技术参数中标注“▲”的为重要参数，每有一项负偏离的扣</w:t>
            </w:r>
            <w:r>
              <w:rPr>
                <w:rFonts w:ascii="宋体" w:hAnsi="宋体" w:cs="宋体"/>
                <w:sz w:val="24"/>
              </w:rPr>
              <w:t xml:space="preserve">3</w:t>
            </w:r>
            <w:r>
              <w:rPr>
                <w:rFonts w:hint="eastAsia" w:ascii="宋体" w:hAnsi="宋体" w:cs="宋体"/>
                <w:sz w:val="24"/>
              </w:rPr>
              <w:t xml:space="preserve">分，扣完为止。</w:t>
            </w:r>
            <w:r>
              <w:rPr>
                <w:rFonts w:ascii="宋体" w:hAnsi="宋体" w:cs="宋体"/>
                <w:sz w:val="24"/>
              </w:rPr>
            </w:r>
            <w:r/>
          </w:p>
          <w:p>
            <w:pPr>
              <w:pStyle w:val="1100"/>
              <w:rPr>
                <w:rFonts w:ascii="宋体" w:hAnsi="宋体" w:cs="宋体"/>
                <w:b/>
                <w:bCs/>
                <w:sz w:val="24"/>
              </w:rPr>
            </w:pPr>
            <w:r>
              <w:rPr>
                <w:rFonts w:hint="eastAsia" w:ascii="宋体" w:hAnsi="宋体" w:cs="宋体"/>
                <w:b/>
                <w:bCs/>
                <w:sz w:val="24"/>
              </w:rPr>
              <w:t xml:space="preserve">注：</w:t>
            </w:r>
            <w:r>
              <w:rPr>
                <w:rFonts w:ascii="宋体" w:hAnsi="宋体" w:cs="宋体"/>
                <w:b/>
                <w:bCs/>
                <w:sz w:val="24"/>
              </w:rPr>
            </w:r>
            <w:r/>
          </w:p>
          <w:p>
            <w:pPr>
              <w:pStyle w:val="1100"/>
              <w:rPr>
                <w:rFonts w:ascii="宋体" w:hAnsi="宋体" w:cs="宋体"/>
                <w:b/>
                <w:bCs/>
                <w:sz w:val="24"/>
              </w:rPr>
            </w:pPr>
            <w:r>
              <w:rPr>
                <w:rFonts w:hint="eastAsia" w:ascii="宋体" w:hAnsi="宋体" w:cs="宋体"/>
                <w:b/>
                <w:bCs/>
                <w:sz w:val="24"/>
              </w:rPr>
              <w:t xml:space="preserve">①投标文件中提供全部技术参数对比列表，并注明偏离情况。</w:t>
            </w:r>
            <w:r>
              <w:rPr>
                <w:rFonts w:ascii="宋体" w:hAnsi="宋体" w:cs="宋体"/>
                <w:b/>
                <w:bCs/>
                <w:sz w:val="24"/>
              </w:rPr>
            </w:r>
            <w:r/>
          </w:p>
          <w:p>
            <w:pPr>
              <w:pStyle w:val="1100"/>
              <w:rPr>
                <w:rFonts w:ascii="宋体" w:hAnsi="宋体" w:cs="宋体"/>
                <w:b/>
                <w:bCs/>
                <w:sz w:val="24"/>
                <w:lang w:bidi="ar"/>
              </w:rPr>
            </w:pPr>
            <w:r>
              <w:rPr>
                <w:rFonts w:hint="eastAsia" w:ascii="宋体" w:hAnsi="宋体" w:cs="宋体"/>
                <w:b/>
                <w:bCs/>
                <w:sz w:val="24"/>
              </w:rPr>
              <w:t xml:space="preserve">②</w:t>
            </w:r>
            <w:r>
              <w:rPr>
                <w:rFonts w:hint="eastAsia" w:ascii="宋体" w:hAnsi="宋体" w:cs="宋体"/>
                <w:b/>
                <w:bCs/>
                <w:sz w:val="24"/>
                <w:lang w:bidi="ar"/>
              </w:rPr>
              <w:t xml:space="preserve">凡标有最低一级序号的指标项即为一项技术参数，无论是否隶属于上一级编号。</w:t>
            </w:r>
            <w:r>
              <w:rPr>
                <w:rFonts w:ascii="宋体" w:hAnsi="宋体" w:cs="宋体"/>
                <w:b/>
                <w:bCs/>
                <w:sz w:val="24"/>
                <w:lang w:bidi="ar"/>
              </w:rPr>
            </w:r>
            <w:r/>
          </w:p>
          <w:p>
            <w:pPr>
              <w:pStyle w:val="1100"/>
              <w:rPr>
                <w:rFonts w:ascii="宋体" w:hAnsi="宋体" w:cs="宋体"/>
                <w:b/>
                <w:bCs/>
                <w:sz w:val="24"/>
              </w:rPr>
            </w:pPr>
            <w:r>
              <w:rPr>
                <w:rFonts w:hint="eastAsia" w:ascii="宋体" w:hAnsi="宋体" w:cs="宋体"/>
                <w:b/>
                <w:bCs/>
                <w:sz w:val="24"/>
                <w:lang w:bidi="ar"/>
              </w:rPr>
              <w:t xml:space="preserve">③</w:t>
            </w:r>
            <w:r>
              <w:rPr>
                <w:rFonts w:hint="eastAsia" w:ascii="宋体" w:hAnsi="宋体" w:cs="宋体"/>
                <w:b/>
                <w:bCs/>
                <w:sz w:val="24"/>
              </w:rPr>
              <w:t xml:space="preserve">“（二）技术参数及功能要求”中明确要求提供相关证明材料的以证明材料为准，其他以承诺的偏离情况为准，未提供证明材料或未列出技术参数对比的不得分。</w:t>
            </w:r>
            <w:r>
              <w:rPr>
                <w:rFonts w:ascii="宋体" w:hAnsi="宋体" w:cs="宋体"/>
                <w:b/>
                <w:bCs/>
                <w:sz w:val="24"/>
              </w:rPr>
            </w:r>
            <w:r/>
          </w:p>
          <w:p>
            <w:pPr>
              <w:pStyle w:val="1100"/>
              <w:rPr>
                <w:rFonts w:ascii="宋体" w:hAnsi="宋体"/>
                <w:sz w:val="24"/>
              </w:rPr>
            </w:pPr>
            <w:r>
              <w:rPr>
                <w:rFonts w:hint="eastAsia" w:ascii="宋体" w:hAnsi="宋体" w:cs="宋体"/>
                <w:b/>
                <w:bCs/>
                <w:sz w:val="24"/>
              </w:rPr>
              <w:t xml:space="preserve">④标注“■”为演示内容，此处不参与评审。</w:t>
            </w:r>
            <w:r>
              <w:rPr>
                <w:rFonts w:ascii="宋体" w:hAnsi="宋体"/>
                <w:sz w:val="24"/>
              </w:rPr>
            </w:r>
            <w:r/>
          </w:p>
        </w:tc>
      </w:tr>
      <w:tr>
        <w:trPr/>
        <w:tc>
          <w:tcPr>
            <w:tcW w:w="401"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3</w:t>
            </w:r>
            <w:r>
              <w:rPr>
                <w:rFonts w:ascii="宋体" w:hAnsi="宋体"/>
                <w:sz w:val="24"/>
              </w:rPr>
              <w:t xml:space="preserve">.4</w:t>
            </w:r>
            <w:r/>
          </w:p>
        </w:tc>
        <w:tc>
          <w:tcPr>
            <w:tcW w:w="705"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功能演示</w:t>
            </w:r>
            <w:r>
              <w:rPr>
                <w:rFonts w:ascii="宋体" w:hAnsi="宋体"/>
                <w:sz w:val="24"/>
              </w:rPr>
            </w:r>
            <w:r/>
          </w:p>
        </w:tc>
        <w:tc>
          <w:tcPr>
            <w:tcW w:w="440"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1</w:t>
            </w:r>
            <w:r>
              <w:rPr>
                <w:rFonts w:ascii="宋体" w:hAnsi="宋体"/>
                <w:sz w:val="24"/>
              </w:rPr>
              <w:t xml:space="preserve">5</w:t>
            </w:r>
            <w:r/>
          </w:p>
        </w:tc>
        <w:tc>
          <w:tcPr>
            <w:tcW w:w="3454" w:type="pct"/>
            <w:vAlign w:val="center"/>
            <w:textDirection w:val="lrTb"/>
            <w:noWrap w:val="false"/>
          </w:tcPr>
          <w:p>
            <w:pPr>
              <w:pStyle w:val="1100"/>
              <w:ind w:right="173"/>
              <w:rPr>
                <w:rFonts w:ascii="宋体" w:hAnsi="宋体" w:cs="宋体"/>
                <w:b/>
                <w:bCs/>
                <w:sz w:val="24"/>
                <w:lang w:val="zh-CN"/>
              </w:rPr>
            </w:pPr>
            <w:r>
              <w:rPr>
                <w:rFonts w:hint="eastAsia" w:ascii="宋体" w:hAnsi="宋体" w:cs="宋体"/>
                <w:b/>
                <w:bCs/>
                <w:sz w:val="24"/>
                <w:lang w:val="zh-CN"/>
              </w:rPr>
              <w:t xml:space="preserve">投标人须在系统中上传演示视频，根据技术参数拍摄演示视频，演示视频要求</w:t>
            </w:r>
            <w:r>
              <w:rPr>
                <w:rFonts w:hint="eastAsia" w:ascii="宋体" w:hAnsi="宋体" w:cs="宋体"/>
                <w:b/>
                <w:bCs/>
                <w:sz w:val="24"/>
              </w:rPr>
              <w:t xml:space="preserve">基于真实的</w:t>
            </w:r>
            <w:r>
              <w:rPr>
                <w:rFonts w:hint="eastAsia" w:ascii="宋体" w:hAnsi="宋体" w:cs="宋体"/>
                <w:b/>
                <w:bCs/>
                <w:sz w:val="24"/>
                <w:lang w:val="zh-CN"/>
              </w:rPr>
              <w:t xml:space="preserve">硬件/软件画面讲解，不得采用图片、PPT、Flash、动画等作为演示。未按要求提供视频的，演示部分不得分。单个产品多项演示的功能均需要在同一款产品中完成，不得以多款产品拼凑演示，视频时长控制在15分钟之内。</w:t>
            </w:r>
            <w:r>
              <w:rPr>
                <w:rFonts w:ascii="宋体" w:hAnsi="宋体" w:cs="宋体"/>
                <w:b/>
                <w:bCs/>
                <w:sz w:val="24"/>
                <w:lang w:val="zh-CN"/>
              </w:rPr>
            </w:r>
            <w:r/>
          </w:p>
          <w:p>
            <w:pPr>
              <w:pStyle w:val="1100"/>
              <w:ind w:right="173"/>
              <w:rPr>
                <w:rFonts w:ascii="宋体" w:hAnsi="宋体" w:cs="宋体"/>
                <w:b/>
                <w:bCs/>
                <w:sz w:val="24"/>
                <w:lang w:val="zh-CN"/>
              </w:rPr>
            </w:pPr>
            <w:r>
              <w:rPr>
                <w:rFonts w:hint="eastAsia" w:ascii="宋体" w:hAnsi="宋体" w:cs="宋体"/>
                <w:b/>
                <w:bCs/>
                <w:sz w:val="24"/>
                <w:lang w:val="zh-CN"/>
              </w:rPr>
              <w:t xml:space="preserve">演示内容包含以下内容：</w:t>
            </w:r>
            <w:r>
              <w:rPr>
                <w:rFonts w:ascii="宋体" w:hAnsi="宋体" w:cs="宋体"/>
                <w:b/>
                <w:bCs/>
                <w:sz w:val="24"/>
                <w:lang w:val="zh-CN"/>
              </w:rPr>
            </w:r>
            <w:r/>
          </w:p>
          <w:p>
            <w:pPr>
              <w:pStyle w:val="1100"/>
              <w:spacing w:line="360" w:lineRule="exact"/>
              <w:rPr>
                <w:rFonts w:ascii="宋体" w:hAnsi="宋体" w:cs="宋体"/>
                <w:spacing w:val="-2"/>
                <w:sz w:val="24"/>
              </w:rPr>
            </w:pPr>
            <w:r>
              <w:rPr>
                <w:rFonts w:hint="eastAsia" w:ascii="宋体" w:hAnsi="宋体" w:cs="宋体"/>
                <w:spacing w:val="-2"/>
                <w:sz w:val="24"/>
              </w:rPr>
              <w:t xml:space="preserve">1.智能电气设计与3D虚拟实操仿真软件</w:t>
            </w:r>
            <w:r>
              <w:rPr>
                <w:rFonts w:ascii="宋体" w:hAnsi="宋体" w:cs="宋体"/>
                <w:spacing w:val="-2"/>
                <w:sz w:val="24"/>
              </w:rPr>
            </w:r>
            <w:r/>
          </w:p>
          <w:p>
            <w:pPr>
              <w:pStyle w:val="1355"/>
              <w:spacing w:before="0" w:line="360" w:lineRule="exact"/>
              <w:rPr>
                <w:rFonts w:cs="宋体"/>
                <w:b/>
                <w:bCs/>
                <w:spacing w:val="-2"/>
              </w:rPr>
            </w:pPr>
            <w:r>
              <w:rPr>
                <w:rFonts w:hint="eastAsia" w:cs="宋体"/>
                <w:spacing w:val="-2"/>
              </w:rPr>
              <w:t xml:space="preserve">■5)交互能力：系统以鼠标点击、拖拽，搭配键盘使用，支持360°全视角旋转、缩放、平移等控制操作。电气原理图设计支持自动接线功能；平台内置实物三维仿真、原理图设计仿真，均支持实验场景自主搭建、编辑、文件导出与导入等功能；3D实物三维仿真实训：用户可以自主完成元器件布局，器件连线。项目完成后可导出标准化文件，实现跨设备、跨终端资源使用。支持项目一键导入，导入后可二次编辑，启动仿真即可开展课堂教学演示。电气接</w:t>
            </w:r>
            <w:r>
              <w:rPr>
                <w:rFonts w:hint="eastAsia" w:cs="宋体"/>
                <w:spacing w:val="-2"/>
              </w:rPr>
              <w:t xml:space="preserve">线仿真具备高度自由，非固定连线模式，支持器件端子间自由连线，与实际接线操作保持一致；电气原理图设计仿真：用户可以自主完成原理图设计、图元排布、逻辑验证；项目编制完成后可导出标准文件，实现教学资源跨设备流转使用。支持原理图项目一键导入，可以对原理图进行修改、内容优化，启动仿真，快速开展教学演示；动态电路仿真功能：原理图设计完成后可一键触发电气回路动态仿真运算，实时可视化，展示回路电流流向、电气元件动作时序（触点通断、信号指示等）。支持电气参数交互式整定与动态调校。实现电气理论、电路原理与故障研判的一体化教学。</w:t>
            </w:r>
            <w:r>
              <w:rPr>
                <w:rFonts w:hint="eastAsia" w:cs="宋体"/>
                <w:b/>
                <w:bCs/>
                <w:spacing w:val="-2"/>
              </w:rPr>
              <w:t xml:space="preserve">（要求投标时提供视频演示，以上功能集成在一个平台，视频演示要求系统主界面统一，不能为多个软件拼凑演示，否则不得分）</w:t>
            </w:r>
            <w:r>
              <w:rPr>
                <w:rFonts w:cs="宋体"/>
                <w:b/>
                <w:bCs/>
                <w:spacing w:val="-2"/>
              </w:rPr>
            </w:r>
            <w:r/>
          </w:p>
          <w:p>
            <w:pPr>
              <w:pStyle w:val="1100"/>
              <w:ind w:firstLine="474"/>
              <w:spacing w:line="360" w:lineRule="exact"/>
              <w:rPr>
                <w:rFonts w:ascii="宋体" w:hAnsi="宋体" w:cs="宋体"/>
                <w:b/>
                <w:bCs/>
                <w:spacing w:val="-2"/>
                <w:sz w:val="24"/>
                <w:lang w:val="zh-CN"/>
              </w:rPr>
            </w:pPr>
            <w:r>
              <w:rPr>
                <w:rFonts w:hint="eastAsia" w:ascii="宋体" w:hAnsi="宋体" w:cs="宋体"/>
                <w:b/>
                <w:bCs/>
                <w:spacing w:val="-2"/>
                <w:sz w:val="24"/>
              </w:rPr>
              <w:t xml:space="preserve">演示完全满足招标文件要求得3分，基本满足要求得1分，没有演示或功能要求不符合招标文件要求的不得分。</w:t>
            </w:r>
            <w:r>
              <w:rPr>
                <w:rFonts w:ascii="宋体" w:hAnsi="宋体" w:cs="宋体"/>
                <w:b/>
                <w:bCs/>
                <w:spacing w:val="-2"/>
                <w:sz w:val="24"/>
                <w:lang w:val="zh-CN"/>
              </w:rPr>
            </w:r>
            <w:r/>
          </w:p>
          <w:p>
            <w:pPr>
              <w:pStyle w:val="1100"/>
              <w:spacing w:line="360" w:lineRule="exact"/>
              <w:rPr>
                <w:rFonts w:ascii="宋体" w:hAnsi="宋体" w:cs="宋体"/>
                <w:spacing w:val="-2"/>
                <w:sz w:val="24"/>
                <w:highlight w:val="yellow"/>
              </w:rPr>
            </w:pPr>
            <w:r>
              <w:rPr>
                <w:rFonts w:hint="eastAsia" w:ascii="宋体" w:hAnsi="宋体" w:cs="宋体"/>
                <w:spacing w:val="-2"/>
                <w:sz w:val="24"/>
                <w:highlight w:val="yellow"/>
              </w:rPr>
              <w:t xml:space="preserve">2</w:t>
            </w:r>
            <w:r>
              <w:rPr>
                <w:rFonts w:ascii="宋体" w:hAnsi="宋体" w:cs="宋体"/>
                <w:spacing w:val="-2"/>
                <w:sz w:val="24"/>
                <w:highlight w:val="yellow"/>
              </w:rPr>
              <w:t xml:space="preserve">.</w:t>
            </w:r>
            <w:r>
              <w:rPr>
                <w:rFonts w:ascii="宋体" w:hAnsi="宋体" w:cs="宋体"/>
                <w:spacing w:val="-2"/>
                <w:sz w:val="24"/>
                <w:highlight w:val="yellow"/>
              </w:rPr>
              <w:t xml:space="preserve">智能化实训室</w:t>
            </w:r>
            <w:r>
              <w:rPr>
                <w:rFonts w:hint="eastAsia" w:ascii="宋体" w:hAnsi="宋体" w:cs="宋体"/>
                <w:spacing w:val="-2"/>
                <w:sz w:val="24"/>
                <w:highlight w:val="yellow"/>
              </w:rPr>
              <w:t xml:space="preserve">管理</w:t>
            </w:r>
            <w:r>
              <w:rPr>
                <w:rFonts w:ascii="宋体" w:hAnsi="宋体" w:cs="宋体"/>
                <w:spacing w:val="-2"/>
                <w:sz w:val="24"/>
                <w:highlight w:val="yellow"/>
              </w:rPr>
              <w:t xml:space="preserve">系统</w:t>
            </w:r>
            <w:r>
              <w:rPr>
                <w:rFonts w:hint="eastAsia" w:ascii="宋体" w:hAnsi="宋体" w:cs="宋体"/>
                <w:spacing w:val="-2"/>
                <w:sz w:val="24"/>
                <w:highlight w:val="yellow"/>
              </w:rPr>
              <w:t xml:space="preserve">，</w:t>
            </w:r>
            <w:r>
              <w:rPr>
                <w:rFonts w:ascii="宋体" w:hAnsi="宋体" w:cs="宋体"/>
                <w:spacing w:val="-2"/>
                <w:sz w:val="24"/>
                <w:highlight w:val="yellow"/>
              </w:rPr>
              <w:t xml:space="preserve">技术功能如下：</w:t>
            </w:r>
            <w:r/>
          </w:p>
          <w:p>
            <w:pPr>
              <w:pStyle w:val="1100"/>
              <w:ind w:firstLine="472"/>
              <w:spacing w:line="360" w:lineRule="exact"/>
              <w:rPr>
                <w:rFonts w:ascii="宋体" w:hAnsi="宋体" w:cs="宋体"/>
                <w:spacing w:val="-2"/>
                <w:sz w:val="24"/>
              </w:rPr>
            </w:pPr>
            <w:r>
              <w:rPr>
                <w:rFonts w:hint="eastAsia" w:ascii="宋体" w:hAnsi="宋体" w:cs="宋体"/>
                <w:spacing w:val="-2"/>
                <w:sz w:val="24"/>
                <w:highlight w:val="yellow"/>
              </w:rPr>
              <w:t xml:space="preserve">■</w:t>
            </w:r>
            <w:r>
              <w:rPr>
                <w:rFonts w:ascii="宋体" w:hAnsi="宋体" w:cs="宋体"/>
                <w:spacing w:val="-2"/>
                <w:sz w:val="24"/>
                <w:highlight w:val="yellow"/>
              </w:rPr>
              <w:t xml:space="preserve">（</w:t>
            </w:r>
            <w:r>
              <w:rPr>
                <w:rFonts w:hint="eastAsia" w:ascii="宋体" w:hAnsi="宋体" w:cs="宋体"/>
                <w:spacing w:val="-2"/>
                <w:sz w:val="24"/>
                <w:highlight w:val="yellow"/>
              </w:rPr>
              <w:t xml:space="preserve">3</w:t>
            </w:r>
            <w:r>
              <w:rPr>
                <w:rFonts w:ascii="宋体" w:hAnsi="宋体" w:cs="宋体"/>
                <w:spacing w:val="-2"/>
                <w:sz w:val="24"/>
                <w:highlight w:val="yellow"/>
              </w:rPr>
              <w:t xml:space="preserve">）</w:t>
            </w:r>
            <w:r>
              <w:rPr>
                <w:rFonts w:hint="eastAsia" w:ascii="宋体" w:hAnsi="宋体" w:cs="宋体"/>
                <w:spacing w:val="-2"/>
                <w:sz w:val="24"/>
                <w:highlight w:val="yellow"/>
              </w:rPr>
              <w:t xml:space="preserve">设备管理模块（投标时提供视频逐条演示）：包含远程智能电源管理，设备控制支持查看实训室列表（实训中心名称、实训室名称、创建时间、电源状态）并对总电源开启或关闭；考试设置支持查看实训室列表（实训中心名称、实训室名称、创建时间、考试状态），支持开始或结束考试，并支持实训台多选批量操作，考试设置融入 AI 技术，支持录入考试名称、持续时间、语音提醒等考试信息，考题管理涵盖题目类型、难度等级、归属题库、题目内容、题目解析，AI 一键出题可按学</w:t>
            </w:r>
            <w:r>
              <w:rPr>
                <w:rFonts w:hint="eastAsia" w:ascii="宋体" w:hAnsi="宋体" w:cs="宋体"/>
                <w:spacing w:val="-2"/>
                <w:sz w:val="24"/>
                <w:highlight w:val="yellow"/>
              </w:rPr>
              <w:t xml:space="preserve">科、知识点、技能关键字及出题数量一键导入题库；支持查看仪器设备列表（设备名称、设备图片、设备状态、设备编号、操作员、规格型号、单位、设备种类）；支持设备预约及预约列表查看（设备名称、设备图片、设备状态、设备编号、预约时间、预约理由、规格型号），可对预约申请通过或拒绝；支持查看设备维修列表（设备名称、设备图片、设备状态、设备编号、维修人、规格型号、维修工时、维修原因）并完成维修；支持查看厂家列表（厂家名称、链接、联系方式、地址）；微信小程序端含设备列表、设备预约、设备维修、设备报废四个子项目，均支持列表查看。</w:t>
            </w:r>
            <w:r>
              <w:rPr>
                <w:rFonts w:ascii="宋体" w:hAnsi="宋体" w:cs="宋体"/>
                <w:spacing w:val="-2"/>
                <w:sz w:val="24"/>
              </w:rPr>
            </w:r>
            <w:r/>
          </w:p>
          <w:p>
            <w:pPr>
              <w:pStyle w:val="1100"/>
              <w:ind w:firstLine="474"/>
              <w:spacing w:line="360" w:lineRule="exact"/>
              <w:rPr>
                <w:rFonts w:ascii="宋体" w:hAnsi="宋体"/>
                <w:b/>
                <w:bCs/>
                <w:sz w:val="24"/>
                <w:lang w:val="zh-CN"/>
              </w:rPr>
            </w:pPr>
            <w:r>
              <w:rPr>
                <w:rFonts w:hint="eastAsia" w:ascii="宋体" w:hAnsi="宋体" w:cs="宋体"/>
                <w:b/>
                <w:bCs/>
                <w:spacing w:val="-2"/>
                <w:sz w:val="24"/>
              </w:rPr>
              <w:t xml:space="preserve">演示完全满足招标文件要求得3分，基本满足要求得1分，没有演示或功能要求不符合招标文件要求的不得分。</w:t>
            </w:r>
            <w:r>
              <w:rPr>
                <w:rFonts w:ascii="宋体" w:hAnsi="宋体"/>
                <w:b/>
                <w:bCs/>
                <w:sz w:val="24"/>
                <w:lang w:val="zh-CN"/>
              </w:rPr>
            </w:r>
            <w:r/>
          </w:p>
          <w:p>
            <w:pPr>
              <w:pStyle w:val="1100"/>
              <w:spacing w:line="360" w:lineRule="exact"/>
              <w:rPr>
                <w:rFonts w:ascii="宋体" w:hAnsi="宋体" w:cs="宋体"/>
                <w:bCs/>
                <w:sz w:val="24"/>
              </w:rPr>
            </w:pPr>
            <w:r>
              <w:rPr>
                <w:rFonts w:hint="eastAsia" w:ascii="宋体" w:hAnsi="宋体" w:cs="宋体"/>
                <w:sz w:val="24"/>
              </w:rPr>
              <w:t xml:space="preserve">3.PLC</w:t>
            </w:r>
            <w:r>
              <w:rPr>
                <w:rFonts w:ascii="宋体" w:hAnsi="宋体" w:cs="宋体"/>
                <w:sz w:val="24"/>
              </w:rPr>
              <w:t xml:space="preserve">智能场景教学系统</w:t>
            </w:r>
            <w:r>
              <w:rPr>
                <w:rFonts w:hint="eastAsia" w:ascii="宋体" w:hAnsi="宋体" w:cs="宋体"/>
                <w:sz w:val="24"/>
              </w:rPr>
              <w:t xml:space="preserve">:</w:t>
            </w:r>
            <w:r>
              <w:rPr>
                <w:rFonts w:ascii="宋体" w:hAnsi="宋体" w:cs="宋体"/>
                <w:bCs/>
                <w:sz w:val="24"/>
              </w:rPr>
            </w:r>
            <w:r/>
          </w:p>
          <w:p>
            <w:pPr>
              <w:pStyle w:val="1100"/>
              <w:ind w:firstLine="472"/>
              <w:spacing w:line="360" w:lineRule="exact"/>
              <w:rPr>
                <w:rFonts w:ascii="宋体" w:hAnsi="宋体" w:cs="宋体"/>
                <w:spacing w:val="-2"/>
                <w:sz w:val="24"/>
              </w:rPr>
            </w:pPr>
            <w:r>
              <w:rPr>
                <w:rFonts w:hint="eastAsia" w:ascii="宋体" w:hAnsi="宋体" w:cs="宋体"/>
                <w:spacing w:val="-2"/>
                <w:sz w:val="24"/>
              </w:rPr>
              <w:t xml:space="preserve">■（8）提供至少提供基本指令练习、LED数码显示、天塔之光、水塔水位、十字路口交通灯、机械手、装配流水线、四节传送带、自控轧钢机、自控成型机、多种液体混合装置、音乐喷泉、舞台灯光模拟、运料小车模拟、自动洗衣机控制、四相步进电机模拟、艺术灯模拟、喷泉模拟控制、舞台艺术灯控制、抢答器控制等实训模块。（提供任意10种模块视频演示，体现磁吸定位、自动识别模块语音示教演示；演示任意一种模块的实验讲解，包含接线、示教模式和PLC控制讲解）</w:t>
            </w:r>
            <w:r>
              <w:rPr>
                <w:rFonts w:ascii="宋体" w:hAnsi="宋体" w:cs="宋体"/>
                <w:spacing w:val="-2"/>
                <w:sz w:val="24"/>
              </w:rPr>
            </w:r>
            <w:r/>
          </w:p>
          <w:p>
            <w:pPr>
              <w:pStyle w:val="1100"/>
              <w:ind w:firstLine="474"/>
              <w:spacing w:line="360" w:lineRule="exact"/>
              <w:rPr>
                <w:rFonts w:ascii="宋体" w:hAnsi="宋体"/>
                <w:sz w:val="24"/>
                <w:lang w:val="zh-CN"/>
              </w:rPr>
            </w:pPr>
            <w:r>
              <w:rPr>
                <w:rFonts w:hint="eastAsia" w:ascii="宋体" w:hAnsi="宋体" w:cs="宋体"/>
                <w:b/>
                <w:bCs/>
                <w:spacing w:val="-2"/>
                <w:sz w:val="24"/>
              </w:rPr>
              <w:t xml:space="preserve">演示完全满足招标文件要求得3分，基本满足要求得1分，没有演示或功能要求不符合招标文件要求的不得分。</w:t>
            </w:r>
            <w:r>
              <w:rPr>
                <w:rFonts w:ascii="宋体" w:hAnsi="宋体"/>
                <w:sz w:val="24"/>
                <w:lang w:val="zh-CN"/>
              </w:rPr>
            </w:r>
            <w:r/>
          </w:p>
          <w:p>
            <w:pPr>
              <w:pStyle w:val="1100"/>
              <w:spacing w:line="276" w:lineRule="auto"/>
              <w:rPr>
                <w:rFonts w:ascii="宋体" w:hAnsi="宋体" w:cs="宋体"/>
                <w:sz w:val="24"/>
              </w:rPr>
            </w:pPr>
            <w:r>
              <w:rPr>
                <w:rFonts w:hint="eastAsia" w:ascii="宋体" w:hAnsi="宋体" w:cs="宋体"/>
                <w:sz w:val="24"/>
              </w:rPr>
              <w:t xml:space="preserve">4.智能电气参数</w:t>
            </w:r>
            <w:r>
              <w:rPr>
                <w:rFonts w:ascii="宋体" w:hAnsi="宋体" w:cs="宋体"/>
                <w:sz w:val="24"/>
              </w:rPr>
              <w:t xml:space="preserve">测试仪</w:t>
            </w:r>
            <w:r/>
          </w:p>
          <w:p>
            <w:pPr>
              <w:pStyle w:val="1100"/>
              <w:ind w:firstLine="472"/>
              <w:spacing w:line="276" w:lineRule="auto"/>
              <w:rPr>
                <w:rFonts w:ascii="宋体" w:hAnsi="宋体" w:cs="宋体"/>
                <w:sz w:val="24"/>
              </w:rPr>
            </w:pPr>
            <w:r>
              <w:rPr>
                <w:rFonts w:hint="eastAsia" w:ascii="宋体" w:hAnsi="宋体" w:cs="宋体"/>
                <w:spacing w:val="-2"/>
                <w:sz w:val="24"/>
              </w:rPr>
              <w:t xml:space="preserve">■</w:t>
            </w:r>
            <w:r>
              <w:rPr>
                <w:rFonts w:hint="eastAsia" w:ascii="宋体" w:hAnsi="宋体" w:cs="宋体"/>
                <w:sz w:val="24"/>
              </w:rPr>
              <w:t xml:space="preserve">（3）软件功能</w:t>
            </w:r>
            <w:r>
              <w:rPr>
                <w:rFonts w:hint="eastAsia" w:ascii="宋体" w:hAnsi="宋体" w:cs="宋体"/>
                <w:b/>
                <w:bCs/>
                <w:sz w:val="24"/>
              </w:rPr>
              <w:t xml:space="preserve">（以下功能要求投标时提供视频）</w:t>
            </w:r>
            <w:r>
              <w:rPr>
                <w:rFonts w:ascii="宋体" w:hAnsi="宋体" w:cs="宋体"/>
                <w:sz w:val="24"/>
              </w:rPr>
            </w:r>
            <w:r/>
          </w:p>
          <w:p>
            <w:pPr>
              <w:pStyle w:val="1100"/>
              <w:ind w:firstLine="480"/>
              <w:spacing w:line="276" w:lineRule="auto"/>
              <w:rPr>
                <w:rFonts w:ascii="宋体" w:hAnsi="宋体" w:cs="宋体"/>
                <w:sz w:val="24"/>
              </w:rPr>
            </w:pPr>
            <w:r>
              <w:rPr>
                <w:rFonts w:hint="eastAsia" w:ascii="宋体" w:hAnsi="宋体" w:cs="宋体"/>
                <w:sz w:val="24"/>
              </w:rPr>
              <w:t xml:space="preserve">1）用户管理：一台设备支持同时≥4名学生同时登录，记录不少于以下内容：“班级”“学号”“姓名”，用于后续实验报告的生成及教师端管理。</w:t>
            </w:r>
            <w:r>
              <w:rPr>
                <w:rFonts w:ascii="宋体" w:hAnsi="宋体" w:cs="宋体"/>
                <w:sz w:val="24"/>
              </w:rPr>
            </w:r>
            <w:r/>
          </w:p>
          <w:p>
            <w:pPr>
              <w:pStyle w:val="1100"/>
              <w:ind w:firstLine="480"/>
              <w:spacing w:line="276" w:lineRule="auto"/>
              <w:rPr>
                <w:rFonts w:ascii="宋体" w:hAnsi="宋体" w:cs="宋体"/>
                <w:sz w:val="24"/>
              </w:rPr>
            </w:pPr>
            <w:r>
              <w:rPr>
                <w:rFonts w:hint="eastAsia" w:ascii="宋体" w:hAnsi="宋体" w:cs="宋体"/>
                <w:sz w:val="24"/>
              </w:rPr>
              <w:t xml:space="preserve">2）仪表显示界面：可同时显示4路电压电流表及稳压/恒流源输出控制。</w:t>
            </w:r>
            <w:r>
              <w:rPr>
                <w:rFonts w:ascii="宋体" w:hAnsi="宋体" w:cs="宋体"/>
                <w:sz w:val="24"/>
              </w:rPr>
            </w:r>
            <w:r/>
          </w:p>
          <w:p>
            <w:pPr>
              <w:pStyle w:val="1100"/>
              <w:ind w:firstLine="480"/>
              <w:spacing w:line="276" w:lineRule="auto"/>
              <w:rPr>
                <w:rFonts w:ascii="宋体" w:hAnsi="宋体" w:cs="宋体"/>
                <w:sz w:val="24"/>
              </w:rPr>
            </w:pPr>
            <w:r>
              <w:rPr>
                <w:rFonts w:hint="eastAsia" w:ascii="宋体" w:hAnsi="宋体" w:cs="宋体"/>
                <w:sz w:val="24"/>
              </w:rPr>
              <w:t xml:space="preserve">3）开放性实验界面：可自选多路采集通道，记录表格与曲线绘制，曲线绘制有Y-T模式及X-Y模式。数据可以下载到U盘。</w:t>
            </w:r>
            <w:r>
              <w:rPr>
                <w:rFonts w:ascii="宋体" w:hAnsi="宋体" w:cs="宋体"/>
                <w:sz w:val="24"/>
              </w:rPr>
            </w:r>
            <w:r/>
          </w:p>
          <w:p>
            <w:pPr>
              <w:pStyle w:val="1100"/>
              <w:ind w:firstLine="480"/>
              <w:spacing w:line="276" w:lineRule="auto"/>
              <w:rPr>
                <w:rFonts w:ascii="宋体" w:hAnsi="宋体" w:cs="宋体"/>
                <w:sz w:val="24"/>
              </w:rPr>
            </w:pPr>
            <w:r>
              <w:rPr>
                <w:rFonts w:hint="eastAsia" w:ascii="宋体" w:hAnsi="宋体" w:cs="宋体"/>
                <w:sz w:val="24"/>
              </w:rPr>
              <w:t xml:space="preserve">4）设置界面：可进行WIFI配置与网络IP地址设置，设备台号设置等操作。</w:t>
            </w:r>
            <w:r>
              <w:rPr>
                <w:rFonts w:ascii="宋体" w:hAnsi="宋体" w:cs="宋体"/>
                <w:sz w:val="24"/>
              </w:rPr>
            </w:r>
            <w:r/>
          </w:p>
          <w:p>
            <w:pPr>
              <w:pStyle w:val="1100"/>
              <w:ind w:firstLine="480"/>
              <w:spacing w:line="276" w:lineRule="auto"/>
              <w:rPr>
                <w:rFonts w:ascii="宋体" w:hAnsi="宋体" w:cs="宋体"/>
                <w:sz w:val="24"/>
              </w:rPr>
            </w:pPr>
            <w:r>
              <w:rPr>
                <w:rFonts w:hint="eastAsia" w:ascii="宋体" w:hAnsi="宋体" w:cs="宋体"/>
                <w:sz w:val="24"/>
              </w:rPr>
              <w:t xml:space="preserve">5）内置轻量级AI模型，能在实验过程中对实时表格数据进行分析与智能问题诊断，帮助学生快速定位操作失误或理解偏差。</w:t>
            </w:r>
            <w:r>
              <w:rPr>
                <w:rFonts w:ascii="宋体" w:hAnsi="宋体" w:cs="宋体"/>
                <w:sz w:val="24"/>
              </w:rPr>
            </w:r>
            <w:r/>
          </w:p>
          <w:p>
            <w:pPr>
              <w:pStyle w:val="1100"/>
              <w:ind w:firstLine="480"/>
              <w:spacing w:line="276" w:lineRule="auto"/>
              <w:rPr>
                <w:rFonts w:ascii="宋体" w:hAnsi="宋体" w:cs="宋体"/>
                <w:sz w:val="24"/>
              </w:rPr>
            </w:pPr>
            <w:r>
              <w:rPr>
                <w:rFonts w:hint="eastAsia" w:ascii="宋体" w:hAnsi="宋体" w:cs="宋体"/>
                <w:sz w:val="24"/>
              </w:rPr>
              <w:t xml:space="preserve">6）有局域网监控管理软件，在同一局域网内，可通过监控管理软件进行实验数据接收、学生管理、远程显示实验界面与操控等功能。</w:t>
            </w:r>
            <w:r>
              <w:rPr>
                <w:rFonts w:ascii="宋体" w:hAnsi="宋体" w:cs="宋体"/>
                <w:sz w:val="24"/>
              </w:rPr>
            </w:r>
            <w:r/>
          </w:p>
          <w:p>
            <w:pPr>
              <w:pStyle w:val="1100"/>
              <w:ind w:firstLine="474"/>
              <w:spacing w:line="360" w:lineRule="exact"/>
              <w:rPr>
                <w:rFonts w:ascii="宋体" w:hAnsi="宋体"/>
                <w:sz w:val="24"/>
                <w:lang w:val="zh-CN"/>
              </w:rPr>
            </w:pPr>
            <w:r>
              <w:rPr>
                <w:rFonts w:hint="eastAsia" w:ascii="宋体" w:hAnsi="宋体" w:cs="宋体"/>
                <w:b/>
                <w:bCs/>
                <w:spacing w:val="-2"/>
                <w:sz w:val="24"/>
              </w:rPr>
              <w:t xml:space="preserve">演示完全满足招标文件要求得3分，基本满足要求得1分，没有演示或功能要求不符合招标文件要求的不得分。</w:t>
            </w:r>
            <w:r>
              <w:rPr>
                <w:rFonts w:ascii="宋体" w:hAnsi="宋体"/>
                <w:sz w:val="24"/>
                <w:lang w:val="zh-CN"/>
              </w:rPr>
            </w:r>
            <w:r/>
          </w:p>
          <w:p>
            <w:pPr>
              <w:pStyle w:val="1100"/>
              <w:spacing w:line="276" w:lineRule="auto"/>
              <w:rPr>
                <w:rFonts w:ascii="宋体" w:hAnsi="宋体" w:cs="宋体"/>
                <w:sz w:val="24"/>
              </w:rPr>
            </w:pPr>
            <w:r>
              <w:rPr>
                <w:rFonts w:hint="eastAsia" w:ascii="宋体" w:hAnsi="宋体" w:cs="宋体"/>
                <w:sz w:val="24"/>
              </w:rPr>
              <w:t xml:space="preserve">5.仿真与数字孪生软件：</w:t>
            </w:r>
            <w:r>
              <w:rPr>
                <w:rFonts w:ascii="宋体" w:hAnsi="宋体" w:cs="宋体"/>
                <w:sz w:val="24"/>
              </w:rPr>
            </w:r>
            <w:r/>
          </w:p>
          <w:p>
            <w:pPr>
              <w:pStyle w:val="1100"/>
              <w:ind w:firstLine="480"/>
              <w:spacing w:line="276" w:lineRule="auto"/>
              <w:rPr>
                <w:rFonts w:ascii="宋体" w:hAnsi="宋体" w:cs="宋体"/>
                <w:sz w:val="24"/>
              </w:rPr>
            </w:pPr>
            <w:r>
              <w:rPr>
                <w:rFonts w:hint="eastAsia" w:ascii="宋体" w:hAnsi="宋体" w:cs="宋体"/>
                <w:sz w:val="24"/>
              </w:rPr>
              <w:t xml:space="preserve">■6）电气信号连接图设计：电气符号用图形表示，有名称与内部端口号。用画线方式连接不同端口，不同类型端口用不同颜色线条表示，完成的电气信号连接图后可导出Excel格式I/O表；在线更新：软件从云端检测是否有新版本，并提示相应操作。3D模型支持云端更新，软件可查看云端模型并可在仿真场景内使用；组态软件调试：组态软件开发的模拟人机界面，可控制虚拟PLC，对仿真场景的虚拟设备进行操作；自动考评：软件具有数据实时采集与分析、自动评分功能。先由教师在软件上出题，自动生成评分规则，学员在考核过程中，软件实</w:t>
            </w:r>
            <w:r>
              <w:rPr>
                <w:rFonts w:hint="eastAsia" w:ascii="宋体" w:hAnsi="宋体" w:cs="宋体"/>
                <w:sz w:val="24"/>
              </w:rPr>
              <w:t xml:space="preserve">时记录学员的操作过程、执行结果、异常事件，并根据考试评分规则计算最终成绩；支持云端实验：可与配套的教学资源网站完成在线实验，步骤包括但不限于：课件学习、视频学习、在线做仿真实验、工程下载、工程打开、开始考试、完成考试自动考评、上传考试结果；数字孪生实训项目：包含“基本指令练习模块”、“温度调节闭环系统模块（工业级）”、“水塔水位”、“直流调速闭环系统模块（工业级）”、“三层电梯模块（实物）”、“伺服系统运动控制”和“步进系统运控控制”模块1：1数字孪生实训界面。（需体现7种实物模块与孪生虚拟对象1:1动作）</w:t>
            </w:r>
            <w:r>
              <w:rPr>
                <w:rFonts w:ascii="宋体" w:hAnsi="宋体" w:cs="宋体"/>
                <w:sz w:val="24"/>
              </w:rPr>
            </w:r>
            <w:r/>
          </w:p>
          <w:p>
            <w:pPr>
              <w:pStyle w:val="1100"/>
              <w:rPr>
                <w:rFonts w:ascii="宋体" w:hAnsi="宋体"/>
                <w:sz w:val="24"/>
              </w:rPr>
            </w:pPr>
            <w:r>
              <w:rPr>
                <w:rFonts w:hint="eastAsia" w:ascii="宋体" w:hAnsi="宋体" w:cs="宋体"/>
                <w:b/>
                <w:bCs/>
                <w:spacing w:val="-2"/>
                <w:sz w:val="24"/>
              </w:rPr>
              <w:t xml:space="preserve">演示完全满足招标文件要求得3分，基本满足要求得1分，没有演示或功能要求不符合招标文件要求的不得分。</w:t>
            </w:r>
            <w:r>
              <w:rPr>
                <w:rFonts w:ascii="宋体" w:hAnsi="宋体"/>
                <w:sz w:val="24"/>
              </w:rPr>
            </w:r>
            <w:r/>
          </w:p>
        </w:tc>
      </w:tr>
      <w:tr>
        <w:trPr>
          <w:trHeight w:val="548"/>
        </w:trPr>
        <w:tc>
          <w:tcPr>
            <w:tcW w:w="401"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3</w:t>
            </w:r>
            <w:r>
              <w:rPr>
                <w:rFonts w:ascii="宋体" w:hAnsi="宋体"/>
                <w:sz w:val="24"/>
              </w:rPr>
              <w:t xml:space="preserve">.5</w:t>
            </w:r>
            <w:r>
              <w:rPr>
                <w:rFonts w:ascii="宋体" w:hAnsi="宋体"/>
                <w:sz w:val="24"/>
              </w:rPr>
            </w:r>
            <w:r/>
          </w:p>
        </w:tc>
        <w:tc>
          <w:tcPr>
            <w:tcW w:w="705" w:type="pct"/>
            <w:vAlign w:val="center"/>
            <w:textDirection w:val="lrTb"/>
            <w:noWrap w:val="false"/>
          </w:tcPr>
          <w:p>
            <w:pPr>
              <w:pStyle w:val="1100"/>
              <w:ind w:firstLine="28"/>
              <w:jc w:val="center"/>
              <w:rPr>
                <w:rFonts w:ascii="宋体" w:hAnsi="宋体"/>
                <w:sz w:val="24"/>
              </w:rPr>
            </w:pPr>
            <w:r>
              <w:rPr>
                <w:rFonts w:ascii="宋体" w:hAnsi="宋体"/>
                <w:sz w:val="24"/>
              </w:rPr>
              <w:t xml:space="preserve">政策性</w:t>
            </w:r>
            <w:r>
              <w:rPr>
                <w:rFonts w:hint="eastAsia" w:ascii="宋体" w:hAnsi="宋体"/>
                <w:sz w:val="24"/>
              </w:rPr>
              <w:t xml:space="preserve">得</w:t>
            </w:r>
            <w:r>
              <w:rPr>
                <w:rFonts w:ascii="宋体" w:hAnsi="宋体"/>
                <w:sz w:val="24"/>
              </w:rPr>
              <w:t xml:space="preserve">分</w:t>
            </w:r>
            <w:r/>
          </w:p>
        </w:tc>
        <w:tc>
          <w:tcPr>
            <w:tcW w:w="440" w:type="pct"/>
            <w:vAlign w:val="center"/>
            <w:textDirection w:val="lrTb"/>
            <w:noWrap w:val="false"/>
          </w:tcPr>
          <w:p>
            <w:pPr>
              <w:pStyle w:val="1100"/>
              <w:ind w:firstLine="28"/>
              <w:jc w:val="center"/>
              <w:rPr>
                <w:rFonts w:ascii="宋体" w:hAnsi="宋体"/>
                <w:sz w:val="24"/>
              </w:rPr>
            </w:pPr>
            <w:r>
              <w:rPr>
                <w:rFonts w:hint="eastAsia" w:ascii="宋体" w:hAnsi="宋体"/>
                <w:sz w:val="24"/>
              </w:rPr>
              <w:t xml:space="preserve">1</w:t>
            </w:r>
            <w:r>
              <w:rPr>
                <w:rFonts w:ascii="宋体" w:hAnsi="宋体"/>
                <w:sz w:val="24"/>
              </w:rPr>
            </w:r>
            <w:r/>
          </w:p>
        </w:tc>
        <w:tc>
          <w:tcPr>
            <w:tcW w:w="3454" w:type="pct"/>
            <w:vAlign w:val="center"/>
            <w:textDirection w:val="lrTb"/>
            <w:noWrap w:val="false"/>
          </w:tcPr>
          <w:p>
            <w:pPr>
              <w:pStyle w:val="1100"/>
              <w:jc w:val="left"/>
              <w:rPr>
                <w:rFonts w:ascii="宋体" w:hAnsi="宋体" w:cs="宋体"/>
                <w:sz w:val="24"/>
                <w:lang w:bidi="ar"/>
              </w:rPr>
            </w:pPr>
            <w:r>
              <w:rPr>
                <w:rFonts w:hint="eastAsia" w:ascii="宋体" w:hAnsi="宋体" w:cs="宋体"/>
                <w:sz w:val="24"/>
                <w:lang w:bidi="ar"/>
              </w:rPr>
              <w:t xml:space="preserve">1.投标产品属于财政部、国家发改委公布的“节能产品品目清单”范围内的，投标人提供国家确定的认证机构出具的、处于有效期之内的该节能产品认证证书复印件的，得0.5分。</w:t>
            </w:r>
            <w:r>
              <w:rPr>
                <w:rFonts w:ascii="宋体" w:hAnsi="宋体" w:cs="宋体"/>
                <w:sz w:val="24"/>
                <w:lang w:bidi="ar"/>
              </w:rPr>
            </w:r>
            <w:r/>
          </w:p>
          <w:p>
            <w:pPr>
              <w:pStyle w:val="1100"/>
              <w:rPr>
                <w:rFonts w:ascii="宋体" w:hAnsi="宋体"/>
                <w:sz w:val="24"/>
              </w:rPr>
            </w:pPr>
            <w:r>
              <w:rPr>
                <w:rFonts w:hint="eastAsia" w:ascii="宋体" w:hAnsi="宋体" w:cs="宋体"/>
                <w:sz w:val="24"/>
                <w:lang w:bidi="ar"/>
              </w:rPr>
              <w:t xml:space="preserve">2.投标产品属于财政部、生态环境部公布的“环境标志产品品目清单”范围内的，投标人提供国家确定的认证机构出具的、处于有效期内的该投标产品环境标志产品认证证书复印件的，得0.5分。</w:t>
            </w:r>
            <w:r>
              <w:rPr>
                <w:rFonts w:ascii="宋体" w:hAnsi="宋体"/>
                <w:sz w:val="24"/>
              </w:rPr>
            </w:r>
            <w:r/>
          </w:p>
        </w:tc>
      </w:tr>
      <w:tr>
        <w:trPr/>
        <w:tc>
          <w:tcPr>
            <w:gridSpan w:val="2"/>
            <w:tcW w:w="1106" w:type="pct"/>
            <w:vAlign w:val="center"/>
            <w:textDirection w:val="lrTb"/>
            <w:noWrap w:val="false"/>
          </w:tcPr>
          <w:p>
            <w:pPr>
              <w:pStyle w:val="1100"/>
              <w:ind w:firstLine="28"/>
              <w:jc w:val="center"/>
              <w:rPr>
                <w:rFonts w:ascii="宋体" w:hAnsi="宋体"/>
                <w:sz w:val="24"/>
              </w:rPr>
            </w:pPr>
            <w:r>
              <w:rPr>
                <w:rFonts w:ascii="宋体" w:hAnsi="宋体"/>
                <w:sz w:val="24"/>
              </w:rPr>
              <w:t xml:space="preserve">合计</w:t>
            </w:r>
            <w:r/>
          </w:p>
        </w:tc>
        <w:tc>
          <w:tcPr>
            <w:tcW w:w="440" w:type="pct"/>
            <w:vAlign w:val="center"/>
            <w:textDirection w:val="lrTb"/>
            <w:noWrap w:val="false"/>
          </w:tcPr>
          <w:p>
            <w:pPr>
              <w:pStyle w:val="1100"/>
              <w:ind w:firstLine="28"/>
              <w:jc w:val="center"/>
              <w:rPr>
                <w:rFonts w:ascii="宋体" w:hAnsi="宋体"/>
                <w:sz w:val="24"/>
              </w:rPr>
            </w:pPr>
            <w:r>
              <w:rPr>
                <w:rFonts w:ascii="宋体" w:hAnsi="宋体"/>
                <w:sz w:val="24"/>
              </w:rPr>
              <w:t xml:space="preserve">100</w:t>
            </w:r>
            <w:r/>
          </w:p>
        </w:tc>
        <w:tc>
          <w:tcPr>
            <w:tcW w:w="3454" w:type="pct"/>
            <w:vAlign w:val="center"/>
            <w:textDirection w:val="lrTb"/>
            <w:noWrap w:val="false"/>
          </w:tcPr>
          <w:p>
            <w:pPr>
              <w:pStyle w:val="1100"/>
              <w:rPr>
                <w:rFonts w:ascii="宋体" w:hAnsi="宋体"/>
                <w:sz w:val="24"/>
              </w:rPr>
            </w:pPr>
            <w:r>
              <w:rPr>
                <w:rFonts w:ascii="宋体" w:hAnsi="宋体"/>
                <w:sz w:val="24"/>
              </w:rPr>
            </w:r>
            <w:r/>
          </w:p>
        </w:tc>
      </w:tr>
    </w:tbl>
    <w:p>
      <w:pPr>
        <w:pStyle w:val="1100"/>
        <w:ind w:left="1080"/>
        <w:spacing w:line="360" w:lineRule="auto"/>
        <w:tabs>
          <w:tab w:val="left" w:pos="360" w:leader="none"/>
          <w:tab w:val="left" w:pos="1080" w:leader="none"/>
        </w:tabs>
        <w:rPr>
          <w:rFonts w:ascii="宋体" w:hAnsi="宋体"/>
          <w:sz w:val="24"/>
        </w:rPr>
      </w:pPr>
      <w:r>
        <w:rPr>
          <w:rFonts w:ascii="宋体" w:hAnsi="宋体"/>
          <w:sz w:val="24"/>
        </w:rPr>
      </w:r>
      <w:r/>
    </w:p>
    <w:p>
      <w:pPr>
        <w:pStyle w:val="1100"/>
        <w:jc w:val="left"/>
        <w:widowControl/>
        <w:rPr>
          <w:rFonts w:ascii="宋体" w:hAnsi="宋体"/>
          <w:b/>
          <w:sz w:val="36"/>
          <w:szCs w:val="36"/>
        </w:rPr>
      </w:pPr>
      <w:r>
        <w:rPr>
          <w:rFonts w:ascii="宋体" w:hAnsi="宋体"/>
          <w:b/>
          <w:sz w:val="36"/>
          <w:szCs w:val="36"/>
        </w:rPr>
      </w:r>
      <w:r/>
    </w:p>
    <w:p>
      <w:pPr>
        <w:pStyle w:val="1100"/>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1195"/>
        <w:numPr>
          <w:ilvl w:val="0"/>
          <w:numId w:val="28"/>
        </w:numPr>
        <w:ind w:firstLine="482"/>
        <w:spacing w:line="360" w:lineRule="auto"/>
        <w:tabs>
          <w:tab w:val="left" w:pos="567" w:leader="none"/>
        </w:tabs>
        <w:rPr>
          <w:rFonts w:ascii="宋体" w:hAnsi="宋体" w:cs="等线 Light"/>
          <w:b/>
          <w:bCs/>
          <w:sz w:val="24"/>
          <w:szCs w:val="24"/>
        </w:rPr>
        <w:outlineLvl w:val="0"/>
      </w:pPr>
      <w:r>
        <w:rPr>
          <w:rFonts w:hint="eastAsia" w:ascii="宋体" w:hAnsi="宋体" w:cs="等线 Light"/>
          <w:b/>
          <w:bCs/>
          <w:sz w:val="24"/>
          <w:szCs w:val="24"/>
        </w:rPr>
        <w:t xml:space="preserve">项目概况</w:t>
      </w:r>
      <w:r>
        <w:rPr>
          <w:rFonts w:ascii="宋体" w:hAnsi="宋体" w:cs="等线 Light"/>
          <w:b/>
          <w:bCs/>
          <w:sz w:val="24"/>
          <w:szCs w:val="24"/>
        </w:rPr>
      </w:r>
      <w:r/>
    </w:p>
    <w:p>
      <w:pPr>
        <w:pStyle w:val="1100"/>
        <w:ind w:firstLine="480"/>
        <w:spacing w:line="360" w:lineRule="auto"/>
        <w:rPr>
          <w:rFonts w:ascii="宋体" w:hAnsi="宋体" w:cs="等线 Light"/>
          <w:bCs/>
          <w:sz w:val="24"/>
        </w:rPr>
      </w:pPr>
      <w:r>
        <w:rPr>
          <w:rFonts w:hint="eastAsia" w:ascii="宋体" w:hAnsi="宋体" w:cs="等线 Light"/>
          <w:bCs/>
          <w:sz w:val="24"/>
        </w:rPr>
        <w:t xml:space="preserve">为加强专业建设，进一步完善构建机电复合型高技能人才培养专业课程体系，扎实推进教学改革，契合行业与技术发展对人才培养质量的需求，拟建设机电设备电气控制技术实训室，主要设施设备包含电气线路装调平台、自动控制装调平台等。</w:t>
      </w:r>
      <w:r>
        <w:rPr>
          <w:rFonts w:ascii="宋体" w:hAnsi="宋体" w:cs="等线 Light"/>
          <w:bCs/>
          <w:sz w:val="24"/>
        </w:rPr>
      </w:r>
      <w:r/>
    </w:p>
    <w:p>
      <w:pPr>
        <w:pStyle w:val="1100"/>
        <w:ind w:firstLine="480"/>
        <w:spacing w:line="360" w:lineRule="auto"/>
        <w:rPr>
          <w:rFonts w:ascii="宋体" w:hAnsi="宋体" w:cs="等线 Light"/>
          <w:b/>
          <w:bCs/>
          <w:sz w:val="24"/>
        </w:rPr>
      </w:pPr>
      <w:r>
        <w:rPr>
          <w:rFonts w:hint="eastAsia" w:ascii="宋体" w:hAnsi="宋体" w:cs="等线 Light"/>
          <w:bCs/>
          <w:sz w:val="24"/>
        </w:rPr>
        <w:t xml:space="preserve">二、</w:t>
      </w:r>
      <w:r>
        <w:rPr>
          <w:rFonts w:hint="eastAsia" w:ascii="宋体" w:hAnsi="宋体" w:cs="等线 Light"/>
          <w:b/>
          <w:bCs/>
          <w:sz w:val="24"/>
        </w:rPr>
        <w:t xml:space="preserve">项目需求（本技术要求提出的是最低限度的技术条件。供应商应注意如果在技术要求中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宋体" w:hAnsi="宋体" w:cs="等线 Light"/>
          <w:b/>
          <w:bCs/>
          <w:sz w:val="24"/>
        </w:rPr>
      </w:r>
      <w:r/>
    </w:p>
    <w:p>
      <w:pPr>
        <w:pStyle w:val="1195"/>
        <w:ind w:firstLine="482"/>
        <w:spacing w:line="360" w:lineRule="auto"/>
        <w:rPr>
          <w:rFonts w:ascii="宋体" w:hAnsi="宋体" w:cs="等线 Light"/>
          <w:b/>
          <w:bCs/>
          <w:sz w:val="24"/>
          <w:szCs w:val="24"/>
        </w:rPr>
      </w:pPr>
      <w:r>
        <w:rPr>
          <w:rFonts w:hint="eastAsia" w:ascii="宋体" w:hAnsi="宋体" w:cs="等线 Light"/>
          <w:b/>
          <w:bCs/>
          <w:sz w:val="24"/>
          <w:szCs w:val="24"/>
        </w:rPr>
        <w:t xml:space="preserve">（一）产品清单及技术要求</w:t>
      </w:r>
      <w:r>
        <w:rPr>
          <w:rFonts w:ascii="宋体" w:hAnsi="宋体" w:cs="等线 Light"/>
          <w:b/>
          <w:bCs/>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2623"/>
        <w:gridCol w:w="937"/>
        <w:gridCol w:w="936"/>
        <w:gridCol w:w="1500"/>
        <w:gridCol w:w="1635"/>
      </w:tblGrid>
      <w:tr>
        <w:trPr>
          <w:cantSplit/>
          <w:trHeight w:val="170"/>
        </w:trPr>
        <w:tc>
          <w:tcPr>
            <w:tcW w:w="523"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539"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产品名称</w:t>
            </w:r>
            <w:r>
              <w:rPr>
                <w:rFonts w:ascii="宋体" w:hAnsi="宋体" w:eastAsia="宋体"/>
                <w:sz w:val="24"/>
                <w:szCs w:val="24"/>
              </w:rPr>
            </w:r>
            <w:r/>
          </w:p>
        </w:tc>
        <w:tc>
          <w:tcPr>
            <w:tcW w:w="550"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单位</w:t>
            </w:r>
            <w:r>
              <w:rPr>
                <w:rFonts w:ascii="宋体" w:hAnsi="宋体" w:eastAsia="宋体"/>
                <w:sz w:val="24"/>
                <w:szCs w:val="24"/>
              </w:rPr>
            </w:r>
            <w:r/>
          </w:p>
        </w:tc>
        <w:tc>
          <w:tcPr>
            <w:tcW w:w="549"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数量</w:t>
            </w:r>
            <w:r>
              <w:rPr>
                <w:rFonts w:ascii="宋体" w:hAnsi="宋体" w:eastAsia="宋体"/>
                <w:sz w:val="24"/>
                <w:szCs w:val="24"/>
              </w:rPr>
            </w:r>
            <w:r/>
          </w:p>
        </w:tc>
        <w:tc>
          <w:tcPr>
            <w:tcW w:w="880"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预算单价</w:t>
            </w:r>
            <w:r>
              <w:rPr>
                <w:rFonts w:hint="eastAsia" w:ascii="宋体" w:hAnsi="宋体" w:eastAsia="宋体"/>
                <w:sz w:val="24"/>
                <w:szCs w:val="24"/>
              </w:rPr>
              <w:t xml:space="preserve">（元）</w:t>
            </w:r>
            <w:r>
              <w:rPr>
                <w:rFonts w:ascii="宋体" w:hAnsi="宋体" w:eastAsia="宋体"/>
                <w:sz w:val="24"/>
                <w:szCs w:val="24"/>
              </w:rPr>
            </w:r>
            <w:r/>
          </w:p>
        </w:tc>
        <w:tc>
          <w:tcPr>
            <w:tcW w:w="959"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小计（元）</w:t>
            </w:r>
            <w:r>
              <w:rPr>
                <w:rFonts w:ascii="宋体" w:hAnsi="宋体" w:eastAsia="宋体"/>
                <w:sz w:val="24"/>
                <w:szCs w:val="24"/>
              </w:rPr>
            </w:r>
            <w:r/>
          </w:p>
        </w:tc>
      </w:tr>
      <w:tr>
        <w:trPr>
          <w:cantSplit/>
          <w:trHeight w:val="170"/>
        </w:trPr>
        <w:tc>
          <w:tcPr>
            <w:tcW w:w="523"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电气线路装调平台</w:t>
            </w:r>
            <w:r>
              <w:rPr>
                <w:rFonts w:ascii="宋体" w:hAnsi="宋体" w:eastAsia="宋体"/>
                <w:sz w:val="24"/>
                <w:szCs w:val="24"/>
              </w:rPr>
            </w:r>
            <w:r/>
          </w:p>
        </w:tc>
        <w:tc>
          <w:tcPr>
            <w:tcW w:w="550"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套</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pStyle w:val="1356"/>
              <w:ind w:firstLine="0"/>
              <w:jc w:val="center"/>
              <w:spacing w:line="360" w:lineRule="auto"/>
              <w:rPr>
                <w:rFonts w:ascii="宋体" w:hAnsi="宋体" w:eastAsia="宋体"/>
                <w:sz w:val="24"/>
                <w:szCs w:val="24"/>
              </w:rPr>
            </w:pPr>
            <w:r>
              <w:rPr>
                <w:rFonts w:ascii="宋体" w:hAnsi="宋体" w:eastAsia="宋体"/>
                <w:sz w:val="24"/>
                <w:szCs w:val="24"/>
              </w:rPr>
              <w:t xml:space="preserve">25</w:t>
            </w:r>
            <w:r/>
          </w:p>
        </w:tc>
        <w:tc>
          <w:tcPr>
            <w:tcW w:w="880"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8000</w:t>
            </w:r>
            <w:r/>
          </w:p>
        </w:tc>
        <w:tc>
          <w:tcPr>
            <w:tcW w:w="959"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50000</w:t>
            </w:r>
            <w:r/>
          </w:p>
        </w:tc>
      </w:tr>
      <w:tr>
        <w:trPr>
          <w:cantSplit/>
          <w:trHeight w:val="170"/>
        </w:trPr>
        <w:tc>
          <w:tcPr>
            <w:tcW w:w="523"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自动控制装调平台</w:t>
            </w:r>
            <w:r>
              <w:rPr>
                <w:rFonts w:ascii="宋体" w:hAnsi="宋体" w:eastAsia="宋体"/>
                <w:sz w:val="24"/>
                <w:szCs w:val="24"/>
              </w:rPr>
            </w:r>
            <w:r/>
          </w:p>
          <w:p>
            <w:pPr>
              <w:pStyle w:val="1356"/>
              <w:ind w:firstLine="0"/>
              <w:jc w:val="center"/>
              <w:spacing w:line="360" w:lineRule="auto"/>
              <w:rPr>
                <w:rFonts w:ascii="宋体" w:hAnsi="宋体" w:eastAsia="宋体"/>
                <w:sz w:val="24"/>
                <w:szCs w:val="24"/>
              </w:rPr>
            </w:pPr>
            <w:r>
              <w:rPr>
                <w:rFonts w:hint="eastAsia" w:ascii="宋体" w:hAnsi="宋体" w:eastAsia="宋体"/>
                <w:b/>
                <w:sz w:val="24"/>
                <w:szCs w:val="24"/>
              </w:rPr>
              <w:t xml:space="preserve">（核心产品）</w:t>
            </w:r>
            <w:r>
              <w:rPr>
                <w:rFonts w:ascii="宋体" w:hAnsi="宋体" w:eastAsia="宋体"/>
                <w:sz w:val="24"/>
                <w:szCs w:val="24"/>
              </w:rPr>
            </w:r>
            <w:r/>
          </w:p>
        </w:tc>
        <w:tc>
          <w:tcPr>
            <w:tcW w:w="550"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套</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pStyle w:val="1356"/>
              <w:ind w:firstLine="0"/>
              <w:jc w:val="center"/>
              <w:spacing w:line="360" w:lineRule="auto"/>
              <w:rPr>
                <w:rFonts w:ascii="宋体" w:hAnsi="宋体" w:eastAsia="宋体"/>
                <w:sz w:val="24"/>
                <w:szCs w:val="24"/>
              </w:rPr>
            </w:pPr>
            <w:r>
              <w:rPr>
                <w:rFonts w:ascii="宋体" w:hAnsi="宋体" w:eastAsia="宋体"/>
                <w:sz w:val="24"/>
                <w:szCs w:val="24"/>
              </w:rPr>
              <w:t xml:space="preserve">25</w:t>
            </w:r>
            <w:r/>
          </w:p>
        </w:tc>
        <w:tc>
          <w:tcPr>
            <w:tcW w:w="880"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2000</w:t>
            </w:r>
            <w:r/>
          </w:p>
        </w:tc>
        <w:tc>
          <w:tcPr>
            <w:tcW w:w="959" w:type="pct"/>
            <w:vAlign w:val="center"/>
            <w:textDirection w:val="lrTb"/>
            <w:noWrap w:val="false"/>
          </w:tcPr>
          <w:p>
            <w:pPr>
              <w:pStyle w:val="1356"/>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050000</w:t>
            </w:r>
            <w:r/>
          </w:p>
        </w:tc>
      </w:tr>
    </w:tbl>
    <w:p>
      <w:pPr>
        <w:pStyle w:val="1100"/>
        <w:ind w:firstLine="482"/>
        <w:spacing w:line="360" w:lineRule="auto"/>
        <w:rPr>
          <w:rFonts w:ascii="宋体" w:hAnsi="宋体" w:cs="等线 Light"/>
          <w:b/>
          <w:bCs/>
          <w:sz w:val="24"/>
        </w:rPr>
      </w:pPr>
      <w:r>
        <w:rPr>
          <w:rFonts w:hint="eastAsia" w:ascii="宋体" w:hAnsi="宋体" w:cs="等线 Light"/>
          <w:b/>
          <w:bCs/>
          <w:sz w:val="24"/>
        </w:rPr>
        <w:t xml:space="preserve">（二）产品需满足的功能和质量要求，包括性能、材料、结构、外观、安全或服务内容和标准等</w:t>
      </w:r>
      <w:r>
        <w:rPr>
          <w:rFonts w:ascii="宋体" w:hAnsi="宋体" w:cs="等线 Light"/>
          <w:b/>
          <w:bCs/>
          <w:sz w:val="24"/>
        </w:rPr>
      </w:r>
      <w:r/>
    </w:p>
    <w:p>
      <w:pPr>
        <w:pStyle w:val="1100"/>
        <w:ind w:firstLine="482"/>
        <w:spacing w:line="360" w:lineRule="auto"/>
        <w:rPr>
          <w:rFonts w:ascii="宋体" w:hAnsi="宋体" w:cs="等线 Light"/>
          <w:b/>
          <w:bCs/>
          <w:sz w:val="24"/>
        </w:rPr>
      </w:pPr>
      <w:r>
        <w:rPr>
          <w:rFonts w:hint="eastAsia" w:ascii="宋体" w:hAnsi="宋体" w:cs="等线 Light"/>
          <w:b/>
          <w:bCs/>
          <w:sz w:val="24"/>
        </w:rPr>
        <w:t xml:space="preserve">1</w:t>
      </w:r>
      <w:r>
        <w:rPr>
          <w:rFonts w:ascii="宋体" w:hAnsi="宋体" w:cs="等线 Light"/>
          <w:b/>
          <w:bCs/>
          <w:sz w:val="24"/>
        </w:rPr>
        <w:t xml:space="preserve">.</w:t>
      </w:r>
      <w:r>
        <w:rPr>
          <w:rFonts w:hint="eastAsia" w:ascii="宋体" w:hAnsi="宋体" w:cs="等线 Light"/>
          <w:b/>
          <w:bCs/>
          <w:sz w:val="24"/>
        </w:rPr>
        <w:t xml:space="preserve">采购标的需实现的功能或者目标:</w:t>
      </w:r>
      <w:r>
        <w:rPr>
          <w:rFonts w:ascii="宋体" w:hAnsi="宋体" w:cs="等线 Light"/>
          <w:b/>
          <w:bCs/>
          <w:sz w:val="24"/>
        </w:rPr>
      </w:r>
      <w:r/>
    </w:p>
    <w:p>
      <w:pPr>
        <w:pStyle w:val="1100"/>
        <w:ind w:firstLine="480"/>
        <w:spacing w:line="360" w:lineRule="auto"/>
        <w:rPr>
          <w:rFonts w:ascii="宋体" w:hAnsi="宋体" w:cs="等线 Light"/>
          <w:bCs/>
          <w:sz w:val="24"/>
        </w:rPr>
      </w:pPr>
      <w:r>
        <w:rPr>
          <w:rFonts w:hint="eastAsia" w:ascii="宋体" w:hAnsi="宋体" w:cs="等线 Light"/>
          <w:bCs/>
          <w:sz w:val="24"/>
        </w:rPr>
        <w:t xml:space="preserve">为加强专业建设，进一步完善构建机电复合型高技能人才培养专业课程体系，扎实推进教学改革，契合行业与技术发展对人才培养质量的需求，拟建设机电设备电气控制技术实训室，主要设施设备包含电气线路装调平台、自动控制装调平台等。</w:t>
      </w:r>
      <w:r>
        <w:rPr>
          <w:rFonts w:ascii="宋体" w:hAnsi="宋体" w:cs="等线 Light"/>
          <w:bCs/>
          <w:sz w:val="24"/>
        </w:rPr>
      </w:r>
      <w:r/>
    </w:p>
    <w:p>
      <w:pPr>
        <w:pStyle w:val="1100"/>
        <w:ind w:firstLine="482"/>
        <w:spacing w:line="360" w:lineRule="auto"/>
        <w:rPr>
          <w:rFonts w:ascii="宋体" w:hAnsi="宋体" w:cs="等线 Light"/>
          <w:b/>
          <w:sz w:val="24"/>
        </w:rPr>
      </w:pPr>
      <w:r>
        <w:rPr>
          <w:rFonts w:ascii="宋体" w:hAnsi="宋体" w:cs="等线 Light"/>
          <w:b/>
          <w:bCs/>
          <w:sz w:val="24"/>
        </w:rPr>
        <w:t xml:space="preserve">2.</w:t>
      </w:r>
      <w:r>
        <w:rPr>
          <w:rFonts w:hint="eastAsia" w:ascii="宋体" w:hAnsi="宋体" w:cs="等线 Light"/>
          <w:b/>
          <w:sz w:val="24"/>
        </w:rPr>
        <w:t xml:space="preserve">基本要求</w:t>
      </w:r>
      <w:r>
        <w:rPr>
          <w:rFonts w:ascii="宋体" w:hAnsi="宋体" w:cs="等线 Light"/>
          <w:b/>
          <w:sz w:val="24"/>
        </w:rPr>
      </w:r>
      <w:r/>
    </w:p>
    <w:p>
      <w:pPr>
        <w:pStyle w:val="1100"/>
        <w:ind w:firstLine="480"/>
        <w:spacing w:line="360" w:lineRule="auto"/>
        <w:rPr>
          <w:rFonts w:ascii="宋体" w:hAnsi="宋体" w:cs="等线 Light"/>
          <w:sz w:val="24"/>
        </w:rPr>
      </w:pPr>
      <w:r>
        <w:rPr>
          <w:rFonts w:ascii="宋体" w:hAnsi="宋体" w:cs="等线 Light"/>
          <w:sz w:val="24"/>
        </w:rPr>
        <w:t xml:space="preserve">2.1</w:t>
      </w:r>
      <w:r>
        <w:rPr>
          <w:rFonts w:hint="eastAsia" w:ascii="宋体" w:hAnsi="宋体" w:cs="等线 Light"/>
          <w:sz w:val="24"/>
        </w:rPr>
        <w:t xml:space="preserve">投标人应保证所供货物的安全性、可靠性、先进性、经济性和实用性，并为全新、未使用过的原装合格正品，无翻新、无二手、无改装设备，所有配件齐全、完好无损，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ascii="宋体" w:hAnsi="宋体" w:cs="等线 Light"/>
          <w:sz w:val="24"/>
        </w:rPr>
      </w:r>
      <w:r/>
    </w:p>
    <w:p>
      <w:pPr>
        <w:pStyle w:val="1100"/>
        <w:ind w:firstLine="480"/>
        <w:spacing w:line="360" w:lineRule="auto"/>
        <w:rPr>
          <w:rFonts w:ascii="宋体" w:hAnsi="宋体" w:cs="等线 Light"/>
          <w:sz w:val="24"/>
        </w:rPr>
      </w:pPr>
      <w:r>
        <w:rPr>
          <w:rFonts w:ascii="宋体" w:hAnsi="宋体" w:cs="等线 Light"/>
          <w:sz w:val="24"/>
        </w:rPr>
        <w:t xml:space="preserve">2.2</w:t>
      </w:r>
      <w:r>
        <w:rPr>
          <w:rFonts w:hint="eastAsia" w:ascii="宋体" w:hAnsi="宋体" w:cs="等线 Light"/>
          <w:sz w:val="24"/>
        </w:rPr>
        <w:t xml:space="preserve">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ascii="宋体" w:hAnsi="宋体" w:cs="等线 Light"/>
          <w:sz w:val="24"/>
        </w:rPr>
      </w:r>
      <w:r/>
    </w:p>
    <w:p>
      <w:pPr>
        <w:pStyle w:val="1100"/>
        <w:ind w:firstLine="480"/>
        <w:spacing w:line="360" w:lineRule="auto"/>
        <w:rPr>
          <w:rFonts w:ascii="宋体" w:hAnsi="宋体" w:cs="等线 Light"/>
          <w:sz w:val="24"/>
        </w:rPr>
      </w:pPr>
      <w:r>
        <w:rPr>
          <w:rFonts w:ascii="宋体" w:hAnsi="宋体" w:cs="等线 Light"/>
          <w:sz w:val="24"/>
        </w:rPr>
        <w:t xml:space="preserve">2.3</w:t>
      </w:r>
      <w:r>
        <w:rPr>
          <w:rFonts w:hint="eastAsia" w:ascii="宋体" w:hAnsi="宋体" w:cs="等线 Light"/>
          <w:sz w:val="24"/>
        </w:rPr>
        <w:t xml:space="preserve">投标人中标后须与采购人在投标产品的“功能配置、技术要求等”方面及时交底沟通；中标人开始制造产品之前，采购人有权要求中标人对产品进行微调，最终的产品须经采购人确认同意。</w:t>
      </w:r>
      <w:r>
        <w:rPr>
          <w:rFonts w:ascii="宋体" w:hAnsi="宋体" w:cs="等线 Light"/>
          <w:sz w:val="24"/>
        </w:rPr>
      </w:r>
      <w:r/>
    </w:p>
    <w:p>
      <w:pPr>
        <w:pStyle w:val="1100"/>
        <w:ind w:firstLine="482"/>
        <w:spacing w:line="360" w:lineRule="auto"/>
        <w:rPr>
          <w:rFonts w:ascii="宋体" w:hAnsi="宋体" w:cs="等线 Light"/>
          <w:b/>
          <w:sz w:val="24"/>
        </w:rPr>
      </w:pPr>
      <w:r>
        <w:rPr>
          <w:rFonts w:ascii="宋体" w:hAnsi="宋体" w:cs="等线 Light"/>
          <w:b/>
          <w:sz w:val="24"/>
        </w:rPr>
        <w:t xml:space="preserve">3.</w:t>
      </w:r>
      <w:r>
        <w:rPr>
          <w:rFonts w:hint="eastAsia" w:ascii="宋体" w:hAnsi="宋体" w:cs="等线 Light"/>
          <w:b/>
          <w:sz w:val="24"/>
        </w:rPr>
        <w:t xml:space="preserve">技术</w:t>
      </w:r>
      <w:r>
        <w:rPr>
          <w:rFonts w:ascii="宋体" w:hAnsi="宋体" w:cs="等线 Light"/>
          <w:b/>
          <w:sz w:val="24"/>
        </w:rPr>
        <w:t xml:space="preserve">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118"/>
        <w:gridCol w:w="6695"/>
      </w:tblGrid>
      <w:tr>
        <w:trPr>
          <w:trHeight w:val="170"/>
        </w:trPr>
        <w:tc>
          <w:tcPr>
            <w:tcW w:w="416" w:type="pct"/>
            <w:vAlign w:val="center"/>
            <w:textDirection w:val="lrTb"/>
            <w:noWrap w:val="false"/>
          </w:tcPr>
          <w:p>
            <w:pPr>
              <w:pStyle w:val="1100"/>
              <w:contextualSpacing/>
              <w:jc w:val="center"/>
              <w:spacing w:line="360" w:lineRule="exact"/>
              <w:rPr>
                <w:rFonts w:ascii="宋体" w:hAnsi="宋体" w:cs="宋体"/>
                <w:b/>
                <w:szCs w:val="21"/>
              </w:rPr>
              <w:outlineLvl w:val="1"/>
            </w:pPr>
            <w:r>
              <w:rPr>
                <w:rFonts w:ascii="宋体" w:hAnsi="宋体" w:cs="宋体"/>
                <w:b/>
                <w:szCs w:val="21"/>
              </w:rPr>
              <w:t xml:space="preserve">序号</w:t>
            </w:r>
            <w:r/>
          </w:p>
        </w:tc>
        <w:tc>
          <w:tcPr>
            <w:tcW w:w="656" w:type="pct"/>
            <w:vAlign w:val="center"/>
            <w:textDirection w:val="lrTb"/>
            <w:noWrap w:val="false"/>
          </w:tcPr>
          <w:p>
            <w:pPr>
              <w:pStyle w:val="1100"/>
              <w:contextualSpacing/>
              <w:jc w:val="center"/>
              <w:spacing w:line="360" w:lineRule="exact"/>
              <w:rPr>
                <w:rFonts w:ascii="宋体" w:hAnsi="宋体" w:cs="宋体"/>
                <w:b/>
                <w:szCs w:val="21"/>
              </w:rPr>
              <w:outlineLvl w:val="1"/>
            </w:pPr>
            <w:r>
              <w:rPr>
                <w:rFonts w:ascii="宋体" w:hAnsi="宋体" w:cs="宋体"/>
                <w:b/>
                <w:szCs w:val="21"/>
              </w:rPr>
              <w:t xml:space="preserve">名称</w:t>
            </w:r>
            <w:r/>
          </w:p>
        </w:tc>
        <w:tc>
          <w:tcPr>
            <w:tcW w:w="3928" w:type="pct"/>
            <w:vAlign w:val="center"/>
            <w:textDirection w:val="lrTb"/>
            <w:noWrap w:val="false"/>
          </w:tcPr>
          <w:p>
            <w:pPr>
              <w:pStyle w:val="1100"/>
              <w:contextualSpacing/>
              <w:jc w:val="center"/>
              <w:spacing w:line="360" w:lineRule="exact"/>
              <w:rPr>
                <w:rFonts w:ascii="宋体" w:hAnsi="宋体" w:cs="宋体"/>
                <w:b/>
                <w:szCs w:val="21"/>
              </w:rPr>
              <w:outlineLvl w:val="1"/>
            </w:pPr>
            <w:r>
              <w:rPr>
                <w:rFonts w:ascii="宋体" w:hAnsi="宋体" w:cs="宋体"/>
                <w:b/>
                <w:szCs w:val="21"/>
              </w:rPr>
              <w:t xml:space="preserve">技术参数</w:t>
            </w:r>
            <w:r/>
          </w:p>
        </w:tc>
      </w:tr>
      <w:tr>
        <w:trPr>
          <w:trHeight w:val="170"/>
        </w:trPr>
        <w:tc>
          <w:tcPr>
            <w:tcW w:w="416" w:type="pct"/>
            <w:vAlign w:val="center"/>
            <w:textDirection w:val="lrTb"/>
            <w:noWrap w:val="false"/>
          </w:tcPr>
          <w:p>
            <w:pPr>
              <w:pStyle w:val="1100"/>
              <w:contextualSpacing/>
              <w:jc w:val="center"/>
              <w:spacing w:line="360" w:lineRule="exact"/>
              <w:rPr>
                <w:rFonts w:ascii="宋体" w:hAnsi="宋体" w:cs="宋体"/>
                <w:b/>
                <w:szCs w:val="21"/>
              </w:rPr>
              <w:outlineLvl w:val="1"/>
            </w:pPr>
            <w:r>
              <w:rPr>
                <w:rFonts w:ascii="宋体" w:hAnsi="宋体" w:cs="宋体"/>
                <w:b/>
                <w:szCs w:val="21"/>
              </w:rPr>
              <w:t xml:space="preserve">1</w:t>
            </w:r>
            <w:r/>
          </w:p>
        </w:tc>
        <w:tc>
          <w:tcPr>
            <w:tcW w:w="656" w:type="pct"/>
            <w:vAlign w:val="center"/>
            <w:textDirection w:val="lrTb"/>
            <w:noWrap w:val="false"/>
          </w:tcPr>
          <w:p>
            <w:pPr>
              <w:pStyle w:val="1100"/>
              <w:contextualSpacing/>
              <w:jc w:val="center"/>
              <w:spacing w:line="360" w:lineRule="exact"/>
              <w:rPr>
                <w:rFonts w:ascii="宋体" w:hAnsi="宋体" w:cs="宋体"/>
                <w:b/>
                <w:szCs w:val="21"/>
              </w:rPr>
              <w:outlineLvl w:val="1"/>
            </w:pPr>
            <w:r>
              <w:rPr>
                <w:rFonts w:ascii="宋体" w:hAnsi="宋体" w:cs="宋体"/>
                <w:b/>
                <w:szCs w:val="21"/>
              </w:rPr>
              <w:t xml:space="preserve">电气线路装调平台</w:t>
            </w:r>
            <w:r/>
          </w:p>
        </w:tc>
        <w:tc>
          <w:tcPr>
            <w:tcW w:w="3928" w:type="pct"/>
            <w:vAlign w:val="center"/>
            <w:textDirection w:val="lrTb"/>
            <w:noWrap w:val="false"/>
          </w:tcPr>
          <w:p>
            <w:pPr>
              <w:pStyle w:val="1100"/>
              <w:spacing w:line="360" w:lineRule="exact"/>
              <w:rPr>
                <w:rFonts w:ascii="宋体" w:hAnsi="宋体" w:cs="宋体"/>
                <w:b/>
                <w:bCs/>
                <w:szCs w:val="21"/>
              </w:rPr>
            </w:pPr>
            <w:r>
              <w:rPr>
                <w:rFonts w:ascii="宋体" w:hAnsi="宋体" w:cs="宋体"/>
                <w:b/>
                <w:bCs/>
                <w:szCs w:val="21"/>
              </w:rPr>
              <w:t xml:space="preserve">一、产品功能要求</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1.电气控制线路元器件都装在网孔板上，操作方便、更换便捷，易扩展功能或开发新实训。</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2.设有电压型漏电保护器和电流型漏电保护器，能确保操作者的安全；各电源输出均有监示及短路保护等功能，各测量仪表也均有可靠的保护功能。</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3.实训平台为双人座，即可以两个同学同时进行实训，电源独立，互不干扰。</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4.交流电源：三相五线AC380V±10% 50Hz</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5.外形尺寸：</w:t>
            </w:r>
            <w:r>
              <w:rPr>
                <w:rFonts w:ascii="宋体" w:hAnsi="宋体" w:cs="宋体"/>
                <w:szCs w:val="21"/>
              </w:rPr>
              <w:t xml:space="preserve">≥</w:t>
            </w:r>
            <w:r>
              <w:rPr>
                <w:rFonts w:ascii="宋体" w:hAnsi="宋体" w:cs="宋体"/>
                <w:spacing w:val="-2"/>
                <w:szCs w:val="21"/>
              </w:rPr>
              <w:t xml:space="preserve">1680×720×1650mm</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6.整机功耗：≤1.5kVA</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7.安全保护措施：设备具有接地保护、漏电保护功能，安全性符合相关的国标标准</w:t>
            </w:r>
            <w:r/>
          </w:p>
          <w:p>
            <w:pPr>
              <w:pStyle w:val="1100"/>
              <w:spacing w:line="360" w:lineRule="exact"/>
              <w:rPr>
                <w:rFonts w:ascii="宋体" w:hAnsi="宋体" w:cs="宋体"/>
                <w:b/>
                <w:bCs/>
                <w:szCs w:val="21"/>
              </w:rPr>
            </w:pPr>
            <w:r>
              <w:rPr>
                <w:rFonts w:ascii="宋体" w:hAnsi="宋体" w:cs="宋体"/>
                <w:b/>
                <w:bCs/>
                <w:szCs w:val="21"/>
              </w:rPr>
              <w:t xml:space="preserve">二、基本配置要求</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1.实训台</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（1）框架：由左右桌腿、底框、后侧封板组合而成。表面经脱脂、磷化、静电喷塑处理，涂层厚度≥0.5mm，防锈耐磨，灰白色（颜色可定制）；</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（2）左右桌腿：采用≥30mm*60mm*1.5mm冷轧方钢和≥1.0mm的冷轧钢板焊接成型，拐角处才有圆弧造型，既美观又安全，侧面凸起设计；</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（3）底框：采用≥30mm*30mm*1.2mm冷轧方钢焊接成型，配有安装孔与台面和左右桌腿实现快速固定；</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（4）后侧封板：采用≥1.0mm冷轧钢板折弯成型。</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（5）桌面：E0级三聚氰胺复面合成板，台面厚度≥25mm，前后面采用圆弧过渡处理。表面和边缘采用高温热压防火PVC，安全环保，坚固耐用，灰白色。</w:t>
            </w:r>
            <w:r/>
          </w:p>
          <w:p>
            <w:pPr>
              <w:pStyle w:val="1100"/>
              <w:ind w:firstLine="422"/>
              <w:spacing w:line="360" w:lineRule="exact"/>
              <w:rPr>
                <w:rFonts w:ascii="宋体" w:hAnsi="宋体" w:cs="宋体"/>
                <w:b/>
                <w:spacing w:val="-2"/>
                <w:szCs w:val="21"/>
              </w:rPr>
            </w:pPr>
            <w:r>
              <w:rPr>
                <w:rFonts w:ascii="宋体" w:hAnsi="宋体" w:cs="宋体"/>
                <w:b/>
                <w:szCs w:val="21"/>
              </w:rPr>
              <w:t xml:space="preserve">▲</w:t>
            </w:r>
            <w:r>
              <w:rPr>
                <w:rFonts w:ascii="宋体" w:hAnsi="宋体" w:cs="宋体"/>
                <w:b/>
                <w:spacing w:val="-2"/>
                <w:szCs w:val="21"/>
              </w:rPr>
              <w:t xml:space="preserve">（6）投标文件中提供实训平台多角度高清实物图。</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2.活动储物柜（配2套）：采用圆弧卷边冷冲压钣金一体成型，封闭式结构，表面静电喷涂，外形尺寸：约宽450</w:t>
            </w:r>
            <w:r>
              <w:rPr>
                <w:rFonts w:hint="eastAsia" w:ascii="宋体" w:hAnsi="宋体" w:cs="宋体"/>
                <w:spacing w:val="-2"/>
                <w:szCs w:val="21"/>
              </w:rPr>
              <w:t xml:space="preserve">×</w:t>
            </w:r>
            <w:r>
              <w:rPr>
                <w:rFonts w:ascii="宋体" w:hAnsi="宋体" w:cs="宋体"/>
                <w:spacing w:val="-2"/>
                <w:szCs w:val="21"/>
              </w:rPr>
              <w:t xml:space="preserve">深550</w:t>
            </w:r>
            <w:r>
              <w:rPr>
                <w:rFonts w:hint="eastAsia" w:ascii="宋体" w:hAnsi="宋体" w:cs="宋体"/>
                <w:spacing w:val="-2"/>
                <w:szCs w:val="21"/>
              </w:rPr>
              <w:t xml:space="preserve">×</w:t>
            </w:r>
            <w:r>
              <w:rPr>
                <w:rFonts w:ascii="宋体" w:hAnsi="宋体" w:cs="宋体"/>
                <w:spacing w:val="-2"/>
                <w:szCs w:val="21"/>
              </w:rPr>
              <w:t xml:space="preserve">高700（mm），总重量≥31kg；柜体四边圆弧设计，配有承重型卡扣式三节轨，抽屉把手采用卡套式钣金卷边工艺，把手尺寸≥440</w:t>
            </w:r>
            <w:r>
              <w:rPr>
                <w:rFonts w:hint="eastAsia" w:ascii="宋体" w:hAnsi="宋体" w:cs="宋体"/>
                <w:spacing w:val="-2"/>
                <w:szCs w:val="21"/>
              </w:rPr>
              <w:t xml:space="preserve">×</w:t>
            </w:r>
            <w:r>
              <w:rPr>
                <w:rFonts w:ascii="宋体" w:hAnsi="宋体" w:cs="宋体"/>
                <w:spacing w:val="-2"/>
                <w:szCs w:val="21"/>
              </w:rPr>
              <w:t xml:space="preserve">45</w:t>
            </w:r>
            <w:r>
              <w:rPr>
                <w:rFonts w:hint="eastAsia" w:ascii="宋体" w:hAnsi="宋体" w:cs="宋体"/>
                <w:spacing w:val="-2"/>
                <w:szCs w:val="21"/>
              </w:rPr>
              <w:t xml:space="preserve">×</w:t>
            </w:r>
            <w:r>
              <w:rPr>
                <w:rFonts w:ascii="宋体" w:hAnsi="宋体" w:cs="宋体"/>
                <w:spacing w:val="-2"/>
                <w:szCs w:val="21"/>
              </w:rPr>
              <w:t xml:space="preserve">18mm，抽屉采用联体锁设计，底部配有4个带刹车脚轮。</w:t>
            </w:r>
            <w:r/>
          </w:p>
          <w:p>
            <w:pPr>
              <w:pStyle w:val="1100"/>
              <w:ind w:firstLine="412"/>
              <w:spacing w:line="360" w:lineRule="exact"/>
              <w:rPr>
                <w:rFonts w:ascii="宋体" w:hAnsi="宋体" w:cs="宋体"/>
                <w:b/>
                <w:spacing w:val="-2"/>
                <w:szCs w:val="21"/>
              </w:rPr>
            </w:pPr>
            <w:r>
              <w:rPr>
                <w:rFonts w:ascii="宋体" w:hAnsi="宋体" w:cs="宋体"/>
                <w:spacing w:val="-2"/>
                <w:szCs w:val="21"/>
              </w:rPr>
              <w:t xml:space="preserve">3.实训电源（配2套）：电源控制屏设计向下倾斜角度，总电源配置一个4P漏电保护器，下面印有注意事项喷涂标志；配置灯型电压指示表，监测进线电源。配有启动、停止和急停按钮控制设备电源的启停，提供三相五线线电压380V和相电压AC220V电源，引出到面板L1、L2、L3、N、PE，配有输出电源指示灯监视；配置单相电源电压AC220V，单独电源开关控制；直流电源部分：提供直流电源DC24V，电源带有红色指示灯指示；配置低压交流电源36V和110V，具有短路保护和单独电源开关控制；配置单相内置五孔插座一个。</w:t>
            </w:r>
            <w:r>
              <w:rPr>
                <w:rFonts w:ascii="宋体" w:hAnsi="宋体" w:cs="宋体"/>
                <w:b/>
                <w:szCs w:val="21"/>
                <w:shd w:val="clear" w:color="auto" w:fill="ffffff"/>
              </w:rPr>
              <w:t xml:space="preserve">要求提供完整的电源控制屏面板实物说明图，满足以上资源配置。</w:t>
            </w:r>
            <w:r>
              <w:rPr>
                <w:rFonts w:ascii="宋体" w:hAnsi="宋体" w:cs="宋体"/>
                <w:b/>
                <w:spacing w:val="-2"/>
                <w:szCs w:val="21"/>
              </w:rPr>
            </w:r>
            <w:r/>
          </w:p>
          <w:p>
            <w:pPr>
              <w:pStyle w:val="1100"/>
              <w:ind w:firstLine="412"/>
              <w:spacing w:line="360" w:lineRule="exact"/>
              <w:rPr>
                <w:rFonts w:ascii="宋体" w:hAnsi="宋体" w:cs="宋体"/>
                <w:spacing w:val="-2"/>
                <w:szCs w:val="21"/>
              </w:rPr>
            </w:pPr>
            <w:r>
              <w:rPr>
                <w:rFonts w:ascii="宋体" w:hAnsi="宋体" w:cs="宋体"/>
                <w:spacing w:val="-2"/>
                <w:szCs w:val="21"/>
              </w:rPr>
              <w:t xml:space="preserve">4.网孔板（配2套）：每个工位提供一张网孔板，网孔板的尺寸600mm×750mm（高×宽），采用</w:t>
            </w:r>
            <w:r>
              <w:rPr>
                <w:rFonts w:hint="eastAsia" w:ascii="宋体" w:hAnsi="宋体" w:cs="宋体"/>
                <w:spacing w:val="-2"/>
                <w:szCs w:val="21"/>
              </w:rPr>
              <w:t xml:space="preserve">≥</w:t>
            </w:r>
            <w:r>
              <w:rPr>
                <w:rFonts w:ascii="宋体" w:hAnsi="宋体" w:cs="宋体"/>
                <w:spacing w:val="-2"/>
                <w:szCs w:val="21"/>
              </w:rPr>
              <w:t xml:space="preserve">2mm厚铁板，孔大小为5mm×10mm。上下两端配有C型铝合金把手，长度≥190mm。网孔板与实训平台通过滑动机构连接，角度可以自由调节，调节范围不小于30°-90°。</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5.实训元器件清单（每套装置配2组元器件，每组配置清单如下）：</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(1)单相电度表</w:t>
              <w:tab/>
              <w:t xml:space="preserve">DD862</w:t>
              <w:tab/>
              <w:t xml:space="preserve">1台</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(2)螺口灯座</w:t>
              <w:tab/>
              <w:t xml:space="preserve">4A/250V</w:t>
              <w:tab/>
              <w:t xml:space="preserve">2只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(3)灯泡</w:t>
              <w:tab/>
              <w:t xml:space="preserve">220V/40W</w:t>
              <w:tab/>
              <w:t xml:space="preserve">2只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(4)一位单控荧光大板开关</w:t>
              <w:tab/>
              <w:t xml:space="preserve">MZ86K1</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(5)一位双控荧光开关</w:t>
              <w:tab/>
              <w:t xml:space="preserve">MZ86K2</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(6)声（光）控延时开关</w:t>
              <w:tab/>
              <w:t xml:space="preserve">J86SG</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(7)开关盒</w:t>
              <w:tab/>
              <w:t xml:space="preserve">86HM35</w:t>
              <w:tab/>
              <w:t xml:space="preserve">2只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(8)日光灯管套件（镇流器）</w:t>
              <w:tab/>
              <w:t xml:space="preserve">10W</w:t>
              <w:tab/>
              <w:t xml:space="preserve">1套</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(9)电流互感器</w:t>
              <w:tab/>
              <w:t xml:space="preserve">LMK3(BH)-0.66 5/5A 5VA</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(10)小型断路器</w:t>
              <w:tab/>
              <w:t xml:space="preserve">CDBK-4P/6A</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(11)保险丝座</w:t>
              <w:tab/>
              <w:t xml:space="preserve">RT18-32 3P 座</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(12)直插式保险座</w:t>
              <w:tab/>
              <w:t xml:space="preserve">RT14-20</w:t>
              <w:tab/>
              <w:t xml:space="preserve">2只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(13)熔断器</w:t>
              <w:tab/>
              <w:t xml:space="preserve">RT18 3A</w:t>
              <w:tab/>
              <w:t xml:space="preserve">3只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(14)熔断器</w:t>
              <w:tab/>
              <w:t xml:space="preserve">RT14 2A</w:t>
              <w:tab/>
              <w:t xml:space="preserve">2只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(15)交流接触器</w:t>
              <w:tab/>
              <w:t xml:space="preserve">CJX2SK-0910  AC380V</w:t>
              <w:tab/>
              <w:t xml:space="preserve">5只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(16)接触器辅助触头</w:t>
              <w:tab/>
              <w:t xml:space="preserve">F4-11</w:t>
              <w:tab/>
              <w:t xml:space="preserve">3只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(17)热过载继电器</w:t>
              <w:tab/>
              <w:t xml:space="preserve">JRS1DSP-25 (0.63-1A)</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(18)热过载继电器基座</w:t>
              <w:tab/>
              <w:t xml:space="preserve">JRS1D-25型 基座</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(19)时间继电器</w:t>
              <w:tab/>
              <w:t xml:space="preserve">JSZ3A-B  AC380V 1S-6min</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(20)时间继电器座</w:t>
              <w:tab/>
              <w:t xml:space="preserve">PF083AE</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(21)2孔开关按钮盒</w:t>
              <w:tab/>
              <w:t xml:space="preserve">LA4-2H(自带LAY16红绿按钮各1个)</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(22)3孔开关按钮盒</w:t>
              <w:tab/>
              <w:t xml:space="preserve">LA4-3H(自带LAY16红黑绿按钮各1个)</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(23)行程开关</w:t>
              <w:tab/>
              <w:t xml:space="preserve">LX19-222</w:t>
              <w:tab/>
              <w:t xml:space="preserve">2只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(24)行程开关</w:t>
              <w:tab/>
              <w:t xml:space="preserve">LX19-001</w:t>
              <w:tab/>
              <w:t xml:space="preserve">2只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(25)倒顺开关</w:t>
              <w:tab/>
              <w:t xml:space="preserve">KO3-15</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(26)电阻</w:t>
              <w:tab/>
              <w:t xml:space="preserve">75Ω/75W</w:t>
              <w:tab/>
              <w:t xml:space="preserve">3只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(27)电阻</w:t>
              <w:tab/>
              <w:t xml:space="preserve">10Ω/25W</w:t>
              <w:tab/>
              <w:t xml:space="preserve">1只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(28)二极管</w:t>
              <w:tab/>
              <w:t xml:space="preserve">1N5408</w:t>
              <w:tab/>
              <w:t xml:space="preserve">4只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(29)塑料安装卡子</w:t>
              <w:tab/>
              <w:tab/>
              <w:t xml:space="preserve">250只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(30)自攻螺丝</w:t>
              <w:tab/>
              <w:tab/>
              <w:t xml:space="preserve">120只</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(31)走线槽</w:t>
              <w:tab/>
              <w:t xml:space="preserve">2525</w:t>
              <w:tab/>
              <w:t xml:space="preserve">2米</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(32)接线端子排</w:t>
              <w:tab/>
              <w:t xml:space="preserve">JF5-2.5/5</w:t>
              <w:tab/>
              <w:t xml:space="preserve">5条</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(33)G形导轨</w:t>
              <w:tab/>
              <w:t xml:space="preserve">0.4米</w:t>
              <w:tab/>
              <w:t xml:space="preserve">1根</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(34)三相鼠笼式异步电动机</w:t>
              <w:tab/>
              <w:t xml:space="preserve">AC380V△</w:t>
              <w:tab/>
              <w:t xml:space="preserve">1台</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6.实训工具清单（2套）：提供有数字万用表、剥线钳、斜口钳、尖嘴钳、剪刀、十字螺丝刀、一字螺丝刀、镊子、测电笔、烙铁、小卷焊锡丝、钟表螺丝刀、吸锡器、烙铁架、工具箱等。</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7.实训配件:提供实训指导书及实训导线。</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8.多电机原理与设计动态仿真软件（不少于25个节点）</w:t>
            </w:r>
            <w:r/>
          </w:p>
          <w:p>
            <w:pPr>
              <w:pStyle w:val="1100"/>
              <w:ind w:firstLine="420"/>
              <w:spacing w:line="360" w:lineRule="exact"/>
              <w:rPr>
                <w:rFonts w:ascii="宋体" w:hAnsi="宋体" w:cs="宋体"/>
                <w:b/>
                <w:bCs/>
                <w:spacing w:val="-2"/>
                <w:szCs w:val="21"/>
              </w:rPr>
            </w:pPr>
            <w:r>
              <w:rPr>
                <w:rFonts w:ascii="宋体" w:hAnsi="宋体" w:cs="宋体"/>
                <w:szCs w:val="21"/>
              </w:rPr>
              <w:t xml:space="preserve">▲（</w:t>
            </w:r>
            <w:r>
              <w:rPr>
                <w:rFonts w:ascii="宋体" w:hAnsi="宋体" w:cs="宋体"/>
                <w:spacing w:val="-2"/>
                <w:szCs w:val="21"/>
              </w:rPr>
              <w:t xml:space="preserve">1）软件架构：软件内置不少于9类电机选型库，电机类型下拉菜单包含：无刷永磁电机、感应电机、开关磁阻电机、外转子无刷永磁电机、直流永磁有刷电机、电励磁同步电机、爪极电机、单相异步电机、磁阻同步电机；支持径向、轴向两种电机结构切换建模。操作界面集成几何建模、绕组设计、电磁仿真、热仿真、机械 NVH 振动噪声、参数优化、脚本自动化模块，无需切换多个软件完成电机全流程设计，主界面包含（几何、绕组、数据输入、求解设置、电磁、图表、参数优化、脚本）专用功能标签栏。</w:t>
            </w:r>
            <w:r>
              <w:rPr>
                <w:rFonts w:ascii="宋体" w:hAnsi="宋体" w:cs="宋体"/>
                <w:b/>
                <w:bCs/>
                <w:spacing w:val="-2"/>
                <w:szCs w:val="21"/>
              </w:rPr>
              <w:t xml:space="preserve">（投标时提供软件主界面截图和软件电机库截图）</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内置专属二维有限元电磁求解内核，独立电磁功能模块；求解后可可视化磁密、矢量磁位、电流、涡流密度多类场量，自由切换多种显示模式。精细化云图自定义工具，支持自定义场量公式、显示阈值、极值区间，可叠加刻度、等位线、磁力矢量图；仿真结果支持保存、图片与结果文件导出。具备负载瞬态转矩仿真能力，输入额定电压电流即可全域计算磁场分布，精准识别定转子磁路饱和区域，磁密采用特斯拉(T)标准色标展示。</w:t>
            </w:r>
            <w:r/>
          </w:p>
          <w:p>
            <w:pPr>
              <w:pStyle w:val="1100"/>
              <w:ind w:firstLine="420"/>
              <w:spacing w:line="360" w:lineRule="exact"/>
              <w:rPr>
                <w:rFonts w:ascii="宋体" w:hAnsi="宋体" w:cs="宋体"/>
                <w:spacing w:val="-2"/>
                <w:szCs w:val="21"/>
              </w:rPr>
            </w:pPr>
            <w:r>
              <w:rPr>
                <w:rFonts w:ascii="宋体" w:hAnsi="宋体" w:cs="宋体"/>
                <w:szCs w:val="21"/>
              </w:rPr>
              <w:t xml:space="preserve">▲（</w:t>
            </w:r>
            <w:r>
              <w:rPr>
                <w:rFonts w:ascii="宋体" w:hAnsi="宋体" w:cs="宋体"/>
                <w:spacing w:val="-2"/>
                <w:szCs w:val="21"/>
              </w:rPr>
              <w:t xml:space="preserve">3）软件配置独立专用数据输出模块，可自动完成全工况电气、机械性能指标计算，无需第三方工具二次换算；采用双栏表格布局展示参数信息，呈现参数名称、数值及标准单位，参数涵盖基础驱动与极限工况两类;其中基础驱动参数包含线电压有效值、相电压有效值、空载电流、同步转速、运行转速、转差率、驱动频率、机械频率；极限工况参数包含堵转气隙转矩、堵转电流、击穿转矩、击穿电流、输入输出功率及各类转矩。全部表格数据支持一键复制及Excel导出。</w:t>
            </w:r>
            <w:r>
              <w:rPr>
                <w:rFonts w:ascii="宋体" w:hAnsi="宋体" w:cs="宋体"/>
                <w:b/>
                <w:bCs/>
                <w:spacing w:val="-2"/>
                <w:szCs w:val="21"/>
              </w:rPr>
              <w:t xml:space="preserve">（投标时提供软件主要功能截图）</w:t>
            </w:r>
            <w:r>
              <w:rPr>
                <w:rFonts w:ascii="宋体" w:hAnsi="宋体" w:cs="宋体"/>
                <w:spacing w:val="-2"/>
                <w:szCs w:val="21"/>
              </w:rPr>
            </w:r>
            <w:r/>
          </w:p>
          <w:p>
            <w:pPr>
              <w:pStyle w:val="1100"/>
              <w:ind w:firstLine="420"/>
              <w:spacing w:line="360" w:lineRule="exact"/>
              <w:rPr>
                <w:rFonts w:ascii="宋体" w:hAnsi="宋体" w:cs="宋体"/>
                <w:spacing w:val="-2"/>
                <w:szCs w:val="21"/>
                <w:highlight w:val="yellow"/>
              </w:rPr>
            </w:pPr>
            <w:r>
              <w:rPr>
                <w:rFonts w:ascii="宋体" w:hAnsi="宋体" w:cs="宋体"/>
                <w:szCs w:val="21"/>
                <w:highlight w:val="yellow"/>
              </w:rPr>
              <w:t xml:space="preserve">▲</w:t>
            </w:r>
            <w:r>
              <w:rPr>
                <w:rFonts w:ascii="宋体" w:hAnsi="宋体" w:cs="宋体"/>
                <w:spacing w:val="-2"/>
                <w:szCs w:val="21"/>
                <w:highlight w:val="yellow"/>
              </w:rPr>
              <w:t xml:space="preserve">（</w:t>
            </w:r>
            <w:r>
              <w:rPr>
                <w:rFonts w:ascii="宋体" w:hAnsi="宋体" w:cs="宋体"/>
                <w:spacing w:val="-2"/>
                <w:szCs w:val="21"/>
                <w:highlight w:val="yellow"/>
              </w:rPr>
              <w:t xml:space="preserve">4</w:t>
            </w:r>
            <w:r>
              <w:rPr>
                <w:rFonts w:ascii="宋体" w:hAnsi="宋体" w:cs="宋体"/>
                <w:spacing w:val="-2"/>
                <w:szCs w:val="21"/>
                <w:highlight w:val="yellow"/>
              </w:rPr>
              <w:t xml:space="preserve">）绕组设计模块支持散线、矩形两种类型建模，矩形支持自定义铜线宽、铜线高、绝缘厚、圆角半径、线束数量，可视化实时绘制槽内导体排布截面。绕线排布支持单层绕组、双层叠绕绕组，可自定义槽楔结构启用/关闭；支持更改相数、匝数、节距、平行路径、绕组层数等，自动生成绕组磁动势矢量图校验三相对称性。内置槽绝缘，导体间隙工艺参数输入端口，可自定义槽绝缘厚度、导体间隔等，自动实时核算多项绕组工艺指标。</w:t>
            </w:r>
            <w:r>
              <w:rPr>
                <w:rFonts w:ascii="宋体" w:hAnsi="宋体" w:cs="宋体"/>
                <w:b/>
                <w:bCs/>
                <w:spacing w:val="-2"/>
                <w:szCs w:val="21"/>
                <w:highlight w:val="yellow"/>
              </w:rPr>
              <w:t xml:space="preserve">（投标时提供软件主要功能截图）</w:t>
            </w:r>
            <w:r>
              <w:rPr>
                <w:rFonts w:ascii="宋体" w:hAnsi="宋体" w:cs="宋体"/>
                <w:spacing w:val="-2"/>
                <w:szCs w:val="21"/>
                <w:highlight w:val="yellow"/>
              </w:rPr>
            </w:r>
            <w:r/>
          </w:p>
          <w:p>
            <w:pPr>
              <w:pStyle w:val="1100"/>
              <w:ind w:firstLine="420"/>
              <w:spacing w:line="360" w:lineRule="exact"/>
              <w:rPr>
                <w:rFonts w:ascii="宋体" w:hAnsi="宋体" w:cs="宋体"/>
                <w:spacing w:val="-2"/>
                <w:szCs w:val="21"/>
              </w:rPr>
            </w:pPr>
            <w:r>
              <w:rPr>
                <w:rFonts w:ascii="宋体" w:hAnsi="宋体" w:cs="宋体"/>
                <w:szCs w:val="21"/>
                <w:highlight w:val="yellow"/>
              </w:rPr>
              <w:t xml:space="preserve">▲（</w:t>
            </w:r>
            <w:r>
              <w:rPr>
                <w:rFonts w:ascii="宋体" w:hAnsi="宋体" w:cs="宋体"/>
                <w:spacing w:val="-2"/>
                <w:szCs w:val="21"/>
                <w:highlight w:val="yellow"/>
              </w:rPr>
              <w:t xml:space="preserve">5</w:t>
            </w:r>
            <w:r>
              <w:rPr>
                <w:rFonts w:ascii="宋体" w:hAnsi="宋体" w:cs="宋体"/>
                <w:spacing w:val="-2"/>
                <w:szCs w:val="21"/>
                <w:highlight w:val="yellow"/>
              </w:rPr>
              <w:t xml:space="preserve">）实时自动计算绕组工艺参数，软件输入参数修改</w:t>
            </w:r>
            <w:r>
              <w:rPr>
                <w:rFonts w:ascii="宋体" w:hAnsi="宋体" w:cs="宋体"/>
                <w:spacing w:val="-2"/>
                <w:szCs w:val="21"/>
              </w:rPr>
              <w:t xml:space="preserve">后一键重绘，同步输出输入/输出双维度绕组计算数据，无需手动 Excel 换算，指标包含：实时计算参数：导线槽满率、端部绕组占满率、槽绝缘厚度、铜占槽深比、导体间隔、每槽导体数、端部绕组平均长度；输出实时可视化参数：槽面积、漆包线面积、铜面积、注胶面积、槽楔面积、绕组深度、导体数；槽内导体分层可视化展示，可直观展示单槽多层扁线排布结构，支持切换 “单元尺寸预览 / 导体数预览” 两种视图模式。</w:t>
            </w:r>
            <w:r>
              <w:rPr>
                <w:rFonts w:ascii="宋体" w:hAnsi="宋体" w:cs="宋体"/>
                <w:b/>
                <w:bCs/>
                <w:spacing w:val="-2"/>
                <w:szCs w:val="21"/>
              </w:rPr>
              <w:t xml:space="preserve">（投标时提供软件主要功能截图）</w:t>
            </w:r>
            <w:r>
              <w:rPr>
                <w:rFonts w:ascii="宋体" w:hAnsi="宋体" w:cs="宋体"/>
                <w:spacing w:val="-2"/>
                <w:szCs w:val="21"/>
              </w:rPr>
            </w:r>
            <w:r/>
          </w:p>
          <w:p>
            <w:pPr>
              <w:pStyle w:val="1100"/>
              <w:ind w:firstLine="412"/>
              <w:spacing w:line="360" w:lineRule="exact"/>
              <w:rPr>
                <w:rFonts w:ascii="宋体" w:hAnsi="宋体" w:cs="宋体"/>
                <w:spacing w:val="-2"/>
                <w:szCs w:val="21"/>
              </w:rPr>
            </w:pPr>
            <w:r>
              <w:rPr>
                <w:rFonts w:ascii="宋体" w:hAnsi="宋体" w:cs="宋体"/>
                <w:spacing w:val="-2"/>
                <w:szCs w:val="21"/>
              </w:rPr>
              <w:t xml:space="preserve">9.虚拟实操仿真软件</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（1）智能电气设计与3D虚拟实操仿真软件</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1)软件平台：系统基于Unity三维引擎独立研发3D虚拟综合实训仿真系统，依托引擎高性能实时三维渲染、物理仿真及人机交互能力，集成3D实物三维仿真、电气设计仿真两大核心实训形态。</w:t>
            </w:r>
            <w:r/>
          </w:p>
          <w:p>
            <w:pPr>
              <w:pStyle w:val="1100"/>
              <w:ind w:firstLine="420"/>
              <w:spacing w:line="360" w:lineRule="exact"/>
              <w:rPr>
                <w:rFonts w:ascii="宋体" w:hAnsi="宋体" w:cs="宋体"/>
                <w:b/>
                <w:bCs/>
                <w:spacing w:val="-2"/>
                <w:szCs w:val="21"/>
              </w:rPr>
            </w:pPr>
            <w:r>
              <w:rPr>
                <w:rFonts w:ascii="宋体" w:hAnsi="宋体" w:cs="宋体"/>
                <w:szCs w:val="21"/>
              </w:rPr>
              <w:t xml:space="preserve">▲</w:t>
            </w:r>
            <w:r>
              <w:rPr>
                <w:rFonts w:ascii="宋体" w:hAnsi="宋体" w:cs="宋体"/>
                <w:spacing w:val="-2"/>
                <w:szCs w:val="21"/>
              </w:rPr>
              <w:t xml:space="preserve">2）3D实物仿真器件库：采用工业级3D建模，器件库包含常用元器件（例如断路器、接触器、继电器、时间继电器、按钮、指示灯、电机、万用表等），模型基于物理的渲染，高度还原实体元器件外观、功能等，保障仿真场景与现实工况一致。平台支持模型动态检视，可实现360°视角自由查看。具有仪表测量仿真：例如万用表，支持测量回路电压、通断等。</w:t>
            </w:r>
            <w:r>
              <w:rPr>
                <w:rFonts w:ascii="宋体" w:hAnsi="宋体" w:cs="宋体"/>
                <w:b/>
                <w:bCs/>
                <w:spacing w:val="-2"/>
                <w:szCs w:val="21"/>
              </w:rPr>
              <w:t xml:space="preserve">（投标时提供</w:t>
            </w:r>
            <w:r>
              <w:rPr>
                <w:rFonts w:hint="eastAsia" w:ascii="宋体" w:hAnsi="宋体" w:cs="宋体"/>
                <w:b/>
                <w:bCs/>
                <w:spacing w:val="-2"/>
                <w:szCs w:val="21"/>
              </w:rPr>
              <w:t xml:space="preserve">软件器件</w:t>
            </w:r>
            <w:r>
              <w:rPr>
                <w:rFonts w:ascii="宋体" w:hAnsi="宋体" w:cs="宋体"/>
                <w:b/>
                <w:bCs/>
                <w:spacing w:val="-2"/>
                <w:szCs w:val="21"/>
              </w:rPr>
              <w:t xml:space="preserve">库截图）</w:t>
            </w:r>
            <w:r/>
          </w:p>
          <w:p>
            <w:pPr>
              <w:pStyle w:val="1100"/>
              <w:ind w:firstLine="420"/>
              <w:spacing w:line="360" w:lineRule="exact"/>
              <w:rPr>
                <w:rFonts w:ascii="宋体" w:hAnsi="宋体" w:cs="宋体"/>
                <w:b/>
                <w:bCs/>
                <w:spacing w:val="-2"/>
                <w:szCs w:val="21"/>
              </w:rPr>
            </w:pPr>
            <w:r>
              <w:rPr>
                <w:rFonts w:ascii="宋体" w:hAnsi="宋体" w:cs="宋体"/>
                <w:szCs w:val="21"/>
              </w:rPr>
              <w:t xml:space="preserve">▲</w:t>
            </w:r>
            <w:r>
              <w:rPr>
                <w:rFonts w:ascii="宋体" w:hAnsi="宋体" w:cs="宋体"/>
                <w:spacing w:val="-2"/>
                <w:szCs w:val="21"/>
              </w:rPr>
              <w:t xml:space="preserve">3）电路原理图设计仿真库：内置符合国家及行业规范的标准化电气图形符号资源库，集成电源、负载、控制开关、安全保护器件等通用电气图元。采用可视化拖拽式组态设计模式，图元形制、标注规范完全对标工业电气设计标准，支持快速完成电气原理图绘制。</w:t>
            </w:r>
            <w:r>
              <w:rPr>
                <w:rFonts w:ascii="宋体" w:hAnsi="宋体" w:cs="宋体"/>
                <w:b/>
                <w:bCs/>
                <w:spacing w:val="-2"/>
                <w:szCs w:val="21"/>
              </w:rPr>
              <w:t xml:space="preserve">（投标时提供</w:t>
            </w:r>
            <w:r>
              <w:rPr>
                <w:rFonts w:hint="eastAsia" w:ascii="宋体" w:hAnsi="宋体" w:cs="宋体"/>
                <w:b/>
                <w:bCs/>
                <w:spacing w:val="-2"/>
                <w:szCs w:val="21"/>
              </w:rPr>
              <w:t xml:space="preserve">软件设计仿真库</w:t>
            </w:r>
            <w:r>
              <w:rPr>
                <w:rFonts w:ascii="宋体" w:hAnsi="宋体" w:cs="宋体"/>
                <w:b/>
                <w:bCs/>
                <w:spacing w:val="-2"/>
                <w:szCs w:val="21"/>
              </w:rPr>
              <w:t xml:space="preserve">截图）</w:t>
            </w:r>
            <w:r/>
          </w:p>
          <w:p>
            <w:pPr>
              <w:pStyle w:val="1100"/>
              <w:ind w:firstLine="420"/>
              <w:spacing w:line="360" w:lineRule="exact"/>
              <w:rPr>
                <w:rFonts w:ascii="宋体" w:hAnsi="宋体"/>
                <w:szCs w:val="21"/>
              </w:rPr>
            </w:pPr>
            <w:r>
              <w:rPr>
                <w:rFonts w:ascii="宋体" w:hAnsi="宋体" w:cs="宋体"/>
                <w:szCs w:val="21"/>
              </w:rPr>
              <w:t xml:space="preserve">▲</w:t>
            </w:r>
            <w:r>
              <w:rPr>
                <w:rFonts w:ascii="宋体" w:hAnsi="宋体" w:cs="宋体"/>
                <w:spacing w:val="-2"/>
                <w:szCs w:val="21"/>
              </w:rPr>
              <w:t xml:space="preserve">4）实训项目：内置成套预设实训项目，包含基础电工实训场景，覆盖基础工业电机驱动控制回路等主流教学实训场景。可引导实训人员完成指定实训任务，实现规范化教学。</w:t>
            </w:r>
            <w:r>
              <w:rPr>
                <w:rFonts w:ascii="宋体" w:hAnsi="宋体" w:cs="宋体"/>
                <w:b/>
                <w:bCs/>
                <w:spacing w:val="-2"/>
                <w:szCs w:val="21"/>
              </w:rPr>
              <w:t xml:space="preserve">（投标时提供实训项目截图）</w:t>
            </w:r>
            <w:r>
              <w:rPr>
                <w:rFonts w:ascii="宋体" w:hAnsi="宋体"/>
                <w:szCs w:val="21"/>
              </w:rPr>
            </w:r>
            <w:r/>
          </w:p>
          <w:p>
            <w:pPr>
              <w:pStyle w:val="1100"/>
              <w:ind w:firstLine="412"/>
              <w:spacing w:line="360" w:lineRule="exact"/>
              <w:rPr>
                <w:rFonts w:ascii="宋体" w:hAnsi="宋体" w:cs="宋体"/>
                <w:spacing w:val="-2"/>
                <w:szCs w:val="21"/>
              </w:rPr>
            </w:pPr>
            <w:r>
              <w:rPr>
                <w:rFonts w:ascii="宋体" w:hAnsi="宋体" w:cs="宋体"/>
                <w:spacing w:val="-2"/>
                <w:szCs w:val="21"/>
              </w:rPr>
              <w:t xml:space="preserve">■5)交互能力：系统以鼠标点击、拖拽，搭配键盘使用，支持360°全视角旋转、缩放、平移等控制操作。电气原理图设计支持自动接线功能；平台内置实物三维仿真、原理图设计仿真，均支持实验场景自主搭建、编辑、文件导出与导入等功能；3D实物三维仿真实训：用户可以自主完成元器件布局，器件连线。项目完成后可导出标准化文件，实现跨设备、跨终端资源使用。支持项目一键导入，导入后可二次编辑，启动仿真即可开展课堂教学演示。电气接</w:t>
            </w:r>
            <w:r>
              <w:rPr>
                <w:rFonts w:ascii="宋体" w:hAnsi="宋体" w:cs="宋体"/>
                <w:spacing w:val="-2"/>
                <w:szCs w:val="21"/>
              </w:rPr>
              <w:t xml:space="preserve">线仿真具备高度自由，非固定连线模式，支持器件端子间自由连线，与实际接线操作保持一致；电气原理图设计仿真：用户可以自主完成原理图设计、图元排布、逻辑验证；项目编制完成后可导出标准文件，实现教学资源跨设备流转使用。支持原理图项目一键导入，可以对原理图进行修改、内容优化，启动仿真，快速开展教学演示；动态电路仿真功能：原理图设计完成后可一键触发电气回路动态仿真运算，实时可视化，展示回路电流流向、电气元件动作时序（触点通断、信号指示等）。支持电气参数交互式整定与动态调校。实现电气理论、电路原理与故障研判的一体化教学。</w:t>
            </w:r>
            <w:r>
              <w:rPr>
                <w:rFonts w:ascii="宋体" w:hAnsi="宋体" w:cs="宋体"/>
                <w:b/>
                <w:bCs/>
                <w:spacing w:val="-2"/>
                <w:szCs w:val="21"/>
              </w:rPr>
              <w:t xml:space="preserve">（要求投标时提供视频演示，以上功能集成在一个平台，视频演示要求系统主界面统一，不能为多个软件拼凑演示，否则不得分）</w:t>
            </w:r>
            <w:r>
              <w:rPr>
                <w:rFonts w:ascii="宋体" w:hAnsi="宋体" w:cs="宋体"/>
                <w:spacing w:val="-2"/>
                <w:szCs w:val="21"/>
              </w:rPr>
            </w:r>
            <w:r/>
          </w:p>
          <w:p>
            <w:pPr>
              <w:pStyle w:val="1100"/>
              <w:ind w:firstLine="412"/>
              <w:spacing w:line="360" w:lineRule="exact"/>
              <w:rPr>
                <w:rFonts w:ascii="宋体" w:hAnsi="宋体" w:cs="宋体"/>
                <w:spacing w:val="-2"/>
                <w:szCs w:val="21"/>
              </w:rPr>
            </w:pPr>
            <w:r>
              <w:rPr>
                <w:rFonts w:ascii="宋体" w:hAnsi="宋体" w:cs="宋体"/>
                <w:spacing w:val="-2"/>
                <w:szCs w:val="21"/>
              </w:rPr>
              <w:t xml:space="preserve">（2）电力拖动仿真实训软件：</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1）本软件采用模块化设计，由电气器件展示、电气安装与连接、线路检查、故障检测与维修等模块组成，操作流程接近实际工业场景，操作结果实时显示。</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电气器件展示模块有自耦变压器、控制按钮、电磁启动器、多圈电位器、珐琅电阻等10余种常用器件模型，以3D的形式展现并附以文字说明介绍。各模型均可任意放大、缩小和旋转，具有直观立体、真实互动的效果。</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电气安装与连接模块包括元器件组装和电气线路连接。操作者按照界面提示或者原理图先将元器件库中的元件拖到电气柜上进行组装，器件组装完成后进入电气线路连接界面。在接线界面学员可以“示教接线”自己动手接线，也可以通过 “一键接线”由计算机完成接线。接完线后学员通过操作相应的器件，根据原理图以及器件的动作情况，判断连接线路是否正确。</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4）通电检查模块主要用于在设备通电前进行电压检查，检查电源电路是否短路。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5）故障诊断与维修模块具有故障设置功能，故障点设置典型、全面，操作者根据故障现象，利用所学知识进行排故练习。</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6）电气安装与连接、线路检查、故障检测与维修三个模块均有三相鼠笼式电动机点动控制线路、三相鼠笼式电动机自耦减压启动线路、风电闭锁电气控制线路、磁力启动器控制的启动线路等12个常见线路。</w:t>
            </w:r>
            <w:r/>
          </w:p>
          <w:p>
            <w:pPr>
              <w:pStyle w:val="1100"/>
              <w:ind w:firstLine="412"/>
              <w:spacing w:line="360" w:lineRule="exact"/>
              <w:rPr>
                <w:rFonts w:hint="eastAsia" w:ascii="宋体" w:hAnsi="宋体" w:cs="宋体"/>
                <w:spacing w:val="-2"/>
                <w:szCs w:val="21"/>
                <w:highlight w:val="yellow"/>
              </w:rPr>
            </w:pPr>
            <w:r>
              <w:rPr>
                <w:rFonts w:hint="eastAsia" w:ascii="宋体" w:hAnsi="宋体" w:cs="宋体"/>
                <w:spacing w:val="-2"/>
                <w:szCs w:val="21"/>
                <w:highlight w:val="yellow"/>
              </w:rPr>
              <w:t xml:space="preserve">10.智能化实训室管理系统（整个实训室配一套）</w:t>
            </w:r>
            <w:r/>
          </w:p>
          <w:p>
            <w:pPr>
              <w:pStyle w:val="1100"/>
              <w:ind w:firstLine="412"/>
              <w:spacing w:line="360" w:lineRule="exact"/>
              <w:rPr>
                <w:rFonts w:hint="eastAsia" w:ascii="宋体" w:hAnsi="宋体" w:cs="宋体"/>
                <w:spacing w:val="-2"/>
                <w:szCs w:val="21"/>
                <w:highlight w:val="yellow"/>
              </w:rPr>
            </w:pPr>
            <w:r>
              <w:rPr>
                <w:rFonts w:hint="eastAsia" w:ascii="宋体" w:hAnsi="宋体" w:cs="宋体"/>
                <w:spacing w:val="-2"/>
                <w:szCs w:val="21"/>
                <w:highlight w:val="yellow"/>
              </w:rPr>
              <w:t xml:space="preserve">（1）教学管理模块：支持添加实训方案（实训标题、起止时间、授</w:t>
            </w:r>
            <w:r>
              <w:rPr>
                <w:rFonts w:hint="eastAsia" w:ascii="宋体" w:hAnsi="宋体" w:cs="宋体"/>
                <w:spacing w:val="-2"/>
                <w:szCs w:val="21"/>
                <w:highlight w:val="yellow"/>
              </w:rPr>
              <w:t xml:space="preserve">课老师、方案内容、实训目标），教师可添加 PDF、Word、PPT 课程资源并在线预览，管理员可查看实训室和实训时间安排；支持通过 Excel 导入或按组织架构批量添加、删除学生；实训课程支持考勤机接入签到和移动端智能签到，教师通过微信小程序查看签到信息（实训室、签到时间、签到码、签到人数）并可查看、导出 31 天考勤数据；支持课程评价反馈（课程名、评分、评价人、评价日期、评价内容）及实训结果报告管理（效果评估、报告、报告人、创建时间）；小程序支持查看实训详情和资源，提供资源预览、分享、链接复制等互动功能。</w:t>
            </w:r>
            <w:r/>
          </w:p>
          <w:p>
            <w:pPr>
              <w:pStyle w:val="1100"/>
              <w:ind w:firstLine="412"/>
              <w:spacing w:line="360" w:lineRule="exact"/>
              <w:rPr>
                <w:rFonts w:hint="eastAsia" w:ascii="宋体" w:hAnsi="宋体" w:cs="宋体"/>
                <w:spacing w:val="-2"/>
                <w:szCs w:val="21"/>
                <w:highlight w:val="yellow"/>
              </w:rPr>
            </w:pPr>
            <w:r>
              <w:rPr>
                <w:rFonts w:hint="eastAsia" w:ascii="宋体" w:hAnsi="宋体" w:cs="宋体"/>
                <w:spacing w:val="-2"/>
                <w:szCs w:val="21"/>
                <w:highlight w:val="yellow"/>
              </w:rPr>
              <w:t xml:space="preserve">（2）实训室开放预约管理模块：提供实训室预约列表（实训室名称、实训台数量、预约人、预约时间、状态）；微信小程序支持查看实训室列表（实训中心名称、实训室名称、创建时间、使用状态），支持实训室预约及对实训台多选批量预约；PC 前台支持查看个人预约历史（实训室名称、预约日期、开始时间、结束时间、预约人、状态、创建日期），支持查看预约详情、实训室预约列表及已处理审批详情。</w:t>
            </w:r>
            <w:r/>
          </w:p>
          <w:p>
            <w:pPr>
              <w:pStyle w:val="1100"/>
              <w:ind w:firstLine="412"/>
              <w:spacing w:line="360" w:lineRule="exact"/>
              <w:rPr>
                <w:rFonts w:ascii="宋体" w:hAnsi="宋体" w:cs="宋体"/>
                <w:spacing w:val="-2"/>
                <w:szCs w:val="21"/>
              </w:rPr>
            </w:pPr>
            <w:r>
              <w:rPr>
                <w:rFonts w:hint="eastAsia" w:ascii="宋体" w:hAnsi="宋体" w:cs="宋体"/>
                <w:spacing w:val="-2"/>
                <w:szCs w:val="21"/>
                <w:highlight w:val="yellow"/>
              </w:rPr>
              <w:t xml:space="preserve">■（3）设备管理模块（投标时提供视频逐条演示）：包含远程智能电源管理，设备控制支持查看实训室列表（实训中心名称、实训室名称、创建时间、电源状态）并对总电源开启或关闭；考试设置支持查看实训室列表（实训中心名称、实训室名称、创建时间、考试状态），支持开始或结束考试，并支持实训台多选批量操作，考试设置融入 AI 技术，支持录入考试名称、持续时间、语音提醒等考试信息，考题管理涵盖题目类型、难度等级、归属题库、题目内容、题目解析，AI 一键出题可按学</w:t>
            </w:r>
            <w:r>
              <w:rPr>
                <w:rFonts w:hint="eastAsia" w:ascii="宋体" w:hAnsi="宋体" w:cs="宋体"/>
                <w:spacing w:val="-2"/>
                <w:szCs w:val="21"/>
                <w:highlight w:val="yellow"/>
              </w:rPr>
              <w:t xml:space="preserve">科、知识点、技能关键字及出题数量一键导入题库；支持查看仪器设备列表（设备名称、设备图片、设备状态、设备编号、操作员、规格型号、单位、设备种类）；支持设备预约及预约列表查看（设备名称、设备图片、设备状态、设备编号、预约时间、预约理由、规格型号），可对预约申请通过或拒绝；支持查看设备维修列表（设备名称、设备图片、设备状态、设备编号、维修人、规格型号、维修工时、维修原因）并完成维修；支持查看厂家列表（厂家名称、链接、联系方式、地址）；微信小程序端含设备列表、设备预约、设备维修、设备报废四个子项目，均支持列表查看。</w:t>
            </w:r>
            <w:r>
              <w:rPr>
                <w:rFonts w:ascii="宋体" w:hAnsi="宋体" w:cs="宋体"/>
                <w:spacing w:val="-2"/>
                <w:szCs w:val="21"/>
              </w:rPr>
            </w:r>
            <w:r/>
          </w:p>
          <w:p>
            <w:pPr>
              <w:pStyle w:val="1100"/>
              <w:ind w:firstLine="412"/>
              <w:spacing w:line="360" w:lineRule="exact"/>
              <w:rPr>
                <w:rFonts w:ascii="宋体" w:hAnsi="宋体" w:cs="宋体"/>
                <w:spacing w:val="-2"/>
                <w:szCs w:val="21"/>
              </w:rPr>
            </w:pPr>
            <w:r>
              <w:rPr>
                <w:rFonts w:ascii="宋体" w:hAnsi="宋体" w:cs="宋体"/>
                <w:spacing w:val="-2"/>
                <w:szCs w:val="21"/>
              </w:rPr>
              <w:t xml:space="preserve">11.每套设备配4个方凳：外形尺寸：360mm×260mm×450mm（±5mm），整体重量≥3.4Kg；凳框采用≥1.0mm厚的优质方钢管和优质冷轧钢板焊接而成，坚固耐用；采用钣金圆弧压边包边木面板工艺，造型独特，防止伤手，防护凳面；凳框表面全自动脱脂、采用新技术新材料静电喷塑处理，防锈性能好，环保健康；凳架采用黑色银粉工艺喷塑；凳面采用≥18mm厚的优质高密度复合板材，表面和边缘高温热压防火PVC；凳脚安装高分子树脂脚套，防滑耐磨损，保护地面。</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12.</w:t>
            </w:r>
            <w:r>
              <w:rPr>
                <w:rFonts w:hint="eastAsia" w:ascii="宋体" w:hAnsi="宋体" w:cs="宋体"/>
                <w:spacing w:val="-2"/>
                <w:szCs w:val="21"/>
              </w:rPr>
              <w:t xml:space="preserve">实训场地地面修复和墙面处理</w:t>
            </w:r>
            <w:r>
              <w:rPr>
                <w:rFonts w:ascii="宋体" w:hAnsi="宋体" w:cs="宋体"/>
                <w:spacing w:val="-2"/>
                <w:szCs w:val="21"/>
              </w:rPr>
            </w:r>
            <w:r/>
          </w:p>
          <w:p>
            <w:pPr>
              <w:pStyle w:val="1100"/>
              <w:spacing w:line="360" w:lineRule="exact"/>
              <w:rPr>
                <w:rFonts w:ascii="宋体" w:hAnsi="宋体" w:cs="宋体"/>
                <w:b/>
                <w:bCs/>
                <w:szCs w:val="21"/>
              </w:rPr>
            </w:pPr>
            <w:r>
              <w:rPr>
                <w:rFonts w:ascii="宋体" w:hAnsi="宋体" w:cs="宋体"/>
                <w:b/>
                <w:bCs/>
                <w:szCs w:val="21"/>
              </w:rPr>
              <w:t xml:space="preserve">三、能够完成的实训项目</w:t>
            </w:r>
            <w:r/>
          </w:p>
          <w:p>
            <w:pPr>
              <w:pStyle w:val="1100"/>
              <w:ind w:firstLine="414"/>
              <w:spacing w:line="360" w:lineRule="exact"/>
              <w:rPr>
                <w:rFonts w:ascii="宋体" w:hAnsi="宋体" w:cs="宋体"/>
                <w:b/>
                <w:bCs/>
                <w:spacing w:val="-2"/>
                <w:szCs w:val="21"/>
              </w:rPr>
            </w:pPr>
            <w:r>
              <w:rPr>
                <w:rFonts w:ascii="宋体" w:hAnsi="宋体" w:cs="宋体"/>
                <w:b/>
                <w:bCs/>
                <w:spacing w:val="-2"/>
                <w:szCs w:val="21"/>
              </w:rPr>
              <w:t xml:space="preserve">电力拖动实训项目</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w:t>
              <w:tab/>
              <w:t xml:space="preserve">三相异步电动机直接启动控制</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w:t>
              <w:tab/>
              <w:t xml:space="preserve">三相异步电动机接触器点动控制线路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w:t>
              <w:tab/>
              <w:t xml:space="preserve">三相异步电动机接触器自锁控制线路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(4)</w:t>
              <w:tab/>
              <w:t xml:space="preserve">Y-Δ启动手动/自动控制电路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(5)</w:t>
              <w:tab/>
              <w:t xml:space="preserve">接触器联锁的三相异步电动机正反转控制线路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(6)</w:t>
              <w:tab/>
              <w:t xml:space="preserve">按钮联锁的三相异步电动机正反转控制线路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(7)</w:t>
              <w:tab/>
              <w:t xml:space="preserve">双重联锁的三相异步电动机正反转控制线路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(8)</w:t>
              <w:tab/>
              <w:t xml:space="preserve">倒顺开关控制的三相异步电动机正反转控制线路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(9)</w:t>
              <w:tab/>
              <w:t xml:space="preserve">三相异步电动机能耗制动电路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(10)</w:t>
              <w:tab/>
              <w:t xml:space="preserve">三相异步电动机串电阻降压启动控制线路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(11)</w:t>
              <w:tab/>
              <w:t xml:space="preserve">三相异步电动机的多地控制</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(12)</w:t>
              <w:tab/>
              <w:t xml:space="preserve">工作台自动往返控制线路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(13)</w:t>
              <w:tab/>
              <w:t xml:space="preserve">学生自行设计电路的安装、接线与调试</w:t>
            </w:r>
            <w:r/>
          </w:p>
          <w:p>
            <w:pPr>
              <w:pStyle w:val="1100"/>
              <w:ind w:firstLine="414"/>
              <w:spacing w:line="360" w:lineRule="exact"/>
              <w:rPr>
                <w:rFonts w:ascii="宋体" w:hAnsi="宋体" w:cs="宋体"/>
                <w:b/>
                <w:bCs/>
                <w:spacing w:val="-2"/>
                <w:szCs w:val="21"/>
              </w:rPr>
            </w:pPr>
            <w:r>
              <w:rPr>
                <w:rFonts w:ascii="宋体" w:hAnsi="宋体" w:cs="宋体"/>
                <w:b/>
                <w:bCs/>
                <w:spacing w:val="-2"/>
                <w:szCs w:val="21"/>
              </w:rPr>
              <w:t xml:space="preserve">仪表照明实训项目</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w:t>
              <w:tab/>
              <w:t xml:space="preserve">电工常用工具的使用</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w:t>
              <w:tab/>
              <w:t xml:space="preserve">白炽灯照明电路的安装</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w:t>
              <w:tab/>
              <w:t xml:space="preserve">两个开关控制一盏灯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(4)</w:t>
              <w:tab/>
              <w:t xml:space="preserve">两地控制一盏灯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(5)</w:t>
              <w:tab/>
              <w:t xml:space="preserve">声控开关控制照明电路</w:t>
            </w:r>
            <w:r/>
          </w:p>
          <w:p>
            <w:pPr>
              <w:pStyle w:val="1100"/>
              <w:ind w:firstLine="412"/>
              <w:spacing w:line="360" w:lineRule="exact"/>
            </w:pPr>
            <w:r>
              <w:rPr>
                <w:rFonts w:ascii="宋体" w:hAnsi="宋体" w:cs="宋体"/>
                <w:spacing w:val="-2"/>
                <w:szCs w:val="21"/>
              </w:rPr>
              <w:t xml:space="preserve">(6)</w:t>
              <w:tab/>
              <w:t xml:space="preserve">日光灯电路</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(7)</w:t>
              <w:tab/>
              <w:t xml:space="preserve">电度表原理与接线</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(8)</w:t>
              <w:tab/>
              <w:t xml:space="preserve">单相电度表经电流互感器接线</w:t>
            </w:r>
            <w:r/>
          </w:p>
          <w:p>
            <w:pPr>
              <w:pStyle w:val="1100"/>
              <w:ind w:firstLine="412"/>
              <w:spacing w:line="360" w:lineRule="exact"/>
              <w:rPr>
                <w:rFonts w:ascii="宋体" w:hAnsi="宋体" w:cs="宋体"/>
                <w:b/>
                <w:szCs w:val="21"/>
              </w:rPr>
            </w:pPr>
            <w:r>
              <w:rPr>
                <w:rFonts w:ascii="宋体" w:hAnsi="宋体" w:cs="宋体"/>
                <w:spacing w:val="-2"/>
                <w:szCs w:val="21"/>
              </w:rPr>
              <w:t xml:space="preserve">(9)</w:t>
              <w:tab/>
              <w:t xml:space="preserve">住宅照明线路实训</w:t>
            </w:r>
            <w:r>
              <w:rPr>
                <w:rFonts w:ascii="宋体" w:hAnsi="宋体" w:cs="宋体"/>
                <w:b/>
                <w:szCs w:val="21"/>
              </w:rPr>
            </w:r>
            <w:r/>
          </w:p>
        </w:tc>
      </w:tr>
      <w:tr>
        <w:trPr>
          <w:trHeight w:val="170"/>
        </w:trPr>
        <w:tc>
          <w:tcPr>
            <w:tcW w:w="416" w:type="pct"/>
            <w:vAlign w:val="center"/>
            <w:textDirection w:val="lrTb"/>
            <w:noWrap w:val="false"/>
          </w:tcPr>
          <w:p>
            <w:pPr>
              <w:pStyle w:val="1100"/>
              <w:contextualSpacing/>
              <w:jc w:val="center"/>
              <w:spacing w:line="360" w:lineRule="exact"/>
              <w:rPr>
                <w:rFonts w:ascii="宋体" w:hAnsi="宋体" w:cs="宋体"/>
                <w:b/>
                <w:szCs w:val="21"/>
              </w:rPr>
              <w:outlineLvl w:val="1"/>
            </w:pPr>
            <w:r>
              <w:rPr>
                <w:rFonts w:ascii="宋体" w:hAnsi="宋体" w:cs="宋体"/>
                <w:b/>
                <w:szCs w:val="21"/>
              </w:rPr>
              <w:t xml:space="preserve">2</w:t>
            </w:r>
            <w:r/>
          </w:p>
        </w:tc>
        <w:tc>
          <w:tcPr>
            <w:tcW w:w="656" w:type="pct"/>
            <w:vAlign w:val="center"/>
            <w:textDirection w:val="lrTb"/>
            <w:noWrap w:val="false"/>
          </w:tcPr>
          <w:p>
            <w:pPr>
              <w:pStyle w:val="1100"/>
              <w:contextualSpacing/>
              <w:jc w:val="center"/>
              <w:spacing w:line="360" w:lineRule="exact"/>
              <w:rPr>
                <w:rFonts w:ascii="宋体" w:hAnsi="宋体" w:cs="宋体"/>
                <w:b/>
                <w:szCs w:val="21"/>
              </w:rPr>
              <w:outlineLvl w:val="1"/>
            </w:pPr>
            <w:r>
              <w:rPr>
                <w:rFonts w:ascii="宋体" w:hAnsi="宋体" w:cs="宋体"/>
                <w:b/>
                <w:szCs w:val="21"/>
              </w:rPr>
              <w:t xml:space="preserve">自动控制装调平台</w:t>
            </w:r>
            <w:r/>
          </w:p>
          <w:p>
            <w:pPr>
              <w:pStyle w:val="1100"/>
              <w:contextualSpacing/>
              <w:jc w:val="center"/>
              <w:spacing w:line="360" w:lineRule="exact"/>
              <w:rPr>
                <w:rFonts w:ascii="宋体" w:hAnsi="宋体" w:cs="宋体"/>
                <w:b/>
                <w:szCs w:val="21"/>
              </w:rPr>
              <w:outlineLvl w:val="1"/>
            </w:pPr>
            <w:r>
              <w:rPr>
                <w:rFonts w:ascii="宋体" w:hAnsi="宋体" w:cs="宋体"/>
                <w:b/>
                <w:szCs w:val="21"/>
              </w:rPr>
              <w:t xml:space="preserve">(核心产品)</w:t>
            </w:r>
            <w:r/>
          </w:p>
        </w:tc>
        <w:tc>
          <w:tcPr>
            <w:tcW w:w="3928" w:type="pct"/>
            <w:vAlign w:val="center"/>
            <w:textDirection w:val="lrTb"/>
            <w:noWrap w:val="false"/>
          </w:tcPr>
          <w:p>
            <w:pPr>
              <w:pStyle w:val="1100"/>
              <w:spacing w:line="360" w:lineRule="exact"/>
              <w:rPr>
                <w:rFonts w:ascii="宋体" w:hAnsi="宋体" w:cs="宋体"/>
                <w:b/>
                <w:bCs/>
                <w:szCs w:val="21"/>
              </w:rPr>
            </w:pPr>
            <w:r>
              <w:rPr>
                <w:rFonts w:ascii="宋体" w:hAnsi="宋体" w:cs="宋体"/>
                <w:b/>
                <w:bCs/>
                <w:szCs w:val="21"/>
              </w:rPr>
              <w:t xml:space="preserve">一、技术性能要求</w:t>
            </w:r>
            <w:r/>
          </w:p>
          <w:p>
            <w:pPr>
              <w:pStyle w:val="1100"/>
              <w:numPr>
                <w:ilvl w:val="0"/>
                <w:numId w:val="29"/>
              </w:numPr>
              <w:ind w:firstLine="420"/>
              <w:spacing w:line="360" w:lineRule="exact"/>
              <w:rPr>
                <w:rFonts w:ascii="宋体" w:hAnsi="宋体" w:cs="宋体"/>
                <w:szCs w:val="21"/>
              </w:rPr>
            </w:pPr>
            <w:r>
              <w:rPr>
                <w:rFonts w:ascii="宋体" w:hAnsi="宋体" w:cs="宋体"/>
                <w:szCs w:val="21"/>
              </w:rPr>
              <w:t xml:space="preserve">输入电源：三相四线AC380V±10% 50Hz</w:t>
            </w:r>
            <w:r/>
          </w:p>
          <w:p>
            <w:pPr>
              <w:pStyle w:val="1100"/>
              <w:numPr>
                <w:ilvl w:val="0"/>
                <w:numId w:val="29"/>
              </w:numPr>
              <w:ind w:firstLine="420"/>
              <w:jc w:val="left"/>
              <w:spacing w:line="360" w:lineRule="exact"/>
              <w:rPr>
                <w:rFonts w:ascii="宋体" w:hAnsi="宋体" w:cs="宋体"/>
                <w:szCs w:val="21"/>
              </w:rPr>
            </w:pPr>
            <w:r>
              <w:rPr>
                <w:rFonts w:ascii="宋体" w:hAnsi="宋体" w:cs="宋体"/>
                <w:szCs w:val="21"/>
              </w:rPr>
              <w:t xml:space="preserve">外形尺寸：≥1380mm×720mm×1520mm</w:t>
            </w:r>
            <w:r/>
          </w:p>
          <w:p>
            <w:pPr>
              <w:pStyle w:val="1100"/>
              <w:spacing w:line="360" w:lineRule="exact"/>
              <w:rPr>
                <w:rFonts w:ascii="宋体" w:hAnsi="宋体" w:cs="宋体"/>
                <w:b/>
                <w:bCs/>
                <w:szCs w:val="21"/>
              </w:rPr>
            </w:pPr>
            <w:r>
              <w:rPr>
                <w:rFonts w:ascii="宋体" w:hAnsi="宋体" w:cs="宋体"/>
                <w:b/>
                <w:bCs/>
                <w:szCs w:val="21"/>
              </w:rPr>
              <w:t xml:space="preserve">二、基本配置及功能要求</w:t>
            </w:r>
            <w:r/>
          </w:p>
          <w:p>
            <w:pPr>
              <w:pStyle w:val="1100"/>
              <w:ind w:firstLine="420"/>
              <w:spacing w:line="360" w:lineRule="exact"/>
              <w:rPr>
                <w:rFonts w:ascii="宋体" w:hAnsi="宋体" w:cs="宋体"/>
                <w:spacing w:val="-2"/>
                <w:szCs w:val="21"/>
              </w:rPr>
            </w:pPr>
            <w:r>
              <w:rPr>
                <w:rFonts w:ascii="宋体" w:hAnsi="宋体" w:cs="宋体"/>
                <w:szCs w:val="21"/>
              </w:rPr>
              <w:t xml:space="preserve">1.实训台：</w:t>
            </w:r>
            <w:r>
              <w:rPr>
                <w:rFonts w:ascii="宋体" w:hAnsi="宋体" w:cs="宋体"/>
                <w:spacing w:val="-2"/>
                <w:szCs w:val="21"/>
              </w:rPr>
            </w:r>
            <w:r/>
          </w:p>
          <w:p>
            <w:pPr>
              <w:pStyle w:val="1100"/>
              <w:ind w:firstLine="412"/>
              <w:spacing w:line="360" w:lineRule="exact"/>
              <w:rPr>
                <w:rFonts w:ascii="宋体" w:hAnsi="宋体" w:cs="宋体"/>
                <w:spacing w:val="-2"/>
                <w:szCs w:val="21"/>
              </w:rPr>
            </w:pPr>
            <w:r>
              <w:rPr>
                <w:rFonts w:ascii="宋体" w:hAnsi="宋体" w:cs="宋体"/>
                <w:spacing w:val="-2"/>
                <w:szCs w:val="21"/>
              </w:rPr>
              <w:t xml:space="preserve">（1）框架：由左右桌腿、底框、后侧封板组合而成。表面经脱脂、磷化、静电喷塑处理，涂层厚度≥0.5mm，防锈耐磨，灰白色（颜色可定制）；</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（2）左右桌腿：采用≥30mm*60mm*1.5mm冷轧方钢和≥1.0mm的冷轧钢板焊接成型，拐角处才有圆弧造型，既美观又安全，侧面凸起设计；</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（3）底框：采用≥30mm*30mm*1.2mm冷轧方钢焊接成型，配有安装孔与台面和左右桌腿实现快速固定；</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（4）后侧封板：采用≥1.0mm冷轧钢板折弯成型。</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（5）桌面：E0级三聚氰胺复面合成板，台面厚度≥25mm，前后面采用圆弧过渡处理。表面和边缘采用高温热压防火PVC，安全环保，坚固耐用，灰白色。</w:t>
            </w:r>
            <w:r/>
          </w:p>
          <w:p>
            <w:pPr>
              <w:pStyle w:val="1100"/>
              <w:ind w:firstLine="420"/>
              <w:spacing w:line="360" w:lineRule="exact"/>
              <w:rPr>
                <w:rFonts w:ascii="宋体" w:hAnsi="宋体" w:cs="宋体"/>
                <w:spacing w:val="-2"/>
                <w:szCs w:val="21"/>
              </w:rPr>
            </w:pPr>
            <w:r>
              <w:rPr>
                <w:rFonts w:ascii="宋体" w:hAnsi="宋体" w:cs="宋体"/>
                <w:szCs w:val="21"/>
              </w:rPr>
              <w:t xml:space="preserve">2.实验台架：</w:t>
            </w:r>
            <w:r>
              <w:rPr>
                <w:rFonts w:ascii="宋体" w:hAnsi="宋体" w:cs="宋体"/>
                <w:spacing w:val="-2"/>
                <w:szCs w:val="21"/>
              </w:rPr>
              <w:t xml:space="preserve">实验台架采用独立框架式结构设计，框架由上中下左右五根工业型材分割为上下两个区域，所有型材表面光滑，无凹槽，用于放置交直流电源、测量仪器仪表和实验模块等。实验台两侧提供单相多功能插座和三相四线交流电源插座，为外配仪器设备提供工作电源。</w:t>
            </w:r>
            <w:r/>
          </w:p>
          <w:p>
            <w:pPr>
              <w:pStyle w:val="1100"/>
              <w:ind w:firstLine="420"/>
              <w:spacing w:line="360" w:lineRule="exact"/>
              <w:rPr>
                <w:rFonts w:ascii="宋体" w:hAnsi="宋体" w:cs="宋体"/>
                <w:szCs w:val="21"/>
              </w:rPr>
            </w:pPr>
            <w:r>
              <w:rPr>
                <w:rFonts w:ascii="宋体" w:hAnsi="宋体" w:cs="宋体"/>
                <w:szCs w:val="21"/>
              </w:rPr>
              <w:t xml:space="preserve">3.活动储物柜：采用圆弧卷边冷冲压钣金一体成型，封闭式结构，表面静电喷涂，外形尺寸：≥宽450</w:t>
            </w:r>
            <w:r>
              <w:rPr>
                <w:rFonts w:hint="eastAsia" w:ascii="宋体" w:hAnsi="宋体" w:cs="宋体"/>
                <w:szCs w:val="21"/>
              </w:rPr>
              <w:t xml:space="preserve">×</w:t>
            </w:r>
            <w:r>
              <w:rPr>
                <w:rFonts w:ascii="宋体" w:hAnsi="宋体" w:cs="宋体"/>
                <w:szCs w:val="21"/>
              </w:rPr>
              <w:t xml:space="preserve">深550</w:t>
            </w:r>
            <w:r>
              <w:rPr>
                <w:rFonts w:hint="eastAsia" w:ascii="宋体" w:hAnsi="宋体" w:cs="宋体"/>
                <w:szCs w:val="21"/>
              </w:rPr>
              <w:t xml:space="preserve">×</w:t>
            </w:r>
            <w:r>
              <w:rPr>
                <w:rFonts w:ascii="宋体" w:hAnsi="宋体" w:cs="宋体"/>
                <w:szCs w:val="21"/>
              </w:rPr>
              <w:t xml:space="preserve">高700（mm），总重量≥31kg；柜体四边圆弧设计，柜体边框总厚度≤2.5mm；配有承重型卡扣式三节轨，导轨承重量≥30kg，抽屉把手采用卡套式钣金卷边工艺，把手尺寸≥440</w:t>
            </w:r>
            <w:r>
              <w:rPr>
                <w:rFonts w:hint="eastAsia" w:ascii="宋体" w:hAnsi="宋体" w:cs="宋体"/>
                <w:szCs w:val="21"/>
              </w:rPr>
              <w:t xml:space="preserve">×</w:t>
            </w:r>
            <w:r>
              <w:rPr>
                <w:rFonts w:ascii="宋体" w:hAnsi="宋体" w:cs="宋体"/>
                <w:szCs w:val="21"/>
              </w:rPr>
              <w:t xml:space="preserve">45</w:t>
            </w:r>
            <w:r>
              <w:rPr>
                <w:rFonts w:hint="eastAsia" w:ascii="宋体" w:hAnsi="宋体" w:cs="宋体"/>
                <w:szCs w:val="21"/>
              </w:rPr>
              <w:t xml:space="preserve">×</w:t>
            </w:r>
            <w:r>
              <w:rPr>
                <w:rFonts w:ascii="宋体" w:hAnsi="宋体" w:cs="宋体"/>
                <w:szCs w:val="21"/>
              </w:rPr>
              <w:t xml:space="preserve">18mm，抽屉采用联体锁设计，底部配有4个万向带刹车脚轮。</w:t>
            </w:r>
            <w:r/>
          </w:p>
          <w:p>
            <w:pPr>
              <w:pStyle w:val="1100"/>
              <w:ind w:firstLine="420"/>
              <w:spacing w:line="360" w:lineRule="exact"/>
              <w:rPr>
                <w:rFonts w:ascii="宋体" w:hAnsi="宋体" w:cs="宋体"/>
                <w:szCs w:val="21"/>
              </w:rPr>
            </w:pPr>
            <w:r>
              <w:rPr>
                <w:rFonts w:ascii="宋体" w:hAnsi="宋体" w:cs="宋体"/>
                <w:szCs w:val="21"/>
              </w:rPr>
              <w:t xml:space="preserve">4.电源控制模块：配置一个4P漏电保护器，下面印有注意事项喷涂标志；设有电压指示表，监测进线电源；配有启动、停止和急停按钮控制设备电源的启停，提供三相五线线电压380V和相电压AC220V电源，引出到面板分别为4号实验接口L1、L2、L3、N、PE。交流输出带过流保护装置,并配有输出电源指示灯监视；配置24V/2A直流电源，单独电源开关控制，引出到面板分别为三组3号和一组2号实验接口，直流输出带过流保护装置,并配有一只直流数显电压电流功率多功能仪表监视；外形尺寸</w:t>
            </w:r>
            <w:r>
              <w:rPr>
                <w:rFonts w:hint="eastAsia" w:ascii="宋体" w:hAnsi="宋体" w:cs="宋体"/>
                <w:szCs w:val="21"/>
              </w:rPr>
              <w:t xml:space="preserve">≥</w:t>
            </w:r>
            <w:r>
              <w:rPr>
                <w:rFonts w:ascii="宋体" w:hAnsi="宋体" w:cs="宋体"/>
                <w:szCs w:val="21"/>
              </w:rPr>
              <w:t xml:space="preserve">400mm×295mm×150mm，采用挂箱模块式结构，冷轧钢板喷塑箱体，铝质面板(厚度</w:t>
            </w:r>
            <w:r>
              <w:rPr>
                <w:rFonts w:hint="eastAsia" w:ascii="宋体" w:hAnsi="宋体" w:cs="宋体"/>
                <w:szCs w:val="21"/>
              </w:rPr>
              <w:t xml:space="preserve">≥</w:t>
            </w:r>
            <w:r>
              <w:rPr>
                <w:rFonts w:ascii="宋体" w:hAnsi="宋体" w:cs="宋体"/>
                <w:szCs w:val="21"/>
              </w:rPr>
              <w:t xml:space="preserve">2mm)；</w:t>
            </w:r>
            <w:r/>
          </w:p>
          <w:p>
            <w:pPr>
              <w:pStyle w:val="1100"/>
              <w:ind w:firstLine="420"/>
              <w:spacing w:line="360" w:lineRule="exact"/>
              <w:rPr>
                <w:rFonts w:ascii="宋体" w:hAnsi="宋体" w:cs="宋体"/>
                <w:szCs w:val="21"/>
              </w:rPr>
            </w:pPr>
            <w:r>
              <w:rPr>
                <w:rFonts w:ascii="宋体" w:hAnsi="宋体" w:cs="宋体"/>
                <w:szCs w:val="21"/>
              </w:rPr>
              <w:t xml:space="preserve">5.PLC主机模块1：采用挂箱模块式结构，冷轧钢板喷塑箱体；铝质面板(厚度</w:t>
            </w:r>
            <w:r>
              <w:rPr>
                <w:rFonts w:hint="eastAsia" w:ascii="宋体" w:hAnsi="宋体" w:cs="宋体"/>
                <w:szCs w:val="21"/>
              </w:rPr>
              <w:t xml:space="preserve">≥</w:t>
            </w:r>
            <w:r>
              <w:rPr>
                <w:rFonts w:ascii="宋体" w:hAnsi="宋体" w:cs="宋体"/>
                <w:szCs w:val="21"/>
              </w:rPr>
              <w:t xml:space="preserve">2mm)； 电源：直流 20.4-28.8V DC； 机载 I/O： 14x DI 24V DC；10 DO 24V DC； 存储器：程序 250 KB 数据：750 KB，掉电保持：20 KB；集成2个以太网口，支持以太网通讯，配套与PLC主机编程线缆、正版TIA编程软件。配置模拟量信号板,支持2路AI 2x14 位模拟量输入/2路AQ 2x14 位模拟量输出；</w:t>
            </w:r>
            <w:r/>
          </w:p>
          <w:p>
            <w:pPr>
              <w:pStyle w:val="1100"/>
              <w:ind w:firstLine="420"/>
              <w:spacing w:line="360" w:lineRule="exact"/>
              <w:rPr>
                <w:rFonts w:ascii="宋体" w:hAnsi="宋体" w:cs="宋体"/>
                <w:szCs w:val="21"/>
              </w:rPr>
            </w:pPr>
            <w:r>
              <w:rPr>
                <w:rFonts w:ascii="宋体" w:hAnsi="宋体" w:cs="宋体"/>
                <w:szCs w:val="21"/>
              </w:rPr>
              <w:t xml:space="preserve">6.PLC主机模块2：采用挂箱模块式结构，冷轧钢板喷塑箱体；铝质面板(厚度2mm)；PLC主机可带8轴，双以太网</w:t>
            </w:r>
            <w:r>
              <w:rPr>
                <w:rFonts w:ascii="宋体" w:hAnsi="宋体" w:cs="宋体"/>
                <w:szCs w:val="21"/>
              </w:rPr>
              <w:t xml:space="preserve">口，本体自带8入8出，漏型晶体管输出，以太网支EtherNet/IP、ModbusTCP、Socket、PROFINET从站和FINS TCP&amp;UDP从站，程序上下载和固件升级，支持以太网通讯，配套PLC编程线缆、编程软件。配置扩展模块8点数字量输入，8点数字量输出扩展模块，数字量输入，晶体管输出总线输入电源额定电压5VDC（4.75VDC～5.25VDC）总线输入电源额定电流85mA（时典型值）端子输入电源额定电压24VDC（20.4VDC～28.8VDC）端子输入电源额定电流50mA（24V时典型值）。</w:t>
            </w:r>
            <w:r/>
          </w:p>
          <w:p>
            <w:pPr>
              <w:pStyle w:val="1100"/>
              <w:ind w:firstLine="420"/>
              <w:spacing w:line="360" w:lineRule="exact"/>
              <w:rPr>
                <w:rFonts w:ascii="宋体" w:hAnsi="宋体" w:cs="宋体"/>
                <w:szCs w:val="21"/>
              </w:rPr>
            </w:pPr>
            <w:r>
              <w:rPr>
                <w:rFonts w:ascii="宋体" w:hAnsi="宋体" w:cs="宋体"/>
                <w:szCs w:val="21"/>
              </w:rPr>
              <w:t xml:space="preserve">7.变频器模块：采用挂箱模块式结构，冷轧钢板喷塑箱体；铝质面板(厚度2mm)；采用与PLC主机模块1同一品牌，单相220V供电，输出功率0.37KW。集成RS-485通讯接口，提供BOP操作面板；具有线性V/F控制、平方V/F控制、可编程多点设定V/F控制，磁通电流控制、直流转矩控制；集成4路数字量输入，2路模拟量输入。</w:t>
            </w:r>
            <w:r/>
          </w:p>
          <w:p>
            <w:pPr>
              <w:pStyle w:val="1100"/>
              <w:ind w:firstLine="420"/>
              <w:spacing w:line="360" w:lineRule="exact"/>
              <w:rPr>
                <w:rFonts w:ascii="宋体" w:hAnsi="宋体" w:cs="宋体"/>
                <w:szCs w:val="21"/>
              </w:rPr>
            </w:pPr>
            <w:r>
              <w:rPr>
                <w:rFonts w:ascii="宋体" w:hAnsi="宋体" w:cs="宋体"/>
                <w:szCs w:val="21"/>
              </w:rPr>
              <w:t xml:space="preserve">8.触摸屏模块：采用</w:t>
            </w:r>
            <w:r>
              <w:rPr>
                <w:rFonts w:hint="eastAsia" w:ascii="宋体" w:hAnsi="宋体" w:cs="宋体"/>
                <w:szCs w:val="21"/>
              </w:rPr>
              <w:t xml:space="preserve">≥</w:t>
            </w:r>
            <w:r>
              <w:rPr>
                <w:rFonts w:ascii="宋体" w:hAnsi="宋体" w:cs="宋体"/>
                <w:szCs w:val="21"/>
              </w:rPr>
              <w:t xml:space="preserve">7寸彩色触摸屏（分辨率</w:t>
            </w:r>
            <w:r>
              <w:rPr>
                <w:rFonts w:hint="eastAsia" w:ascii="宋体" w:hAnsi="宋体" w:cs="宋体"/>
                <w:szCs w:val="21"/>
              </w:rPr>
              <w:t xml:space="preserve">不低于</w:t>
            </w:r>
            <w:r>
              <w:rPr>
                <w:rFonts w:ascii="宋体" w:hAnsi="宋体" w:cs="宋体"/>
                <w:szCs w:val="21"/>
              </w:rPr>
              <w:t xml:space="preserve">800×480），支持以太网通讯。配置以太网交换机一个，可以通过以太网交换机控制运动部件，以太网交换机采用导轨式10/100MBIT/S自适应工业以太网交换机，自带5个双绞线端口，RJ45接口，供电电源DC24V。</w:t>
            </w:r>
            <w:r/>
          </w:p>
          <w:p>
            <w:pPr>
              <w:pStyle w:val="1100"/>
              <w:ind w:firstLine="420"/>
              <w:spacing w:line="360" w:lineRule="exact"/>
              <w:rPr>
                <w:rFonts w:ascii="宋体" w:hAnsi="宋体" w:cs="宋体"/>
                <w:szCs w:val="21"/>
              </w:rPr>
            </w:pPr>
            <w:r>
              <w:rPr>
                <w:rFonts w:ascii="宋体" w:hAnsi="宋体" w:cs="宋体"/>
                <w:szCs w:val="21"/>
              </w:rPr>
              <w:t xml:space="preserve">9.直流信号发生器模块:提供一体化工业标准直流信号0-10V和4-20mA，集成4位数显表显示，精度0.01级，0.1mv的跳动变化，数字编码器粗微调双模式调节。</w:t>
            </w:r>
            <w:r/>
          </w:p>
          <w:p>
            <w:pPr>
              <w:pStyle w:val="1100"/>
              <w:ind w:firstLine="420"/>
              <w:spacing w:line="360" w:lineRule="exact"/>
              <w:rPr>
                <w:rFonts w:ascii="宋体" w:hAnsi="宋体" w:cs="宋体"/>
                <w:szCs w:val="21"/>
              </w:rPr>
            </w:pPr>
            <w:r>
              <w:rPr>
                <w:rFonts w:ascii="宋体" w:hAnsi="宋体" w:cs="宋体"/>
                <w:szCs w:val="21"/>
              </w:rPr>
              <w:t xml:space="preserve">10.基本指令练习模块:提供6路输入，6路输出等接口，输入、输出端电压可自由切换0V和24V，输出端由指示灯的亮灭来指示PLC输出口的状态，面板印有清晰的接线说明和端口丝印。通过基本指令练习，让学生彻底掌握PLC输入、输出的外围接线和工作原理。</w:t>
            </w:r>
            <w:r/>
          </w:p>
          <w:p>
            <w:pPr>
              <w:pStyle w:val="1100"/>
              <w:ind w:firstLine="420"/>
              <w:spacing w:line="360" w:lineRule="exact"/>
              <w:rPr>
                <w:rFonts w:ascii="宋体" w:hAnsi="宋体" w:cs="宋体"/>
                <w:bCs/>
                <w:szCs w:val="21"/>
              </w:rPr>
            </w:pPr>
            <w:r>
              <w:rPr>
                <w:rFonts w:ascii="宋体" w:hAnsi="宋体" w:cs="宋体"/>
                <w:szCs w:val="21"/>
              </w:rPr>
              <w:t xml:space="preserve">11.PLC智能场景教学系统:</w:t>
            </w:r>
            <w:r>
              <w:rPr>
                <w:rFonts w:ascii="宋体" w:hAnsi="宋体" w:cs="宋体"/>
                <w:bCs/>
                <w:szCs w:val="21"/>
              </w:rPr>
            </w:r>
            <w:r/>
          </w:p>
          <w:p>
            <w:pPr>
              <w:pStyle w:val="1100"/>
              <w:ind w:firstLine="420"/>
              <w:spacing w:line="360" w:lineRule="exact"/>
              <w:rPr>
                <w:rFonts w:ascii="宋体" w:hAnsi="宋体" w:cs="宋体"/>
                <w:bCs/>
                <w:szCs w:val="21"/>
              </w:rPr>
            </w:pPr>
            <w:r>
              <w:rPr>
                <w:rFonts w:ascii="宋体" w:hAnsi="宋体" w:cs="宋体"/>
                <w:bCs/>
                <w:szCs w:val="21"/>
              </w:rPr>
              <w:t xml:space="preserve">采用模块化设计，主控系统+实训模块结合形式，支持按需组合功能模块，满足个性化需求（如按教学场景自由搭配）。系统通过磁吸快拆设计、无线智能识别、智能语音等功能。</w:t>
            </w:r>
            <w:r/>
          </w:p>
          <w:p>
            <w:pPr>
              <w:pStyle w:val="1100"/>
              <w:ind w:firstLine="420"/>
              <w:spacing w:line="360" w:lineRule="exact"/>
              <w:rPr>
                <w:rFonts w:ascii="宋体" w:hAnsi="宋体" w:cs="宋体"/>
                <w:bCs/>
                <w:szCs w:val="21"/>
              </w:rPr>
            </w:pPr>
            <w:r>
              <w:rPr>
                <w:rFonts w:ascii="宋体" w:hAnsi="宋体" w:cs="宋体"/>
                <w:bCs/>
                <w:szCs w:val="21"/>
              </w:rPr>
              <w:t xml:space="preserve">（1）磁吸快拆设计：采用≥16点分布式钕铁硼强磁阵列设计，单点吸附力≥3N，支持模块任意角度快速盲放吸附定位，模块拆装时间&lt;2秒，实现即取即用；</w:t>
            </w:r>
            <w:r/>
          </w:p>
          <w:p>
            <w:pPr>
              <w:pStyle w:val="1100"/>
              <w:ind w:firstLine="420"/>
              <w:spacing w:line="360" w:lineRule="exact"/>
              <w:rPr>
                <w:rFonts w:ascii="宋体" w:hAnsi="宋体" w:cs="宋体"/>
                <w:bCs/>
                <w:szCs w:val="21"/>
              </w:rPr>
            </w:pPr>
            <w:r>
              <w:rPr>
                <w:rFonts w:ascii="宋体" w:hAnsi="宋体" w:cs="宋体"/>
                <w:bCs/>
                <w:szCs w:val="21"/>
              </w:rPr>
              <w:t xml:space="preserve">（2）无线智能识别功能:采用无线感应技术自动识别，内置动态防抖算法确保识别稳定性，匹配成功率≥99.8%，动态匹配机制自动运行当前模块，无需外部手动干预，匹配迅速无延迟。</w:t>
            </w:r>
            <w:r/>
          </w:p>
          <w:p>
            <w:pPr>
              <w:pStyle w:val="1100"/>
              <w:ind w:firstLine="420"/>
              <w:spacing w:line="360" w:lineRule="exact"/>
              <w:rPr>
                <w:rFonts w:ascii="宋体" w:hAnsi="宋体" w:cs="宋体"/>
                <w:bCs/>
                <w:szCs w:val="21"/>
              </w:rPr>
            </w:pPr>
            <w:r>
              <w:rPr>
                <w:rFonts w:ascii="宋体" w:hAnsi="宋体" w:cs="宋体"/>
                <w:bCs/>
                <w:szCs w:val="21"/>
              </w:rPr>
              <w:t xml:space="preserve">（3）智能语音功能：采用动态匹配编码与媒体库，支持语音输出，模块放入自动开始播报，模块离开后自动停止。</w:t>
            </w:r>
            <w:r/>
          </w:p>
          <w:p>
            <w:pPr>
              <w:pStyle w:val="1100"/>
              <w:ind w:firstLine="420"/>
              <w:spacing w:line="360" w:lineRule="exact"/>
              <w:rPr>
                <w:rFonts w:ascii="宋体" w:hAnsi="宋体" w:cs="宋体"/>
                <w:bCs/>
                <w:szCs w:val="21"/>
              </w:rPr>
            </w:pPr>
            <w:r>
              <w:rPr>
                <w:rFonts w:ascii="宋体" w:hAnsi="宋体" w:cs="宋体"/>
                <w:bCs/>
                <w:szCs w:val="21"/>
              </w:rPr>
              <w:t xml:space="preserve">（4）交互功能：集成8路点动按钮输出和8路自锁开关输出，12路NPN/PNP均兼容输入，12路NPN/PNP均兼容输出，满足多种实训需求。</w:t>
            </w:r>
            <w:r/>
          </w:p>
          <w:p>
            <w:pPr>
              <w:pStyle w:val="1100"/>
              <w:ind w:firstLine="420"/>
              <w:spacing w:line="360" w:lineRule="exact"/>
              <w:rPr>
                <w:rFonts w:ascii="宋体" w:hAnsi="宋体" w:cs="宋体"/>
                <w:bCs/>
                <w:szCs w:val="21"/>
              </w:rPr>
            </w:pPr>
            <w:r>
              <w:rPr>
                <w:rFonts w:ascii="宋体" w:hAnsi="宋体" w:cs="宋体"/>
                <w:bCs/>
                <w:szCs w:val="21"/>
              </w:rPr>
              <w:t xml:space="preserve">（5）两种工作模式自由切换：示教演示模式和编程训练模式。</w:t>
            </w:r>
            <w:r/>
          </w:p>
          <w:p>
            <w:pPr>
              <w:pStyle w:val="1100"/>
              <w:ind w:firstLine="420"/>
              <w:spacing w:line="360" w:lineRule="exact"/>
              <w:rPr>
                <w:rFonts w:ascii="宋体" w:hAnsi="宋体" w:cs="宋体"/>
                <w:bCs/>
                <w:szCs w:val="21"/>
              </w:rPr>
            </w:pPr>
            <w:r>
              <w:rPr>
                <w:rFonts w:ascii="宋体" w:hAnsi="宋体" w:cs="宋体"/>
                <w:bCs/>
                <w:szCs w:val="21"/>
              </w:rPr>
              <w:t xml:space="preserve">（6）示教演示模式功能：示教演示模式自动调用预置标准化程序库，自动运行当前项目，自动语音讲解项目流程与控制逻辑，帮助学生快速理解。</w:t>
            </w:r>
            <w:r/>
          </w:p>
          <w:p>
            <w:pPr>
              <w:pStyle w:val="1100"/>
              <w:ind w:firstLine="420"/>
              <w:spacing w:line="360" w:lineRule="exact"/>
              <w:rPr>
                <w:rFonts w:ascii="宋体" w:hAnsi="宋体" w:cs="宋体"/>
                <w:bCs/>
                <w:szCs w:val="21"/>
              </w:rPr>
            </w:pPr>
            <w:r>
              <w:rPr>
                <w:rFonts w:ascii="宋体" w:hAnsi="宋体" w:cs="宋体"/>
                <w:bCs/>
                <w:szCs w:val="21"/>
              </w:rPr>
              <w:t xml:space="preserve">（7）编程训练模式功能：编程训练模式，支持西门子、三菱、欧姆龙、信捷等多品牌PLC控制器或者单片机控制，提供编程接口和工具，方便学生进行PLC编程训练和调试。</w:t>
            </w:r>
            <w:r/>
          </w:p>
          <w:p>
            <w:pPr>
              <w:pStyle w:val="1100"/>
              <w:ind w:firstLine="412"/>
              <w:spacing w:line="360" w:lineRule="exact"/>
              <w:rPr>
                <w:rFonts w:ascii="宋体" w:hAnsi="宋体" w:cs="宋体"/>
                <w:b/>
                <w:szCs w:val="21"/>
              </w:rPr>
            </w:pPr>
            <w:r>
              <w:rPr>
                <w:rFonts w:ascii="宋体" w:hAnsi="宋体" w:cs="宋体"/>
                <w:spacing w:val="-2"/>
                <w:szCs w:val="21"/>
              </w:rPr>
              <w:t xml:space="preserve">■</w:t>
            </w:r>
            <w:r>
              <w:rPr>
                <w:rFonts w:ascii="宋体" w:hAnsi="宋体" w:cs="宋体"/>
                <w:bCs/>
                <w:szCs w:val="21"/>
              </w:rPr>
              <w:t xml:space="preserve">（8）提供至少提供基本指令练习、LED数码显示、天塔之光、水塔水位、十字路口交通灯、机械手、装配流水线、四节传送带、自控轧钢机、自控成型机、多种液体混合装置、音乐喷泉、舞台灯光模拟、运料小车模拟、自动洗衣机控制、四相步进电机模拟、艺术灯模拟、喷泉模拟控制、舞台艺术灯控制、抢答器控制等实训模块。</w:t>
            </w:r>
            <w:r>
              <w:rPr>
                <w:rFonts w:ascii="宋体" w:hAnsi="宋体" w:cs="宋体"/>
                <w:b/>
                <w:szCs w:val="21"/>
              </w:rPr>
              <w:t xml:space="preserve">（提供10种模块视频演示，体现磁吸定位、自动识别模块语音示教演示；演示一种模块的实验讲解，包含接线、示教模式和PLC控制讲解）</w:t>
            </w:r>
            <w:r/>
          </w:p>
          <w:p>
            <w:pPr>
              <w:pStyle w:val="1100"/>
              <w:ind w:firstLine="420"/>
              <w:spacing w:line="360" w:lineRule="exact"/>
              <w:rPr>
                <w:rFonts w:ascii="宋体" w:hAnsi="宋体" w:cs="宋体"/>
                <w:szCs w:val="21"/>
              </w:rPr>
            </w:pPr>
            <w:r>
              <w:rPr>
                <w:rFonts w:ascii="宋体" w:hAnsi="宋体" w:cs="宋体"/>
                <w:szCs w:val="21"/>
              </w:rPr>
              <w:t xml:space="preserve">12.实训电机:提供三相异步电动机1台，220V/△接法，转速1400转/min，功率40W，频率50HZ，绝缘等级E级。</w:t>
            </w:r>
            <w:r/>
          </w:p>
          <w:p>
            <w:pPr>
              <w:pStyle w:val="1100"/>
              <w:ind w:firstLine="420"/>
              <w:spacing w:line="360" w:lineRule="exact"/>
              <w:rPr>
                <w:rFonts w:ascii="宋体" w:hAnsi="宋体" w:cs="宋体"/>
                <w:szCs w:val="21"/>
              </w:rPr>
            </w:pPr>
            <w:r>
              <w:rPr>
                <w:rFonts w:ascii="宋体" w:hAnsi="宋体" w:cs="宋体"/>
                <w:szCs w:val="21"/>
              </w:rPr>
              <w:t xml:space="preserve">13.工作站辅助平台:框架采用方管和优质冷轧钢板，经折弯、焊接制作；框架表面为全自动脱脂、双面静电喷塑；桌面为E0级复面合成板一体成型覆膜，外形尺寸：620mm×600mm×950mm。底框参数采用30mm×60mm×1.0mm方管和</w:t>
            </w:r>
            <w:r>
              <w:rPr>
                <w:rFonts w:hint="eastAsia" w:ascii="宋体" w:hAnsi="宋体" w:cs="宋体"/>
                <w:szCs w:val="21"/>
              </w:rPr>
              <w:t xml:space="preserve">≥</w:t>
            </w:r>
            <w:r>
              <w:rPr>
                <w:rFonts w:ascii="宋体" w:hAnsi="宋体" w:cs="宋体"/>
                <w:szCs w:val="21"/>
              </w:rPr>
              <w:t xml:space="preserve">1.0mm冷轧钢板焊接；前高后低设计，落差≥40mm，过渡斜面≥30°；前方开口≥480mm；后方2个2.5寸万向带刹车脚轮，前方2个防滑</w:t>
            </w:r>
            <w:r>
              <w:rPr>
                <w:rFonts w:hint="eastAsia" w:ascii="MS Gothic" w:hAnsi="MS Gothic" w:eastAsia="MS Gothic" w:cs="MS Gothic"/>
                <w:szCs w:val="21"/>
              </w:rPr>
              <w:t xml:space="preserve">∅</w:t>
            </w:r>
            <w:r>
              <w:rPr>
                <w:rFonts w:ascii="宋体" w:hAnsi="宋体" w:cs="宋体"/>
                <w:szCs w:val="21"/>
              </w:rPr>
              <w:t xml:space="preserve">40mm调节脚，具有防移动功能。左右立板参数尺寸≥725mm×150mm×30mm，采用≥30mm×15mm×1.5mm方管和冷轧钢板焊接；上窄下宽，宽度差≥35mm；立板圆弧及30°斜面，与底框角度一致。主机箱参数尺寸508mm×500mm×200mm，</w:t>
            </w:r>
            <w:r>
              <w:rPr>
                <w:rFonts w:hint="eastAsia" w:ascii="宋体" w:hAnsi="宋体" w:cs="宋体"/>
                <w:szCs w:val="21"/>
              </w:rPr>
              <w:t xml:space="preserve">≥</w:t>
            </w:r>
            <w:r>
              <w:rPr>
                <w:rFonts w:ascii="宋体" w:hAnsi="宋体" w:cs="宋体"/>
                <w:szCs w:val="21"/>
              </w:rPr>
              <w:t xml:space="preserve">1.0mm冷轧钢板一次性折弯焊接；三面封边，均匀分布梅花形散热孔；横向后置安装，可隐藏连接线。桌框及抽斗参数桌框尺寸≥580mm×498mm×130mm，1.0mm冷轧钢板一次性折弯焊接，使用圆弧边和斜面设计；抽斗≥470mm×320mm×70mm，配300mm三节导轨；把手≥470mm×45mm×18mm。桌面板及显示器安全围板：桌面板≥620mm×600mm×18mm，上斜边45°、四角R30、前方内凹R300；围板≥595mm×200mm×160mm。</w:t>
            </w:r>
            <w:r/>
          </w:p>
          <w:p>
            <w:pPr>
              <w:pStyle w:val="1100"/>
              <w:ind w:firstLine="420"/>
              <w:spacing w:line="360" w:lineRule="exact"/>
              <w:rPr>
                <w:rFonts w:ascii="宋体" w:hAnsi="宋体" w:cs="宋体"/>
                <w:szCs w:val="21"/>
              </w:rPr>
            </w:pPr>
            <w:r>
              <w:rPr>
                <w:rFonts w:ascii="宋体" w:hAnsi="宋体" w:cs="宋体"/>
                <w:szCs w:val="21"/>
              </w:rPr>
              <w:t xml:space="preserve">14.实验连接线:每套配齐高可靠护套结构手枪插连接线，无氧铜抽丝而成插头采用实芯铜质件外套铍轻铜弹片，强弱电导线的插头插座尺寸分开，不可混插，安全可靠。</w:t>
            </w:r>
            <w:r/>
          </w:p>
          <w:p>
            <w:pPr>
              <w:pStyle w:val="1100"/>
              <w:ind w:firstLine="420"/>
              <w:spacing w:line="360" w:lineRule="exact"/>
              <w:rPr>
                <w:rFonts w:ascii="宋体" w:hAnsi="宋体" w:cs="宋体"/>
                <w:szCs w:val="21"/>
              </w:rPr>
            </w:pPr>
            <w:r>
              <w:rPr>
                <w:rFonts w:ascii="宋体" w:hAnsi="宋体" w:cs="宋体"/>
                <w:szCs w:val="21"/>
              </w:rPr>
              <w:t xml:space="preserve">15.可编程工作站：处理器不低于i5-11700，运行内存不低于16G DDR4，内存不低于500G。</w:t>
            </w:r>
            <w:r/>
          </w:p>
          <w:p>
            <w:pPr>
              <w:pStyle w:val="1100"/>
              <w:ind w:firstLine="420"/>
              <w:spacing w:line="360" w:lineRule="exact"/>
              <w:rPr>
                <w:rFonts w:ascii="宋体" w:hAnsi="宋体" w:cs="宋体"/>
                <w:szCs w:val="21"/>
              </w:rPr>
            </w:pPr>
            <w:r>
              <w:rPr>
                <w:rFonts w:ascii="宋体" w:hAnsi="宋体" w:cs="宋体"/>
                <w:szCs w:val="21"/>
              </w:rPr>
              <w:t xml:space="preserve">16.智能电气参数测试仪（整个实训室配一套）</w:t>
            </w:r>
            <w:r/>
          </w:p>
          <w:p>
            <w:pPr>
              <w:pStyle w:val="1100"/>
              <w:ind w:firstLine="420"/>
              <w:spacing w:line="360" w:lineRule="exact"/>
              <w:rPr>
                <w:rFonts w:ascii="宋体" w:hAnsi="宋体" w:cs="宋体"/>
                <w:b/>
                <w:bCs/>
                <w:szCs w:val="21"/>
              </w:rPr>
            </w:pPr>
            <w:r>
              <w:rPr>
                <w:rFonts w:ascii="宋体" w:hAnsi="宋体" w:cs="宋体"/>
                <w:szCs w:val="21"/>
              </w:rPr>
              <w:t xml:space="preserve">▲（1）主要功能搭载嵌入式系统，集成15.6英寸高清触控交互终端，融合信号采集、电源输出、信号发生、智能分析、数据运维于一体，设备可连接至外网，支持扩展云平台管理，满足集成化、智能化、数字化的现代化电气教学与科研测试终端。</w:t>
            </w:r>
            <w:r>
              <w:rPr>
                <w:rFonts w:ascii="宋体" w:hAnsi="宋体" w:cs="宋体"/>
                <w:b/>
                <w:bCs/>
                <w:szCs w:val="21"/>
              </w:rPr>
              <w:t xml:space="preserve">（投标时至少3个角度实物高清实物图）</w:t>
            </w:r>
            <w:r/>
          </w:p>
          <w:p>
            <w:pPr>
              <w:pStyle w:val="1100"/>
              <w:ind w:firstLine="420"/>
              <w:spacing w:line="360" w:lineRule="exact"/>
              <w:rPr>
                <w:rFonts w:ascii="宋体" w:hAnsi="宋体" w:cs="宋体"/>
                <w:szCs w:val="21"/>
              </w:rPr>
            </w:pPr>
            <w:r>
              <w:rPr>
                <w:rFonts w:ascii="宋体" w:hAnsi="宋体" w:cs="宋体"/>
                <w:szCs w:val="21"/>
              </w:rPr>
              <w:t xml:space="preserve">（2）硬件配置要求</w:t>
            </w:r>
            <w:r/>
          </w:p>
          <w:p>
            <w:pPr>
              <w:pStyle w:val="1100"/>
              <w:ind w:firstLine="420"/>
              <w:spacing w:line="360" w:lineRule="exact"/>
              <w:rPr>
                <w:rFonts w:ascii="宋体" w:hAnsi="宋体" w:cs="宋体"/>
                <w:szCs w:val="21"/>
              </w:rPr>
            </w:pPr>
            <w:r>
              <w:rPr>
                <w:rFonts w:ascii="宋体" w:hAnsi="宋体" w:cs="宋体"/>
                <w:szCs w:val="21"/>
              </w:rPr>
              <w:t xml:space="preserve">1）配备≥4路隔离采集通道，支持≥0～500V直流电压、≥0～5A直流电流，测量精度达0.5级，支持≥0～500V交流电压、≥0～5A交流电流；≥4路UART/TTL通讯通道，≥1路PWM脉冲信号输出。</w:t>
            </w:r>
            <w:r/>
          </w:p>
          <w:p>
            <w:pPr>
              <w:pStyle w:val="1100"/>
              <w:ind w:firstLine="420"/>
              <w:spacing w:line="360" w:lineRule="exact"/>
              <w:rPr>
                <w:rFonts w:ascii="宋体" w:hAnsi="宋体" w:cs="宋体"/>
                <w:szCs w:val="21"/>
              </w:rPr>
            </w:pPr>
            <w:r>
              <w:rPr>
                <w:rFonts w:ascii="宋体" w:hAnsi="宋体" w:cs="宋体"/>
                <w:szCs w:val="21"/>
              </w:rPr>
              <w:t xml:space="preserve">2）输出电压区间≥0～30V、输出电流区间≥0～7A，触摸屏控制调节。</w:t>
            </w:r>
            <w:r/>
          </w:p>
          <w:p>
            <w:pPr>
              <w:pStyle w:val="1100"/>
              <w:ind w:firstLine="420"/>
              <w:spacing w:line="360" w:lineRule="exact"/>
              <w:rPr>
                <w:rFonts w:ascii="宋体" w:hAnsi="宋体" w:cs="宋体"/>
                <w:szCs w:val="21"/>
              </w:rPr>
            </w:pPr>
            <w:r>
              <w:rPr>
                <w:rFonts w:ascii="宋体" w:hAnsi="宋体" w:cs="宋体"/>
                <w:szCs w:val="21"/>
              </w:rPr>
              <w:t xml:space="preserve">3）处理器≥1.5GHz四核64位ARM Cortex-A72，内存≥2GB，双频802.11ac无线网络，千兆以太网口，支持485、CAN通讯，具有多路USB Type-A接口。</w:t>
            </w:r>
            <w:r/>
          </w:p>
          <w:p>
            <w:pPr>
              <w:pStyle w:val="1100"/>
              <w:ind w:firstLine="420"/>
              <w:spacing w:line="360" w:lineRule="exact"/>
              <w:rPr>
                <w:rFonts w:ascii="宋体" w:hAnsi="宋体" w:cs="宋体"/>
                <w:szCs w:val="21"/>
              </w:rPr>
            </w:pPr>
            <w:r>
              <w:rPr>
                <w:rFonts w:ascii="宋体" w:hAnsi="宋体" w:cs="宋体"/>
                <w:szCs w:val="21"/>
              </w:rPr>
              <w:t xml:space="preserve">4）可内置集成/外置拓展信号源，输出正弦波、三角波、方波、脉冲波四类基础标准波形。频率调控全域频率覆盖≥0.1Hz～2MHz，触控数字化调节最小步进0.1Hz，支持大小键盘精准切换定值；搭载7档分级快捷调频模式（F1-F7），分级调控区间0.1kHz～350kHz；智能扫频支持≥0.1Hz～2MHz全域扫频输出，扫频精度最小步进0.1Hz，扫频时间间隔最小0.01S。幅值调控输出峰峰值区间≥5mVp-p～17Vp-p 。</w:t>
            </w:r>
            <w:r/>
          </w:p>
          <w:p>
            <w:pPr>
              <w:pStyle w:val="1100"/>
              <w:ind w:firstLine="420"/>
              <w:spacing w:line="360" w:lineRule="exact"/>
              <w:rPr>
                <w:rFonts w:ascii="宋体" w:hAnsi="宋体" w:cs="宋体"/>
                <w:szCs w:val="21"/>
              </w:rPr>
            </w:pPr>
            <w:r>
              <w:rPr>
                <w:rFonts w:ascii="宋体" w:hAnsi="宋体" w:cs="宋体"/>
                <w:szCs w:val="21"/>
              </w:rPr>
              <w:t xml:space="preserve">5）配套模块化实验平台，支持自定义电气回路拓扑搭建、功能模块自由拓展，适配多元化、创新性电气实验需求。</w:t>
            </w:r>
            <w:r/>
          </w:p>
          <w:p>
            <w:pPr>
              <w:pStyle w:val="1100"/>
              <w:ind w:firstLine="420"/>
              <w:spacing w:line="360" w:lineRule="exact"/>
              <w:rPr>
                <w:rFonts w:ascii="宋体" w:hAnsi="宋体" w:cs="宋体"/>
                <w:szCs w:val="21"/>
              </w:rPr>
            </w:pPr>
            <w:r>
              <w:rPr>
                <w:rFonts w:ascii="宋体" w:hAnsi="宋体" w:cs="宋体"/>
                <w:szCs w:val="21"/>
              </w:rPr>
              <w:t xml:space="preserve">6）配套高精度数控可调电阻模块，搭载智能化数控可调电阻单元，设备触摸屏直接设定所需电阻值，模块额定功率≥2W，阻值调节精度达±5%，全域精细步进0.1Ω。 </w:t>
            </w:r>
            <w:r/>
          </w:p>
          <w:p>
            <w:pPr>
              <w:pStyle w:val="1100"/>
              <w:ind w:firstLine="412"/>
              <w:spacing w:line="360" w:lineRule="exact"/>
              <w:rPr>
                <w:rFonts w:ascii="宋体" w:hAnsi="宋体" w:cs="宋体"/>
                <w:szCs w:val="21"/>
              </w:rPr>
            </w:pPr>
            <w:r>
              <w:rPr>
                <w:rFonts w:ascii="宋体" w:hAnsi="宋体" w:cs="宋体"/>
                <w:spacing w:val="-2"/>
                <w:szCs w:val="21"/>
              </w:rPr>
              <w:t xml:space="preserve">■</w:t>
            </w:r>
            <w:r>
              <w:rPr>
                <w:rFonts w:ascii="宋体" w:hAnsi="宋体" w:cs="宋体"/>
                <w:szCs w:val="21"/>
              </w:rPr>
              <w:t xml:space="preserve">（3）软件功能</w:t>
            </w:r>
            <w:r>
              <w:rPr>
                <w:rFonts w:ascii="宋体" w:hAnsi="宋体" w:cs="宋体"/>
                <w:b/>
                <w:bCs/>
                <w:szCs w:val="21"/>
              </w:rPr>
              <w:t xml:space="preserve">（以下功能要求投标时提供视频）</w:t>
            </w:r>
            <w:r>
              <w:rPr>
                <w:rFonts w:ascii="宋体" w:hAnsi="宋体" w:cs="宋体"/>
                <w:szCs w:val="21"/>
              </w:rPr>
            </w:r>
            <w:r/>
          </w:p>
          <w:p>
            <w:pPr>
              <w:pStyle w:val="1100"/>
              <w:ind w:firstLine="420"/>
              <w:spacing w:line="360" w:lineRule="exact"/>
              <w:rPr>
                <w:rFonts w:ascii="宋体" w:hAnsi="宋体" w:cs="宋体"/>
                <w:szCs w:val="21"/>
              </w:rPr>
            </w:pPr>
            <w:r>
              <w:rPr>
                <w:rFonts w:ascii="宋体" w:hAnsi="宋体" w:cs="宋体"/>
                <w:szCs w:val="21"/>
              </w:rPr>
              <w:t xml:space="preserve">1）用户管理：一台设备支持同时≥4名学生同时登录，记录不少于以下内容：“班级”“学号”“姓名”，用于后续实验报告的生成及教师端管理。</w:t>
            </w:r>
            <w:r/>
          </w:p>
          <w:p>
            <w:pPr>
              <w:pStyle w:val="1100"/>
              <w:ind w:firstLine="420"/>
              <w:spacing w:line="360" w:lineRule="exact"/>
              <w:rPr>
                <w:rFonts w:ascii="宋体" w:hAnsi="宋体" w:cs="宋体"/>
                <w:szCs w:val="21"/>
              </w:rPr>
            </w:pPr>
            <w:r>
              <w:rPr>
                <w:rFonts w:ascii="宋体" w:hAnsi="宋体" w:cs="宋体"/>
                <w:szCs w:val="21"/>
              </w:rPr>
              <w:t xml:space="preserve">2）仪表显示界面：可同时显示4路电压电流表及稳压/恒流源输出控制。</w:t>
            </w:r>
            <w:r/>
          </w:p>
          <w:p>
            <w:pPr>
              <w:pStyle w:val="1100"/>
              <w:ind w:firstLine="420"/>
              <w:spacing w:line="360" w:lineRule="exact"/>
              <w:rPr>
                <w:rFonts w:ascii="宋体" w:hAnsi="宋体" w:cs="宋体"/>
                <w:szCs w:val="21"/>
              </w:rPr>
            </w:pPr>
            <w:r>
              <w:rPr>
                <w:rFonts w:ascii="宋体" w:hAnsi="宋体" w:cs="宋体"/>
                <w:szCs w:val="21"/>
              </w:rPr>
              <w:t xml:space="preserve">3）开放性实验界面：可自选多路采集通道，记录表格与曲线绘制，曲线绘制有Y-T模式及X-Y模式。数据可以下载到U盘。</w:t>
            </w:r>
            <w:r/>
          </w:p>
          <w:p>
            <w:pPr>
              <w:pStyle w:val="1100"/>
              <w:ind w:firstLine="420"/>
              <w:spacing w:line="360" w:lineRule="exact"/>
              <w:rPr>
                <w:rFonts w:ascii="宋体" w:hAnsi="宋体" w:cs="宋体"/>
                <w:szCs w:val="21"/>
              </w:rPr>
            </w:pPr>
            <w:r>
              <w:rPr>
                <w:rFonts w:ascii="宋体" w:hAnsi="宋体" w:cs="宋体"/>
                <w:szCs w:val="21"/>
              </w:rPr>
              <w:t xml:space="preserve">4）设置界面：可进行WIFI配置与网络IP地址设置，设备台号设置等操作。</w:t>
            </w:r>
            <w:r/>
          </w:p>
          <w:p>
            <w:pPr>
              <w:pStyle w:val="1100"/>
              <w:ind w:firstLine="420"/>
              <w:spacing w:line="360" w:lineRule="exact"/>
              <w:rPr>
                <w:rFonts w:ascii="宋体" w:hAnsi="宋体" w:cs="宋体"/>
                <w:szCs w:val="21"/>
              </w:rPr>
            </w:pPr>
            <w:r>
              <w:rPr>
                <w:rFonts w:ascii="宋体" w:hAnsi="宋体" w:cs="宋体"/>
                <w:szCs w:val="21"/>
              </w:rPr>
              <w:t xml:space="preserve">5）内置轻量级AI模型，能在实验过程中对实时表格数据进行分析与智能问题诊断，帮助学生快速定位操作失误或理解偏差。</w:t>
            </w:r>
            <w:r/>
          </w:p>
          <w:p>
            <w:pPr>
              <w:pStyle w:val="1100"/>
              <w:ind w:firstLine="420"/>
              <w:spacing w:line="360" w:lineRule="exact"/>
              <w:rPr>
                <w:rFonts w:ascii="宋体" w:hAnsi="宋体" w:cs="宋体"/>
                <w:szCs w:val="21"/>
              </w:rPr>
            </w:pPr>
            <w:r>
              <w:rPr>
                <w:rFonts w:ascii="宋体" w:hAnsi="宋体" w:cs="宋体"/>
                <w:szCs w:val="21"/>
              </w:rPr>
              <w:t xml:space="preserve">6）有局域网监控管理软件，在同一局域网内，可通过监控管理软件进行实验数据接收、学生管理、远程显示实验界面与操控等功能。</w:t>
            </w:r>
            <w:r/>
          </w:p>
          <w:p>
            <w:pPr>
              <w:pStyle w:val="1100"/>
              <w:ind w:firstLine="420"/>
              <w:spacing w:line="360" w:lineRule="exact"/>
              <w:rPr>
                <w:rFonts w:ascii="宋体" w:hAnsi="宋体" w:cs="宋体"/>
                <w:szCs w:val="21"/>
              </w:rPr>
            </w:pPr>
            <w:r>
              <w:rPr>
                <w:rFonts w:ascii="宋体" w:hAnsi="宋体" w:cs="宋体"/>
                <w:szCs w:val="21"/>
              </w:rPr>
              <w:t xml:space="preserve">17.教学资源库（整个实验室配一套）</w:t>
            </w:r>
            <w:r/>
          </w:p>
          <w:p>
            <w:pPr>
              <w:pStyle w:val="1100"/>
              <w:ind w:firstLine="420"/>
              <w:spacing w:line="360" w:lineRule="exact"/>
              <w:rPr>
                <w:rFonts w:ascii="宋体" w:hAnsi="宋体"/>
                <w:szCs w:val="21"/>
              </w:rPr>
            </w:pPr>
            <w:r>
              <w:rPr>
                <w:rFonts w:ascii="宋体" w:hAnsi="宋体"/>
                <w:szCs w:val="21"/>
              </w:rPr>
              <w:t xml:space="preserve">（1）智慧实验室综合管理系统</w:t>
            </w:r>
            <w:r/>
          </w:p>
          <w:p>
            <w:pPr>
              <w:pStyle w:val="1100"/>
              <w:ind w:firstLine="420"/>
              <w:spacing w:line="360" w:lineRule="exact"/>
              <w:rPr>
                <w:rFonts w:ascii="宋体" w:hAnsi="宋体"/>
                <w:szCs w:val="21"/>
              </w:rPr>
            </w:pPr>
            <w:r>
              <w:rPr>
                <w:rFonts w:ascii="宋体" w:hAnsi="宋体"/>
                <w:szCs w:val="21"/>
              </w:rPr>
              <w:t xml:space="preserve">系统集学、仿、考、评、存、修六位一体。可实现课前视频自主学习、理论在线仿真、知识掌握考核、学习质量评价、实验报告云端存储、实训设备报修等功能。系统设置多种身份登录权限，可满足学员、教师、管理员等不同角色的使用要求。满足手机、平板和计算机等多终端设备的访问。</w:t>
            </w:r>
            <w:r/>
          </w:p>
          <w:p>
            <w:pPr>
              <w:pStyle w:val="1100"/>
              <w:ind w:firstLine="420"/>
              <w:spacing w:line="360" w:lineRule="exact"/>
              <w:rPr>
                <w:rFonts w:ascii="宋体" w:hAnsi="宋体"/>
                <w:szCs w:val="21"/>
              </w:rPr>
            </w:pPr>
            <w:r>
              <w:rPr>
                <w:rFonts w:ascii="宋体" w:hAnsi="宋体"/>
                <w:szCs w:val="21"/>
              </w:rPr>
              <w:t xml:space="preserve">1）云图书馆模块：提供一个云端图书，可能根据实训设备找到相应配套资料，可进行文本搜索、文本黏贴复制、放大、缩小、设置下载、打印、分享等功能。</w:t>
            </w:r>
            <w:r/>
          </w:p>
          <w:p>
            <w:pPr>
              <w:pStyle w:val="1100"/>
              <w:ind w:firstLine="420"/>
              <w:spacing w:line="360" w:lineRule="exact"/>
              <w:rPr>
                <w:rFonts w:ascii="宋体" w:hAnsi="宋体"/>
                <w:szCs w:val="21"/>
              </w:rPr>
            </w:pPr>
            <w:r>
              <w:rPr>
                <w:rFonts w:ascii="宋体" w:hAnsi="宋体"/>
                <w:szCs w:val="21"/>
              </w:rPr>
              <w:t xml:space="preserve">2）自主学习模块：主要包含①工业机器人资源：不少于七种品牌，ABB课时不少于15节，FANUC课时不少于60节，KUKA课时不少于25</w:t>
            </w:r>
            <w:r>
              <w:rPr>
                <w:rFonts w:ascii="宋体" w:hAnsi="宋体"/>
                <w:szCs w:val="21"/>
              </w:rPr>
              <w:t xml:space="preserve">节，YASKAWA课时不少于25节，其它每种品牌课时均不少于15节。②可编程控制器资源：不少于4种，200 SMART课时不少于25节，1200课时不少于70节，FX5U课时不少于100节，FX3U课时不少于40节。③工业驱动资源：V90伺服课时不少于40节，V20变频器课时不少于20节，G120变频器课时不少于7节。④其它资源：智能电梯课时不少于12节，气动技术课时不少于25节，液压技术课时不少于60节，触摸屏课时不少于15节，电气控制技术课时不少于70节，工业机械课时不少于25节，钳工课时不小于45节。</w:t>
            </w:r>
            <w:r/>
          </w:p>
          <w:p>
            <w:pPr>
              <w:pStyle w:val="1100"/>
              <w:ind w:firstLine="420"/>
              <w:spacing w:line="360" w:lineRule="exact"/>
              <w:rPr>
                <w:rFonts w:ascii="宋体" w:hAnsi="宋体"/>
                <w:szCs w:val="21"/>
              </w:rPr>
            </w:pPr>
            <w:r>
              <w:rPr>
                <w:rFonts w:ascii="宋体" w:hAnsi="宋体"/>
                <w:szCs w:val="21"/>
              </w:rPr>
              <w:t xml:space="preserve">3）在线仿真模块：平台设有在线仿真实验模块，提供标准实验类别不少于18种，具体实验仿真项目少于105个，利用元件库可进行设计性实验，支持Dropbox导入实验，可作为链接、文本、图片等多种形式导出以及打印。</w:t>
            </w:r>
            <w:r/>
          </w:p>
          <w:p>
            <w:pPr>
              <w:pStyle w:val="1100"/>
              <w:ind w:firstLine="420"/>
              <w:spacing w:line="360" w:lineRule="exact"/>
              <w:rPr>
                <w:rFonts w:ascii="宋体" w:hAnsi="宋体"/>
                <w:szCs w:val="21"/>
              </w:rPr>
            </w:pPr>
            <w:r>
              <w:rPr>
                <w:rFonts w:ascii="宋体" w:hAnsi="宋体"/>
                <w:szCs w:val="21"/>
              </w:rPr>
              <w:t xml:space="preserve">4）学习考评模块：平台应设有考核系统，后台题库数量：≥850。组卷方式应支持选题组卷、抽题组卷、随机组卷、综合组卷；答题时长可设置为整卷限时和单题限时两种模式，试卷具有单选题、多选题、填空题、判断题、问答题、组合题、录音题七种大题。创建的试卷支持在线预览和word下载操作；学生考试可指定答卷时长、不限次数和及格线；支持微信扫码和分享链接等方式考试。</w:t>
            </w:r>
            <w:r/>
          </w:p>
          <w:p>
            <w:pPr>
              <w:pStyle w:val="1100"/>
              <w:ind w:firstLine="420"/>
              <w:spacing w:line="360" w:lineRule="exact"/>
              <w:rPr>
                <w:rFonts w:ascii="宋体" w:hAnsi="宋体"/>
                <w:szCs w:val="21"/>
              </w:rPr>
            </w:pPr>
            <w:r>
              <w:rPr>
                <w:rFonts w:ascii="宋体" w:hAnsi="宋体"/>
                <w:szCs w:val="21"/>
              </w:rPr>
              <w:t xml:space="preserve">5）实验数据云管理模块：可实现了多设备跨平台应用，在线查看阅览学生上传报告信息内容，批注等信息，学生信息根据班级、学号、年级等信息排列显示，也可单独通过搜索关键字阅览，可增加优秀报告标记或分享他人等功能。</w:t>
            </w:r>
            <w:r/>
          </w:p>
          <w:p>
            <w:pPr>
              <w:pStyle w:val="1100"/>
              <w:ind w:firstLine="420"/>
              <w:spacing w:line="360" w:lineRule="exact"/>
              <w:rPr>
                <w:rFonts w:ascii="宋体" w:hAnsi="宋体"/>
                <w:szCs w:val="21"/>
              </w:rPr>
            </w:pPr>
            <w:r>
              <w:rPr>
                <w:rFonts w:ascii="宋体" w:hAnsi="宋体"/>
                <w:szCs w:val="21"/>
              </w:rPr>
              <w:t xml:space="preserve">6）内置智能AI助手，问答支持动态意图解析引擎，基于RAG技术实现三级问题聚焦(领域判定一知识库精准检索一模糊问题推荐)，全媒体内容生成:支持文本/表格/图表的多模态输出。可自动输出理论考卷和实操考卷。理论部分支持单选题、多选题、判断题、简答题，单一类型出题，也可混合出题，并输出参考答案。</w:t>
            </w:r>
            <w:r/>
          </w:p>
          <w:p>
            <w:pPr>
              <w:pStyle w:val="1100"/>
              <w:ind w:firstLine="420"/>
              <w:spacing w:line="360" w:lineRule="exact"/>
              <w:rPr>
                <w:rFonts w:ascii="宋体" w:hAnsi="宋体" w:cs="宋体"/>
                <w:szCs w:val="21"/>
              </w:rPr>
            </w:pPr>
            <w:r>
              <w:rPr>
                <w:rFonts w:ascii="宋体" w:hAnsi="宋体" w:cs="宋体"/>
                <w:szCs w:val="21"/>
              </w:rPr>
              <w:t xml:space="preserve">（2）工业自动化电气设计软件：</w:t>
            </w:r>
            <w:r/>
          </w:p>
          <w:p>
            <w:pPr>
              <w:pStyle w:val="1100"/>
              <w:ind w:firstLine="420"/>
              <w:spacing w:line="360" w:lineRule="exact"/>
              <w:rPr>
                <w:rFonts w:ascii="宋体" w:hAnsi="宋体" w:cs="宋体"/>
                <w:szCs w:val="21"/>
              </w:rPr>
            </w:pPr>
            <w:r>
              <w:rPr>
                <w:rFonts w:ascii="宋体" w:hAnsi="宋体" w:cs="宋体"/>
                <w:szCs w:val="21"/>
              </w:rPr>
              <w:t xml:space="preserve">1）软件可以对传感器、驱动器和运动等进行设计与分析，可快速构建仿真分析可行性，直接导出工程图进行加工，编写程序可进行虚拟调试，调试完成可直接与实物同步。</w:t>
            </w:r>
            <w:r/>
          </w:p>
          <w:p>
            <w:pPr>
              <w:pStyle w:val="1100"/>
              <w:ind w:firstLine="420"/>
              <w:spacing w:line="360" w:lineRule="exact"/>
              <w:rPr>
                <w:rFonts w:ascii="宋体" w:hAnsi="宋体" w:cs="宋体"/>
                <w:szCs w:val="21"/>
              </w:rPr>
            </w:pPr>
            <w:r>
              <w:rPr>
                <w:rFonts w:ascii="宋体" w:hAnsi="宋体" w:cs="宋体"/>
                <w:szCs w:val="21"/>
              </w:rPr>
              <w:t xml:space="preserve">2）软件是多学科融合的开发环境，具有建模、钣金设计、制图、运动等功能，至少支持文件格式有DXF、DWG、NODEL、CATPART、TXT等不少于36种，能够满足对文件的打开、另存为、导入、导出、编辑、保存等操作。</w:t>
            </w:r>
            <w:r/>
          </w:p>
          <w:p>
            <w:pPr>
              <w:pStyle w:val="1100"/>
              <w:ind w:firstLine="420"/>
              <w:spacing w:line="360" w:lineRule="exact"/>
              <w:rPr>
                <w:rFonts w:ascii="宋体" w:hAnsi="宋体" w:cs="宋体"/>
                <w:szCs w:val="21"/>
              </w:rPr>
            </w:pPr>
            <w:r>
              <w:rPr>
                <w:rFonts w:ascii="宋体" w:hAnsi="宋体" w:cs="宋体"/>
                <w:szCs w:val="21"/>
              </w:rPr>
              <w:t xml:space="preserve">3）软件选择并定义传感器、气缸、电磁阀、气源等元器件的选型以及布线；包含有碰撞传感器、距离传感器、位置传感器、速度传感器、加速度传感器、液压缸、液压阀、气缸、气动阀、传输面、电机等。</w:t>
            </w:r>
            <w:r/>
          </w:p>
          <w:p>
            <w:pPr>
              <w:pStyle w:val="1100"/>
              <w:ind w:firstLine="420"/>
              <w:spacing w:line="360" w:lineRule="exact"/>
              <w:rPr>
                <w:rFonts w:ascii="宋体" w:hAnsi="宋体" w:cs="宋体"/>
                <w:szCs w:val="21"/>
              </w:rPr>
            </w:pPr>
            <w:r>
              <w:rPr>
                <w:rFonts w:ascii="宋体" w:hAnsi="宋体" w:cs="宋体"/>
                <w:szCs w:val="21"/>
              </w:rPr>
              <w:t xml:space="preserve">4）支持二次开发，运行动作支持VB脚本运行，外部通讯支持OPCDA、OPCUD、MATLAB、PLSIM、TCP、UDP、PROFINET等。</w:t>
            </w:r>
            <w:r/>
          </w:p>
          <w:p>
            <w:pPr>
              <w:pStyle w:val="1100"/>
              <w:ind w:firstLine="420"/>
              <w:spacing w:line="360" w:lineRule="exact"/>
              <w:rPr>
                <w:rFonts w:ascii="宋体" w:hAnsi="宋体" w:cs="宋体"/>
                <w:szCs w:val="21"/>
              </w:rPr>
            </w:pPr>
            <w:r>
              <w:rPr>
                <w:rFonts w:ascii="宋体" w:hAnsi="宋体" w:cs="宋体"/>
                <w:szCs w:val="21"/>
              </w:rPr>
              <w:t xml:space="preserve">5）样例工程至少有上料模块、按钮模块、传输模块、分拣模块和整体智能分拣系统的虚拟工程以及虚实结合的工程和PLC程序，可根TIA Portal V15、GX Works3等软件进行纯虚拟仿真。</w:t>
            </w:r>
            <w:r/>
          </w:p>
          <w:p>
            <w:pPr>
              <w:pStyle w:val="1100"/>
              <w:ind w:firstLine="420"/>
              <w:spacing w:line="360" w:lineRule="exact"/>
              <w:rPr>
                <w:rFonts w:ascii="宋体" w:hAnsi="宋体" w:cs="宋体"/>
                <w:szCs w:val="21"/>
              </w:rPr>
            </w:pPr>
            <w:r>
              <w:rPr>
                <w:rFonts w:ascii="宋体" w:hAnsi="宋体" w:cs="宋体"/>
                <w:szCs w:val="21"/>
              </w:rPr>
              <w:t xml:space="preserve">6）模型的运行情况，提供VR接口，可支持与HTC VIVE完美兼容，实现虚拟现实环境中的仿真运行。</w:t>
            </w:r>
            <w:r/>
          </w:p>
          <w:p>
            <w:pPr>
              <w:pStyle w:val="1100"/>
              <w:ind w:firstLine="420"/>
              <w:spacing w:line="360" w:lineRule="exact"/>
              <w:rPr>
                <w:rFonts w:ascii="宋体" w:hAnsi="宋体" w:cs="宋体"/>
                <w:szCs w:val="21"/>
              </w:rPr>
            </w:pPr>
            <w:r>
              <w:rPr>
                <w:rFonts w:ascii="宋体" w:hAnsi="宋体" w:cs="宋体"/>
                <w:szCs w:val="21"/>
              </w:rPr>
              <w:t xml:space="preserve">（3）仿真与数字孪生软件： </w:t>
            </w:r>
            <w:r/>
          </w:p>
          <w:p>
            <w:pPr>
              <w:pStyle w:val="1100"/>
              <w:ind w:firstLine="420"/>
              <w:spacing w:line="360" w:lineRule="exact"/>
              <w:rPr>
                <w:rFonts w:ascii="宋体" w:hAnsi="宋体" w:cs="宋体"/>
                <w:szCs w:val="21"/>
              </w:rPr>
            </w:pPr>
            <w:r>
              <w:rPr>
                <w:rFonts w:ascii="宋体" w:hAnsi="宋体" w:cs="宋体"/>
                <w:szCs w:val="21"/>
              </w:rPr>
              <w:t xml:space="preserve">1）信号采集：通过信号采集把仿真场景的虚拟设备映射到硬件端口，并驱动场景的虚拟设备运行。支持PLC虚拟调试、包括全虚拟仿真调试与虚实结合调试，</w:t>
            </w:r>
            <w:r>
              <w:rPr>
                <w:rFonts w:hint="eastAsia" w:ascii="宋体" w:hAnsi="宋体" w:cs="宋体"/>
                <w:szCs w:val="21"/>
              </w:rPr>
              <w:t xml:space="preserve">为</w:t>
            </w:r>
            <w:r>
              <w:rPr>
                <w:rFonts w:hint="eastAsia" w:ascii="宋体" w:hAnsi="宋体"/>
                <w:szCs w:val="21"/>
              </w:rPr>
              <w:t xml:space="preserve">便于后续扩展教学，可</w:t>
            </w:r>
            <w:r>
              <w:rPr>
                <w:rFonts w:ascii="宋体" w:hAnsi="宋体" w:cs="宋体"/>
                <w:szCs w:val="21"/>
              </w:rPr>
              <w:t xml:space="preserve">支持三菱、西门子、汇川、欧姆龙</w:t>
            </w:r>
            <w:r>
              <w:rPr>
                <w:rFonts w:hint="eastAsia" w:ascii="宋体" w:hAnsi="宋体" w:cs="宋体"/>
                <w:szCs w:val="21"/>
              </w:rPr>
              <w:t xml:space="preserve">等</w:t>
            </w:r>
            <w:r>
              <w:rPr>
                <w:rFonts w:ascii="宋体" w:hAnsi="宋体" w:cs="宋体"/>
                <w:szCs w:val="21"/>
              </w:rPr>
              <w:t xml:space="preserve">品牌。支持Modbus-RTU、Modbus-TCP、OPC UA、S7等总线通讯协议。</w:t>
            </w:r>
            <w:r/>
          </w:p>
          <w:p>
            <w:pPr>
              <w:pStyle w:val="1100"/>
              <w:ind w:firstLine="420"/>
              <w:spacing w:line="360" w:lineRule="exact"/>
              <w:rPr>
                <w:rFonts w:ascii="宋体" w:hAnsi="宋体" w:cs="宋体"/>
                <w:szCs w:val="21"/>
              </w:rPr>
            </w:pPr>
            <w:r>
              <w:rPr>
                <w:rFonts w:ascii="宋体" w:hAnsi="宋体" w:cs="宋体"/>
                <w:szCs w:val="21"/>
              </w:rPr>
              <w:t xml:space="preserve">2）3D视觉与VR：通过键鼠能完成平移、旋转、缩放等操作，可快速切换视角。具有三视图功能，支持顶视图、前视图、左视图，可多视角同时查看三维场景。支持VR功能，通过VR眼镜可实现沉浸式虚拟现实3D体验，包含逼真工业现场3D音效仿真。通过手柄可与场景进行互动操作。</w:t>
            </w:r>
            <w:r/>
          </w:p>
          <w:p>
            <w:pPr>
              <w:pStyle w:val="1100"/>
              <w:ind w:firstLine="420"/>
              <w:spacing w:line="360" w:lineRule="exact"/>
              <w:rPr>
                <w:rFonts w:ascii="宋体" w:hAnsi="宋体" w:cs="宋体"/>
                <w:szCs w:val="21"/>
              </w:rPr>
            </w:pPr>
            <w:r>
              <w:rPr>
                <w:rFonts w:ascii="宋体" w:hAnsi="宋体" w:cs="宋体"/>
                <w:szCs w:val="21"/>
              </w:rPr>
              <w:t xml:space="preserve">3）内置物理引擎：创建的三维模型具有物理属性，能模拟现实生活中的物理现象，如：运动、旋转和弹性碰撞等。在发生碰撞、摩擦、受力的运动模拟中，不同的物理属性能得到不同的运动效果。</w:t>
            </w:r>
            <w:r/>
          </w:p>
          <w:p>
            <w:pPr>
              <w:pStyle w:val="1100"/>
              <w:ind w:firstLine="420"/>
              <w:spacing w:line="360" w:lineRule="exact"/>
              <w:rPr>
                <w:rFonts w:ascii="宋体" w:hAnsi="宋体" w:cs="宋体"/>
                <w:szCs w:val="21"/>
              </w:rPr>
            </w:pPr>
            <w:r>
              <w:rPr>
                <w:rFonts w:ascii="宋体" w:hAnsi="宋体" w:cs="宋体"/>
                <w:szCs w:val="21"/>
              </w:rPr>
              <w:t xml:space="preserve">4）设备认知功能：能显示设备的详细信息，并可对设备信息编辑。支持3D模型的自动爆炸展开，可介绍每个部件的名称与功能。</w:t>
            </w:r>
            <w:r/>
          </w:p>
          <w:p>
            <w:pPr>
              <w:pStyle w:val="1100"/>
              <w:ind w:firstLine="420"/>
              <w:spacing w:line="360" w:lineRule="exact"/>
              <w:rPr>
                <w:rFonts w:ascii="宋体" w:hAnsi="宋体" w:cs="宋体"/>
                <w:szCs w:val="21"/>
              </w:rPr>
            </w:pPr>
            <w:r>
              <w:rPr>
                <w:rFonts w:ascii="宋体" w:hAnsi="宋体" w:cs="宋体"/>
                <w:szCs w:val="21"/>
              </w:rPr>
              <w:t xml:space="preserve">5）模型开发：从外部CAD文件导入3D部件，在软件里赋予其参数和运动特性，生成用户自主开发的虚拟设备，虚拟设备能被外部控制器驱动，如PLC、机器人示教器等。导入3D文件格式支持： STEP、STP、IGS、OBJ、FBX、STL等。</w:t>
            </w:r>
            <w:r/>
          </w:p>
          <w:p>
            <w:pPr>
              <w:pStyle w:val="1100"/>
              <w:ind w:firstLine="420"/>
              <w:spacing w:line="360" w:lineRule="exact"/>
              <w:rPr>
                <w:rFonts w:ascii="宋体" w:hAnsi="宋体" w:cs="宋体"/>
                <w:szCs w:val="21"/>
              </w:rPr>
            </w:pPr>
            <w:r>
              <w:rPr>
                <w:rFonts w:ascii="宋体" w:hAnsi="宋体" w:cs="宋体"/>
                <w:szCs w:val="21"/>
              </w:rPr>
              <w:t xml:space="preserve">■6）电气信号连接图设计：电气符号用图形表示，有名称与内部端口号。用画线方式连接不同端口，不同类型端口用不同颜色线条表示，完成的电气信号连接图后可导出Excel格式I/O表；在线更新：软件从云端检测是否有新版本，并提示相应操作。3D模型支持云端更新，软件可查看云端模型并可在仿真场景内使用；组态软件调试：组态软件开发的模拟人机界面，可控制虚拟PLC，对仿真场景的虚拟设备进行操作；自动考评：软件具有数据实时采集与分析、自动评分功能。先由教师在软件上出题，自动生成评分规则，学员在考核过程中，软件实</w:t>
            </w:r>
            <w:r>
              <w:rPr>
                <w:rFonts w:ascii="宋体" w:hAnsi="宋体" w:cs="宋体"/>
                <w:szCs w:val="21"/>
              </w:rPr>
              <w:t xml:space="preserve">时记录学员的操作过程、执行结果、异常事件，并根据考试评分规则计算最终成绩；支持云端实验：可与配套的教学资源网站完成在线实验，步骤包括但不限于：课件学习、视频学习、在线做仿真实验、工程下载、工程打开、开始考试、完成考试自动考评、上传考试结果；数字孪生实训项目：包含“基本指令练习模块”、“温度调节闭环系统模块（工业级）”、“水塔水位”、“直流调速闭环系统模块（工业级）”、“三层电梯模块（实物）”、“伺服系统运动控制”和“步进系统运控控制”模块1：1数字孪生实训界面。（需体现7种实物模块与孪生虚拟对象1:1动作）</w:t>
            </w:r>
            <w:r/>
          </w:p>
          <w:p>
            <w:pPr>
              <w:pStyle w:val="1100"/>
              <w:ind w:firstLine="412"/>
              <w:spacing w:line="360" w:lineRule="exact"/>
              <w:rPr>
                <w:rFonts w:ascii="宋体" w:hAnsi="宋体" w:cs="宋体"/>
                <w:spacing w:val="-2"/>
                <w:szCs w:val="21"/>
              </w:rPr>
            </w:pPr>
            <w:r>
              <w:rPr>
                <w:rFonts w:ascii="宋体" w:hAnsi="宋体" w:cs="宋体"/>
                <w:spacing w:val="-2"/>
                <w:szCs w:val="21"/>
              </w:rPr>
              <w:t xml:space="preserve">18.每套设备配4个方凳：外形尺寸：360mm×260mm×450mm（±5mm），整体重量≥3.4Kg；凳框采用≥1.0mm厚的优质方钢管和优质冷轧钢板焊接而成，坚固耐用；采用钣金圆弧压边包边木面板工艺，造型独特，防止伤手，防护凳面；凳框表面全自动脱脂、采用新技术新材料静电喷塑处理，防锈性能好，环保健康；凳架采用黑色银粉工艺喷塑；凳面采用≥18mm厚的优质高密度复合板材，表面和边缘高温热压防火PVC；凳脚安装高分子树脂脚套，防滑耐磨损，保护地面。</w:t>
            </w:r>
            <w:r/>
          </w:p>
          <w:p>
            <w:pPr>
              <w:pStyle w:val="1100"/>
              <w:ind w:firstLine="412"/>
              <w:spacing w:line="360" w:lineRule="exact"/>
              <w:rPr>
                <w:rFonts w:ascii="宋体" w:hAnsi="宋体" w:cs="宋体"/>
                <w:szCs w:val="21"/>
              </w:rPr>
            </w:pPr>
            <w:r>
              <w:rPr>
                <w:rFonts w:ascii="宋体" w:hAnsi="宋体" w:cs="宋体"/>
                <w:spacing w:val="-2"/>
                <w:szCs w:val="21"/>
              </w:rPr>
              <w:t xml:space="preserve">19.</w:t>
            </w:r>
            <w:r>
              <w:rPr>
                <w:rFonts w:hint="eastAsia" w:ascii="宋体" w:hAnsi="宋体" w:cs="宋体"/>
                <w:spacing w:val="-2"/>
                <w:szCs w:val="21"/>
              </w:rPr>
              <w:t xml:space="preserve">实训场地地面修复和墙面处理</w:t>
            </w:r>
            <w:r>
              <w:rPr>
                <w:rFonts w:ascii="宋体" w:hAnsi="宋体" w:cs="宋体"/>
                <w:szCs w:val="21"/>
              </w:rPr>
            </w:r>
            <w:r/>
          </w:p>
          <w:p>
            <w:pPr>
              <w:pStyle w:val="1100"/>
              <w:spacing w:line="360" w:lineRule="exact"/>
              <w:rPr>
                <w:rFonts w:ascii="宋体" w:hAnsi="宋体" w:cs="宋体"/>
                <w:b/>
                <w:bCs/>
                <w:szCs w:val="21"/>
              </w:rPr>
            </w:pPr>
            <w:r>
              <w:rPr>
                <w:rFonts w:ascii="宋体" w:hAnsi="宋体" w:cs="宋体"/>
                <w:b/>
                <w:bCs/>
                <w:szCs w:val="21"/>
              </w:rPr>
              <w:t xml:space="preserve">三、可完成实训项目</w:t>
            </w:r>
            <w:r/>
          </w:p>
          <w:p>
            <w:pPr>
              <w:pStyle w:val="1100"/>
              <w:ind w:firstLine="420"/>
              <w:spacing w:line="360" w:lineRule="exact"/>
              <w:rPr>
                <w:rFonts w:ascii="宋体" w:hAnsi="宋体" w:cs="宋体"/>
                <w:bCs/>
                <w:szCs w:val="21"/>
              </w:rPr>
            </w:pPr>
            <w:r>
              <w:rPr>
                <w:rFonts w:ascii="宋体" w:hAnsi="宋体" w:cs="宋体"/>
                <w:bCs/>
                <w:szCs w:val="21"/>
              </w:rPr>
              <w:t xml:space="preserve">1.PLC认知实训（软硬件结构、系统组成、基本指令、接线、编程下载等）</w:t>
            </w:r>
            <w:r/>
          </w:p>
          <w:p>
            <w:pPr>
              <w:pStyle w:val="1100"/>
              <w:ind w:firstLine="420"/>
              <w:spacing w:line="360" w:lineRule="exact"/>
              <w:rPr>
                <w:rFonts w:ascii="宋体" w:hAnsi="宋体" w:cs="宋体"/>
                <w:bCs/>
                <w:szCs w:val="21"/>
              </w:rPr>
            </w:pPr>
            <w:r>
              <w:rPr>
                <w:rFonts w:ascii="宋体" w:hAnsi="宋体" w:cs="宋体"/>
                <w:bCs/>
                <w:szCs w:val="21"/>
              </w:rPr>
              <w:t xml:space="preserve">2.基本指令练习</w:t>
            </w:r>
            <w:r/>
          </w:p>
          <w:p>
            <w:pPr>
              <w:pStyle w:val="1100"/>
              <w:ind w:firstLine="422"/>
              <w:spacing w:line="360" w:lineRule="exact"/>
              <w:rPr>
                <w:rFonts w:ascii="宋体" w:hAnsi="宋体" w:cs="宋体"/>
                <w:b/>
                <w:szCs w:val="21"/>
              </w:rPr>
            </w:pPr>
            <w:r>
              <w:rPr>
                <w:rFonts w:ascii="宋体" w:hAnsi="宋体" w:cs="宋体"/>
                <w:b/>
                <w:szCs w:val="21"/>
              </w:rPr>
              <w:t xml:space="preserve">PLC</w:t>
            </w:r>
            <w:r>
              <w:rPr>
                <w:rFonts w:ascii="宋体" w:hAnsi="宋体"/>
                <w:szCs w:val="21"/>
              </w:rPr>
              <w:t xml:space="preserve"> </w:t>
            </w:r>
            <w:r>
              <w:rPr>
                <w:rFonts w:ascii="宋体" w:hAnsi="宋体" w:cs="宋体"/>
                <w:b/>
                <w:szCs w:val="21"/>
              </w:rPr>
              <w:t xml:space="preserve">智能场景教学系统实训</w:t>
            </w:r>
            <w:r/>
          </w:p>
          <w:p>
            <w:pPr>
              <w:pStyle w:val="1100"/>
              <w:ind w:firstLine="420"/>
              <w:spacing w:line="360" w:lineRule="exact"/>
              <w:rPr>
                <w:rFonts w:ascii="宋体" w:hAnsi="宋体" w:cs="宋体"/>
                <w:bCs/>
                <w:szCs w:val="21"/>
              </w:rPr>
            </w:pPr>
            <w:r>
              <w:rPr>
                <w:rFonts w:ascii="宋体" w:hAnsi="宋体" w:cs="宋体"/>
                <w:bCs/>
                <w:szCs w:val="21"/>
              </w:rPr>
              <w:t xml:space="preserve">1.基本指令练习</w:t>
            </w:r>
            <w:r/>
          </w:p>
          <w:p>
            <w:pPr>
              <w:pStyle w:val="1100"/>
              <w:ind w:firstLine="420"/>
              <w:spacing w:line="360" w:lineRule="exact"/>
              <w:rPr>
                <w:rFonts w:ascii="宋体" w:hAnsi="宋体" w:cs="宋体"/>
                <w:bCs/>
                <w:szCs w:val="21"/>
              </w:rPr>
            </w:pPr>
            <w:r>
              <w:rPr>
                <w:rFonts w:ascii="宋体" w:hAnsi="宋体" w:cs="宋体"/>
                <w:bCs/>
                <w:szCs w:val="21"/>
              </w:rPr>
              <w:t xml:space="preserve">2.LED数码显示</w:t>
            </w:r>
            <w:r/>
          </w:p>
          <w:p>
            <w:pPr>
              <w:pStyle w:val="1100"/>
              <w:ind w:firstLine="420"/>
              <w:spacing w:line="360" w:lineRule="exact"/>
              <w:rPr>
                <w:rFonts w:ascii="宋体" w:hAnsi="宋体" w:cs="宋体"/>
                <w:bCs/>
                <w:szCs w:val="21"/>
              </w:rPr>
            </w:pPr>
            <w:r>
              <w:rPr>
                <w:rFonts w:ascii="宋体" w:hAnsi="宋体" w:cs="宋体"/>
                <w:bCs/>
                <w:szCs w:val="21"/>
              </w:rPr>
              <w:t xml:space="preserve">3.天塔之光</w:t>
            </w:r>
            <w:r/>
          </w:p>
          <w:p>
            <w:pPr>
              <w:pStyle w:val="1100"/>
              <w:ind w:firstLine="420"/>
              <w:spacing w:line="360" w:lineRule="exact"/>
              <w:rPr>
                <w:rFonts w:ascii="宋体" w:hAnsi="宋体" w:cs="宋体"/>
                <w:bCs/>
                <w:szCs w:val="21"/>
              </w:rPr>
            </w:pPr>
            <w:r>
              <w:rPr>
                <w:rFonts w:ascii="宋体" w:hAnsi="宋体" w:cs="宋体"/>
                <w:bCs/>
                <w:szCs w:val="21"/>
              </w:rPr>
              <w:t xml:space="preserve">4.水塔水位</w:t>
            </w:r>
            <w:r/>
          </w:p>
          <w:p>
            <w:pPr>
              <w:pStyle w:val="1100"/>
              <w:ind w:firstLine="420"/>
              <w:spacing w:line="360" w:lineRule="exact"/>
              <w:rPr>
                <w:rFonts w:ascii="宋体" w:hAnsi="宋体" w:cs="宋体"/>
                <w:bCs/>
                <w:szCs w:val="21"/>
              </w:rPr>
            </w:pPr>
            <w:r>
              <w:rPr>
                <w:rFonts w:ascii="宋体" w:hAnsi="宋体" w:cs="宋体"/>
                <w:bCs/>
                <w:szCs w:val="21"/>
              </w:rPr>
              <w:t xml:space="preserve">5.十字路口交通灯</w:t>
            </w:r>
            <w:r/>
          </w:p>
          <w:p>
            <w:pPr>
              <w:pStyle w:val="1100"/>
              <w:ind w:firstLine="420"/>
              <w:spacing w:line="360" w:lineRule="exact"/>
              <w:rPr>
                <w:rFonts w:ascii="宋体" w:hAnsi="宋体" w:cs="宋体"/>
                <w:bCs/>
                <w:szCs w:val="21"/>
              </w:rPr>
            </w:pPr>
            <w:r>
              <w:rPr>
                <w:rFonts w:ascii="宋体" w:hAnsi="宋体" w:cs="宋体"/>
                <w:bCs/>
                <w:szCs w:val="21"/>
              </w:rPr>
              <w:t xml:space="preserve">6.机械手</w:t>
            </w:r>
            <w:r/>
          </w:p>
          <w:p>
            <w:pPr>
              <w:pStyle w:val="1100"/>
              <w:ind w:firstLine="420"/>
              <w:spacing w:line="360" w:lineRule="exact"/>
              <w:rPr>
                <w:rFonts w:ascii="宋体" w:hAnsi="宋体" w:cs="宋体"/>
                <w:bCs/>
                <w:szCs w:val="21"/>
              </w:rPr>
            </w:pPr>
            <w:r>
              <w:rPr>
                <w:rFonts w:ascii="宋体" w:hAnsi="宋体" w:cs="宋体"/>
                <w:bCs/>
                <w:szCs w:val="21"/>
              </w:rPr>
              <w:t xml:space="preserve">7.装配流水线</w:t>
            </w:r>
            <w:r/>
          </w:p>
          <w:p>
            <w:pPr>
              <w:pStyle w:val="1100"/>
              <w:ind w:firstLine="420"/>
              <w:spacing w:line="360" w:lineRule="exact"/>
              <w:rPr>
                <w:rFonts w:ascii="宋体" w:hAnsi="宋体" w:cs="宋体"/>
                <w:bCs/>
                <w:szCs w:val="21"/>
              </w:rPr>
            </w:pPr>
            <w:r>
              <w:rPr>
                <w:rFonts w:ascii="宋体" w:hAnsi="宋体" w:cs="宋体"/>
                <w:bCs/>
                <w:szCs w:val="21"/>
              </w:rPr>
              <w:t xml:space="preserve">8.四节传送带</w:t>
            </w:r>
            <w:r/>
          </w:p>
          <w:p>
            <w:pPr>
              <w:pStyle w:val="1100"/>
              <w:ind w:firstLine="420"/>
              <w:spacing w:line="360" w:lineRule="exact"/>
              <w:rPr>
                <w:rFonts w:ascii="宋体" w:hAnsi="宋体" w:cs="宋体"/>
                <w:bCs/>
                <w:szCs w:val="21"/>
              </w:rPr>
            </w:pPr>
            <w:r>
              <w:rPr>
                <w:rFonts w:ascii="宋体" w:hAnsi="宋体" w:cs="宋体"/>
                <w:bCs/>
                <w:szCs w:val="21"/>
              </w:rPr>
              <w:t xml:space="preserve">9.自控轧钢机</w:t>
            </w:r>
            <w:r/>
          </w:p>
          <w:p>
            <w:pPr>
              <w:pStyle w:val="1100"/>
              <w:ind w:firstLine="420"/>
              <w:spacing w:line="360" w:lineRule="exact"/>
              <w:rPr>
                <w:rFonts w:ascii="宋体" w:hAnsi="宋体" w:cs="宋体"/>
                <w:bCs/>
                <w:szCs w:val="21"/>
              </w:rPr>
            </w:pPr>
            <w:r>
              <w:rPr>
                <w:rFonts w:ascii="宋体" w:hAnsi="宋体" w:cs="宋体"/>
                <w:bCs/>
                <w:szCs w:val="21"/>
              </w:rPr>
              <w:t xml:space="preserve">10.自控成型机</w:t>
            </w:r>
            <w:r/>
          </w:p>
          <w:p>
            <w:pPr>
              <w:pStyle w:val="1100"/>
              <w:ind w:firstLine="420"/>
              <w:spacing w:line="360" w:lineRule="exact"/>
              <w:rPr>
                <w:rFonts w:ascii="宋体" w:hAnsi="宋体" w:cs="宋体"/>
                <w:bCs/>
                <w:szCs w:val="21"/>
              </w:rPr>
            </w:pPr>
            <w:r>
              <w:rPr>
                <w:rFonts w:ascii="宋体" w:hAnsi="宋体" w:cs="宋体"/>
                <w:bCs/>
                <w:szCs w:val="21"/>
              </w:rPr>
              <w:t xml:space="preserve">11.多种液体混合装置</w:t>
            </w:r>
            <w:r/>
          </w:p>
          <w:p>
            <w:pPr>
              <w:pStyle w:val="1100"/>
              <w:ind w:firstLine="420"/>
              <w:spacing w:line="360" w:lineRule="exact"/>
              <w:rPr>
                <w:rFonts w:ascii="宋体" w:hAnsi="宋体" w:cs="宋体"/>
                <w:bCs/>
                <w:szCs w:val="21"/>
              </w:rPr>
            </w:pPr>
            <w:r>
              <w:rPr>
                <w:rFonts w:ascii="宋体" w:hAnsi="宋体" w:cs="宋体"/>
                <w:bCs/>
                <w:szCs w:val="21"/>
              </w:rPr>
              <w:t xml:space="preserve">12.音乐喷泉</w:t>
            </w:r>
            <w:r/>
          </w:p>
          <w:p>
            <w:pPr>
              <w:pStyle w:val="1100"/>
              <w:ind w:firstLine="420"/>
              <w:spacing w:line="360" w:lineRule="exact"/>
              <w:rPr>
                <w:rFonts w:ascii="宋体" w:hAnsi="宋体" w:cs="宋体"/>
                <w:bCs/>
                <w:szCs w:val="21"/>
              </w:rPr>
            </w:pPr>
            <w:r>
              <w:rPr>
                <w:rFonts w:ascii="宋体" w:hAnsi="宋体" w:cs="宋体"/>
                <w:bCs/>
                <w:szCs w:val="21"/>
              </w:rPr>
              <w:t xml:space="preserve">13.舞台灯光模拟</w:t>
            </w:r>
            <w:r/>
          </w:p>
          <w:p>
            <w:pPr>
              <w:pStyle w:val="1100"/>
              <w:ind w:firstLine="420"/>
              <w:spacing w:line="360" w:lineRule="exact"/>
              <w:rPr>
                <w:rFonts w:ascii="宋体" w:hAnsi="宋体" w:cs="宋体"/>
                <w:bCs/>
                <w:szCs w:val="21"/>
              </w:rPr>
            </w:pPr>
            <w:r>
              <w:rPr>
                <w:rFonts w:ascii="宋体" w:hAnsi="宋体" w:cs="宋体"/>
                <w:bCs/>
                <w:szCs w:val="21"/>
              </w:rPr>
              <w:t xml:space="preserve">14.运料小车模拟</w:t>
            </w:r>
            <w:r/>
          </w:p>
          <w:p>
            <w:pPr>
              <w:pStyle w:val="1100"/>
              <w:ind w:firstLine="420"/>
              <w:spacing w:line="360" w:lineRule="exact"/>
              <w:rPr>
                <w:rFonts w:ascii="宋体" w:hAnsi="宋体" w:cs="宋体"/>
                <w:bCs/>
                <w:szCs w:val="21"/>
              </w:rPr>
            </w:pPr>
            <w:r>
              <w:rPr>
                <w:rFonts w:ascii="宋体" w:hAnsi="宋体" w:cs="宋体"/>
                <w:bCs/>
                <w:szCs w:val="21"/>
              </w:rPr>
              <w:t xml:space="preserve">15.自动洗衣机控制</w:t>
            </w:r>
            <w:r/>
          </w:p>
          <w:p>
            <w:pPr>
              <w:pStyle w:val="1100"/>
              <w:ind w:firstLine="420"/>
              <w:spacing w:line="360" w:lineRule="exact"/>
              <w:rPr>
                <w:rFonts w:ascii="宋体" w:hAnsi="宋体" w:cs="宋体"/>
                <w:bCs/>
                <w:szCs w:val="21"/>
              </w:rPr>
            </w:pPr>
            <w:r>
              <w:rPr>
                <w:rFonts w:ascii="宋体" w:hAnsi="宋体" w:cs="宋体"/>
                <w:bCs/>
                <w:szCs w:val="21"/>
              </w:rPr>
              <w:t xml:space="preserve">16.四相步进电机模拟</w:t>
            </w:r>
            <w:r/>
          </w:p>
          <w:p>
            <w:pPr>
              <w:pStyle w:val="1100"/>
              <w:ind w:firstLine="420"/>
              <w:spacing w:line="360" w:lineRule="exact"/>
              <w:rPr>
                <w:rFonts w:ascii="宋体" w:hAnsi="宋体" w:cs="宋体"/>
                <w:bCs/>
                <w:szCs w:val="21"/>
              </w:rPr>
            </w:pPr>
            <w:r>
              <w:rPr>
                <w:rFonts w:ascii="宋体" w:hAnsi="宋体" w:cs="宋体"/>
                <w:bCs/>
                <w:szCs w:val="21"/>
              </w:rPr>
              <w:t xml:space="preserve">17.艺术灯模拟</w:t>
            </w:r>
            <w:r/>
          </w:p>
          <w:p>
            <w:pPr>
              <w:pStyle w:val="1100"/>
              <w:ind w:firstLine="420"/>
              <w:spacing w:line="360" w:lineRule="exact"/>
              <w:rPr>
                <w:rFonts w:ascii="宋体" w:hAnsi="宋体" w:cs="宋体"/>
                <w:bCs/>
                <w:szCs w:val="21"/>
              </w:rPr>
            </w:pPr>
            <w:r>
              <w:rPr>
                <w:rFonts w:ascii="宋体" w:hAnsi="宋体" w:cs="宋体"/>
                <w:bCs/>
                <w:szCs w:val="21"/>
              </w:rPr>
              <w:t xml:space="preserve">18.喷泉模拟控制</w:t>
            </w:r>
            <w:r/>
          </w:p>
          <w:p>
            <w:pPr>
              <w:pStyle w:val="1100"/>
              <w:ind w:firstLine="420"/>
              <w:spacing w:line="360" w:lineRule="exact"/>
              <w:rPr>
                <w:rFonts w:ascii="宋体" w:hAnsi="宋体" w:cs="宋体"/>
                <w:bCs/>
                <w:szCs w:val="21"/>
              </w:rPr>
            </w:pPr>
            <w:r>
              <w:rPr>
                <w:rFonts w:ascii="宋体" w:hAnsi="宋体" w:cs="宋体"/>
                <w:bCs/>
                <w:szCs w:val="21"/>
              </w:rPr>
              <w:t xml:space="preserve">19.舞台艺术灯控制</w:t>
            </w:r>
            <w:r/>
          </w:p>
          <w:p>
            <w:pPr>
              <w:pStyle w:val="1100"/>
              <w:ind w:firstLine="420"/>
              <w:spacing w:line="360" w:lineRule="exact"/>
              <w:rPr>
                <w:rFonts w:ascii="宋体" w:hAnsi="宋体" w:cs="宋体"/>
                <w:bCs/>
                <w:szCs w:val="21"/>
              </w:rPr>
            </w:pPr>
            <w:r>
              <w:rPr>
                <w:rFonts w:ascii="宋体" w:hAnsi="宋体" w:cs="宋体"/>
                <w:bCs/>
                <w:szCs w:val="21"/>
              </w:rPr>
              <w:t xml:space="preserve">20.抢答器控制</w:t>
            </w:r>
            <w:r/>
          </w:p>
          <w:p>
            <w:pPr>
              <w:pStyle w:val="1100"/>
              <w:ind w:firstLine="422"/>
              <w:spacing w:line="360" w:lineRule="exact"/>
              <w:rPr>
                <w:rFonts w:ascii="宋体" w:hAnsi="宋体" w:cs="宋体"/>
                <w:b/>
                <w:szCs w:val="21"/>
              </w:rPr>
            </w:pPr>
            <w:r>
              <w:rPr>
                <w:rFonts w:ascii="宋体" w:hAnsi="宋体" w:cs="宋体"/>
                <w:b/>
                <w:szCs w:val="21"/>
              </w:rPr>
              <w:t xml:space="preserve">PLC、变频器、触摸屏综合实训</w:t>
            </w:r>
            <w:r/>
          </w:p>
          <w:p>
            <w:pPr>
              <w:pStyle w:val="1100"/>
              <w:ind w:firstLine="420"/>
              <w:spacing w:line="360" w:lineRule="exact"/>
              <w:rPr>
                <w:rFonts w:ascii="宋体" w:hAnsi="宋体" w:cs="宋体"/>
                <w:bCs/>
                <w:szCs w:val="21"/>
              </w:rPr>
            </w:pPr>
            <w:r>
              <w:rPr>
                <w:rFonts w:ascii="宋体" w:hAnsi="宋体" w:cs="宋体"/>
                <w:bCs/>
                <w:szCs w:val="21"/>
              </w:rPr>
              <w:t xml:space="preserve">1．变频器功能参数设置与操作</w:t>
            </w:r>
            <w:r/>
          </w:p>
          <w:p>
            <w:pPr>
              <w:pStyle w:val="1100"/>
              <w:ind w:firstLine="420"/>
              <w:spacing w:line="360" w:lineRule="exact"/>
              <w:rPr>
                <w:rFonts w:ascii="宋体" w:hAnsi="宋体" w:cs="宋体"/>
                <w:bCs/>
                <w:szCs w:val="21"/>
              </w:rPr>
            </w:pPr>
            <w:r>
              <w:rPr>
                <w:rFonts w:ascii="宋体" w:hAnsi="宋体" w:cs="宋体"/>
                <w:bCs/>
                <w:szCs w:val="21"/>
              </w:rPr>
              <w:t xml:space="preserve">2．外部端子点动控制</w:t>
            </w:r>
            <w:r/>
          </w:p>
          <w:p>
            <w:pPr>
              <w:pStyle w:val="1100"/>
              <w:ind w:firstLine="420"/>
              <w:spacing w:line="360" w:lineRule="exact"/>
              <w:rPr>
                <w:rFonts w:ascii="宋体" w:hAnsi="宋体" w:cs="宋体"/>
                <w:bCs/>
                <w:szCs w:val="21"/>
              </w:rPr>
            </w:pPr>
            <w:r>
              <w:rPr>
                <w:rFonts w:ascii="宋体" w:hAnsi="宋体" w:cs="宋体"/>
                <w:bCs/>
                <w:szCs w:val="21"/>
              </w:rPr>
              <w:t xml:space="preserve">3．4-20ma模拟量控制变频调速实训</w:t>
            </w:r>
            <w:r/>
          </w:p>
          <w:p>
            <w:pPr>
              <w:pStyle w:val="1100"/>
              <w:ind w:firstLine="420"/>
              <w:spacing w:line="360" w:lineRule="exact"/>
              <w:rPr>
                <w:rFonts w:ascii="宋体" w:hAnsi="宋体" w:cs="宋体"/>
                <w:bCs/>
                <w:szCs w:val="21"/>
              </w:rPr>
            </w:pPr>
            <w:r>
              <w:rPr>
                <w:rFonts w:ascii="宋体" w:hAnsi="宋体" w:cs="宋体"/>
                <w:bCs/>
                <w:szCs w:val="21"/>
              </w:rPr>
              <w:t xml:space="preserve">4．0-10V模拟量控制变频调速实训</w:t>
            </w:r>
            <w:r/>
          </w:p>
          <w:p>
            <w:pPr>
              <w:pStyle w:val="1100"/>
              <w:ind w:firstLine="420"/>
              <w:spacing w:line="360" w:lineRule="exact"/>
              <w:rPr>
                <w:rFonts w:ascii="宋体" w:hAnsi="宋体" w:cs="宋体"/>
                <w:bCs/>
                <w:szCs w:val="21"/>
              </w:rPr>
            </w:pPr>
            <w:r>
              <w:rPr>
                <w:rFonts w:ascii="宋体" w:hAnsi="宋体" w:cs="宋体"/>
                <w:bCs/>
                <w:szCs w:val="21"/>
              </w:rPr>
              <w:t xml:space="preserve">5．变频器控制电机正反转</w:t>
            </w:r>
            <w:r/>
          </w:p>
          <w:p>
            <w:pPr>
              <w:pStyle w:val="1100"/>
              <w:ind w:firstLine="420"/>
              <w:spacing w:line="360" w:lineRule="exact"/>
              <w:rPr>
                <w:rFonts w:ascii="宋体" w:hAnsi="宋体" w:cs="宋体"/>
                <w:bCs/>
                <w:szCs w:val="21"/>
              </w:rPr>
            </w:pPr>
            <w:r>
              <w:rPr>
                <w:rFonts w:ascii="宋体" w:hAnsi="宋体" w:cs="宋体"/>
                <w:bCs/>
                <w:szCs w:val="21"/>
              </w:rPr>
              <w:t xml:space="preserve">6．多段速度选择变频调速</w:t>
            </w:r>
            <w:r/>
          </w:p>
          <w:p>
            <w:pPr>
              <w:pStyle w:val="1100"/>
              <w:ind w:firstLine="420"/>
              <w:spacing w:line="360" w:lineRule="exact"/>
              <w:rPr>
                <w:rFonts w:ascii="宋体" w:hAnsi="宋体" w:cs="宋体"/>
                <w:bCs/>
                <w:szCs w:val="21"/>
              </w:rPr>
            </w:pPr>
            <w:r>
              <w:rPr>
                <w:rFonts w:ascii="宋体" w:hAnsi="宋体" w:cs="宋体"/>
                <w:bCs/>
                <w:szCs w:val="21"/>
              </w:rPr>
              <w:t xml:space="preserve">7．PID变频调速控制</w:t>
            </w:r>
            <w:r/>
          </w:p>
          <w:p>
            <w:pPr>
              <w:pStyle w:val="1100"/>
              <w:ind w:firstLine="420"/>
              <w:spacing w:line="360" w:lineRule="exact"/>
              <w:rPr>
                <w:rFonts w:ascii="宋体" w:hAnsi="宋体" w:cs="宋体"/>
                <w:bCs/>
                <w:szCs w:val="21"/>
              </w:rPr>
            </w:pPr>
            <w:r>
              <w:rPr>
                <w:rFonts w:ascii="宋体" w:hAnsi="宋体" w:cs="宋体"/>
                <w:bCs/>
                <w:szCs w:val="21"/>
              </w:rPr>
              <w:t xml:space="preserve">8．基于多品牌PLC的变频器外部端子的电机正反转控制</w:t>
            </w:r>
            <w:r/>
          </w:p>
          <w:p>
            <w:pPr>
              <w:pStyle w:val="1100"/>
              <w:ind w:firstLine="420"/>
              <w:spacing w:line="360" w:lineRule="exact"/>
              <w:rPr>
                <w:rFonts w:ascii="宋体" w:hAnsi="宋体" w:cs="宋体"/>
                <w:bCs/>
                <w:szCs w:val="21"/>
              </w:rPr>
            </w:pPr>
            <w:r>
              <w:rPr>
                <w:rFonts w:ascii="宋体" w:hAnsi="宋体" w:cs="宋体"/>
                <w:bCs/>
                <w:szCs w:val="21"/>
              </w:rPr>
              <w:t xml:space="preserve">9．基于多品牌PLC数字量方式多段速控制</w:t>
            </w:r>
            <w:r/>
          </w:p>
          <w:p>
            <w:pPr>
              <w:pStyle w:val="1100"/>
              <w:ind w:firstLine="420"/>
              <w:spacing w:line="360" w:lineRule="exact"/>
              <w:rPr>
                <w:rFonts w:ascii="宋体" w:hAnsi="宋体" w:cs="宋体"/>
                <w:bCs/>
                <w:szCs w:val="21"/>
              </w:rPr>
            </w:pPr>
            <w:r>
              <w:rPr>
                <w:rFonts w:ascii="宋体" w:hAnsi="宋体" w:cs="宋体"/>
                <w:bCs/>
                <w:szCs w:val="21"/>
              </w:rPr>
              <w:t xml:space="preserve">10．基于PLC模拟量方式变频开环调速控制</w:t>
            </w:r>
            <w:r/>
          </w:p>
          <w:p>
            <w:pPr>
              <w:pStyle w:val="1100"/>
              <w:ind w:firstLine="420"/>
              <w:spacing w:line="360" w:lineRule="exact"/>
              <w:rPr>
                <w:rFonts w:ascii="宋体" w:hAnsi="宋体" w:cs="宋体"/>
                <w:bCs/>
                <w:szCs w:val="21"/>
              </w:rPr>
            </w:pPr>
            <w:r>
              <w:rPr>
                <w:rFonts w:ascii="宋体" w:hAnsi="宋体" w:cs="宋体"/>
                <w:bCs/>
                <w:szCs w:val="21"/>
              </w:rPr>
              <w:t xml:space="preserve">11．基于触摸屏控制方式的基本指令编程练习</w:t>
            </w:r>
            <w:r/>
          </w:p>
          <w:p>
            <w:pPr>
              <w:pStyle w:val="1100"/>
              <w:ind w:firstLine="420"/>
              <w:spacing w:line="360" w:lineRule="exact"/>
              <w:rPr>
                <w:rFonts w:ascii="宋体" w:hAnsi="宋体" w:cs="宋体"/>
                <w:bCs/>
                <w:szCs w:val="21"/>
              </w:rPr>
            </w:pPr>
            <w:r>
              <w:rPr>
                <w:rFonts w:ascii="宋体" w:hAnsi="宋体" w:cs="宋体"/>
                <w:bCs/>
                <w:szCs w:val="21"/>
              </w:rPr>
              <w:t xml:space="preserve">12．基于触摸屏控制方式的数码显示控制</w:t>
            </w:r>
            <w:r/>
          </w:p>
          <w:p>
            <w:pPr>
              <w:pStyle w:val="1100"/>
              <w:ind w:firstLine="420"/>
              <w:spacing w:line="360" w:lineRule="exact"/>
              <w:rPr>
                <w:rFonts w:ascii="宋体" w:hAnsi="宋体" w:cs="宋体"/>
                <w:b/>
                <w:szCs w:val="21"/>
              </w:rPr>
            </w:pPr>
            <w:r>
              <w:rPr>
                <w:rFonts w:ascii="宋体" w:hAnsi="宋体" w:cs="宋体"/>
                <w:bCs/>
                <w:szCs w:val="21"/>
              </w:rPr>
              <w:t xml:space="preserve">13．PLC、变频器、触摸屏之间通信控制</w:t>
            </w:r>
            <w:r>
              <w:rPr>
                <w:rFonts w:ascii="宋体" w:hAnsi="宋体" w:cs="宋体"/>
                <w:b/>
                <w:szCs w:val="21"/>
              </w:rPr>
            </w:r>
            <w:r/>
          </w:p>
        </w:tc>
      </w:tr>
    </w:tbl>
    <w:p>
      <w:pPr>
        <w:pStyle w:val="1100"/>
        <w:ind w:firstLine="482"/>
        <w:spacing w:line="360" w:lineRule="auto"/>
        <w:rPr>
          <w:rFonts w:ascii="宋体" w:hAnsi="宋体" w:cs="等线 Light"/>
          <w:b/>
          <w:bCs/>
          <w:i/>
          <w:sz w:val="24"/>
        </w:rPr>
      </w:pPr>
      <w:r>
        <w:rPr>
          <w:rFonts w:hint="eastAsia" w:ascii="宋体" w:hAnsi="宋体" w:cs="等线 Light"/>
          <w:b/>
          <w:bCs/>
          <w:i/>
          <w:sz w:val="24"/>
        </w:rPr>
        <w:t xml:space="preserve">*三、商务需求（商务条款应全部响应，如出现负偏离，将视为无效响应）</w:t>
      </w:r>
      <w:r>
        <w:rPr>
          <w:rFonts w:ascii="宋体" w:hAnsi="宋体" w:cs="等线 Light"/>
          <w:b/>
          <w:bCs/>
          <w:i/>
          <w:sz w:val="24"/>
        </w:rPr>
      </w:r>
      <w:r/>
    </w:p>
    <w:p>
      <w:pPr>
        <w:pStyle w:val="1100"/>
        <w:ind w:firstLine="482"/>
        <w:spacing w:line="360" w:lineRule="auto"/>
        <w:rPr>
          <w:rFonts w:ascii="宋体" w:hAnsi="宋体" w:cs="等线 Light"/>
          <w:b/>
          <w:bCs/>
          <w:sz w:val="24"/>
        </w:rPr>
      </w:pPr>
      <w:r>
        <w:rPr>
          <w:rFonts w:hint="eastAsia" w:ascii="宋体" w:hAnsi="宋体" w:cs="等线 Light"/>
          <w:b/>
          <w:bCs/>
          <w:sz w:val="24"/>
        </w:rPr>
        <w:t xml:space="preserve">（一）交付时间：合同签订后30日内完成全部设备供货、安装调试、验收交付。</w:t>
      </w:r>
      <w:r>
        <w:rPr>
          <w:rFonts w:ascii="宋体" w:hAnsi="宋体" w:cs="等线 Light"/>
          <w:b/>
          <w:bCs/>
          <w:sz w:val="24"/>
        </w:rPr>
      </w:r>
      <w:r/>
    </w:p>
    <w:p>
      <w:pPr>
        <w:pStyle w:val="1100"/>
        <w:ind w:firstLine="482"/>
        <w:spacing w:line="360" w:lineRule="auto"/>
        <w:rPr>
          <w:rFonts w:ascii="宋体" w:hAnsi="宋体" w:cs="等线 Light"/>
          <w:b/>
          <w:bCs/>
          <w:sz w:val="24"/>
        </w:rPr>
      </w:pPr>
      <w:r>
        <w:rPr>
          <w:rFonts w:hint="eastAsia" w:ascii="宋体" w:hAnsi="宋体" w:cs="等线 Light"/>
          <w:b/>
          <w:bCs/>
          <w:sz w:val="24"/>
        </w:rPr>
        <w:t xml:space="preserve">（二）交货地点：江苏省常州技师学院6号楼三楼。</w:t>
      </w:r>
      <w:r>
        <w:rPr>
          <w:rFonts w:ascii="宋体" w:hAnsi="宋体" w:cs="等线 Light"/>
          <w:b/>
          <w:bCs/>
          <w:sz w:val="24"/>
        </w:rPr>
      </w:r>
      <w:r/>
    </w:p>
    <w:p>
      <w:pPr>
        <w:pStyle w:val="1100"/>
        <w:ind w:firstLine="482"/>
        <w:spacing w:line="360" w:lineRule="auto"/>
        <w:rPr>
          <w:rFonts w:ascii="宋体" w:hAnsi="宋体" w:cs="等线 Light"/>
          <w:bCs/>
          <w:sz w:val="24"/>
        </w:rPr>
      </w:pPr>
      <w:r>
        <w:rPr>
          <w:rFonts w:hint="eastAsia" w:ascii="宋体" w:hAnsi="宋体" w:cs="等线 Light"/>
          <w:b/>
          <w:bCs/>
          <w:sz w:val="24"/>
        </w:rPr>
        <w:t xml:space="preserve">（三）投标报价：</w:t>
      </w:r>
      <w:r>
        <w:rPr>
          <w:rFonts w:hint="eastAsia" w:ascii="宋体" w:hAnsi="宋体" w:cs="等线 Light"/>
          <w:bCs/>
          <w:sz w:val="24"/>
        </w:rPr>
        <w:t xml:space="preserve">本项目投</w:t>
      </w:r>
      <w:r>
        <w:rPr>
          <w:rFonts w:hint="eastAsia" w:ascii="宋体" w:hAnsi="宋体" w:cs="等线 Light"/>
          <w:bCs/>
          <w:sz w:val="24"/>
        </w:rPr>
        <w:t xml:space="preserve">标报价为固定总价，投标报价包括但不限于招标文件及其准备（包括现场踏勘、技术核对等）、货物（包括备品备件、专用工具、辅助设备）、技术资料、设计、制造、检验、包装、发货、运输、保险、装卸至现场指定地点、质保期、维保服务（包括质保期内的一切更换、人工等伴随服务）、办公设备、利润、风险、税金及政策性文件规定，以及为完成该项目所涉及到的一切相关费用，采购人不再支付其他任何费用。验收过程中，如发现有漏项、缺件，投标人无条件、无偿补齐，所发生的一切费用，视为已包含在投标人的报价之中，且并不因此而影响交付实际使用人的时间。</w:t>
      </w:r>
      <w:r>
        <w:rPr>
          <w:rFonts w:ascii="宋体" w:hAnsi="宋体" w:cs="等线 Light"/>
          <w:bCs/>
          <w:sz w:val="24"/>
        </w:rPr>
      </w:r>
      <w:r/>
    </w:p>
    <w:p>
      <w:pPr>
        <w:pStyle w:val="1100"/>
        <w:ind w:firstLine="482"/>
        <w:spacing w:line="360" w:lineRule="auto"/>
        <w:rPr>
          <w:rFonts w:ascii="宋体" w:hAnsi="宋体" w:cs="等线 Light"/>
          <w:b/>
          <w:bCs/>
          <w:sz w:val="24"/>
        </w:rPr>
      </w:pPr>
      <w:r>
        <w:rPr>
          <w:rFonts w:hint="eastAsia" w:ascii="宋体" w:hAnsi="宋体" w:cs="等线 Light"/>
          <w:b/>
          <w:bCs/>
          <w:sz w:val="24"/>
        </w:rPr>
        <w:t xml:space="preserve">（四）付款方式：项目验收合格，满足合同约定支付条件的，自收到发票后30天内支付。</w:t>
      </w:r>
      <w:r>
        <w:rPr>
          <w:rFonts w:ascii="宋体" w:hAnsi="宋体" w:cs="等线 Light"/>
          <w:b/>
          <w:bCs/>
          <w:sz w:val="24"/>
        </w:rPr>
      </w:r>
      <w:r/>
    </w:p>
    <w:p>
      <w:pPr>
        <w:pStyle w:val="1100"/>
        <w:ind w:firstLine="482"/>
        <w:spacing w:line="360" w:lineRule="auto"/>
        <w:rPr>
          <w:rFonts w:ascii="宋体" w:hAnsi="宋体" w:cs="等线 Light"/>
          <w:b/>
          <w:bCs/>
          <w:sz w:val="24"/>
        </w:rPr>
      </w:pPr>
      <w:r>
        <w:rPr>
          <w:rFonts w:hint="eastAsia" w:ascii="宋体" w:hAnsi="宋体" w:cs="等线 Light"/>
          <w:b/>
          <w:bCs/>
          <w:sz w:val="24"/>
        </w:rPr>
        <w:t xml:space="preserve">（五）免费质保期：自验收合格之日起2年。</w:t>
      </w:r>
      <w:r>
        <w:rPr>
          <w:rFonts w:ascii="宋体" w:hAnsi="宋体" w:cs="等线 Light"/>
          <w:b/>
          <w:bCs/>
          <w:sz w:val="24"/>
        </w:rPr>
      </w:r>
      <w:r/>
    </w:p>
    <w:p>
      <w:pPr>
        <w:pStyle w:val="1100"/>
        <w:ind w:firstLine="482"/>
        <w:spacing w:line="360" w:lineRule="auto"/>
        <w:rPr>
          <w:rFonts w:ascii="宋体" w:hAnsi="宋体" w:cs="等线 Light"/>
          <w:b/>
          <w:bCs/>
          <w:sz w:val="24"/>
        </w:rPr>
      </w:pPr>
      <w:r>
        <w:rPr>
          <w:rFonts w:hint="eastAsia" w:ascii="宋体" w:hAnsi="宋体" w:cs="等线 Light"/>
          <w:b/>
          <w:bCs/>
          <w:sz w:val="24"/>
        </w:rPr>
        <w:t xml:space="preserve">（六）售后服务</w:t>
      </w:r>
      <w:r>
        <w:rPr>
          <w:rFonts w:ascii="宋体" w:hAnsi="宋体" w:cs="等线 Light"/>
          <w:b/>
          <w:bCs/>
          <w:sz w:val="24"/>
        </w:rPr>
      </w:r>
      <w:r/>
    </w:p>
    <w:p>
      <w:pPr>
        <w:pStyle w:val="1100"/>
        <w:ind w:firstLine="480"/>
        <w:spacing w:line="360" w:lineRule="auto"/>
        <w:rPr>
          <w:rFonts w:ascii="宋体" w:hAnsi="宋体" w:cs="等线 Light"/>
          <w:bCs/>
          <w:sz w:val="24"/>
        </w:rPr>
      </w:pPr>
      <w:r>
        <w:rPr>
          <w:rFonts w:ascii="宋体" w:hAnsi="宋体" w:cs="等线 Light"/>
          <w:bCs/>
          <w:sz w:val="24"/>
        </w:rPr>
        <w:t xml:space="preserve">1</w:t>
      </w:r>
      <w:r>
        <w:rPr>
          <w:rFonts w:hint="eastAsia" w:ascii="宋体" w:hAnsi="宋体" w:cs="等线 Light"/>
          <w:bCs/>
          <w:sz w:val="24"/>
        </w:rPr>
        <w:t xml:space="preserve">.投标人应按照国家有关法律法规、“三包”规定以及响应文件中的“售后服务承诺”提供服务。</w:t>
      </w:r>
      <w:r>
        <w:rPr>
          <w:rFonts w:ascii="宋体" w:hAnsi="宋体" w:cs="等线 Light"/>
          <w:bCs/>
          <w:sz w:val="24"/>
        </w:rPr>
      </w:r>
      <w:r/>
    </w:p>
    <w:p>
      <w:pPr>
        <w:pStyle w:val="1100"/>
        <w:ind w:firstLine="480"/>
        <w:spacing w:line="360" w:lineRule="auto"/>
        <w:rPr>
          <w:rFonts w:ascii="宋体" w:hAnsi="宋体" w:cs="等线 Light"/>
          <w:bCs/>
          <w:sz w:val="24"/>
        </w:rPr>
      </w:pPr>
      <w:r>
        <w:rPr>
          <w:rFonts w:ascii="宋体" w:hAnsi="宋体" w:cs="等线 Light"/>
          <w:bCs/>
          <w:sz w:val="24"/>
        </w:rPr>
        <w:t xml:space="preserve">2</w:t>
      </w:r>
      <w:r>
        <w:rPr>
          <w:rFonts w:hint="eastAsia" w:ascii="宋体" w:hAnsi="宋体" w:cs="等线 Light"/>
          <w:bCs/>
          <w:sz w:val="24"/>
        </w:rPr>
        <w:t xml:space="preserve">.所有的售后服务均由中标人受理。如果发生问题并且收到报告，中标人应当在2小时内予以答复。</w:t>
      </w:r>
      <w:r>
        <w:rPr>
          <w:rFonts w:ascii="宋体" w:hAnsi="宋体" w:cs="等线 Light"/>
          <w:bCs/>
          <w:sz w:val="24"/>
        </w:rPr>
      </w:r>
      <w:r/>
    </w:p>
    <w:p>
      <w:pPr>
        <w:pStyle w:val="1100"/>
        <w:ind w:firstLine="480"/>
        <w:spacing w:line="360" w:lineRule="auto"/>
        <w:rPr>
          <w:rFonts w:ascii="宋体" w:hAnsi="宋体" w:cs="等线 Light"/>
          <w:bCs/>
          <w:sz w:val="24"/>
        </w:rPr>
      </w:pPr>
      <w:r>
        <w:rPr>
          <w:rFonts w:hint="eastAsia" w:ascii="宋体" w:hAnsi="宋体" w:cs="等线 Light"/>
          <w:bCs/>
          <w:sz w:val="24"/>
        </w:rPr>
        <w:t xml:space="preserve">3</w:t>
      </w:r>
      <w:r>
        <w:rPr>
          <w:rFonts w:ascii="宋体" w:hAnsi="宋体" w:cs="等线 Light"/>
          <w:bCs/>
          <w:sz w:val="24"/>
        </w:rPr>
        <w:t xml:space="preserve">.</w:t>
      </w:r>
      <w:r>
        <w:rPr>
          <w:rFonts w:hint="eastAsia" w:ascii="宋体" w:hAnsi="宋体" w:cs="等线 Light"/>
          <w:bCs/>
          <w:sz w:val="24"/>
        </w:rPr>
        <w:t xml:space="preserve">质保期内，非采购人原因造成货物故障及损坏时，投标人按行业标准提供服务，30天内包退换。质保期内，投标人在接到采购人通知后2小时内响应，在8小时内赶到现场，48小时内免费予以排除故障、修复或更换零部件，所有费用由投标人承担。</w:t>
      </w:r>
      <w:r>
        <w:rPr>
          <w:rFonts w:ascii="宋体" w:hAnsi="宋体" w:cs="等线 Light"/>
          <w:bCs/>
          <w:sz w:val="24"/>
        </w:rPr>
      </w:r>
      <w:r/>
    </w:p>
    <w:p>
      <w:pPr>
        <w:pStyle w:val="1100"/>
        <w:ind w:firstLine="480"/>
        <w:spacing w:line="360" w:lineRule="auto"/>
        <w:rPr>
          <w:rFonts w:ascii="宋体" w:hAnsi="宋体" w:cs="等线 Light"/>
          <w:bCs/>
          <w:sz w:val="24"/>
        </w:rPr>
      </w:pPr>
      <w:r>
        <w:rPr>
          <w:rFonts w:ascii="宋体" w:hAnsi="宋体" w:cs="等线 Light"/>
          <w:bCs/>
          <w:sz w:val="24"/>
        </w:rPr>
        <w:t xml:space="preserve">4</w:t>
      </w:r>
      <w:r>
        <w:rPr>
          <w:rFonts w:hint="eastAsia" w:ascii="宋体" w:hAnsi="宋体" w:cs="等线 Light"/>
          <w:bCs/>
          <w:sz w:val="24"/>
        </w:rPr>
        <w:t xml:space="preserve">.中标人派往采购人现场的人员，应具有较高的业务素质，现场解决问题时，不得无故拖延或推迟，应为采购人提供最佳的服务。</w:t>
      </w:r>
      <w:r>
        <w:rPr>
          <w:rFonts w:ascii="宋体" w:hAnsi="宋体" w:cs="等线 Light"/>
          <w:bCs/>
          <w:sz w:val="24"/>
        </w:rPr>
      </w:r>
      <w:r/>
    </w:p>
    <w:p>
      <w:pPr>
        <w:pStyle w:val="1100"/>
        <w:ind w:firstLine="480"/>
        <w:spacing w:line="360" w:lineRule="auto"/>
        <w:rPr>
          <w:rFonts w:ascii="宋体" w:hAnsi="宋体" w:cs="等线 Light"/>
          <w:bCs/>
          <w:sz w:val="24"/>
        </w:rPr>
      </w:pPr>
      <w:r>
        <w:rPr>
          <w:rFonts w:ascii="宋体" w:hAnsi="宋体" w:cs="等线 Light"/>
          <w:bCs/>
          <w:sz w:val="24"/>
        </w:rPr>
        <w:t xml:space="preserve">5</w:t>
      </w:r>
      <w:r>
        <w:rPr>
          <w:rFonts w:hint="eastAsia" w:ascii="宋体" w:hAnsi="宋体" w:cs="等线 Light"/>
          <w:bCs/>
          <w:sz w:val="24"/>
        </w:rPr>
        <w:t xml:space="preserve">.在质保期内因产品质量问题造成的产品损坏，中标人应无条件更换，更换的产品质保期顺延。</w:t>
      </w:r>
      <w:r>
        <w:rPr>
          <w:rFonts w:ascii="宋体" w:hAnsi="宋体" w:cs="等线 Light"/>
          <w:bCs/>
          <w:sz w:val="24"/>
        </w:rPr>
      </w:r>
      <w:r/>
    </w:p>
    <w:p>
      <w:pPr>
        <w:pStyle w:val="1100"/>
        <w:ind w:firstLine="482"/>
        <w:spacing w:line="360" w:lineRule="auto"/>
        <w:rPr>
          <w:rFonts w:ascii="宋体" w:hAnsi="宋体" w:cs="等线 Light"/>
          <w:b/>
          <w:bCs/>
          <w:sz w:val="24"/>
        </w:rPr>
      </w:pPr>
      <w:r>
        <w:rPr>
          <w:rFonts w:hint="eastAsia" w:ascii="宋体" w:hAnsi="宋体" w:cs="等线 Light"/>
          <w:b/>
          <w:bCs/>
          <w:sz w:val="24"/>
        </w:rPr>
        <w:t xml:space="preserve">（七）包装运输</w:t>
      </w:r>
      <w:r>
        <w:rPr>
          <w:rFonts w:ascii="宋体" w:hAnsi="宋体" w:cs="等线 Light"/>
          <w:b/>
          <w:bCs/>
          <w:sz w:val="24"/>
        </w:rPr>
      </w:r>
      <w:r/>
    </w:p>
    <w:p>
      <w:pPr>
        <w:pStyle w:val="1100"/>
        <w:ind w:firstLine="480"/>
        <w:spacing w:line="360" w:lineRule="auto"/>
        <w:rPr>
          <w:rFonts w:ascii="宋体" w:hAnsi="宋体" w:cs="等线 Light"/>
          <w:bCs/>
          <w:sz w:val="24"/>
        </w:rPr>
      </w:pPr>
      <w:r>
        <w:rPr>
          <w:rFonts w:hint="eastAsia" w:ascii="宋体" w:hAnsi="宋体" w:cs="等线 Light"/>
          <w:bCs/>
          <w:sz w:val="24"/>
        </w:rPr>
        <w:t xml:space="preserve">1</w:t>
      </w:r>
      <w:r>
        <w:rPr>
          <w:rFonts w:ascii="宋体" w:hAnsi="宋体" w:cs="等线 Light"/>
          <w:bCs/>
          <w:sz w:val="24"/>
        </w:rPr>
        <w:t xml:space="preserve">.</w:t>
      </w:r>
      <w:r>
        <w:rPr>
          <w:rFonts w:hint="eastAsia" w:ascii="宋体" w:hAnsi="宋体" w:cs="等线 Light"/>
          <w:bCs/>
          <w:sz w:val="24"/>
        </w:rPr>
        <w:t xml:space="preserve">须满足《关于印发〈商品包装政府采购需求标准（试行）〉、〈快递包装政府采购需求标准（试行）〉的通知》（财办库﹝2020﹞123号）。</w:t>
      </w:r>
      <w:r>
        <w:rPr>
          <w:rFonts w:ascii="宋体" w:hAnsi="宋体" w:cs="等线 Light"/>
          <w:bCs/>
          <w:sz w:val="24"/>
        </w:rPr>
      </w:r>
      <w:r/>
    </w:p>
    <w:p>
      <w:pPr>
        <w:pStyle w:val="1100"/>
        <w:ind w:firstLine="480"/>
        <w:spacing w:line="360" w:lineRule="auto"/>
        <w:rPr>
          <w:rFonts w:ascii="宋体" w:hAnsi="宋体" w:cs="等线 Light"/>
          <w:bCs/>
          <w:sz w:val="24"/>
        </w:rPr>
      </w:pPr>
      <w:r>
        <w:rPr>
          <w:rFonts w:hint="eastAsia" w:ascii="宋体" w:hAnsi="宋体" w:cs="等线 Light"/>
          <w:bCs/>
          <w:sz w:val="24"/>
        </w:rPr>
        <w:t xml:space="preserve">2</w:t>
      </w:r>
      <w:r>
        <w:rPr>
          <w:rFonts w:ascii="宋体" w:hAnsi="宋体" w:cs="等线 Light"/>
          <w:bCs/>
          <w:sz w:val="24"/>
        </w:rPr>
        <w:t xml:space="preserve">.</w:t>
      </w:r>
      <w:r>
        <w:rPr>
          <w:rFonts w:hint="eastAsia" w:ascii="宋体" w:hAnsi="宋体" w:cs="等线 Light"/>
          <w:bCs/>
          <w:sz w:val="24"/>
        </w:rPr>
        <w:t xml:space="preserve">投标人提供的全部货物均应按国家或专业标准保护措施进行包装。该包装应适应于远距离运输、防潮、防震、防锈和防野蛮装卸，以确保货物安全无损运抵指定地点。由于包装不善所引起的货物损失均由投标人承担。</w:t>
      </w:r>
      <w:r>
        <w:rPr>
          <w:rFonts w:ascii="宋体" w:hAnsi="宋体" w:cs="等线 Light"/>
          <w:bCs/>
          <w:sz w:val="24"/>
        </w:rPr>
      </w:r>
      <w:r/>
    </w:p>
    <w:p>
      <w:pPr>
        <w:pStyle w:val="1100"/>
        <w:ind w:firstLine="480"/>
        <w:spacing w:line="360" w:lineRule="auto"/>
        <w:rPr>
          <w:rFonts w:ascii="宋体" w:hAnsi="宋体" w:cs="等线 Light"/>
          <w:bCs/>
          <w:sz w:val="24"/>
        </w:rPr>
      </w:pPr>
      <w:r>
        <w:rPr>
          <w:rFonts w:hint="eastAsia" w:ascii="宋体" w:hAnsi="宋体" w:cs="等线 Light"/>
          <w:bCs/>
          <w:sz w:val="24"/>
        </w:rPr>
        <w:t xml:space="preserve">3</w:t>
      </w:r>
      <w:r>
        <w:rPr>
          <w:rFonts w:ascii="宋体" w:hAnsi="宋体" w:cs="等线 Light"/>
          <w:bCs/>
          <w:sz w:val="24"/>
        </w:rPr>
        <w:t xml:space="preserve">.</w:t>
      </w:r>
      <w:r>
        <w:rPr>
          <w:rFonts w:hint="eastAsia" w:ascii="宋体" w:hAnsi="宋体" w:cs="等线 Light"/>
          <w:bCs/>
          <w:sz w:val="24"/>
        </w:rPr>
        <w:t xml:space="preserve">投标人所提供的货物必须是满足采购文件的要求。保证所提供的货物均为正规的厂家生产的合格以上、无侵权产品。符合国家有关质量和包装标准。若投标人提供假冒伪劣、以次充好产品的，一经发现，除按采购人要求无条件退货或换货外，其他损失均由投标人承担。</w:t>
      </w:r>
      <w:r>
        <w:rPr>
          <w:rFonts w:ascii="宋体" w:hAnsi="宋体" w:cs="等线 Light"/>
          <w:bCs/>
          <w:sz w:val="24"/>
        </w:rPr>
      </w:r>
      <w:r/>
    </w:p>
    <w:p>
      <w:pPr>
        <w:pStyle w:val="1100"/>
        <w:ind w:firstLine="480"/>
        <w:spacing w:line="360" w:lineRule="auto"/>
        <w:rPr>
          <w:rFonts w:ascii="宋体" w:hAnsi="宋体" w:cs="等线 Light"/>
          <w:bCs/>
          <w:sz w:val="24"/>
        </w:rPr>
      </w:pPr>
      <w:r>
        <w:rPr>
          <w:rFonts w:ascii="宋体" w:hAnsi="宋体" w:cs="等线 Light"/>
          <w:bCs/>
          <w:sz w:val="24"/>
        </w:rPr>
        <w:t xml:space="preserve">4.</w:t>
      </w:r>
      <w:r>
        <w:rPr>
          <w:rFonts w:hint="eastAsia" w:ascii="宋体" w:hAnsi="宋体" w:cs="等线 Light"/>
          <w:bCs/>
          <w:sz w:val="24"/>
        </w:rPr>
        <w:t xml:space="preserve">货物有包装的，包装必须完整，采购人有权拒收包装不整齐、已拆封及货物已损坏的商品。</w:t>
      </w:r>
      <w:r>
        <w:rPr>
          <w:rFonts w:ascii="宋体" w:hAnsi="宋体" w:cs="等线 Light"/>
          <w:bCs/>
          <w:sz w:val="24"/>
        </w:rPr>
      </w:r>
      <w:r/>
    </w:p>
    <w:p>
      <w:pPr>
        <w:pStyle w:val="1100"/>
        <w:ind w:firstLine="480"/>
        <w:spacing w:line="360" w:lineRule="auto"/>
        <w:rPr>
          <w:rFonts w:ascii="宋体" w:hAnsi="宋体" w:cs="等线 Light"/>
          <w:bCs/>
          <w:sz w:val="24"/>
        </w:rPr>
      </w:pPr>
      <w:r>
        <w:rPr>
          <w:rFonts w:ascii="宋体" w:hAnsi="宋体" w:cs="等线 Light"/>
          <w:bCs/>
          <w:sz w:val="24"/>
        </w:rPr>
        <w:t xml:space="preserve">5.</w:t>
      </w:r>
      <w:r>
        <w:rPr>
          <w:rFonts w:hint="eastAsia" w:ascii="宋体" w:hAnsi="宋体" w:cs="等线 Light"/>
          <w:bCs/>
          <w:sz w:val="24"/>
        </w:rPr>
        <w:t xml:space="preserve">投标人应根据采购人要求按采购文件规定的型号向采购人提供要求数量的货物。不得擅自变更（含规格、型号、数量等），否则，采购人有权拒收。投标人应更换被拒收的货物，使之符合要求，且承担由此发生的一切费用。</w:t>
      </w:r>
      <w:r>
        <w:rPr>
          <w:rFonts w:ascii="宋体" w:hAnsi="宋体" w:cs="等线 Light"/>
          <w:bCs/>
          <w:sz w:val="24"/>
        </w:rPr>
      </w:r>
      <w:r/>
    </w:p>
    <w:p>
      <w:pPr>
        <w:pStyle w:val="1100"/>
        <w:ind w:firstLine="482"/>
        <w:spacing w:line="360" w:lineRule="auto"/>
        <w:rPr>
          <w:rFonts w:ascii="宋体" w:hAnsi="宋体" w:cs="等线 Light"/>
          <w:b/>
          <w:bCs/>
          <w:sz w:val="24"/>
        </w:rPr>
      </w:pPr>
      <w:r>
        <w:rPr>
          <w:rFonts w:hint="eastAsia" w:ascii="宋体" w:hAnsi="宋体" w:cs="等线 Light"/>
          <w:b/>
          <w:bCs/>
          <w:sz w:val="24"/>
        </w:rPr>
        <w:t xml:space="preserve">四、履约验收方案</w:t>
      </w:r>
      <w:r>
        <w:rPr>
          <w:rFonts w:ascii="宋体" w:hAnsi="宋体" w:cs="等线 Light"/>
          <w:b/>
          <w:bCs/>
          <w:sz w:val="24"/>
        </w:rPr>
      </w:r>
      <w:r/>
    </w:p>
    <w:p>
      <w:pPr>
        <w:pStyle w:val="1100"/>
        <w:ind w:firstLine="480"/>
        <w:spacing w:line="360" w:lineRule="auto"/>
        <w:rPr>
          <w:rFonts w:ascii="宋体" w:hAnsi="宋体" w:cs="等线 Light"/>
          <w:bCs/>
          <w:sz w:val="24"/>
        </w:rPr>
      </w:pPr>
      <w:r>
        <w:rPr>
          <w:rFonts w:hint="eastAsia" w:ascii="宋体" w:hAnsi="宋体" w:cs="等线 Light"/>
          <w:bCs/>
          <w:sz w:val="24"/>
        </w:rPr>
        <w:t xml:space="preserve">1.产品到达交货地点后，采购人和中标人在2日内共同检验产品数量、质量等状况，由中标人负责并承担相关费用，采购人应积极配合。中标人进行安装调试并经过性能测试后，由采购人组织验收，验收合格后在《验收评价表》上签字确认。</w:t>
      </w:r>
      <w:r>
        <w:rPr>
          <w:rFonts w:ascii="宋体" w:hAnsi="宋体" w:cs="等线 Light"/>
          <w:bCs/>
          <w:sz w:val="24"/>
        </w:rPr>
      </w:r>
      <w:r/>
    </w:p>
    <w:p>
      <w:pPr>
        <w:pStyle w:val="1100"/>
        <w:ind w:firstLine="480"/>
        <w:spacing w:line="360" w:lineRule="auto"/>
        <w:rPr>
          <w:rFonts w:ascii="宋体" w:hAnsi="宋体" w:cs="等线 Light"/>
          <w:bCs/>
          <w:sz w:val="24"/>
        </w:rPr>
      </w:pPr>
      <w:r>
        <w:rPr>
          <w:rFonts w:hint="eastAsia" w:ascii="宋体" w:hAnsi="宋体" w:cs="等线 Light"/>
          <w:bCs/>
          <w:sz w:val="24"/>
        </w:rPr>
        <w:t xml:space="preserve">2</w:t>
      </w:r>
      <w:r>
        <w:rPr>
          <w:rFonts w:ascii="宋体" w:hAnsi="宋体" w:cs="等线 Light"/>
          <w:bCs/>
          <w:sz w:val="24"/>
        </w:rPr>
        <w:t xml:space="preserve">.</w:t>
      </w:r>
      <w:r>
        <w:rPr>
          <w:rFonts w:hint="eastAsia" w:ascii="宋体" w:hAnsi="宋体" w:cs="等线 Light"/>
          <w:bCs/>
          <w:sz w:val="24"/>
        </w:rPr>
        <w:t xml:space="preserve">对产品的外观或质量问题，采购人应在发现和应当发现之日起30日内向中标人提出书面异议，中标人在接到书面异议后，应当在2日内负责处理。采购人逾期提出的，对所交产品视为符合合同的规定。</w:t>
      </w:r>
      <w:r>
        <w:rPr>
          <w:rFonts w:ascii="宋体" w:hAnsi="宋体" w:cs="等线 Light"/>
          <w:bCs/>
          <w:sz w:val="24"/>
        </w:rPr>
      </w:r>
      <w:r/>
    </w:p>
    <w:p>
      <w:pPr>
        <w:pStyle w:val="1100"/>
        <w:ind w:firstLine="480"/>
        <w:spacing w:line="360" w:lineRule="auto"/>
        <w:rPr>
          <w:rFonts w:ascii="宋体" w:hAnsi="宋体" w:cs="等线 Light"/>
          <w:bCs/>
          <w:sz w:val="24"/>
        </w:rPr>
      </w:pPr>
      <w:r>
        <w:rPr>
          <w:rFonts w:hint="eastAsia" w:ascii="宋体" w:hAnsi="宋体" w:cs="等线 Light"/>
          <w:bCs/>
          <w:sz w:val="24"/>
        </w:rPr>
        <w:t xml:space="preserve">3.经双方共同验收，产品性能参数达不到采购合同要求的，采购人可以拒收，并可以解除合同。</w:t>
      </w:r>
      <w:r>
        <w:rPr>
          <w:rFonts w:ascii="宋体" w:hAnsi="宋体" w:cs="等线 Light"/>
          <w:bCs/>
          <w:sz w:val="24"/>
        </w:rPr>
      </w:r>
      <w:r/>
    </w:p>
    <w:p>
      <w:pPr>
        <w:pStyle w:val="1100"/>
        <w:ind w:firstLine="482"/>
        <w:spacing w:line="360" w:lineRule="auto"/>
        <w:rPr>
          <w:rFonts w:ascii="宋体" w:hAnsi="宋体" w:cs="等线 Light"/>
          <w:b/>
          <w:bCs/>
          <w:sz w:val="24"/>
        </w:rPr>
      </w:pPr>
      <w:r>
        <w:rPr>
          <w:rFonts w:hint="eastAsia" w:ascii="宋体" w:hAnsi="宋体" w:cs="等线 Light"/>
          <w:b/>
          <w:bCs/>
          <w:sz w:val="24"/>
        </w:rPr>
        <w:t xml:space="preserve">五、场地原始平面图</w:t>
      </w:r>
      <w:r>
        <w:rPr>
          <w:rFonts w:ascii="宋体" w:hAnsi="宋体" w:cs="等线 Light"/>
          <w:b/>
          <w:bCs/>
          <w:sz w:val="24"/>
        </w:rPr>
      </w:r>
      <w:r/>
    </w:p>
    <w:p>
      <w:pPr>
        <w:pStyle w:val="1100"/>
        <w:ind w:firstLine="480"/>
        <w:spacing w:line="360" w:lineRule="auto"/>
        <w:rPr>
          <w:rFonts w:hint="eastAsia" w:ascii="宋体" w:hAnsi="宋体" w:cs="等线 Light"/>
          <w:bCs/>
          <w:sz w:val="24"/>
        </w:rPr>
      </w:pPr>
      <w:r>
        <w:rPr>
          <w:rFonts w:ascii="宋体" w:hAnsi="宋体" w:cs="等线 Light"/>
          <w:bCs/>
          <w:sz w:val="24"/>
        </w:rPr>
        <mc:AlternateContent>
          <mc:Choice Requires="wpg">
            <w:drawing>
              <wp:inline xmlns:wp="http://schemas.openxmlformats.org/drawingml/2006/wordprocessingDrawing" distT="0" distB="0" distL="0" distR="0">
                <wp:extent cx="5301412" cy="445466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301412" cy="4454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7.4pt;height:350.8pt;mso-wrap-distance-left:0.0pt;mso-wrap-distance-top:0.0pt;mso-wrap-distance-right:0.0pt;mso-wrap-distance-bottom:0.0pt;" stroked="f">
                <v:path textboxrect="0,0,0,0"/>
                <v:imagedata r:id="rId24" o:title=""/>
              </v:shape>
            </w:pict>
          </mc:Fallback>
        </mc:AlternateContent>
      </w:r>
      <w:r>
        <w:rPr>
          <w:rFonts w:hint="eastAsia" w:ascii="宋体" w:hAnsi="宋体" w:cs="等线 Light"/>
          <w:bCs/>
          <w:sz w:val="24"/>
        </w:rPr>
      </w:r>
      <w:r/>
    </w:p>
    <w:p>
      <w:pPr>
        <w:pStyle w:val="1100"/>
        <w:ind w:firstLine="480"/>
        <w:spacing w:line="360" w:lineRule="auto"/>
        <w:rPr>
          <w:rFonts w:ascii="宋体" w:hAnsi="宋体" w:cs="等线 Light"/>
          <w:bCs/>
          <w:sz w:val="24"/>
        </w:rPr>
      </w:pPr>
      <w:r>
        <w:rPr>
          <w:rFonts w:ascii="宋体" w:hAnsi="宋体" w:cs="等线 Light"/>
          <w:bCs/>
          <w:sz w:val="24"/>
        </w:rPr>
      </w:r>
      <w:r/>
    </w:p>
    <w:p>
      <w:pPr>
        <w:pStyle w:val="1100"/>
        <w:ind w:firstLine="480"/>
        <w:spacing w:line="360" w:lineRule="auto"/>
        <w:rPr>
          <w:rFonts w:ascii="宋体" w:hAnsi="宋体" w:cs="等线 Light"/>
          <w:bCs/>
          <w:sz w:val="24"/>
        </w:rPr>
      </w:pPr>
      <w:r>
        <w:rPr>
          <w:rFonts w:ascii="宋体" w:hAnsi="宋体" w:cs="等线 Light"/>
          <w:bCs/>
          <w:sz w:val="24"/>
        </w:rPr>
      </w:r>
      <w:r/>
    </w:p>
    <w:p>
      <w:pPr>
        <w:pStyle w:val="1100"/>
        <w:rPr>
          <w:rFonts w:ascii="宋体" w:hAnsi="宋体"/>
        </w:rPr>
      </w:pPr>
      <w:r>
        <w:rPr>
          <w:rFonts w:ascii="宋体" w:hAnsi="宋体"/>
        </w:rPr>
      </w:r>
      <w:r/>
    </w:p>
    <w:p>
      <w:pPr>
        <w:pStyle w:val="1100"/>
        <w:jc w:val="center"/>
        <w:spacing w:line="360" w:lineRule="auto"/>
        <w:rPr>
          <w:rFonts w:ascii="宋体" w:hAnsi="宋体"/>
          <w:b/>
          <w:sz w:val="36"/>
          <w:szCs w:val="36"/>
        </w:rPr>
        <w:outlineLvl w:val="0"/>
      </w:pPr>
      <w:r>
        <w:rPr>
          <w:rFonts w:ascii="宋体" w:hAnsi="宋体"/>
          <w:b/>
          <w:sz w:val="36"/>
          <w:szCs w:val="36"/>
        </w:rPr>
        <w:br w:type="page" w:clear="all"/>
      </w:r>
      <w:bookmarkStart w:id="815" w:name="_Toc99301425"/>
      <w:r>
        <w:rPr>
          <w:rFonts w:ascii="宋体" w:hAnsi="宋体"/>
          <w:b/>
          <w:sz w:val="36"/>
          <w:szCs w:val="36"/>
        </w:rPr>
        <w:t xml:space="preserve">第六章   拟签订的合同文本</w:t>
      </w:r>
      <w:bookmarkEnd w:id="815"/>
      <w:r>
        <w:rPr>
          <w:rFonts w:ascii="宋体" w:hAnsi="宋体"/>
          <w:b/>
          <w:sz w:val="36"/>
          <w:szCs w:val="36"/>
        </w:rPr>
      </w:r>
      <w:r/>
    </w:p>
    <w:p>
      <w:pPr>
        <w:pStyle w:val="1132"/>
        <w:jc w:val="center"/>
        <w:rPr>
          <w:rFonts w:cs="宋体"/>
          <w:b/>
          <w:bCs/>
          <w:spacing w:val="-20"/>
          <w:sz w:val="48"/>
          <w:szCs w:val="48"/>
        </w:rPr>
      </w:pPr>
      <w:r/>
      <w:bookmarkStart w:id="816" w:name="_Toc3995"/>
      <w:r>
        <w:rPr>
          <w:rFonts w:cs="宋体"/>
          <w:b/>
          <w:bCs/>
          <w:spacing w:val="-20"/>
          <w:sz w:val="48"/>
          <w:szCs w:val="48"/>
        </w:rPr>
      </w:r>
      <w:r/>
    </w:p>
    <w:p>
      <w:pPr>
        <w:pStyle w:val="1132"/>
        <w:jc w:val="center"/>
        <w:rPr>
          <w:rFonts w:hint="eastAsia" w:cs="宋体"/>
          <w:b/>
          <w:bCs/>
          <w:spacing w:val="-20"/>
          <w:sz w:val="48"/>
          <w:szCs w:val="48"/>
        </w:rPr>
      </w:pPr>
      <w:r>
        <w:rPr>
          <w:rFonts w:hint="eastAsia" w:cs="宋体"/>
          <w:b/>
          <w:bCs/>
          <w:spacing w:val="-20"/>
          <w:sz w:val="48"/>
          <w:szCs w:val="48"/>
        </w:rPr>
      </w:r>
      <w:r/>
    </w:p>
    <w:p>
      <w:pPr>
        <w:pStyle w:val="1132"/>
        <w:jc w:val="center"/>
        <w:rPr>
          <w:rFonts w:hint="eastAsia" w:cs="宋体"/>
          <w:b/>
          <w:bCs/>
          <w:spacing w:val="-20"/>
          <w:sz w:val="48"/>
          <w:szCs w:val="48"/>
        </w:rPr>
      </w:pPr>
      <w:r>
        <w:rPr>
          <w:rFonts w:hint="eastAsia" w:cs="宋体"/>
          <w:b/>
          <w:bCs/>
          <w:spacing w:val="-20"/>
          <w:sz w:val="48"/>
          <w:szCs w:val="48"/>
        </w:rPr>
        <w:t xml:space="preserve">政府采购货物买卖合同</w:t>
      </w:r>
      <w:r/>
    </w:p>
    <w:p>
      <w:pPr>
        <w:pStyle w:val="1132"/>
        <w:jc w:val="center"/>
        <w:rPr>
          <w:rFonts w:hint="eastAsia" w:cs="宋体"/>
          <w:b/>
          <w:bCs/>
          <w:spacing w:val="-20"/>
          <w:sz w:val="48"/>
          <w:szCs w:val="48"/>
        </w:rPr>
      </w:pPr>
      <w:r>
        <w:rPr>
          <w:rFonts w:hint="eastAsia" w:cs="宋体"/>
          <w:b/>
          <w:bCs/>
          <w:spacing w:val="-20"/>
          <w:sz w:val="48"/>
          <w:szCs w:val="48"/>
        </w:rPr>
      </w:r>
      <w:r/>
    </w:p>
    <w:p>
      <w:pPr>
        <w:pStyle w:val="1100"/>
        <w:rPr>
          <w:rFonts w:hint="eastAsia" w:ascii="宋体" w:hAnsi="宋体" w:cs="宋体"/>
          <w:b/>
          <w:bCs/>
          <w:spacing w:val="-20"/>
          <w:sz w:val="40"/>
          <w:szCs w:val="40"/>
        </w:rPr>
      </w:pPr>
      <w:r>
        <w:rPr>
          <w:rFonts w:hint="eastAsia" w:ascii="宋体" w:hAnsi="宋体" w:cs="宋体"/>
          <w:b/>
          <w:bCs/>
          <w:spacing w:val="-20"/>
          <w:sz w:val="40"/>
          <w:szCs w:val="40"/>
        </w:rPr>
      </w:r>
      <w:r/>
    </w:p>
    <w:p>
      <w:pPr>
        <w:pStyle w:val="1100"/>
        <w:rPr>
          <w:rFonts w:hint="eastAsia" w:ascii="宋体" w:hAnsi="宋体" w:cs="宋体"/>
          <w:b/>
          <w:bCs/>
          <w:spacing w:val="-20"/>
          <w:sz w:val="40"/>
          <w:szCs w:val="40"/>
        </w:rPr>
      </w:pPr>
      <w:r>
        <w:rPr>
          <w:rFonts w:hint="eastAsia" w:ascii="宋体" w:hAnsi="宋体" w:cs="宋体"/>
          <w:b/>
          <w:bCs/>
          <w:spacing w:val="-20"/>
          <w:sz w:val="40"/>
          <w:szCs w:val="40"/>
        </w:rPr>
      </w:r>
      <w:r/>
    </w:p>
    <w:p>
      <w:pPr>
        <w:pStyle w:val="1100"/>
        <w:rPr>
          <w:rFonts w:hint="eastAsia" w:ascii="宋体" w:hAnsi="宋体" w:cs="宋体"/>
          <w:b/>
          <w:bCs/>
          <w:spacing w:val="-20"/>
          <w:sz w:val="40"/>
          <w:szCs w:val="40"/>
        </w:rPr>
      </w:pPr>
      <w:r>
        <w:rPr>
          <w:rFonts w:hint="eastAsia" w:ascii="宋体" w:hAnsi="宋体" w:cs="宋体"/>
          <w:b/>
          <w:bCs/>
          <w:spacing w:val="-20"/>
          <w:sz w:val="40"/>
          <w:szCs w:val="40"/>
        </w:rPr>
      </w:r>
      <w:r/>
    </w:p>
    <w:p>
      <w:pPr>
        <w:pStyle w:val="1100"/>
        <w:ind w:left="420"/>
        <w:spacing w:line="360" w:lineRule="auto"/>
        <w:rPr>
          <w:rFonts w:hint="eastAsia"/>
          <w:sz w:val="32"/>
          <w:szCs w:val="32"/>
        </w:rPr>
      </w:pPr>
      <w:r>
        <w:rPr>
          <w:rFonts w:hint="eastAsia" w:ascii="宋体" w:hAnsi="宋体" w:cs="宋体"/>
          <w:sz w:val="32"/>
          <w:szCs w:val="32"/>
        </w:rPr>
        <w:t xml:space="preserve">项目名称：</w:t>
      </w:r>
      <w:r>
        <w:rPr>
          <w:sz w:val="32"/>
          <w:szCs w:val="32"/>
          <w:u w:val="single"/>
        </w:rPr>
        <w:t xml:space="preserve">                             </w:t>
      </w:r>
      <w:r>
        <w:rPr>
          <w:rFonts w:hint="eastAsia"/>
          <w:sz w:val="32"/>
          <w:szCs w:val="32"/>
        </w:rPr>
      </w:r>
      <w:r/>
    </w:p>
    <w:p>
      <w:pPr>
        <w:pStyle w:val="1100"/>
        <w:ind w:left="420"/>
        <w:spacing w:line="360" w:lineRule="auto"/>
        <w:rPr>
          <w:sz w:val="32"/>
          <w:szCs w:val="32"/>
          <w:u w:val="single"/>
        </w:rPr>
      </w:pPr>
      <w:r>
        <w:rPr>
          <w:rFonts w:hint="eastAsia"/>
          <w:sz w:val="32"/>
          <w:szCs w:val="32"/>
        </w:rPr>
        <w:t xml:space="preserve">合同编号：</w:t>
      </w:r>
      <w:r>
        <w:rPr>
          <w:sz w:val="32"/>
          <w:szCs w:val="32"/>
          <w:u w:val="single"/>
        </w:rPr>
        <w:t xml:space="preserve">                             </w:t>
      </w:r>
      <w:r/>
    </w:p>
    <w:p>
      <w:pPr>
        <w:pStyle w:val="1100"/>
        <w:ind w:left="420"/>
        <w:spacing w:line="360" w:lineRule="auto"/>
        <w:rPr>
          <w:sz w:val="32"/>
          <w:szCs w:val="32"/>
        </w:rPr>
      </w:pPr>
      <w:r>
        <w:rPr>
          <w:rFonts w:hint="eastAsia"/>
          <w:sz w:val="32"/>
          <w:szCs w:val="32"/>
        </w:rPr>
        <w:t xml:space="preserve">甲</w:t>
      </w:r>
      <w:r>
        <w:rPr>
          <w:sz w:val="32"/>
          <w:szCs w:val="32"/>
        </w:rPr>
        <w:t xml:space="preserve">    </w:t>
      </w:r>
      <w:r>
        <w:rPr>
          <w:rFonts w:hint="eastAsia"/>
          <w:sz w:val="32"/>
          <w:szCs w:val="32"/>
        </w:rPr>
        <w:t xml:space="preserve">方：</w:t>
      </w:r>
      <w:r>
        <w:rPr>
          <w:sz w:val="32"/>
          <w:szCs w:val="32"/>
          <w:u w:val="single"/>
        </w:rPr>
        <w:t xml:space="preserve">                             </w:t>
      </w:r>
      <w:r>
        <w:rPr>
          <w:sz w:val="32"/>
          <w:szCs w:val="32"/>
        </w:rPr>
      </w:r>
      <w:r/>
    </w:p>
    <w:p>
      <w:pPr>
        <w:pStyle w:val="1100"/>
        <w:ind w:left="420"/>
        <w:spacing w:line="360" w:lineRule="auto"/>
        <w:rPr>
          <w:sz w:val="32"/>
          <w:szCs w:val="32"/>
          <w:u w:val="single"/>
        </w:rPr>
      </w:pPr>
      <w:r>
        <w:rPr>
          <w:rFonts w:hint="eastAsia"/>
          <w:sz w:val="32"/>
          <w:szCs w:val="32"/>
        </w:rPr>
        <w:t xml:space="preserve">乙</w:t>
      </w:r>
      <w:r>
        <w:rPr>
          <w:sz w:val="32"/>
          <w:szCs w:val="32"/>
        </w:rPr>
        <w:t xml:space="preserve">    </w:t>
      </w:r>
      <w:r>
        <w:rPr>
          <w:rFonts w:hint="eastAsia"/>
          <w:sz w:val="32"/>
          <w:szCs w:val="32"/>
        </w:rPr>
        <w:t xml:space="preserve">方：</w:t>
      </w:r>
      <w:r>
        <w:rPr>
          <w:sz w:val="32"/>
          <w:szCs w:val="32"/>
          <w:u w:val="single"/>
        </w:rPr>
        <w:t xml:space="preserve">                             </w:t>
      </w:r>
      <w:r/>
    </w:p>
    <w:p>
      <w:pPr>
        <w:pStyle w:val="1100"/>
        <w:ind w:left="420"/>
        <w:spacing w:line="360" w:lineRule="auto"/>
        <w:rPr>
          <w:sz w:val="32"/>
          <w:szCs w:val="32"/>
        </w:rPr>
      </w:pPr>
      <w:r>
        <w:rPr>
          <w:rFonts w:hint="eastAsia"/>
          <w:sz w:val="32"/>
          <w:szCs w:val="32"/>
        </w:rPr>
        <w:t xml:space="preserve">签订时间：</w:t>
      </w:r>
      <w:r>
        <w:rPr>
          <w:sz w:val="32"/>
          <w:szCs w:val="32"/>
          <w:u w:val="single"/>
        </w:rPr>
        <w:t xml:space="preserve">                             </w:t>
      </w:r>
      <w:r>
        <w:rPr>
          <w:sz w:val="32"/>
          <w:szCs w:val="32"/>
        </w:rPr>
      </w:r>
      <w:r/>
    </w:p>
    <w:p>
      <w:pPr>
        <w:pStyle w:val="1100"/>
      </w:pPr>
      <w:r/>
      <w:r/>
    </w:p>
    <w:p>
      <w:pPr>
        <w:pStyle w:val="1100"/>
        <w:rPr>
          <w:rFonts w:eastAsia="黑体"/>
          <w:sz w:val="44"/>
          <w:szCs w:val="44"/>
        </w:rPr>
      </w:pPr>
      <w:r>
        <w:rPr>
          <w:rFonts w:eastAsia="黑体"/>
          <w:sz w:val="44"/>
          <w:szCs w:val="44"/>
        </w:rPr>
        <w:br w:type="page" w:clear="all"/>
      </w:r>
      <w:r/>
    </w:p>
    <w:p>
      <w:pPr>
        <w:pStyle w:val="1100"/>
        <w:jc w:val="center"/>
        <w:rPr>
          <w:rFonts w:eastAsia="黑体"/>
          <w:sz w:val="44"/>
          <w:szCs w:val="44"/>
        </w:rPr>
      </w:pPr>
      <w:r>
        <w:rPr>
          <w:rFonts w:hint="eastAsia" w:eastAsia="黑体"/>
          <w:sz w:val="44"/>
          <w:szCs w:val="44"/>
        </w:rPr>
        <w:t xml:space="preserve">使</w:t>
      </w:r>
      <w:r>
        <w:rPr>
          <w:rFonts w:eastAsia="黑体"/>
          <w:sz w:val="44"/>
          <w:szCs w:val="44"/>
        </w:rPr>
        <w:t xml:space="preserve"> </w:t>
      </w:r>
      <w:r>
        <w:rPr>
          <w:rFonts w:hint="eastAsia" w:eastAsia="黑体"/>
          <w:sz w:val="44"/>
          <w:szCs w:val="44"/>
        </w:rPr>
        <w:t xml:space="preserve">用</w:t>
      </w:r>
      <w:r>
        <w:rPr>
          <w:rFonts w:eastAsia="黑体"/>
          <w:sz w:val="44"/>
          <w:szCs w:val="44"/>
        </w:rPr>
        <w:t xml:space="preserve"> </w:t>
      </w:r>
      <w:r>
        <w:rPr>
          <w:rFonts w:hint="eastAsia" w:eastAsia="黑体"/>
          <w:sz w:val="44"/>
          <w:szCs w:val="44"/>
        </w:rPr>
        <w:t xml:space="preserve">说</w:t>
      </w:r>
      <w:r>
        <w:rPr>
          <w:rFonts w:eastAsia="黑体"/>
          <w:sz w:val="44"/>
          <w:szCs w:val="44"/>
        </w:rPr>
        <w:t xml:space="preserve"> </w:t>
      </w:r>
      <w:r>
        <w:rPr>
          <w:rFonts w:hint="eastAsia" w:eastAsia="黑体"/>
          <w:sz w:val="44"/>
          <w:szCs w:val="44"/>
        </w:rPr>
        <w:t xml:space="preserve">明</w:t>
      </w:r>
      <w:r>
        <w:rPr>
          <w:rFonts w:eastAsia="黑体"/>
          <w:sz w:val="44"/>
          <w:szCs w:val="44"/>
        </w:rPr>
      </w:r>
      <w:r/>
    </w:p>
    <w:p>
      <w:pPr>
        <w:pStyle w:val="1100"/>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110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pStyle w:val="1100"/>
        <w:rPr>
          <w:rFonts w:hint="eastAsia" w:eastAsia="黑体"/>
          <w:sz w:val="44"/>
          <w:szCs w:val="44"/>
        </w:rPr>
      </w:pPr>
      <w:r>
        <w:rPr>
          <w:rFonts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hint="eastAsia" w:eastAsia="黑体"/>
          <w:sz w:val="44"/>
          <w:szCs w:val="44"/>
        </w:rPr>
      </w:r>
      <w:r/>
    </w:p>
    <w:p>
      <w:pPr>
        <w:pStyle w:val="1100"/>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1100"/>
        <w:jc w:val="left"/>
        <w:widowControl/>
        <w:rPr>
          <w:rFonts w:eastAsia="黑体"/>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pPr>
        <w:pStyle w:val="1100"/>
        <w:rPr>
          <w:rFonts w:hint="eastAsia"/>
        </w:rPr>
      </w:pPr>
      <w:r/>
      <w:bookmarkEnd w:id="816"/>
      <w:r/>
      <w:bookmarkStart w:id="817" w:name="_Toc22209"/>
      <w:r>
        <w:rPr>
          <w:rFonts w:hint="eastAsia"/>
        </w:rPr>
      </w:r>
      <w:r/>
    </w:p>
    <w:p>
      <w:pPr>
        <w:pStyle w:val="1102"/>
        <w:spacing w:line="400" w:lineRule="exact"/>
        <w:rPr>
          <w:rFonts w:hint="eastAsia" w:ascii="黑体" w:hAnsi="华文中宋"/>
          <w:b w:val="0"/>
          <w:sz w:val="28"/>
          <w:szCs w:val="28"/>
        </w:rPr>
      </w:pPr>
      <w:r>
        <w:rPr>
          <w:rFonts w:hint="eastAsia" w:ascii="黑体" w:hAnsi="黑体"/>
          <w:b w:val="0"/>
          <w:bCs/>
          <w:sz w:val="28"/>
          <w:szCs w:val="28"/>
        </w:rPr>
        <w:t xml:space="preserve">第一节 </w:t>
      </w:r>
      <w:r>
        <w:rPr>
          <w:rFonts w:hint="eastAsia" w:ascii="黑体" w:hAnsi="华文中宋"/>
          <w:b w:val="0"/>
          <w:bCs/>
          <w:sz w:val="28"/>
          <w:szCs w:val="28"/>
        </w:rPr>
        <w:t xml:space="preserve">政府采购合同协议书</w:t>
      </w:r>
      <w:bookmarkEnd w:id="817"/>
      <w:r>
        <w:rPr>
          <w:rFonts w:hint="eastAsia" w:ascii="黑体" w:hAnsi="华文中宋"/>
          <w:b w:val="0"/>
          <w:sz w:val="28"/>
          <w:szCs w:val="28"/>
        </w:rPr>
      </w:r>
      <w:r/>
    </w:p>
    <w:p>
      <w:pPr>
        <w:pStyle w:val="1100"/>
        <w:rPr>
          <w:rFonts w:hint="eastAsia"/>
        </w:rPr>
      </w:pPr>
      <w:r>
        <w:rPr>
          <w:rFonts w:hint="eastAsia"/>
        </w:rPr>
      </w:r>
      <w:r/>
    </w:p>
    <w:p>
      <w:pPr>
        <w:pStyle w:val="1100"/>
        <w:spacing w:line="400" w:lineRule="exact"/>
        <w:rPr>
          <w:rFonts w:hint="eastAsia" w:ascii="宋体" w:hAnsi="宋体"/>
          <w:szCs w:val="21"/>
        </w:rPr>
      </w:pPr>
      <w:r>
        <w:rPr>
          <w:rFonts w:hint="eastAsia" w:ascii="宋体" w:hAnsi="宋体"/>
          <w:szCs w:val="21"/>
        </w:rPr>
      </w:r>
      <w:r/>
    </w:p>
    <w:p>
      <w:pPr>
        <w:pStyle w:val="1100"/>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w:t>
        <w:tab/>
        <w:t xml:space="preserve">                                   文件约定的合同甲方）</w:t>
      </w:r>
      <w:r/>
    </w:p>
    <w:p>
      <w:pPr>
        <w:pStyle w:val="1100"/>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pStyle w:val="1100"/>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pStyle w:val="1100"/>
        <w:spacing w:line="400" w:lineRule="exact"/>
        <w:rPr>
          <w:rFonts w:hint="eastAsia" w:ascii="宋体" w:hAnsi="宋体"/>
          <w:szCs w:val="21"/>
        </w:rPr>
      </w:pPr>
      <w:r>
        <w:rPr>
          <w:rFonts w:hint="eastAsia" w:ascii="宋体" w:hAnsi="宋体"/>
          <w:szCs w:val="21"/>
        </w:rPr>
        <w:t xml:space="preserve">乙方3（全称）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pStyle w:val="1100"/>
        <w:spacing w:line="400" w:lineRule="exact"/>
        <w:rPr>
          <w:rFonts w:hint="eastAsia" w:ascii="宋体" w:hAnsi="宋体"/>
          <w:szCs w:val="21"/>
        </w:rPr>
      </w:pPr>
      <w:r>
        <w:rPr>
          <w:rFonts w:hint="eastAsia" w:ascii="宋体" w:hAnsi="宋体"/>
          <w:szCs w:val="21"/>
        </w:rPr>
      </w:r>
      <w:r/>
    </w:p>
    <w:p>
      <w:pPr>
        <w:pStyle w:val="1134"/>
        <w:ind w:firstLine="420"/>
        <w:spacing w:line="400" w:lineRule="exact"/>
        <w:rPr>
          <w:rFonts w:ascii="宋体" w:hAnsi="宋体"/>
          <w:sz w:val="21"/>
          <w:szCs w:val="21"/>
        </w:rPr>
      </w:pPr>
      <w:r>
        <w:rPr>
          <w:rFonts w:hint="eastAsia" w:ascii="宋体" w:hAnsi="宋体"/>
          <w:sz w:val="21"/>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rPr>
          <w:rFonts w:ascii="宋体" w:hAnsi="宋体"/>
          <w:sz w:val="21"/>
          <w:szCs w:val="21"/>
        </w:rPr>
      </w:r>
      <w:r/>
    </w:p>
    <w:p>
      <w:pPr>
        <w:pStyle w:val="1100"/>
        <w:numPr>
          <w:ilvl w:val="0"/>
          <w:numId w:val="17"/>
        </w:numPr>
        <w:ind w:firstLine="422"/>
        <w:spacing w:line="400" w:lineRule="exact"/>
        <w:rPr>
          <w:rFonts w:hint="eastAsia" w:ascii="宋体" w:hAnsi="宋体"/>
          <w:b/>
          <w:szCs w:val="21"/>
        </w:rPr>
      </w:pPr>
      <w:r>
        <w:rPr>
          <w:rFonts w:hint="eastAsia" w:ascii="宋体" w:hAnsi="宋体"/>
          <w:b/>
          <w:szCs w:val="21"/>
        </w:rPr>
        <w:t xml:space="preserve">项目信息</w:t>
      </w:r>
      <w:r/>
    </w:p>
    <w:p>
      <w:pPr>
        <w:pStyle w:val="1134"/>
        <w:numPr>
          <w:ilvl w:val="0"/>
          <w:numId w:val="18"/>
        </w:numPr>
        <w:ind w:firstLine="420"/>
        <w:spacing w:line="400" w:lineRule="exact"/>
        <w:rPr>
          <w:rFonts w:hint="eastAsia" w:ascii="宋体" w:hAnsi="宋体"/>
          <w:sz w:val="21"/>
          <w:szCs w:val="21"/>
          <w:u w:val="single"/>
        </w:rPr>
      </w:pPr>
      <w:r>
        <w:rPr>
          <w:rFonts w:hint="eastAsia" w:ascii="宋体" w:hAnsi="宋体"/>
          <w:sz w:val="21"/>
          <w:szCs w:val="21"/>
        </w:rPr>
        <w:t xml:space="preserve">采购项目名称：</w:t>
      </w:r>
      <w:r>
        <w:rPr>
          <w:rFonts w:hint="eastAsia" w:ascii="宋体" w:hAnsi="宋体"/>
          <w:sz w:val="21"/>
          <w:szCs w:val="21"/>
          <w:u w:val="single"/>
        </w:rPr>
        <w:t xml:space="preserve">                                          </w:t>
      </w:r>
      <w:r/>
    </w:p>
    <w:p>
      <w:pPr>
        <w:pStyle w:val="1134"/>
        <w:spacing w:line="400" w:lineRule="exact"/>
        <w:tabs>
          <w:tab w:val="left" w:pos="999" w:leader="none"/>
        </w:tabs>
        <w:rPr>
          <w:rFonts w:hint="eastAsia" w:ascii="宋体" w:hAnsi="宋体"/>
          <w:sz w:val="21"/>
          <w:szCs w:val="21"/>
        </w:rPr>
      </w:pPr>
      <w:r>
        <w:rPr>
          <w:rFonts w:hint="eastAsia" w:ascii="宋体" w:hAnsi="宋体"/>
          <w:sz w:val="21"/>
          <w:szCs w:val="21"/>
        </w:rPr>
        <w:t xml:space="preserve">    采购项目编号：</w:t>
      </w:r>
      <w:r>
        <w:rPr>
          <w:rFonts w:hint="eastAsia" w:ascii="宋体" w:hAnsi="宋体"/>
          <w:sz w:val="21"/>
          <w:szCs w:val="21"/>
          <w:u w:val="single"/>
        </w:rPr>
        <w:t xml:space="preserve">                                          </w:t>
      </w:r>
      <w:r>
        <w:rPr>
          <w:rFonts w:hint="eastAsia" w:ascii="宋体" w:hAnsi="宋体"/>
          <w:sz w:val="21"/>
          <w:szCs w:val="21"/>
        </w:rPr>
      </w:r>
      <w:r/>
    </w:p>
    <w:p>
      <w:pPr>
        <w:pStyle w:val="1134"/>
        <w:ind w:firstLine="420"/>
        <w:spacing w:line="400" w:lineRule="exact"/>
        <w:rPr>
          <w:rFonts w:hint="eastAsia" w:ascii="宋体" w:hAnsi="宋体"/>
          <w:sz w:val="21"/>
          <w:szCs w:val="21"/>
        </w:rPr>
      </w:pPr>
      <w:r>
        <w:rPr>
          <w:rFonts w:hint="eastAsia" w:ascii="宋体" w:hAnsi="宋体"/>
          <w:sz w:val="21"/>
          <w:szCs w:val="21"/>
        </w:rPr>
        <w:t xml:space="preserve">（2）采购计划编号：</w:t>
      </w:r>
      <w:r>
        <w:rPr>
          <w:rFonts w:hint="eastAsia" w:ascii="宋体" w:hAnsi="宋体"/>
          <w:sz w:val="21"/>
          <w:szCs w:val="21"/>
          <w:u w:val="single"/>
        </w:rPr>
        <w:t xml:space="preserve">                                          </w:t>
      </w:r>
      <w:r>
        <w:rPr>
          <w:rFonts w:hint="eastAsia" w:ascii="宋体" w:hAnsi="宋体"/>
          <w:sz w:val="21"/>
          <w:szCs w:val="21"/>
        </w:rPr>
        <w:t xml:space="preserve"> </w:t>
      </w:r>
      <w:r/>
    </w:p>
    <w:p>
      <w:pPr>
        <w:pStyle w:val="1100"/>
        <w:ind w:firstLine="420"/>
        <w:spacing w:line="400" w:lineRule="exact"/>
        <w:rPr>
          <w:rFonts w:hint="eastAsia" w:ascii="宋体" w:hAnsi="宋体"/>
          <w:szCs w:val="21"/>
        </w:rPr>
      </w:pPr>
      <w:r>
        <w:rPr>
          <w:rFonts w:hint="eastAsia" w:ascii="宋体" w:hAnsi="宋体"/>
          <w:szCs w:val="21"/>
        </w:rPr>
        <w:t xml:space="preserve">（3）项目内容：</w:t>
      </w:r>
      <w:r/>
    </w:p>
    <w:p>
      <w:pPr>
        <w:pStyle w:val="1100"/>
        <w:ind w:firstLine="420"/>
        <w:spacing w:line="400" w:lineRule="exact"/>
        <w:rPr>
          <w:rFonts w:hint="eastAsia" w:ascii="宋体" w:hAnsi="宋体"/>
          <w:szCs w:val="21"/>
        </w:rPr>
      </w:pPr>
      <w:r>
        <w:rPr>
          <w:rFonts w:hint="eastAsia" w:ascii="宋体" w:hAnsi="宋体"/>
          <w:szCs w:val="21"/>
        </w:rPr>
        <w:t xml:space="preserve">     采购标的及数量（台/套</w:t>
      </w:r>
      <w:r>
        <w:rPr>
          <w:rFonts w:hint="eastAsia" w:ascii="宋体" w:hAnsi="宋体"/>
          <w:szCs w:val="21"/>
          <w:lang w:val="en"/>
        </w:rPr>
        <w:t xml:space="preserve">/个/架/组等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pStyle w:val="1100"/>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lang w:val="en"/>
        </w:rPr>
      </w:r>
      <w:r/>
    </w:p>
    <w:p>
      <w:pPr>
        <w:pStyle w:val="1100"/>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rPr>
          <w:rFonts w:hint="eastAsia" w:ascii="宋体" w:hAnsi="宋体"/>
          <w:szCs w:val="21"/>
          <w:u w:val="single"/>
        </w:rPr>
      </w:r>
      <w:r/>
    </w:p>
    <w:p>
      <w:pPr>
        <w:pStyle w:val="1100"/>
        <w:ind w:firstLine="945"/>
        <w:spacing w:line="400" w:lineRule="exact"/>
        <w:rPr>
          <w:rFonts w:hint="eastAsia" w:ascii="宋体" w:hAnsi="宋体" w:cs="宋体"/>
          <w:szCs w:val="21"/>
        </w:rPr>
      </w:pPr>
      <w:r>
        <w:rPr>
          <w:rFonts w:hint="eastAsia" w:ascii="宋体" w:hAnsi="宋体" w:cs="宋体"/>
          <w:szCs w:val="21"/>
        </w:rPr>
        <w:t xml:space="preserve">①涉及信息类产品，请填写该产品关键部件的品牌、型号：</w:t>
      </w:r>
      <w:r/>
    </w:p>
    <w:p>
      <w:pPr>
        <w:pStyle w:val="1100"/>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pStyle w:val="1100"/>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354"/>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354"/>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r>
      <w:r/>
    </w:p>
    <w:p>
      <w:pPr>
        <w:pStyle w:val="1354"/>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354"/>
        <w:ind w:firstLine="0"/>
        <w:rPr>
          <w:rFonts w:hint="eastAsia" w:ascii="宋体" w:hAnsi="宋体" w:eastAsia="宋体" w:cs="宋体"/>
          <w:sz w:val="21"/>
        </w:rPr>
      </w:pPr>
      <w:r>
        <w:rPr>
          <w:rFonts w:hint="eastAsia" w:ascii="宋体" w:hAnsi="宋体" w:eastAsia="宋体" w:cs="宋体"/>
          <w:sz w:val="21"/>
        </w:rPr>
        <w:t xml:space="preserve">         ②涉及车辆采购，请填写是否属于新能源汽车：</w:t>
      </w:r>
      <w:r/>
    </w:p>
    <w:p>
      <w:pPr>
        <w:pStyle w:val="1354"/>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354"/>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354"/>
        <w:ind w:firstLine="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■分散采购</w:t>
      </w:r>
      <w:r/>
    </w:p>
    <w:p>
      <w:pPr>
        <w:pStyle w:val="1354"/>
        <w:ind w:firstLine="420"/>
        <w:rPr>
          <w:rFonts w:hint="eastAsia"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
        </w:rPr>
        <w:t xml:space="preserve">5</w:t>
      </w:r>
      <w:r>
        <w:rPr>
          <w:rFonts w:hint="eastAsia" w:ascii="宋体" w:hAnsi="宋体" w:eastAsia="宋体" w:cs="宋体"/>
          <w:sz w:val="21"/>
        </w:rPr>
        <w:t xml:space="preserve">）政府采购方式：■公开招标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354"/>
        <w:ind w:firstLine="420"/>
        <w:rPr>
          <w:rFonts w:hint="eastAsia" w:ascii="宋体" w:hAnsi="宋体" w:eastAsia="宋体" w:cs="宋体"/>
          <w:sz w:val="21"/>
          <w:u w:val="single"/>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354"/>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354"/>
        <w:ind w:firstLine="210"/>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sz w:val="21"/>
          <w:lang w:val="en"/>
        </w:rPr>
        <w:t xml:space="preserve">6</w:t>
      </w:r>
      <w:r>
        <w:rPr>
          <w:rFonts w:hint="eastAsia" w:ascii="宋体" w:hAnsi="宋体" w:eastAsia="宋体"/>
          <w:sz w:val="21"/>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pStyle w:val="1100"/>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1100"/>
        <w:spacing w:line="400" w:lineRule="exact"/>
        <w:rPr>
          <w:rFonts w:hint="eastAsia" w:ascii="宋体" w:hAnsi="宋体"/>
          <w:iCs/>
          <w:szCs w:val="21"/>
        </w:rPr>
      </w:pPr>
      <w:r>
        <w:rPr>
          <w:rFonts w:ascii="宋体" w:hAnsi="宋体"/>
          <w:szCs w:val="21"/>
        </w:rPr>
        <w:t xml:space="preserve">         </w:t>
      </w:r>
      <w:r>
        <w:rPr>
          <w:rFonts w:hint="eastAsia" w:ascii="宋体" w:hAnsi="宋体"/>
          <w:szCs w:val="21"/>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1100"/>
        <w:spacing w:line="400" w:lineRule="exact"/>
        <w:rPr>
          <w:rFonts w:hint="eastAsia" w:ascii="宋体" w:hAnsi="宋体"/>
          <w:iCs/>
          <w:szCs w:val="21"/>
        </w:rPr>
      </w:pPr>
      <w:r>
        <w:rPr>
          <w:rFonts w:ascii="宋体" w:hAnsi="宋体"/>
          <w:szCs w:val="21"/>
        </w:rPr>
        <w:t xml:space="preserve">         </w:t>
      </w:r>
      <w:r>
        <w:rPr>
          <w:rFonts w:hint="eastAsia" w:ascii="宋体" w:hAnsi="宋体"/>
          <w:szCs w:val="21"/>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1100"/>
        <w:spacing w:line="400" w:lineRule="exact"/>
        <w:rPr>
          <w:rFonts w:hint="eastAsia" w:ascii="宋体" w:hAnsi="宋体"/>
          <w:szCs w:val="21"/>
        </w:rPr>
      </w:pPr>
      <w:r>
        <w:rPr>
          <w:rFonts w:ascii="宋体" w:hAnsi="宋体"/>
          <w:szCs w:val="21"/>
        </w:rPr>
        <w:t xml:space="preserve">         </w:t>
      </w:r>
      <w:r>
        <w:rPr>
          <w:rFonts w:hint="eastAsia" w:ascii="宋体" w:hAnsi="宋体"/>
          <w:szCs w:val="21"/>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szCs w:val="21"/>
        </w:rPr>
      </w:r>
      <w:r/>
    </w:p>
    <w:p>
      <w:pPr>
        <w:pStyle w:val="1100"/>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1100"/>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pStyle w:val="1100"/>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pStyle w:val="1100"/>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pStyle w:val="1100"/>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pStyle w:val="1100"/>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pStyle w:val="1100"/>
        <w:ind w:firstLine="84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rPr>
      </w:r>
      <w:r/>
    </w:p>
    <w:p>
      <w:pPr>
        <w:pStyle w:val="1100"/>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354"/>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hint="eastAsia" w:ascii="宋体" w:hAnsi="宋体" w:eastAsia="宋体" w:cs="宋体"/>
          <w:sz w:val="21"/>
          <w:u w:val="single"/>
        </w:rPr>
      </w:r>
      <w:r/>
    </w:p>
    <w:p>
      <w:pPr>
        <w:pStyle w:val="1100"/>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pStyle w:val="1100"/>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pStyle w:val="1100"/>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pStyle w:val="1100"/>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100"/>
        <w:spacing w:line="400" w:lineRule="exact"/>
        <w:tabs>
          <w:tab w:val="left" w:pos="740" w:leader="none"/>
        </w:tabs>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0</w:t>
      </w:r>
      <w:r>
        <w:rPr>
          <w:rFonts w:hint="eastAsia" w:ascii="宋体" w:hAnsi="宋体"/>
          <w:szCs w:val="21"/>
        </w:rPr>
        <w:t xml:space="preserve">）是否涉及节能产品：</w:t>
      </w:r>
      <w:r/>
    </w:p>
    <w:p>
      <w:pPr>
        <w:pStyle w:val="1100"/>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pStyle w:val="1100"/>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100"/>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100"/>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pStyle w:val="1100"/>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hint="eastAsia" w:ascii="宋体" w:hAnsi="宋体"/>
          <w:szCs w:val="21"/>
        </w:rPr>
      </w:r>
      <w:r/>
    </w:p>
    <w:p>
      <w:pPr>
        <w:pStyle w:val="1100"/>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100"/>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354"/>
        <w:ind w:firstLine="0"/>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1354"/>
        <w:ind w:firstLine="420"/>
        <w:rPr>
          <w:rFonts w:hint="eastAsia" w:ascii="宋体" w:hAnsi="宋体" w:eastAsia="宋体"/>
          <w:sz w:val="21"/>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sz w:val="21"/>
          <w:u w:val="single"/>
        </w:rPr>
        <w:t xml:space="preserve">         </w:t>
      </w:r>
      <w:r/>
    </w:p>
    <w:p>
      <w:pPr>
        <w:pStyle w:val="1100"/>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354"/>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hint="eastAsia" w:ascii="宋体" w:hAnsi="宋体" w:eastAsia="宋体"/>
          <w:sz w:val="21"/>
        </w:rPr>
      </w:r>
      <w:r/>
    </w:p>
    <w:p>
      <w:pPr>
        <w:pStyle w:val="1100"/>
        <w:spacing w:line="400" w:lineRule="exact"/>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pStyle w:val="1100"/>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pStyle w:val="1100"/>
        <w:numPr>
          <w:ilvl w:val="0"/>
          <w:numId w:val="17"/>
        </w:numPr>
        <w:ind w:firstLine="422"/>
        <w:spacing w:line="400" w:lineRule="exact"/>
        <w:rPr>
          <w:rFonts w:hint="eastAsia" w:ascii="宋体" w:hAnsi="宋体"/>
          <w:b/>
          <w:szCs w:val="21"/>
        </w:rPr>
      </w:pPr>
      <w:r>
        <w:rPr>
          <w:rFonts w:hint="eastAsia" w:ascii="宋体" w:hAnsi="宋体"/>
          <w:b/>
          <w:szCs w:val="21"/>
        </w:rPr>
        <w:t xml:space="preserve">合同金额</w:t>
      </w:r>
      <w:r/>
    </w:p>
    <w:p>
      <w:pPr>
        <w:pStyle w:val="1100"/>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rPr>
      </w:r>
      <w:r/>
    </w:p>
    <w:p>
      <w:pPr>
        <w:pStyle w:val="1100"/>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pStyle w:val="1100"/>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hint="eastAsia" w:ascii="宋体" w:hAnsi="宋体"/>
          <w:szCs w:val="21"/>
        </w:rPr>
      </w:r>
      <w:r/>
    </w:p>
    <w:p>
      <w:pPr>
        <w:pStyle w:val="1100"/>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pStyle w:val="1100"/>
        <w:spacing w:line="400" w:lineRule="exact"/>
        <w:rPr>
          <w:rFonts w:hint="eastAsia" w:ascii="宋体" w:hAnsi="宋体"/>
          <w:szCs w:val="21"/>
        </w:rPr>
      </w:pPr>
      <w:r>
        <w:rPr>
          <w:rFonts w:hint="eastAsia" w:ascii="宋体" w:hAnsi="宋体"/>
          <w:szCs w:val="21"/>
        </w:rPr>
        <w:t xml:space="preserve">    （注：固定单价合同应填写单价和最高限价）</w:t>
      </w:r>
      <w:r/>
    </w:p>
    <w:p>
      <w:pPr>
        <w:pStyle w:val="1100"/>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pStyle w:val="1100"/>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hint="eastAsia" w:ascii="宋体" w:hAnsi="宋体"/>
          <w:szCs w:val="21"/>
        </w:rPr>
      </w:r>
      <w:r/>
    </w:p>
    <w:p>
      <w:pPr>
        <w:pStyle w:val="1280"/>
        <w:spacing w:line="400" w:lineRule="exact"/>
        <w:rPr>
          <w:rFonts w:hint="eastAsia" w:ascii="宋体" w:hAnsi="宋体"/>
          <w:szCs w:val="21"/>
        </w:rPr>
      </w:pPr>
      <w:r>
        <w:rPr>
          <w:rFonts w:hint="eastAsia" w:ascii="宋体" w:hAnsi="宋体"/>
          <w:szCs w:val="21"/>
        </w:rPr>
        <w:t xml:space="preserve">（3）付款方式（按项目实际勾选填写）：</w:t>
      </w:r>
      <w:r/>
    </w:p>
    <w:p>
      <w:pPr>
        <w:pStyle w:val="1100"/>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1100"/>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hint="eastAsia" w:ascii="宋体" w:hAnsi="宋体"/>
          <w:szCs w:val="21"/>
        </w:rPr>
      </w:r>
      <w:r/>
    </w:p>
    <w:p>
      <w:pPr>
        <w:pStyle w:val="1100"/>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1100"/>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hint="eastAsia" w:ascii="宋体" w:hAnsi="宋体"/>
          <w:szCs w:val="21"/>
        </w:rPr>
      </w:r>
      <w:r/>
    </w:p>
    <w:p>
      <w:pPr>
        <w:pStyle w:val="1100"/>
        <w:numPr>
          <w:ilvl w:val="0"/>
          <w:numId w:val="17"/>
        </w:numPr>
        <w:ind w:firstLine="422"/>
        <w:spacing w:line="400" w:lineRule="exact"/>
        <w:rPr>
          <w:rFonts w:hint="eastAsia" w:ascii="宋体" w:hAnsi="宋体"/>
          <w:b/>
          <w:szCs w:val="21"/>
          <w:u w:val="single"/>
        </w:rPr>
      </w:pPr>
      <w:r>
        <w:rPr>
          <w:rFonts w:hint="eastAsia" w:ascii="宋体" w:hAnsi="宋体"/>
          <w:b/>
          <w:szCs w:val="21"/>
        </w:rPr>
        <w:t xml:space="preserve">合同履行</w:t>
      </w:r>
      <w:r>
        <w:rPr>
          <w:rFonts w:hint="eastAsia" w:ascii="宋体" w:hAnsi="宋体"/>
          <w:b/>
          <w:szCs w:val="21"/>
          <w:u w:val="single"/>
        </w:rPr>
      </w:r>
      <w:r/>
    </w:p>
    <w:p>
      <w:pPr>
        <w:pStyle w:val="1100"/>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1100"/>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pStyle w:val="1100"/>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szCs w:val="21"/>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354"/>
        <w:ind w:firstLine="420"/>
        <w:rPr>
          <w:rFonts w:hint="eastAsia" w:ascii="宋体" w:hAnsi="宋体" w:eastAsia="宋体" w:cs="宋体"/>
          <w:sz w:val="21"/>
        </w:rPr>
      </w:pPr>
      <w:r>
        <w:rPr>
          <w:rFonts w:hint="eastAsia" w:ascii="宋体" w:hAnsi="宋体" w:eastAsia="宋体" w:cs="宋体"/>
          <w:bCs/>
          <w:sz w:val="21"/>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rPr>
          <w:rFonts w:hint="eastAsia" w:ascii="宋体" w:hAnsi="宋体" w:eastAsia="宋体" w:cs="宋体"/>
          <w:sz w:val="21"/>
        </w:rPr>
      </w:r>
      <w:r/>
    </w:p>
    <w:p>
      <w:pPr>
        <w:pStyle w:val="1354"/>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hint="eastAsia" w:ascii="宋体" w:hAnsi="宋体" w:eastAsia="宋体" w:cs="宋体"/>
          <w:sz w:val="21"/>
        </w:rPr>
      </w:r>
      <w:r/>
    </w:p>
    <w:p>
      <w:pPr>
        <w:pStyle w:val="1100"/>
        <w:ind w:firstLine="420"/>
        <w:spacing w:line="400" w:lineRule="exact"/>
        <w:rPr>
          <w:rFonts w:hint="eastAsia" w:ascii="宋体" w:hAnsi="宋体" w:cs="宋体"/>
          <w:szCs w:val="21"/>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hint="eastAsia" w:ascii="宋体" w:hAnsi="宋体" w:cs="宋体"/>
          <w:szCs w:val="21"/>
        </w:rPr>
      </w:r>
      <w:r/>
    </w:p>
    <w:p>
      <w:pPr>
        <w:pStyle w:val="1100"/>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rPr>
      </w:r>
      <w:r/>
    </w:p>
    <w:p>
      <w:pPr>
        <w:pStyle w:val="1100"/>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pStyle w:val="1100"/>
        <w:numPr>
          <w:ilvl w:val="0"/>
          <w:numId w:val="17"/>
        </w:numPr>
        <w:ind w:firstLine="422"/>
        <w:spacing w:line="400" w:lineRule="exact"/>
        <w:rPr>
          <w:rFonts w:hint="eastAsia" w:ascii="宋体" w:hAnsi="宋体"/>
          <w:b/>
          <w:szCs w:val="21"/>
        </w:rPr>
      </w:pPr>
      <w:r>
        <w:rPr>
          <w:rFonts w:hint="eastAsia" w:ascii="宋体" w:hAnsi="宋体"/>
          <w:b/>
          <w:szCs w:val="21"/>
        </w:rPr>
        <w:t xml:space="preserve">合同验收</w:t>
      </w:r>
      <w:r/>
    </w:p>
    <w:p>
      <w:pPr>
        <w:pStyle w:val="1100"/>
        <w:numPr>
          <w:ilvl w:val="0"/>
          <w:numId w:val="19"/>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pStyle w:val="1100"/>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hint="eastAsia" w:ascii="宋体" w:hAnsi="宋体"/>
          <w:bCs/>
          <w:szCs w:val="21"/>
        </w:rPr>
      </w:r>
      <w:r/>
    </w:p>
    <w:p>
      <w:pPr>
        <w:pStyle w:val="1100"/>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1100"/>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1100"/>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1100"/>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1100"/>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pStyle w:val="1100"/>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pStyle w:val="1100"/>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pStyle w:val="1100"/>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pStyle w:val="1100"/>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pStyle w:val="1100"/>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pStyle w:val="110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hint="eastAsia" w:ascii="宋体" w:hAnsi="宋体"/>
          <w:bCs/>
          <w:szCs w:val="21"/>
        </w:rPr>
      </w:r>
      <w:r/>
    </w:p>
    <w:p>
      <w:pPr>
        <w:pStyle w:val="1100"/>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hint="eastAsia" w:ascii="宋体" w:hAnsi="宋体"/>
          <w:bCs/>
          <w:szCs w:val="21"/>
        </w:rPr>
      </w:r>
      <w:r/>
    </w:p>
    <w:p>
      <w:pPr>
        <w:pStyle w:val="1100"/>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pStyle w:val="1100"/>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354"/>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hint="eastAsia" w:ascii="宋体" w:hAnsi="宋体" w:eastAsia="宋体" w:cs="宋体"/>
          <w:sz w:val="21"/>
        </w:rPr>
      </w:r>
      <w:r/>
    </w:p>
    <w:p>
      <w:pPr>
        <w:pStyle w:val="1100"/>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pStyle w:val="1100"/>
        <w:numPr>
          <w:ilvl w:val="0"/>
          <w:numId w:val="17"/>
        </w:numPr>
        <w:ind w:firstLine="422"/>
        <w:spacing w:line="400" w:lineRule="exact"/>
        <w:rPr>
          <w:rFonts w:hint="eastAsia" w:ascii="宋体" w:hAnsi="宋体"/>
          <w:b/>
          <w:szCs w:val="21"/>
        </w:rPr>
      </w:pPr>
      <w:r>
        <w:rPr>
          <w:rFonts w:hint="eastAsia" w:ascii="宋体" w:hAnsi="宋体"/>
          <w:b/>
          <w:szCs w:val="21"/>
        </w:rPr>
        <w:t xml:space="preserve">组成合同的文件</w:t>
      </w:r>
      <w:r/>
    </w:p>
    <w:p>
      <w:pPr>
        <w:pStyle w:val="1100"/>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pStyle w:val="1100"/>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pStyle w:val="1100"/>
        <w:ind w:firstLine="420"/>
        <w:spacing w:line="400" w:lineRule="exact"/>
        <w:rPr>
          <w:rFonts w:hint="eastAsia" w:ascii="宋体" w:hAnsi="宋体"/>
          <w:szCs w:val="21"/>
        </w:rPr>
      </w:pPr>
      <w:r>
        <w:rPr>
          <w:rFonts w:hint="eastAsia" w:ascii="宋体" w:hAnsi="宋体"/>
          <w:szCs w:val="21"/>
        </w:rPr>
        <w:t xml:space="preserve">（2）政府采购合同专用条款</w:t>
      </w:r>
      <w:r/>
    </w:p>
    <w:p>
      <w:pPr>
        <w:pStyle w:val="1100"/>
        <w:ind w:firstLine="420"/>
        <w:spacing w:line="400" w:lineRule="exact"/>
        <w:rPr>
          <w:rFonts w:hint="eastAsia" w:ascii="宋体" w:hAnsi="宋体"/>
          <w:szCs w:val="21"/>
        </w:rPr>
      </w:pPr>
      <w:r>
        <w:rPr>
          <w:rFonts w:hint="eastAsia" w:ascii="宋体" w:hAnsi="宋体"/>
          <w:szCs w:val="21"/>
        </w:rPr>
        <w:t xml:space="preserve">（3）政府采购合同通用条款</w:t>
      </w:r>
      <w:r/>
    </w:p>
    <w:p>
      <w:pPr>
        <w:pStyle w:val="1100"/>
        <w:ind w:firstLine="420"/>
        <w:spacing w:line="400" w:lineRule="exact"/>
        <w:rPr>
          <w:rFonts w:hint="eastAsia" w:ascii="宋体" w:hAnsi="宋体"/>
          <w:szCs w:val="21"/>
        </w:rPr>
      </w:pPr>
      <w:r>
        <w:rPr>
          <w:rFonts w:hint="eastAsia" w:ascii="宋体" w:hAnsi="宋体"/>
          <w:szCs w:val="21"/>
        </w:rPr>
        <w:t xml:space="preserve">（4）中标（成交）通知书</w:t>
      </w:r>
      <w:r/>
    </w:p>
    <w:p>
      <w:pPr>
        <w:pStyle w:val="1100"/>
        <w:ind w:firstLine="420"/>
        <w:spacing w:line="400" w:lineRule="exact"/>
        <w:rPr>
          <w:rFonts w:hint="eastAsia" w:ascii="宋体" w:hAnsi="宋体"/>
          <w:szCs w:val="21"/>
        </w:rPr>
      </w:pPr>
      <w:r>
        <w:rPr>
          <w:rFonts w:hint="eastAsia" w:ascii="宋体" w:hAnsi="宋体"/>
          <w:szCs w:val="21"/>
        </w:rPr>
        <w:t xml:space="preserve">（5）投标文件</w:t>
      </w:r>
      <w:r/>
    </w:p>
    <w:p>
      <w:pPr>
        <w:pStyle w:val="1100"/>
        <w:ind w:firstLine="420"/>
        <w:spacing w:line="400" w:lineRule="exact"/>
        <w:rPr>
          <w:rFonts w:hint="eastAsia" w:ascii="宋体" w:hAnsi="宋体"/>
          <w:szCs w:val="21"/>
        </w:rPr>
      </w:pPr>
      <w:r>
        <w:rPr>
          <w:rFonts w:hint="eastAsia" w:ascii="宋体" w:hAnsi="宋体"/>
          <w:szCs w:val="21"/>
        </w:rPr>
        <w:t xml:space="preserve">（6）采购文件</w:t>
      </w:r>
      <w:r/>
    </w:p>
    <w:p>
      <w:pPr>
        <w:pStyle w:val="1100"/>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354"/>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t xml:space="preserve">国家法律、行政法规和规章制度规定或合同约定的作为合同组成部分的其他文件</w:t>
      </w:r>
      <w:r/>
    </w:p>
    <w:p>
      <w:pPr>
        <w:pStyle w:val="1100"/>
        <w:numPr>
          <w:ilvl w:val="0"/>
          <w:numId w:val="17"/>
        </w:numPr>
        <w:ind w:firstLine="422"/>
        <w:spacing w:line="400" w:lineRule="exact"/>
        <w:rPr>
          <w:rFonts w:hint="eastAsia" w:ascii="宋体" w:hAnsi="宋体"/>
          <w:b/>
          <w:szCs w:val="21"/>
        </w:rPr>
      </w:pPr>
      <w:r>
        <w:rPr>
          <w:rFonts w:hint="eastAsia" w:ascii="宋体" w:hAnsi="宋体"/>
          <w:b/>
          <w:szCs w:val="21"/>
        </w:rPr>
        <w:t xml:space="preserve">合同生效</w:t>
      </w:r>
      <w:r/>
    </w:p>
    <w:p>
      <w:pPr>
        <w:pStyle w:val="1100"/>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合同订立之日起</w:t>
      </w:r>
      <w:r>
        <w:rPr>
          <w:rFonts w:hint="eastAsia" w:ascii="宋体" w:hAnsi="宋体"/>
          <w:szCs w:val="21"/>
        </w:rPr>
        <w:t xml:space="preserve">生效。</w:t>
      </w:r>
      <w:r/>
    </w:p>
    <w:p>
      <w:pPr>
        <w:pStyle w:val="1100"/>
        <w:numPr>
          <w:ilvl w:val="0"/>
          <w:numId w:val="17"/>
        </w:numPr>
        <w:ind w:firstLine="422"/>
        <w:spacing w:line="400" w:lineRule="exact"/>
        <w:rPr>
          <w:rFonts w:hint="eastAsia" w:ascii="宋体" w:hAnsi="宋体"/>
          <w:b/>
          <w:szCs w:val="21"/>
        </w:rPr>
      </w:pPr>
      <w:r>
        <w:rPr>
          <w:rFonts w:hint="eastAsia" w:ascii="宋体" w:hAnsi="宋体"/>
          <w:b/>
          <w:szCs w:val="21"/>
        </w:rPr>
        <w:t xml:space="preserve">合同份数</w:t>
      </w:r>
      <w:r/>
    </w:p>
    <w:p>
      <w:pPr>
        <w:pStyle w:val="1100"/>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肆</w:t>
      </w:r>
      <w:r>
        <w:rPr>
          <w:rFonts w:hint="eastAsia" w:ascii="宋体" w:hAnsi="宋体"/>
          <w:szCs w:val="21"/>
        </w:rPr>
        <w:t xml:space="preserve">份，甲方执</w:t>
      </w:r>
      <w:r>
        <w:rPr>
          <w:rFonts w:hint="eastAsia" w:ascii="宋体" w:hAnsi="宋体"/>
          <w:szCs w:val="21"/>
          <w:u w:val="single"/>
        </w:rPr>
        <w:t xml:space="preserve">贰</w:t>
      </w:r>
      <w:r>
        <w:rPr>
          <w:rFonts w:hint="eastAsia" w:ascii="宋体" w:hAnsi="宋体"/>
          <w:szCs w:val="21"/>
        </w:rPr>
        <w:t xml:space="preserve">份，乙方执</w:t>
      </w:r>
      <w:r>
        <w:rPr>
          <w:rFonts w:hint="eastAsia" w:ascii="宋体" w:hAnsi="宋体"/>
          <w:szCs w:val="21"/>
          <w:u w:val="single"/>
        </w:rPr>
        <w:t xml:space="preserve">贰</w:t>
      </w:r>
      <w:r>
        <w:rPr>
          <w:rFonts w:hint="eastAsia" w:ascii="宋体" w:hAnsi="宋体"/>
          <w:szCs w:val="21"/>
        </w:rPr>
        <w:t xml:space="preserve">份，均具有同等法律效力。</w:t>
      </w:r>
      <w:r/>
    </w:p>
    <w:p>
      <w:pPr>
        <w:pStyle w:val="1100"/>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1100"/>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hint="eastAsia" w:ascii="宋体" w:hAnsi="宋体"/>
          <w:szCs w:val="21"/>
        </w:rPr>
      </w:r>
      <w:r/>
    </w:p>
    <w:p>
      <w:pPr>
        <w:pStyle w:val="1100"/>
        <w:ind w:firstLine="420"/>
        <w:spacing w:line="400" w:lineRule="exact"/>
        <w:rPr>
          <w:rFonts w:hint="eastAsia" w:ascii="宋体" w:hAnsi="宋体"/>
          <w:szCs w:val="21"/>
        </w:rPr>
      </w:pPr>
      <w:r>
        <w:rPr>
          <w:rFonts w:hint="eastAsia" w:ascii="宋体" w:hAnsi="宋体"/>
          <w:szCs w:val="21"/>
        </w:rPr>
        <w:t xml:space="preserve">附件：具体标的及其技术要求和商务要求、联合协议、分包意向协议等。</w:t>
      </w:r>
      <w:r/>
    </w:p>
    <w:p>
      <w:pPr>
        <w:pStyle w:val="1280"/>
        <w:spacing w:line="400" w:lineRule="exact"/>
        <w:rPr>
          <w:rFonts w:ascii="宋体" w:hAnsi="宋体"/>
          <w:szCs w:val="21"/>
        </w:rPr>
      </w:pPr>
      <w:r>
        <w:rPr>
          <w:rFonts w:ascii="宋体" w:hAnsi="宋体"/>
          <w:szCs w:val="21"/>
        </w:rPr>
      </w:r>
      <w:r/>
    </w:p>
    <w:p>
      <w:pPr>
        <w:pStyle w:val="1100"/>
        <w:rPr>
          <w:rFonts w:ascii="宋体" w:hAnsi="宋体"/>
          <w:b/>
          <w:szCs w:val="21"/>
        </w:rPr>
      </w:pPr>
      <w:r>
        <w:rPr>
          <w:rFonts w:ascii="宋体" w:hAnsi="宋体"/>
          <w:szCs w:val="21"/>
          <w:lang w:val="en"/>
        </w:rPr>
        <w:t xml:space="preserve">   </w:t>
      </w:r>
      <w:r>
        <w:rPr>
          <w:rFonts w:ascii="宋体" w:hAnsi="宋体"/>
          <w:b/>
          <w:szCs w:val="21"/>
        </w:rPr>
      </w:r>
      <w:r/>
    </w:p>
    <w:p>
      <w:pPr>
        <w:pStyle w:val="1100"/>
        <w:rPr>
          <w:rFonts w:hint="eastAsia"/>
        </w:rPr>
      </w:pPr>
      <w:r>
        <w:br w:type="page" w:clear="all"/>
      </w:r>
      <w:r>
        <w:rPr>
          <w:rFonts w:hint="eastAsia"/>
        </w:rPr>
      </w:r>
      <w:r/>
    </w:p>
    <w:p>
      <w:pPr>
        <w:pStyle w:val="1280"/>
      </w:p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62"/>
        <w:gridCol w:w="2628"/>
        <w:gridCol w:w="2156"/>
        <w:gridCol w:w="2306"/>
      </w:tblGrid>
      <w:tr>
        <w:trPr>
          <w:trHeight w:val="490"/>
        </w:trPr>
        <w:tc>
          <w:tcPr>
            <w:gridSpan w:val="2"/>
            <w:tcBorders>
              <w:top w:val="single" w:color="000000" w:sz="4" w:space="0"/>
              <w:left w:val="single" w:color="000000" w:sz="4" w:space="0"/>
              <w:bottom w:val="single" w:color="000000" w:sz="2" w:space="0"/>
              <w:right w:val="single" w:color="000000" w:sz="2" w:space="0"/>
            </w:tcBorders>
            <w:tcW w:w="2562" w:type="pct"/>
            <w:vAlign w:val="center"/>
            <w:textDirection w:val="lrTb"/>
            <w:noWrap w:val="false"/>
          </w:tcPr>
          <w:p>
            <w:pPr>
              <w:pStyle w:val="1100"/>
              <w:jc w:val="center"/>
              <w:spacing w:line="300" w:lineRule="exact"/>
            </w:pPr>
            <w:r>
              <w:rPr>
                <w:rFonts w:hint="eastAsia"/>
                <w:szCs w:val="21"/>
              </w:rPr>
              <w:t xml:space="preserve">甲方（采购人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top w:val="single" w:color="000000" w:sz="4" w:space="0"/>
              <w:left w:val="single" w:color="000000" w:sz="2" w:space="0"/>
              <w:bottom w:val="single" w:color="000000" w:sz="2" w:space="0"/>
              <w:right w:val="single" w:color="000000" w:sz="4" w:space="0"/>
            </w:tcBorders>
            <w:tcW w:w="2437" w:type="pct"/>
            <w:vAlign w:val="center"/>
            <w:textDirection w:val="lrTb"/>
            <w:noWrap w:val="false"/>
          </w:tcPr>
          <w:p>
            <w:pPr>
              <w:pStyle w:val="1100"/>
              <w:jc w:val="center"/>
              <w:spacing w:line="300" w:lineRule="exact"/>
            </w:pPr>
            <w:r>
              <w:rPr>
                <w:rFonts w:hint="eastAsia"/>
                <w:szCs w:val="21"/>
              </w:rPr>
              <w:t xml:space="preserve">乙方（供应商）</w:t>
            </w:r>
            <w:r/>
          </w:p>
        </w:tc>
      </w:tr>
      <w:tr>
        <w:trPr>
          <w:trHeight w:val="917"/>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100"/>
              <w:jc w:val="center"/>
              <w:spacing w:line="300" w:lineRule="exact"/>
              <w:rPr>
                <w:szCs w:val="21"/>
              </w:rPr>
            </w:pPr>
            <w:r>
              <w:rPr>
                <w:rFonts w:hint="eastAsia"/>
                <w:szCs w:val="21"/>
              </w:rPr>
              <w:t xml:space="preserve">单位名称（公章或合同章）</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单位名称（公章或合同章）</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cantSplit/>
          <w:trHeight w:val="1171"/>
        </w:trPr>
        <w:tc>
          <w:tcPr>
            <w:tcBorders>
              <w:top w:val="single" w:color="000000" w:sz="2" w:space="0"/>
              <w:left w:val="single" w:color="000000" w:sz="4" w:space="0"/>
              <w:bottom w:val="single" w:color="000000" w:sz="2" w:space="0"/>
              <w:right w:val="single" w:color="000000" w:sz="2" w:space="0"/>
            </w:tcBorders>
            <w:tcW w:w="1126" w:type="pct"/>
            <w:vAlign w:val="center"/>
            <w:vMerge w:val="restart"/>
            <w:textDirection w:val="lrTb"/>
            <w:noWrap w:val="false"/>
          </w:tcPr>
          <w:p>
            <w:pPr>
              <w:pStyle w:val="1100"/>
              <w:jc w:val="center"/>
              <w:spacing w:line="300" w:lineRule="exact"/>
              <w:rPr>
                <w:szCs w:val="21"/>
              </w:rPr>
            </w:pPr>
            <w:r>
              <w:rPr>
                <w:rFonts w:hint="eastAsia"/>
                <w:szCs w:val="21"/>
              </w:rPr>
              <w:t xml:space="preserve">法定代表人</w:t>
            </w:r>
            <w:r>
              <w:rPr>
                <w:szCs w:val="21"/>
              </w:rPr>
            </w:r>
            <w:r/>
          </w:p>
          <w:p>
            <w:pPr>
              <w:pStyle w:val="1100"/>
              <w:ind w:firstLine="101"/>
              <w:jc w:val="center"/>
              <w:spacing w:line="300" w:lineRule="exact"/>
              <w:rPr>
                <w:szCs w:val="21"/>
              </w:rPr>
            </w:pPr>
            <w:r>
              <w:rPr>
                <w:rFonts w:hint="eastAsia"/>
                <w:szCs w:val="21"/>
              </w:rPr>
              <w:t xml:space="preserve">或其委托代理人（签章）</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vMerge w:val="restart"/>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法定代表人</w:t>
            </w:r>
            <w:r>
              <w:rPr>
                <w:szCs w:val="21"/>
              </w:rPr>
            </w:r>
            <w:r/>
          </w:p>
          <w:p>
            <w:pPr>
              <w:pStyle w:val="1100"/>
              <w:jc w:val="center"/>
              <w:spacing w:line="300" w:lineRule="exact"/>
              <w:rPr>
                <w:szCs w:val="21"/>
              </w:rPr>
            </w:pPr>
            <w:r>
              <w:rPr>
                <w:rFonts w:hint="eastAsia"/>
                <w:szCs w:val="21"/>
              </w:rPr>
              <w:t xml:space="preserve">或其委托代理人（签章）</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zCs w:val="21"/>
              </w:rPr>
            </w:pPr>
            <w:r>
              <w:rPr>
                <w:szCs w:val="21"/>
              </w:rPr>
            </w:r>
            <w:r/>
          </w:p>
        </w:tc>
      </w:tr>
      <w:tr>
        <w:trPr>
          <w:cantSplit/>
          <w:trHeight w:val="483"/>
        </w:trPr>
        <w:tc>
          <w:tcPr>
            <w:tcBorders>
              <w:top w:val="single" w:color="000000" w:sz="2" w:space="0"/>
              <w:left w:val="single" w:color="000000" w:sz="4" w:space="0"/>
              <w:bottom w:val="single" w:color="000000" w:sz="2" w:space="0"/>
              <w:right w:val="single" w:color="000000" w:sz="2" w:space="0"/>
            </w:tcBorders>
            <w:tcW w:w="2062" w:type="auto"/>
            <w:vAlign w:val="center"/>
            <w:vMerge w:val="continue"/>
            <w:textDirection w:val="lrTb"/>
            <w:noWrap w:val="false"/>
          </w:tcPr>
          <w:p>
            <w:pPr>
              <w:pStyle w:val="1100"/>
              <w:jc w:val="left"/>
              <w:widowControl/>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2628" w:type="auto"/>
            <w:vAlign w:val="center"/>
            <w:vMerge w:val="continue"/>
            <w:textDirection w:val="lrTb"/>
            <w:noWrap w:val="false"/>
          </w:tcPr>
          <w:p>
            <w:pPr>
              <w:pStyle w:val="1100"/>
              <w:jc w:val="left"/>
              <w:widowControl/>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拥有者性别</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100"/>
              <w:jc w:val="center"/>
              <w:spacing w:line="300" w:lineRule="exact"/>
              <w:rPr>
                <w:szCs w:val="21"/>
              </w:rPr>
            </w:pPr>
            <w:r>
              <w:rPr>
                <w:rFonts w:hint="eastAsia"/>
                <w:szCs w:val="21"/>
              </w:rPr>
              <w:t xml:space="preserve">住</w:t>
            </w:r>
            <w:r>
              <w:rPr>
                <w:szCs w:val="21"/>
              </w:rPr>
              <w:t xml:space="preserve">  </w:t>
            </w:r>
            <w:r>
              <w:rPr>
                <w:rFonts w:hint="eastAsia"/>
                <w:szCs w:val="21"/>
              </w:rPr>
              <w:t xml:space="preserve">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住</w:t>
            </w:r>
            <w:r>
              <w:rPr>
                <w:szCs w:val="21"/>
              </w:rPr>
              <w:t xml:space="preserve">  </w:t>
            </w:r>
            <w:r>
              <w:rPr>
                <w:rFonts w:hint="eastAsia"/>
                <w:szCs w:val="21"/>
              </w:rPr>
              <w:t xml:space="preserve">所</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100"/>
              <w:jc w:val="center"/>
              <w:spacing w:line="300" w:lineRule="exact"/>
              <w:rPr>
                <w:szCs w:val="21"/>
              </w:rPr>
            </w:pPr>
            <w:r>
              <w:rPr>
                <w:rFonts w:hint="eastAsia"/>
                <w:szCs w:val="21"/>
              </w:rPr>
              <w:t xml:space="preserve">联</w:t>
            </w:r>
            <w:r>
              <w:rPr>
                <w:szCs w:val="21"/>
              </w:rPr>
              <w:t xml:space="preserve"> </w:t>
            </w:r>
            <w:r>
              <w:rPr>
                <w:rFonts w:hint="eastAsia"/>
                <w:szCs w:val="21"/>
              </w:rPr>
              <w:t xml:space="preserve">系</w:t>
            </w:r>
            <w:r>
              <w:rPr>
                <w:szCs w:val="21"/>
              </w:rPr>
              <w:t xml:space="preserve"> </w:t>
            </w:r>
            <w:r>
              <w:rPr>
                <w:rFonts w:hint="eastAsia"/>
                <w:szCs w:val="21"/>
              </w:rPr>
              <w:t xml:space="preserve">人</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联</w:t>
            </w:r>
            <w:r>
              <w:rPr>
                <w:szCs w:val="21"/>
              </w:rPr>
              <w:t xml:space="preserve"> </w:t>
            </w:r>
            <w:r>
              <w:rPr>
                <w:rFonts w:hint="eastAsia"/>
                <w:szCs w:val="21"/>
              </w:rPr>
              <w:t xml:space="preserve">系</w:t>
            </w:r>
            <w:r>
              <w:rPr>
                <w:szCs w:val="21"/>
              </w:rPr>
              <w:t xml:space="preserve"> </w:t>
            </w:r>
            <w:r>
              <w:rPr>
                <w:rFonts w:hint="eastAsia"/>
                <w:szCs w:val="21"/>
              </w:rPr>
              <w:t xml:space="preserve">人</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100"/>
              <w:jc w:val="center"/>
              <w:spacing w:line="300" w:lineRule="exact"/>
              <w:rPr>
                <w:szCs w:val="21"/>
              </w:rPr>
            </w:pPr>
            <w:r>
              <w:rPr>
                <w:rFonts w:hint="eastAsia"/>
                <w:szCs w:val="21"/>
              </w:rPr>
              <w:t xml:space="preserve">联系电话</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联系电话</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100"/>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100"/>
              <w:jc w:val="center"/>
              <w:spacing w:line="300" w:lineRule="exact"/>
              <w:rPr>
                <w:szCs w:val="21"/>
              </w:rPr>
            </w:pPr>
            <w:r>
              <w:rPr>
                <w:rFonts w:hint="eastAsia"/>
                <w:szCs w:val="21"/>
              </w:rPr>
              <w:t xml:space="preserve">邮政编码</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邮政编码</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100"/>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100"/>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开户名称</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开户银行</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11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1100"/>
              <w:jc w:val="center"/>
              <w:spacing w:line="300" w:lineRule="exact"/>
              <w:rPr>
                <w:szCs w:val="21"/>
              </w:rPr>
            </w:pPr>
            <w:r>
              <w:rPr>
                <w:rFonts w:hint="eastAsia"/>
                <w:szCs w:val="21"/>
              </w:rPr>
              <w:t xml:space="preserve">银行账号</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1100"/>
              <w:jc w:val="center"/>
              <w:spacing w:line="300" w:lineRule="exact"/>
              <w:rPr>
                <w:spacing w:val="20"/>
                <w:szCs w:val="21"/>
              </w:rPr>
            </w:pPr>
            <w:r>
              <w:rPr>
                <w:spacing w:val="20"/>
                <w:szCs w:val="21"/>
              </w:rPr>
            </w:r>
            <w:r/>
          </w:p>
        </w:tc>
      </w:tr>
      <w:tr>
        <w:trPr>
          <w:trHeight w:val="586"/>
        </w:trPr>
        <w:tc>
          <w:tcPr>
            <w:gridSpan w:val="4"/>
            <w:tcBorders>
              <w:top w:val="single" w:color="000000" w:sz="2" w:space="0"/>
              <w:left w:val="single" w:color="000000" w:sz="4" w:space="0"/>
              <w:bottom w:val="single" w:color="000000" w:sz="4" w:space="0"/>
              <w:right w:val="single" w:color="000000" w:sz="4" w:space="0"/>
            </w:tcBorders>
            <w:tcW w:w="5000" w:type="pct"/>
            <w:vAlign w:val="center"/>
            <w:textDirection w:val="lrTb"/>
            <w:noWrap w:val="false"/>
          </w:tcPr>
          <w:p>
            <w:pPr>
              <w:pStyle w:val="1134"/>
              <w:jc w:val="left"/>
              <w:spacing w:before="120"/>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1102"/>
        <w:rPr>
          <w:rFonts w:ascii="黑体" w:hAnsi="黑体"/>
          <w:sz w:val="28"/>
          <w:szCs w:val="28"/>
        </w:rPr>
      </w:pPr>
      <w:r>
        <w:rPr>
          <w:rFonts w:hint="eastAsia" w:ascii="宋体" w:hAnsi="宋体"/>
          <w:b w:val="0"/>
          <w:bCs/>
          <w:szCs w:val="21"/>
          <w:u w:val="single"/>
        </w:rPr>
        <w:br w:type="page" w:clear="all"/>
      </w:r>
      <w:bookmarkStart w:id="818" w:name="_Toc27624"/>
      <w:r>
        <w:rPr>
          <w:rFonts w:hint="eastAsia" w:ascii="黑体" w:hAnsi="黑体"/>
          <w:b w:val="0"/>
          <w:bCs/>
          <w:sz w:val="28"/>
          <w:szCs w:val="28"/>
        </w:rPr>
        <w:t xml:space="preserve">第二节 政府采购合同通用条款</w:t>
      </w:r>
      <w:bookmarkEnd w:id="818"/>
      <w:r>
        <w:rPr>
          <w:rFonts w:ascii="黑体" w:hAnsi="黑体"/>
          <w:sz w:val="28"/>
          <w:szCs w:val="28"/>
        </w:rPr>
      </w:r>
      <w:r/>
    </w:p>
    <w:p>
      <w:pPr>
        <w:pStyle w:val="1100"/>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pStyle w:val="1100"/>
        <w:ind w:firstLine="420"/>
        <w:jc w:val="left"/>
        <w:spacing w:line="400" w:lineRule="exact"/>
        <w:rPr>
          <w:rFonts w:hint="eastAsia" w:ascii="宋体" w:hAnsi="宋体"/>
          <w:szCs w:val="21"/>
        </w:rPr>
      </w:pPr>
      <w:r>
        <w:rPr>
          <w:rFonts w:hint="eastAsia" w:ascii="宋体" w:hAnsi="宋体"/>
          <w:szCs w:val="21"/>
        </w:rPr>
        <w:t xml:space="preserve">1.1合同当事人</w:t>
      </w:r>
      <w:r/>
    </w:p>
    <w:p>
      <w:pPr>
        <w:pStyle w:val="1100"/>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pStyle w:val="1100"/>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pStyle w:val="1100"/>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pStyle w:val="1100"/>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pStyle w:val="1100"/>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pStyle w:val="1100"/>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pStyle w:val="1100"/>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pStyle w:val="1100"/>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pStyle w:val="1100"/>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pStyle w:val="1100"/>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pStyle w:val="1100"/>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pStyle w:val="1100"/>
        <w:numPr>
          <w:ilvl w:val="0"/>
          <w:numId w:val="20"/>
        </w:numPr>
        <w:jc w:val="left"/>
        <w:spacing w:line="400" w:lineRule="exact"/>
        <w:rPr>
          <w:rFonts w:hint="eastAsia" w:ascii="宋体" w:hAnsi="宋体"/>
          <w:b/>
          <w:bCs/>
          <w:sz w:val="24"/>
        </w:rPr>
      </w:pPr>
      <w:r>
        <w:rPr>
          <w:rFonts w:hint="eastAsia" w:ascii="宋体" w:hAnsi="宋体"/>
          <w:b/>
          <w:sz w:val="24"/>
        </w:rPr>
        <w:t xml:space="preserve">合同标的及金额</w:t>
      </w:r>
      <w:r>
        <w:rPr>
          <w:rFonts w:hint="eastAsia" w:ascii="宋体" w:hAnsi="宋体"/>
          <w:b/>
          <w:bCs/>
          <w:sz w:val="24"/>
        </w:rPr>
      </w:r>
      <w:r/>
    </w:p>
    <w:p>
      <w:pPr>
        <w:pStyle w:val="1100"/>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rPr>
          <w:rFonts w:hint="eastAsia" w:ascii="宋体" w:hAnsi="宋体"/>
          <w:b/>
          <w:bCs/>
          <w:i/>
          <w:iCs/>
          <w:szCs w:val="21"/>
        </w:rPr>
      </w:r>
      <w:r/>
    </w:p>
    <w:p>
      <w:pPr>
        <w:pStyle w:val="1100"/>
        <w:jc w:val="left"/>
        <w:spacing w:line="400" w:lineRule="exact"/>
        <w:rPr>
          <w:rFonts w:hint="eastAsia" w:ascii="宋体" w:hAnsi="宋体"/>
          <w:b/>
          <w:sz w:val="24"/>
        </w:rPr>
      </w:pPr>
      <w:r>
        <w:rPr>
          <w:rFonts w:hint="eastAsia" w:ascii="宋体" w:hAnsi="宋体"/>
          <w:b/>
          <w:sz w:val="24"/>
        </w:rPr>
        <w:t xml:space="preserve">3. 履行合同的时间、地点和方式</w:t>
      </w:r>
      <w:r/>
    </w:p>
    <w:p>
      <w:pPr>
        <w:pStyle w:val="1100"/>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rPr>
          <w:rFonts w:hint="eastAsia" w:ascii="宋体" w:hAnsi="宋体"/>
          <w:szCs w:val="21"/>
        </w:rPr>
      </w:r>
      <w:r/>
    </w:p>
    <w:p>
      <w:pPr>
        <w:pStyle w:val="1100"/>
        <w:jc w:val="left"/>
        <w:spacing w:line="400" w:lineRule="exact"/>
        <w:rPr>
          <w:rFonts w:hint="eastAsia" w:ascii="宋体" w:hAnsi="宋体"/>
          <w:b/>
          <w:bCs/>
          <w:sz w:val="24"/>
        </w:rPr>
      </w:pPr>
      <w:r>
        <w:rPr>
          <w:rFonts w:hint="eastAsia" w:ascii="宋体" w:hAnsi="宋体"/>
          <w:b/>
          <w:bCs/>
          <w:sz w:val="24"/>
        </w:rPr>
        <w:t xml:space="preserve">4. 甲方的权利和义务</w:t>
      </w:r>
      <w:r/>
    </w:p>
    <w:p>
      <w:pPr>
        <w:pStyle w:val="1100"/>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100"/>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pStyle w:val="1100"/>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pStyle w:val="1100"/>
        <w:ind w:firstLine="420"/>
        <w:spacing w:line="360" w:lineRule="auto"/>
        <w:rPr>
          <w:rFonts w:hint="eastAsia"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rPr>
          <w:rFonts w:hint="eastAsia" w:eastAsia="华文楷体"/>
        </w:rPr>
      </w:r>
      <w:r/>
    </w:p>
    <w:p>
      <w:pPr>
        <w:pStyle w:val="1100"/>
        <w:ind w:firstLine="420"/>
        <w:jc w:val="left"/>
        <w:spacing w:line="360" w:lineRule="auto"/>
        <w:rPr>
          <w:rFonts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rPr>
          <w:rFonts w:ascii="宋体" w:hAnsi="宋体"/>
          <w:szCs w:val="21"/>
        </w:rPr>
      </w:r>
      <w:r/>
    </w:p>
    <w:p>
      <w:pPr>
        <w:pStyle w:val="1100"/>
        <w:ind w:firstLine="420"/>
        <w:jc w:val="left"/>
        <w:spacing w:line="360" w:lineRule="auto"/>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pStyle w:val="1100"/>
        <w:jc w:val="left"/>
        <w:spacing w:line="360" w:lineRule="auto"/>
        <w:rPr>
          <w:rFonts w:hint="eastAsia" w:ascii="宋体" w:hAnsi="宋体"/>
          <w:b/>
          <w:bCs/>
          <w:sz w:val="24"/>
        </w:rPr>
      </w:pPr>
      <w:r>
        <w:rPr>
          <w:rFonts w:hint="eastAsia" w:ascii="宋体" w:hAnsi="宋体"/>
          <w:b/>
          <w:bCs/>
          <w:sz w:val="24"/>
        </w:rPr>
        <w:t xml:space="preserve">5. 乙方的权利和义务</w:t>
      </w:r>
      <w:r/>
    </w:p>
    <w:p>
      <w:pPr>
        <w:pStyle w:val="1100"/>
        <w:ind w:firstLine="420"/>
        <w:spacing w:line="360" w:lineRule="auto"/>
        <w:rPr>
          <w:rFonts w:hint="eastAsia" w:ascii="宋体" w:hAnsi="宋体"/>
        </w:rPr>
      </w:pPr>
      <w:r>
        <w:rPr>
          <w:rFonts w:hint="eastAsia" w:ascii="宋体" w:hAnsi="宋体"/>
        </w:rPr>
        <w:t xml:space="preserve">5.1 签署合同后，乙方应确定项目负责人（或项目联系人），负责与本合同有关的事务。</w:t>
      </w:r>
      <w:r/>
    </w:p>
    <w:p>
      <w:pPr>
        <w:pStyle w:val="1100"/>
        <w:ind w:firstLine="420"/>
        <w:spacing w:line="360" w:lineRule="auto"/>
        <w:rPr>
          <w:rFonts w:hint="eastAsia" w:ascii="宋体" w:hAnsi="宋体"/>
        </w:rPr>
      </w:pPr>
      <w:r>
        <w:rPr>
          <w:rFonts w:hint="eastAsia" w:ascii="宋体" w:hAnsi="宋体"/>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00"/>
        <w:ind w:firstLine="420"/>
        <w:spacing w:line="360" w:lineRule="auto"/>
        <w:rPr>
          <w:rFonts w:hint="eastAsia" w:ascii="宋体" w:hAnsi="宋体"/>
        </w:rPr>
      </w:pPr>
      <w:r>
        <w:rPr>
          <w:rFonts w:hint="eastAsia" w:ascii="宋体" w:hAnsi="宋体"/>
        </w:rPr>
        <w:t xml:space="preserve">5.3乙方有权根据合同约定向甲方收取合同价款。</w:t>
      </w:r>
      <w:r/>
    </w:p>
    <w:p>
      <w:pPr>
        <w:pStyle w:val="1100"/>
        <w:ind w:firstLine="420"/>
        <w:spacing w:line="360" w:lineRule="auto"/>
        <w:rPr>
          <w:rFonts w:hint="eastAsia" w:ascii="宋体" w:hAnsi="宋体"/>
        </w:rPr>
      </w:pPr>
      <w:r>
        <w:rPr>
          <w:rFonts w:hint="eastAsia" w:ascii="宋体" w:hAnsi="宋体"/>
        </w:rPr>
        <w:t xml:space="preserve">5.4国家法律法规规定及</w:t>
      </w:r>
      <w:r>
        <w:rPr>
          <w:rFonts w:hint="eastAsia" w:ascii="宋体" w:hAnsi="宋体"/>
          <w:b/>
        </w:rPr>
        <w:t xml:space="preserve">【政府采购合同专用条款】</w:t>
      </w:r>
      <w:r>
        <w:rPr>
          <w:rFonts w:hint="eastAsia" w:ascii="宋体" w:hAnsi="宋体"/>
        </w:rPr>
        <w:t xml:space="preserve">约定应由乙方承担的其他义务和责任。</w:t>
      </w:r>
      <w:r/>
    </w:p>
    <w:p>
      <w:pPr>
        <w:pStyle w:val="1100"/>
        <w:numPr>
          <w:ilvl w:val="0"/>
          <w:numId w:val="21"/>
        </w:numPr>
        <w:jc w:val="left"/>
        <w:spacing w:line="400" w:lineRule="exact"/>
        <w:rPr>
          <w:rFonts w:hint="eastAsia" w:ascii="宋体" w:hAnsi="宋体"/>
          <w:b/>
          <w:bCs/>
          <w:sz w:val="24"/>
        </w:rPr>
      </w:pPr>
      <w:r>
        <w:rPr>
          <w:rFonts w:hint="eastAsia" w:ascii="宋体" w:hAnsi="宋体"/>
          <w:b/>
          <w:bCs/>
          <w:sz w:val="24"/>
        </w:rPr>
        <w:t xml:space="preserve">合同履行</w:t>
      </w:r>
      <w:r/>
    </w:p>
    <w:p>
      <w:pPr>
        <w:pStyle w:val="1100"/>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pStyle w:val="1100"/>
        <w:ind w:firstLine="420"/>
        <w:jc w:val="left"/>
        <w:spacing w:line="400" w:lineRule="exact"/>
        <w:rPr>
          <w:rFonts w:hint="eastAsia"/>
        </w:rP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rPr>
      </w:r>
      <w:r/>
    </w:p>
    <w:p>
      <w:pPr>
        <w:pStyle w:val="1100"/>
        <w:jc w:val="left"/>
        <w:spacing w:line="400" w:lineRule="exact"/>
        <w:rPr>
          <w:rFonts w:ascii="宋体" w:hAnsi="宋体"/>
          <w:b/>
          <w:bCs/>
          <w:sz w:val="24"/>
        </w:rPr>
      </w:pPr>
      <w:r>
        <w:rPr>
          <w:rFonts w:hint="eastAsia" w:ascii="宋体" w:hAnsi="宋体"/>
          <w:b/>
          <w:bCs/>
          <w:sz w:val="24"/>
        </w:rPr>
        <w:t xml:space="preserve">7. 货物包装、运输、保险和交付要求</w:t>
      </w:r>
      <w:r>
        <w:rPr>
          <w:rFonts w:ascii="宋体" w:hAnsi="宋体"/>
          <w:b/>
          <w:bCs/>
          <w:sz w:val="24"/>
        </w:rPr>
      </w:r>
      <w:r/>
    </w:p>
    <w:p>
      <w:pPr>
        <w:pStyle w:val="1100"/>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pStyle w:val="1100"/>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pStyle w:val="1100"/>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pStyle w:val="1100"/>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100"/>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rPr>
          <w:rFonts w:hint="eastAsia" w:ascii="宋体" w:hAnsi="宋体"/>
          <w:szCs w:val="21"/>
        </w:rPr>
      </w:r>
      <w:r/>
    </w:p>
    <w:p>
      <w:pPr>
        <w:pStyle w:val="1354"/>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rPr>
          <w:rFonts w:hint="eastAsia"/>
          <w:sz w:val="21"/>
        </w:rPr>
      </w:r>
      <w:r/>
    </w:p>
    <w:p>
      <w:pPr>
        <w:pStyle w:val="1100"/>
        <w:jc w:val="left"/>
        <w:spacing w:line="400" w:lineRule="exact"/>
        <w:rPr>
          <w:rFonts w:hint="eastAsia" w:ascii="宋体" w:hAnsi="宋体"/>
          <w:b/>
          <w:sz w:val="24"/>
        </w:rPr>
      </w:pPr>
      <w:r>
        <w:rPr>
          <w:rFonts w:hint="eastAsia" w:ascii="宋体" w:hAnsi="宋体"/>
          <w:b/>
          <w:sz w:val="24"/>
        </w:rPr>
        <w:t xml:space="preserve">8. 质量标准和保证</w:t>
      </w:r>
      <w:r/>
    </w:p>
    <w:p>
      <w:pPr>
        <w:pStyle w:val="1140"/>
        <w:ind w:firstLine="420"/>
        <w:jc w:val="left"/>
        <w:spacing w:line="400" w:lineRule="exact"/>
        <w:rPr>
          <w:rFonts w:hAnsi="宋体"/>
          <w:b/>
        </w:rPr>
      </w:pPr>
      <w:r>
        <w:rPr>
          <w:rFonts w:hAnsi="宋体"/>
        </w:rPr>
        <w:t xml:space="preserve">8.1 质量标准</w:t>
      </w:r>
      <w:r>
        <w:rPr>
          <w:rFonts w:hAnsi="宋体"/>
          <w:b/>
        </w:rPr>
      </w:r>
      <w:r/>
    </w:p>
    <w:p>
      <w:pPr>
        <w:pStyle w:val="1100"/>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40"/>
        <w:ind w:firstLine="420"/>
        <w:jc w:val="left"/>
        <w:spacing w:line="400" w:lineRule="exact"/>
        <w:rPr>
          <w:rFonts w:hAnsi="宋体"/>
          <w:szCs w:val="21"/>
        </w:rPr>
      </w:pPr>
      <w:r>
        <w:rPr>
          <w:rFonts w:hAnsi="宋体"/>
        </w:rPr>
        <w:t xml:space="preserve">（2）采用中华人民共和国法定计量单位。</w:t>
      </w:r>
      <w:r>
        <w:rPr>
          <w:rFonts w:hAnsi="宋体"/>
          <w:szCs w:val="21"/>
        </w:rPr>
      </w:r>
      <w:r/>
    </w:p>
    <w:p>
      <w:pPr>
        <w:pStyle w:val="1100"/>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pStyle w:val="1100"/>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pStyle w:val="1100"/>
        <w:ind w:firstLine="420"/>
        <w:jc w:val="left"/>
        <w:spacing w:line="400" w:lineRule="exact"/>
        <w:rPr>
          <w:rFonts w:hint="eastAsia" w:ascii="宋体" w:hAnsi="宋体"/>
          <w:szCs w:val="21"/>
        </w:rPr>
      </w:pPr>
      <w:r>
        <w:rPr>
          <w:rFonts w:hint="eastAsia" w:ascii="宋体" w:hAnsi="宋体"/>
          <w:szCs w:val="21"/>
        </w:rPr>
        <w:t xml:space="preserve">8.2 保证</w:t>
      </w:r>
      <w:r/>
    </w:p>
    <w:p>
      <w:pPr>
        <w:pStyle w:val="1100"/>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pStyle w:val="1100"/>
        <w:ind w:firstLine="420"/>
        <w:jc w:val="left"/>
        <w:spacing w:line="360" w:lineRule="auto"/>
        <w:rPr>
          <w:rFonts w:hint="eastAsia" w:ascii="宋体" w:hAnsi="宋体"/>
          <w:szCs w:val="21"/>
        </w:rPr>
      </w:pPr>
      <w:r>
        <w:rPr>
          <w:rFonts w:hint="eastAsia" w:ascii="宋体" w:hAnsi="宋体"/>
          <w:szCs w:val="21"/>
        </w:rPr>
        <w:t xml:space="preserve">（2）在质量保证期内所发现的缺陷，甲方应尽快以书面形式通知乙方。</w:t>
      </w:r>
      <w:r/>
    </w:p>
    <w:p>
      <w:pPr>
        <w:pStyle w:val="1100"/>
        <w:ind w:firstLine="420"/>
        <w:jc w:val="left"/>
        <w:spacing w:line="360" w:lineRule="auto"/>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pStyle w:val="1100"/>
        <w:ind w:firstLine="420"/>
        <w:jc w:val="left"/>
        <w:spacing w:line="360" w:lineRule="auto"/>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100"/>
        <w:ind w:firstLine="420"/>
        <w:jc w:val="left"/>
        <w:spacing w:line="360" w:lineRule="auto"/>
        <w:rPr>
          <w:rFonts w:hint="eastAsia"/>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rFonts w:hint="eastAsia"/>
        </w:rPr>
      </w:r>
      <w:r/>
    </w:p>
    <w:p>
      <w:pPr>
        <w:pStyle w:val="1100"/>
        <w:jc w:val="left"/>
        <w:spacing w:line="360" w:lineRule="auto"/>
        <w:rPr>
          <w:rFonts w:ascii="宋体" w:hAnsi="宋体"/>
          <w:b/>
          <w:bCs/>
          <w:sz w:val="24"/>
        </w:rPr>
      </w:pPr>
      <w:r>
        <w:rPr>
          <w:rFonts w:hint="eastAsia" w:ascii="宋体" w:hAnsi="宋体"/>
          <w:b/>
          <w:bCs/>
          <w:sz w:val="24"/>
        </w:rPr>
        <w:t xml:space="preserve">9. 权利瑕疵担保</w:t>
      </w:r>
      <w:r>
        <w:rPr>
          <w:rFonts w:ascii="宋体" w:hAnsi="宋体"/>
          <w:b/>
          <w:bCs/>
          <w:sz w:val="24"/>
        </w:rPr>
      </w:r>
      <w:r/>
    </w:p>
    <w:p>
      <w:pPr>
        <w:pStyle w:val="1100"/>
        <w:ind w:firstLine="420"/>
        <w:jc w:val="left"/>
        <w:spacing w:line="360" w:lineRule="auto"/>
        <w:rPr>
          <w:rFonts w:hint="eastAsia" w:ascii="宋体" w:hAnsi="宋体"/>
          <w:szCs w:val="21"/>
        </w:rPr>
      </w:pPr>
      <w:r>
        <w:rPr>
          <w:rFonts w:hint="eastAsia" w:ascii="宋体" w:hAnsi="宋体"/>
          <w:szCs w:val="21"/>
        </w:rPr>
        <w:t xml:space="preserve">9.1 乙方保证对其出售的货物享有合法的权利。</w:t>
      </w:r>
      <w:r/>
    </w:p>
    <w:p>
      <w:pPr>
        <w:pStyle w:val="1100"/>
        <w:ind w:firstLine="420"/>
        <w:jc w:val="left"/>
        <w:spacing w:line="360" w:lineRule="auto"/>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rPr>
          <w:rFonts w:hint="eastAsia" w:ascii="宋体" w:hAnsi="宋体"/>
          <w:szCs w:val="21"/>
        </w:rPr>
      </w:r>
      <w:r/>
    </w:p>
    <w:p>
      <w:pPr>
        <w:pStyle w:val="1100"/>
        <w:ind w:firstLine="420"/>
        <w:jc w:val="left"/>
        <w:spacing w:line="360" w:lineRule="auto"/>
        <w:rPr>
          <w:rFonts w:hint="eastAsia" w:ascii="宋体" w:hAnsi="宋体"/>
          <w:szCs w:val="21"/>
        </w:rPr>
      </w:pPr>
      <w:r>
        <w:rPr>
          <w:rFonts w:hint="eastAsia" w:ascii="宋体" w:hAnsi="宋体"/>
          <w:szCs w:val="21"/>
        </w:rPr>
        <w:t xml:space="preserve">9.3 如甲方使用上述货物构成对第三人侵权的，则由乙方承担全部责任。</w:t>
      </w:r>
      <w:r/>
    </w:p>
    <w:p>
      <w:pPr>
        <w:pStyle w:val="1100"/>
        <w:jc w:val="left"/>
        <w:spacing w:line="400" w:lineRule="exact"/>
        <w:rPr>
          <w:rFonts w:hint="eastAsia" w:ascii="宋体" w:hAnsi="宋体"/>
          <w:b/>
          <w:bCs/>
          <w:sz w:val="24"/>
        </w:rPr>
      </w:pPr>
      <w:r>
        <w:rPr>
          <w:rFonts w:hint="eastAsia" w:ascii="宋体" w:hAnsi="宋体"/>
          <w:b/>
          <w:bCs/>
          <w:sz w:val="24"/>
        </w:rPr>
        <w:t xml:space="preserve">10. 知识产权保护</w:t>
      </w:r>
      <w:r/>
    </w:p>
    <w:p>
      <w:pPr>
        <w:pStyle w:val="1100"/>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819"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819"/>
      <w:r>
        <w:rPr>
          <w:rFonts w:hint="eastAsia" w:ascii="宋体" w:hAnsi="宋体"/>
          <w:szCs w:val="21"/>
        </w:rPr>
        <w:t xml:space="preserve">。</w:t>
      </w:r>
      <w:r/>
    </w:p>
    <w:p>
      <w:pPr>
        <w:pStyle w:val="1100"/>
        <w:jc w:val="left"/>
        <w:spacing w:line="360" w:lineRule="auto"/>
        <w:rPr>
          <w:rFonts w:hint="eastAsia" w:ascii="宋体" w:hAnsi="宋体"/>
          <w:b/>
          <w:bCs/>
          <w:sz w:val="24"/>
        </w:rPr>
      </w:pPr>
      <w:r>
        <w:rPr>
          <w:rFonts w:hint="eastAsia" w:ascii="宋体" w:hAnsi="宋体"/>
          <w:b/>
          <w:bCs/>
          <w:sz w:val="24"/>
        </w:rPr>
        <w:t xml:space="preserve">11. 保密义务</w:t>
      </w:r>
      <w:r/>
    </w:p>
    <w:p>
      <w:pPr>
        <w:pStyle w:val="1100"/>
        <w:ind w:firstLine="420"/>
        <w:jc w:val="left"/>
        <w:spacing w:line="360" w:lineRule="auto"/>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pStyle w:val="1100"/>
        <w:jc w:val="left"/>
        <w:spacing w:line="360" w:lineRule="auto"/>
        <w:rPr>
          <w:rFonts w:hint="eastAsia" w:ascii="宋体" w:hAnsi="宋体"/>
          <w:b/>
          <w:bCs/>
          <w:sz w:val="24"/>
        </w:rPr>
      </w:pPr>
      <w:r>
        <w:rPr>
          <w:rFonts w:hint="eastAsia" w:ascii="宋体" w:hAnsi="宋体"/>
          <w:b/>
          <w:bCs/>
          <w:sz w:val="24"/>
        </w:rPr>
        <w:t xml:space="preserve">12. 合同价款支付</w:t>
      </w:r>
      <w:r/>
    </w:p>
    <w:p>
      <w:pPr>
        <w:pStyle w:val="1100"/>
        <w:ind w:firstLine="420"/>
        <w:jc w:val="left"/>
        <w:spacing w:line="360" w:lineRule="auto"/>
        <w:rPr>
          <w:rFonts w:hint="eastAsia" w:ascii="宋体" w:hAnsi="宋体" w:cs="宋体"/>
          <w:szCs w:val="15"/>
        </w:rPr>
      </w:pPr>
      <w:r>
        <w:rPr>
          <w:rFonts w:hint="eastAsia" w:ascii="宋体" w:hAnsi="宋体" w:cs="宋体"/>
          <w:szCs w:val="15"/>
        </w:rPr>
        <w:t xml:space="preserve">12.1 合同价款支付按照国库集中支付制度及财政管理相关规定执行。</w:t>
      </w:r>
      <w:r/>
    </w:p>
    <w:p>
      <w:pPr>
        <w:pStyle w:val="1100"/>
        <w:ind w:firstLine="420"/>
        <w:spacing w:line="360" w:lineRule="auto"/>
        <w:rPr>
          <w:rFonts w:hint="eastAsia" w:ascii="宋体" w:hAnsi="宋体" w:cs="宋体"/>
          <w:szCs w:val="15"/>
        </w:rPr>
      </w:pPr>
      <w:r>
        <w:rPr>
          <w:rFonts w:hint="eastAsia" w:ascii="宋体" w:hAnsi="宋体" w:cs="宋体"/>
          <w:szCs w:val="15"/>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szCs w:val="15"/>
        </w:rPr>
        <w:t xml:space="preserve">【政府采购合同专用条款】</w:t>
      </w:r>
      <w:r>
        <w:rPr>
          <w:rFonts w:hint="eastAsia" w:ascii="宋体" w:hAnsi="宋体" w:cs="宋体"/>
          <w:szCs w:val="15"/>
        </w:rPr>
        <w:t xml:space="preserve">中约定。</w:t>
      </w:r>
      <w:r/>
    </w:p>
    <w:p>
      <w:pPr>
        <w:pStyle w:val="1132"/>
        <w:spacing w:line="360" w:lineRule="auto"/>
        <w:rPr>
          <w:b/>
          <w:bCs/>
        </w:rPr>
      </w:pPr>
      <w:r>
        <w:rPr>
          <w:rFonts w:hint="eastAsia"/>
          <w:b/>
          <w:bCs/>
        </w:rPr>
        <w:t xml:space="preserve">13. 履约保证金</w:t>
      </w:r>
      <w:r>
        <w:rPr>
          <w:b/>
          <w:bCs/>
        </w:rPr>
      </w:r>
      <w:r/>
    </w:p>
    <w:p>
      <w:pPr>
        <w:pStyle w:val="1100"/>
        <w:ind w:firstLine="420"/>
        <w:jc w:val="left"/>
        <w:spacing w:line="360" w:lineRule="auto"/>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szCs w:val="21"/>
        </w:rPr>
      </w:r>
      <w:r/>
    </w:p>
    <w:p>
      <w:pPr>
        <w:pStyle w:val="1100"/>
        <w:ind w:firstLine="420"/>
        <w:jc w:val="left"/>
        <w:spacing w:line="360" w:lineRule="auto"/>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pStyle w:val="1100"/>
        <w:ind w:firstLine="420"/>
        <w:spacing w:line="360" w:lineRule="auto"/>
        <w:rPr>
          <w:rFonts w:hint="eastAsia"/>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rFonts w:hint="eastAsia"/>
        </w:rPr>
      </w:r>
      <w:r/>
    </w:p>
    <w:p>
      <w:pPr>
        <w:pStyle w:val="1100"/>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1100"/>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pStyle w:val="1100"/>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pStyle w:val="1100"/>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pStyle w:val="1100"/>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pStyle w:val="1100"/>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szCs w:val="21"/>
        </w:rPr>
      </w:r>
      <w:r/>
    </w:p>
    <w:p>
      <w:pPr>
        <w:pStyle w:val="1354"/>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pStyle w:val="1100"/>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pStyle w:val="1100"/>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pStyle w:val="1100"/>
        <w:jc w:val="left"/>
        <w:spacing w:line="400" w:lineRule="exact"/>
        <w:rPr>
          <w:rFonts w:hint="eastAsia" w:ascii="宋体" w:hAnsi="宋体"/>
          <w:b/>
          <w:bCs/>
          <w:sz w:val="24"/>
        </w:rPr>
      </w:pPr>
      <w:r>
        <w:rPr>
          <w:rFonts w:hint="eastAsia" w:ascii="宋体" w:hAnsi="宋体"/>
          <w:b/>
          <w:bCs/>
          <w:sz w:val="24"/>
        </w:rPr>
        <w:t xml:space="preserve">15. 违约责任</w:t>
      </w:r>
      <w:r/>
    </w:p>
    <w:p>
      <w:pPr>
        <w:pStyle w:val="1100"/>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pStyle w:val="1100"/>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pStyle w:val="1100"/>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pStyle w:val="1100"/>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100"/>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pStyle w:val="1100"/>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pStyle w:val="1100"/>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pStyle w:val="1100"/>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pStyle w:val="1100"/>
        <w:numPr>
          <w:ilvl w:val="0"/>
          <w:numId w:val="22"/>
        </w:numPr>
        <w:jc w:val="left"/>
        <w:spacing w:line="400" w:lineRule="exact"/>
        <w:rPr>
          <w:rFonts w:hint="eastAsia" w:ascii="宋体" w:hAnsi="宋体"/>
          <w:b/>
          <w:sz w:val="24"/>
        </w:rPr>
      </w:pPr>
      <w:r>
        <w:rPr>
          <w:rFonts w:hint="eastAsia" w:ascii="宋体" w:hAnsi="宋体"/>
          <w:b/>
          <w:sz w:val="24"/>
        </w:rPr>
        <w:t xml:space="preserve">合同变更、中止与终止</w:t>
      </w:r>
      <w:r/>
    </w:p>
    <w:p>
      <w:pPr>
        <w:pStyle w:val="1100"/>
        <w:jc w:val="left"/>
        <w:spacing w:line="400" w:lineRule="exact"/>
        <w:rPr>
          <w:rFonts w:hint="eastAsia" w:ascii="宋体" w:hAnsi="宋体"/>
          <w:szCs w:val="21"/>
        </w:rPr>
      </w:pPr>
      <w:r>
        <w:rPr>
          <w:rFonts w:hint="eastAsia" w:ascii="宋体" w:hAnsi="宋体"/>
          <w:szCs w:val="21"/>
        </w:rPr>
        <w:t xml:space="preserve">    16.1合同的变更</w:t>
      </w:r>
      <w:r/>
    </w:p>
    <w:p>
      <w:pPr>
        <w:pStyle w:val="1100"/>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pStyle w:val="1100"/>
        <w:ind w:firstLine="420"/>
        <w:jc w:val="left"/>
        <w:spacing w:line="400" w:lineRule="exact"/>
        <w:rPr>
          <w:rFonts w:hint="eastAsia" w:ascii="宋体" w:hAnsi="宋体"/>
          <w:szCs w:val="21"/>
        </w:rPr>
      </w:pPr>
      <w:r>
        <w:rPr>
          <w:rFonts w:hint="eastAsia" w:ascii="宋体" w:hAnsi="宋体"/>
          <w:szCs w:val="21"/>
        </w:rPr>
        <w:t xml:space="preserve">16.2合同的中止</w:t>
      </w:r>
      <w:r/>
    </w:p>
    <w:p>
      <w:pPr>
        <w:pStyle w:val="1100"/>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pStyle w:val="1100"/>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354"/>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sz w:val="21"/>
        </w:rPr>
      </w:r>
      <w:r/>
    </w:p>
    <w:p>
      <w:pPr>
        <w:pStyle w:val="1100"/>
        <w:ind w:firstLine="420"/>
        <w:jc w:val="left"/>
        <w:spacing w:line="400" w:lineRule="exact"/>
        <w:rPr>
          <w:rFonts w:hint="eastAsia"/>
        </w:rPr>
      </w:pPr>
      <w:r>
        <w:rPr>
          <w:rFonts w:hint="eastAsia" w:ascii="宋体" w:hAnsi="宋体"/>
          <w:szCs w:val="21"/>
        </w:rPr>
        <w:t xml:space="preserve">（4）甲方不得以行政区划调整、政府换届、机构或者职能调整以及相关责任人更替为由中止合同。</w:t>
      </w:r>
      <w:r>
        <w:rPr>
          <w:rFonts w:hint="eastAsia"/>
        </w:rPr>
      </w:r>
      <w:r/>
    </w:p>
    <w:p>
      <w:pPr>
        <w:pStyle w:val="1100"/>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1100"/>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pStyle w:val="1100"/>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hint="eastAsia" w:ascii="宋体" w:hAnsi="宋体" w:cs="宋体"/>
          <w:szCs w:val="21"/>
        </w:rPr>
      </w:r>
      <w:r/>
    </w:p>
    <w:p>
      <w:pPr>
        <w:pStyle w:val="1354"/>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hint="eastAsia" w:ascii="宋体" w:hAnsi="宋体"/>
        </w:rPr>
      </w:r>
      <w:r/>
    </w:p>
    <w:p>
      <w:pPr>
        <w:pStyle w:val="1354"/>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sz w:val="21"/>
        </w:rPr>
      </w:r>
      <w:r/>
    </w:p>
    <w:p>
      <w:pPr>
        <w:pStyle w:val="1100"/>
        <w:jc w:val="left"/>
        <w:spacing w:line="400" w:lineRule="exact"/>
        <w:rPr>
          <w:rFonts w:hint="eastAsia" w:ascii="宋体" w:hAnsi="宋体"/>
          <w:b/>
          <w:bCs/>
          <w:sz w:val="24"/>
        </w:rPr>
      </w:pPr>
      <w:r>
        <w:rPr>
          <w:rFonts w:hint="eastAsia" w:ascii="宋体" w:hAnsi="宋体"/>
          <w:b/>
          <w:bCs/>
          <w:sz w:val="24"/>
        </w:rPr>
        <w:t xml:space="preserve">17. 合同分包</w:t>
      </w:r>
      <w:r/>
    </w:p>
    <w:p>
      <w:pPr>
        <w:pStyle w:val="1100"/>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pStyle w:val="1100"/>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pStyle w:val="1100"/>
        <w:jc w:val="left"/>
        <w:spacing w:line="400" w:lineRule="exact"/>
        <w:rPr>
          <w:rFonts w:hint="eastAsia" w:ascii="宋体" w:hAnsi="宋体"/>
          <w:b/>
          <w:bCs/>
          <w:sz w:val="24"/>
        </w:rPr>
      </w:pPr>
      <w:r>
        <w:rPr>
          <w:rFonts w:hint="eastAsia" w:ascii="宋体" w:hAnsi="宋体"/>
          <w:b/>
          <w:bCs/>
          <w:sz w:val="24"/>
        </w:rPr>
        <w:t xml:space="preserve">18. 不可抗力</w:t>
      </w:r>
      <w:r/>
    </w:p>
    <w:p>
      <w:pPr>
        <w:pStyle w:val="1100"/>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pStyle w:val="1100"/>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pStyle w:val="1100"/>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100"/>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354"/>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354"/>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354"/>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pStyle w:val="1100"/>
        <w:jc w:val="left"/>
        <w:spacing w:line="400" w:lineRule="exact"/>
        <w:rPr>
          <w:rFonts w:hint="eastAsia" w:ascii="宋体" w:hAnsi="宋体"/>
          <w:sz w:val="24"/>
        </w:rPr>
      </w:pPr>
      <w:r>
        <w:rPr>
          <w:rFonts w:hint="eastAsia" w:ascii="宋体" w:hAnsi="宋体"/>
          <w:b/>
          <w:sz w:val="24"/>
        </w:rPr>
        <w:t xml:space="preserve">20. 政府采购政策</w:t>
      </w:r>
      <w:r>
        <w:rPr>
          <w:rFonts w:hint="eastAsia" w:ascii="宋体" w:hAnsi="宋体"/>
          <w:sz w:val="24"/>
        </w:rPr>
      </w:r>
      <w:r/>
    </w:p>
    <w:p>
      <w:pPr>
        <w:pStyle w:val="1100"/>
        <w:ind w:firstLine="420"/>
        <w:spacing w:line="360" w:lineRule="auto"/>
        <w:rPr>
          <w:rFonts w:hint="eastAsia" w:ascii="宋体" w:hAnsi="宋体"/>
        </w:rPr>
      </w:pPr>
      <w:r>
        <w:rPr>
          <w:rFonts w:hint="eastAsia" w:ascii="宋体" w:hAnsi="宋体"/>
        </w:rPr>
        <w:t xml:space="preserve">20.1 本合同应当按照规定执行政府采购政策。</w:t>
      </w:r>
      <w:r/>
    </w:p>
    <w:p>
      <w:pPr>
        <w:pStyle w:val="1100"/>
        <w:ind w:firstLine="420"/>
        <w:spacing w:line="360" w:lineRule="auto"/>
        <w:rPr>
          <w:rFonts w:hint="eastAsia" w:ascii="宋体" w:hAnsi="宋体"/>
        </w:rPr>
      </w:pPr>
      <w:r>
        <w:rPr>
          <w:rFonts w:hint="eastAsia" w:ascii="宋体" w:hAnsi="宋体"/>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pStyle w:val="1100"/>
        <w:ind w:firstLine="420"/>
        <w:spacing w:line="360" w:lineRule="auto"/>
        <w:rPr>
          <w:rFonts w:hint="eastAsia" w:ascii="宋体" w:hAnsi="宋体"/>
        </w:rPr>
      </w:pPr>
      <w:r>
        <w:rPr>
          <w:rFonts w:hint="eastAsia" w:ascii="宋体" w:hAnsi="宋体"/>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100"/>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354"/>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354"/>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pStyle w:val="1100"/>
        <w:jc w:val="left"/>
        <w:spacing w:line="400" w:lineRule="exact"/>
        <w:rPr>
          <w:rFonts w:hint="eastAsia" w:ascii="宋体" w:hAnsi="宋体"/>
          <w:b/>
          <w:sz w:val="24"/>
        </w:rPr>
      </w:pPr>
      <w:r>
        <w:rPr>
          <w:rFonts w:hint="eastAsia" w:ascii="宋体" w:hAnsi="宋体"/>
          <w:b/>
          <w:sz w:val="24"/>
        </w:rPr>
        <w:t xml:space="preserve">22. 通知</w:t>
      </w:r>
      <w:r/>
    </w:p>
    <w:p>
      <w:pPr>
        <w:pStyle w:val="1354"/>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354"/>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hint="eastAsia"/>
          <w:sz w:val="21"/>
        </w:rPr>
      </w:r>
      <w:r/>
    </w:p>
    <w:p>
      <w:pPr>
        <w:pStyle w:val="1100"/>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pStyle w:val="1100"/>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pStyle w:val="1100"/>
        <w:numPr>
          <w:ilvl w:val="0"/>
          <w:numId w:val="23"/>
        </w:numPr>
        <w:jc w:val="left"/>
        <w:spacing w:line="400" w:lineRule="exact"/>
        <w:rPr>
          <w:rFonts w:hint="eastAsia" w:ascii="宋体" w:hAnsi="宋体"/>
          <w:b/>
          <w:bCs/>
          <w:sz w:val="24"/>
        </w:rPr>
      </w:pPr>
      <w:r>
        <w:rPr>
          <w:rFonts w:hint="eastAsia" w:ascii="宋体" w:hAnsi="宋体"/>
          <w:b/>
          <w:bCs/>
          <w:sz w:val="24"/>
        </w:rPr>
        <w:t xml:space="preserve">合同未尽事项</w:t>
      </w:r>
      <w:r/>
    </w:p>
    <w:p>
      <w:pPr>
        <w:pStyle w:val="1100"/>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pStyle w:val="1100"/>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820" w:name="_Toc20313"/>
      <w:r>
        <w:rPr>
          <w:rFonts w:hint="eastAsia" w:ascii="黑体" w:hAnsi="华文中宋" w:eastAsia="黑体"/>
          <w:sz w:val="28"/>
          <w:szCs w:val="28"/>
        </w:rPr>
      </w:r>
      <w:r/>
    </w:p>
    <w:p>
      <w:pPr>
        <w:pStyle w:val="1100"/>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1102"/>
        <w:rPr>
          <w:rFonts w:hint="eastAsia" w:ascii="黑体" w:hAnsi="华文中宋"/>
          <w:b w:val="0"/>
          <w:sz w:val="28"/>
          <w:szCs w:val="28"/>
        </w:rPr>
      </w:pPr>
      <w:r>
        <w:rPr>
          <w:rFonts w:hint="eastAsia" w:ascii="黑体" w:hAnsi="华文中宋"/>
          <w:b w:val="0"/>
          <w:bCs/>
          <w:sz w:val="28"/>
          <w:szCs w:val="28"/>
        </w:rPr>
        <w:t xml:space="preserve">第三节 政府采购合同专用条款</w:t>
      </w:r>
      <w:bookmarkEnd w:id="820"/>
      <w:r>
        <w:rPr>
          <w:rFonts w:hint="eastAsia" w:ascii="黑体" w:hAnsi="华文中宋"/>
          <w:b w:val="0"/>
          <w:sz w:val="28"/>
          <w:szCs w:val="28"/>
        </w:rPr>
      </w:r>
      <w:r/>
    </w:p>
    <w:tbl>
      <w:tblPr>
        <w:tblW w:w="8520"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000000" w:sz="4"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第1.2（6）项</w:t>
            </w:r>
            <w:r>
              <w:rPr>
                <w:rFonts w:ascii="宋体" w:hAnsi="宋体"/>
                <w:szCs w:val="21"/>
              </w:rPr>
            </w:r>
            <w:r/>
          </w:p>
        </w:tc>
        <w:tc>
          <w:tcPr>
            <w:tcBorders>
              <w:top w:val="single" w:color="000000" w:sz="4"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Borders>
              <w:top w:val="single" w:color="000000" w:sz="4" w:space="0"/>
              <w:left w:val="single" w:color="000000" w:sz="6" w:space="0"/>
              <w:bottom w:val="single" w:color="000000" w:sz="6" w:space="0"/>
              <w:right w:val="single" w:color="000000" w:sz="4" w:space="0"/>
            </w:tcBorders>
            <w:tcW w:w="5170" w:type="dxa"/>
            <w:vAlign w:val="center"/>
            <w:textDirection w:val="lrTb"/>
            <w:noWrap w:val="false"/>
          </w:tcPr>
          <w:p>
            <w:pPr>
              <w:pStyle w:val="1100"/>
              <w:jc w:val="left"/>
              <w:rPr>
                <w:rFonts w:ascii="宋体" w:hAnsi="宋体"/>
                <w:szCs w:val="21"/>
              </w:rPr>
            </w:pPr>
            <w:r>
              <w:rPr>
                <w:rFonts w:hint="eastAsia" w:ascii="宋体" w:hAnsi="宋体"/>
                <w:szCs w:val="21"/>
              </w:rPr>
              <w:t xml:space="preserve">/</w:t>
            </w:r>
            <w:r>
              <w:rPr>
                <w:rFonts w:ascii="宋体" w:hAnsi="宋体"/>
                <w:szCs w:val="21"/>
              </w:rPr>
            </w:r>
            <w:r/>
          </w:p>
        </w:tc>
      </w:tr>
      <w:tr>
        <w:trPr>
          <w:trHeight w:val="60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第1.2（7）项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其他术语解释</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第4.4款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jc w:val="left"/>
              <w:rPr>
                <w:rFonts w:ascii="宋体" w:hAnsi="宋体"/>
                <w:szCs w:val="21"/>
              </w:rPr>
            </w:pPr>
            <w:r>
              <w:rPr>
                <w:rFonts w:hint="eastAsia" w:ascii="宋体" w:hAnsi="宋体"/>
                <w:szCs w:val="21"/>
              </w:rPr>
              <w:t xml:space="preserve">5个工作日</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第4.6款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pPr>
            <w:r>
              <w:rPr>
                <w:rFonts w:hint="eastAsia" w:ascii="宋体" w:hAnsi="宋体"/>
                <w:szCs w:val="21"/>
              </w:rPr>
              <w:t xml:space="preserve">第5.4款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ind w:firstLine="420"/>
              <w:spacing w:line="360" w:lineRule="auto"/>
              <w:rPr>
                <w:rFonts w:ascii="宋体" w:hAnsi="宋体" w:cs="宋体"/>
                <w:szCs w:val="21"/>
              </w:rPr>
            </w:pPr>
            <w:r>
              <w:rPr>
                <w:rFonts w:hint="eastAsia" w:ascii="宋体" w:hAnsi="宋体" w:cs="宋体"/>
                <w:szCs w:val="21"/>
              </w:rPr>
              <w:t xml:space="preserve">1.乙方应当在合同签订后</w:t>
            </w:r>
            <w:r>
              <w:rPr>
                <w:rFonts w:hint="eastAsia" w:ascii="宋体" w:hAnsi="宋体" w:cs="宋体"/>
                <w:szCs w:val="21"/>
                <w:u w:val="single"/>
              </w:rPr>
              <w:t xml:space="preserve">   </w:t>
            </w:r>
            <w:r>
              <w:rPr>
                <w:rFonts w:hint="eastAsia" w:ascii="宋体" w:hAnsi="宋体" w:cs="宋体"/>
                <w:szCs w:val="21"/>
              </w:rPr>
              <w:t xml:space="preserve">天内将货物安装调试完毕交付甲方正常使用，地点由甲方指定。招标文件有约定的，从其约定。</w:t>
            </w:r>
            <w:r>
              <w:rPr>
                <w:rFonts w:ascii="宋体" w:hAnsi="宋体" w:cs="宋体"/>
                <w:szCs w:val="21"/>
              </w:rPr>
            </w:r>
            <w:r/>
          </w:p>
          <w:p>
            <w:pPr>
              <w:pStyle w:val="1100"/>
              <w:ind w:firstLine="420"/>
              <w:spacing w:line="360" w:lineRule="auto"/>
              <w:rPr>
                <w:rFonts w:ascii="宋体" w:hAnsi="宋体" w:cs="宋体"/>
                <w:szCs w:val="21"/>
              </w:rPr>
            </w:pPr>
            <w:r>
              <w:rPr>
                <w:rFonts w:hint="eastAsia" w:ascii="宋体" w:hAnsi="宋体" w:cs="宋体"/>
                <w:szCs w:val="21"/>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szCs w:val="21"/>
              </w:rPr>
            </w:r>
            <w:r/>
          </w:p>
          <w:p>
            <w:pPr>
              <w:pStyle w:val="1100"/>
              <w:ind w:firstLine="420"/>
              <w:spacing w:line="360" w:lineRule="auto"/>
              <w:rPr>
                <w:rFonts w:ascii="宋体" w:hAnsi="宋体" w:cs="宋体"/>
                <w:szCs w:val="21"/>
              </w:rPr>
            </w:pPr>
            <w:r>
              <w:rPr>
                <w:rFonts w:hint="eastAsia" w:ascii="宋体" w:hAnsi="宋体" w:cs="宋体"/>
                <w:szCs w:val="21"/>
              </w:rPr>
              <w:t xml:space="preserve">3.货物的到货验收包括：生产厂家名称、品牌、型号、规格、数量、外观质量、配置及货物包装是否完好。</w:t>
            </w:r>
            <w:r>
              <w:rPr>
                <w:rFonts w:ascii="宋体" w:hAnsi="宋体" w:cs="宋体"/>
                <w:szCs w:val="21"/>
              </w:rPr>
            </w:r>
            <w:r/>
          </w:p>
          <w:p>
            <w:pPr>
              <w:pStyle w:val="1100"/>
              <w:ind w:firstLine="420"/>
              <w:spacing w:line="360" w:lineRule="auto"/>
              <w:rPr>
                <w:rFonts w:ascii="宋体" w:hAnsi="宋体" w:cs="宋体"/>
                <w:szCs w:val="21"/>
              </w:rPr>
            </w:pPr>
            <w:r>
              <w:rPr>
                <w:rFonts w:hint="eastAsia" w:ascii="宋体" w:hAnsi="宋体" w:cs="宋体"/>
                <w:szCs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szCs w:val="21"/>
              </w:rPr>
            </w:r>
            <w:r/>
          </w:p>
          <w:p>
            <w:pPr>
              <w:pStyle w:val="1100"/>
              <w:ind w:firstLine="420"/>
              <w:spacing w:line="360" w:lineRule="auto"/>
              <w:rPr>
                <w:rFonts w:ascii="宋体" w:hAnsi="宋体" w:cs="宋体"/>
                <w:szCs w:val="21"/>
              </w:rPr>
            </w:pPr>
            <w:r>
              <w:rPr>
                <w:rFonts w:hint="eastAsia" w:ascii="宋体" w:hAnsi="宋体" w:cs="宋体"/>
                <w:szCs w:val="21"/>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szCs w:val="21"/>
              </w:rPr>
            </w:r>
            <w:r/>
          </w:p>
          <w:p>
            <w:pPr>
              <w:pStyle w:val="1100"/>
              <w:ind w:firstLine="420"/>
              <w:spacing w:line="360" w:lineRule="auto"/>
              <w:rPr>
                <w:rFonts w:ascii="宋体" w:hAnsi="宋体" w:cs="宋体"/>
                <w:szCs w:val="21"/>
              </w:rPr>
            </w:pPr>
            <w:r>
              <w:rPr>
                <w:rFonts w:hint="eastAsia" w:ascii="宋体" w:hAnsi="宋体" w:cs="宋体"/>
                <w:szCs w:val="21"/>
              </w:rPr>
              <w:t xml:space="preserve">a.重新调试直至合格为止；</w:t>
            </w:r>
            <w:r>
              <w:rPr>
                <w:rFonts w:ascii="宋体" w:hAnsi="宋体" w:cs="宋体"/>
                <w:szCs w:val="21"/>
              </w:rPr>
            </w:r>
            <w:r/>
          </w:p>
          <w:p>
            <w:pPr>
              <w:pStyle w:val="1100"/>
              <w:ind w:firstLine="420"/>
              <w:spacing w:line="360" w:lineRule="auto"/>
              <w:rPr>
                <w:rFonts w:ascii="宋体" w:hAnsi="宋体" w:cs="宋体"/>
                <w:szCs w:val="21"/>
              </w:rPr>
            </w:pPr>
            <w:r>
              <w:rPr>
                <w:rFonts w:hint="eastAsia" w:ascii="宋体" w:hAnsi="宋体" w:cs="宋体"/>
                <w:szCs w:val="21"/>
              </w:rPr>
              <w:t xml:space="preserve">b.要求乙方对货物进行免费更换，然后重新调试直至合格为止。</w:t>
            </w:r>
            <w:r>
              <w:rPr>
                <w:rFonts w:ascii="宋体" w:hAnsi="宋体" w:cs="宋体"/>
                <w:szCs w:val="21"/>
              </w:rPr>
            </w:r>
            <w:r/>
          </w:p>
          <w:p>
            <w:pPr>
              <w:pStyle w:val="1140"/>
              <w:ind w:firstLine="420"/>
              <w:spacing w:line="360" w:lineRule="auto"/>
              <w:rPr>
                <w:rFonts w:hAnsi="宋体"/>
                <w:szCs w:val="21"/>
              </w:rPr>
            </w:pPr>
            <w:r>
              <w:rPr>
                <w:rFonts w:hAnsi="宋体" w:cs="宋体"/>
                <w:szCs w:val="21"/>
              </w:rPr>
              <w:t xml:space="preserve">甲方因乙方原因所产生的所有费用均由乙方负担。</w:t>
            </w:r>
            <w:r>
              <w:rPr>
                <w:rFonts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第6.1款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jc w:val="left"/>
              <w:spacing w:line="360" w:lineRule="auto"/>
              <w:rPr>
                <w:rFonts w:ascii="宋体" w:hAnsi="宋体"/>
                <w:szCs w:val="21"/>
              </w:rPr>
            </w:pPr>
            <w:r>
              <w:rPr>
                <w:rFonts w:ascii="宋体" w:hAnsi="宋体"/>
                <w:szCs w:val="21"/>
              </w:rPr>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restart"/>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第7.1款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包装特殊要求</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spacing w:line="360" w:lineRule="auto"/>
              <w:rPr>
                <w:rFonts w:ascii="宋体" w:hAnsi="宋体"/>
              </w:rPr>
            </w:pPr>
            <w:r>
              <w:rPr>
                <w:rFonts w:hint="eastAsia" w:ascii="宋体" w:hAnsi="宋体"/>
              </w:rPr>
              <w:t xml:space="preserve">/</w:t>
            </w:r>
            <w:r>
              <w:rPr>
                <w:rFonts w:ascii="宋体" w:hAnsi="宋体"/>
              </w:rPr>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continue"/>
            <w:textDirection w:val="lrTb"/>
            <w:noWrap w:val="false"/>
          </w:tcPr>
          <w:p>
            <w:pPr>
              <w:pStyle w:val="1100"/>
              <w:jc w:val="left"/>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指定现场</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spacing w:line="360" w:lineRule="auto"/>
              <w:rPr>
                <w:rFonts w:ascii="宋体" w:hAnsi="宋体"/>
              </w:rPr>
            </w:pPr>
            <w:r>
              <w:rPr>
                <w:rFonts w:hint="eastAsia" w:ascii="宋体" w:hAnsi="宋体"/>
              </w:rPr>
              <w:t xml:space="preserve">甲方指定现场</w:t>
            </w:r>
            <w:r>
              <w:rPr>
                <w:rFonts w:ascii="宋体" w:hAnsi="宋体"/>
              </w:rPr>
            </w:r>
            <w:r/>
          </w:p>
        </w:tc>
      </w:tr>
      <w:tr>
        <w:trPr>
          <w:trHeight w:val="772"/>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第7.2款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运输特殊要求</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spacing w:line="360" w:lineRule="auto"/>
              <w:rPr>
                <w:rFonts w:ascii="宋体" w:hAnsi="宋体"/>
              </w:rPr>
            </w:pPr>
            <w:r>
              <w:rPr>
                <w:rFonts w:hint="eastAsia" w:ascii="宋体" w:hAnsi="宋体"/>
              </w:rPr>
              <w:t xml:space="preserve">/</w:t>
            </w:r>
            <w:r>
              <w:rPr>
                <w:rFonts w:ascii="宋体" w:hAnsi="宋体"/>
              </w:rPr>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第7.3款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保险要求</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spacing w:line="360" w:lineRule="auto"/>
              <w:rPr>
                <w:rFonts w:ascii="宋体" w:hAnsi="宋体"/>
              </w:rPr>
            </w:pPr>
            <w:r>
              <w:rPr>
                <w:rFonts w:hint="eastAsia" w:ascii="宋体" w:hAnsi="宋体"/>
              </w:rPr>
              <w:t xml:space="preserve">/</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第8.2（1）项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质量保证期</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spacing w:line="360" w:lineRule="auto"/>
              <w:rPr>
                <w:rFonts w:ascii="宋体" w:hAnsi="宋体"/>
                <w:szCs w:val="21"/>
              </w:rPr>
            </w:pPr>
            <w:r>
              <w:rPr>
                <w:rFonts w:hint="eastAsia" w:ascii="宋体" w:hAnsi="宋体" w:cs="宋体"/>
                <w:szCs w:val="21"/>
              </w:rPr>
              <w:t xml:space="preserve"> </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第8.2（3）项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1100"/>
              <w:jc w:val="left"/>
              <w:rPr>
                <w:rFonts w:ascii="宋体" w:hAnsi="宋体"/>
                <w:szCs w:val="21"/>
              </w:rPr>
            </w:pPr>
            <w:r>
              <w:rPr>
                <w:rFonts w:hint="eastAsia" w:ascii="宋体" w:hAnsi="宋体"/>
                <w:szCs w:val="21"/>
              </w:rPr>
              <w:t xml:space="preserve">响应时间</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40"/>
              <w:spacing w:line="360" w:lineRule="auto"/>
              <w:rPr>
                <w:rFonts w:hAnsi="宋体"/>
                <w:szCs w:val="21"/>
              </w:rPr>
            </w:pPr>
            <w:r>
              <w:rPr>
                <w:rFonts w:hAnsi="宋体"/>
                <w:szCs w:val="21"/>
              </w:rPr>
              <w:t xml:space="preserve">2小时内响应，24小时内到场维修。</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354"/>
              <w:ind w:firstLine="0"/>
              <w:jc w:val="center"/>
            </w:pPr>
            <w:r>
              <w:rPr>
                <w:rFonts w:hint="eastAsia" w:ascii="宋体" w:hAnsi="宋体" w:eastAsia="宋体" w:cs="宋体"/>
              </w:rPr>
              <w:t xml:space="preserve">第11.1款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rPr>
                <w:rFonts w:ascii="宋体" w:hAnsi="宋体"/>
                <w:szCs w:val="21"/>
              </w:rPr>
            </w:pPr>
            <w:r>
              <w:rPr>
                <w:rFonts w:hint="eastAsia" w:ascii="宋体" w:hAnsi="宋体"/>
                <w:szCs w:val="21"/>
              </w:rPr>
              <w:t xml:space="preserve">其他应当保密的信息</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jc w:val="left"/>
              <w:spacing w:line="360" w:lineRule="auto"/>
              <w:rPr>
                <w:rFonts w:ascii="宋体" w:hAnsi="宋体"/>
                <w:szCs w:val="21"/>
              </w:rPr>
            </w:pPr>
            <w:r>
              <w:rPr>
                <w:rFonts w:hint="eastAsia" w:ascii="宋体" w:hAnsi="宋体"/>
                <w:szCs w:val="21"/>
              </w:rPr>
              <w:t xml:space="preserve">/</w:t>
            </w:r>
            <w:r>
              <w:rPr>
                <w:rFonts w:ascii="宋体" w:hAnsi="宋体"/>
                <w:szCs w:val="21"/>
              </w:rPr>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第12.2款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jc w:val="left"/>
              <w:spacing w:line="360" w:lineRule="auto"/>
              <w:rPr>
                <w:rFonts w:ascii="宋体" w:hAnsi="宋体"/>
                <w:szCs w:val="21"/>
              </w:rPr>
            </w:pPr>
            <w:r>
              <w:rPr>
                <w:rFonts w:ascii="宋体" w:hAnsi="宋体"/>
                <w:szCs w:val="21"/>
              </w:rPr>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第13.2款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jc w:val="left"/>
              <w:spacing w:line="360" w:lineRule="auto"/>
              <w:rPr>
                <w:rFonts w:ascii="宋体" w:hAnsi="宋体"/>
                <w:szCs w:val="21"/>
              </w:rPr>
            </w:pPr>
            <w:r>
              <w:rPr>
                <w:rFonts w:hint="eastAsia" w:ascii="宋体" w:hAnsi="宋体"/>
                <w:szCs w:val="21"/>
              </w:rPr>
              <w:t xml:space="preserve">本项目不收取履约保证金。</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第13.3款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jc w:val="left"/>
              <w:spacing w:line="360" w:lineRule="auto"/>
              <w:rPr>
                <w:rFonts w:ascii="宋体" w:hAnsi="宋体"/>
                <w:szCs w:val="21"/>
              </w:rPr>
            </w:pPr>
            <w:r>
              <w:rPr>
                <w:rFonts w:hint="eastAsia" w:ascii="宋体" w:hAnsi="宋体"/>
                <w:szCs w:val="21"/>
              </w:rPr>
              <w:t xml:space="preserve">/</w:t>
            </w:r>
            <w:r>
              <w:rPr>
                <w:rFonts w:ascii="宋体" w:hAnsi="宋体"/>
                <w:szCs w:val="21"/>
              </w:rPr>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第14.1（3）项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jc w:val="left"/>
              <w:spacing w:line="360" w:lineRule="auto"/>
              <w:rPr>
                <w:rFonts w:ascii="宋体" w:hAnsi="宋体"/>
                <w:szCs w:val="21"/>
              </w:rPr>
            </w:pPr>
            <w:r>
              <w:rPr>
                <w:rFonts w:hint="eastAsia" w:ascii="宋体" w:hAnsi="宋体"/>
                <w:szCs w:val="21"/>
              </w:rPr>
              <w:t xml:space="preserve">双方约定的质保期</w:t>
            </w:r>
            <w:r>
              <w:rPr>
                <w:rFonts w:ascii="宋体" w:hAnsi="宋体"/>
                <w:szCs w:val="21"/>
              </w:rPr>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第14.1（5）项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jc w:val="left"/>
              <w:spacing w:line="360" w:lineRule="auto"/>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第14.1（6）项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ind w:firstLine="420"/>
              <w:jc w:val="left"/>
              <w:spacing w:line="360" w:lineRule="auto"/>
              <w:rPr>
                <w:rFonts w:hint="eastAsia" w:ascii="宋体" w:hAnsi="宋体"/>
              </w:rPr>
            </w:pPr>
            <w:r>
              <w:rPr>
                <w:rFonts w:hint="eastAsia" w:ascii="宋体" w:hAnsi="宋体"/>
              </w:rPr>
              <w:t xml:space="preserve">若招标文件中不包含有关伴随服务或售后服务的承诺，双方作如下约定：</w:t>
            </w:r>
            <w:r/>
          </w:p>
          <w:p>
            <w:pPr>
              <w:pStyle w:val="1100"/>
              <w:ind w:firstLine="420"/>
              <w:jc w:val="left"/>
              <w:spacing w:line="360" w:lineRule="auto"/>
              <w:rPr>
                <w:rFonts w:hint="eastAsia" w:ascii="宋体" w:hAnsi="宋体"/>
              </w:rPr>
            </w:pPr>
            <w:r>
              <w:rPr>
                <w:rFonts w:hint="eastAsia" w:ascii="宋体" w:hAnsi="宋体"/>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1100"/>
              <w:ind w:firstLine="420"/>
              <w:jc w:val="left"/>
              <w:spacing w:line="360" w:lineRule="auto"/>
              <w:rPr>
                <w:rFonts w:hint="eastAsia" w:ascii="宋体" w:hAnsi="宋体"/>
              </w:rPr>
            </w:pPr>
            <w:r>
              <w:rPr>
                <w:rFonts w:hint="eastAsia" w:ascii="宋体" w:hAnsi="宋体"/>
              </w:rPr>
              <w:t xml:space="preserve">2.所购货物按乙方投标承诺提供免费维护和质量保证，保修费用计入总价。</w:t>
            </w:r>
            <w:r/>
          </w:p>
          <w:p>
            <w:pPr>
              <w:pStyle w:val="1100"/>
              <w:ind w:firstLine="420"/>
              <w:jc w:val="left"/>
              <w:spacing w:line="360" w:lineRule="auto"/>
              <w:rPr>
                <w:rFonts w:hint="eastAsia" w:ascii="宋体" w:hAnsi="宋体"/>
              </w:rPr>
            </w:pPr>
            <w:r>
              <w:rPr>
                <w:rFonts w:hint="eastAsia" w:ascii="宋体" w:hAnsi="宋体"/>
              </w:rPr>
              <w:t xml:space="preserve">3.保修期内，乙方负责对其提供的货物整机进行维修和系统维护，不再收取任何费用，但不可抗力（如火灾、雷击等）造成的故障除外。</w:t>
            </w:r>
            <w:r/>
          </w:p>
          <w:p>
            <w:pPr>
              <w:pStyle w:val="1100"/>
              <w:ind w:firstLine="420"/>
              <w:jc w:val="left"/>
              <w:spacing w:line="360" w:lineRule="auto"/>
              <w:rPr>
                <w:rFonts w:hint="eastAsia" w:ascii="宋体" w:hAnsi="宋体"/>
              </w:rPr>
            </w:pPr>
            <w:r>
              <w:rPr>
                <w:rFonts w:hint="eastAsia" w:ascii="宋体" w:hAnsi="宋体"/>
              </w:rPr>
              <w:t xml:space="preserve">4.货物故障报修的响应时间按乙方投标承诺执行。</w:t>
            </w:r>
            <w:r/>
          </w:p>
          <w:p>
            <w:pPr>
              <w:pStyle w:val="1100"/>
              <w:ind w:firstLine="420"/>
              <w:jc w:val="left"/>
              <w:spacing w:line="360" w:lineRule="auto"/>
              <w:rPr>
                <w:rFonts w:hint="eastAsia" w:ascii="宋体" w:hAnsi="宋体"/>
              </w:rPr>
            </w:pPr>
            <w:r>
              <w:rPr>
                <w:rFonts w:hint="eastAsia" w:ascii="宋体" w:hAnsi="宋体"/>
              </w:rPr>
              <w:t xml:space="preserve">5.若货物故障在检修工作小时后仍无法排除，乙方应在小时内免费提供不低于故障货物规格型号档次的备用货物供甲方使用，直至故障货物修复。</w:t>
            </w:r>
            <w:r/>
          </w:p>
          <w:p>
            <w:pPr>
              <w:pStyle w:val="1100"/>
              <w:ind w:firstLine="420"/>
              <w:jc w:val="left"/>
              <w:spacing w:line="360" w:lineRule="auto"/>
              <w:rPr>
                <w:rFonts w:ascii="宋体" w:hAnsi="宋体"/>
              </w:rPr>
            </w:pPr>
            <w:r>
              <w:rPr>
                <w:rFonts w:hint="eastAsia" w:ascii="宋体" w:hAnsi="宋体"/>
              </w:rPr>
              <w:t xml:space="preserve">6.所有货物保修服务方式均为乙方上门保修，即由乙方派员到货物使用现场维修，由此产生的一切费用均由乙方承担。</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第15.1款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ind w:firstLine="420"/>
              <w:spacing w:line="360" w:lineRule="auto"/>
              <w:rPr>
                <w:rFonts w:ascii="宋体" w:hAnsi="宋体"/>
              </w:rPr>
            </w:pPr>
            <w:r>
              <w:rPr>
                <w:rFonts w:hint="eastAsia" w:ascii="宋体" w:hAnsi="宋体"/>
              </w:rPr>
              <w:t xml:space="preserve">调试检验出现全部或部分未达到本合同所约定的技术指标，甲方有权选择下列任一处理方式： </w:t>
            </w:r>
            <w:r>
              <w:rPr>
                <w:rFonts w:ascii="宋体" w:hAnsi="宋体"/>
              </w:rPr>
            </w:r>
            <w:r/>
          </w:p>
          <w:p>
            <w:pPr>
              <w:pStyle w:val="1100"/>
              <w:ind w:firstLine="420"/>
              <w:spacing w:line="360" w:lineRule="auto"/>
              <w:rPr>
                <w:rFonts w:ascii="宋体" w:hAnsi="宋体"/>
              </w:rPr>
            </w:pPr>
            <w:r>
              <w:rPr>
                <w:rFonts w:hint="eastAsia" w:ascii="宋体" w:hAnsi="宋体"/>
              </w:rPr>
              <w:t xml:space="preserve">1.重新调试直至合格为止；</w:t>
            </w:r>
            <w:r>
              <w:rPr>
                <w:rFonts w:ascii="宋体" w:hAnsi="宋体"/>
              </w:rPr>
            </w:r>
            <w:r/>
          </w:p>
          <w:p>
            <w:pPr>
              <w:pStyle w:val="1100"/>
              <w:ind w:firstLine="420"/>
              <w:spacing w:line="360" w:lineRule="auto"/>
              <w:rPr>
                <w:rFonts w:ascii="宋体" w:hAnsi="宋体"/>
              </w:rPr>
            </w:pPr>
            <w:r>
              <w:rPr>
                <w:rFonts w:hint="eastAsia" w:ascii="宋体" w:hAnsi="宋体"/>
              </w:rPr>
              <w:t xml:space="preserve">2.要求乙方对货物进行免费更换，然后重新调试直至合格为止。</w:t>
            </w:r>
            <w:r>
              <w:rPr>
                <w:rFonts w:ascii="宋体" w:hAnsi="宋体"/>
              </w:rPr>
            </w:r>
            <w:r/>
          </w:p>
          <w:p>
            <w:pPr>
              <w:pStyle w:val="1100"/>
              <w:ind w:firstLine="420"/>
              <w:spacing w:line="360" w:lineRule="auto"/>
              <w:rPr>
                <w:rFonts w:ascii="宋体" w:hAnsi="宋体"/>
              </w:rPr>
            </w:pPr>
            <w:r>
              <w:rPr>
                <w:rFonts w:hint="eastAsia" w:ascii="宋体" w:hAnsi="宋体"/>
              </w:rPr>
              <w:t xml:space="preserve">甲方因乙方原因所产生的所有费用均由乙方负担。</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第15.2（2）项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ind w:firstLine="420"/>
              <w:jc w:val="left"/>
              <w:spacing w:line="360" w:lineRule="auto"/>
              <w:rPr>
                <w:rFonts w:ascii="宋体" w:hAnsi="宋体"/>
              </w:rPr>
            </w:pPr>
            <w:r>
              <w:rPr>
                <w:rFonts w:hint="eastAsia" w:ascii="宋体" w:hAnsi="宋体"/>
              </w:rPr>
              <w:t xml:space="preserve">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第15.3款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逾期付款利息</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100"/>
              <w:ind w:firstLine="420"/>
              <w:jc w:val="left"/>
              <w:spacing w:line="360" w:lineRule="auto"/>
              <w:rPr>
                <w:rFonts w:ascii="宋体" w:hAnsi="宋体"/>
              </w:rPr>
            </w:pPr>
            <w:r>
              <w:rPr>
                <w:rFonts w:hint="eastAsia" w:ascii="宋体" w:hAnsi="宋体"/>
              </w:rPr>
              <w:t xml:space="preserve">甲方未按合同规定的期限向乙方支付货款的，每逾期</w:t>
            </w:r>
            <w:r>
              <w:rPr>
                <w:rFonts w:ascii="宋体" w:hAnsi="宋体"/>
              </w:rPr>
              <w:t xml:space="preserve">1</w:t>
            </w:r>
            <w:r>
              <w:rPr>
                <w:rFonts w:hint="eastAsia" w:ascii="宋体" w:hAnsi="宋体"/>
              </w:rPr>
              <w:t xml:space="preserve">天甲方向乙方偿付欠款总额的</w:t>
            </w:r>
            <w:r>
              <w:rPr>
                <w:rFonts w:ascii="宋体" w:hAnsi="宋体"/>
              </w:rPr>
              <w:t xml:space="preserve">5</w:t>
            </w:r>
            <w:r>
              <w:rPr>
                <w:rFonts w:hint="eastAsia" w:ascii="宋体" w:hAnsi="宋体"/>
              </w:rPr>
              <w:t xml:space="preserve">‰滞纳金，但累计滞纳金总额不超过欠款总额的</w:t>
            </w:r>
            <w:r>
              <w:rPr>
                <w:rFonts w:ascii="宋体" w:hAnsi="宋体"/>
              </w:rPr>
              <w:t xml:space="preserve">5%</w:t>
            </w:r>
            <w:r>
              <w:rPr>
                <w:rFonts w:hint="eastAsia" w:ascii="宋体" w:hAnsi="宋体"/>
              </w:rPr>
              <w:t xml:space="preserve">。</w:t>
            </w:r>
            <w:r>
              <w:rPr>
                <w:rFonts w:ascii="宋体" w:hAnsi="宋体"/>
              </w:rPr>
            </w:r>
            <w:r/>
          </w:p>
        </w:tc>
      </w:tr>
      <w:tr>
        <w:trPr>
          <w:trHeight w:val="876"/>
        </w:trPr>
        <w:tc>
          <w:tcPr>
            <w:tcBorders>
              <w:top w:val="single" w:color="000000" w:sz="6" w:space="0"/>
              <w:left w:val="single" w:color="000000" w:sz="4" w:space="0"/>
              <w:bottom w:val="single" w:color="000000" w:sz="2" w:space="0"/>
              <w:right w:val="single" w:color="000000" w:sz="2"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第15.4款</w:t>
            </w:r>
            <w:r>
              <w:rPr>
                <w:rFonts w:ascii="宋体" w:hAnsi="宋体"/>
                <w:szCs w:val="21"/>
              </w:rPr>
            </w:r>
            <w:r/>
          </w:p>
        </w:tc>
        <w:tc>
          <w:tcPr>
            <w:tcBorders>
              <w:top w:val="single" w:color="000000" w:sz="6" w:space="0"/>
              <w:left w:val="single" w:color="000000" w:sz="2" w:space="0"/>
              <w:bottom w:val="single" w:color="000000" w:sz="2" w:space="0"/>
              <w:right w:val="single" w:color="000000" w:sz="2"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其他违约责任</w:t>
            </w:r>
            <w:r>
              <w:rPr>
                <w:rFonts w:ascii="宋体" w:hAnsi="宋体"/>
                <w:szCs w:val="21"/>
              </w:rPr>
            </w:r>
            <w:r/>
          </w:p>
        </w:tc>
        <w:tc>
          <w:tcPr>
            <w:tcBorders>
              <w:top w:val="single" w:color="000000" w:sz="6" w:space="0"/>
              <w:left w:val="single" w:color="000000" w:sz="2" w:space="0"/>
              <w:bottom w:val="single" w:color="000000" w:sz="2" w:space="0"/>
              <w:right w:val="single" w:color="000000" w:sz="4" w:space="0"/>
            </w:tcBorders>
            <w:tcW w:w="5170" w:type="dxa"/>
            <w:vAlign w:val="center"/>
            <w:textDirection w:val="lrTb"/>
            <w:noWrap w:val="false"/>
          </w:tcPr>
          <w:p>
            <w:pPr>
              <w:pStyle w:val="1100"/>
              <w:ind w:firstLine="420"/>
              <w:spacing w:line="360" w:lineRule="auto"/>
              <w:rPr>
                <w:rFonts w:ascii="宋体" w:hAnsi="宋体"/>
              </w:rPr>
            </w:pPr>
            <w:r>
              <w:rPr>
                <w:rFonts w:hint="eastAsia" w:ascii="宋体" w:hAnsi="宋体"/>
              </w:rPr>
              <w:t xml:space="preserve">1.乙方所交付的货物品种、型号、规格不符合合同规定的，甲方有权拒收</w:t>
            </w:r>
            <w:r>
              <w:rPr>
                <w:rFonts w:ascii="宋体" w:hAnsi="宋体"/>
              </w:rPr>
              <w:t xml:space="preserve">，</w:t>
            </w:r>
            <w:r>
              <w:rPr>
                <w:rFonts w:hint="eastAsia" w:ascii="宋体" w:hAnsi="宋体"/>
              </w:rPr>
              <w:t xml:space="preserve">同时</w:t>
            </w:r>
            <w:r>
              <w:rPr>
                <w:rFonts w:ascii="宋体" w:hAnsi="宋体"/>
              </w:rPr>
              <w:t xml:space="preserve">有权解除合同，</w:t>
            </w:r>
            <w:r>
              <w:rPr>
                <w:rFonts w:hint="eastAsia" w:ascii="宋体" w:hAnsi="宋体"/>
              </w:rPr>
              <w:t xml:space="preserve">全部</w:t>
            </w:r>
            <w:r>
              <w:rPr>
                <w:rFonts w:ascii="宋体" w:hAnsi="宋体"/>
              </w:rPr>
              <w:t xml:space="preserve">履约保证金</w:t>
            </w:r>
            <w:r>
              <w:rPr>
                <w:rFonts w:hint="eastAsia" w:ascii="宋体" w:hAnsi="宋体"/>
              </w:rPr>
              <w:t xml:space="preserve">不予</w:t>
            </w:r>
            <w:r>
              <w:rPr>
                <w:rFonts w:ascii="宋体" w:hAnsi="宋体"/>
              </w:rPr>
              <w:t xml:space="preserve">退还，</w:t>
            </w:r>
            <w:r>
              <w:rPr>
                <w:rFonts w:hint="eastAsia" w:ascii="宋体" w:hAnsi="宋体"/>
              </w:rPr>
              <w:t xml:space="preserve">解除合同的通知自</w:t>
            </w:r>
            <w:r>
              <w:rPr>
                <w:rFonts w:ascii="宋体" w:hAnsi="宋体"/>
              </w:rPr>
              <w:t xml:space="preserve">发出之日</w:t>
            </w:r>
            <w:r>
              <w:rPr>
                <w:rFonts w:hint="eastAsia" w:ascii="宋体" w:hAnsi="宋体"/>
              </w:rPr>
              <w:t xml:space="preserve">生效</w:t>
            </w:r>
            <w:r>
              <w:rPr>
                <w:rFonts w:ascii="宋体" w:hAnsi="宋体"/>
              </w:rPr>
              <w:t xml:space="preserve">。</w:t>
            </w:r>
            <w:r/>
          </w:p>
          <w:p>
            <w:pPr>
              <w:pStyle w:val="1100"/>
              <w:ind w:firstLine="420"/>
              <w:spacing w:line="360" w:lineRule="auto"/>
              <w:rPr>
                <w:rFonts w:ascii="宋体" w:hAnsi="宋体"/>
              </w:rPr>
            </w:pPr>
            <w:r>
              <w:rPr>
                <w:rFonts w:hint="eastAsia" w:ascii="宋体" w:hAnsi="宋体"/>
              </w:rPr>
              <w:t xml:space="preserve">2.在乙方承诺的或国家规定的质量保证期内（取两者中最长的期限），如经乙方两次维修或更换，货物仍不能达到合同约定的质量标准、运行效果的，甲方有权</w:t>
            </w:r>
            <w:r>
              <w:rPr>
                <w:rFonts w:ascii="宋体" w:hAnsi="宋体"/>
              </w:rPr>
              <w:t xml:space="preserve">要求</w:t>
            </w:r>
            <w:r>
              <w:rPr>
                <w:rFonts w:hint="eastAsia" w:ascii="宋体" w:hAnsi="宋体"/>
              </w:rPr>
              <w:t xml:space="preserve">退货，乙方应退回全部货款，</w:t>
            </w:r>
            <w:r>
              <w:rPr>
                <w:rFonts w:ascii="宋体" w:hAnsi="宋体"/>
              </w:rPr>
              <w:t xml:space="preserve">同时甲方有权按照本条第1</w:t>
            </w:r>
            <w:r>
              <w:rPr>
                <w:rFonts w:hint="eastAsia" w:ascii="宋体" w:hAnsi="宋体"/>
              </w:rPr>
              <w:t xml:space="preserve">点不予</w:t>
            </w:r>
            <w:r>
              <w:rPr>
                <w:rFonts w:ascii="宋体" w:hAnsi="宋体"/>
              </w:rPr>
              <w:t xml:space="preserve">退还履约保证金和</w:t>
            </w:r>
            <w:r>
              <w:rPr>
                <w:rFonts w:hint="eastAsia" w:ascii="宋体" w:hAnsi="宋体"/>
              </w:rPr>
              <w:t xml:space="preserve">向</w:t>
            </w:r>
            <w:r>
              <w:rPr>
                <w:rFonts w:ascii="宋体" w:hAnsi="宋体"/>
              </w:rPr>
              <w:t xml:space="preserve">乙方主张违约金</w:t>
            </w:r>
            <w:r>
              <w:rPr>
                <w:rFonts w:hint="eastAsia" w:ascii="宋体" w:hAnsi="宋体"/>
              </w:rPr>
              <w:t xml:space="preserve">，</w:t>
            </w:r>
            <w:r>
              <w:rPr>
                <w:rFonts w:ascii="宋体" w:hAnsi="宋体"/>
              </w:rPr>
              <w:t xml:space="preserve">若仍不足以弥补甲方损失，</w:t>
            </w:r>
            <w:r>
              <w:rPr>
                <w:rFonts w:hint="eastAsia" w:ascii="宋体" w:hAnsi="宋体"/>
              </w:rPr>
              <w:t xml:space="preserve">则乙方还须赔偿甲方因此遭受的</w:t>
            </w:r>
            <w:r>
              <w:rPr>
                <w:rFonts w:ascii="宋体" w:hAnsi="宋体"/>
              </w:rPr>
              <w:t xml:space="preserve">所有</w:t>
            </w:r>
            <w:r>
              <w:rPr>
                <w:rFonts w:hint="eastAsia" w:ascii="宋体" w:hAnsi="宋体"/>
              </w:rPr>
              <w:t xml:space="preserve">损失。</w:t>
            </w:r>
            <w:r>
              <w:rPr>
                <w:rFonts w:ascii="宋体" w:hAnsi="宋体"/>
              </w:rPr>
            </w:r>
            <w:r/>
          </w:p>
          <w:p>
            <w:pPr>
              <w:pStyle w:val="1100"/>
              <w:ind w:firstLine="420"/>
              <w:spacing w:line="360" w:lineRule="auto"/>
              <w:rPr>
                <w:rFonts w:ascii="宋体" w:hAnsi="宋体"/>
              </w:rPr>
            </w:pPr>
            <w:r>
              <w:rPr>
                <w:rFonts w:hint="eastAsia" w:ascii="宋体" w:hAnsi="宋体"/>
              </w:rPr>
              <w:t xml:space="preserve">3.乙方未按本合同规定向甲方交付履约保证金的，</w:t>
            </w:r>
            <w:r>
              <w:rPr>
                <w:rFonts w:ascii="宋体" w:hAnsi="宋体"/>
              </w:rPr>
              <w:t xml:space="preserve">甲方有权拒绝签订本合同，</w:t>
            </w:r>
            <w:r>
              <w:rPr>
                <w:rFonts w:hint="eastAsia" w:ascii="宋体" w:hAnsi="宋体"/>
              </w:rPr>
              <w:t xml:space="preserve">同时</w:t>
            </w:r>
            <w:r>
              <w:rPr>
                <w:rFonts w:ascii="宋体" w:hAnsi="宋体"/>
              </w:rPr>
              <w:t xml:space="preserve">乙方</w:t>
            </w:r>
            <w:r>
              <w:rPr>
                <w:rFonts w:hint="eastAsia" w:ascii="宋体" w:hAnsi="宋体"/>
              </w:rPr>
              <w:t xml:space="preserve">应按应交付履约保证金的</w:t>
            </w:r>
            <w:r>
              <w:rPr>
                <w:rFonts w:ascii="宋体" w:hAnsi="宋体"/>
              </w:rPr>
              <w:t xml:space="preserve">100%</w:t>
            </w:r>
            <w:r>
              <w:rPr>
                <w:rFonts w:hint="eastAsia" w:ascii="宋体" w:hAnsi="宋体"/>
              </w:rPr>
              <w:t xml:space="preserve">向甲方支付违约金。</w:t>
            </w:r>
            <w:r>
              <w:rPr>
                <w:rFonts w:ascii="宋体" w:hAnsi="宋体"/>
              </w:rPr>
            </w:r>
            <w:r/>
          </w:p>
          <w:p>
            <w:pPr>
              <w:pStyle w:val="1100"/>
              <w:ind w:firstLine="420"/>
              <w:spacing w:line="360" w:lineRule="auto"/>
              <w:rPr>
                <w:rFonts w:ascii="宋体" w:hAnsi="宋体"/>
              </w:rPr>
            </w:pPr>
            <w:r>
              <w:rPr>
                <w:rFonts w:hint="eastAsia" w:ascii="宋体" w:hAnsi="宋体"/>
              </w:rPr>
              <w:t xml:space="preserve">4.乙方未按本合同的规定和“服务承诺”提供伴随服务</w:t>
            </w:r>
            <w:r>
              <w:rPr>
                <w:rFonts w:ascii="宋体" w:hAnsi="宋体"/>
              </w:rPr>
              <w:t xml:space="preserve">/</w:t>
            </w:r>
            <w:r>
              <w:rPr>
                <w:rFonts w:hint="eastAsia" w:ascii="宋体" w:hAnsi="宋体"/>
              </w:rPr>
              <w:t xml:space="preserve">售后服务的，</w:t>
            </w:r>
            <w:r>
              <w:rPr>
                <w:rFonts w:ascii="宋体" w:hAnsi="宋体"/>
              </w:rPr>
              <w:t xml:space="preserve">甲方有权提前解除本合同，</w:t>
            </w:r>
            <w:r>
              <w:rPr>
                <w:rFonts w:hint="eastAsia" w:ascii="宋体" w:hAnsi="宋体"/>
              </w:rPr>
              <w:t xml:space="preserve">同时</w:t>
            </w:r>
            <w:r>
              <w:rPr>
                <w:rFonts w:ascii="宋体" w:hAnsi="宋体"/>
              </w:rPr>
              <w:t xml:space="preserve">乙方</w:t>
            </w:r>
            <w:r>
              <w:rPr>
                <w:rFonts w:hint="eastAsia" w:ascii="宋体" w:hAnsi="宋体"/>
              </w:rPr>
              <w:t xml:space="preserve">应按合同总价款的</w:t>
            </w:r>
            <w:r>
              <w:rPr>
                <w:rFonts w:ascii="宋体" w:hAnsi="宋体"/>
              </w:rPr>
              <w:t xml:space="preserve">5 %</w:t>
            </w:r>
            <w:r>
              <w:rPr>
                <w:rFonts w:hint="eastAsia" w:ascii="宋体" w:hAnsi="宋体"/>
              </w:rPr>
              <w:t xml:space="preserve">向甲方承担违约责任。</w:t>
            </w:r>
            <w:r>
              <w:rPr>
                <w:rFonts w:ascii="宋体" w:hAnsi="宋体"/>
              </w:rPr>
            </w:r>
            <w:r/>
          </w:p>
          <w:p>
            <w:pPr>
              <w:pStyle w:val="1100"/>
              <w:ind w:firstLine="420"/>
              <w:spacing w:line="360" w:lineRule="auto"/>
              <w:rPr>
                <w:rFonts w:ascii="宋体" w:hAnsi="宋体"/>
              </w:rPr>
            </w:pPr>
            <w:r>
              <w:rPr>
                <w:rFonts w:hint="eastAsia" w:ascii="宋体" w:hAnsi="宋体"/>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rPr>
            </w:r>
            <w:r/>
          </w:p>
          <w:p>
            <w:pPr>
              <w:pStyle w:val="1100"/>
              <w:ind w:firstLine="420"/>
              <w:spacing w:line="360" w:lineRule="auto"/>
              <w:rPr>
                <w:rFonts w:ascii="宋体" w:hAnsi="宋体"/>
              </w:rPr>
            </w:pPr>
            <w:r>
              <w:rPr>
                <w:rFonts w:hint="eastAsia" w:ascii="宋体" w:hAnsi="宋体"/>
              </w:rPr>
              <w:t xml:space="preserve">6.乙方投标属虚假承诺，或经权威部门监测提供的货物不能满足招标文件要求，或是由于乙方的过错造成合同无法继续履行的，</w:t>
            </w:r>
            <w:r>
              <w:rPr>
                <w:rFonts w:ascii="宋体" w:hAnsi="宋体"/>
              </w:rPr>
              <w:t xml:space="preserve">除</w:t>
            </w:r>
            <w:r>
              <w:rPr>
                <w:rFonts w:hint="eastAsia" w:ascii="宋体" w:hAnsi="宋体"/>
              </w:rPr>
              <w:t xml:space="preserve">乙方</w:t>
            </w:r>
            <w:r>
              <w:rPr>
                <w:rFonts w:ascii="宋体" w:hAnsi="宋体"/>
              </w:rPr>
              <w:t xml:space="preserve">已</w:t>
            </w:r>
            <w:r>
              <w:rPr>
                <w:rFonts w:hint="eastAsia" w:ascii="宋体" w:hAnsi="宋体"/>
              </w:rPr>
              <w:t xml:space="preserve">交履约保证金不予退还外，还应向甲方支付不少于合同总价</w:t>
            </w:r>
            <w:r>
              <w:rPr>
                <w:rFonts w:ascii="宋体" w:hAnsi="宋体"/>
              </w:rPr>
              <w:t xml:space="preserve">30%违约</w:t>
            </w:r>
            <w:r>
              <w:rPr>
                <w:rFonts w:hint="eastAsia" w:ascii="宋体" w:hAnsi="宋体"/>
              </w:rPr>
              <w:t xml:space="preserve">金</w:t>
            </w:r>
            <w:r>
              <w:rPr>
                <w:rFonts w:ascii="宋体" w:hAnsi="宋体"/>
              </w:rPr>
              <w:t xml:space="preserve">，</w:t>
            </w:r>
            <w:r>
              <w:rPr>
                <w:rFonts w:hint="eastAsia" w:ascii="宋体" w:hAnsi="宋体"/>
              </w:rPr>
              <w:t xml:space="preserve">若</w:t>
            </w:r>
            <w:r>
              <w:rPr>
                <w:rFonts w:ascii="宋体" w:hAnsi="宋体"/>
              </w:rPr>
              <w:t xml:space="preserve">该违约金</w:t>
            </w:r>
            <w:r>
              <w:rPr>
                <w:rFonts w:hint="eastAsia" w:ascii="宋体" w:hAnsi="宋体"/>
              </w:rPr>
              <w:t xml:space="preserve">不足以</w:t>
            </w:r>
            <w:r>
              <w:rPr>
                <w:rFonts w:ascii="宋体" w:hAnsi="宋体"/>
              </w:rPr>
              <w:t xml:space="preserve">弥补甲方损失，</w:t>
            </w:r>
            <w:r>
              <w:rPr>
                <w:rFonts w:hint="eastAsia" w:ascii="宋体" w:hAnsi="宋体"/>
              </w:rPr>
              <w:t xml:space="preserve">则应当</w:t>
            </w:r>
            <w:r>
              <w:rPr>
                <w:rFonts w:ascii="宋体" w:hAnsi="宋体"/>
              </w:rPr>
              <w:t xml:space="preserve">赔偿甲方所有损失</w:t>
            </w:r>
            <w:r>
              <w:rPr>
                <w:rFonts w:hint="eastAsia" w:ascii="宋体" w:hAnsi="宋体"/>
              </w:rPr>
              <w:t xml:space="preserve">。</w:t>
            </w:r>
            <w:r>
              <w:rPr>
                <w:rFonts w:ascii="宋体" w:hAnsi="宋体"/>
              </w:rPr>
            </w:r>
            <w:r/>
          </w:p>
          <w:p>
            <w:pPr>
              <w:pStyle w:val="1100"/>
              <w:ind w:firstLine="420"/>
              <w:spacing w:line="360" w:lineRule="auto"/>
              <w:rPr>
                <w:rFonts w:ascii="宋体" w:hAnsi="宋体"/>
                <w:szCs w:val="21"/>
                <w:u w:val="single"/>
              </w:rPr>
            </w:pPr>
            <w:r>
              <w:rPr>
                <w:rFonts w:hint="eastAsia" w:ascii="宋体" w:hAnsi="宋体"/>
              </w:rPr>
              <w:t xml:space="preserve">7.其他未尽事宜，以《民法典》等有关法律法规规定为准，无相关规定的，双方协商解决。</w:t>
            </w:r>
            <w:r>
              <w:rPr>
                <w:rFonts w:ascii="宋体" w:hAnsi="宋体"/>
                <w:szCs w:val="21"/>
                <w:u w:val="single"/>
              </w:rPr>
            </w:r>
            <w:r/>
          </w:p>
        </w:tc>
      </w:tr>
      <w:tr>
        <w:trPr>
          <w:trHeight w:val="90"/>
        </w:trPr>
        <w:tc>
          <w:tcPr>
            <w:tcBorders>
              <w:top w:val="single" w:color="000000" w:sz="2" w:space="0"/>
              <w:left w:val="single" w:color="000000" w:sz="4" w:space="0"/>
              <w:bottom w:val="single" w:color="000000" w:sz="6" w:space="0"/>
              <w:right w:val="single" w:color="000000" w:sz="2"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bottom w:val="single" w:color="000000" w:sz="6" w:space="0"/>
              <w:right w:val="single" w:color="000000" w:sz="2" w:space="0"/>
            </w:tcBorders>
            <w:tcW w:w="1742" w:type="dxa"/>
            <w:vAlign w:val="center"/>
            <w:textDirection w:val="lrTb"/>
            <w:noWrap w:val="false"/>
          </w:tcPr>
          <w:p>
            <w:pPr>
              <w:pStyle w:val="1100"/>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bottom w:val="single" w:color="000000" w:sz="6" w:space="0"/>
              <w:right w:val="single" w:color="000000" w:sz="4" w:space="0"/>
            </w:tcBorders>
            <w:tcW w:w="5170" w:type="dxa"/>
            <w:vAlign w:val="center"/>
            <w:textDirection w:val="lrTb"/>
            <w:noWrap w:val="false"/>
          </w:tcPr>
          <w:p>
            <w:pPr>
              <w:pStyle w:val="1100"/>
              <w:ind w:firstLine="420"/>
              <w:jc w:val="left"/>
              <w:spacing w:line="360" w:lineRule="auto"/>
              <w:rPr>
                <w:rFonts w:ascii="宋体" w:hAnsi="宋体" w:cs="宋体"/>
                <w:iCs/>
                <w:szCs w:val="21"/>
              </w:rPr>
            </w:pPr>
            <w:r>
              <w:rPr>
                <w:rFonts w:hint="eastAsia" w:ascii="宋体" w:hAnsi="宋体" w:cs="宋体"/>
                <w:iCs/>
                <w:szCs w:val="21"/>
              </w:rPr>
              <w:t xml:space="preserve">因本合同及合同有关事项发生的争议，如未约定，默认按下列第1种方式解决：</w:t>
            </w:r>
            <w:r>
              <w:rPr>
                <w:rFonts w:ascii="宋体" w:hAnsi="宋体" w:cs="宋体"/>
                <w:iCs/>
                <w:szCs w:val="21"/>
              </w:rPr>
            </w:r>
            <w:r/>
          </w:p>
          <w:p>
            <w:pPr>
              <w:pStyle w:val="1100"/>
              <w:ind w:firstLine="420"/>
              <w:jc w:val="left"/>
              <w:spacing w:line="360" w:lineRule="auto"/>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常州仲裁委员会</w:t>
            </w:r>
            <w:r>
              <w:rPr>
                <w:rFonts w:hint="eastAsia" w:ascii="宋体" w:hAnsi="宋体" w:cs="宋体"/>
                <w:iCs/>
                <w:szCs w:val="21"/>
              </w:rPr>
              <w:t xml:space="preserve">申请仲裁；</w:t>
            </w:r>
            <w:r/>
          </w:p>
          <w:p>
            <w:pPr>
              <w:pStyle w:val="1100"/>
              <w:ind w:firstLine="420"/>
              <w:jc w:val="left"/>
              <w:spacing w:line="360" w:lineRule="auto"/>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甲方所在地有管辖权的</w:t>
            </w:r>
            <w:r>
              <w:rPr>
                <w:rFonts w:hint="eastAsia" w:ascii="宋体" w:hAnsi="宋体" w:cs="宋体"/>
                <w:iCs/>
                <w:szCs w:val="21"/>
              </w:rPr>
              <w:t xml:space="preserve">人民法院起诉。</w:t>
            </w:r>
            <w:r>
              <w:rPr>
                <w:rFonts w:ascii="宋体" w:hAnsi="宋体"/>
                <w:szCs w:val="21"/>
                <w:u w:val="single"/>
              </w:rPr>
            </w:r>
            <w:r/>
          </w:p>
        </w:tc>
      </w:tr>
      <w:tr>
        <w:trPr>
          <w:trHeight w:val="770"/>
        </w:trPr>
        <w:tc>
          <w:tcPr>
            <w:tcBorders>
              <w:top w:val="single" w:color="000000" w:sz="6" w:space="0"/>
              <w:left w:val="single" w:color="000000" w:sz="4" w:space="0"/>
              <w:bottom w:val="single" w:color="000000" w:sz="4" w:space="0"/>
              <w:right w:val="single" w:color="000000" w:sz="6" w:space="0"/>
            </w:tcBorders>
            <w:tcW w:w="1607" w:type="dxa"/>
            <w:vAlign w:val="center"/>
            <w:textDirection w:val="lrTb"/>
            <w:noWrap w:val="false"/>
          </w:tcPr>
          <w:p>
            <w:pPr>
              <w:pStyle w:val="1100"/>
              <w:jc w:val="center"/>
              <w:rPr>
                <w:rFonts w:ascii="宋体" w:hAnsi="宋体"/>
                <w:szCs w:val="21"/>
              </w:rPr>
            </w:pPr>
            <w:r>
              <w:rPr>
                <w:rFonts w:hint="eastAsia" w:ascii="宋体" w:hAnsi="宋体"/>
                <w:szCs w:val="21"/>
              </w:rPr>
              <w:t xml:space="preserve">第二节</w:t>
            </w:r>
            <w:r>
              <w:rPr>
                <w:rFonts w:ascii="宋体" w:hAnsi="宋体"/>
                <w:szCs w:val="21"/>
              </w:rPr>
            </w:r>
            <w:r/>
          </w:p>
          <w:p>
            <w:pPr>
              <w:pStyle w:val="1100"/>
              <w:jc w:val="center"/>
              <w:rPr>
                <w:rFonts w:ascii="宋体" w:hAnsi="宋体"/>
                <w:szCs w:val="21"/>
              </w:rPr>
            </w:pPr>
            <w:r>
              <w:rPr>
                <w:rFonts w:hint="eastAsia" w:ascii="宋体" w:hAnsi="宋体"/>
                <w:szCs w:val="21"/>
              </w:rPr>
              <w:t xml:space="preserve">第23.1款</w:t>
            </w:r>
            <w:r>
              <w:rPr>
                <w:rFonts w:ascii="宋体" w:hAnsi="宋体"/>
                <w:szCs w:val="21"/>
              </w:rPr>
            </w:r>
            <w:r/>
          </w:p>
        </w:tc>
        <w:tc>
          <w:tcPr>
            <w:tcBorders>
              <w:top w:val="single" w:color="000000" w:sz="6" w:space="0"/>
              <w:left w:val="single" w:color="000000" w:sz="6" w:space="0"/>
              <w:bottom w:val="single" w:color="000000" w:sz="4" w:space="0"/>
              <w:right w:val="single" w:color="000000" w:sz="6" w:space="0"/>
            </w:tcBorders>
            <w:tcW w:w="1742" w:type="dxa"/>
            <w:vAlign w:val="center"/>
            <w:textDirection w:val="lrTb"/>
            <w:noWrap w:val="false"/>
          </w:tcPr>
          <w:p>
            <w:pPr>
              <w:pStyle w:val="1100"/>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Borders>
              <w:top w:val="single" w:color="000000" w:sz="6" w:space="0"/>
              <w:left w:val="single" w:color="000000" w:sz="6" w:space="0"/>
              <w:bottom w:val="single" w:color="000000" w:sz="4" w:space="0"/>
              <w:right w:val="single" w:color="000000" w:sz="4" w:space="0"/>
            </w:tcBorders>
            <w:tcW w:w="5170" w:type="dxa"/>
            <w:vAlign w:val="center"/>
            <w:textDirection w:val="lrTb"/>
            <w:noWrap w:val="false"/>
          </w:tcPr>
          <w:p>
            <w:pPr>
              <w:pStyle w:val="1100"/>
              <w:jc w:val="left"/>
              <w:rPr>
                <w:rFonts w:ascii="宋体" w:hAnsi="宋体"/>
                <w:szCs w:val="21"/>
              </w:rPr>
            </w:pPr>
            <w:r>
              <w:rPr>
                <w:rFonts w:ascii="宋体" w:hAnsi="宋体"/>
                <w:szCs w:val="21"/>
              </w:rPr>
            </w:r>
            <w:r/>
          </w:p>
        </w:tc>
      </w:tr>
    </w:tbl>
    <w:p>
      <w:pPr>
        <w:pStyle w:val="1100"/>
        <w:jc w:val="center"/>
        <w:spacing w:line="360" w:lineRule="auto"/>
        <w:rPr>
          <w:rFonts w:ascii="宋体" w:hAnsi="宋体"/>
          <w:b/>
          <w:sz w:val="36"/>
          <w:szCs w:val="36"/>
        </w:rPr>
        <w:outlineLvl w:val="0"/>
      </w:pPr>
      <w:r>
        <w:rPr>
          <w:rFonts w:ascii="宋体" w:hAnsi="宋体"/>
          <w:b/>
          <w:sz w:val="36"/>
          <w:szCs w:val="36"/>
        </w:rPr>
        <w:br w:type="page" w:clear="all"/>
      </w:r>
      <w:bookmarkStart w:id="821" w:name="_Toc99301426"/>
      <w:r>
        <w:rPr>
          <w:rFonts w:ascii="宋体" w:hAnsi="宋体"/>
          <w:b/>
          <w:sz w:val="36"/>
          <w:szCs w:val="36"/>
        </w:rPr>
        <w:t xml:space="preserve">第七章   投标文件格式</w:t>
      </w:r>
      <w:bookmarkEnd w:id="821"/>
      <w:r>
        <w:rPr>
          <w:rFonts w:ascii="宋体" w:hAnsi="宋体"/>
          <w:b/>
          <w:sz w:val="36"/>
          <w:szCs w:val="36"/>
        </w:rPr>
      </w:r>
      <w:r/>
    </w:p>
    <w:p>
      <w:pPr>
        <w:pStyle w:val="110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10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100"/>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10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10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100"/>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100"/>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100"/>
        <w:jc w:val="left"/>
        <w:widowControl/>
        <w:rPr>
          <w:rFonts w:ascii="宋体" w:hAnsi="宋体"/>
          <w:sz w:val="24"/>
        </w:rPr>
      </w:pPr>
      <w:r>
        <w:rPr>
          <w:rFonts w:ascii="宋体" w:hAnsi="宋体"/>
          <w:sz w:val="24"/>
        </w:rPr>
        <w:br w:type="page" w:clear="all"/>
      </w:r>
      <w:r/>
    </w:p>
    <w:p>
      <w:pPr>
        <w:pStyle w:val="1100"/>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100"/>
        <w:rPr>
          <w:rFonts w:ascii="宋体" w:hAnsi="宋体"/>
          <w:b/>
          <w:spacing w:val="20"/>
          <w:szCs w:val="21"/>
        </w:rPr>
      </w:pPr>
      <w:r>
        <w:rPr>
          <w:rFonts w:ascii="宋体" w:hAnsi="宋体"/>
          <w:b/>
          <w:spacing w:val="20"/>
          <w:szCs w:val="21"/>
        </w:rPr>
      </w:r>
      <w:r/>
    </w:p>
    <w:p>
      <w:pPr>
        <w:pStyle w:val="1100"/>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100"/>
        <w:jc w:val="center"/>
        <w:rPr>
          <w:rFonts w:ascii="宋体" w:hAnsi="宋体"/>
          <w:szCs w:val="21"/>
        </w:rPr>
      </w:pPr>
      <w:r>
        <w:rPr>
          <w:rFonts w:ascii="宋体" w:hAnsi="宋体"/>
          <w:szCs w:val="21"/>
        </w:rPr>
      </w:r>
      <w:r/>
    </w:p>
    <w:p>
      <w:pPr>
        <w:pStyle w:val="1100"/>
        <w:jc w:val="center"/>
        <w:rPr>
          <w:rFonts w:ascii="宋体" w:hAnsi="宋体"/>
          <w:b/>
          <w:spacing w:val="60"/>
          <w:sz w:val="84"/>
          <w:szCs w:val="84"/>
        </w:rPr>
      </w:pPr>
      <w:r>
        <w:rPr>
          <w:rFonts w:ascii="宋体" w:hAnsi="宋体"/>
          <w:b/>
          <w:spacing w:val="60"/>
          <w:sz w:val="84"/>
          <w:szCs w:val="84"/>
        </w:rPr>
        <w:t xml:space="preserve">投 标 文 件</w:t>
      </w:r>
      <w:r/>
    </w:p>
    <w:p>
      <w:pPr>
        <w:pStyle w:val="1100"/>
        <w:ind w:firstLine="963"/>
        <w:rPr>
          <w:rFonts w:hint="eastAsia" w:ascii="宋体" w:hAnsi="宋体"/>
          <w:b/>
          <w:spacing w:val="60"/>
          <w:sz w:val="52"/>
          <w:szCs w:val="52"/>
        </w:rPr>
      </w:pPr>
      <w:r>
        <w:rPr>
          <w:rFonts w:hint="eastAsia" w:ascii="宋体" w:hAnsi="宋体"/>
          <w:b/>
          <w:spacing w:val="60"/>
          <w:sz w:val="52"/>
          <w:szCs w:val="52"/>
        </w:rPr>
      </w:r>
      <w:r/>
    </w:p>
    <w:p>
      <w:pPr>
        <w:pStyle w:val="1100"/>
        <w:ind w:firstLine="963"/>
        <w:rPr>
          <w:rFonts w:hint="eastAsia" w:ascii="宋体" w:hAnsi="宋体"/>
          <w:b/>
          <w:spacing w:val="60"/>
          <w:sz w:val="52"/>
          <w:szCs w:val="52"/>
        </w:rPr>
      </w:pPr>
      <w:r>
        <w:rPr>
          <w:rFonts w:hint="eastAsia" w:ascii="宋体" w:hAnsi="宋体"/>
          <w:b/>
          <w:spacing w:val="60"/>
          <w:sz w:val="52"/>
          <w:szCs w:val="52"/>
        </w:rPr>
      </w:r>
      <w:r/>
    </w:p>
    <w:p>
      <w:pPr>
        <w:pStyle w:val="1100"/>
        <w:ind w:firstLine="542"/>
        <w:rPr>
          <w:rFonts w:ascii="宋体" w:hAnsi="宋体"/>
          <w:b/>
          <w:spacing w:val="20"/>
          <w:sz w:val="32"/>
          <w:szCs w:val="32"/>
        </w:rPr>
      </w:pPr>
      <w:r>
        <w:rPr>
          <w:rFonts w:ascii="宋体" w:hAnsi="宋体"/>
          <w:b/>
          <w:spacing w:val="20"/>
          <w:sz w:val="32"/>
          <w:szCs w:val="32"/>
        </w:rPr>
      </w:r>
      <w:r/>
    </w:p>
    <w:p>
      <w:pPr>
        <w:pStyle w:val="1100"/>
        <w:ind w:firstLine="542"/>
        <w:rPr>
          <w:rFonts w:ascii="宋体" w:hAnsi="宋体"/>
          <w:b/>
          <w:spacing w:val="20"/>
          <w:sz w:val="32"/>
          <w:szCs w:val="32"/>
        </w:rPr>
      </w:pPr>
      <w:r>
        <w:rPr>
          <w:rFonts w:ascii="宋体" w:hAnsi="宋体"/>
          <w:b/>
          <w:spacing w:val="20"/>
          <w:sz w:val="32"/>
          <w:szCs w:val="32"/>
        </w:rPr>
      </w:r>
      <w:r/>
    </w:p>
    <w:p>
      <w:pPr>
        <w:pStyle w:val="110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10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10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10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100"/>
        <w:jc w:val="center"/>
        <w:rPr>
          <w:rFonts w:ascii="宋体" w:hAnsi="宋体"/>
          <w:b/>
          <w:sz w:val="32"/>
          <w:szCs w:val="32"/>
        </w:rPr>
      </w:pPr>
      <w:r>
        <w:rPr>
          <w:rFonts w:ascii="宋体" w:hAnsi="宋体"/>
          <w:b/>
          <w:sz w:val="32"/>
          <w:szCs w:val="32"/>
        </w:rPr>
      </w:r>
      <w:r/>
    </w:p>
    <w:p>
      <w:pPr>
        <w:pStyle w:val="1100"/>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100"/>
        <w:rPr>
          <w:rFonts w:ascii="宋体" w:hAnsi="宋体"/>
          <w:b/>
        </w:rPr>
      </w:pPr>
      <w:r>
        <w:rPr>
          <w:rFonts w:ascii="宋体" w:hAnsi="宋体"/>
          <w:b/>
        </w:rPr>
      </w:r>
      <w:r/>
    </w:p>
    <w:p>
      <w:pPr>
        <w:pStyle w:val="1100"/>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103"/>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10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100"/>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115"/>
        <w:ind w:firstLine="480"/>
        <w:spacing w:line="460" w:lineRule="exact"/>
        <w:rPr>
          <w:rFonts w:hAnsi="宋体"/>
        </w:rPr>
      </w:pPr>
      <w:r>
        <w:rPr>
          <w:rFonts w:hAnsi="宋体"/>
        </w:rPr>
      </w:r>
      <w:r/>
    </w:p>
    <w:p>
      <w:pPr>
        <w:pStyle w:val="1115"/>
        <w:ind w:firstLine="480"/>
        <w:spacing w:line="460" w:lineRule="exact"/>
        <w:rPr>
          <w:rFonts w:hAnsi="宋体"/>
        </w:rPr>
      </w:pPr>
      <w:r>
        <w:rPr>
          <w:rFonts w:hint="eastAsia" w:hAnsi="宋体"/>
        </w:rPr>
        <w:t xml:space="preserve">致：常州市城投建设工程招标有限公司</w:t>
      </w:r>
      <w:r>
        <w:rPr>
          <w:rFonts w:hAnsi="宋体"/>
        </w:rPr>
      </w:r>
      <w:r/>
    </w:p>
    <w:p>
      <w:pPr>
        <w:pStyle w:val="1115"/>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115"/>
        <w:ind w:firstLine="480"/>
        <w:spacing w:line="460" w:lineRule="exact"/>
        <w:rPr>
          <w:rFonts w:hAnsi="宋体"/>
        </w:rPr>
      </w:pPr>
      <w:r>
        <w:rPr>
          <w:rFonts w:hAnsi="宋体"/>
        </w:rPr>
      </w:r>
      <w:r/>
    </w:p>
    <w:p>
      <w:pPr>
        <w:pStyle w:val="1115"/>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115"/>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115"/>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115"/>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115"/>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115"/>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115"/>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115"/>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115"/>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115"/>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115"/>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115"/>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115"/>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115"/>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115"/>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115"/>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115"/>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115"/>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115"/>
        <w:ind w:firstLine="480"/>
        <w:spacing w:line="460" w:lineRule="exact"/>
        <w:rPr>
          <w:rFonts w:hAnsi="宋体"/>
        </w:rPr>
      </w:pPr>
      <w:r>
        <w:rPr>
          <w:rFonts w:hAnsi="宋体"/>
        </w:rPr>
      </w:r>
      <w:r/>
    </w:p>
    <w:p>
      <w:pPr>
        <w:pStyle w:val="1115"/>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115"/>
        <w:ind w:firstLine="480"/>
        <w:spacing w:line="460" w:lineRule="exact"/>
        <w:rPr>
          <w:rFonts w:hAnsi="宋体"/>
        </w:rPr>
      </w:pPr>
      <w:r>
        <w:rPr>
          <w:rFonts w:hAnsi="宋体"/>
        </w:rPr>
      </w:r>
      <w:r/>
    </w:p>
    <w:p>
      <w:pPr>
        <w:pStyle w:val="1115"/>
        <w:ind w:firstLine="480"/>
        <w:spacing w:line="460" w:lineRule="exact"/>
        <w:rPr>
          <w:rFonts w:hAnsi="宋体"/>
        </w:rPr>
      </w:pPr>
      <w:r>
        <w:rPr>
          <w:rFonts w:hAnsi="宋体"/>
        </w:rPr>
      </w:r>
      <w:r/>
    </w:p>
    <w:p>
      <w:pPr>
        <w:pStyle w:val="1115"/>
        <w:ind w:firstLine="840"/>
        <w:spacing w:line="460" w:lineRule="exact"/>
        <w:rPr>
          <w:rFonts w:hAnsi="宋体"/>
        </w:rPr>
      </w:pPr>
      <w:r>
        <w:rPr>
          <w:rFonts w:hint="eastAsia" w:hAnsi="宋体"/>
        </w:rPr>
        <w:t xml:space="preserve">投标人：（加盖公章）</w:t>
      </w:r>
      <w:r>
        <w:rPr>
          <w:rFonts w:hAnsi="宋体"/>
        </w:rPr>
      </w:r>
      <w:r/>
    </w:p>
    <w:p>
      <w:pPr>
        <w:pStyle w:val="1115"/>
        <w:ind w:firstLine="840"/>
        <w:spacing w:line="460" w:lineRule="exact"/>
        <w:rPr>
          <w:rFonts w:hAnsi="宋体"/>
        </w:rPr>
      </w:pPr>
      <w:r>
        <w:rPr>
          <w:rFonts w:hint="eastAsia" w:hAnsi="宋体"/>
        </w:rPr>
        <w:t xml:space="preserve">法定代表人（或单位负责人）签字或盖章：</w:t>
      </w:r>
      <w:r>
        <w:rPr>
          <w:rFonts w:hAnsi="宋体"/>
        </w:rPr>
      </w:r>
      <w:r/>
    </w:p>
    <w:p>
      <w:pPr>
        <w:pStyle w:val="1115"/>
        <w:ind w:firstLine="840"/>
        <w:spacing w:line="460" w:lineRule="exact"/>
        <w:rPr>
          <w:rFonts w:hint="eastAsia" w:hAnsi="宋体"/>
        </w:rPr>
      </w:pPr>
      <w:r>
        <w:rPr>
          <w:rFonts w:hint="eastAsia" w:hAnsi="宋体"/>
        </w:rPr>
        <w:t xml:space="preserve">日期：    年    月    日</w:t>
      </w:r>
      <w:r/>
    </w:p>
    <w:p>
      <w:pPr>
        <w:pStyle w:val="1100"/>
        <w:spacing w:line="360" w:lineRule="auto"/>
        <w:rPr>
          <w:rFonts w:hint="eastAsia" w:ascii="宋体" w:hAnsi="宋体"/>
          <w:sz w:val="24"/>
        </w:rPr>
      </w:pPr>
      <w:r>
        <w:rPr>
          <w:rFonts w:hint="eastAsia" w:ascii="宋体" w:hAnsi="宋体"/>
          <w:sz w:val="24"/>
        </w:rPr>
      </w:r>
      <w:r/>
    </w:p>
    <w:p>
      <w:pPr>
        <w:pStyle w:val="1100"/>
        <w:spacing w:line="360" w:lineRule="auto"/>
        <w:rPr>
          <w:rFonts w:hint="eastAsia" w:ascii="宋体" w:hAnsi="宋体"/>
          <w:sz w:val="24"/>
        </w:rPr>
      </w:pPr>
      <w:r>
        <w:rPr>
          <w:rFonts w:hint="eastAsia" w:ascii="宋体" w:hAnsi="宋体"/>
          <w:sz w:val="24"/>
        </w:rPr>
      </w:r>
      <w:r/>
    </w:p>
    <w:p>
      <w:pPr>
        <w:pStyle w:val="1100"/>
        <w:spacing w:line="360" w:lineRule="auto"/>
        <w:rPr>
          <w:rFonts w:hint="eastAsia" w:ascii="宋体" w:hAnsi="宋体"/>
          <w:sz w:val="24"/>
        </w:rPr>
      </w:pPr>
      <w:r>
        <w:rPr>
          <w:rFonts w:hint="eastAsia" w:ascii="宋体" w:hAnsi="宋体"/>
          <w:sz w:val="24"/>
        </w:rPr>
      </w:r>
      <w:r/>
    </w:p>
    <w:p>
      <w:pPr>
        <w:pStyle w:val="1100"/>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100"/>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100"/>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100"/>
        <w:spacing w:line="360" w:lineRule="auto"/>
        <w:rPr>
          <w:rFonts w:ascii="宋体" w:hAnsi="宋体"/>
          <w:color w:val="000000"/>
          <w:sz w:val="24"/>
          <w:szCs w:val="20"/>
        </w:rPr>
        <w:outlineLvl w:val="2"/>
      </w:pPr>
      <w:r>
        <w:rPr>
          <w:rFonts w:ascii="宋体" w:hAnsi="宋体"/>
          <w:b/>
          <w:sz w:val="24"/>
          <w:szCs w:val="20"/>
        </w:rPr>
        <w:t xml:space="preserve">2-</w:t>
      </w:r>
      <w:r>
        <w:rPr>
          <w:rFonts w:ascii="宋体" w:hAnsi="宋体"/>
          <w:b/>
          <w:sz w:val="24"/>
          <w:szCs w:val="20"/>
        </w:rPr>
        <w:t xml:space="preserve">1</w:t>
      </w:r>
      <w:r>
        <w:rPr>
          <w:rFonts w:ascii="宋体" w:hAnsi="宋体"/>
          <w:sz w:val="30"/>
          <w:szCs w:val="30"/>
        </w:rPr>
        <w:t xml:space="preserve"> </w:t>
      </w:r>
      <w:r>
        <w:rPr>
          <w:rFonts w:ascii="宋体" w:hAnsi="宋体"/>
          <w:b/>
          <w:color w:val="000000"/>
          <w:sz w:val="24"/>
          <w:szCs w:val="20"/>
        </w:rPr>
        <w:t xml:space="preserve">中小企业声明函</w:t>
      </w:r>
      <w:r>
        <w:rPr>
          <w:rFonts w:ascii="宋体" w:hAnsi="宋体"/>
          <w:color w:val="000000"/>
          <w:sz w:val="24"/>
          <w:szCs w:val="20"/>
        </w:rPr>
      </w:r>
      <w:r/>
    </w:p>
    <w:p>
      <w:pPr>
        <w:pStyle w:val="1100"/>
        <w:spacing w:line="360" w:lineRule="auto"/>
        <w:tabs>
          <w:tab w:val="left" w:pos="5580" w:leader="none"/>
        </w:tabs>
        <w:rPr>
          <w:rFonts w:ascii="宋体" w:hAnsi="宋体"/>
          <w:sz w:val="24"/>
        </w:rPr>
      </w:pPr>
      <w:r>
        <w:rPr>
          <w:rFonts w:ascii="宋体" w:hAnsi="宋体"/>
          <w:sz w:val="24"/>
        </w:rPr>
      </w:r>
      <w:r/>
    </w:p>
    <w:p>
      <w:pPr>
        <w:pStyle w:val="1100"/>
        <w:spacing w:line="360" w:lineRule="auto"/>
        <w:tabs>
          <w:tab w:val="left" w:pos="5580" w:leader="none"/>
        </w:tabs>
        <w:rPr>
          <w:rFonts w:ascii="宋体" w:hAnsi="宋体"/>
          <w:sz w:val="24"/>
        </w:rPr>
      </w:pPr>
      <w:r>
        <w:rPr>
          <w:rFonts w:ascii="宋体" w:hAnsi="宋体"/>
          <w:sz w:val="24"/>
        </w:rPr>
        <w:t xml:space="preserve">说明：</w:t>
      </w:r>
      <w:r/>
    </w:p>
    <w:p>
      <w:pPr>
        <w:pStyle w:val="1100"/>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资格证明文件部分</w:t>
      </w:r>
      <w:r>
        <w:rPr>
          <w:rFonts w:ascii="宋体" w:hAnsi="宋体"/>
          <w:sz w:val="24"/>
        </w:rPr>
        <w:t xml:space="preserve">无需提供《中小企业声明函》。</w:t>
      </w:r>
      <w:r/>
    </w:p>
    <w:p>
      <w:pPr>
        <w:pStyle w:val="1100"/>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sz w:val="24"/>
        </w:rPr>
        <w:t xml:space="preserve">。</w:t>
      </w:r>
      <w:r/>
    </w:p>
    <w:p>
      <w:pPr>
        <w:pStyle w:val="1100"/>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pStyle w:val="1100"/>
        <w:spacing w:line="360" w:lineRule="auto"/>
        <w:tabs>
          <w:tab w:val="left" w:pos="5580" w:leader="none"/>
        </w:tabs>
        <w:rPr>
          <w:rFonts w:ascii="宋体" w:hAnsi="宋体"/>
          <w:sz w:val="24"/>
        </w:rPr>
      </w:pPr>
      <w:r>
        <w:rPr>
          <w:rFonts w:hint="eastAsia" w:ascii="宋体" w:hAnsi="宋体"/>
          <w:sz w:val="24"/>
        </w:rPr>
        <w:t xml:space="preserve">（4）其他</w:t>
      </w:r>
      <w:r>
        <w:rPr>
          <w:rFonts w:ascii="宋体" w:hAnsi="宋体"/>
          <w:sz w:val="24"/>
        </w:rPr>
      </w:r>
      <w:r/>
    </w:p>
    <w:p>
      <w:pPr>
        <w:pStyle w:val="1100"/>
        <w:spacing w:line="360" w:lineRule="auto"/>
        <w:tabs>
          <w:tab w:val="left" w:pos="5580" w:leader="none"/>
        </w:tabs>
        <w:rPr>
          <w:rFonts w:ascii="宋体" w:hAnsi="宋体"/>
          <w:sz w:val="24"/>
        </w:rPr>
      </w:pPr>
      <w:r>
        <w:rPr>
          <w:rFonts w:hint="eastAsia" w:ascii="宋体" w:hAnsi="宋体"/>
          <w:sz w:val="24"/>
        </w:rPr>
        <w:t xml:space="preserve">1）中小企业参加政府采购活动，应当出具此格式文件。《中小企业声明函》由参加政府采购活动的投标人出具。联合体投标的，《中小企业声明函》由牵头人出具。</w:t>
      </w:r>
      <w:r>
        <w:rPr>
          <w:rFonts w:ascii="宋体" w:hAnsi="宋体"/>
          <w:sz w:val="24"/>
        </w:rPr>
      </w:r>
      <w:r/>
    </w:p>
    <w:p>
      <w:pPr>
        <w:pStyle w:val="1100"/>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100"/>
        <w:spacing w:line="360" w:lineRule="auto"/>
        <w:tabs>
          <w:tab w:val="left" w:pos="5580" w:leader="none"/>
        </w:tabs>
        <w:rPr>
          <w:rFonts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ascii="宋体" w:hAnsi="宋体"/>
          <w:sz w:val="24"/>
        </w:rPr>
      </w:r>
      <w:r/>
    </w:p>
    <w:p>
      <w:pPr>
        <w:pStyle w:val="1100"/>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pStyle w:val="1100"/>
        <w:spacing w:line="360" w:lineRule="auto"/>
        <w:tabs>
          <w:tab w:val="left" w:pos="5580" w:leader="none"/>
        </w:tabs>
        <w:rPr>
          <w:rFonts w:ascii="宋体" w:hAnsi="宋体"/>
          <w:sz w:val="24"/>
        </w:rPr>
      </w:pPr>
      <w:r>
        <w:rPr>
          <w:rFonts w:ascii="宋体" w:hAnsi="宋体"/>
          <w:sz w:val="24"/>
        </w:rPr>
      </w:r>
      <w:r/>
    </w:p>
    <w:p>
      <w:pPr>
        <w:pStyle w:val="1100"/>
        <w:jc w:val="left"/>
        <w:widowControl/>
        <w:rPr>
          <w:rFonts w:ascii="宋体" w:hAnsi="宋体"/>
          <w:sz w:val="24"/>
        </w:rPr>
      </w:pPr>
      <w:r>
        <w:rPr>
          <w:rFonts w:ascii="宋体" w:hAnsi="宋体"/>
          <w:sz w:val="24"/>
        </w:rPr>
        <w:br w:type="page" w:clear="all"/>
      </w:r>
      <w:r/>
    </w:p>
    <w:p>
      <w:pPr>
        <w:pStyle w:val="1100"/>
        <w:jc w:val="center"/>
        <w:spacing w:before="240" w:after="240" w:line="360" w:lineRule="auto"/>
        <w:rPr>
          <w:rFonts w:ascii="宋体" w:hAnsi="宋体"/>
          <w:b/>
          <w:color w:val="000000"/>
          <w:sz w:val="36"/>
          <w:szCs w:val="36"/>
        </w:rPr>
      </w:pPr>
      <w:r>
        <w:rPr>
          <w:rFonts w:hint="eastAsia" w:ascii="宋体" w:hAnsi="宋体"/>
          <w:b/>
          <w:bCs/>
          <w:color w:val="000000"/>
          <w:sz w:val="36"/>
          <w:szCs w:val="36"/>
        </w:rPr>
        <w:t xml:space="preserve">中小企业声明函（货物）格式</w:t>
      </w:r>
      <w:r>
        <w:rPr>
          <w:rFonts w:ascii="宋体" w:hAnsi="宋体"/>
          <w:b/>
          <w:color w:val="000000"/>
          <w:sz w:val="36"/>
          <w:szCs w:val="36"/>
        </w:rPr>
      </w:r>
      <w:r/>
    </w:p>
    <w:p>
      <w:pPr>
        <w:pStyle w:val="1100"/>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pStyle w:val="1100"/>
        <w:ind w:firstLine="504"/>
        <w:spacing w:line="360" w:lineRule="auto"/>
        <w:rPr>
          <w:rFonts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工业</w:t>
      </w:r>
      <w:r>
        <w:rPr>
          <w:rFonts w:ascii="宋体" w:hAnsi="宋体"/>
          <w:spacing w:val="6"/>
          <w:sz w:val="24"/>
        </w:rPr>
        <w:t xml:space="preserve">行业；制造商为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w:t>
      </w:r>
      <w:r>
        <w:rPr>
          <w:rFonts w:ascii="宋体" w:hAnsi="宋体"/>
          <w:spacing w:val="6"/>
          <w:sz w:val="24"/>
          <w:vertAlign w:val="superscript"/>
        </w:rPr>
        <w:t xml:space="preserve">1</w:t>
      </w:r>
      <w:r>
        <w:rPr>
          <w:rFonts w:ascii="宋体" w:hAnsi="宋体"/>
          <w:spacing w:val="6"/>
          <w:sz w:val="24"/>
        </w:rPr>
        <w:t xml:space="preserve">，属于（中型企业、小型企业、微型企业）；</w:t>
      </w:r>
      <w:r/>
    </w:p>
    <w:p>
      <w:pPr>
        <w:pStyle w:val="1100"/>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工业</w:t>
      </w:r>
      <w:r>
        <w:rPr>
          <w:rFonts w:ascii="宋体" w:hAnsi="宋体"/>
          <w:spacing w:val="6"/>
          <w:sz w:val="24"/>
        </w:rPr>
        <w:t xml:space="preserve">行业；制造商为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，从业人员______人，营业收入为______万元，资产总额为______万元，属于</w:t>
      </w:r>
      <w:r>
        <w:rPr>
          <w:rFonts w:ascii="宋体" w:hAnsi="宋体"/>
          <w:spacing w:val="6"/>
          <w:sz w:val="24"/>
          <w:u w:val="single"/>
        </w:rPr>
        <w:t xml:space="preserve">（中型企业、小型企业、微型企业）</w:t>
      </w:r>
      <w:r>
        <w:rPr>
          <w:rFonts w:ascii="宋体" w:hAnsi="宋体"/>
          <w:spacing w:val="6"/>
          <w:sz w:val="24"/>
        </w:rPr>
        <w:t xml:space="preserve">；</w:t>
      </w:r>
      <w:r/>
    </w:p>
    <w:p>
      <w:pPr>
        <w:pStyle w:val="1100"/>
        <w:ind w:firstLine="504"/>
        <w:spacing w:line="360" w:lineRule="auto"/>
        <w:rPr>
          <w:rFonts w:ascii="宋体" w:hAnsi="宋体"/>
          <w:spacing w:val="6"/>
          <w:sz w:val="24"/>
        </w:rPr>
      </w:pPr>
      <w:r>
        <w:rPr>
          <w:rFonts w:ascii="宋体" w:hAnsi="宋体"/>
          <w:spacing w:val="6"/>
          <w:sz w:val="24"/>
        </w:rPr>
        <w:t xml:space="preserve">……</w:t>
      </w:r>
      <w:r/>
    </w:p>
    <w:p>
      <w:pPr>
        <w:pStyle w:val="1100"/>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p>
    <w:p>
      <w:pPr>
        <w:pStyle w:val="1100"/>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w:t>
      </w:r>
      <w:r/>
    </w:p>
    <w:p>
      <w:pPr>
        <w:pStyle w:val="1100"/>
        <w:ind w:firstLine="504"/>
        <w:spacing w:line="360" w:lineRule="auto"/>
        <w:rPr>
          <w:rFonts w:ascii="宋体" w:hAnsi="宋体"/>
          <w:spacing w:val="6"/>
          <w:sz w:val="24"/>
        </w:rPr>
      </w:pPr>
      <w:r>
        <w:rPr>
          <w:rFonts w:ascii="宋体" w:hAnsi="宋体"/>
          <w:spacing w:val="6"/>
          <w:sz w:val="24"/>
        </w:rPr>
      </w:r>
      <w:r/>
    </w:p>
    <w:p>
      <w:pPr>
        <w:pStyle w:val="1100"/>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p>
    <w:p>
      <w:pPr>
        <w:pStyle w:val="1100"/>
        <w:ind w:right="360" w:firstLine="480"/>
        <w:jc w:val="right"/>
        <w:spacing w:line="360" w:lineRule="auto"/>
        <w:rPr>
          <w:rFonts w:ascii="宋体" w:hAnsi="宋体"/>
          <w:color w:val="000000"/>
          <w:sz w:val="24"/>
        </w:rPr>
      </w:pPr>
      <w:r>
        <w:rPr>
          <w:rFonts w:ascii="宋体" w:hAnsi="宋体"/>
          <w:color w:val="000000"/>
          <w:sz w:val="24"/>
        </w:rPr>
        <w:t xml:space="preserve">日 期：________</w:t>
      </w:r>
      <w:r/>
    </w:p>
    <w:p>
      <w:pPr>
        <w:pStyle w:val="1100"/>
        <w:ind w:right="360" w:firstLine="480"/>
        <w:jc w:val="right"/>
        <w:spacing w:line="360" w:lineRule="auto"/>
        <w:rPr>
          <w:rFonts w:ascii="宋体" w:hAnsi="宋体"/>
          <w:color w:val="000000"/>
          <w:sz w:val="24"/>
        </w:rPr>
      </w:pPr>
      <w:r>
        <w:rPr>
          <w:rFonts w:ascii="宋体" w:hAnsi="宋体"/>
          <w:color w:val="000000"/>
          <w:sz w:val="24"/>
        </w:rPr>
      </w:r>
      <w:r/>
    </w:p>
    <w:p>
      <w:pPr>
        <w:pStyle w:val="1100"/>
        <w:ind w:right="360" w:firstLine="480"/>
        <w:jc w:val="right"/>
        <w:spacing w:line="360" w:lineRule="auto"/>
        <w:rPr>
          <w:rFonts w:ascii="宋体" w:hAnsi="宋体"/>
          <w:color w:val="000000"/>
          <w:sz w:val="24"/>
        </w:rPr>
      </w:pPr>
      <w:r>
        <w:rPr>
          <w:rFonts w:ascii="宋体" w:hAnsi="宋体"/>
          <w:color w:val="000000"/>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00"/>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p>
        </w:tc>
      </w:tr>
    </w:tbl>
    <w:p>
      <w:pPr>
        <w:pStyle w:val="1100"/>
        <w:ind w:firstLine="420"/>
        <w:jc w:val="left"/>
        <w:rPr>
          <w:rFonts w:ascii="宋体" w:hAnsi="宋体"/>
          <w:sz w:val="24"/>
        </w:rPr>
      </w:pPr>
      <w:r>
        <w:rPr>
          <w:rFonts w:ascii="宋体" w:hAnsi="宋体"/>
          <w:sz w:val="24"/>
        </w:rPr>
      </w:r>
      <w:r/>
    </w:p>
    <w:p>
      <w:pPr>
        <w:pStyle w:val="1100"/>
        <w:spacing w:line="360" w:lineRule="auto"/>
        <w:rPr>
          <w:rFonts w:ascii="宋体" w:hAnsi="宋体"/>
          <w:color w:val="000000"/>
          <w:sz w:val="24"/>
        </w:rPr>
      </w:pPr>
      <w:r>
        <w:rPr>
          <w:rFonts w:ascii="宋体" w:hAnsi="宋体"/>
          <w:color w:val="000000"/>
          <w:sz w:val="24"/>
        </w:rPr>
      </w:r>
      <w:r/>
    </w:p>
    <w:p>
      <w:pPr>
        <w:pStyle w:val="1100"/>
        <w:jc w:val="center"/>
        <w:spacing w:before="240" w:after="240" w:line="360" w:lineRule="auto"/>
        <w:rPr>
          <w:rFonts w:ascii="宋体" w:hAnsi="宋体"/>
          <w:color w:val="000000"/>
          <w:sz w:val="24"/>
          <w:szCs w:val="20"/>
        </w:rPr>
      </w:pPr>
      <w:r>
        <w:rPr>
          <w:rFonts w:ascii="宋体" w:hAnsi="宋体"/>
          <w:color w:val="000000"/>
          <w:sz w:val="24"/>
        </w:rPr>
        <w:br w:type="page" w:clear="all"/>
      </w:r>
      <w:r>
        <w:rPr>
          <w:rFonts w:ascii="宋体" w:hAnsi="宋体"/>
          <w:color w:val="000000"/>
          <w:sz w:val="24"/>
          <w:szCs w:val="20"/>
        </w:rPr>
      </w:r>
      <w:r/>
    </w:p>
    <w:p>
      <w:pPr>
        <w:pStyle w:val="1100"/>
        <w:jc w:val="center"/>
        <w:spacing w:before="240" w:after="240" w:line="360" w:lineRule="auto"/>
        <w:rPr>
          <w:rFonts w:ascii="宋体" w:hAnsi="宋体"/>
          <w:b/>
          <w:color w:val="000000"/>
          <w:sz w:val="36"/>
          <w:szCs w:val="36"/>
        </w:rPr>
      </w:pPr>
      <w:r>
        <w:rPr>
          <w:rFonts w:hint="eastAsia" w:ascii="宋体" w:hAnsi="宋体"/>
          <w:b/>
          <w:bCs/>
          <w:color w:val="000000"/>
          <w:sz w:val="36"/>
          <w:szCs w:val="36"/>
        </w:rPr>
        <w:t xml:space="preserve">残疾人福利性单位声明函格式</w:t>
      </w:r>
      <w:r>
        <w:rPr>
          <w:rFonts w:ascii="宋体" w:hAnsi="宋体"/>
          <w:b/>
          <w:color w:val="000000"/>
          <w:sz w:val="36"/>
          <w:szCs w:val="36"/>
        </w:rPr>
        <w:t xml:space="preserve">       </w:t>
      </w:r>
      <w:r/>
    </w:p>
    <w:p>
      <w:pPr>
        <w:pStyle w:val="1100"/>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100"/>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100"/>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100"/>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100"/>
        <w:ind w:firstLine="504"/>
        <w:spacing w:line="588" w:lineRule="exact"/>
        <w:rPr>
          <w:rFonts w:ascii="宋体" w:hAnsi="宋体"/>
          <w:spacing w:val="6"/>
          <w:sz w:val="24"/>
        </w:rPr>
      </w:pPr>
      <w:r>
        <w:rPr>
          <w:rFonts w:ascii="宋体" w:hAnsi="宋体"/>
          <w:spacing w:val="6"/>
          <w:sz w:val="24"/>
        </w:rPr>
      </w:r>
      <w:r/>
    </w:p>
    <w:p>
      <w:pPr>
        <w:pStyle w:val="1100"/>
        <w:ind w:firstLine="504"/>
        <w:spacing w:line="588" w:lineRule="exact"/>
        <w:rPr>
          <w:rFonts w:ascii="宋体" w:hAnsi="宋体"/>
          <w:spacing w:val="6"/>
          <w:sz w:val="24"/>
        </w:rPr>
      </w:pPr>
      <w:r>
        <w:rPr>
          <w:rFonts w:ascii="宋体" w:hAnsi="宋体"/>
          <w:spacing w:val="6"/>
          <w:sz w:val="24"/>
        </w:rPr>
      </w:r>
      <w:r/>
    </w:p>
    <w:p>
      <w:pPr>
        <w:pStyle w:val="1100"/>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100"/>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日  期：</w:t>
      </w:r>
      <w:r>
        <w:rPr>
          <w:rFonts w:hint="eastAsia" w:ascii="宋体" w:hAnsi="宋体"/>
          <w:spacing w:val="6"/>
          <w:sz w:val="24"/>
        </w:rPr>
      </w:r>
      <w:r/>
    </w:p>
    <w:p>
      <w:pPr>
        <w:pStyle w:val="1100"/>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100"/>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100"/>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100"/>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pStyle w:val="1100"/>
        <w:spacing w:line="360" w:lineRule="auto"/>
        <w:rPr>
          <w:rFonts w:ascii="宋体" w:hAnsi="宋体"/>
          <w:sz w:val="30"/>
          <w:szCs w:val="30"/>
        </w:rPr>
        <w:outlineLvl w:val="2"/>
      </w:pPr>
      <w:r>
        <w:rPr>
          <w:rFonts w:ascii="宋体" w:hAnsi="宋体"/>
          <w:b/>
          <w:sz w:val="24"/>
        </w:rPr>
        <w:br w:type="page" w:clear="all"/>
      </w:r>
      <w:r>
        <w:rPr>
          <w:rFonts w:hint="eastAsia" w:ascii="宋体" w:hAnsi="宋体"/>
          <w:b/>
          <w:sz w:val="24"/>
        </w:rPr>
        <w:t xml:space="preserve">2</w:t>
      </w:r>
      <w:r>
        <w:rPr>
          <w:rFonts w:ascii="宋体" w:hAnsi="宋体"/>
          <w:b/>
          <w:sz w:val="24"/>
        </w:rPr>
        <w:t xml:space="preserve">-2 </w:t>
      </w:r>
      <w:r>
        <w:rPr>
          <w:rFonts w:ascii="宋体" w:hAnsi="宋体"/>
          <w:b/>
          <w:sz w:val="24"/>
        </w:rPr>
        <w:t xml:space="preserve">其它落实政府采购政策的资格要求</w:t>
      </w:r>
      <w:r>
        <w:rPr>
          <w:rFonts w:ascii="宋体" w:hAnsi="宋体"/>
          <w:b/>
          <w:sz w:val="24"/>
          <w:szCs w:val="20"/>
        </w:rPr>
        <w:t xml:space="preserve">（如有）</w:t>
      </w:r>
      <w:r>
        <w:rPr>
          <w:rFonts w:ascii="宋体" w:hAnsi="宋体"/>
          <w:sz w:val="30"/>
          <w:szCs w:val="30"/>
        </w:rPr>
      </w:r>
      <w:r/>
    </w:p>
    <w:p>
      <w:pPr>
        <w:pStyle w:val="1100"/>
        <w:jc w:val="left"/>
        <w:widowControl/>
        <w:rPr>
          <w:rFonts w:ascii="宋体" w:hAnsi="宋体"/>
          <w:sz w:val="24"/>
        </w:rPr>
      </w:pPr>
      <w:r>
        <w:rPr>
          <w:rFonts w:ascii="宋体" w:hAnsi="宋体"/>
          <w:sz w:val="24"/>
        </w:rPr>
      </w:r>
      <w:r/>
    </w:p>
    <w:p>
      <w:pPr>
        <w:pStyle w:val="1100"/>
        <w:spacing w:line="360" w:lineRule="auto"/>
        <w:rPr>
          <w:rFonts w:ascii="宋体" w:hAnsi="宋体"/>
          <w:b/>
          <w:sz w:val="24"/>
        </w:rPr>
        <w:outlineLvl w:val="2"/>
      </w:pPr>
      <w:r>
        <w:rPr>
          <w:rFonts w:ascii="宋体" w:hAnsi="宋体"/>
          <w:sz w:val="24"/>
        </w:rPr>
        <w:br w:type="page" w:clear="all"/>
      </w:r>
      <w:r>
        <w:rPr>
          <w:rFonts w:ascii="宋体" w:hAnsi="宋体"/>
          <w:b/>
          <w:sz w:val="24"/>
          <w:szCs w:val="20"/>
        </w:rPr>
        <w:t xml:space="preserve">3 本项目的特定资格要求（如有）</w:t>
      </w:r>
      <w:r>
        <w:rPr>
          <w:rFonts w:ascii="宋体" w:hAnsi="宋体"/>
          <w:b/>
          <w:sz w:val="24"/>
        </w:rPr>
      </w:r>
      <w:r/>
    </w:p>
    <w:p>
      <w:pPr>
        <w:pStyle w:val="1100"/>
        <w:spacing w:line="360" w:lineRule="auto"/>
        <w:rPr>
          <w:rFonts w:hint="eastAsia" w:ascii="宋体" w:hAnsi="宋体"/>
          <w:b/>
          <w:sz w:val="24"/>
          <w:szCs w:val="20"/>
        </w:rPr>
        <w:outlineLvl w:val="2"/>
      </w:pPr>
      <w:r>
        <w:rPr>
          <w:rFonts w:ascii="宋体" w:hAnsi="宋体"/>
          <w:b/>
          <w:sz w:val="24"/>
          <w:szCs w:val="20"/>
        </w:rPr>
        <w:t xml:space="preserve">3-1</w:t>
      </w:r>
      <w:r>
        <w:rPr>
          <w:rFonts w:ascii="宋体" w:hAnsi="宋体"/>
          <w:b/>
          <w:sz w:val="24"/>
          <w:szCs w:val="20"/>
        </w:rPr>
        <w:t xml:space="preserve"> </w:t>
      </w:r>
      <w:r>
        <w:rPr>
          <w:rFonts w:ascii="宋体" w:hAnsi="宋体"/>
          <w:b/>
          <w:sz w:val="24"/>
          <w:szCs w:val="20"/>
        </w:rPr>
        <w:t xml:space="preserve">其他特定资格要求</w:t>
      </w:r>
      <w:r>
        <w:rPr>
          <w:rFonts w:hint="eastAsia" w:ascii="宋体" w:hAnsi="宋体"/>
          <w:b/>
          <w:sz w:val="24"/>
          <w:szCs w:val="20"/>
        </w:rPr>
      </w:r>
      <w:r/>
    </w:p>
    <w:p>
      <w:pPr>
        <w:pStyle w:val="1100"/>
        <w:ind w:left="719" w:hanging="240"/>
        <w:spacing w:line="360" w:lineRule="auto"/>
        <w:rPr>
          <w:rFonts w:hint="eastAsia" w:ascii="宋体" w:hAnsi="宋体"/>
          <w:sz w:val="24"/>
          <w:szCs w:val="20"/>
        </w:rPr>
      </w:pPr>
      <w:r>
        <w:rPr>
          <w:rFonts w:hint="eastAsia" w:ascii="宋体" w:hAnsi="宋体"/>
          <w:sz w:val="24"/>
          <w:szCs w:val="20"/>
        </w:rPr>
      </w:r>
      <w:r/>
    </w:p>
    <w:p>
      <w:pPr>
        <w:pStyle w:val="1100"/>
        <w:jc w:val="left"/>
        <w:widowControl/>
        <w:rPr>
          <w:rFonts w:hint="eastAsia" w:ascii="宋体" w:hAnsi="宋体"/>
          <w:sz w:val="24"/>
        </w:rPr>
      </w:pPr>
      <w:r>
        <w:rPr>
          <w:rFonts w:hint="eastAsia" w:ascii="宋体" w:hAnsi="宋体"/>
          <w:sz w:val="24"/>
        </w:rPr>
      </w:r>
      <w:r/>
    </w:p>
    <w:p>
      <w:pPr>
        <w:pStyle w:val="1100"/>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22" w:name="_Toc226965829"/>
      <w:r/>
      <w:bookmarkStart w:id="823" w:name="_Toc226965746"/>
      <w:r/>
      <w:bookmarkStart w:id="824" w:name="_Toc195842921"/>
      <w:r/>
      <w:bookmarkStart w:id="825" w:name="_Toc150774761"/>
      <w:r/>
      <w:bookmarkStart w:id="826" w:name="_Toc480942349"/>
      <w:r/>
      <w:bookmarkStart w:id="827" w:name="_Toc127151556"/>
      <w:r/>
      <w:bookmarkStart w:id="828" w:name="_Toc226337252"/>
      <w:r/>
      <w:bookmarkStart w:id="829" w:name="_Toc142311058"/>
      <w:r/>
      <w:bookmarkStart w:id="830" w:name="_Toc520356217"/>
      <w:r/>
      <w:bookmarkStart w:id="831" w:name="_Ref467988698"/>
      <w:r/>
      <w:bookmarkStart w:id="832" w:name="_Toc150480794"/>
      <w:r/>
      <w:bookmarkStart w:id="833" w:name="_Toc226309800"/>
      <w:r>
        <w:rPr>
          <w:rFonts w:hint="eastAsia" w:ascii="宋体" w:hAnsi="宋体"/>
          <w:b/>
          <w:sz w:val="32"/>
          <w:szCs w:val="32"/>
        </w:rPr>
      </w:r>
      <w:r/>
    </w:p>
    <w:p>
      <w:pPr>
        <w:pStyle w:val="1100"/>
        <w:jc w:val="center"/>
        <w:widowControl/>
        <w:rPr>
          <w:rFonts w:hint="eastAsia" w:ascii="宋体" w:hAnsi="宋体"/>
          <w:b/>
          <w:sz w:val="32"/>
          <w:szCs w:val="32"/>
        </w:rPr>
      </w:pPr>
      <w:r>
        <w:rPr>
          <w:rFonts w:hint="eastAsia" w:ascii="宋体" w:hAnsi="宋体"/>
          <w:b/>
          <w:sz w:val="32"/>
          <w:szCs w:val="32"/>
        </w:rPr>
      </w:r>
      <w:r/>
    </w:p>
    <w:p>
      <w:pPr>
        <w:pStyle w:val="1100"/>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rPr>
          <w:rFonts w:hint="eastAsia" w:ascii="宋体" w:hAnsi="宋体"/>
          <w:b/>
          <w:sz w:val="24"/>
        </w:rPr>
        <w:t xml:space="preserve">函</w:t>
      </w:r>
      <w:r>
        <w:rPr>
          <w:rFonts w:ascii="宋体" w:hAnsi="宋体"/>
          <w:b/>
          <w:sz w:val="24"/>
          <w:szCs w:val="20"/>
        </w:rPr>
        <w:t xml:space="preserve">（实质性格式）</w:t>
      </w:r>
      <w:r/>
    </w:p>
    <w:p>
      <w:pPr>
        <w:pStyle w:val="1100"/>
        <w:spacing w:line="360" w:lineRule="auto"/>
        <w:tabs>
          <w:tab w:val="left" w:pos="5580" w:leader="none"/>
        </w:tabs>
        <w:rPr>
          <w:rFonts w:ascii="宋体" w:hAnsi="宋体"/>
          <w:sz w:val="24"/>
        </w:rPr>
      </w:pPr>
      <w:r>
        <w:rPr>
          <w:rFonts w:ascii="宋体" w:hAnsi="宋体"/>
          <w:sz w:val="24"/>
        </w:rPr>
      </w:r>
      <w:r/>
    </w:p>
    <w:p>
      <w:pPr>
        <w:pStyle w:val="1100"/>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100"/>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100"/>
        <w:spacing w:line="360" w:lineRule="auto"/>
        <w:tabs>
          <w:tab w:val="left" w:pos="5580" w:leader="none"/>
        </w:tabs>
        <w:rPr>
          <w:rFonts w:ascii="宋体" w:hAnsi="宋体"/>
          <w:sz w:val="24"/>
          <w:szCs w:val="20"/>
        </w:rPr>
      </w:pPr>
      <w:r>
        <w:rPr>
          <w:rFonts w:ascii="宋体" w:hAnsi="宋体"/>
          <w:sz w:val="24"/>
          <w:szCs w:val="20"/>
        </w:rPr>
      </w:r>
      <w:r/>
    </w:p>
    <w:p>
      <w:pPr>
        <w:pStyle w:val="1100"/>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100"/>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10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10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100"/>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100"/>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100"/>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100"/>
        <w:ind w:firstLine="480"/>
        <w:spacing w:line="360" w:lineRule="auto"/>
        <w:rPr>
          <w:rFonts w:ascii="宋体" w:hAnsi="宋体"/>
          <w:sz w:val="24"/>
        </w:rPr>
      </w:pPr>
      <w:r>
        <w:rPr>
          <w:rFonts w:ascii="宋体" w:hAnsi="宋体"/>
          <w:sz w:val="24"/>
        </w:rPr>
        <w:t xml:space="preserve">与本投标有关的一切正式往来信函请寄：</w:t>
      </w:r>
      <w:r/>
    </w:p>
    <w:p>
      <w:pPr>
        <w:pStyle w:val="1100"/>
        <w:ind w:left="420"/>
        <w:spacing w:line="360" w:lineRule="auto"/>
        <w:tabs>
          <w:tab w:val="left" w:pos="5580" w:leader="none"/>
        </w:tabs>
        <w:rPr>
          <w:rFonts w:ascii="宋体" w:hAnsi="宋体"/>
          <w:sz w:val="24"/>
          <w:szCs w:val="20"/>
        </w:rPr>
      </w:pPr>
      <w:r>
        <w:rPr>
          <w:rFonts w:ascii="宋体" w:hAnsi="宋体"/>
          <w:sz w:val="24"/>
          <w:szCs w:val="20"/>
        </w:rPr>
      </w:r>
      <w:r/>
    </w:p>
    <w:p>
      <w:pPr>
        <w:pStyle w:val="1100"/>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100"/>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100"/>
        <w:ind w:left="420"/>
        <w:spacing w:line="360" w:lineRule="auto"/>
        <w:tabs>
          <w:tab w:val="left" w:pos="5580" w:leader="none"/>
        </w:tabs>
        <w:rPr>
          <w:rFonts w:ascii="宋体" w:hAnsi="宋体"/>
          <w:sz w:val="24"/>
          <w:szCs w:val="20"/>
        </w:rPr>
      </w:pPr>
      <w:r>
        <w:rPr>
          <w:rFonts w:ascii="宋体" w:hAnsi="宋体"/>
          <w:sz w:val="24"/>
          <w:szCs w:val="20"/>
        </w:rPr>
      </w:r>
      <w:r/>
    </w:p>
    <w:p>
      <w:pPr>
        <w:pStyle w:val="1100"/>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100"/>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100"/>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100"/>
        <w:jc w:val="left"/>
        <w:widowControl/>
        <w:rPr>
          <w:rFonts w:hint="eastAsia" w:ascii="宋体" w:hAnsi="宋体"/>
          <w:b/>
          <w:sz w:val="24"/>
        </w:rPr>
      </w:pPr>
      <w:r/>
      <w:bookmarkStart w:id="834" w:name="_Hlt520355938"/>
      <w:r/>
      <w:bookmarkEnd w:id="834"/>
      <w:r/>
      <w:bookmarkStart w:id="835" w:name="_Hlt520356243"/>
      <w:r/>
      <w:bookmarkEnd w:id="835"/>
      <w:r>
        <w:rPr>
          <w:rFonts w:ascii="宋体" w:hAnsi="宋体"/>
          <w:sz w:val="24"/>
        </w:rPr>
        <w:br w:type="page" w:clear="all"/>
      </w:r>
      <w:r>
        <w:rPr>
          <w:rFonts w:hint="eastAsia" w:ascii="宋体" w:hAnsi="宋体"/>
          <w:b/>
          <w:sz w:val="24"/>
        </w:rPr>
      </w:r>
      <w:r/>
    </w:p>
    <w:p>
      <w:pPr>
        <w:pStyle w:val="1100"/>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100"/>
        <w:jc w:val="center"/>
        <w:spacing w:line="360" w:lineRule="auto"/>
        <w:rPr>
          <w:rFonts w:hint="eastAsia" w:ascii="宋体" w:hAnsi="宋体"/>
          <w:b/>
          <w:sz w:val="32"/>
          <w:szCs w:val="32"/>
        </w:rPr>
      </w:pPr>
      <w:r>
        <w:rPr>
          <w:rFonts w:hint="eastAsia" w:ascii="宋体" w:hAnsi="宋体"/>
          <w:b/>
          <w:sz w:val="32"/>
          <w:szCs w:val="32"/>
        </w:rPr>
      </w:r>
      <w:r/>
    </w:p>
    <w:p>
      <w:pPr>
        <w:pStyle w:val="110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10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10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10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10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10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100"/>
        <w:spacing w:line="560" w:lineRule="exact"/>
        <w:rPr>
          <w:rFonts w:ascii="宋体" w:hAnsi="宋体"/>
          <w:sz w:val="24"/>
        </w:rPr>
      </w:pPr>
      <w:r>
        <w:rPr>
          <w:rFonts w:ascii="宋体" w:hAnsi="宋体"/>
          <w:sz w:val="24"/>
        </w:rPr>
      </w:r>
      <w:r/>
    </w:p>
    <w:p>
      <w:pPr>
        <w:pStyle w:val="1132"/>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00"/>
              <w:jc w:val="left"/>
              <w:spacing w:line="360" w:lineRule="auto"/>
              <w:tabs>
                <w:tab w:val="left" w:pos="5580" w:leader="none"/>
              </w:tabs>
              <w:rPr>
                <w:rFonts w:ascii="宋体" w:hAnsi="宋体"/>
                <w:sz w:val="24"/>
                <w:szCs w:val="20"/>
              </w:rPr>
            </w:pPr>
            <w:r>
              <w:rPr>
                <w:rFonts w:ascii="宋体" w:hAnsi="宋体"/>
                <w:sz w:val="24"/>
                <w:szCs w:val="20"/>
              </w:rPr>
            </w:r>
            <w:r/>
          </w:p>
          <w:p>
            <w:pPr>
              <w:pStyle w:val="1100"/>
              <w:jc w:val="left"/>
              <w:spacing w:line="360" w:lineRule="auto"/>
              <w:tabs>
                <w:tab w:val="left" w:pos="5580" w:leader="none"/>
              </w:tabs>
              <w:rPr>
                <w:rFonts w:ascii="宋体" w:hAnsi="宋体"/>
                <w:sz w:val="24"/>
                <w:szCs w:val="20"/>
              </w:rPr>
            </w:pPr>
            <w:r>
              <w:rPr>
                <w:rFonts w:ascii="宋体" w:hAnsi="宋体"/>
                <w:sz w:val="24"/>
                <w:szCs w:val="20"/>
              </w:rPr>
            </w:r>
            <w:r/>
          </w:p>
          <w:p>
            <w:pPr>
              <w:pStyle w:val="1100"/>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100"/>
              <w:jc w:val="left"/>
              <w:spacing w:line="360" w:lineRule="auto"/>
              <w:tabs>
                <w:tab w:val="left" w:pos="5580" w:leader="none"/>
              </w:tabs>
              <w:rPr>
                <w:rFonts w:ascii="宋体" w:hAnsi="宋体"/>
                <w:sz w:val="24"/>
                <w:szCs w:val="20"/>
              </w:rPr>
            </w:pPr>
            <w:r>
              <w:rPr>
                <w:rFonts w:ascii="宋体" w:hAnsi="宋体"/>
                <w:sz w:val="24"/>
                <w:szCs w:val="20"/>
              </w:rPr>
            </w:r>
            <w:r/>
          </w:p>
          <w:p>
            <w:pPr>
              <w:pStyle w:val="1100"/>
              <w:jc w:val="left"/>
              <w:spacing w:line="360" w:lineRule="auto"/>
              <w:tabs>
                <w:tab w:val="left" w:pos="5580" w:leader="none"/>
              </w:tabs>
              <w:rPr>
                <w:rFonts w:ascii="宋体" w:hAnsi="宋体"/>
                <w:sz w:val="24"/>
                <w:szCs w:val="20"/>
              </w:rPr>
            </w:pPr>
            <w:r>
              <w:rPr>
                <w:rFonts w:ascii="宋体" w:hAnsi="宋体"/>
                <w:sz w:val="24"/>
                <w:szCs w:val="20"/>
              </w:rPr>
            </w:r>
            <w:r/>
          </w:p>
          <w:p>
            <w:pPr>
              <w:pStyle w:val="1100"/>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100"/>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100"/>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10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100"/>
        <w:jc w:val="left"/>
        <w:widowControl/>
        <w:rPr>
          <w:rFonts w:hint="eastAsia" w:ascii="宋体" w:hAnsi="宋体"/>
          <w:sz w:val="24"/>
        </w:rPr>
      </w:pPr>
      <w:r>
        <w:rPr>
          <w:rFonts w:hint="eastAsia" w:ascii="宋体" w:hAnsi="宋体"/>
          <w:sz w:val="24"/>
        </w:rPr>
      </w:r>
      <w:r/>
    </w:p>
    <w:p>
      <w:pPr>
        <w:pStyle w:val="1100"/>
        <w:jc w:val="left"/>
        <w:widowControl/>
        <w:rPr>
          <w:rFonts w:hint="eastAsia" w:ascii="宋体" w:hAnsi="宋体"/>
          <w:sz w:val="24"/>
        </w:rPr>
      </w:pPr>
      <w:r>
        <w:rPr>
          <w:rFonts w:hint="eastAsia" w:ascii="宋体" w:hAnsi="宋体"/>
          <w:sz w:val="24"/>
        </w:rPr>
      </w:r>
      <w:r/>
    </w:p>
    <w:p>
      <w:pPr>
        <w:pStyle w:val="1100"/>
        <w:jc w:val="left"/>
        <w:widowControl/>
        <w:rPr>
          <w:rFonts w:hint="eastAsia" w:ascii="宋体" w:hAnsi="宋体"/>
          <w:sz w:val="24"/>
        </w:rPr>
      </w:pPr>
      <w:r>
        <w:rPr>
          <w:rFonts w:hint="eastAsia" w:ascii="宋体" w:hAnsi="宋体"/>
          <w:sz w:val="24"/>
        </w:rPr>
      </w:r>
      <w:r/>
    </w:p>
    <w:p>
      <w:pPr>
        <w:pStyle w:val="1100"/>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100"/>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100"/>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100"/>
        <w:jc w:val="left"/>
        <w:widowControl/>
        <w:rPr>
          <w:rFonts w:hint="eastAsia" w:ascii="宋体" w:hAnsi="宋体"/>
          <w:sz w:val="24"/>
        </w:rPr>
      </w:pPr>
      <w:r>
        <w:rPr>
          <w:rFonts w:hint="eastAsia" w:ascii="宋体" w:hAnsi="宋体"/>
          <w:sz w:val="24"/>
        </w:rPr>
      </w:r>
      <w:r/>
    </w:p>
    <w:p>
      <w:pPr>
        <w:pStyle w:val="1100"/>
        <w:jc w:val="left"/>
        <w:widowControl/>
        <w:rPr>
          <w:rFonts w:hint="eastAsia" w:ascii="宋体" w:hAnsi="宋体"/>
          <w:sz w:val="24"/>
        </w:rPr>
      </w:pPr>
      <w:r>
        <w:rPr>
          <w:rFonts w:hint="eastAsia" w:ascii="宋体" w:hAnsi="宋体"/>
          <w:sz w:val="24"/>
        </w:rPr>
      </w:r>
      <w:r/>
    </w:p>
    <w:p>
      <w:pPr>
        <w:pStyle w:val="1100"/>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100"/>
        <w:jc w:val="center"/>
        <w:rPr>
          <w:rFonts w:hint="eastAsia" w:ascii="宋体" w:hAnsi="宋体"/>
          <w:b/>
          <w:sz w:val="32"/>
          <w:szCs w:val="32"/>
        </w:rPr>
      </w:pPr>
      <w:r>
        <w:rPr>
          <w:rFonts w:hint="eastAsia" w:ascii="宋体" w:hAnsi="宋体"/>
          <w:b/>
          <w:sz w:val="32"/>
          <w:szCs w:val="32"/>
        </w:rPr>
      </w:r>
      <w:r/>
    </w:p>
    <w:p>
      <w:pPr>
        <w:pStyle w:val="1353"/>
        <w:jc w:val="center"/>
        <w:spacing w:line="480" w:lineRule="auto"/>
        <w:rPr>
          <w:rFonts w:cs="宋体"/>
          <w:sz w:val="24"/>
        </w:rPr>
      </w:pPr>
      <w:r>
        <w:rPr>
          <w:rFonts w:hint="eastAsia"/>
          <w:b/>
          <w:sz w:val="36"/>
          <w:szCs w:val="36"/>
        </w:rPr>
        <w:t xml:space="preserve">授权委托书</w:t>
      </w:r>
      <w:r>
        <w:rPr>
          <w:rFonts w:cs="宋体"/>
          <w:sz w:val="24"/>
        </w:rPr>
      </w:r>
      <w:r/>
    </w:p>
    <w:p>
      <w:pPr>
        <w:pStyle w:val="1100"/>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100"/>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100"/>
        <w:spacing w:line="400" w:lineRule="exact"/>
        <w:rPr>
          <w:rFonts w:hint="eastAsia" w:ascii="宋体" w:hAnsi="宋体" w:cs="宋体"/>
          <w:szCs w:val="21"/>
        </w:rPr>
      </w:pPr>
      <w:r>
        <w:rPr>
          <w:rFonts w:hint="eastAsia" w:ascii="宋体" w:hAnsi="宋体" w:cs="宋体"/>
          <w:szCs w:val="21"/>
        </w:rPr>
      </w:r>
      <w:r/>
    </w:p>
    <w:p>
      <w:pPr>
        <w:pStyle w:val="1100"/>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10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79"/>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100"/>
        <w:spacing w:line="400" w:lineRule="exact"/>
        <w:rPr>
          <w:rFonts w:ascii="宋体" w:hAnsi="宋体" w:cs="宋体"/>
          <w:sz w:val="24"/>
        </w:rPr>
      </w:pPr>
      <w:r>
        <w:rPr>
          <w:rFonts w:ascii="宋体" w:hAnsi="宋体" w:cs="宋体"/>
          <w:sz w:val="24"/>
        </w:rPr>
      </w:r>
      <w:r/>
    </w:p>
    <w:p>
      <w:pPr>
        <w:pStyle w:val="1132"/>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00"/>
              <w:jc w:val="left"/>
              <w:spacing w:line="360" w:lineRule="auto"/>
              <w:tabs>
                <w:tab w:val="left" w:pos="5580" w:leader="none"/>
              </w:tabs>
              <w:rPr>
                <w:rFonts w:ascii="宋体" w:hAnsi="宋体"/>
                <w:szCs w:val="21"/>
              </w:rPr>
            </w:pPr>
            <w:r>
              <w:rPr>
                <w:rFonts w:ascii="宋体" w:hAnsi="宋体"/>
                <w:szCs w:val="21"/>
              </w:rPr>
            </w:r>
            <w:r/>
          </w:p>
          <w:p>
            <w:pPr>
              <w:pStyle w:val="1100"/>
              <w:jc w:val="left"/>
              <w:spacing w:line="360" w:lineRule="auto"/>
              <w:tabs>
                <w:tab w:val="left" w:pos="5580" w:leader="none"/>
              </w:tabs>
              <w:rPr>
                <w:rFonts w:ascii="宋体" w:hAnsi="宋体"/>
                <w:szCs w:val="21"/>
              </w:rPr>
            </w:pPr>
            <w:r>
              <w:rPr>
                <w:rFonts w:ascii="宋体" w:hAnsi="宋体"/>
                <w:szCs w:val="21"/>
              </w:rPr>
            </w:r>
            <w:r/>
          </w:p>
          <w:p>
            <w:pPr>
              <w:pStyle w:val="1100"/>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100"/>
              <w:jc w:val="left"/>
              <w:spacing w:line="360" w:lineRule="auto"/>
              <w:tabs>
                <w:tab w:val="left" w:pos="5580" w:leader="none"/>
              </w:tabs>
              <w:rPr>
                <w:rFonts w:ascii="宋体" w:hAnsi="宋体"/>
                <w:szCs w:val="21"/>
              </w:rPr>
            </w:pPr>
            <w:r>
              <w:rPr>
                <w:rFonts w:ascii="宋体" w:hAnsi="宋体"/>
                <w:szCs w:val="21"/>
              </w:rPr>
            </w:r>
            <w:r/>
          </w:p>
          <w:p>
            <w:pPr>
              <w:pStyle w:val="1100"/>
              <w:jc w:val="left"/>
              <w:spacing w:line="360" w:lineRule="auto"/>
              <w:tabs>
                <w:tab w:val="left" w:pos="5580" w:leader="none"/>
              </w:tabs>
              <w:rPr>
                <w:rFonts w:ascii="宋体" w:hAnsi="宋体"/>
                <w:szCs w:val="21"/>
              </w:rPr>
            </w:pPr>
            <w:r>
              <w:rPr>
                <w:rFonts w:ascii="宋体" w:hAnsi="宋体"/>
                <w:szCs w:val="21"/>
              </w:rPr>
            </w:r>
            <w:r/>
          </w:p>
          <w:p>
            <w:pPr>
              <w:pStyle w:val="1100"/>
              <w:jc w:val="left"/>
              <w:spacing w:line="360" w:lineRule="auto"/>
              <w:tabs>
                <w:tab w:val="left" w:pos="5580" w:leader="none"/>
              </w:tabs>
              <w:rPr>
                <w:rFonts w:ascii="宋体" w:hAnsi="宋体"/>
                <w:szCs w:val="21"/>
              </w:rPr>
            </w:pPr>
            <w:r>
              <w:rPr>
                <w:rFonts w:ascii="宋体" w:hAnsi="宋体"/>
                <w:szCs w:val="21"/>
              </w:rPr>
            </w:r>
            <w:r/>
          </w:p>
        </w:tc>
      </w:tr>
    </w:tbl>
    <w:p>
      <w:pPr>
        <w:pStyle w:val="1132"/>
        <w:ind w:right="-46"/>
        <w:spacing w:line="583" w:lineRule="auto"/>
        <w:rPr>
          <w:rFonts w:hint="eastAsia"/>
          <w:b/>
          <w:bCs/>
        </w:rPr>
      </w:pPr>
      <w:r>
        <w:rPr>
          <w:rFonts w:hint="eastAsia"/>
          <w:b/>
          <w:bCs/>
        </w:rPr>
        <w:t xml:space="preserve">投标人近三个月内任意一个月（自开标之日往前推）为其缴纳社保的记录</w:t>
      </w:r>
      <w:r/>
    </w:p>
    <w:p>
      <w:pPr>
        <w:pStyle w:val="1100"/>
        <w:spacing w:line="360" w:lineRule="auto"/>
        <w:rPr>
          <w:rFonts w:hint="eastAsia" w:ascii="宋体" w:hAnsi="宋体" w:cs="宋体"/>
          <w:szCs w:val="21"/>
        </w:rPr>
      </w:pPr>
      <w:r>
        <w:rPr>
          <w:rFonts w:hint="eastAsia" w:ascii="宋体" w:hAnsi="宋体" w:cs="宋体"/>
          <w:szCs w:val="21"/>
        </w:rPr>
      </w:r>
      <w:r/>
    </w:p>
    <w:p>
      <w:pPr>
        <w:pStyle w:val="1100"/>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100"/>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53"/>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100"/>
        <w:jc w:val="left"/>
        <w:widowControl/>
        <w:rPr>
          <w:rFonts w:hint="eastAsia" w:ascii="宋体" w:hAnsi="宋体"/>
          <w:sz w:val="24"/>
        </w:rPr>
      </w:pPr>
      <w:r>
        <w:rPr>
          <w:rFonts w:hint="eastAsia" w:ascii="宋体" w:hAnsi="宋体"/>
          <w:sz w:val="24"/>
        </w:rPr>
      </w:r>
      <w:r/>
    </w:p>
    <w:p>
      <w:pPr>
        <w:pStyle w:val="1100"/>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100"/>
        <w:ind w:firstLine="321"/>
        <w:jc w:val="center"/>
        <w:spacing w:line="560" w:lineRule="exact"/>
        <w:rPr>
          <w:rFonts w:hint="eastAsia" w:ascii="宋体" w:hAnsi="宋体"/>
          <w:b/>
          <w:sz w:val="32"/>
          <w:szCs w:val="32"/>
        </w:rPr>
      </w:pPr>
      <w:r>
        <w:rPr>
          <w:rFonts w:hint="eastAsia" w:ascii="宋体" w:hAnsi="宋体"/>
          <w:b/>
          <w:sz w:val="32"/>
          <w:szCs w:val="32"/>
        </w:rPr>
      </w:r>
      <w:r/>
    </w:p>
    <w:p>
      <w:pPr>
        <w:pStyle w:val="1100"/>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100"/>
        <w:ind w:firstLine="640"/>
        <w:rPr>
          <w:rFonts w:ascii="宋体" w:hAnsi="宋体"/>
        </w:rPr>
      </w:pPr>
      <w:r>
        <w:rPr>
          <w:rFonts w:ascii="宋体" w:hAnsi="宋体"/>
        </w:rPr>
      </w:r>
      <w:r/>
    </w:p>
    <w:p>
      <w:pPr>
        <w:pStyle w:val="110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10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10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10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10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10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10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10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10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10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10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10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48"/>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10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10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00"/>
        <w:spacing w:line="360" w:lineRule="auto"/>
        <w:rPr>
          <w:rFonts w:ascii="宋体" w:hAnsi="宋体"/>
          <w:b/>
          <w:sz w:val="24"/>
          <w:szCs w:val="20"/>
        </w:rPr>
        <w:outlineLvl w:val="2"/>
      </w:pPr>
      <w:r/>
      <w:bookmarkStart w:id="836" w:name="_Hlt520350918"/>
      <w:r/>
      <w:bookmarkEnd w:id="836"/>
      <w:r/>
      <w:bookmarkStart w:id="837" w:name="_Hlt520343392"/>
      <w:r/>
      <w:bookmarkEnd w:id="837"/>
      <w:r/>
      <w:bookmarkStart w:id="838" w:name="_Hlt520274065"/>
      <w:r/>
      <w:bookmarkEnd w:id="838"/>
      <w:r/>
      <w:bookmarkStart w:id="839" w:name="_Hlt520355504"/>
      <w:r/>
      <w:bookmarkEnd w:id="839"/>
      <w:r/>
      <w:bookmarkStart w:id="840" w:name="_Hlt520274407"/>
      <w:r/>
      <w:bookmarkEnd w:id="840"/>
      <w:r/>
      <w:bookmarkStart w:id="841" w:name="_Hlt520274393"/>
      <w:r/>
      <w:bookmarkEnd w:id="841"/>
      <w:r/>
      <w:bookmarkStart w:id="842" w:name="_Hlt520273711"/>
      <w:r/>
      <w:bookmarkEnd w:id="842"/>
      <w:r/>
      <w:bookmarkStart w:id="843" w:name="_Hlt520274121"/>
      <w:r/>
      <w:bookmarkEnd w:id="843"/>
      <w:r/>
      <w:bookmarkStart w:id="844" w:name="_Hlt520271212"/>
      <w:r/>
      <w:bookmarkEnd w:id="844"/>
      <w:r/>
      <w:bookmarkStart w:id="845" w:name="_Hlt520343000"/>
      <w:r/>
      <w:bookmarkEnd w:id="845"/>
      <w:r/>
      <w:bookmarkStart w:id="846" w:name="_Toc142311059"/>
      <w:r/>
      <w:bookmarkStart w:id="847" w:name="_Toc226337253"/>
      <w:r/>
      <w:bookmarkStart w:id="848" w:name="_Toc480942350"/>
      <w:r/>
      <w:bookmarkStart w:id="849" w:name="_Ref467988705"/>
      <w:r/>
      <w:bookmarkStart w:id="850" w:name="_Toc226965830"/>
      <w:r/>
      <w:bookmarkStart w:id="851" w:name="_Toc264969247"/>
      <w:r/>
      <w:bookmarkStart w:id="852" w:name="_Toc195842922"/>
      <w:r/>
      <w:bookmarkStart w:id="853" w:name="_Toc305158899"/>
      <w:r/>
      <w:bookmarkStart w:id="854" w:name="_Toc226965747"/>
      <w:r/>
      <w:bookmarkStart w:id="855" w:name="_Toc520356218"/>
      <w:r/>
      <w:bookmarkStart w:id="856" w:name="_Toc150774762"/>
      <w:r/>
      <w:bookmarkStart w:id="857" w:name="_Toc127151557"/>
      <w:r/>
      <w:bookmarkStart w:id="858" w:name="_Toc226309801"/>
      <w:r/>
      <w:bookmarkStart w:id="859" w:name="_Toc305158825"/>
      <w:r/>
      <w:bookmarkStart w:id="860" w:name="_Toc265228395"/>
      <w:r/>
      <w:bookmarkStart w:id="861" w:name="_Toc150480795"/>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Pr>
          <w:rFonts w:ascii="宋体" w:hAnsi="宋体"/>
          <w:b/>
          <w:sz w:val="24"/>
        </w:rPr>
        <w:t xml:space="preserve">（实质性格式）</w:t>
      </w:r>
      <w:r>
        <w:rPr>
          <w:rFonts w:ascii="宋体" w:hAnsi="宋体"/>
          <w:b/>
          <w:sz w:val="24"/>
          <w:szCs w:val="20"/>
        </w:rPr>
      </w:r>
      <w:r/>
    </w:p>
    <w:p>
      <w:pPr>
        <w:pStyle w:val="1100"/>
        <w:jc w:val="center"/>
        <w:spacing w:line="360" w:lineRule="exact"/>
        <w:rPr>
          <w:rFonts w:ascii="宋体" w:hAnsi="宋体"/>
          <w:b/>
          <w:sz w:val="36"/>
          <w:szCs w:val="36"/>
        </w:rPr>
      </w:pPr>
      <w:r/>
      <w:bookmarkStart w:id="862" w:name="_Toc164608827"/>
      <w:r/>
      <w:bookmarkStart w:id="863" w:name="_Toc305158826"/>
      <w:r/>
      <w:bookmarkStart w:id="864" w:name="_Toc305158900"/>
      <w:r/>
      <w:bookmarkStart w:id="865" w:name="_Toc226965831"/>
      <w:r/>
      <w:bookmarkStart w:id="866" w:name="_Toc226337254"/>
      <w:r/>
      <w:bookmarkStart w:id="867" w:name="_Toc164608672"/>
      <w:r/>
      <w:bookmarkStart w:id="868" w:name="_Toc195842923"/>
      <w:r/>
      <w:bookmarkStart w:id="869" w:name="_Toc265228396"/>
      <w:r/>
      <w:bookmarkStart w:id="870" w:name="_Toc226309802"/>
      <w:r/>
      <w:bookmarkStart w:id="871" w:name="_Toc264969248"/>
      <w:r/>
      <w:bookmarkStart w:id="872" w:name="_Toc226965748"/>
      <w:r>
        <w:rPr>
          <w:rFonts w:hint="eastAsia" w:ascii="宋体" w:hAnsi="宋体"/>
          <w:b/>
          <w:sz w:val="36"/>
          <w:szCs w:val="36"/>
        </w:rPr>
        <w:t xml:space="preserve">开标一览表</w:t>
      </w:r>
      <w:bookmarkEnd w:id="862"/>
      <w:r/>
      <w:bookmarkEnd w:id="863"/>
      <w:r/>
      <w:bookmarkEnd w:id="864"/>
      <w:r/>
      <w:bookmarkEnd w:id="865"/>
      <w:r/>
      <w:bookmarkEnd w:id="866"/>
      <w:r/>
      <w:bookmarkEnd w:id="867"/>
      <w:r/>
      <w:bookmarkEnd w:id="868"/>
      <w:r/>
      <w:bookmarkEnd w:id="869"/>
      <w:r/>
      <w:bookmarkEnd w:id="870"/>
      <w:r/>
      <w:bookmarkEnd w:id="871"/>
      <w:r/>
      <w:bookmarkEnd w:id="872"/>
      <w:r>
        <w:rPr>
          <w:rFonts w:ascii="宋体" w:hAnsi="宋体"/>
          <w:b/>
          <w:sz w:val="36"/>
          <w:szCs w:val="36"/>
        </w:rPr>
      </w:r>
      <w:r/>
    </w:p>
    <w:p>
      <w:pPr>
        <w:pStyle w:val="110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100"/>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100"/>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100"/>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100"/>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100"/>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10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100"/>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100"/>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100"/>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10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100"/>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100"/>
              <w:jc w:val="center"/>
              <w:tabs>
                <w:tab w:val="left" w:pos="5580" w:leader="none"/>
              </w:tabs>
              <w:rPr>
                <w:rFonts w:ascii="宋体" w:hAnsi="宋体"/>
                <w:sz w:val="24"/>
              </w:rPr>
            </w:pPr>
            <w:r>
              <w:rPr>
                <w:rFonts w:ascii="宋体" w:hAnsi="宋体"/>
                <w:sz w:val="24"/>
              </w:rPr>
            </w:r>
            <w:r/>
          </w:p>
        </w:tc>
      </w:tr>
    </w:tbl>
    <w:p>
      <w:pPr>
        <w:pStyle w:val="1100"/>
        <w:jc w:val="left"/>
        <w:rPr>
          <w:rFonts w:ascii="宋体" w:hAnsi="宋体"/>
          <w:sz w:val="24"/>
        </w:rPr>
      </w:pPr>
      <w:r>
        <w:rPr>
          <w:rFonts w:ascii="宋体" w:hAnsi="宋体"/>
          <w:sz w:val="24"/>
        </w:rPr>
      </w:r>
      <w:r/>
    </w:p>
    <w:p>
      <w:pPr>
        <w:pStyle w:val="1100"/>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1100"/>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1100"/>
        <w:spacing w:before="25" w:after="25" w:line="360" w:lineRule="auto"/>
        <w:rPr>
          <w:rFonts w:ascii="宋体" w:hAnsi="宋体"/>
          <w:sz w:val="24"/>
          <w:lang w:val="zh-CN"/>
        </w:rPr>
      </w:pPr>
      <w:r>
        <w:rPr>
          <w:rFonts w:ascii="宋体" w:hAnsi="宋体"/>
          <w:sz w:val="24"/>
          <w:lang w:val="zh-CN"/>
        </w:rPr>
      </w:r>
      <w:r/>
    </w:p>
    <w:p>
      <w:pPr>
        <w:pStyle w:val="1100"/>
        <w:spacing w:before="25" w:after="25" w:line="360" w:lineRule="auto"/>
        <w:rPr>
          <w:rFonts w:ascii="宋体" w:hAnsi="宋体"/>
          <w:sz w:val="24"/>
          <w:lang w:val="zh-CN"/>
        </w:rPr>
      </w:pPr>
      <w:r>
        <w:rPr>
          <w:rFonts w:ascii="宋体" w:hAnsi="宋体"/>
          <w:sz w:val="24"/>
          <w:lang w:val="zh-CN"/>
        </w:rPr>
        <w:t xml:space="preserve">                         </w:t>
      </w:r>
      <w:r/>
    </w:p>
    <w:p>
      <w:pPr>
        <w:pStyle w:val="110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10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00"/>
        <w:spacing w:line="360" w:lineRule="auto"/>
        <w:rPr>
          <w:rFonts w:ascii="宋体" w:hAnsi="宋体"/>
          <w:b/>
          <w:sz w:val="24"/>
          <w:szCs w:val="20"/>
        </w:rPr>
        <w:outlineLvl w:val="2"/>
      </w:pPr>
      <w:r/>
      <w:bookmarkStart w:id="873" w:name="_Toc150480796"/>
      <w:r/>
      <w:bookmarkStart w:id="874" w:name="_Toc195842924"/>
      <w:r/>
      <w:bookmarkStart w:id="875" w:name="_Toc226965832"/>
      <w:r/>
      <w:bookmarkStart w:id="876" w:name="_Toc226309803"/>
      <w:r/>
      <w:bookmarkStart w:id="877" w:name="_Toc127151558"/>
      <w:r/>
      <w:bookmarkStart w:id="878" w:name="_Toc305158827"/>
      <w:r/>
      <w:bookmarkStart w:id="879" w:name="_Toc142311060"/>
      <w:r/>
      <w:bookmarkStart w:id="880" w:name="_Toc226337255"/>
      <w:r/>
      <w:bookmarkStart w:id="881" w:name="_Toc305158901"/>
      <w:r/>
      <w:bookmarkStart w:id="882" w:name="_Toc150774763"/>
      <w:r/>
      <w:bookmarkStart w:id="883" w:name="_Toc226965749"/>
      <w:r/>
      <w:bookmarkStart w:id="884" w:name="_Toc264969249"/>
      <w:r/>
      <w:bookmarkStart w:id="885" w:name="_Toc265228397"/>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rPr>
          <w:rFonts w:ascii="宋体" w:hAnsi="宋体"/>
          <w:b/>
          <w:sz w:val="24"/>
        </w:rPr>
        <w:t xml:space="preserve">（实质性格式）</w:t>
      </w:r>
      <w:r>
        <w:rPr>
          <w:rFonts w:ascii="宋体" w:hAnsi="宋体"/>
          <w:b/>
          <w:sz w:val="24"/>
          <w:szCs w:val="20"/>
        </w:rPr>
      </w:r>
      <w:r/>
    </w:p>
    <w:p>
      <w:pPr>
        <w:pStyle w:val="1100"/>
        <w:jc w:val="center"/>
        <w:spacing w:line="360" w:lineRule="exact"/>
        <w:rPr>
          <w:rFonts w:ascii="宋体" w:hAnsi="宋体"/>
          <w:sz w:val="36"/>
          <w:szCs w:val="36"/>
        </w:rPr>
      </w:pPr>
      <w:r>
        <w:rPr>
          <w:rFonts w:ascii="宋体" w:hAnsi="宋体"/>
          <w:sz w:val="36"/>
          <w:szCs w:val="36"/>
        </w:rPr>
      </w:r>
      <w:r/>
    </w:p>
    <w:p>
      <w:pPr>
        <w:pStyle w:val="1100"/>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100"/>
        <w:jc w:val="center"/>
        <w:spacing w:line="260" w:lineRule="exact"/>
        <w:rPr>
          <w:rFonts w:ascii="宋体" w:hAnsi="宋体"/>
          <w:sz w:val="36"/>
          <w:szCs w:val="36"/>
        </w:rPr>
      </w:pPr>
      <w:r>
        <w:rPr>
          <w:rFonts w:ascii="宋体" w:hAnsi="宋体"/>
          <w:sz w:val="36"/>
          <w:szCs w:val="36"/>
        </w:rPr>
      </w:r>
      <w:r/>
    </w:p>
    <w:p>
      <w:pPr>
        <w:pStyle w:val="1100"/>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100"/>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10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110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110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110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110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110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110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0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0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0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0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0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10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1100"/>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100"/>
              <w:jc w:val="center"/>
              <w:spacing w:line="360" w:lineRule="auto"/>
              <w:widowControl/>
              <w:rPr>
                <w:rFonts w:ascii="宋体" w:hAnsi="宋体" w:cs="Arial"/>
                <w:sz w:val="24"/>
              </w:rPr>
            </w:pPr>
            <w:r>
              <w:rPr>
                <w:rFonts w:ascii="宋体" w:hAnsi="宋体" w:cs="Arial"/>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1100"/>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1100"/>
        <w:jc w:val="left"/>
        <w:tabs>
          <w:tab w:val="left" w:pos="1800" w:leader="none"/>
          <w:tab w:val="left" w:pos="5580" w:leader="none"/>
        </w:tabs>
        <w:rPr>
          <w:rFonts w:hint="eastAsia" w:ascii="宋体" w:hAnsi="宋体"/>
          <w:sz w:val="24"/>
        </w:rPr>
      </w:pPr>
      <w:r>
        <w:rPr>
          <w:rFonts w:hint="eastAsia" w:ascii="宋体" w:hAnsi="宋体"/>
          <w:sz w:val="24"/>
        </w:rPr>
      </w:r>
      <w:r/>
    </w:p>
    <w:p>
      <w:pPr>
        <w:pStyle w:val="1100"/>
        <w:jc w:val="left"/>
        <w:tabs>
          <w:tab w:val="left" w:pos="1800" w:leader="none"/>
          <w:tab w:val="left" w:pos="5580" w:leader="none"/>
        </w:tabs>
        <w:rPr>
          <w:rFonts w:hint="eastAsia" w:ascii="宋体" w:hAnsi="宋体"/>
          <w:sz w:val="24"/>
        </w:rPr>
      </w:pPr>
      <w:r>
        <w:rPr>
          <w:rFonts w:hint="eastAsia" w:ascii="宋体" w:hAnsi="宋体"/>
          <w:sz w:val="24"/>
        </w:rPr>
      </w:r>
      <w:r/>
    </w:p>
    <w:p>
      <w:pPr>
        <w:pStyle w:val="1100"/>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1100"/>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1100"/>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1100"/>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100"/>
        <w:spacing w:before="25" w:after="25"/>
        <w:rPr>
          <w:rFonts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110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10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00"/>
        <w:jc w:val="left"/>
        <w:spacing w:before="240" w:after="240"/>
        <w:rPr>
          <w:rFonts w:hint="eastAsia" w:ascii="宋体" w:hAnsi="宋体"/>
          <w:b/>
          <w:i/>
          <w:sz w:val="24"/>
        </w:rPr>
      </w:pPr>
      <w:r>
        <w:rPr>
          <w:rFonts w:hint="eastAsia" w:ascii="宋体" w:hAnsi="宋体"/>
          <w:b/>
          <w:i/>
          <w:sz w:val="24"/>
        </w:rPr>
      </w:r>
      <w:r/>
    </w:p>
    <w:p>
      <w:pPr>
        <w:pStyle w:val="1100"/>
        <w:jc w:val="left"/>
        <w:spacing w:before="240" w:after="240"/>
        <w:rPr>
          <w:rFonts w:hint="eastAsia" w:ascii="宋体" w:hAnsi="宋体"/>
          <w:b/>
          <w:i/>
          <w:sz w:val="24"/>
        </w:rPr>
      </w:pPr>
      <w:r>
        <w:rPr>
          <w:rFonts w:hint="eastAsia" w:ascii="宋体" w:hAnsi="宋体"/>
          <w:b/>
          <w:i/>
          <w:sz w:val="24"/>
        </w:rPr>
      </w:r>
      <w:r/>
    </w:p>
    <w:p>
      <w:pPr>
        <w:pStyle w:val="1100"/>
        <w:jc w:val="left"/>
        <w:spacing w:before="240" w:after="240"/>
        <w:rPr>
          <w:rFonts w:hint="eastAsia" w:ascii="宋体" w:hAnsi="宋体"/>
          <w:b/>
          <w:i/>
          <w:sz w:val="24"/>
        </w:rPr>
      </w:pPr>
      <w:r>
        <w:rPr>
          <w:rFonts w:hint="eastAsia" w:ascii="宋体" w:hAnsi="宋体"/>
          <w:b/>
          <w:i/>
          <w:sz w:val="24"/>
        </w:rPr>
      </w:r>
      <w:r/>
    </w:p>
    <w:p>
      <w:pPr>
        <w:pStyle w:val="1100"/>
        <w:spacing w:line="360" w:lineRule="auto"/>
        <w:rPr>
          <w:rFonts w:ascii="宋体" w:hAnsi="宋体"/>
          <w:b/>
          <w:sz w:val="24"/>
        </w:rPr>
        <w:outlineLvl w:val="2"/>
      </w:pPr>
      <w:r/>
      <w:bookmarkStart w:id="886" w:name="_Toc305158904"/>
      <w:r/>
      <w:bookmarkStart w:id="887" w:name="_Toc142311062"/>
      <w:r/>
      <w:bookmarkStart w:id="888" w:name="_Toc226337258"/>
      <w:r/>
      <w:bookmarkStart w:id="889" w:name="_Toc305158830"/>
      <w:r/>
      <w:bookmarkStart w:id="890" w:name="_Toc226309806"/>
      <w:r/>
      <w:bookmarkStart w:id="891" w:name="_Toc264969252"/>
      <w:r/>
      <w:bookmarkStart w:id="892" w:name="_Toc226965752"/>
      <w:r/>
      <w:bookmarkStart w:id="893" w:name="_Toc127151562"/>
      <w:r/>
      <w:bookmarkStart w:id="894" w:name="_Toc150774765"/>
      <w:r/>
      <w:bookmarkStart w:id="895" w:name="_Toc195842927"/>
      <w:r/>
      <w:bookmarkStart w:id="896" w:name="_Toc226965835"/>
      <w:r/>
      <w:bookmarkStart w:id="897" w:name="_Toc265228400"/>
      <w:r/>
      <w:bookmarkStart w:id="898" w:name="_Toc150480798"/>
      <w:r/>
      <w:bookmarkStart w:id="899" w:name="_Toc305158829"/>
      <w:r/>
      <w:bookmarkStart w:id="900" w:name="_Toc195842926"/>
      <w:r/>
      <w:bookmarkStart w:id="901" w:name="_Toc142311061"/>
      <w:r/>
      <w:bookmarkStart w:id="902" w:name="_Toc127151561"/>
      <w:r/>
      <w:bookmarkStart w:id="903" w:name="_Toc264969251"/>
      <w:r/>
      <w:bookmarkStart w:id="904" w:name="_Toc150774764"/>
      <w:r/>
      <w:bookmarkStart w:id="905" w:name="_Toc226309805"/>
      <w:r/>
      <w:bookmarkStart w:id="906" w:name="_Toc150480797"/>
      <w:r/>
      <w:bookmarkStart w:id="907" w:name="_Toc265228399"/>
      <w:r/>
      <w:bookmarkStart w:id="908" w:name="_Toc226965751"/>
      <w:r/>
      <w:bookmarkStart w:id="909" w:name="_Toc305158903"/>
      <w:r/>
      <w:bookmarkStart w:id="910" w:name="_Toc226965834"/>
      <w:r/>
      <w:bookmarkStart w:id="911" w:name="_Toc226337257"/>
      <w:r>
        <w:rPr>
          <w:rFonts w:ascii="宋体" w:hAnsi="宋体"/>
          <w:b/>
          <w:sz w:val="24"/>
        </w:rPr>
      </w:r>
      <w:r/>
    </w:p>
    <w:p>
      <w:pPr>
        <w:pStyle w:val="1100"/>
        <w:spacing w:line="360" w:lineRule="auto"/>
        <w:rPr>
          <w:rFonts w:ascii="宋体" w:hAnsi="宋体"/>
          <w:b/>
          <w:sz w:val="24"/>
          <w:szCs w:val="20"/>
        </w:rPr>
        <w:outlineLvl w:val="2"/>
      </w:pPr>
      <w:r>
        <w:rPr>
          <w:rFonts w:hint="eastAsia" w:ascii="宋体" w:hAnsi="宋体"/>
          <w:b/>
          <w:sz w:val="24"/>
        </w:rPr>
        <w:t xml:space="preserve">7</w:t>
      </w:r>
      <w:r>
        <w:rPr>
          <w:rFonts w:ascii="宋体" w:hAnsi="宋体"/>
          <w:b/>
          <w:sz w:val="24"/>
        </w:rPr>
        <w:t xml:space="preserve">  合同条款偏离表</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ascii="宋体" w:hAnsi="宋体"/>
          <w:b/>
          <w:sz w:val="24"/>
        </w:rPr>
        <w:t xml:space="preserve">（实质性格式）</w:t>
      </w:r>
      <w:r>
        <w:rPr>
          <w:rFonts w:ascii="宋体" w:hAnsi="宋体"/>
          <w:b/>
          <w:sz w:val="24"/>
          <w:szCs w:val="20"/>
        </w:rPr>
      </w:r>
      <w:r/>
    </w:p>
    <w:p>
      <w:pPr>
        <w:pStyle w:val="1100"/>
        <w:spacing w:line="360" w:lineRule="auto"/>
        <w:rPr>
          <w:rFonts w:ascii="宋体" w:hAnsi="宋体"/>
          <w:sz w:val="24"/>
          <w:szCs w:val="20"/>
        </w:rPr>
      </w:pPr>
      <w:r>
        <w:rPr>
          <w:rFonts w:ascii="宋体" w:hAnsi="宋体"/>
          <w:sz w:val="24"/>
          <w:szCs w:val="20"/>
        </w:rPr>
      </w:r>
      <w:r/>
    </w:p>
    <w:p>
      <w:pPr>
        <w:pStyle w:val="1100"/>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100"/>
        <w:spacing w:line="360" w:lineRule="auto"/>
        <w:rPr>
          <w:rFonts w:ascii="宋体" w:hAnsi="宋体"/>
          <w:sz w:val="24"/>
          <w:szCs w:val="20"/>
        </w:rPr>
      </w:pPr>
      <w:r>
        <w:rPr>
          <w:rFonts w:ascii="宋体" w:hAnsi="宋体"/>
          <w:sz w:val="24"/>
          <w:szCs w:val="20"/>
        </w:rPr>
      </w:r>
      <w:r/>
    </w:p>
    <w:p>
      <w:pPr>
        <w:pStyle w:val="1100"/>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100"/>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100"/>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100"/>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100"/>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100"/>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100"/>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100"/>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100"/>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100"/>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100"/>
              <w:jc w:val="center"/>
              <w:rPr>
                <w:rFonts w:ascii="宋体" w:hAnsi="宋体"/>
                <w:sz w:val="24"/>
              </w:rPr>
            </w:pPr>
            <w:r>
              <w:rPr>
                <w:rFonts w:ascii="宋体" w:hAnsi="宋体"/>
                <w:sz w:val="24"/>
              </w:rPr>
            </w:r>
            <w:r/>
          </w:p>
        </w:tc>
        <w:tc>
          <w:tcPr>
            <w:tcW w:w="1301" w:type="dxa"/>
            <w:vAlign w:val="center"/>
            <w:textDirection w:val="lrTb"/>
            <w:noWrap w:val="false"/>
          </w:tcPr>
          <w:p>
            <w:pPr>
              <w:pStyle w:val="1100"/>
              <w:jc w:val="center"/>
              <w:rPr>
                <w:rFonts w:ascii="宋体" w:hAnsi="宋体"/>
                <w:sz w:val="24"/>
              </w:rPr>
            </w:pPr>
            <w:r>
              <w:rPr>
                <w:rFonts w:ascii="宋体" w:hAnsi="宋体"/>
                <w:sz w:val="24"/>
              </w:rPr>
            </w:r>
            <w:r/>
          </w:p>
        </w:tc>
        <w:tc>
          <w:tcPr>
            <w:tcW w:w="2007" w:type="dxa"/>
            <w:vAlign w:val="center"/>
            <w:textDirection w:val="lrTb"/>
            <w:noWrap w:val="false"/>
          </w:tcPr>
          <w:p>
            <w:pPr>
              <w:pStyle w:val="1100"/>
              <w:jc w:val="center"/>
              <w:rPr>
                <w:rFonts w:ascii="宋体" w:hAnsi="宋体"/>
                <w:sz w:val="24"/>
              </w:rPr>
            </w:pPr>
            <w:r>
              <w:rPr>
                <w:rFonts w:ascii="宋体" w:hAnsi="宋体"/>
                <w:sz w:val="24"/>
              </w:rPr>
            </w:r>
            <w:r/>
          </w:p>
        </w:tc>
        <w:tc>
          <w:tcPr>
            <w:tcW w:w="2008" w:type="dxa"/>
            <w:vAlign w:val="center"/>
            <w:textDirection w:val="lrTb"/>
            <w:noWrap w:val="false"/>
          </w:tcPr>
          <w:p>
            <w:pPr>
              <w:pStyle w:val="1100"/>
              <w:jc w:val="center"/>
              <w:rPr>
                <w:rFonts w:ascii="宋体" w:hAnsi="宋体"/>
                <w:sz w:val="24"/>
              </w:rPr>
            </w:pPr>
            <w:r>
              <w:rPr>
                <w:rFonts w:ascii="宋体" w:hAnsi="宋体"/>
                <w:sz w:val="24"/>
              </w:rPr>
            </w:r>
            <w:r/>
          </w:p>
        </w:tc>
        <w:tc>
          <w:tcPr>
            <w:tcW w:w="2458" w:type="dxa"/>
            <w:vAlign w:val="center"/>
            <w:textDirection w:val="lrTb"/>
            <w:noWrap w:val="false"/>
          </w:tcPr>
          <w:p>
            <w:pPr>
              <w:pStyle w:val="1100"/>
              <w:jc w:val="center"/>
              <w:rPr>
                <w:rFonts w:ascii="宋体" w:hAnsi="宋体"/>
                <w:sz w:val="24"/>
              </w:rPr>
            </w:pPr>
            <w:r>
              <w:rPr>
                <w:rFonts w:ascii="宋体" w:hAnsi="宋体"/>
                <w:sz w:val="24"/>
              </w:rPr>
            </w:r>
            <w:r/>
          </w:p>
        </w:tc>
        <w:tc>
          <w:tcPr>
            <w:tcW w:w="788" w:type="dxa"/>
            <w:vAlign w:val="center"/>
            <w:textDirection w:val="lrTb"/>
            <w:noWrap w:val="false"/>
          </w:tcPr>
          <w:p>
            <w:pPr>
              <w:pStyle w:val="110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100"/>
              <w:jc w:val="center"/>
              <w:rPr>
                <w:rFonts w:ascii="宋体" w:hAnsi="宋体"/>
                <w:sz w:val="24"/>
              </w:rPr>
            </w:pPr>
            <w:r>
              <w:rPr>
                <w:rFonts w:ascii="宋体" w:hAnsi="宋体"/>
                <w:sz w:val="24"/>
              </w:rPr>
            </w:r>
            <w:r/>
          </w:p>
        </w:tc>
        <w:tc>
          <w:tcPr>
            <w:tcW w:w="1301" w:type="dxa"/>
            <w:vAlign w:val="center"/>
            <w:textDirection w:val="lrTb"/>
            <w:noWrap w:val="false"/>
          </w:tcPr>
          <w:p>
            <w:pPr>
              <w:pStyle w:val="1100"/>
              <w:jc w:val="center"/>
              <w:rPr>
                <w:rFonts w:ascii="宋体" w:hAnsi="宋体"/>
                <w:sz w:val="24"/>
              </w:rPr>
            </w:pPr>
            <w:r>
              <w:rPr>
                <w:rFonts w:ascii="宋体" w:hAnsi="宋体"/>
                <w:sz w:val="24"/>
              </w:rPr>
            </w:r>
            <w:r/>
          </w:p>
        </w:tc>
        <w:tc>
          <w:tcPr>
            <w:tcW w:w="2007" w:type="dxa"/>
            <w:vAlign w:val="center"/>
            <w:textDirection w:val="lrTb"/>
            <w:noWrap w:val="false"/>
          </w:tcPr>
          <w:p>
            <w:pPr>
              <w:pStyle w:val="1100"/>
              <w:jc w:val="center"/>
              <w:rPr>
                <w:rFonts w:ascii="宋体" w:hAnsi="宋体"/>
                <w:sz w:val="24"/>
              </w:rPr>
            </w:pPr>
            <w:r>
              <w:rPr>
                <w:rFonts w:ascii="宋体" w:hAnsi="宋体"/>
                <w:sz w:val="24"/>
              </w:rPr>
            </w:r>
            <w:r/>
          </w:p>
        </w:tc>
        <w:tc>
          <w:tcPr>
            <w:tcW w:w="2008" w:type="dxa"/>
            <w:vAlign w:val="center"/>
            <w:textDirection w:val="lrTb"/>
            <w:noWrap w:val="false"/>
          </w:tcPr>
          <w:p>
            <w:pPr>
              <w:pStyle w:val="1100"/>
              <w:jc w:val="center"/>
              <w:rPr>
                <w:rFonts w:ascii="宋体" w:hAnsi="宋体"/>
                <w:sz w:val="24"/>
              </w:rPr>
            </w:pPr>
            <w:r>
              <w:rPr>
                <w:rFonts w:ascii="宋体" w:hAnsi="宋体"/>
                <w:sz w:val="24"/>
              </w:rPr>
            </w:r>
            <w:r/>
          </w:p>
        </w:tc>
        <w:tc>
          <w:tcPr>
            <w:tcW w:w="2458" w:type="dxa"/>
            <w:vAlign w:val="center"/>
            <w:textDirection w:val="lrTb"/>
            <w:noWrap w:val="false"/>
          </w:tcPr>
          <w:p>
            <w:pPr>
              <w:pStyle w:val="1100"/>
              <w:jc w:val="center"/>
              <w:rPr>
                <w:rFonts w:ascii="宋体" w:hAnsi="宋体"/>
                <w:sz w:val="24"/>
              </w:rPr>
            </w:pPr>
            <w:r>
              <w:rPr>
                <w:rFonts w:ascii="宋体" w:hAnsi="宋体"/>
                <w:sz w:val="24"/>
              </w:rPr>
            </w:r>
            <w:r/>
          </w:p>
        </w:tc>
        <w:tc>
          <w:tcPr>
            <w:tcW w:w="788" w:type="dxa"/>
            <w:vAlign w:val="center"/>
            <w:textDirection w:val="lrTb"/>
            <w:noWrap w:val="false"/>
          </w:tcPr>
          <w:p>
            <w:pPr>
              <w:pStyle w:val="110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100"/>
              <w:jc w:val="center"/>
              <w:rPr>
                <w:rFonts w:ascii="宋体" w:hAnsi="宋体"/>
                <w:sz w:val="24"/>
              </w:rPr>
            </w:pPr>
            <w:r>
              <w:rPr>
                <w:rFonts w:ascii="宋体" w:hAnsi="宋体"/>
                <w:sz w:val="24"/>
              </w:rPr>
            </w:r>
            <w:r/>
          </w:p>
        </w:tc>
        <w:tc>
          <w:tcPr>
            <w:tcW w:w="1301" w:type="dxa"/>
            <w:vAlign w:val="center"/>
            <w:textDirection w:val="lrTb"/>
            <w:noWrap w:val="false"/>
          </w:tcPr>
          <w:p>
            <w:pPr>
              <w:pStyle w:val="1100"/>
              <w:jc w:val="center"/>
              <w:rPr>
                <w:rFonts w:ascii="宋体" w:hAnsi="宋体"/>
                <w:sz w:val="24"/>
              </w:rPr>
            </w:pPr>
            <w:r>
              <w:rPr>
                <w:rFonts w:ascii="宋体" w:hAnsi="宋体"/>
                <w:sz w:val="24"/>
              </w:rPr>
            </w:r>
            <w:r/>
          </w:p>
        </w:tc>
        <w:tc>
          <w:tcPr>
            <w:tcW w:w="2007" w:type="dxa"/>
            <w:vAlign w:val="center"/>
            <w:textDirection w:val="lrTb"/>
            <w:noWrap w:val="false"/>
          </w:tcPr>
          <w:p>
            <w:pPr>
              <w:pStyle w:val="1100"/>
              <w:jc w:val="center"/>
              <w:rPr>
                <w:rFonts w:ascii="宋体" w:hAnsi="宋体"/>
                <w:sz w:val="24"/>
              </w:rPr>
            </w:pPr>
            <w:r>
              <w:rPr>
                <w:rFonts w:ascii="宋体" w:hAnsi="宋体"/>
                <w:sz w:val="24"/>
              </w:rPr>
            </w:r>
            <w:r/>
          </w:p>
        </w:tc>
        <w:tc>
          <w:tcPr>
            <w:tcW w:w="2008" w:type="dxa"/>
            <w:vAlign w:val="center"/>
            <w:textDirection w:val="lrTb"/>
            <w:noWrap w:val="false"/>
          </w:tcPr>
          <w:p>
            <w:pPr>
              <w:pStyle w:val="1100"/>
              <w:jc w:val="center"/>
              <w:rPr>
                <w:rFonts w:ascii="宋体" w:hAnsi="宋体"/>
                <w:sz w:val="24"/>
              </w:rPr>
            </w:pPr>
            <w:r>
              <w:rPr>
                <w:rFonts w:ascii="宋体" w:hAnsi="宋体"/>
                <w:sz w:val="24"/>
              </w:rPr>
            </w:r>
            <w:r/>
          </w:p>
        </w:tc>
        <w:tc>
          <w:tcPr>
            <w:tcW w:w="2458" w:type="dxa"/>
            <w:vAlign w:val="center"/>
            <w:textDirection w:val="lrTb"/>
            <w:noWrap w:val="false"/>
          </w:tcPr>
          <w:p>
            <w:pPr>
              <w:pStyle w:val="1100"/>
              <w:jc w:val="center"/>
              <w:rPr>
                <w:rFonts w:ascii="宋体" w:hAnsi="宋体"/>
                <w:sz w:val="24"/>
              </w:rPr>
            </w:pPr>
            <w:r>
              <w:rPr>
                <w:rFonts w:ascii="宋体" w:hAnsi="宋体"/>
                <w:sz w:val="24"/>
              </w:rPr>
            </w:r>
            <w:r/>
          </w:p>
        </w:tc>
        <w:tc>
          <w:tcPr>
            <w:tcW w:w="788" w:type="dxa"/>
            <w:vAlign w:val="center"/>
            <w:textDirection w:val="lrTb"/>
            <w:noWrap w:val="false"/>
          </w:tcPr>
          <w:p>
            <w:pPr>
              <w:pStyle w:val="110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100"/>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100"/>
              <w:jc w:val="center"/>
              <w:rPr>
                <w:rFonts w:ascii="宋体" w:hAnsi="宋体"/>
                <w:sz w:val="24"/>
              </w:rPr>
            </w:pPr>
            <w:r>
              <w:rPr>
                <w:rFonts w:ascii="宋体" w:hAnsi="宋体"/>
                <w:sz w:val="24"/>
              </w:rPr>
            </w:r>
            <w:r/>
          </w:p>
        </w:tc>
        <w:tc>
          <w:tcPr>
            <w:tcW w:w="2007" w:type="dxa"/>
            <w:vAlign w:val="center"/>
            <w:textDirection w:val="lrTb"/>
            <w:noWrap w:val="false"/>
          </w:tcPr>
          <w:p>
            <w:pPr>
              <w:pStyle w:val="1100"/>
              <w:jc w:val="center"/>
              <w:rPr>
                <w:rFonts w:ascii="宋体" w:hAnsi="宋体"/>
                <w:sz w:val="24"/>
              </w:rPr>
            </w:pPr>
            <w:r>
              <w:rPr>
                <w:rFonts w:ascii="宋体" w:hAnsi="宋体"/>
                <w:sz w:val="24"/>
              </w:rPr>
            </w:r>
            <w:r/>
          </w:p>
        </w:tc>
        <w:tc>
          <w:tcPr>
            <w:tcW w:w="2008" w:type="dxa"/>
            <w:vAlign w:val="center"/>
            <w:textDirection w:val="lrTb"/>
            <w:noWrap w:val="false"/>
          </w:tcPr>
          <w:p>
            <w:pPr>
              <w:pStyle w:val="1100"/>
              <w:jc w:val="center"/>
              <w:rPr>
                <w:rFonts w:ascii="宋体" w:hAnsi="宋体"/>
                <w:sz w:val="24"/>
              </w:rPr>
            </w:pPr>
            <w:r>
              <w:rPr>
                <w:rFonts w:ascii="宋体" w:hAnsi="宋体"/>
                <w:sz w:val="24"/>
              </w:rPr>
            </w:r>
            <w:r/>
          </w:p>
        </w:tc>
        <w:tc>
          <w:tcPr>
            <w:tcW w:w="2458" w:type="dxa"/>
            <w:vAlign w:val="center"/>
            <w:textDirection w:val="lrTb"/>
            <w:noWrap w:val="false"/>
          </w:tcPr>
          <w:p>
            <w:pPr>
              <w:pStyle w:val="1100"/>
              <w:jc w:val="center"/>
              <w:rPr>
                <w:rFonts w:ascii="宋体" w:hAnsi="宋体"/>
                <w:sz w:val="24"/>
              </w:rPr>
            </w:pPr>
            <w:r>
              <w:rPr>
                <w:rFonts w:ascii="宋体" w:hAnsi="宋体"/>
                <w:sz w:val="24"/>
              </w:rPr>
            </w:r>
            <w:r/>
          </w:p>
        </w:tc>
        <w:tc>
          <w:tcPr>
            <w:tcW w:w="788" w:type="dxa"/>
            <w:vAlign w:val="center"/>
            <w:textDirection w:val="lrTb"/>
            <w:noWrap w:val="false"/>
          </w:tcPr>
          <w:p>
            <w:pPr>
              <w:pStyle w:val="1100"/>
              <w:jc w:val="center"/>
              <w:rPr>
                <w:rFonts w:ascii="宋体" w:hAnsi="宋体"/>
                <w:sz w:val="24"/>
              </w:rPr>
            </w:pPr>
            <w:r>
              <w:rPr>
                <w:rFonts w:ascii="宋体" w:hAnsi="宋体"/>
                <w:sz w:val="24"/>
              </w:rPr>
            </w:r>
            <w:r/>
          </w:p>
        </w:tc>
      </w:tr>
    </w:tbl>
    <w:p>
      <w:pPr>
        <w:pStyle w:val="1100"/>
        <w:jc w:val="left"/>
        <w:tabs>
          <w:tab w:val="left" w:pos="1800" w:leader="none"/>
          <w:tab w:val="left" w:pos="5580" w:leader="none"/>
        </w:tabs>
        <w:rPr>
          <w:rFonts w:ascii="宋体" w:hAnsi="宋体"/>
          <w:sz w:val="24"/>
        </w:rPr>
      </w:pPr>
      <w:r>
        <w:rPr>
          <w:rFonts w:ascii="宋体" w:hAnsi="宋体"/>
          <w:sz w:val="24"/>
        </w:rPr>
      </w:r>
      <w:r/>
    </w:p>
    <w:p>
      <w:pPr>
        <w:pStyle w:val="1100"/>
        <w:jc w:val="left"/>
        <w:tabs>
          <w:tab w:val="left" w:pos="1800" w:leader="none"/>
          <w:tab w:val="left" w:pos="5580" w:leader="none"/>
        </w:tabs>
        <w:rPr>
          <w:rFonts w:ascii="宋体" w:hAnsi="宋体"/>
          <w:sz w:val="24"/>
        </w:rPr>
      </w:pPr>
      <w:r>
        <w:rPr>
          <w:rFonts w:ascii="宋体" w:hAnsi="宋体"/>
          <w:sz w:val="24"/>
        </w:rPr>
        <w:t xml:space="preserve">注：</w:t>
      </w:r>
      <w:r/>
    </w:p>
    <w:p>
      <w:pPr>
        <w:pStyle w:val="110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100"/>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100"/>
        <w:spacing w:line="360" w:lineRule="auto"/>
        <w:rPr>
          <w:rFonts w:ascii="宋体" w:hAnsi="宋体"/>
          <w:sz w:val="24"/>
          <w:szCs w:val="20"/>
        </w:rPr>
      </w:pPr>
      <w:r>
        <w:rPr>
          <w:rFonts w:ascii="宋体" w:hAnsi="宋体"/>
          <w:sz w:val="24"/>
          <w:szCs w:val="20"/>
        </w:rPr>
      </w:r>
      <w:r/>
    </w:p>
    <w:p>
      <w:pPr>
        <w:pStyle w:val="1100"/>
        <w:spacing w:before="25" w:after="25" w:line="360" w:lineRule="auto"/>
        <w:rPr>
          <w:rFonts w:ascii="宋体" w:hAnsi="宋体"/>
          <w:sz w:val="24"/>
          <w:lang w:val="zh-CN"/>
        </w:rPr>
      </w:pPr>
      <w:r>
        <w:rPr>
          <w:rFonts w:ascii="宋体" w:hAnsi="宋体"/>
          <w:sz w:val="24"/>
          <w:lang w:val="zh-CN"/>
        </w:rPr>
        <w:t xml:space="preserve">                      </w:t>
      </w:r>
      <w:r/>
    </w:p>
    <w:p>
      <w:pPr>
        <w:pStyle w:val="110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10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0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rFonts w:ascii="宋体" w:hAnsi="宋体"/>
          <w:b/>
          <w:sz w:val="24"/>
          <w:szCs w:val="20"/>
        </w:rPr>
        <w:t xml:space="preserve">采购需求偏离表（实质性格式）</w:t>
      </w:r>
      <w:r/>
    </w:p>
    <w:p>
      <w:pPr>
        <w:pStyle w:val="1100"/>
        <w:jc w:val="center"/>
        <w:spacing w:line="360" w:lineRule="auto"/>
        <w:rPr>
          <w:rFonts w:hint="eastAsia" w:ascii="宋体" w:hAnsi="宋体"/>
          <w:b/>
          <w:sz w:val="36"/>
          <w:szCs w:val="36"/>
        </w:rPr>
      </w:pPr>
      <w:r>
        <w:rPr>
          <w:rFonts w:hint="eastAsia" w:ascii="宋体" w:hAnsi="宋体"/>
          <w:b/>
          <w:sz w:val="36"/>
          <w:szCs w:val="36"/>
        </w:rPr>
      </w:r>
      <w:r/>
    </w:p>
    <w:p>
      <w:pPr>
        <w:pStyle w:val="1100"/>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100"/>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00"/>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100"/>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100"/>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100"/>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100"/>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100"/>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100"/>
              <w:jc w:val="center"/>
              <w:rPr>
                <w:rFonts w:ascii="宋体" w:hAnsi="宋体"/>
                <w:sz w:val="24"/>
              </w:rPr>
            </w:pPr>
            <w:r>
              <w:rPr>
                <w:rFonts w:ascii="宋体" w:hAnsi="宋体"/>
                <w:sz w:val="24"/>
              </w:rPr>
            </w:r>
            <w:r/>
          </w:p>
        </w:tc>
        <w:tc>
          <w:tcPr>
            <w:tcW w:w="1482" w:type="dxa"/>
            <w:vAlign w:val="center"/>
            <w:textDirection w:val="lrTb"/>
            <w:noWrap w:val="false"/>
          </w:tcPr>
          <w:p>
            <w:pPr>
              <w:pStyle w:val="1100"/>
              <w:jc w:val="center"/>
              <w:rPr>
                <w:rFonts w:ascii="宋体" w:hAnsi="宋体"/>
                <w:sz w:val="24"/>
              </w:rPr>
            </w:pPr>
            <w:r>
              <w:rPr>
                <w:rFonts w:ascii="宋体" w:hAnsi="宋体"/>
                <w:sz w:val="24"/>
              </w:rPr>
            </w:r>
            <w:r/>
          </w:p>
        </w:tc>
        <w:tc>
          <w:tcPr>
            <w:tcW w:w="2384" w:type="dxa"/>
            <w:vAlign w:val="center"/>
            <w:textDirection w:val="lrTb"/>
            <w:noWrap w:val="false"/>
          </w:tcPr>
          <w:p>
            <w:pPr>
              <w:pStyle w:val="1100"/>
              <w:jc w:val="center"/>
              <w:rPr>
                <w:rFonts w:ascii="宋体" w:hAnsi="宋体"/>
                <w:sz w:val="24"/>
              </w:rPr>
            </w:pPr>
            <w:r>
              <w:rPr>
                <w:rFonts w:ascii="宋体" w:hAnsi="宋体"/>
                <w:sz w:val="24"/>
              </w:rPr>
            </w:r>
            <w:r/>
          </w:p>
        </w:tc>
        <w:tc>
          <w:tcPr>
            <w:tcW w:w="2126" w:type="dxa"/>
            <w:vAlign w:val="center"/>
            <w:textDirection w:val="lrTb"/>
            <w:noWrap w:val="false"/>
          </w:tcPr>
          <w:p>
            <w:pPr>
              <w:pStyle w:val="1100"/>
              <w:jc w:val="center"/>
              <w:rPr>
                <w:rFonts w:ascii="宋体" w:hAnsi="宋体"/>
                <w:sz w:val="24"/>
              </w:rPr>
            </w:pPr>
            <w:r>
              <w:rPr>
                <w:rFonts w:ascii="宋体" w:hAnsi="宋体"/>
                <w:sz w:val="24"/>
              </w:rPr>
            </w:r>
            <w:r/>
          </w:p>
        </w:tc>
        <w:tc>
          <w:tcPr>
            <w:tcW w:w="1875" w:type="dxa"/>
            <w:vAlign w:val="center"/>
            <w:textDirection w:val="lrTb"/>
            <w:noWrap w:val="false"/>
          </w:tcPr>
          <w:p>
            <w:pPr>
              <w:pStyle w:val="1100"/>
              <w:jc w:val="center"/>
              <w:rPr>
                <w:rFonts w:ascii="宋体" w:hAnsi="宋体"/>
                <w:sz w:val="24"/>
              </w:rPr>
            </w:pPr>
            <w:r>
              <w:rPr>
                <w:rFonts w:ascii="宋体" w:hAnsi="宋体"/>
                <w:sz w:val="24"/>
              </w:rPr>
            </w:r>
            <w:r/>
          </w:p>
        </w:tc>
        <w:tc>
          <w:tcPr>
            <w:tcW w:w="1009" w:type="dxa"/>
            <w:vAlign w:val="center"/>
            <w:textDirection w:val="lrTb"/>
            <w:noWrap w:val="false"/>
          </w:tcPr>
          <w:p>
            <w:pPr>
              <w:pStyle w:val="110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100"/>
              <w:jc w:val="center"/>
              <w:rPr>
                <w:rFonts w:ascii="宋体" w:hAnsi="宋体"/>
                <w:sz w:val="24"/>
              </w:rPr>
            </w:pPr>
            <w:r>
              <w:rPr>
                <w:rFonts w:ascii="宋体" w:hAnsi="宋体"/>
                <w:sz w:val="24"/>
              </w:rPr>
            </w:r>
            <w:r/>
          </w:p>
        </w:tc>
        <w:tc>
          <w:tcPr>
            <w:tcW w:w="1482" w:type="dxa"/>
            <w:vAlign w:val="center"/>
            <w:textDirection w:val="lrTb"/>
            <w:noWrap w:val="false"/>
          </w:tcPr>
          <w:p>
            <w:pPr>
              <w:pStyle w:val="1100"/>
              <w:jc w:val="center"/>
              <w:rPr>
                <w:rFonts w:ascii="宋体" w:hAnsi="宋体"/>
                <w:sz w:val="24"/>
              </w:rPr>
            </w:pPr>
            <w:r>
              <w:rPr>
                <w:rFonts w:ascii="宋体" w:hAnsi="宋体"/>
                <w:sz w:val="24"/>
              </w:rPr>
            </w:r>
            <w:r/>
          </w:p>
        </w:tc>
        <w:tc>
          <w:tcPr>
            <w:tcW w:w="2384" w:type="dxa"/>
            <w:vAlign w:val="center"/>
            <w:textDirection w:val="lrTb"/>
            <w:noWrap w:val="false"/>
          </w:tcPr>
          <w:p>
            <w:pPr>
              <w:pStyle w:val="1100"/>
              <w:jc w:val="center"/>
              <w:rPr>
                <w:rFonts w:ascii="宋体" w:hAnsi="宋体"/>
                <w:sz w:val="24"/>
              </w:rPr>
            </w:pPr>
            <w:r>
              <w:rPr>
                <w:rFonts w:ascii="宋体" w:hAnsi="宋体"/>
                <w:sz w:val="24"/>
              </w:rPr>
            </w:r>
            <w:r/>
          </w:p>
        </w:tc>
        <w:tc>
          <w:tcPr>
            <w:tcW w:w="2126" w:type="dxa"/>
            <w:vAlign w:val="center"/>
            <w:textDirection w:val="lrTb"/>
            <w:noWrap w:val="false"/>
          </w:tcPr>
          <w:p>
            <w:pPr>
              <w:pStyle w:val="1100"/>
              <w:jc w:val="center"/>
              <w:rPr>
                <w:rFonts w:ascii="宋体" w:hAnsi="宋体"/>
                <w:sz w:val="24"/>
              </w:rPr>
            </w:pPr>
            <w:r>
              <w:rPr>
                <w:rFonts w:ascii="宋体" w:hAnsi="宋体"/>
                <w:sz w:val="24"/>
              </w:rPr>
            </w:r>
            <w:r/>
          </w:p>
        </w:tc>
        <w:tc>
          <w:tcPr>
            <w:tcW w:w="1875" w:type="dxa"/>
            <w:vAlign w:val="center"/>
            <w:textDirection w:val="lrTb"/>
            <w:noWrap w:val="false"/>
          </w:tcPr>
          <w:p>
            <w:pPr>
              <w:pStyle w:val="1100"/>
              <w:jc w:val="center"/>
              <w:rPr>
                <w:rFonts w:ascii="宋体" w:hAnsi="宋体"/>
                <w:sz w:val="24"/>
              </w:rPr>
            </w:pPr>
            <w:r>
              <w:rPr>
                <w:rFonts w:ascii="宋体" w:hAnsi="宋体"/>
                <w:sz w:val="24"/>
              </w:rPr>
            </w:r>
            <w:r/>
          </w:p>
        </w:tc>
        <w:tc>
          <w:tcPr>
            <w:tcW w:w="1009" w:type="dxa"/>
            <w:vAlign w:val="center"/>
            <w:textDirection w:val="lrTb"/>
            <w:noWrap w:val="false"/>
          </w:tcPr>
          <w:p>
            <w:pPr>
              <w:pStyle w:val="110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100"/>
              <w:jc w:val="center"/>
              <w:rPr>
                <w:rFonts w:ascii="宋体" w:hAnsi="宋体"/>
                <w:sz w:val="24"/>
              </w:rPr>
            </w:pPr>
            <w:r>
              <w:rPr>
                <w:rFonts w:ascii="宋体" w:hAnsi="宋体"/>
                <w:sz w:val="24"/>
              </w:rPr>
            </w:r>
            <w:r/>
          </w:p>
        </w:tc>
        <w:tc>
          <w:tcPr>
            <w:tcW w:w="1482" w:type="dxa"/>
            <w:vAlign w:val="center"/>
            <w:textDirection w:val="lrTb"/>
            <w:noWrap w:val="false"/>
          </w:tcPr>
          <w:p>
            <w:pPr>
              <w:pStyle w:val="1100"/>
              <w:jc w:val="center"/>
              <w:rPr>
                <w:rFonts w:ascii="宋体" w:hAnsi="宋体"/>
                <w:sz w:val="24"/>
              </w:rPr>
            </w:pPr>
            <w:r>
              <w:rPr>
                <w:rFonts w:ascii="宋体" w:hAnsi="宋体"/>
                <w:sz w:val="24"/>
              </w:rPr>
            </w:r>
            <w:r/>
          </w:p>
        </w:tc>
        <w:tc>
          <w:tcPr>
            <w:tcW w:w="2384" w:type="dxa"/>
            <w:vAlign w:val="center"/>
            <w:textDirection w:val="lrTb"/>
            <w:noWrap w:val="false"/>
          </w:tcPr>
          <w:p>
            <w:pPr>
              <w:pStyle w:val="1100"/>
              <w:jc w:val="center"/>
              <w:rPr>
                <w:rFonts w:ascii="宋体" w:hAnsi="宋体"/>
                <w:sz w:val="24"/>
              </w:rPr>
            </w:pPr>
            <w:r>
              <w:rPr>
                <w:rFonts w:ascii="宋体" w:hAnsi="宋体"/>
                <w:sz w:val="24"/>
              </w:rPr>
            </w:r>
            <w:r/>
          </w:p>
        </w:tc>
        <w:tc>
          <w:tcPr>
            <w:tcW w:w="2126" w:type="dxa"/>
            <w:vAlign w:val="center"/>
            <w:textDirection w:val="lrTb"/>
            <w:noWrap w:val="false"/>
          </w:tcPr>
          <w:p>
            <w:pPr>
              <w:pStyle w:val="1100"/>
              <w:jc w:val="center"/>
              <w:rPr>
                <w:rFonts w:ascii="宋体" w:hAnsi="宋体"/>
                <w:sz w:val="24"/>
              </w:rPr>
            </w:pPr>
            <w:r>
              <w:rPr>
                <w:rFonts w:ascii="宋体" w:hAnsi="宋体"/>
                <w:sz w:val="24"/>
              </w:rPr>
            </w:r>
            <w:r/>
          </w:p>
        </w:tc>
        <w:tc>
          <w:tcPr>
            <w:tcW w:w="1875" w:type="dxa"/>
            <w:vAlign w:val="center"/>
            <w:textDirection w:val="lrTb"/>
            <w:noWrap w:val="false"/>
          </w:tcPr>
          <w:p>
            <w:pPr>
              <w:pStyle w:val="1100"/>
              <w:jc w:val="center"/>
              <w:rPr>
                <w:rFonts w:ascii="宋体" w:hAnsi="宋体"/>
                <w:sz w:val="24"/>
              </w:rPr>
            </w:pPr>
            <w:r>
              <w:rPr>
                <w:rFonts w:ascii="宋体" w:hAnsi="宋体"/>
                <w:sz w:val="24"/>
              </w:rPr>
            </w:r>
            <w:r/>
          </w:p>
        </w:tc>
        <w:tc>
          <w:tcPr>
            <w:tcW w:w="1009" w:type="dxa"/>
            <w:vAlign w:val="center"/>
            <w:textDirection w:val="lrTb"/>
            <w:noWrap w:val="false"/>
          </w:tcPr>
          <w:p>
            <w:pPr>
              <w:pStyle w:val="110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100"/>
              <w:jc w:val="center"/>
              <w:rPr>
                <w:rFonts w:ascii="宋体" w:hAnsi="宋体"/>
                <w:sz w:val="24"/>
              </w:rPr>
            </w:pPr>
            <w:r>
              <w:rPr>
                <w:rFonts w:ascii="宋体" w:hAnsi="宋体"/>
                <w:sz w:val="24"/>
              </w:rPr>
            </w:r>
            <w:r/>
          </w:p>
        </w:tc>
        <w:tc>
          <w:tcPr>
            <w:tcW w:w="1482" w:type="dxa"/>
            <w:vAlign w:val="center"/>
            <w:textDirection w:val="lrTb"/>
            <w:noWrap w:val="false"/>
          </w:tcPr>
          <w:p>
            <w:pPr>
              <w:pStyle w:val="1100"/>
              <w:jc w:val="center"/>
              <w:rPr>
                <w:rFonts w:ascii="宋体" w:hAnsi="宋体"/>
                <w:sz w:val="24"/>
              </w:rPr>
            </w:pPr>
            <w:r>
              <w:rPr>
                <w:rFonts w:ascii="宋体" w:hAnsi="宋体"/>
                <w:sz w:val="24"/>
              </w:rPr>
            </w:r>
            <w:r/>
          </w:p>
        </w:tc>
        <w:tc>
          <w:tcPr>
            <w:tcW w:w="2384" w:type="dxa"/>
            <w:vAlign w:val="center"/>
            <w:textDirection w:val="lrTb"/>
            <w:noWrap w:val="false"/>
          </w:tcPr>
          <w:p>
            <w:pPr>
              <w:pStyle w:val="1100"/>
              <w:jc w:val="center"/>
              <w:rPr>
                <w:rFonts w:ascii="宋体" w:hAnsi="宋体"/>
                <w:sz w:val="24"/>
              </w:rPr>
            </w:pPr>
            <w:r>
              <w:rPr>
                <w:rFonts w:ascii="宋体" w:hAnsi="宋体"/>
                <w:sz w:val="24"/>
              </w:rPr>
            </w:r>
            <w:r/>
          </w:p>
        </w:tc>
        <w:tc>
          <w:tcPr>
            <w:tcW w:w="2126" w:type="dxa"/>
            <w:vAlign w:val="center"/>
            <w:textDirection w:val="lrTb"/>
            <w:noWrap w:val="false"/>
          </w:tcPr>
          <w:p>
            <w:pPr>
              <w:pStyle w:val="1100"/>
              <w:jc w:val="center"/>
              <w:rPr>
                <w:rFonts w:ascii="宋体" w:hAnsi="宋体"/>
                <w:sz w:val="24"/>
              </w:rPr>
            </w:pPr>
            <w:r>
              <w:rPr>
                <w:rFonts w:ascii="宋体" w:hAnsi="宋体"/>
                <w:sz w:val="24"/>
              </w:rPr>
            </w:r>
            <w:r/>
          </w:p>
        </w:tc>
        <w:tc>
          <w:tcPr>
            <w:tcW w:w="1875" w:type="dxa"/>
            <w:vAlign w:val="center"/>
            <w:textDirection w:val="lrTb"/>
            <w:noWrap w:val="false"/>
          </w:tcPr>
          <w:p>
            <w:pPr>
              <w:pStyle w:val="1100"/>
              <w:jc w:val="center"/>
              <w:rPr>
                <w:rFonts w:ascii="宋体" w:hAnsi="宋体"/>
                <w:sz w:val="24"/>
              </w:rPr>
            </w:pPr>
            <w:r>
              <w:rPr>
                <w:rFonts w:ascii="宋体" w:hAnsi="宋体"/>
                <w:sz w:val="24"/>
              </w:rPr>
            </w:r>
            <w:r/>
          </w:p>
        </w:tc>
        <w:tc>
          <w:tcPr>
            <w:tcW w:w="1009" w:type="dxa"/>
            <w:vAlign w:val="center"/>
            <w:textDirection w:val="lrTb"/>
            <w:noWrap w:val="false"/>
          </w:tcPr>
          <w:p>
            <w:pPr>
              <w:pStyle w:val="110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100"/>
              <w:jc w:val="center"/>
              <w:rPr>
                <w:rFonts w:ascii="宋体" w:hAnsi="宋体"/>
                <w:sz w:val="24"/>
              </w:rPr>
            </w:pPr>
            <w:r>
              <w:rPr>
                <w:rFonts w:ascii="宋体" w:hAnsi="宋体"/>
                <w:sz w:val="24"/>
              </w:rPr>
            </w:r>
            <w:r/>
          </w:p>
        </w:tc>
        <w:tc>
          <w:tcPr>
            <w:tcW w:w="1482" w:type="dxa"/>
            <w:vAlign w:val="center"/>
            <w:textDirection w:val="lrTb"/>
            <w:noWrap w:val="false"/>
          </w:tcPr>
          <w:p>
            <w:pPr>
              <w:pStyle w:val="1100"/>
              <w:jc w:val="center"/>
              <w:rPr>
                <w:rFonts w:ascii="宋体" w:hAnsi="宋体"/>
                <w:sz w:val="24"/>
              </w:rPr>
            </w:pPr>
            <w:r>
              <w:rPr>
                <w:rFonts w:ascii="宋体" w:hAnsi="宋体"/>
                <w:sz w:val="24"/>
              </w:rPr>
            </w:r>
            <w:r/>
          </w:p>
        </w:tc>
        <w:tc>
          <w:tcPr>
            <w:tcW w:w="2384" w:type="dxa"/>
            <w:vAlign w:val="center"/>
            <w:textDirection w:val="lrTb"/>
            <w:noWrap w:val="false"/>
          </w:tcPr>
          <w:p>
            <w:pPr>
              <w:pStyle w:val="1100"/>
              <w:jc w:val="center"/>
              <w:rPr>
                <w:rFonts w:ascii="宋体" w:hAnsi="宋体"/>
                <w:sz w:val="24"/>
              </w:rPr>
            </w:pPr>
            <w:r>
              <w:rPr>
                <w:rFonts w:ascii="宋体" w:hAnsi="宋体"/>
                <w:sz w:val="24"/>
              </w:rPr>
            </w:r>
            <w:r/>
          </w:p>
        </w:tc>
        <w:tc>
          <w:tcPr>
            <w:tcW w:w="2126" w:type="dxa"/>
            <w:vAlign w:val="center"/>
            <w:textDirection w:val="lrTb"/>
            <w:noWrap w:val="false"/>
          </w:tcPr>
          <w:p>
            <w:pPr>
              <w:pStyle w:val="1100"/>
              <w:jc w:val="center"/>
              <w:rPr>
                <w:rFonts w:ascii="宋体" w:hAnsi="宋体"/>
                <w:sz w:val="24"/>
              </w:rPr>
            </w:pPr>
            <w:r>
              <w:rPr>
                <w:rFonts w:ascii="宋体" w:hAnsi="宋体"/>
                <w:sz w:val="24"/>
              </w:rPr>
            </w:r>
            <w:r/>
          </w:p>
        </w:tc>
        <w:tc>
          <w:tcPr>
            <w:tcW w:w="1875" w:type="dxa"/>
            <w:vAlign w:val="center"/>
            <w:textDirection w:val="lrTb"/>
            <w:noWrap w:val="false"/>
          </w:tcPr>
          <w:p>
            <w:pPr>
              <w:pStyle w:val="1100"/>
              <w:jc w:val="center"/>
              <w:rPr>
                <w:rFonts w:ascii="宋体" w:hAnsi="宋体"/>
                <w:sz w:val="24"/>
              </w:rPr>
            </w:pPr>
            <w:r>
              <w:rPr>
                <w:rFonts w:ascii="宋体" w:hAnsi="宋体"/>
                <w:sz w:val="24"/>
              </w:rPr>
            </w:r>
            <w:r/>
          </w:p>
        </w:tc>
        <w:tc>
          <w:tcPr>
            <w:tcW w:w="1009" w:type="dxa"/>
            <w:vAlign w:val="center"/>
            <w:textDirection w:val="lrTb"/>
            <w:noWrap w:val="false"/>
          </w:tcPr>
          <w:p>
            <w:pPr>
              <w:pStyle w:val="110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100"/>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100"/>
              <w:jc w:val="center"/>
              <w:rPr>
                <w:rFonts w:ascii="宋体" w:hAnsi="宋体"/>
                <w:sz w:val="24"/>
              </w:rPr>
            </w:pPr>
            <w:r>
              <w:rPr>
                <w:rFonts w:ascii="宋体" w:hAnsi="宋体"/>
                <w:sz w:val="24"/>
              </w:rPr>
            </w:r>
            <w:r/>
          </w:p>
        </w:tc>
        <w:tc>
          <w:tcPr>
            <w:tcW w:w="2384" w:type="dxa"/>
            <w:vAlign w:val="center"/>
            <w:textDirection w:val="lrTb"/>
            <w:noWrap w:val="false"/>
          </w:tcPr>
          <w:p>
            <w:pPr>
              <w:pStyle w:val="1100"/>
              <w:jc w:val="center"/>
              <w:rPr>
                <w:rFonts w:ascii="宋体" w:hAnsi="宋体"/>
                <w:sz w:val="24"/>
              </w:rPr>
            </w:pPr>
            <w:r>
              <w:rPr>
                <w:rFonts w:ascii="宋体" w:hAnsi="宋体"/>
                <w:sz w:val="24"/>
              </w:rPr>
            </w:r>
            <w:r/>
          </w:p>
        </w:tc>
        <w:tc>
          <w:tcPr>
            <w:tcW w:w="2126" w:type="dxa"/>
            <w:vAlign w:val="center"/>
            <w:textDirection w:val="lrTb"/>
            <w:noWrap w:val="false"/>
          </w:tcPr>
          <w:p>
            <w:pPr>
              <w:pStyle w:val="1100"/>
              <w:jc w:val="center"/>
              <w:rPr>
                <w:rFonts w:ascii="宋体" w:hAnsi="宋体"/>
                <w:sz w:val="24"/>
              </w:rPr>
            </w:pPr>
            <w:r>
              <w:rPr>
                <w:rFonts w:ascii="宋体" w:hAnsi="宋体"/>
                <w:sz w:val="24"/>
              </w:rPr>
            </w:r>
            <w:r/>
          </w:p>
        </w:tc>
        <w:tc>
          <w:tcPr>
            <w:tcW w:w="1875" w:type="dxa"/>
            <w:vAlign w:val="center"/>
            <w:textDirection w:val="lrTb"/>
            <w:noWrap w:val="false"/>
          </w:tcPr>
          <w:p>
            <w:pPr>
              <w:pStyle w:val="1100"/>
              <w:jc w:val="center"/>
              <w:rPr>
                <w:rFonts w:ascii="宋体" w:hAnsi="宋体"/>
                <w:sz w:val="24"/>
              </w:rPr>
            </w:pPr>
            <w:r>
              <w:rPr>
                <w:rFonts w:ascii="宋体" w:hAnsi="宋体"/>
                <w:sz w:val="24"/>
              </w:rPr>
            </w:r>
            <w:r/>
          </w:p>
        </w:tc>
        <w:tc>
          <w:tcPr>
            <w:tcW w:w="1009" w:type="dxa"/>
            <w:vAlign w:val="center"/>
            <w:textDirection w:val="lrTb"/>
            <w:noWrap w:val="false"/>
          </w:tcPr>
          <w:p>
            <w:pPr>
              <w:pStyle w:val="1100"/>
              <w:jc w:val="center"/>
              <w:rPr>
                <w:rFonts w:ascii="宋体" w:hAnsi="宋体"/>
                <w:sz w:val="24"/>
              </w:rPr>
            </w:pPr>
            <w:r>
              <w:rPr>
                <w:rFonts w:ascii="宋体" w:hAnsi="宋体"/>
                <w:sz w:val="24"/>
              </w:rPr>
            </w:r>
            <w:r/>
          </w:p>
        </w:tc>
      </w:tr>
    </w:tbl>
    <w:p>
      <w:pPr>
        <w:pStyle w:val="1100"/>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100"/>
        <w:jc w:val="left"/>
        <w:tabs>
          <w:tab w:val="left" w:pos="1800" w:leader="none"/>
          <w:tab w:val="left" w:pos="5580" w:leader="none"/>
        </w:tabs>
        <w:rPr>
          <w:rFonts w:ascii="宋体" w:hAnsi="宋体"/>
          <w:sz w:val="24"/>
        </w:rPr>
      </w:pPr>
      <w:r>
        <w:rPr>
          <w:rFonts w:ascii="宋体" w:hAnsi="宋体"/>
          <w:sz w:val="24"/>
        </w:rPr>
        <w:t xml:space="preserve">注：</w:t>
      </w:r>
      <w:r/>
    </w:p>
    <w:p>
      <w:pPr>
        <w:pStyle w:val="110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100"/>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100"/>
        <w:jc w:val="left"/>
        <w:tabs>
          <w:tab w:val="left" w:pos="1800" w:leader="none"/>
          <w:tab w:val="left" w:pos="5580" w:leader="none"/>
        </w:tabs>
        <w:rPr>
          <w:rFonts w:ascii="宋体" w:hAnsi="宋体"/>
          <w:sz w:val="24"/>
        </w:rPr>
      </w:pPr>
      <w:r>
        <w:rPr>
          <w:rFonts w:ascii="宋体" w:hAnsi="宋体"/>
          <w:sz w:val="24"/>
        </w:rPr>
      </w:r>
      <w:r/>
    </w:p>
    <w:p>
      <w:pPr>
        <w:pStyle w:val="1100"/>
        <w:jc w:val="left"/>
        <w:tabs>
          <w:tab w:val="left" w:pos="1800" w:leader="none"/>
          <w:tab w:val="left" w:pos="5580" w:leader="none"/>
        </w:tabs>
        <w:rPr>
          <w:rFonts w:ascii="宋体" w:hAnsi="宋体"/>
          <w:sz w:val="24"/>
        </w:rPr>
      </w:pPr>
      <w:r>
        <w:rPr>
          <w:rFonts w:ascii="宋体" w:hAnsi="宋体"/>
          <w:sz w:val="24"/>
        </w:rPr>
      </w:r>
      <w:r/>
    </w:p>
    <w:p>
      <w:pPr>
        <w:pStyle w:val="1100"/>
        <w:rPr>
          <w:rFonts w:ascii="宋体" w:hAnsi="宋体"/>
          <w:sz w:val="24"/>
          <w:szCs w:val="20"/>
        </w:rPr>
      </w:pPr>
      <w:r>
        <w:rPr>
          <w:rFonts w:ascii="宋体" w:hAnsi="宋体"/>
          <w:sz w:val="24"/>
          <w:szCs w:val="20"/>
        </w:rPr>
      </w:r>
      <w:r/>
    </w:p>
    <w:p>
      <w:pPr>
        <w:pStyle w:val="1100"/>
        <w:spacing w:before="25" w:after="25" w:line="360" w:lineRule="auto"/>
        <w:rPr>
          <w:rFonts w:ascii="宋体" w:hAnsi="宋体"/>
          <w:sz w:val="24"/>
          <w:lang w:val="zh-CN"/>
        </w:rPr>
      </w:pPr>
      <w:r>
        <w:rPr>
          <w:rFonts w:ascii="宋体" w:hAnsi="宋体"/>
          <w:sz w:val="24"/>
          <w:lang w:val="zh-CN"/>
        </w:rPr>
        <w:t xml:space="preserve">                  </w:t>
      </w:r>
      <w:r/>
    </w:p>
    <w:p>
      <w:pPr>
        <w:pStyle w:val="110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10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00"/>
        <w:spacing w:line="360" w:lineRule="auto"/>
        <w:rPr>
          <w:rFonts w:ascii="宋体" w:hAnsi="宋体"/>
          <w:sz w:val="24"/>
          <w:szCs w:val="20"/>
        </w:rPr>
        <w:outlineLvl w:val="2"/>
      </w:pPr>
      <w:r>
        <w:rPr>
          <w:rFonts w:ascii="宋体" w:hAnsi="宋体"/>
          <w:sz w:val="24"/>
          <w:szCs w:val="20"/>
        </w:rPr>
        <w:br w:type="page" w:clear="all"/>
      </w:r>
      <w:r>
        <w:rPr>
          <w:rFonts w:ascii="宋体" w:hAnsi="宋体"/>
          <w:b/>
          <w:sz w:val="24"/>
          <w:szCs w:val="20"/>
        </w:rPr>
        <w:t xml:space="preserve">9</w:t>
      </w:r>
      <w:r>
        <w:rPr>
          <w:rFonts w:hint="eastAsia" w:ascii="宋体" w:hAnsi="宋体"/>
          <w:b/>
          <w:sz w:val="24"/>
          <w:szCs w:val="20"/>
        </w:rPr>
        <w:t xml:space="preserve"> </w:t>
      </w:r>
      <w:r>
        <w:rPr>
          <w:rFonts w:hint="eastAsia" w:ascii="宋体" w:hAnsi="宋体"/>
          <w:b/>
          <w:sz w:val="24"/>
          <w:szCs w:val="20"/>
        </w:rPr>
        <w:t xml:space="preserve">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1162"/>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62"/>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62"/>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1175"/>
          <w:rFonts w:hint="eastAsia" w:ascii="方正魏碑_GBK" w:hAnsi="方正魏碑_GBK" w:eastAsia="方正魏碑_GBK" w:cs="方正魏碑_GBK"/>
          <w:color w:val="000000"/>
          <w:u w:val="single"/>
          <w:shd w:val="clear" w:color="auto" w:fill="ffffff"/>
        </w:rPr>
        <w:t xml:space="preserve">（产品名称1）</w:t>
      </w:r>
      <w:r>
        <w:rPr>
          <w:rStyle w:val="1175"/>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1175"/>
          <w:rFonts w:hint="eastAsia" w:ascii="方正魏碑_GBK" w:hAnsi="方正魏碑_GBK" w:eastAsia="方正魏碑_GBK" w:cs="方正魏碑_GBK"/>
          <w:color w:val="000000"/>
          <w:u w:val="single"/>
          <w:shd w:val="clear" w:color="auto" w:fill="ffffff"/>
        </w:rPr>
        <w:t xml:space="preserve">（厂名）</w:t>
      </w:r>
      <w:r>
        <w:rPr>
          <w:rStyle w:val="1175"/>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1175"/>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1175"/>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1175"/>
          <w:rFonts w:hint="eastAsia" w:ascii="方正魏碑_GBK" w:hAnsi="方正魏碑_GBK" w:eastAsia="方正魏碑_GBK" w:cs="方正魏碑_GBK"/>
          <w:color w:val="000000"/>
          <w:u w:val="single"/>
          <w:shd w:val="clear" w:color="auto" w:fill="ffffff"/>
        </w:rPr>
        <w:t xml:space="preserve">（规定</w:t>
      </w:r>
      <w:r>
        <w:rPr>
          <w:rStyle w:val="1175"/>
          <w:rFonts w:ascii="方正魏碑_GBK" w:hAnsi="方正魏碑_GBK" w:eastAsia="方正魏碑_GBK" w:cs="方正魏碑_GBK"/>
          <w:color w:val="000000"/>
          <w:u w:val="single"/>
          <w:shd w:val="clear" w:color="auto" w:fill="ffffff"/>
        </w:rPr>
        <w:t xml:space="preserve">比例</w:t>
      </w:r>
      <w:r>
        <w:rPr>
          <w:rStyle w:val="1175"/>
          <w:rFonts w:hint="eastAsia" w:ascii="方正魏碑_GBK" w:hAnsi="方正魏碑_GBK" w:eastAsia="方正魏碑_GBK" w:cs="方正魏碑_GBK"/>
          <w:color w:val="000000"/>
          <w:u w:val="single"/>
          <w:shd w:val="clear" w:color="auto" w:fill="ffffff"/>
        </w:rPr>
        <w:t xml:space="preserve">）</w:t>
      </w:r>
      <w:r>
        <w:rPr>
          <w:rStyle w:val="1175"/>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1175"/>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75"/>
          <w:rFonts w:hint="eastAsia" w:ascii="方正魏碑_GBK" w:hAnsi="方正魏碑_GBK" w:eastAsia="方正魏碑_GBK" w:cs="方正魏碑_GBK"/>
          <w:color w:val="000000"/>
          <w:u w:val="single"/>
          <w:shd w:val="clear" w:color="auto" w:fill="ffffff"/>
        </w:rPr>
        <w:t xml:space="preserve">（关键</w:t>
      </w:r>
      <w:r>
        <w:rPr>
          <w:rStyle w:val="1175"/>
          <w:rFonts w:ascii="方正魏碑_GBK" w:hAnsi="方正魏碑_GBK" w:eastAsia="方正魏碑_GBK" w:cs="方正魏碑_GBK"/>
          <w:color w:val="000000"/>
          <w:u w:val="single"/>
          <w:shd w:val="clear" w:color="auto" w:fill="ffffff"/>
        </w:rPr>
        <w:t xml:space="preserve">组件</w:t>
      </w:r>
      <w:r>
        <w:rPr>
          <w:rStyle w:val="1175"/>
          <w:rFonts w:hint="eastAsia" w:ascii="方正魏碑_GBK" w:hAnsi="方正魏碑_GBK" w:eastAsia="方正魏碑_GBK" w:cs="方正魏碑_GBK"/>
          <w:color w:val="000000"/>
          <w:u w:val="single"/>
          <w:shd w:val="clear" w:color="auto" w:fill="ffffff"/>
        </w:rPr>
        <w:t xml:space="preserve">）</w:t>
      </w:r>
      <w:r>
        <w:rPr>
          <w:rStyle w:val="1175"/>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1175"/>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75"/>
          <w:rFonts w:hint="eastAsia" w:ascii="方正魏碑_GBK" w:hAnsi="方正魏碑_GBK" w:eastAsia="方正魏碑_GBK" w:cs="方正魏碑_GBK"/>
          <w:color w:val="000000"/>
          <w:u w:val="single"/>
          <w:shd w:val="clear" w:color="auto" w:fill="ffffff"/>
        </w:rPr>
        <w:t xml:space="preserve">（关键工序）</w:t>
      </w:r>
      <w:r>
        <w:rPr>
          <w:rStyle w:val="1175"/>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62"/>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1175"/>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1175"/>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1175"/>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1175"/>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1175"/>
          <w:rFonts w:hint="eastAsia" w:ascii="方正魏碑_GBK" w:hAnsi="方正魏碑_GBK" w:eastAsia="方正魏碑_GBK" w:cs="方正魏碑_GBK"/>
          <w:color w:val="000000"/>
          <w:u w:val="single"/>
          <w:shd w:val="clear" w:color="auto" w:fill="ffffff"/>
        </w:rPr>
        <w:t xml:space="preserve">（规定</w:t>
      </w:r>
      <w:r>
        <w:rPr>
          <w:rStyle w:val="1175"/>
          <w:rFonts w:ascii="方正魏碑_GBK" w:hAnsi="方正魏碑_GBK" w:eastAsia="方正魏碑_GBK" w:cs="方正魏碑_GBK"/>
          <w:color w:val="000000"/>
          <w:u w:val="single"/>
          <w:shd w:val="clear" w:color="auto" w:fill="ffffff"/>
        </w:rPr>
        <w:t xml:space="preserve">比例</w:t>
      </w:r>
      <w:r>
        <w:rPr>
          <w:rStyle w:val="1175"/>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1175"/>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75"/>
          <w:rFonts w:hint="eastAsia" w:ascii="方正魏碑_GBK" w:hAnsi="方正魏碑_GBK" w:eastAsia="方正魏碑_GBK" w:cs="方正魏碑_GBK"/>
          <w:color w:val="000000"/>
          <w:u w:val="single"/>
          <w:shd w:val="clear" w:color="auto" w:fill="ffffff"/>
        </w:rPr>
        <w:t xml:space="preserve">（关键</w:t>
      </w:r>
      <w:r>
        <w:rPr>
          <w:rStyle w:val="1175"/>
          <w:rFonts w:ascii="方正魏碑_GBK" w:hAnsi="方正魏碑_GBK" w:eastAsia="方正魏碑_GBK" w:cs="方正魏碑_GBK"/>
          <w:color w:val="000000"/>
          <w:u w:val="single"/>
          <w:shd w:val="clear" w:color="auto" w:fill="ffffff"/>
        </w:rPr>
        <w:t xml:space="preserve">组件</w:t>
      </w:r>
      <w:r>
        <w:rPr>
          <w:rStyle w:val="1175"/>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1175"/>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75"/>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62"/>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1162"/>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1162"/>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62"/>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1162"/>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1162"/>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62"/>
        <w:spacing w:before="30" w:beforeAutospacing="0" w:after="30" w:afterAutospacing="0" w:line="0" w:lineRule="atLeast"/>
        <w:rPr>
          <w:rFonts w:hint="eastAsia" w:ascii="方正魏碑_GBK" w:hAnsi="方正魏碑_GBK" w:eastAsia="方正魏碑_GBK" w:cs="方正魏碑_GBK"/>
          <w:b/>
          <w:color w:val="ff0000"/>
          <w:sz w:val="22"/>
        </w:rPr>
      </w:pPr>
      <w:r>
        <w:rPr>
          <w:rFonts w:hint="eastAsia" w:ascii="方正魏碑_GBK" w:hAnsi="方正魏碑_GBK" w:eastAsia="方正魏碑_GBK" w:cs="方正魏碑_GBK"/>
          <w:b/>
          <w:color w:val="ff0000"/>
          <w:sz w:val="22"/>
          <w:shd w:val="clear" w:color="auto" w:fill="ffffff"/>
        </w:rPr>
        <w:t xml:space="preserve">1.产品如有型号，请在“产品名称”栏一并填写。</w:t>
      </w:r>
      <w:r>
        <w:rPr>
          <w:rFonts w:hint="eastAsia" w:ascii="方正魏碑_GBK" w:hAnsi="方正魏碑_GBK" w:eastAsia="方正魏碑_GBK" w:cs="方正魏碑_GBK"/>
          <w:b/>
          <w:color w:val="ff0000"/>
          <w:sz w:val="22"/>
        </w:rPr>
      </w:r>
      <w:r/>
    </w:p>
    <w:p>
      <w:pPr>
        <w:pStyle w:val="116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116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6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62"/>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62"/>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100"/>
        <w:rPr>
          <w:rFonts w:ascii="方正魏碑_GBK" w:hAnsi="方正魏碑_GBK" w:eastAsia="方正魏碑_GBK" w:cs="方正魏碑_GBK"/>
        </w:rPr>
      </w:pPr>
      <w:r>
        <w:rPr>
          <w:rFonts w:hint="eastAsia" w:ascii="宋体" w:hAnsi="宋体"/>
          <w:b/>
          <w:sz w:val="24"/>
        </w:rPr>
        <w:br w:type="page" w:clear="all"/>
      </w:r>
      <w:r>
        <w:rPr>
          <w:rFonts w:hint="eastAsia" w:ascii="宋体" w:hAnsi="宋体"/>
          <w:b/>
          <w:sz w:val="24"/>
        </w:rPr>
        <w:t xml:space="preserve">1</w:t>
      </w:r>
      <w:r>
        <w:rPr>
          <w:rFonts w:ascii="宋体" w:hAnsi="宋体"/>
          <w:b/>
          <w:sz w:val="24"/>
        </w:rPr>
        <w:t xml:space="preserve">0</w:t>
      </w:r>
      <w:r>
        <w:rPr>
          <w:rFonts w:ascii="宋体" w:hAnsi="宋体"/>
          <w:b/>
          <w:sz w:val="24"/>
        </w:rPr>
        <w:t xml:space="preserve">  </w:t>
      </w:r>
      <w:r>
        <w:rPr>
          <w:rFonts w:hint="eastAsia" w:ascii="宋体" w:hAnsi="宋体"/>
          <w:b/>
          <w:sz w:val="24"/>
        </w:rPr>
        <w:t xml:space="preserve">项目实施方案等，包括但不限于如下主题：</w:t>
      </w:r>
      <w:r>
        <w:rPr>
          <w:rFonts w:ascii="方正魏碑_GBK" w:hAnsi="方正魏碑_GBK" w:eastAsia="方正魏碑_GBK" w:cs="方正魏碑_GBK"/>
        </w:rPr>
      </w:r>
      <w:r/>
    </w:p>
    <w:p>
      <w:pPr>
        <w:pStyle w:val="1100"/>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100"/>
        <w:ind w:firstLine="480"/>
        <w:spacing w:line="560" w:lineRule="exact"/>
        <w:rPr>
          <w:rFonts w:hint="eastAsia" w:ascii="宋体" w:hAnsi="宋体"/>
          <w:sz w:val="24"/>
          <w:szCs w:val="20"/>
        </w:rPr>
      </w:pPr>
      <w:r>
        <w:rPr>
          <w:rFonts w:hint="eastAsia" w:ascii="宋体" w:hAnsi="宋体"/>
          <w:sz w:val="24"/>
          <w:szCs w:val="20"/>
        </w:rPr>
      </w:r>
      <w:r/>
    </w:p>
    <w:p>
      <w:pPr>
        <w:pStyle w:val="1100"/>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1</w:t>
      </w:r>
      <w:r>
        <w:rPr>
          <w:rFonts w:hint="eastAsia" w:ascii="宋体" w:hAnsi="宋体"/>
          <w:b/>
          <w:sz w:val="24"/>
        </w:rPr>
        <w:t xml:space="preserve">  参加本项目人员一览表</w:t>
      </w:r>
      <w:r>
        <w:rPr>
          <w:rFonts w:ascii="宋体" w:hAnsi="宋体"/>
          <w:b/>
          <w:sz w:val="24"/>
        </w:rPr>
      </w:r>
      <w:r/>
    </w:p>
    <w:p>
      <w:pPr>
        <w:pStyle w:val="1100"/>
        <w:jc w:val="center"/>
        <w:spacing w:line="360" w:lineRule="auto"/>
        <w:rPr>
          <w:rFonts w:hint="eastAsia" w:ascii="宋体" w:hAnsi="宋体"/>
          <w:b/>
          <w:sz w:val="32"/>
          <w:szCs w:val="32"/>
        </w:rPr>
      </w:pPr>
      <w:r>
        <w:rPr>
          <w:rFonts w:hint="eastAsia" w:ascii="宋体" w:hAnsi="宋体"/>
          <w:b/>
          <w:sz w:val="32"/>
          <w:szCs w:val="32"/>
        </w:rPr>
      </w:r>
      <w:r/>
    </w:p>
    <w:p>
      <w:pPr>
        <w:pStyle w:val="110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100"/>
        <w:spacing w:line="360" w:lineRule="auto"/>
        <w:rPr>
          <w:rFonts w:ascii="宋体" w:hAnsi="宋体"/>
          <w:sz w:val="22"/>
        </w:rPr>
      </w:pPr>
      <w:r>
        <w:rPr>
          <w:rFonts w:ascii="宋体" w:hAnsi="宋体"/>
          <w:sz w:val="22"/>
        </w:rPr>
      </w:r>
      <w:r/>
    </w:p>
    <w:p>
      <w:pPr>
        <w:pStyle w:val="110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10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0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100"/>
        <w:tabs>
          <w:tab w:val="left" w:pos="9765" w:leader="none"/>
        </w:tabs>
        <w:rPr>
          <w:rFonts w:ascii="宋体" w:hAnsi="宋体" w:cs="宋体"/>
          <w:b/>
          <w:sz w:val="24"/>
          <w:lang w:val="zh-CN"/>
        </w:rPr>
      </w:pPr>
      <w:r>
        <w:rPr>
          <w:rFonts w:ascii="宋体" w:hAnsi="宋体" w:cs="宋体"/>
          <w:b/>
          <w:sz w:val="24"/>
          <w:lang w:val="zh-CN"/>
        </w:rPr>
      </w:r>
      <w:r/>
    </w:p>
    <w:p>
      <w:pPr>
        <w:pStyle w:val="110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100"/>
        <w:spacing w:line="360" w:lineRule="auto"/>
        <w:rPr>
          <w:rFonts w:ascii="宋体" w:hAnsi="宋体"/>
          <w:sz w:val="24"/>
        </w:rPr>
      </w:pPr>
      <w:r>
        <w:rPr>
          <w:rFonts w:ascii="宋体" w:hAnsi="宋体"/>
          <w:sz w:val="24"/>
        </w:rPr>
      </w:r>
      <w:r/>
    </w:p>
    <w:p>
      <w:pPr>
        <w:pStyle w:val="110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10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00"/>
        <w:spacing w:line="360" w:lineRule="auto"/>
        <w:rPr>
          <w:rFonts w:ascii="宋体" w:hAnsi="宋体"/>
          <w:b/>
          <w:sz w:val="24"/>
          <w:szCs w:val="20"/>
        </w:rPr>
        <w:outlineLvl w:val="2"/>
      </w:pPr>
      <w:r>
        <w:rPr>
          <w:rFonts w:ascii="宋体" w:hAnsi="宋体"/>
          <w:sz w:val="22"/>
        </w:rPr>
        <w:br w:type="page" w:clear="all"/>
      </w:r>
      <w:bookmarkStart w:id="912" w:name="_Toc288738839"/>
      <w:r/>
      <w:bookmarkStart w:id="913" w:name="_Toc288738397"/>
      <w:r>
        <w:rPr>
          <w:rFonts w:hint="eastAsia" w:ascii="宋体" w:hAnsi="宋体"/>
          <w:b/>
          <w:sz w:val="24"/>
        </w:rPr>
        <w:t xml:space="preserve">1</w:t>
      </w:r>
      <w:r>
        <w:rPr>
          <w:rFonts w:ascii="宋体" w:hAnsi="宋体"/>
          <w:b/>
          <w:sz w:val="24"/>
        </w:rPr>
        <w:t xml:space="preserve">2</w:t>
      </w:r>
      <w:r>
        <w:rPr>
          <w:rFonts w:hint="eastAsia" w:ascii="宋体" w:hAnsi="宋体"/>
          <w:b/>
          <w:sz w:val="24"/>
        </w:rPr>
        <w:t xml:space="preserve">  相关业绩案例一览表</w:t>
      </w:r>
      <w:r>
        <w:rPr>
          <w:rFonts w:ascii="宋体" w:hAnsi="宋体"/>
          <w:b/>
          <w:sz w:val="24"/>
          <w:szCs w:val="20"/>
        </w:rPr>
      </w:r>
      <w:r/>
    </w:p>
    <w:p>
      <w:pPr>
        <w:pStyle w:val="1100"/>
        <w:rPr>
          <w:rFonts w:ascii="宋体" w:hAnsi="宋体"/>
          <w:sz w:val="24"/>
          <w:szCs w:val="20"/>
        </w:rPr>
      </w:pPr>
      <w:r>
        <w:rPr>
          <w:rFonts w:ascii="宋体" w:hAnsi="宋体"/>
          <w:sz w:val="24"/>
          <w:szCs w:val="20"/>
        </w:rPr>
      </w:r>
      <w:r/>
    </w:p>
    <w:p>
      <w:pPr>
        <w:pStyle w:val="1100"/>
        <w:jc w:val="center"/>
        <w:rPr>
          <w:rFonts w:ascii="宋体" w:hAnsi="宋体"/>
          <w:b/>
          <w:sz w:val="32"/>
          <w:szCs w:val="32"/>
        </w:rPr>
      </w:pPr>
      <w:r>
        <w:rPr>
          <w:rFonts w:hint="eastAsia" w:ascii="宋体" w:hAnsi="宋体"/>
          <w:b/>
          <w:sz w:val="32"/>
          <w:szCs w:val="32"/>
        </w:rPr>
        <w:t xml:space="preserve">相关业绩案例一览表</w:t>
      </w:r>
      <w:bookmarkEnd w:id="912"/>
      <w:r/>
      <w:bookmarkEnd w:id="913"/>
      <w:r>
        <w:rPr>
          <w:rFonts w:ascii="宋体" w:hAnsi="宋体"/>
          <w:b/>
          <w:sz w:val="32"/>
          <w:szCs w:val="32"/>
        </w:rPr>
      </w:r>
      <w:r/>
    </w:p>
    <w:p>
      <w:pPr>
        <w:pStyle w:val="1100"/>
        <w:jc w:val="center"/>
        <w:spacing w:line="360" w:lineRule="auto"/>
        <w:rPr>
          <w:rFonts w:ascii="宋体" w:hAnsi="宋体"/>
          <w:b/>
          <w:sz w:val="28"/>
          <w:szCs w:val="30"/>
        </w:rPr>
      </w:pPr>
      <w:r>
        <w:rPr>
          <w:rFonts w:ascii="宋体" w:hAnsi="宋体"/>
          <w:b/>
          <w:sz w:val="28"/>
          <w:szCs w:val="30"/>
        </w:rPr>
      </w:r>
      <w:r/>
    </w:p>
    <w:p>
      <w:pPr>
        <w:pStyle w:val="110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0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0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0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0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0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0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0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0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0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0"/>
              <w:spacing w:line="360" w:lineRule="auto"/>
              <w:tabs>
                <w:tab w:val="left" w:pos="9765" w:leader="none"/>
              </w:tabs>
              <w:rPr>
                <w:rFonts w:ascii="宋体" w:hAnsi="宋体" w:cs="宋体"/>
                <w:sz w:val="24"/>
              </w:rPr>
            </w:pPr>
            <w:r>
              <w:rPr>
                <w:rFonts w:ascii="宋体" w:hAnsi="宋体" w:cs="宋体"/>
                <w:sz w:val="24"/>
              </w:rPr>
            </w:r>
            <w:r/>
          </w:p>
        </w:tc>
      </w:tr>
    </w:tbl>
    <w:p>
      <w:pPr>
        <w:pStyle w:val="1100"/>
        <w:tabs>
          <w:tab w:val="left" w:pos="9765" w:leader="none"/>
        </w:tabs>
        <w:rPr>
          <w:rFonts w:ascii="宋体" w:hAnsi="宋体" w:cs="宋体"/>
          <w:sz w:val="24"/>
          <w:lang w:val="zh-CN"/>
        </w:rPr>
      </w:pPr>
      <w:r>
        <w:rPr>
          <w:rFonts w:ascii="宋体" w:hAnsi="宋体" w:cs="宋体"/>
          <w:sz w:val="24"/>
          <w:lang w:val="zh-CN"/>
        </w:rPr>
      </w:r>
      <w:r/>
    </w:p>
    <w:p>
      <w:pPr>
        <w:pStyle w:val="1100"/>
        <w:spacing w:line="360" w:lineRule="auto"/>
        <w:rPr>
          <w:rFonts w:ascii="宋体" w:hAnsi="宋体" w:cs="宋体"/>
          <w:sz w:val="24"/>
        </w:rPr>
      </w:pPr>
      <w:r>
        <w:rPr>
          <w:rFonts w:ascii="宋体" w:hAnsi="宋体" w:cs="宋体"/>
          <w:sz w:val="24"/>
        </w:rPr>
      </w:r>
      <w:r/>
    </w:p>
    <w:p>
      <w:pPr>
        <w:pStyle w:val="110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10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100"/>
        <w:spacing w:line="360" w:lineRule="auto"/>
        <w:rPr>
          <w:rFonts w:ascii="宋体" w:hAnsi="宋体"/>
        </w:rPr>
        <w:outlineLvl w:val="2"/>
      </w:pPr>
      <w:r>
        <w:rPr>
          <w:rFonts w:ascii="宋体" w:hAnsi="宋体"/>
        </w:rPr>
      </w:r>
      <w:r/>
    </w:p>
    <w:p>
      <w:pPr>
        <w:pStyle w:val="1100"/>
        <w:spacing w:line="360" w:lineRule="auto"/>
        <w:rPr>
          <w:rFonts w:ascii="宋体" w:hAnsi="宋体"/>
        </w:rPr>
        <w:outlineLvl w:val="2"/>
      </w:pPr>
      <w:r>
        <w:rPr>
          <w:rFonts w:ascii="宋体" w:hAnsi="宋体"/>
        </w:rPr>
      </w:r>
      <w:r/>
    </w:p>
    <w:p>
      <w:pPr>
        <w:pStyle w:val="1100"/>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rPr>
        <w:t xml:space="preserve">3</w:t>
      </w:r>
      <w:r>
        <w:rPr>
          <w:rFonts w:ascii="宋体" w:hAnsi="宋体"/>
          <w:b/>
          <w:sz w:val="24"/>
        </w:rPr>
        <w:t xml:space="preserve">  招标文件要求提供或投标人认为应附的其他材料</w:t>
      </w:r>
      <w:r>
        <w:rPr>
          <w:rFonts w:ascii="宋体" w:hAnsi="宋体"/>
          <w:b/>
          <w:sz w:val="24"/>
          <w:szCs w:val="20"/>
        </w:rPr>
      </w:r>
      <w:r/>
    </w:p>
    <w:p>
      <w:pPr>
        <w:pStyle w:val="1100"/>
        <w:jc w:val="left"/>
        <w:widowControl/>
        <w:rPr>
          <w:rFonts w:ascii="宋体" w:hAnsi="宋体"/>
          <w:b/>
          <w:sz w:val="36"/>
          <w:szCs w:val="36"/>
        </w:rPr>
      </w:pPr>
      <w:r>
        <w:rPr>
          <w:rFonts w:ascii="宋体" w:hAnsi="宋体"/>
          <w:b/>
          <w:sz w:val="36"/>
          <w:szCs w:val="36"/>
        </w:rPr>
      </w:r>
      <w:r/>
    </w:p>
    <w:p>
      <w:pPr>
        <w:pStyle w:val="1100"/>
        <w:jc w:val="left"/>
        <w:widowControl/>
        <w:rPr>
          <w:rFonts w:ascii="宋体" w:hAnsi="宋体"/>
          <w:b/>
          <w:sz w:val="36"/>
          <w:szCs w:val="36"/>
        </w:rPr>
      </w:pPr>
      <w:r>
        <w:rPr>
          <w:rFonts w:ascii="宋体" w:hAnsi="宋体"/>
          <w:b/>
          <w:sz w:val="36"/>
          <w:szCs w:val="36"/>
        </w:rPr>
      </w:r>
      <w:r/>
    </w:p>
    <w:p>
      <w:pPr>
        <w:pStyle w:val="1100"/>
        <w:jc w:val="left"/>
        <w:widowControl/>
        <w:rPr>
          <w:rFonts w:ascii="宋体" w:hAnsi="宋体"/>
          <w:b/>
          <w:sz w:val="36"/>
          <w:szCs w:val="36"/>
        </w:rPr>
      </w:pPr>
      <w:r>
        <w:rPr>
          <w:rFonts w:ascii="宋体" w:hAnsi="宋体"/>
          <w:b/>
          <w:sz w:val="36"/>
          <w:szCs w:val="36"/>
        </w:rPr>
      </w:r>
      <w:r/>
    </w:p>
    <w:p>
      <w:pPr>
        <w:pStyle w:val="1100"/>
        <w:jc w:val="left"/>
        <w:widowControl/>
        <w:rPr>
          <w:rFonts w:hint="eastAsia" w:ascii="宋体" w:hAnsi="宋体"/>
          <w:b/>
          <w:sz w:val="36"/>
          <w:szCs w:val="36"/>
        </w:rPr>
      </w:pPr>
      <w:r>
        <w:rPr>
          <w:rFonts w:hint="eastAsia" w:ascii="宋体" w:hAnsi="宋体"/>
          <w:b/>
          <w:sz w:val="36"/>
          <w:szCs w:val="36"/>
        </w:rPr>
      </w:r>
      <w:r/>
    </w:p>
    <w:p>
      <w:pPr>
        <w:pStyle w:val="1100"/>
        <w:rPr>
          <w:rFonts w:ascii="宋体" w:hAnsi="宋体"/>
          <w:sz w:val="36"/>
          <w:szCs w:val="36"/>
        </w:rPr>
      </w:pPr>
      <w:r>
        <w:rPr>
          <w:rFonts w:ascii="宋体" w:hAnsi="宋体"/>
          <w:sz w:val="36"/>
          <w:szCs w:val="36"/>
        </w:rPr>
      </w:r>
      <w:r/>
    </w:p>
    <w:p>
      <w:pPr>
        <w:pStyle w:val="1100"/>
        <w:rPr>
          <w:rFonts w:ascii="宋体" w:hAnsi="宋体"/>
          <w:sz w:val="36"/>
          <w:szCs w:val="36"/>
        </w:rPr>
      </w:pPr>
      <w:r>
        <w:rPr>
          <w:rFonts w:ascii="宋体" w:hAnsi="宋体"/>
          <w:sz w:val="36"/>
          <w:szCs w:val="36"/>
        </w:rPr>
      </w:r>
      <w:r/>
    </w:p>
    <w:p>
      <w:pPr>
        <w:pStyle w:val="1100"/>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100"/>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Gothic">
    <w:panose1 w:val="020B0609070205080204"/>
  </w:font>
  <w:font w:name="PMingLiU">
    <w:panose1 w:val="02020500000000000000"/>
  </w:font>
  <w:font w:name="CESI黑体-GB2312">
    <w:panose1 w:val="020B0503020202020204"/>
  </w:font>
  <w:font w:name="仿宋">
    <w:panose1 w:val="02010609060101010101"/>
  </w:font>
  <w:font w:name="等线 Light">
    <w:panose1 w:val="0201060003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ind w:right="360"/>
      <w:rPr>
        <w:rStyle w:val="1173"/>
      </w:rPr>
      <w:framePr w:wrap="around" w:vAnchor="text" w:hAnchor="margin" w:y="1"/>
    </w:pPr>
    <w:r>
      <w:rPr>
        <w:rStyle w:val="1173"/>
      </w:rPr>
    </w:r>
    <w:r/>
  </w:p>
  <w:p>
    <w:pPr>
      <w:pStyle w:val="1149"/>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rPr>
        <w:rStyle w:val="1173"/>
      </w:rPr>
      <w:framePr w:wrap="around" w:vAnchor="text" w:hAnchor="margin" w:xAlign="center" w:y="1"/>
    </w:pPr>
    <w:r>
      <w:fldChar w:fldCharType="begin"/>
    </w:r>
    <w:r>
      <w:rPr>
        <w:rStyle w:val="1173"/>
      </w:rPr>
      <w:instrText xml:space="preserve">PAGE  </w:instrText>
    </w:r>
    <w:r>
      <w:fldChar w:fldCharType="end"/>
    </w:r>
    <w:r>
      <w:rPr>
        <w:rStyle w:val="1173"/>
      </w:rPr>
    </w:r>
    <w:r/>
  </w:p>
  <w:p>
    <w:pPr>
      <w:pStyle w:val="114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rPr>
        <w:rStyle w:val="1173"/>
      </w:rPr>
      <w:framePr w:wrap="around" w:vAnchor="text" w:hAnchor="margin" w:xAlign="right" w:y="1"/>
    </w:pPr>
    <w:r>
      <w:rPr>
        <w:rStyle w:val="1173"/>
      </w:rPr>
    </w:r>
    <w:r/>
  </w:p>
  <w:p>
    <w:pPr>
      <w:pStyle w:val="1149"/>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39</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rPr>
        <w:rStyle w:val="1173"/>
      </w:rPr>
      <w:framePr w:wrap="around" w:vAnchor="text" w:hAnchor="margin" w:xAlign="right" w:y="1"/>
    </w:pPr>
    <w:r>
      <w:rPr>
        <w:rStyle w:val="1173"/>
      </w:rPr>
      <w:fldChar w:fldCharType="begin"/>
    </w:r>
    <w:r>
      <w:rPr>
        <w:rStyle w:val="1173"/>
      </w:rPr>
      <w:instrText xml:space="preserve">PAGE  </w:instrText>
    </w:r>
    <w:r>
      <w:rPr>
        <w:rStyle w:val="1173"/>
      </w:rPr>
      <w:fldChar w:fldCharType="end"/>
    </w:r>
    <w:r>
      <w:rPr>
        <w:rStyle w:val="1173"/>
      </w:rPr>
    </w:r>
    <w:r/>
  </w:p>
  <w:p>
    <w:pPr>
      <w:pStyle w:val="1149"/>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rPr>
        <w:rStyle w:val="1173"/>
      </w:rPr>
      <w:framePr w:wrap="around" w:vAnchor="text" w:hAnchor="margin" w:xAlign="right" w:y="1"/>
    </w:pPr>
    <w:r>
      <w:rPr>
        <w:rStyle w:val="1173"/>
      </w:rPr>
      <w:fldChar w:fldCharType="begin"/>
    </w:r>
    <w:r>
      <w:rPr>
        <w:rStyle w:val="1173"/>
      </w:rPr>
      <w:instrText xml:space="preserve">PAGE  </w:instrText>
    </w:r>
    <w:r>
      <w:rPr>
        <w:rStyle w:val="1173"/>
      </w:rPr>
      <w:fldChar w:fldCharType="end"/>
    </w:r>
    <w:r>
      <w:rPr>
        <w:rStyle w:val="1173"/>
      </w:rPr>
    </w:r>
    <w:r/>
  </w:p>
  <w:p>
    <w:pPr>
      <w:pStyle w:val="1149"/>
      <w:ind w:right="360"/>
    </w:pPr>
    <w:r/>
    <w:r/>
  </w:p>
  <w:p>
    <w:pPr>
      <w:pStyle w:val="110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
  </w:p>
  <w:p>
    <w:pPr>
      <w:pStyle w:val="110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1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nothing"/>
      <w:lvlText w:val="%1、"/>
      <w:lvlJc w:val="left"/>
      <w:pPr>
        <w:pStyle w:val="1100"/>
      </w:pPr>
      <w:rPr>
        <w:rFonts w:ascii="等线 Light" w:hAnsi="等线 Light" w:eastAsia="等线 Light" w:cs="等线 Ligh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110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10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110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pStyle w:val="110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pStyle w:val="110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10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1100"/>
        <w:ind w:left="4941" w:hanging="1140"/>
        <w:tabs>
          <w:tab w:val="num" w:pos="4941" w:leader="none"/>
        </w:tabs>
      </w:pPr>
      <w:rPr>
        <w:rFonts w:hint="eastAsia"/>
      </w:rPr>
    </w:lvl>
    <w:lvl w:ilvl="1">
      <w:start w:val="1"/>
      <w:numFmt w:val="lowerLetter"/>
      <w:isLgl w:val="false"/>
      <w:suff w:val="tab"/>
      <w:lvlText w:val="%2)"/>
      <w:lvlJc w:val="left"/>
      <w:pPr>
        <w:pStyle w:val="1100"/>
        <w:ind w:left="4641" w:hanging="420"/>
        <w:tabs>
          <w:tab w:val="num" w:pos="4641" w:leader="none"/>
        </w:tabs>
      </w:pPr>
    </w:lvl>
    <w:lvl w:ilvl="2">
      <w:start w:val="1"/>
      <w:numFmt w:val="lowerRoman"/>
      <w:isLgl w:val="false"/>
      <w:suff w:val="tab"/>
      <w:lvlText w:val="%3."/>
      <w:lvlJc w:val="right"/>
      <w:pPr>
        <w:pStyle w:val="1100"/>
        <w:ind w:left="5061" w:hanging="420"/>
        <w:tabs>
          <w:tab w:val="num" w:pos="5061" w:leader="none"/>
        </w:tabs>
      </w:pPr>
    </w:lvl>
    <w:lvl w:ilvl="3">
      <w:start w:val="1"/>
      <w:numFmt w:val="decimal"/>
      <w:isLgl w:val="false"/>
      <w:suff w:val="tab"/>
      <w:lvlText w:val="%4."/>
      <w:lvlJc w:val="left"/>
      <w:pPr>
        <w:pStyle w:val="1100"/>
        <w:ind w:left="5481" w:hanging="420"/>
        <w:tabs>
          <w:tab w:val="num" w:pos="5481" w:leader="none"/>
        </w:tabs>
      </w:pPr>
    </w:lvl>
    <w:lvl w:ilvl="4">
      <w:start w:val="1"/>
      <w:numFmt w:val="lowerLetter"/>
      <w:isLgl w:val="false"/>
      <w:suff w:val="tab"/>
      <w:lvlText w:val="%5)"/>
      <w:lvlJc w:val="left"/>
      <w:pPr>
        <w:pStyle w:val="1100"/>
        <w:ind w:left="5901" w:hanging="420"/>
        <w:tabs>
          <w:tab w:val="num" w:pos="5901" w:leader="none"/>
        </w:tabs>
      </w:pPr>
    </w:lvl>
    <w:lvl w:ilvl="5">
      <w:start w:val="1"/>
      <w:numFmt w:val="lowerRoman"/>
      <w:isLgl w:val="false"/>
      <w:suff w:val="tab"/>
      <w:lvlText w:val="%6."/>
      <w:lvlJc w:val="right"/>
      <w:pPr>
        <w:pStyle w:val="1100"/>
        <w:ind w:left="6321" w:hanging="420"/>
        <w:tabs>
          <w:tab w:val="num" w:pos="6321" w:leader="none"/>
        </w:tabs>
      </w:pPr>
    </w:lvl>
    <w:lvl w:ilvl="6">
      <w:start w:val="1"/>
      <w:numFmt w:val="decimal"/>
      <w:isLgl w:val="false"/>
      <w:suff w:val="tab"/>
      <w:lvlText w:val="%7."/>
      <w:lvlJc w:val="left"/>
      <w:pPr>
        <w:pStyle w:val="1100"/>
        <w:ind w:left="6741" w:hanging="420"/>
        <w:tabs>
          <w:tab w:val="num" w:pos="6741" w:leader="none"/>
        </w:tabs>
      </w:pPr>
    </w:lvl>
    <w:lvl w:ilvl="7">
      <w:start w:val="1"/>
      <w:numFmt w:val="lowerLetter"/>
      <w:isLgl w:val="false"/>
      <w:suff w:val="tab"/>
      <w:lvlText w:val="%8)"/>
      <w:lvlJc w:val="left"/>
      <w:pPr>
        <w:pStyle w:val="1100"/>
        <w:ind w:left="7161" w:hanging="420"/>
        <w:tabs>
          <w:tab w:val="num" w:pos="7161" w:leader="none"/>
        </w:tabs>
      </w:pPr>
    </w:lvl>
    <w:lvl w:ilvl="8">
      <w:start w:val="1"/>
      <w:numFmt w:val="lowerRoman"/>
      <w:isLgl w:val="false"/>
      <w:suff w:val="tab"/>
      <w:lvlText w:val="%9."/>
      <w:lvlJc w:val="right"/>
      <w:pPr>
        <w:pStyle w:val="1100"/>
        <w:ind w:left="7581" w:hanging="420"/>
        <w:tabs>
          <w:tab w:val="num" w:pos="7581" w:leader="none"/>
        </w:tabs>
      </w:pPr>
    </w:lvl>
  </w:abstractNum>
  <w:abstractNum w:abstractNumId="9">
    <w:multiLevelType w:val="hybridMultilevel"/>
    <w:lvl w:ilvl="0">
      <w:start w:val="1"/>
      <w:numFmt w:val="decimal"/>
      <w:pStyle w:val="1209"/>
      <w:isLgl w:val="false"/>
      <w:suff w:val="tab"/>
      <w:lvlText w:val="%1."/>
      <w:lvlJc w:val="left"/>
      <w:pPr>
        <w:pStyle w:val="1100"/>
        <w:ind w:left="420" w:hanging="420"/>
      </w:pPr>
    </w:lvl>
    <w:lvl w:ilvl="1">
      <w:start w:val="1"/>
      <w:numFmt w:val="decimal"/>
      <w:isLgl w:val="false"/>
      <w:suff w:val="tab"/>
      <w:lvlText w:val="（%2）"/>
      <w:lvlJc w:val="left"/>
      <w:pPr>
        <w:pStyle w:val="1100"/>
        <w:ind w:left="1140" w:hanging="720"/>
        <w:tabs>
          <w:tab w:val="num" w:pos="1140" w:leader="none"/>
        </w:tabs>
      </w:pPr>
      <w:rPr>
        <w:rFonts w:hint="eastAsia"/>
      </w:rPr>
    </w:lvl>
    <w:lvl w:ilvl="2">
      <w:start w:val="1"/>
      <w:numFmt w:val="lowerRoman"/>
      <w:isLgl w:val="false"/>
      <w:suff w:val="tab"/>
      <w:lvlText w:val="%3."/>
      <w:lvlJc w:val="right"/>
      <w:pPr>
        <w:pStyle w:val="1100"/>
        <w:ind w:left="1260" w:hanging="420"/>
      </w:pPr>
    </w:lvl>
    <w:lvl w:ilvl="3">
      <w:start w:val="1"/>
      <w:numFmt w:val="decimal"/>
      <w:isLgl w:val="false"/>
      <w:suff w:val="tab"/>
      <w:lvlText w:val="%4."/>
      <w:lvlJc w:val="left"/>
      <w:pPr>
        <w:pStyle w:val="1100"/>
        <w:ind w:left="1680" w:hanging="420"/>
      </w:pPr>
    </w:lvl>
    <w:lvl w:ilvl="4">
      <w:start w:val="1"/>
      <w:numFmt w:val="lowerLetter"/>
      <w:isLgl w:val="false"/>
      <w:suff w:val="tab"/>
      <w:lvlText w:val="%5)"/>
      <w:lvlJc w:val="left"/>
      <w:pPr>
        <w:pStyle w:val="1100"/>
        <w:ind w:left="2100" w:hanging="420"/>
      </w:pPr>
    </w:lvl>
    <w:lvl w:ilvl="5">
      <w:start w:val="1"/>
      <w:numFmt w:val="lowerRoman"/>
      <w:isLgl w:val="false"/>
      <w:suff w:val="tab"/>
      <w:lvlText w:val="%6."/>
      <w:lvlJc w:val="right"/>
      <w:pPr>
        <w:pStyle w:val="1100"/>
        <w:ind w:left="2520" w:hanging="420"/>
      </w:pPr>
    </w:lvl>
    <w:lvl w:ilvl="6">
      <w:start w:val="1"/>
      <w:numFmt w:val="decimal"/>
      <w:isLgl w:val="false"/>
      <w:suff w:val="tab"/>
      <w:lvlText w:val="%7."/>
      <w:lvlJc w:val="left"/>
      <w:pPr>
        <w:pStyle w:val="1100"/>
        <w:ind w:left="2940" w:hanging="420"/>
      </w:pPr>
    </w:lvl>
    <w:lvl w:ilvl="7">
      <w:start w:val="1"/>
      <w:numFmt w:val="lowerLetter"/>
      <w:isLgl w:val="false"/>
      <w:suff w:val="tab"/>
      <w:lvlText w:val="%8)"/>
      <w:lvlJc w:val="left"/>
      <w:pPr>
        <w:pStyle w:val="1100"/>
        <w:ind w:left="3360" w:hanging="420"/>
      </w:pPr>
    </w:lvl>
    <w:lvl w:ilvl="8">
      <w:start w:val="1"/>
      <w:numFmt w:val="lowerRoman"/>
      <w:isLgl w:val="false"/>
      <w:suff w:val="tab"/>
      <w:lvlText w:val="%9."/>
      <w:lvlJc w:val="right"/>
      <w:pPr>
        <w:pStyle w:val="1100"/>
        <w:ind w:left="3780" w:hanging="420"/>
      </w:pPr>
    </w:lvl>
  </w:abstractNum>
  <w:abstractNum w:abstractNumId="10">
    <w:multiLevelType w:val="hybridMultilevel"/>
    <w:lvl w:ilvl="0">
      <w:start w:val="1"/>
      <w:numFmt w:val="lowerLetter"/>
      <w:pStyle w:val="1284"/>
      <w:isLgl w:val="false"/>
      <w:suff w:val="tab"/>
      <w:lvlText w:val="%1)"/>
      <w:lvlJc w:val="left"/>
      <w:pPr>
        <w:pStyle w:val="1100"/>
        <w:ind w:left="902" w:hanging="420"/>
      </w:pPr>
      <w:rPr>
        <w:color w:val="000000"/>
      </w:rPr>
    </w:lvl>
    <w:lvl w:ilvl="1">
      <w:start w:val="1"/>
      <w:numFmt w:val="lowerLetter"/>
      <w:isLgl w:val="false"/>
      <w:suff w:val="tab"/>
      <w:lvlText w:val="%2)"/>
      <w:lvlJc w:val="left"/>
      <w:pPr>
        <w:pStyle w:val="1100"/>
        <w:ind w:left="1322" w:hanging="420"/>
      </w:pPr>
    </w:lvl>
    <w:lvl w:ilvl="2">
      <w:start w:val="1"/>
      <w:numFmt w:val="lowerRoman"/>
      <w:isLgl w:val="false"/>
      <w:suff w:val="tab"/>
      <w:lvlText w:val="%3."/>
      <w:lvlJc w:val="right"/>
      <w:pPr>
        <w:pStyle w:val="1100"/>
        <w:ind w:left="1742" w:hanging="420"/>
      </w:pPr>
    </w:lvl>
    <w:lvl w:ilvl="3">
      <w:start w:val="1"/>
      <w:numFmt w:val="decimal"/>
      <w:isLgl w:val="false"/>
      <w:suff w:val="tab"/>
      <w:lvlText w:val="%4."/>
      <w:lvlJc w:val="left"/>
      <w:pPr>
        <w:pStyle w:val="1100"/>
        <w:ind w:left="2162" w:hanging="420"/>
      </w:pPr>
    </w:lvl>
    <w:lvl w:ilvl="4">
      <w:start w:val="1"/>
      <w:numFmt w:val="lowerLetter"/>
      <w:isLgl w:val="false"/>
      <w:suff w:val="tab"/>
      <w:lvlText w:val="%5)"/>
      <w:lvlJc w:val="left"/>
      <w:pPr>
        <w:pStyle w:val="1100"/>
        <w:ind w:left="2582" w:hanging="420"/>
      </w:pPr>
    </w:lvl>
    <w:lvl w:ilvl="5">
      <w:start w:val="1"/>
      <w:numFmt w:val="lowerRoman"/>
      <w:isLgl w:val="false"/>
      <w:suff w:val="tab"/>
      <w:lvlText w:val="%6."/>
      <w:lvlJc w:val="right"/>
      <w:pPr>
        <w:pStyle w:val="1100"/>
        <w:ind w:left="3002" w:hanging="420"/>
      </w:pPr>
    </w:lvl>
    <w:lvl w:ilvl="6">
      <w:start w:val="1"/>
      <w:numFmt w:val="decimal"/>
      <w:isLgl w:val="false"/>
      <w:suff w:val="tab"/>
      <w:lvlText w:val="%7."/>
      <w:lvlJc w:val="left"/>
      <w:pPr>
        <w:pStyle w:val="1100"/>
        <w:ind w:left="3422" w:hanging="420"/>
      </w:pPr>
    </w:lvl>
    <w:lvl w:ilvl="7">
      <w:start w:val="1"/>
      <w:numFmt w:val="lowerLetter"/>
      <w:isLgl w:val="false"/>
      <w:suff w:val="tab"/>
      <w:lvlText w:val="%8)"/>
      <w:lvlJc w:val="left"/>
      <w:pPr>
        <w:pStyle w:val="1100"/>
        <w:ind w:left="3842" w:hanging="420"/>
      </w:pPr>
    </w:lvl>
    <w:lvl w:ilvl="8">
      <w:start w:val="1"/>
      <w:numFmt w:val="lowerRoman"/>
      <w:isLgl w:val="false"/>
      <w:suff w:val="tab"/>
      <w:lvlText w:val="%9."/>
      <w:lvlJc w:val="right"/>
      <w:pPr>
        <w:pStyle w:val="1100"/>
        <w:ind w:left="4262" w:hanging="420"/>
      </w:pPr>
    </w:lvl>
  </w:abstractNum>
  <w:abstractNum w:abstractNumId="11">
    <w:multiLevelType w:val="hybridMultilevel"/>
    <w:lvl w:ilvl="0">
      <w:start w:val="1"/>
      <w:numFmt w:val="decimal"/>
      <w:pStyle w:val="1254"/>
      <w:isLgl w:val="false"/>
      <w:suff w:val="tab"/>
      <w:lvlText w:val="%1."/>
      <w:lvlJc w:val="left"/>
      <w:pPr>
        <w:pStyle w:val="110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tab"/>
      <w:lvlText w:val="第%1章"/>
      <w:legacy w:legacy="1" w:legacyIndent="0" w:legacySpace="0"/>
      <w:lvlJc w:val="left"/>
      <w:pPr>
        <w:pStyle w:val="1100"/>
      </w:pPr>
    </w:lvl>
    <w:lvl w:ilvl="1">
      <w:start w:val="1"/>
      <w:numFmt w:val="decimal"/>
      <w:isLgl w:val="false"/>
      <w:suff w:val="nothing"/>
      <w:lvlText w:val=""/>
      <w:lvlJc w:val="left"/>
      <w:pPr>
        <w:pStyle w:val="1100"/>
      </w:pPr>
    </w:lvl>
    <w:lvl w:ilvl="2">
      <w:start w:val="1"/>
      <w:numFmt w:val="decimal"/>
      <w:isLgl w:val="false"/>
      <w:suff w:val="nothing"/>
      <w:lvlText w:val=""/>
      <w:lvlJc w:val="left"/>
      <w:pPr>
        <w:pStyle w:val="1100"/>
      </w:pPr>
    </w:lvl>
    <w:lvl w:ilvl="3">
      <w:start w:val="1"/>
      <w:numFmt w:val="decimal"/>
      <w:isLgl w:val="false"/>
      <w:suff w:val="nothing"/>
      <w:lvlText w:val=""/>
      <w:lvlJc w:val="left"/>
      <w:pPr>
        <w:pStyle w:val="1100"/>
      </w:pPr>
    </w:lvl>
    <w:lvl w:ilvl="4">
      <w:start w:val="1"/>
      <w:numFmt w:val="decimal"/>
      <w:isLgl w:val="false"/>
      <w:suff w:val="nothing"/>
      <w:lvlText w:val=""/>
      <w:lvlJc w:val="left"/>
      <w:pPr>
        <w:pStyle w:val="1100"/>
      </w:pPr>
    </w:lvl>
    <w:lvl w:ilvl="5">
      <w:start w:val="1"/>
      <w:numFmt w:val="decimal"/>
      <w:isLgl w:val="false"/>
      <w:suff w:val="nothing"/>
      <w:lvlText w:val=""/>
      <w:lvlJc w:val="left"/>
      <w:pPr>
        <w:pStyle w:val="1100"/>
      </w:pPr>
    </w:lvl>
    <w:lvl w:ilvl="6">
      <w:start w:val="1"/>
      <w:numFmt w:val="decimal"/>
      <w:isLgl w:val="false"/>
      <w:suff w:val="nothing"/>
      <w:lvlText w:val=""/>
      <w:lvlJc w:val="left"/>
      <w:pPr>
        <w:pStyle w:val="1100"/>
      </w:pPr>
    </w:lvl>
    <w:lvl w:ilvl="7">
      <w:start w:val="1"/>
      <w:numFmt w:val="decimal"/>
      <w:isLgl w:val="false"/>
      <w:suff w:val="nothing"/>
      <w:lvlText w:val=""/>
      <w:lvlJc w:val="left"/>
      <w:pPr>
        <w:pStyle w:val="1100"/>
      </w:pPr>
    </w:lvl>
    <w:lvl w:ilvl="8">
      <w:start w:val="1"/>
      <w:numFmt w:val="decimal"/>
      <w:isLgl w:val="false"/>
      <w:suff w:val="nothing"/>
      <w:lvlText w:val=""/>
      <w:lvlJc w:val="left"/>
      <w:pPr>
        <w:pStyle w:val="1100"/>
      </w:pPr>
    </w:lvl>
  </w:abstractNum>
  <w:abstractNum w:abstractNumId="13">
    <w:multiLevelType w:val="hybridMultilevel"/>
    <w:lvl w:ilvl="0">
      <w:start w:val="1"/>
      <w:numFmt w:val="decimal"/>
      <w:pStyle w:val="1203"/>
      <w:isLgl w:val="false"/>
      <w:suff w:val="nothing"/>
      <w:lvlText w:val="%1　"/>
      <w:lvlJc w:val="left"/>
      <w:pPr>
        <w:pStyle w:val="110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0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00"/>
        <w:ind w:left="-25" w:firstLine="0"/>
      </w:pPr>
      <w:rPr>
        <w:rFonts w:ascii="Times New Roman" w:hAnsi="Times New Roman" w:eastAsia="黑体"/>
        <w:b/>
        <w:i w:val="0"/>
        <w:sz w:val="28"/>
      </w:rPr>
    </w:lvl>
    <w:lvl w:ilvl="3">
      <w:start w:val="1"/>
      <w:numFmt w:val="decimal"/>
      <w:pStyle w:val="1239"/>
      <w:isLgl w:val="false"/>
      <w:suff w:val="nothing"/>
      <w:lvlText w:val="%1.%2.%3.%4　"/>
      <w:lvlJc w:val="left"/>
      <w:pPr>
        <w:pStyle w:val="110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0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00"/>
        <w:ind w:left="-25" w:firstLine="0"/>
      </w:pPr>
      <w:rPr>
        <w:rFonts w:ascii="Times New Roman" w:hAnsi="Times New Roman" w:eastAsia="宋体"/>
        <w:b/>
        <w:i w:val="0"/>
        <w:sz w:val="28"/>
      </w:rPr>
    </w:lvl>
    <w:lvl w:ilvl="6">
      <w:start w:val="1"/>
      <w:numFmt w:val="lowerLetter"/>
      <w:pStyle w:val="1260"/>
      <w:isLgl w:val="false"/>
      <w:suff w:val="tab"/>
      <w:lvlText w:val="%7) "/>
      <w:lvlJc w:val="left"/>
      <w:pPr>
        <w:pStyle w:val="1100"/>
        <w:ind w:left="-125" w:firstLine="400"/>
        <w:tabs>
          <w:tab w:val="num" w:pos="635" w:leader="none"/>
        </w:tabs>
      </w:pPr>
      <w:rPr>
        <w:rFonts w:ascii="Times New Roman" w:hAnsi="Times New Roman" w:eastAsia="宋体"/>
        <w:b/>
        <w:i w:val="0"/>
        <w:color w:val="000000"/>
        <w:sz w:val="28"/>
        <w:u w:val="none"/>
      </w:rPr>
    </w:lvl>
    <w:lvl w:ilvl="7">
      <w:start w:val="1"/>
      <w:numFmt w:val="decimal"/>
      <w:pStyle w:val="1223"/>
      <w:isLgl w:val="false"/>
      <w:suff w:val="tab"/>
      <w:lvlText w:val="%8) "/>
      <w:lvlJc w:val="left"/>
      <w:pPr>
        <w:pStyle w:val="110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00"/>
        <w:ind w:left="500" w:firstLine="0"/>
        <w:tabs>
          <w:tab w:val="num" w:pos="860" w:leader="none"/>
        </w:tabs>
      </w:pPr>
      <w:rPr>
        <w:rFonts w:hint="eastAsia" w:ascii="宋体" w:eastAsia="宋体"/>
        <w:b w:val="0"/>
        <w:i w:val="0"/>
        <w:color w:val="000000"/>
        <w:sz w:val="28"/>
        <w:u w:val="none"/>
      </w:rPr>
    </w:lvl>
  </w:abstractNum>
  <w:abstractNum w:abstractNumId="14">
    <w:multiLevelType w:val="hybridMultilevel"/>
    <w:lvl w:ilvl="0">
      <w:start w:val="1"/>
      <w:numFmt w:val="decimal"/>
      <w:isLgl w:val="false"/>
      <w:suff w:val="tab"/>
      <w:lvlText w:val="%1．"/>
      <w:lvlJc w:val="left"/>
      <w:pPr>
        <w:pStyle w:val="1100"/>
        <w:ind w:left="768" w:hanging="360"/>
        <w:tabs>
          <w:tab w:val="num" w:pos="768" w:leader="none"/>
        </w:tabs>
      </w:pPr>
      <w:rPr>
        <w:rFonts w:hint="eastAsia"/>
      </w:rPr>
    </w:lvl>
    <w:lvl w:ilvl="1">
      <w:start w:val="1"/>
      <w:numFmt w:val="decimal"/>
      <w:pStyle w:val="1241"/>
      <w:isLgl w:val="false"/>
      <w:suff w:val="tab"/>
      <w:lvlText w:val="%2、"/>
      <w:lvlJc w:val="left"/>
      <w:pPr>
        <w:pStyle w:val="1100"/>
        <w:ind w:left="1188" w:hanging="360"/>
        <w:tabs>
          <w:tab w:val="num" w:pos="1188" w:leader="none"/>
        </w:tabs>
      </w:pPr>
      <w:rPr>
        <w:rFonts w:hint="eastAsia"/>
      </w:rPr>
    </w:lvl>
    <w:lvl w:ilvl="2">
      <w:start w:val="1"/>
      <w:numFmt w:val="decimal"/>
      <w:isLgl w:val="false"/>
      <w:suff w:val="tab"/>
      <w:lvlText w:val="（%3）"/>
      <w:lvlJc w:val="left"/>
      <w:pPr>
        <w:pStyle w:val="1100"/>
        <w:ind w:left="1968" w:hanging="720"/>
        <w:tabs>
          <w:tab w:val="num" w:pos="1968" w:leader="none"/>
        </w:tabs>
      </w:pPr>
      <w:rPr>
        <w:rFonts w:hint="eastAsia"/>
        <w:u w:val="none"/>
      </w:rPr>
    </w:lvl>
    <w:lvl w:ilvl="3">
      <w:start w:val="1"/>
      <w:numFmt w:val="decimal"/>
      <w:isLgl w:val="false"/>
      <w:suff w:val="tab"/>
      <w:lvlText w:val="%4."/>
      <w:lvlJc w:val="left"/>
      <w:pPr>
        <w:pStyle w:val="1100"/>
        <w:ind w:left="2088" w:hanging="420"/>
        <w:tabs>
          <w:tab w:val="num" w:pos="2088" w:leader="none"/>
        </w:tabs>
      </w:pPr>
    </w:lvl>
    <w:lvl w:ilvl="4">
      <w:start w:val="1"/>
      <w:numFmt w:val="lowerLetter"/>
      <w:isLgl w:val="false"/>
      <w:suff w:val="tab"/>
      <w:lvlText w:val="%5)"/>
      <w:lvlJc w:val="left"/>
      <w:pPr>
        <w:pStyle w:val="1100"/>
        <w:ind w:left="2508" w:hanging="420"/>
        <w:tabs>
          <w:tab w:val="num" w:pos="2508" w:leader="none"/>
        </w:tabs>
      </w:pPr>
    </w:lvl>
    <w:lvl w:ilvl="5">
      <w:start w:val="1"/>
      <w:numFmt w:val="lowerRoman"/>
      <w:isLgl w:val="false"/>
      <w:suff w:val="tab"/>
      <w:lvlText w:val="%6."/>
      <w:lvlJc w:val="right"/>
      <w:pPr>
        <w:pStyle w:val="1100"/>
        <w:ind w:left="2928" w:hanging="420"/>
        <w:tabs>
          <w:tab w:val="num" w:pos="2928" w:leader="none"/>
        </w:tabs>
      </w:pPr>
    </w:lvl>
    <w:lvl w:ilvl="6">
      <w:start w:val="1"/>
      <w:numFmt w:val="decimal"/>
      <w:isLgl w:val="false"/>
      <w:suff w:val="tab"/>
      <w:lvlText w:val="%7."/>
      <w:lvlJc w:val="left"/>
      <w:pPr>
        <w:pStyle w:val="1100"/>
        <w:ind w:left="3348" w:hanging="420"/>
        <w:tabs>
          <w:tab w:val="num" w:pos="3348" w:leader="none"/>
        </w:tabs>
      </w:pPr>
    </w:lvl>
    <w:lvl w:ilvl="7">
      <w:start w:val="1"/>
      <w:numFmt w:val="lowerLetter"/>
      <w:isLgl w:val="false"/>
      <w:suff w:val="tab"/>
      <w:lvlText w:val="%8)"/>
      <w:lvlJc w:val="left"/>
      <w:pPr>
        <w:pStyle w:val="1100"/>
        <w:ind w:left="3768" w:hanging="420"/>
        <w:tabs>
          <w:tab w:val="num" w:pos="3768" w:leader="none"/>
        </w:tabs>
      </w:pPr>
    </w:lvl>
    <w:lvl w:ilvl="8">
      <w:start w:val="1"/>
      <w:numFmt w:val="lowerRoman"/>
      <w:isLgl w:val="false"/>
      <w:suff w:val="tab"/>
      <w:lvlText w:val="%9."/>
      <w:lvlJc w:val="right"/>
      <w:pPr>
        <w:pStyle w:val="1100"/>
        <w:ind w:left="4188" w:hanging="420"/>
        <w:tabs>
          <w:tab w:val="num" w:pos="4188" w:leader="none"/>
        </w:tabs>
      </w:pPr>
    </w:lvl>
  </w:abstractNum>
  <w:abstractNum w:abstractNumId="15">
    <w:multiLevelType w:val="hybridMultilevel"/>
    <w:lvl w:ilvl="0">
      <w:start w:val="1"/>
      <w:numFmt w:val="decimal"/>
      <w:isLgl w:val="false"/>
      <w:suff w:val="tab"/>
      <w:lvlText w:val="%1."/>
      <w:lvlJc w:val="left"/>
      <w:pPr>
        <w:pStyle w:val="1100"/>
        <w:ind w:left="900" w:hanging="900"/>
        <w:tabs>
          <w:tab w:val="num" w:pos="900" w:leader="none"/>
        </w:tabs>
      </w:pPr>
      <w:rPr>
        <w:rFonts w:hint="eastAsia"/>
        <w:b/>
      </w:rPr>
    </w:lvl>
    <w:lvl w:ilvl="1">
      <w:start w:val="1"/>
      <w:numFmt w:val="decimal"/>
      <w:isLgl w:val="false"/>
      <w:suff w:val="tab"/>
      <w:lvlText w:val="%1.%2"/>
      <w:lvlJc w:val="left"/>
      <w:pPr>
        <w:pStyle w:val="110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10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100"/>
        <w:ind w:left="900" w:hanging="900"/>
        <w:tabs>
          <w:tab w:val="num" w:pos="900" w:leader="none"/>
        </w:tabs>
      </w:pPr>
      <w:rPr>
        <w:rFonts w:hint="eastAsia"/>
      </w:rPr>
    </w:lvl>
    <w:lvl w:ilvl="4">
      <w:start w:val="1"/>
      <w:numFmt w:val="decimal"/>
      <w:isLgl w:val="false"/>
      <w:suff w:val="tab"/>
      <w:lvlText w:val="%1.%2.%3.%4.%5"/>
      <w:lvlJc w:val="left"/>
      <w:pPr>
        <w:pStyle w:val="1100"/>
        <w:ind w:left="900" w:hanging="900"/>
        <w:tabs>
          <w:tab w:val="num" w:pos="900" w:leader="none"/>
        </w:tabs>
      </w:pPr>
      <w:rPr>
        <w:rFonts w:hint="eastAsia"/>
      </w:rPr>
    </w:lvl>
    <w:lvl w:ilvl="5">
      <w:start w:val="1"/>
      <w:numFmt w:val="decimal"/>
      <w:isLgl w:val="false"/>
      <w:suff w:val="tab"/>
      <w:lvlText w:val="%1.%2.%3.%4.%5.%6"/>
      <w:lvlJc w:val="left"/>
      <w:pPr>
        <w:pStyle w:val="1100"/>
        <w:ind w:left="900" w:hanging="900"/>
        <w:tabs>
          <w:tab w:val="num" w:pos="900" w:leader="none"/>
        </w:tabs>
      </w:pPr>
      <w:rPr>
        <w:rFonts w:hint="eastAsia"/>
      </w:rPr>
    </w:lvl>
    <w:lvl w:ilvl="6">
      <w:start w:val="1"/>
      <w:numFmt w:val="decimal"/>
      <w:isLgl w:val="false"/>
      <w:suff w:val="tab"/>
      <w:lvlText w:val="%1.%2.%3.%4.%5.%6.%7"/>
      <w:lvlJc w:val="left"/>
      <w:pPr>
        <w:pStyle w:val="1100"/>
        <w:ind w:left="900" w:hanging="900"/>
        <w:tabs>
          <w:tab w:val="num" w:pos="900" w:leader="none"/>
        </w:tabs>
      </w:pPr>
      <w:rPr>
        <w:rFonts w:hint="eastAsia"/>
      </w:rPr>
    </w:lvl>
    <w:lvl w:ilvl="7">
      <w:start w:val="1"/>
      <w:numFmt w:val="decimal"/>
      <w:isLgl w:val="false"/>
      <w:suff w:val="tab"/>
      <w:lvlText w:val="%1.%2.%3.%4.%5.%6.%7.%8"/>
      <w:lvlJc w:val="left"/>
      <w:pPr>
        <w:pStyle w:val="1100"/>
        <w:ind w:left="900" w:hanging="900"/>
        <w:tabs>
          <w:tab w:val="num" w:pos="900" w:leader="none"/>
        </w:tabs>
      </w:pPr>
      <w:rPr>
        <w:rFonts w:hint="eastAsia"/>
      </w:rPr>
    </w:lvl>
    <w:lvl w:ilvl="8">
      <w:start w:val="1"/>
      <w:numFmt w:val="decimal"/>
      <w:isLgl w:val="false"/>
      <w:suff w:val="tab"/>
      <w:lvlText w:val="%1.%2.%3.%4.%5.%6.%7.%8.%9"/>
      <w:lvlJc w:val="left"/>
      <w:pPr>
        <w:pStyle w:val="1100"/>
        <w:ind w:left="900" w:hanging="900"/>
        <w:tabs>
          <w:tab w:val="num" w:pos="900" w:leader="none"/>
        </w:tabs>
      </w:pPr>
      <w:rPr>
        <w:rFonts w:hint="eastAsia"/>
      </w:rPr>
    </w:lvl>
  </w:abstractNum>
  <w:abstractNum w:abstractNumId="16">
    <w:multiLevelType w:val="hybridMultilevel"/>
    <w:lvl w:ilvl="0">
      <w:start w:val="1"/>
      <w:numFmt w:val="decimal"/>
      <w:pStyle w:val="1208"/>
      <w:isLgl w:val="false"/>
      <w:suff w:val="tab"/>
      <w:lvlText w:val="%1)"/>
      <w:lvlJc w:val="left"/>
      <w:pPr>
        <w:pStyle w:val="1100"/>
        <w:ind w:left="420" w:hanging="420"/>
      </w:pPr>
    </w:lvl>
    <w:lvl w:ilvl="1">
      <w:start w:val="1"/>
      <w:numFmt w:val="lowerLetter"/>
      <w:isLgl w:val="false"/>
      <w:suff w:val="tab"/>
      <w:lvlText w:val="%2)"/>
      <w:lvlJc w:val="left"/>
      <w:pPr>
        <w:pStyle w:val="1100"/>
        <w:ind w:left="840" w:hanging="420"/>
      </w:pPr>
    </w:lvl>
    <w:lvl w:ilvl="2">
      <w:start w:val="1"/>
      <w:numFmt w:val="lowerRoman"/>
      <w:isLgl w:val="false"/>
      <w:suff w:val="tab"/>
      <w:lvlText w:val="%3."/>
      <w:lvlJc w:val="right"/>
      <w:pPr>
        <w:pStyle w:val="1100"/>
        <w:ind w:left="1260" w:hanging="420"/>
      </w:pPr>
    </w:lvl>
    <w:lvl w:ilvl="3">
      <w:start w:val="1"/>
      <w:numFmt w:val="decimal"/>
      <w:isLgl w:val="false"/>
      <w:suff w:val="tab"/>
      <w:lvlText w:val="%4."/>
      <w:lvlJc w:val="left"/>
      <w:pPr>
        <w:pStyle w:val="1100"/>
        <w:ind w:left="1680" w:hanging="420"/>
      </w:pPr>
    </w:lvl>
    <w:lvl w:ilvl="4">
      <w:start w:val="1"/>
      <w:numFmt w:val="lowerLetter"/>
      <w:isLgl w:val="false"/>
      <w:suff w:val="tab"/>
      <w:lvlText w:val="%5)"/>
      <w:lvlJc w:val="left"/>
      <w:pPr>
        <w:pStyle w:val="1100"/>
        <w:ind w:left="2100" w:hanging="420"/>
      </w:pPr>
    </w:lvl>
    <w:lvl w:ilvl="5">
      <w:start w:val="1"/>
      <w:numFmt w:val="lowerRoman"/>
      <w:isLgl w:val="false"/>
      <w:suff w:val="tab"/>
      <w:lvlText w:val="%6."/>
      <w:lvlJc w:val="right"/>
      <w:pPr>
        <w:pStyle w:val="1100"/>
        <w:ind w:left="2520" w:hanging="420"/>
      </w:pPr>
    </w:lvl>
    <w:lvl w:ilvl="6">
      <w:start w:val="1"/>
      <w:numFmt w:val="decimal"/>
      <w:isLgl w:val="false"/>
      <w:suff w:val="tab"/>
      <w:lvlText w:val="%7."/>
      <w:lvlJc w:val="left"/>
      <w:pPr>
        <w:pStyle w:val="1100"/>
        <w:ind w:left="2940" w:hanging="420"/>
      </w:pPr>
    </w:lvl>
    <w:lvl w:ilvl="7">
      <w:start w:val="1"/>
      <w:numFmt w:val="lowerLetter"/>
      <w:isLgl w:val="false"/>
      <w:suff w:val="tab"/>
      <w:lvlText w:val="%8)"/>
      <w:lvlJc w:val="left"/>
      <w:pPr>
        <w:pStyle w:val="1100"/>
        <w:ind w:left="3360" w:hanging="420"/>
      </w:pPr>
    </w:lvl>
    <w:lvl w:ilvl="8">
      <w:start w:val="1"/>
      <w:numFmt w:val="lowerRoman"/>
      <w:isLgl w:val="false"/>
      <w:suff w:val="tab"/>
      <w:lvlText w:val="%9."/>
      <w:lvlJc w:val="right"/>
      <w:pPr>
        <w:pStyle w:val="1100"/>
        <w:ind w:left="3780" w:hanging="420"/>
      </w:pPr>
    </w:lvl>
  </w:abstractNum>
  <w:abstractNum w:abstractNumId="17">
    <w:multiLevelType w:val="hybridMultilevel"/>
    <w:lvl w:ilvl="0">
      <w:start w:val="1"/>
      <w:numFmt w:val="decimal"/>
      <w:isLgl w:val="false"/>
      <w:suff w:val="tab"/>
      <w:lvlText w:val="%1."/>
      <w:lvlJc w:val="left"/>
      <w:pPr>
        <w:pStyle w:val="1100"/>
        <w:ind w:left="1242" w:hanging="382"/>
      </w:pPr>
      <w:rPr>
        <w:rFonts w:ascii="仿宋" w:hAnsi="仿宋" w:eastAsia="仿宋" w:cs="仿宋"/>
        <w:spacing w:val="0"/>
        <w:sz w:val="32"/>
        <w:szCs w:val="32"/>
      </w:rPr>
    </w:lvl>
    <w:lvl w:ilvl="1">
      <w:start w:val="0"/>
      <w:numFmt w:val="bullet"/>
      <w:isLgl w:val="false"/>
      <w:suff w:val="tab"/>
      <w:lvlText w:val="•"/>
      <w:lvlJc w:val="left"/>
      <w:pPr>
        <w:pStyle w:val="1100"/>
        <w:ind w:left="2010" w:hanging="382"/>
      </w:pPr>
    </w:lvl>
    <w:lvl w:ilvl="2">
      <w:start w:val="0"/>
      <w:numFmt w:val="bullet"/>
      <w:isLgl w:val="false"/>
      <w:suff w:val="tab"/>
      <w:lvlText w:val="•"/>
      <w:lvlJc w:val="left"/>
      <w:pPr>
        <w:pStyle w:val="1100"/>
        <w:ind w:left="2781" w:hanging="382"/>
      </w:pPr>
    </w:lvl>
    <w:lvl w:ilvl="3">
      <w:start w:val="0"/>
      <w:numFmt w:val="bullet"/>
      <w:isLgl w:val="false"/>
      <w:suff w:val="tab"/>
      <w:lvlText w:val="•"/>
      <w:lvlJc w:val="left"/>
      <w:pPr>
        <w:pStyle w:val="1100"/>
        <w:ind w:left="3551" w:hanging="382"/>
      </w:pPr>
    </w:lvl>
    <w:lvl w:ilvl="4">
      <w:start w:val="0"/>
      <w:numFmt w:val="bullet"/>
      <w:isLgl w:val="false"/>
      <w:suff w:val="tab"/>
      <w:lvlText w:val="•"/>
      <w:lvlJc w:val="left"/>
      <w:pPr>
        <w:pStyle w:val="1100"/>
        <w:ind w:left="4322" w:hanging="382"/>
      </w:pPr>
    </w:lvl>
    <w:lvl w:ilvl="5">
      <w:start w:val="0"/>
      <w:numFmt w:val="bullet"/>
      <w:isLgl w:val="false"/>
      <w:suff w:val="tab"/>
      <w:lvlText w:val="•"/>
      <w:lvlJc w:val="left"/>
      <w:pPr>
        <w:pStyle w:val="1100"/>
        <w:ind w:left="5093" w:hanging="382"/>
      </w:pPr>
    </w:lvl>
    <w:lvl w:ilvl="6">
      <w:start w:val="0"/>
      <w:numFmt w:val="bullet"/>
      <w:isLgl w:val="false"/>
      <w:suff w:val="tab"/>
      <w:lvlText w:val="•"/>
      <w:lvlJc w:val="left"/>
      <w:pPr>
        <w:pStyle w:val="1100"/>
        <w:ind w:left="5863" w:hanging="382"/>
      </w:pPr>
    </w:lvl>
    <w:lvl w:ilvl="7">
      <w:start w:val="0"/>
      <w:numFmt w:val="bullet"/>
      <w:isLgl w:val="false"/>
      <w:suff w:val="tab"/>
      <w:lvlText w:val="•"/>
      <w:lvlJc w:val="left"/>
      <w:pPr>
        <w:pStyle w:val="1100"/>
        <w:ind w:left="6634" w:hanging="382"/>
      </w:pPr>
    </w:lvl>
    <w:lvl w:ilvl="8">
      <w:start w:val="0"/>
      <w:numFmt w:val="bullet"/>
      <w:isLgl w:val="false"/>
      <w:suff w:val="tab"/>
      <w:lvlText w:val="•"/>
      <w:lvlJc w:val="left"/>
      <w:pPr>
        <w:pStyle w:val="1100"/>
        <w:ind w:left="7404" w:hanging="382"/>
      </w:pPr>
    </w:lvl>
  </w:abstractNum>
  <w:abstractNum w:abstractNumId="18">
    <w:multiLevelType w:val="hybridMultilevel"/>
    <w:lvl w:ilvl="0">
      <w:start w:val="1"/>
      <w:numFmt w:val="decimal"/>
      <w:pStyle w:val="1309"/>
      <w:isLgl w:val="false"/>
      <w:suff w:val="tab"/>
      <w:lvlText w:val="%1"/>
      <w:lvlJc w:val="left"/>
      <w:pPr>
        <w:pStyle w:val="1100"/>
        <w:ind w:left="680" w:hanging="680"/>
      </w:pPr>
      <w:rPr>
        <w:rFonts w:hint="eastAsia" w:ascii="宋体" w:hAnsi="宋体" w:eastAsia="宋体"/>
      </w:rPr>
    </w:lvl>
    <w:lvl w:ilvl="1">
      <w:start w:val="1"/>
      <w:numFmt w:val="decimal"/>
      <w:pStyle w:val="1310"/>
      <w:isLgl w:val="false"/>
      <w:suff w:val="tab"/>
      <w:lvlText w:val="%1.%2"/>
      <w:lvlJc w:val="left"/>
      <w:pPr>
        <w:pStyle w:val="1100"/>
        <w:ind w:left="851" w:hanging="851"/>
      </w:pPr>
      <w:rPr>
        <w:rFonts w:hint="eastAsia" w:ascii="宋体" w:hAnsi="宋体" w:eastAsia="宋体"/>
        <w:color w:val="000000"/>
      </w:rPr>
    </w:lvl>
    <w:lvl w:ilvl="2">
      <w:start w:val="1"/>
      <w:numFmt w:val="decimal"/>
      <w:pStyle w:val="1311"/>
      <w:isLgl w:val="false"/>
      <w:suff w:val="tab"/>
      <w:lvlText w:val="%1.%2.%3"/>
      <w:lvlJc w:val="left"/>
      <w:pPr>
        <w:pStyle w:val="1100"/>
        <w:ind w:left="851" w:hanging="851"/>
      </w:pPr>
      <w:rPr>
        <w:rFonts w:hint="eastAsia"/>
      </w:rPr>
    </w:lvl>
    <w:lvl w:ilvl="3">
      <w:start w:val="1"/>
      <w:numFmt w:val="decimal"/>
      <w:isLgl w:val="false"/>
      <w:suff w:val="tab"/>
      <w:lvlText w:val="%1.%2.%3.%4"/>
      <w:lvlJc w:val="left"/>
      <w:pPr>
        <w:pStyle w:val="1100"/>
        <w:ind w:left="680" w:hanging="680"/>
      </w:pPr>
      <w:rPr>
        <w:rFonts w:hint="eastAsia"/>
      </w:rPr>
    </w:lvl>
    <w:lvl w:ilvl="4">
      <w:start w:val="1"/>
      <w:numFmt w:val="decimal"/>
      <w:isLgl w:val="false"/>
      <w:suff w:val="tab"/>
      <w:lvlText w:val="%1.%2.%3.%4.%5"/>
      <w:lvlJc w:val="left"/>
      <w:pPr>
        <w:pStyle w:val="1100"/>
        <w:ind w:left="680" w:hanging="680"/>
      </w:pPr>
      <w:rPr>
        <w:rFonts w:hint="eastAsia"/>
      </w:rPr>
    </w:lvl>
    <w:lvl w:ilvl="5">
      <w:start w:val="1"/>
      <w:numFmt w:val="decimal"/>
      <w:isLgl w:val="false"/>
      <w:suff w:val="tab"/>
      <w:lvlText w:val="%1.%2.%3.%4.%5.%6"/>
      <w:lvlJc w:val="left"/>
      <w:pPr>
        <w:pStyle w:val="1100"/>
        <w:ind w:left="680" w:hanging="680"/>
      </w:pPr>
      <w:rPr>
        <w:rFonts w:hint="eastAsia"/>
      </w:rPr>
    </w:lvl>
    <w:lvl w:ilvl="6">
      <w:start w:val="1"/>
      <w:numFmt w:val="decimal"/>
      <w:isLgl w:val="false"/>
      <w:suff w:val="tab"/>
      <w:lvlText w:val="%1.%2.%3.%4.%5.%6.%7"/>
      <w:lvlJc w:val="left"/>
      <w:pPr>
        <w:pStyle w:val="1100"/>
        <w:ind w:left="680" w:hanging="680"/>
      </w:pPr>
      <w:rPr>
        <w:rFonts w:hint="eastAsia"/>
      </w:rPr>
    </w:lvl>
    <w:lvl w:ilvl="7">
      <w:start w:val="1"/>
      <w:numFmt w:val="decimal"/>
      <w:isLgl w:val="false"/>
      <w:suff w:val="tab"/>
      <w:lvlText w:val="%1.%2.%3.%4.%5.%6.%7.%8"/>
      <w:lvlJc w:val="left"/>
      <w:pPr>
        <w:pStyle w:val="1100"/>
        <w:ind w:left="680" w:hanging="680"/>
      </w:pPr>
      <w:rPr>
        <w:rFonts w:hint="eastAsia"/>
      </w:rPr>
    </w:lvl>
    <w:lvl w:ilvl="8">
      <w:start w:val="1"/>
      <w:numFmt w:val="decimal"/>
      <w:isLgl w:val="false"/>
      <w:suff w:val="tab"/>
      <w:lvlText w:val="%1.%2.%3.%4.%5.%6.%7.%8.%9"/>
      <w:lvlJc w:val="left"/>
      <w:pPr>
        <w:pStyle w:val="1100"/>
        <w:ind w:left="680" w:hanging="680"/>
      </w:pPr>
      <w:rPr>
        <w:rFonts w:hint="eastAsia"/>
      </w:rPr>
    </w:lvl>
  </w:abstractNum>
  <w:abstractNum w:abstractNumId="19">
    <w:multiLevelType w:val="hybridMultilevel"/>
    <w:lvl w:ilvl="0">
      <w:start w:val="1"/>
      <w:numFmt w:val="decimal"/>
      <w:isLgl w:val="false"/>
      <w:suff w:val="tab"/>
      <w:lvlText w:val="%1."/>
      <w:lvlJc w:val="left"/>
      <w:pPr>
        <w:pStyle w:val="1100"/>
        <w:ind w:left="900" w:hanging="900"/>
        <w:tabs>
          <w:tab w:val="num" w:pos="900" w:leader="none"/>
        </w:tabs>
      </w:pPr>
      <w:rPr>
        <w:rFonts w:hint="eastAsia"/>
      </w:rPr>
    </w:lvl>
    <w:lvl w:ilvl="1">
      <w:start w:val="1"/>
      <w:numFmt w:val="decimal"/>
      <w:isLgl w:val="false"/>
      <w:suff w:val="tab"/>
      <w:lvlText w:val="%1.%2"/>
      <w:lvlJc w:val="left"/>
      <w:pPr>
        <w:pStyle w:val="110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10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100"/>
        <w:ind w:left="900" w:hanging="900"/>
        <w:tabs>
          <w:tab w:val="num" w:pos="900" w:leader="none"/>
        </w:tabs>
      </w:pPr>
      <w:rPr>
        <w:rFonts w:hint="eastAsia"/>
      </w:rPr>
    </w:lvl>
    <w:lvl w:ilvl="4">
      <w:start w:val="1"/>
      <w:numFmt w:val="decimal"/>
      <w:isLgl w:val="false"/>
      <w:suff w:val="tab"/>
      <w:lvlText w:val="%1.%2.%3.%4.%5"/>
      <w:lvlJc w:val="left"/>
      <w:pPr>
        <w:pStyle w:val="1100"/>
        <w:ind w:left="900" w:hanging="900"/>
        <w:tabs>
          <w:tab w:val="num" w:pos="900" w:leader="none"/>
        </w:tabs>
      </w:pPr>
      <w:rPr>
        <w:rFonts w:hint="eastAsia"/>
      </w:rPr>
    </w:lvl>
    <w:lvl w:ilvl="5">
      <w:start w:val="1"/>
      <w:numFmt w:val="decimal"/>
      <w:isLgl w:val="false"/>
      <w:suff w:val="tab"/>
      <w:lvlText w:val="%1.%2.%3.%4.%5.%6"/>
      <w:lvlJc w:val="left"/>
      <w:pPr>
        <w:pStyle w:val="1100"/>
        <w:ind w:left="900" w:hanging="900"/>
        <w:tabs>
          <w:tab w:val="num" w:pos="900" w:leader="none"/>
        </w:tabs>
      </w:pPr>
      <w:rPr>
        <w:rFonts w:hint="eastAsia"/>
      </w:rPr>
    </w:lvl>
    <w:lvl w:ilvl="6">
      <w:start w:val="1"/>
      <w:numFmt w:val="decimal"/>
      <w:isLgl w:val="false"/>
      <w:suff w:val="tab"/>
      <w:lvlText w:val="%1.%2.%3.%4.%5.%6.%7"/>
      <w:lvlJc w:val="left"/>
      <w:pPr>
        <w:pStyle w:val="1100"/>
        <w:ind w:left="900" w:hanging="900"/>
        <w:tabs>
          <w:tab w:val="num" w:pos="900" w:leader="none"/>
        </w:tabs>
      </w:pPr>
      <w:rPr>
        <w:rFonts w:hint="eastAsia"/>
      </w:rPr>
    </w:lvl>
    <w:lvl w:ilvl="7">
      <w:start w:val="1"/>
      <w:numFmt w:val="decimal"/>
      <w:isLgl w:val="false"/>
      <w:suff w:val="tab"/>
      <w:lvlText w:val="%1.%2.%3.%4.%5.%6.%7.%8"/>
      <w:lvlJc w:val="left"/>
      <w:pPr>
        <w:pStyle w:val="1100"/>
        <w:ind w:left="900" w:hanging="900"/>
        <w:tabs>
          <w:tab w:val="num" w:pos="900" w:leader="none"/>
        </w:tabs>
      </w:pPr>
      <w:rPr>
        <w:rFonts w:hint="eastAsia"/>
      </w:rPr>
    </w:lvl>
    <w:lvl w:ilvl="8">
      <w:start w:val="1"/>
      <w:numFmt w:val="decimal"/>
      <w:isLgl w:val="false"/>
      <w:suff w:val="tab"/>
      <w:lvlText w:val="%1.%2.%3.%4.%5.%6.%7.%8.%9"/>
      <w:lvlJc w:val="left"/>
      <w:pPr>
        <w:pStyle w:val="1100"/>
        <w:ind w:left="900" w:hanging="900"/>
        <w:tabs>
          <w:tab w:val="num" w:pos="900" w:leader="none"/>
        </w:tabs>
      </w:pPr>
      <w:rPr>
        <w:rFonts w:hint="eastAsia"/>
      </w:rPr>
    </w:lvl>
  </w:abstractNum>
  <w:abstractNum w:abstractNumId="20">
    <w:multiLevelType w:val="hybridMultilevel"/>
    <w:lvl w:ilvl="0">
      <w:start w:val="1"/>
      <w:numFmt w:val="japaneseCounting"/>
      <w:isLgl w:val="false"/>
      <w:suff w:val="tab"/>
      <w:lvlText w:val="%1、"/>
      <w:lvlJc w:val="left"/>
      <w:pPr>
        <w:pStyle w:val="1100"/>
        <w:ind w:left="500" w:hanging="500"/>
      </w:pPr>
    </w:lvl>
    <w:lvl w:ilvl="1">
      <w:start w:val="1"/>
      <w:numFmt w:val="lowerLetter"/>
      <w:isLgl w:val="false"/>
      <w:suff w:val="tab"/>
      <w:lvlText w:val="%2)"/>
      <w:lvlJc w:val="left"/>
      <w:pPr>
        <w:pStyle w:val="1100"/>
        <w:ind w:left="840" w:hanging="420"/>
      </w:pPr>
    </w:lvl>
    <w:lvl w:ilvl="2">
      <w:start w:val="1"/>
      <w:numFmt w:val="lowerRoman"/>
      <w:isLgl w:val="false"/>
      <w:suff w:val="tab"/>
      <w:lvlText w:val="%3."/>
      <w:lvlJc w:val="right"/>
      <w:pPr>
        <w:pStyle w:val="1100"/>
        <w:ind w:left="1260" w:hanging="420"/>
      </w:pPr>
    </w:lvl>
    <w:lvl w:ilvl="3">
      <w:start w:val="1"/>
      <w:numFmt w:val="decimal"/>
      <w:isLgl w:val="false"/>
      <w:suff w:val="tab"/>
      <w:lvlText w:val="%4."/>
      <w:lvlJc w:val="left"/>
      <w:pPr>
        <w:pStyle w:val="1100"/>
        <w:ind w:left="1680" w:hanging="420"/>
      </w:pPr>
    </w:lvl>
    <w:lvl w:ilvl="4">
      <w:start w:val="1"/>
      <w:numFmt w:val="lowerLetter"/>
      <w:isLgl w:val="false"/>
      <w:suff w:val="tab"/>
      <w:lvlText w:val="%5)"/>
      <w:lvlJc w:val="left"/>
      <w:pPr>
        <w:pStyle w:val="1100"/>
        <w:ind w:left="2100" w:hanging="420"/>
      </w:pPr>
    </w:lvl>
    <w:lvl w:ilvl="5">
      <w:start w:val="1"/>
      <w:numFmt w:val="lowerRoman"/>
      <w:isLgl w:val="false"/>
      <w:suff w:val="tab"/>
      <w:lvlText w:val="%6."/>
      <w:lvlJc w:val="right"/>
      <w:pPr>
        <w:pStyle w:val="1100"/>
        <w:ind w:left="2520" w:hanging="420"/>
      </w:pPr>
    </w:lvl>
    <w:lvl w:ilvl="6">
      <w:start w:val="1"/>
      <w:numFmt w:val="decimal"/>
      <w:isLgl w:val="false"/>
      <w:suff w:val="tab"/>
      <w:lvlText w:val="%7."/>
      <w:lvlJc w:val="left"/>
      <w:pPr>
        <w:pStyle w:val="1100"/>
        <w:ind w:left="2940" w:hanging="420"/>
      </w:pPr>
    </w:lvl>
    <w:lvl w:ilvl="7">
      <w:start w:val="1"/>
      <w:numFmt w:val="lowerLetter"/>
      <w:isLgl w:val="false"/>
      <w:suff w:val="tab"/>
      <w:lvlText w:val="%8)"/>
      <w:lvlJc w:val="left"/>
      <w:pPr>
        <w:pStyle w:val="1100"/>
        <w:ind w:left="3360" w:hanging="420"/>
      </w:pPr>
    </w:lvl>
    <w:lvl w:ilvl="8">
      <w:start w:val="1"/>
      <w:numFmt w:val="lowerRoman"/>
      <w:isLgl w:val="false"/>
      <w:suff w:val="tab"/>
      <w:lvlText w:val="%9."/>
      <w:lvlJc w:val="right"/>
      <w:pPr>
        <w:pStyle w:val="1100"/>
        <w:ind w:left="3780" w:hanging="420"/>
      </w:pPr>
    </w:lvl>
  </w:abstractNum>
  <w:abstractNum w:abstractNumId="21">
    <w:multiLevelType w:val="hybridMultilevel"/>
    <w:lvl w:ilvl="0">
      <w:start w:val="1"/>
      <w:numFmt w:val="decimal"/>
      <w:isLgl w:val="false"/>
      <w:suff w:val="tab"/>
      <w:lvlText w:val="%1"/>
      <w:lvlJc w:val="left"/>
      <w:pPr>
        <w:pStyle w:val="1100"/>
        <w:ind w:left="900" w:hanging="900"/>
        <w:tabs>
          <w:tab w:val="num" w:pos="900" w:leader="none"/>
        </w:tabs>
      </w:pPr>
      <w:rPr>
        <w:rFonts w:hint="eastAsia"/>
      </w:rPr>
    </w:lvl>
    <w:lvl w:ilvl="1">
      <w:start w:val="1"/>
      <w:numFmt w:val="decimal"/>
      <w:isLgl w:val="false"/>
      <w:suff w:val="tab"/>
      <w:lvlText w:val="%1.%2"/>
      <w:lvlJc w:val="left"/>
      <w:pPr>
        <w:pStyle w:val="110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00"/>
        <w:ind w:left="1980" w:hanging="900"/>
        <w:tabs>
          <w:tab w:val="num" w:pos="1980" w:leader="none"/>
        </w:tabs>
      </w:pPr>
      <w:rPr>
        <w:rFonts w:hint="eastAsia"/>
      </w:rPr>
    </w:lvl>
    <w:lvl w:ilvl="3">
      <w:start w:val="1"/>
      <w:numFmt w:val="decimal"/>
      <w:isLgl w:val="false"/>
      <w:suff w:val="tab"/>
      <w:lvlText w:val="%1.%2.%3.%4"/>
      <w:lvlJc w:val="left"/>
      <w:pPr>
        <w:pStyle w:val="110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100"/>
        <w:ind w:left="900" w:hanging="900"/>
        <w:tabs>
          <w:tab w:val="num" w:pos="900" w:leader="none"/>
        </w:tabs>
      </w:pPr>
      <w:rPr>
        <w:rFonts w:hint="eastAsia"/>
      </w:rPr>
    </w:lvl>
    <w:lvl w:ilvl="5">
      <w:start w:val="1"/>
      <w:numFmt w:val="decimal"/>
      <w:isLgl w:val="false"/>
      <w:suff w:val="tab"/>
      <w:lvlText w:val="%1.%2.%3.%4.%5.%6"/>
      <w:lvlJc w:val="left"/>
      <w:pPr>
        <w:pStyle w:val="1100"/>
        <w:ind w:left="900" w:hanging="900"/>
        <w:tabs>
          <w:tab w:val="num" w:pos="900" w:leader="none"/>
        </w:tabs>
      </w:pPr>
      <w:rPr>
        <w:rFonts w:hint="eastAsia"/>
      </w:rPr>
    </w:lvl>
    <w:lvl w:ilvl="6">
      <w:start w:val="1"/>
      <w:numFmt w:val="decimal"/>
      <w:isLgl w:val="false"/>
      <w:suff w:val="tab"/>
      <w:lvlText w:val="%1.%2.%3.%4.%5.%6.%7"/>
      <w:lvlJc w:val="left"/>
      <w:pPr>
        <w:pStyle w:val="1100"/>
        <w:ind w:left="900" w:hanging="900"/>
        <w:tabs>
          <w:tab w:val="num" w:pos="900" w:leader="none"/>
        </w:tabs>
      </w:pPr>
      <w:rPr>
        <w:rFonts w:hint="eastAsia"/>
      </w:rPr>
    </w:lvl>
    <w:lvl w:ilvl="7">
      <w:start w:val="1"/>
      <w:numFmt w:val="decimal"/>
      <w:isLgl w:val="false"/>
      <w:suff w:val="tab"/>
      <w:lvlText w:val="%1.%2.%3.%4.%5.%6.%7.%8"/>
      <w:lvlJc w:val="left"/>
      <w:pPr>
        <w:pStyle w:val="1100"/>
        <w:ind w:left="900" w:hanging="900"/>
        <w:tabs>
          <w:tab w:val="num" w:pos="900" w:leader="none"/>
        </w:tabs>
      </w:pPr>
      <w:rPr>
        <w:rFonts w:hint="eastAsia"/>
      </w:rPr>
    </w:lvl>
    <w:lvl w:ilvl="8">
      <w:start w:val="1"/>
      <w:numFmt w:val="decimal"/>
      <w:isLgl w:val="false"/>
      <w:suff w:val="tab"/>
      <w:lvlText w:val="%1.%2.%3.%4.%5.%6.%7.%8.%9"/>
      <w:lvlJc w:val="left"/>
      <w:pPr>
        <w:pStyle w:val="1100"/>
        <w:ind w:left="900" w:hanging="900"/>
        <w:tabs>
          <w:tab w:val="num" w:pos="900" w:leader="none"/>
        </w:tabs>
      </w:pPr>
      <w:rPr>
        <w:rFonts w:hint="eastAsia"/>
      </w:rPr>
    </w:lvl>
  </w:abstractNum>
  <w:abstractNum w:abstractNumId="22">
    <w:multiLevelType w:val="hybridMultilevel"/>
    <w:lvl w:ilvl="0">
      <w:start w:val="1"/>
      <w:numFmt w:val="decimal"/>
      <w:isLgl w:val="false"/>
      <w:suff w:val="nothing"/>
      <w:lvlText w:val="%1．"/>
      <w:lvlJc w:val="left"/>
      <w:pPr>
        <w:pStyle w:val="1100"/>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1100"/>
        <w:ind w:left="900" w:hanging="900"/>
        <w:tabs>
          <w:tab w:val="num" w:pos="900" w:leader="none"/>
        </w:tabs>
      </w:pPr>
      <w:rPr>
        <w:rFonts w:hint="eastAsia"/>
      </w:rPr>
    </w:lvl>
    <w:lvl w:ilvl="1">
      <w:start w:val="1"/>
      <w:numFmt w:val="decimal"/>
      <w:isLgl w:val="false"/>
      <w:suff w:val="tab"/>
      <w:lvlText w:val="%1.%2"/>
      <w:lvlJc w:val="left"/>
      <w:pPr>
        <w:pStyle w:val="110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00"/>
        <w:ind w:left="1980" w:hanging="900"/>
        <w:tabs>
          <w:tab w:val="num" w:pos="1980" w:leader="none"/>
        </w:tabs>
      </w:pPr>
      <w:rPr>
        <w:rFonts w:hint="eastAsia"/>
      </w:rPr>
    </w:lvl>
    <w:lvl w:ilvl="3">
      <w:start w:val="1"/>
      <w:numFmt w:val="decimal"/>
      <w:isLgl w:val="false"/>
      <w:suff w:val="tab"/>
      <w:lvlText w:val="%1.%2.%3.%4"/>
      <w:lvlJc w:val="left"/>
      <w:pPr>
        <w:pStyle w:val="1100"/>
        <w:ind w:left="900" w:hanging="900"/>
        <w:tabs>
          <w:tab w:val="num" w:pos="900" w:leader="none"/>
        </w:tabs>
      </w:pPr>
      <w:rPr>
        <w:rFonts w:hint="eastAsia"/>
      </w:rPr>
    </w:lvl>
    <w:lvl w:ilvl="4">
      <w:start w:val="1"/>
      <w:numFmt w:val="decimal"/>
      <w:isLgl w:val="false"/>
      <w:suff w:val="tab"/>
      <w:lvlText w:val="%1.%2.%3.%4.%5"/>
      <w:lvlJc w:val="left"/>
      <w:pPr>
        <w:pStyle w:val="1100"/>
        <w:ind w:left="900" w:hanging="900"/>
        <w:tabs>
          <w:tab w:val="num" w:pos="900" w:leader="none"/>
        </w:tabs>
      </w:pPr>
      <w:rPr>
        <w:rFonts w:hint="eastAsia"/>
      </w:rPr>
    </w:lvl>
    <w:lvl w:ilvl="5">
      <w:start w:val="1"/>
      <w:numFmt w:val="decimal"/>
      <w:isLgl w:val="false"/>
      <w:suff w:val="tab"/>
      <w:lvlText w:val="%1.%2.%3.%4.%5.%6"/>
      <w:lvlJc w:val="left"/>
      <w:pPr>
        <w:pStyle w:val="1100"/>
        <w:ind w:left="900" w:hanging="900"/>
        <w:tabs>
          <w:tab w:val="num" w:pos="900" w:leader="none"/>
        </w:tabs>
      </w:pPr>
      <w:rPr>
        <w:rFonts w:hint="eastAsia"/>
      </w:rPr>
    </w:lvl>
    <w:lvl w:ilvl="6">
      <w:start w:val="1"/>
      <w:numFmt w:val="decimal"/>
      <w:isLgl w:val="false"/>
      <w:suff w:val="tab"/>
      <w:lvlText w:val="%1.%2.%3.%4.%5.%6.%7"/>
      <w:lvlJc w:val="left"/>
      <w:pPr>
        <w:pStyle w:val="1100"/>
        <w:ind w:left="900" w:hanging="900"/>
        <w:tabs>
          <w:tab w:val="num" w:pos="900" w:leader="none"/>
        </w:tabs>
      </w:pPr>
      <w:rPr>
        <w:rFonts w:hint="eastAsia"/>
      </w:rPr>
    </w:lvl>
    <w:lvl w:ilvl="7">
      <w:start w:val="1"/>
      <w:numFmt w:val="decimal"/>
      <w:isLgl w:val="false"/>
      <w:suff w:val="tab"/>
      <w:lvlText w:val="%1.%2.%3.%4.%5.%6.%7.%8"/>
      <w:lvlJc w:val="left"/>
      <w:pPr>
        <w:pStyle w:val="1100"/>
        <w:ind w:left="900" w:hanging="900"/>
        <w:tabs>
          <w:tab w:val="num" w:pos="900" w:leader="none"/>
        </w:tabs>
      </w:pPr>
      <w:rPr>
        <w:rFonts w:hint="eastAsia"/>
      </w:rPr>
    </w:lvl>
    <w:lvl w:ilvl="8">
      <w:start w:val="1"/>
      <w:numFmt w:val="decimal"/>
      <w:isLgl w:val="false"/>
      <w:suff w:val="tab"/>
      <w:lvlText w:val="%1.%2.%3.%4.%5.%6.%7.%8.%9"/>
      <w:lvlJc w:val="left"/>
      <w:pPr>
        <w:pStyle w:val="1100"/>
        <w:ind w:left="900" w:hanging="900"/>
        <w:tabs>
          <w:tab w:val="num" w:pos="900" w:leader="none"/>
        </w:tabs>
      </w:pPr>
      <w:rPr>
        <w:rFonts w:hint="eastAsia"/>
      </w:rPr>
    </w:lvl>
  </w:abstractNum>
  <w:abstractNum w:abstractNumId="24">
    <w:multiLevelType w:val="hybridMultilevel"/>
    <w:lvl w:ilvl="0">
      <w:start w:val="1"/>
      <w:numFmt w:val="japaneseCounting"/>
      <w:isLgl w:val="false"/>
      <w:suff w:val="tab"/>
      <w:lvlText w:val="%1、"/>
      <w:lvlJc w:val="left"/>
      <w:pPr>
        <w:pStyle w:val="1100"/>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pStyle w:val="1100"/>
        <w:ind w:left="205" w:hanging="322"/>
      </w:pPr>
      <w:rPr>
        <w:rFonts w:ascii="仿宋" w:hAnsi="仿宋" w:eastAsia="仿宋" w:cs="仿宋"/>
        <w:spacing w:val="-46"/>
        <w:sz w:val="30"/>
        <w:szCs w:val="30"/>
      </w:rPr>
    </w:lvl>
    <w:lvl w:ilvl="1">
      <w:start w:val="1"/>
      <w:numFmt w:val="lowerLetter"/>
      <w:isLgl w:val="false"/>
      <w:suff w:val="tab"/>
      <w:lvlText w:val="%2)"/>
      <w:lvlJc w:val="left"/>
      <w:pPr>
        <w:pStyle w:val="1100"/>
        <w:ind w:left="840" w:hanging="420"/>
      </w:pPr>
    </w:lvl>
    <w:lvl w:ilvl="2">
      <w:start w:val="1"/>
      <w:numFmt w:val="lowerRoman"/>
      <w:isLgl w:val="false"/>
      <w:suff w:val="tab"/>
      <w:lvlText w:val="%3."/>
      <w:lvlJc w:val="right"/>
      <w:pPr>
        <w:pStyle w:val="1100"/>
        <w:ind w:left="1260" w:hanging="420"/>
      </w:pPr>
    </w:lvl>
    <w:lvl w:ilvl="3">
      <w:start w:val="1"/>
      <w:numFmt w:val="decimal"/>
      <w:isLgl w:val="false"/>
      <w:suff w:val="tab"/>
      <w:lvlText w:val="%4."/>
      <w:lvlJc w:val="left"/>
      <w:pPr>
        <w:pStyle w:val="1100"/>
        <w:ind w:left="1680" w:hanging="420"/>
      </w:pPr>
    </w:lvl>
    <w:lvl w:ilvl="4">
      <w:start w:val="1"/>
      <w:numFmt w:val="lowerLetter"/>
      <w:isLgl w:val="false"/>
      <w:suff w:val="tab"/>
      <w:lvlText w:val="%5)"/>
      <w:lvlJc w:val="left"/>
      <w:pPr>
        <w:pStyle w:val="1100"/>
        <w:ind w:left="2100" w:hanging="420"/>
      </w:pPr>
    </w:lvl>
    <w:lvl w:ilvl="5">
      <w:start w:val="1"/>
      <w:numFmt w:val="lowerRoman"/>
      <w:isLgl w:val="false"/>
      <w:suff w:val="tab"/>
      <w:lvlText w:val="%6."/>
      <w:lvlJc w:val="right"/>
      <w:pPr>
        <w:pStyle w:val="1100"/>
        <w:ind w:left="2520" w:hanging="420"/>
      </w:pPr>
    </w:lvl>
    <w:lvl w:ilvl="6">
      <w:start w:val="1"/>
      <w:numFmt w:val="decimal"/>
      <w:isLgl w:val="false"/>
      <w:suff w:val="tab"/>
      <w:lvlText w:val="%7."/>
      <w:lvlJc w:val="left"/>
      <w:pPr>
        <w:pStyle w:val="1100"/>
        <w:ind w:left="2940" w:hanging="420"/>
      </w:pPr>
    </w:lvl>
    <w:lvl w:ilvl="7">
      <w:start w:val="1"/>
      <w:numFmt w:val="lowerLetter"/>
      <w:isLgl w:val="false"/>
      <w:suff w:val="tab"/>
      <w:lvlText w:val="%8)"/>
      <w:lvlJc w:val="left"/>
      <w:pPr>
        <w:pStyle w:val="1100"/>
        <w:ind w:left="3360" w:hanging="420"/>
      </w:pPr>
    </w:lvl>
    <w:lvl w:ilvl="8">
      <w:start w:val="1"/>
      <w:numFmt w:val="lowerRoman"/>
      <w:isLgl w:val="false"/>
      <w:suff w:val="tab"/>
      <w:lvlText w:val="%9."/>
      <w:lvlJc w:val="right"/>
      <w:pPr>
        <w:pStyle w:val="1100"/>
        <w:ind w:left="3780" w:hanging="420"/>
      </w:pPr>
    </w:lvl>
  </w:abstractNum>
  <w:abstractNum w:abstractNumId="26">
    <w:multiLevelType w:val="hybridMultilevel"/>
    <w:lvl w:ilvl="0">
      <w:start w:val="2"/>
      <w:numFmt w:val="chineseCounting"/>
      <w:isLgl w:val="false"/>
      <w:suff w:val="nothing"/>
      <w:lvlText w:val="%1、"/>
      <w:lvlJc w:val="left"/>
      <w:pPr>
        <w:pStyle w:val="11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pStyle w:val="1100"/>
        <w:ind w:left="900" w:hanging="900"/>
        <w:tabs>
          <w:tab w:val="num" w:pos="900" w:leader="none"/>
        </w:tabs>
      </w:pPr>
      <w:rPr>
        <w:rFonts w:hint="eastAsia"/>
      </w:rPr>
    </w:lvl>
    <w:lvl w:ilvl="1">
      <w:start w:val="1"/>
      <w:numFmt w:val="decimal"/>
      <w:isLgl w:val="false"/>
      <w:suff w:val="tab"/>
      <w:lvlText w:val="%1.%2"/>
      <w:lvlJc w:val="left"/>
      <w:pPr>
        <w:pStyle w:val="110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00"/>
        <w:ind w:left="1980" w:hanging="900"/>
        <w:tabs>
          <w:tab w:val="num" w:pos="1980" w:leader="none"/>
        </w:tabs>
      </w:pPr>
      <w:rPr>
        <w:rFonts w:hint="eastAsia"/>
      </w:rPr>
    </w:lvl>
    <w:lvl w:ilvl="3">
      <w:start w:val="1"/>
      <w:numFmt w:val="decimal"/>
      <w:isLgl w:val="false"/>
      <w:suff w:val="tab"/>
      <w:lvlText w:val="%1.%2.%3.%4"/>
      <w:lvlJc w:val="left"/>
      <w:pPr>
        <w:pStyle w:val="1100"/>
        <w:ind w:left="900" w:hanging="900"/>
        <w:tabs>
          <w:tab w:val="num" w:pos="900" w:leader="none"/>
        </w:tabs>
      </w:pPr>
      <w:rPr>
        <w:rFonts w:hint="eastAsia"/>
      </w:rPr>
    </w:lvl>
    <w:lvl w:ilvl="4">
      <w:start w:val="1"/>
      <w:numFmt w:val="decimal"/>
      <w:isLgl w:val="false"/>
      <w:suff w:val="tab"/>
      <w:lvlText w:val="%1.%2.%3.%4.%5"/>
      <w:lvlJc w:val="left"/>
      <w:pPr>
        <w:pStyle w:val="1100"/>
        <w:ind w:left="900" w:hanging="900"/>
        <w:tabs>
          <w:tab w:val="num" w:pos="900" w:leader="none"/>
        </w:tabs>
      </w:pPr>
      <w:rPr>
        <w:rFonts w:hint="eastAsia"/>
      </w:rPr>
    </w:lvl>
    <w:lvl w:ilvl="5">
      <w:start w:val="1"/>
      <w:numFmt w:val="decimal"/>
      <w:isLgl w:val="false"/>
      <w:suff w:val="tab"/>
      <w:lvlText w:val="%1.%2.%3.%4.%5.%6"/>
      <w:lvlJc w:val="left"/>
      <w:pPr>
        <w:pStyle w:val="1100"/>
        <w:ind w:left="900" w:hanging="900"/>
        <w:tabs>
          <w:tab w:val="num" w:pos="900" w:leader="none"/>
        </w:tabs>
      </w:pPr>
      <w:rPr>
        <w:rFonts w:hint="eastAsia"/>
      </w:rPr>
    </w:lvl>
    <w:lvl w:ilvl="6">
      <w:start w:val="1"/>
      <w:numFmt w:val="decimal"/>
      <w:isLgl w:val="false"/>
      <w:suff w:val="tab"/>
      <w:lvlText w:val="%1.%2.%3.%4.%5.%6.%7"/>
      <w:lvlJc w:val="left"/>
      <w:pPr>
        <w:pStyle w:val="1100"/>
        <w:ind w:left="900" w:hanging="900"/>
        <w:tabs>
          <w:tab w:val="num" w:pos="900" w:leader="none"/>
        </w:tabs>
      </w:pPr>
      <w:rPr>
        <w:rFonts w:hint="eastAsia"/>
      </w:rPr>
    </w:lvl>
    <w:lvl w:ilvl="7">
      <w:start w:val="1"/>
      <w:numFmt w:val="decimal"/>
      <w:isLgl w:val="false"/>
      <w:suff w:val="tab"/>
      <w:lvlText w:val="%1.%2.%3.%4.%5.%6.%7.%8"/>
      <w:lvlJc w:val="left"/>
      <w:pPr>
        <w:pStyle w:val="1100"/>
        <w:ind w:left="900" w:hanging="900"/>
        <w:tabs>
          <w:tab w:val="num" w:pos="900" w:leader="none"/>
        </w:tabs>
      </w:pPr>
      <w:rPr>
        <w:rFonts w:hint="eastAsia"/>
      </w:rPr>
    </w:lvl>
    <w:lvl w:ilvl="8">
      <w:start w:val="1"/>
      <w:numFmt w:val="decimal"/>
      <w:isLgl w:val="false"/>
      <w:suff w:val="tab"/>
      <w:lvlText w:val="%1.%2.%3.%4.%5.%6.%7.%8.%9"/>
      <w:lvlJc w:val="left"/>
      <w:pPr>
        <w:pStyle w:val="1100"/>
        <w:ind w:left="900" w:hanging="900"/>
        <w:tabs>
          <w:tab w:val="num" w:pos="900" w:leader="none"/>
        </w:tabs>
      </w:pPr>
      <w:rPr>
        <w:rFonts w:hint="eastAsia"/>
      </w:rPr>
    </w:lvl>
  </w:abstractNum>
  <w:abstractNum w:abstractNumId="28">
    <w:multiLevelType w:val="hybridMultilevel"/>
    <w:lvl w:ilvl="0">
      <w:start w:val="1"/>
      <w:numFmt w:val="decimal"/>
      <w:isLgl w:val="false"/>
      <w:suff w:val="space"/>
      <w:lvlText w:val="%1."/>
      <w:lvlJc w:val="left"/>
      <w:pPr>
        <w:pStyle w:val="110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9"/>
  </w:num>
  <w:num w:numId="3">
    <w:abstractNumId w:val="16"/>
  </w:num>
  <w:num w:numId="4">
    <w:abstractNumId w:val="14"/>
  </w:num>
  <w:num w:numId="5">
    <w:abstractNumId w:val="11"/>
  </w:num>
  <w:num w:numId="6">
    <w:abstractNumId w:val="10"/>
  </w:num>
  <w:num w:numId="7">
    <w:abstractNumId w:val="18"/>
  </w:num>
  <w:num w:numId="8">
    <w:abstractNumId w:val="0"/>
  </w:num>
  <w:num w:numId="9">
    <w:abstractNumId w:val="15"/>
  </w:num>
  <w:num w:numId="10">
    <w:abstractNumId w:val="21"/>
  </w:num>
  <w:num w:numId="11">
    <w:abstractNumId w:val="8"/>
  </w:num>
  <w:num w:numId="12">
    <w:abstractNumId w:val="23"/>
  </w:num>
  <w:num w:numId="13">
    <w:abstractNumId w:val="19"/>
  </w:num>
  <w:num w:numId="14">
    <w:abstractNumId w:val="27"/>
  </w:num>
  <w:num w:numId="15">
    <w:abstractNumId w:val="20"/>
  </w:num>
  <w:num w:numId="16">
    <w:abstractNumId w:val="12"/>
  </w:num>
  <w:num w:numId="17">
    <w:abstractNumId w:val="28"/>
    <w:lvlOverride w:ilvl="0">
      <w:startOverride w:val="1"/>
    </w:lvlOverride>
  </w:num>
  <w:num w:numId="18">
    <w:abstractNumId w:val="3"/>
    <w:lvlOverride w:ilvl="0">
      <w:startOverride w:val="1"/>
    </w:lvlOverride>
  </w:num>
  <w:num w:numId="19">
    <w:abstractNumId w:val="7"/>
    <w:lvlOverride w:ilvl="0">
      <w:startOverride w:val="1"/>
    </w:lvlOverride>
  </w:num>
  <w:num w:numId="20">
    <w:abstractNumId w:val="5"/>
    <w:lvlOverride w:ilvl="0">
      <w:startOverride w:val="2"/>
    </w:lvlOverride>
  </w:num>
  <w:num w:numId="21">
    <w:abstractNumId w:val="4"/>
    <w:lvlOverride w:ilvl="0">
      <w:startOverride w:val="6"/>
    </w:lvlOverride>
  </w:num>
  <w:num w:numId="22">
    <w:abstractNumId w:val="2"/>
    <w:lvlOverride w:ilvl="0">
      <w:startOverride w:val="16"/>
    </w:lvlOverride>
  </w:num>
  <w:num w:numId="23">
    <w:abstractNumId w:val="6"/>
    <w:lvlOverride w:ilvl="0">
      <w:startOverride w:val="23"/>
    </w:lvlOverride>
  </w:num>
  <w:num w:numId="24">
    <w:abstractNumId w:val="26"/>
  </w:num>
  <w:num w:numId="25">
    <w:abstractNumId w:val="24"/>
  </w:num>
  <w:num w:numId="26">
    <w:abstractNumId w:val="25"/>
  </w:num>
  <w:num w:numId="27">
    <w:abstractNumId w:val="17"/>
  </w:num>
  <w:num w:numId="28">
    <w:abstractNumId w:val="1"/>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2">
    <w:name w:val="Heading 1"/>
    <w:basedOn w:val="1100"/>
    <w:next w:val="1100"/>
    <w:link w:val="923"/>
    <w:uiPriority w:val="9"/>
    <w:qFormat/>
    <w:pPr>
      <w:keepLines/>
      <w:keepNext/>
      <w:spacing w:before="480" w:after="200"/>
      <w:outlineLvl w:val="0"/>
    </w:pPr>
    <w:rPr>
      <w:rFonts w:ascii="Arial" w:hAnsi="Arial" w:eastAsia="Arial" w:cs="Arial"/>
      <w:sz w:val="40"/>
      <w:szCs w:val="40"/>
    </w:rPr>
  </w:style>
  <w:style w:type="character" w:styleId="923">
    <w:name w:val="Heading 1 Char"/>
    <w:link w:val="922"/>
    <w:uiPriority w:val="9"/>
    <w:rPr>
      <w:rFonts w:ascii="Arial" w:hAnsi="Arial" w:eastAsia="Arial" w:cs="Arial"/>
      <w:sz w:val="40"/>
      <w:szCs w:val="40"/>
    </w:rPr>
  </w:style>
  <w:style w:type="paragraph" w:styleId="924">
    <w:name w:val="Heading 2"/>
    <w:basedOn w:val="1100"/>
    <w:next w:val="1100"/>
    <w:link w:val="925"/>
    <w:uiPriority w:val="9"/>
    <w:unhideWhenUsed/>
    <w:qFormat/>
    <w:pPr>
      <w:keepLines/>
      <w:keepNext/>
      <w:spacing w:before="360" w:after="200"/>
      <w:outlineLvl w:val="1"/>
    </w:pPr>
    <w:rPr>
      <w:rFonts w:ascii="Arial" w:hAnsi="Arial" w:eastAsia="Arial" w:cs="Arial"/>
      <w:sz w:val="34"/>
    </w:rPr>
  </w:style>
  <w:style w:type="character" w:styleId="925">
    <w:name w:val="Heading 2 Char"/>
    <w:link w:val="924"/>
    <w:uiPriority w:val="9"/>
    <w:rPr>
      <w:rFonts w:ascii="Arial" w:hAnsi="Arial" w:eastAsia="Arial" w:cs="Arial"/>
      <w:sz w:val="34"/>
    </w:rPr>
  </w:style>
  <w:style w:type="paragraph" w:styleId="926">
    <w:name w:val="Heading 3"/>
    <w:basedOn w:val="1100"/>
    <w:next w:val="1100"/>
    <w:link w:val="927"/>
    <w:uiPriority w:val="9"/>
    <w:unhideWhenUsed/>
    <w:qFormat/>
    <w:pPr>
      <w:keepLines/>
      <w:keepNext/>
      <w:spacing w:before="320" w:after="200"/>
      <w:outlineLvl w:val="2"/>
    </w:pPr>
    <w:rPr>
      <w:rFonts w:ascii="Arial" w:hAnsi="Arial" w:eastAsia="Arial" w:cs="Arial"/>
      <w:sz w:val="30"/>
      <w:szCs w:val="30"/>
    </w:rPr>
  </w:style>
  <w:style w:type="character" w:styleId="927">
    <w:name w:val="Heading 3 Char"/>
    <w:link w:val="926"/>
    <w:uiPriority w:val="9"/>
    <w:rPr>
      <w:rFonts w:ascii="Arial" w:hAnsi="Arial" w:eastAsia="Arial" w:cs="Arial"/>
      <w:sz w:val="30"/>
      <w:szCs w:val="30"/>
    </w:rPr>
  </w:style>
  <w:style w:type="paragraph" w:styleId="928">
    <w:name w:val="Heading 4"/>
    <w:basedOn w:val="1100"/>
    <w:next w:val="1100"/>
    <w:link w:val="929"/>
    <w:uiPriority w:val="9"/>
    <w:unhideWhenUsed/>
    <w:qFormat/>
    <w:pPr>
      <w:keepLines/>
      <w:keepNext/>
      <w:spacing w:before="320" w:after="200"/>
      <w:outlineLvl w:val="3"/>
    </w:pPr>
    <w:rPr>
      <w:rFonts w:ascii="Arial" w:hAnsi="Arial" w:eastAsia="Arial" w:cs="Arial"/>
      <w:b/>
      <w:bCs/>
      <w:sz w:val="26"/>
      <w:szCs w:val="26"/>
    </w:rPr>
  </w:style>
  <w:style w:type="character" w:styleId="929">
    <w:name w:val="Heading 4 Char"/>
    <w:link w:val="928"/>
    <w:uiPriority w:val="9"/>
    <w:rPr>
      <w:rFonts w:ascii="Arial" w:hAnsi="Arial" w:eastAsia="Arial" w:cs="Arial"/>
      <w:b/>
      <w:bCs/>
      <w:sz w:val="26"/>
      <w:szCs w:val="26"/>
    </w:rPr>
  </w:style>
  <w:style w:type="paragraph" w:styleId="930">
    <w:name w:val="Heading 5"/>
    <w:basedOn w:val="1100"/>
    <w:next w:val="1100"/>
    <w:link w:val="931"/>
    <w:uiPriority w:val="9"/>
    <w:unhideWhenUsed/>
    <w:qFormat/>
    <w:pPr>
      <w:keepLines/>
      <w:keepNext/>
      <w:spacing w:before="320" w:after="200"/>
      <w:outlineLvl w:val="4"/>
    </w:pPr>
    <w:rPr>
      <w:rFonts w:ascii="Arial" w:hAnsi="Arial" w:eastAsia="Arial" w:cs="Arial"/>
      <w:b/>
      <w:bCs/>
      <w:sz w:val="24"/>
      <w:szCs w:val="24"/>
    </w:rPr>
  </w:style>
  <w:style w:type="character" w:styleId="931">
    <w:name w:val="Heading 5 Char"/>
    <w:link w:val="930"/>
    <w:uiPriority w:val="9"/>
    <w:rPr>
      <w:rFonts w:ascii="Arial" w:hAnsi="Arial" w:eastAsia="Arial" w:cs="Arial"/>
      <w:b/>
      <w:bCs/>
      <w:sz w:val="24"/>
      <w:szCs w:val="24"/>
    </w:rPr>
  </w:style>
  <w:style w:type="paragraph" w:styleId="932">
    <w:name w:val="Heading 6"/>
    <w:basedOn w:val="1100"/>
    <w:next w:val="1100"/>
    <w:link w:val="933"/>
    <w:uiPriority w:val="9"/>
    <w:unhideWhenUsed/>
    <w:qFormat/>
    <w:pPr>
      <w:keepLines/>
      <w:keepNext/>
      <w:spacing w:before="320" w:after="200"/>
      <w:outlineLvl w:val="5"/>
    </w:pPr>
    <w:rPr>
      <w:rFonts w:ascii="Arial" w:hAnsi="Arial" w:eastAsia="Arial" w:cs="Arial"/>
      <w:b/>
      <w:bCs/>
      <w:sz w:val="22"/>
      <w:szCs w:val="22"/>
    </w:rPr>
  </w:style>
  <w:style w:type="character" w:styleId="933">
    <w:name w:val="Heading 6 Char"/>
    <w:link w:val="932"/>
    <w:uiPriority w:val="9"/>
    <w:rPr>
      <w:rFonts w:ascii="Arial" w:hAnsi="Arial" w:eastAsia="Arial" w:cs="Arial"/>
      <w:b/>
      <w:bCs/>
      <w:sz w:val="22"/>
      <w:szCs w:val="22"/>
    </w:rPr>
  </w:style>
  <w:style w:type="paragraph" w:styleId="934">
    <w:name w:val="Heading 7"/>
    <w:basedOn w:val="1100"/>
    <w:next w:val="1100"/>
    <w:link w:val="935"/>
    <w:uiPriority w:val="9"/>
    <w:unhideWhenUsed/>
    <w:qFormat/>
    <w:pPr>
      <w:keepLines/>
      <w:keepNext/>
      <w:spacing w:before="320" w:after="200"/>
      <w:outlineLvl w:val="6"/>
    </w:pPr>
    <w:rPr>
      <w:rFonts w:ascii="Arial" w:hAnsi="Arial" w:eastAsia="Arial" w:cs="Arial"/>
      <w:b/>
      <w:bCs/>
      <w:i/>
      <w:iCs/>
      <w:sz w:val="22"/>
      <w:szCs w:val="22"/>
    </w:rPr>
  </w:style>
  <w:style w:type="character" w:styleId="935">
    <w:name w:val="Heading 7 Char"/>
    <w:link w:val="934"/>
    <w:uiPriority w:val="9"/>
    <w:rPr>
      <w:rFonts w:ascii="Arial" w:hAnsi="Arial" w:eastAsia="Arial" w:cs="Arial"/>
      <w:b/>
      <w:bCs/>
      <w:i/>
      <w:iCs/>
      <w:sz w:val="22"/>
      <w:szCs w:val="22"/>
    </w:rPr>
  </w:style>
  <w:style w:type="paragraph" w:styleId="936">
    <w:name w:val="Heading 8"/>
    <w:basedOn w:val="1100"/>
    <w:next w:val="1100"/>
    <w:link w:val="937"/>
    <w:uiPriority w:val="9"/>
    <w:unhideWhenUsed/>
    <w:qFormat/>
    <w:pPr>
      <w:keepLines/>
      <w:keepNext/>
      <w:spacing w:before="320" w:after="200"/>
      <w:outlineLvl w:val="7"/>
    </w:pPr>
    <w:rPr>
      <w:rFonts w:ascii="Arial" w:hAnsi="Arial" w:eastAsia="Arial" w:cs="Arial"/>
      <w:i/>
      <w:iCs/>
      <w:sz w:val="22"/>
      <w:szCs w:val="22"/>
    </w:rPr>
  </w:style>
  <w:style w:type="character" w:styleId="937">
    <w:name w:val="Heading 8 Char"/>
    <w:link w:val="936"/>
    <w:uiPriority w:val="9"/>
    <w:rPr>
      <w:rFonts w:ascii="Arial" w:hAnsi="Arial" w:eastAsia="Arial" w:cs="Arial"/>
      <w:i/>
      <w:iCs/>
      <w:sz w:val="22"/>
      <w:szCs w:val="22"/>
    </w:rPr>
  </w:style>
  <w:style w:type="paragraph" w:styleId="938">
    <w:name w:val="Heading 9"/>
    <w:basedOn w:val="1100"/>
    <w:next w:val="1100"/>
    <w:link w:val="939"/>
    <w:uiPriority w:val="9"/>
    <w:unhideWhenUsed/>
    <w:qFormat/>
    <w:pPr>
      <w:keepLines/>
      <w:keepNext/>
      <w:spacing w:before="320" w:after="200"/>
      <w:outlineLvl w:val="8"/>
    </w:pPr>
    <w:rPr>
      <w:rFonts w:ascii="Arial" w:hAnsi="Arial" w:eastAsia="Arial" w:cs="Arial"/>
      <w:i/>
      <w:iCs/>
      <w:sz w:val="21"/>
      <w:szCs w:val="21"/>
    </w:rPr>
  </w:style>
  <w:style w:type="character" w:styleId="939">
    <w:name w:val="Heading 9 Char"/>
    <w:link w:val="938"/>
    <w:uiPriority w:val="9"/>
    <w:rPr>
      <w:rFonts w:ascii="Arial" w:hAnsi="Arial" w:eastAsia="Arial" w:cs="Arial"/>
      <w:i/>
      <w:iCs/>
      <w:sz w:val="21"/>
      <w:szCs w:val="21"/>
    </w:rPr>
  </w:style>
  <w:style w:type="paragraph" w:styleId="940">
    <w:name w:val="List Paragraph"/>
    <w:basedOn w:val="1100"/>
    <w:uiPriority w:val="34"/>
    <w:qFormat/>
    <w:pPr>
      <w:contextualSpacing/>
      <w:ind w:left="720"/>
    </w:pPr>
  </w:style>
  <w:style w:type="paragraph" w:styleId="941">
    <w:name w:val="No Spacing"/>
    <w:uiPriority w:val="1"/>
    <w:qFormat/>
    <w:pPr>
      <w:spacing w:before="0" w:after="0" w:line="240" w:lineRule="auto"/>
    </w:pPr>
  </w:style>
  <w:style w:type="paragraph" w:styleId="942">
    <w:name w:val="Title"/>
    <w:basedOn w:val="1100"/>
    <w:next w:val="1100"/>
    <w:link w:val="943"/>
    <w:uiPriority w:val="10"/>
    <w:qFormat/>
    <w:pPr>
      <w:contextualSpacing/>
      <w:spacing w:before="300" w:after="200"/>
    </w:pPr>
    <w:rPr>
      <w:sz w:val="48"/>
      <w:szCs w:val="48"/>
    </w:rPr>
  </w:style>
  <w:style w:type="character" w:styleId="943">
    <w:name w:val="Title Char"/>
    <w:link w:val="942"/>
    <w:uiPriority w:val="10"/>
    <w:rPr>
      <w:sz w:val="48"/>
      <w:szCs w:val="48"/>
    </w:rPr>
  </w:style>
  <w:style w:type="paragraph" w:styleId="944">
    <w:name w:val="Subtitle"/>
    <w:basedOn w:val="1100"/>
    <w:next w:val="1100"/>
    <w:link w:val="945"/>
    <w:uiPriority w:val="11"/>
    <w:qFormat/>
    <w:pPr>
      <w:spacing w:before="200" w:after="200"/>
    </w:pPr>
    <w:rPr>
      <w:sz w:val="24"/>
      <w:szCs w:val="24"/>
    </w:rPr>
  </w:style>
  <w:style w:type="character" w:styleId="945">
    <w:name w:val="Subtitle Char"/>
    <w:link w:val="944"/>
    <w:uiPriority w:val="11"/>
    <w:rPr>
      <w:sz w:val="24"/>
      <w:szCs w:val="24"/>
    </w:rPr>
  </w:style>
  <w:style w:type="paragraph" w:styleId="946">
    <w:name w:val="Quote"/>
    <w:basedOn w:val="1100"/>
    <w:next w:val="1100"/>
    <w:link w:val="947"/>
    <w:uiPriority w:val="29"/>
    <w:qFormat/>
    <w:pPr>
      <w:ind w:left="720" w:right="720"/>
    </w:pPr>
    <w:rPr>
      <w:i/>
    </w:rPr>
  </w:style>
  <w:style w:type="character" w:styleId="947">
    <w:name w:val="Quote Char"/>
    <w:link w:val="946"/>
    <w:uiPriority w:val="29"/>
    <w:rPr>
      <w:i/>
    </w:rPr>
  </w:style>
  <w:style w:type="paragraph" w:styleId="948">
    <w:name w:val="Intense Quote"/>
    <w:basedOn w:val="1100"/>
    <w:next w:val="1100"/>
    <w:link w:val="9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9">
    <w:name w:val="Intense Quote Char"/>
    <w:link w:val="948"/>
    <w:uiPriority w:val="30"/>
    <w:rPr>
      <w:i/>
    </w:rPr>
  </w:style>
  <w:style w:type="paragraph" w:styleId="950">
    <w:name w:val="Header"/>
    <w:basedOn w:val="1100"/>
    <w:link w:val="951"/>
    <w:uiPriority w:val="99"/>
    <w:unhideWhenUsed/>
    <w:pPr>
      <w:spacing w:after="0" w:line="240" w:lineRule="auto"/>
      <w:tabs>
        <w:tab w:val="center" w:pos="7143" w:leader="none"/>
        <w:tab w:val="right" w:pos="14287" w:leader="none"/>
      </w:tabs>
    </w:pPr>
  </w:style>
  <w:style w:type="character" w:styleId="951">
    <w:name w:val="Header Char"/>
    <w:link w:val="950"/>
    <w:uiPriority w:val="99"/>
  </w:style>
  <w:style w:type="paragraph" w:styleId="952">
    <w:name w:val="Footer"/>
    <w:basedOn w:val="1100"/>
    <w:link w:val="955"/>
    <w:uiPriority w:val="99"/>
    <w:unhideWhenUsed/>
    <w:pPr>
      <w:spacing w:after="0" w:line="240" w:lineRule="auto"/>
      <w:tabs>
        <w:tab w:val="center" w:pos="7143" w:leader="none"/>
        <w:tab w:val="right" w:pos="14287" w:leader="none"/>
      </w:tabs>
    </w:pPr>
  </w:style>
  <w:style w:type="character" w:styleId="953">
    <w:name w:val="Footer Char"/>
    <w:link w:val="952"/>
    <w:uiPriority w:val="99"/>
  </w:style>
  <w:style w:type="paragraph" w:styleId="954">
    <w:name w:val="Caption"/>
    <w:basedOn w:val="1100"/>
    <w:next w:val="1100"/>
    <w:uiPriority w:val="35"/>
    <w:semiHidden/>
    <w:unhideWhenUsed/>
    <w:qFormat/>
    <w:pPr>
      <w:spacing w:line="276" w:lineRule="auto"/>
    </w:pPr>
    <w:rPr>
      <w:b/>
      <w:bCs/>
      <w:color w:val="4f81bd" w:themeColor="accent1"/>
      <w:sz w:val="18"/>
      <w:szCs w:val="18"/>
    </w:rPr>
  </w:style>
  <w:style w:type="character" w:styleId="955">
    <w:name w:val="Caption Char"/>
    <w:basedOn w:val="954"/>
    <w:link w:val="952"/>
    <w:uiPriority w:val="99"/>
  </w:style>
  <w:style w:type="table" w:styleId="9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82">
    <w:name w:val="Hyperlink"/>
    <w:uiPriority w:val="99"/>
    <w:unhideWhenUsed/>
    <w:rPr>
      <w:color w:val="0000ff" w:themeColor="hyperlink"/>
      <w:u w:val="single"/>
    </w:rPr>
  </w:style>
  <w:style w:type="paragraph" w:styleId="1083">
    <w:name w:val="footnote text"/>
    <w:basedOn w:val="1100"/>
    <w:link w:val="1084"/>
    <w:uiPriority w:val="99"/>
    <w:semiHidden/>
    <w:unhideWhenUsed/>
    <w:pPr>
      <w:spacing w:after="40" w:line="240" w:lineRule="auto"/>
    </w:pPr>
    <w:rPr>
      <w:sz w:val="18"/>
    </w:rPr>
  </w:style>
  <w:style w:type="character" w:styleId="1084">
    <w:name w:val="Footnote Text Char"/>
    <w:link w:val="1083"/>
    <w:uiPriority w:val="99"/>
    <w:rPr>
      <w:sz w:val="18"/>
    </w:rPr>
  </w:style>
  <w:style w:type="character" w:styleId="1085">
    <w:name w:val="footnote reference"/>
    <w:uiPriority w:val="99"/>
    <w:unhideWhenUsed/>
    <w:rPr>
      <w:vertAlign w:val="superscript"/>
    </w:rPr>
  </w:style>
  <w:style w:type="paragraph" w:styleId="1086">
    <w:name w:val="endnote text"/>
    <w:basedOn w:val="1100"/>
    <w:link w:val="1087"/>
    <w:uiPriority w:val="99"/>
    <w:semiHidden/>
    <w:unhideWhenUsed/>
    <w:pPr>
      <w:spacing w:after="0" w:line="240" w:lineRule="auto"/>
    </w:pPr>
    <w:rPr>
      <w:sz w:val="20"/>
    </w:rPr>
  </w:style>
  <w:style w:type="character" w:styleId="1087">
    <w:name w:val="Endnote Text Char"/>
    <w:link w:val="1086"/>
    <w:uiPriority w:val="99"/>
    <w:rPr>
      <w:sz w:val="20"/>
    </w:rPr>
  </w:style>
  <w:style w:type="character" w:styleId="1088">
    <w:name w:val="endnote reference"/>
    <w:uiPriority w:val="99"/>
    <w:semiHidden/>
    <w:unhideWhenUsed/>
    <w:rPr>
      <w:vertAlign w:val="superscript"/>
    </w:rPr>
  </w:style>
  <w:style w:type="paragraph" w:styleId="1089">
    <w:name w:val="toc 1"/>
    <w:basedOn w:val="1100"/>
    <w:next w:val="1100"/>
    <w:uiPriority w:val="39"/>
    <w:unhideWhenUsed/>
    <w:pPr>
      <w:ind w:left="0" w:right="0" w:firstLine="0"/>
      <w:spacing w:after="57"/>
    </w:pPr>
  </w:style>
  <w:style w:type="paragraph" w:styleId="1090">
    <w:name w:val="toc 2"/>
    <w:basedOn w:val="1100"/>
    <w:next w:val="1100"/>
    <w:uiPriority w:val="39"/>
    <w:unhideWhenUsed/>
    <w:pPr>
      <w:ind w:left="283" w:right="0" w:firstLine="0"/>
      <w:spacing w:after="57"/>
    </w:pPr>
  </w:style>
  <w:style w:type="paragraph" w:styleId="1091">
    <w:name w:val="toc 3"/>
    <w:basedOn w:val="1100"/>
    <w:next w:val="1100"/>
    <w:uiPriority w:val="39"/>
    <w:unhideWhenUsed/>
    <w:pPr>
      <w:ind w:left="567" w:right="0" w:firstLine="0"/>
      <w:spacing w:after="57"/>
    </w:pPr>
  </w:style>
  <w:style w:type="paragraph" w:styleId="1092">
    <w:name w:val="toc 4"/>
    <w:basedOn w:val="1100"/>
    <w:next w:val="1100"/>
    <w:uiPriority w:val="39"/>
    <w:unhideWhenUsed/>
    <w:pPr>
      <w:ind w:left="850" w:right="0" w:firstLine="0"/>
      <w:spacing w:after="57"/>
    </w:pPr>
  </w:style>
  <w:style w:type="paragraph" w:styleId="1093">
    <w:name w:val="toc 5"/>
    <w:basedOn w:val="1100"/>
    <w:next w:val="1100"/>
    <w:uiPriority w:val="39"/>
    <w:unhideWhenUsed/>
    <w:pPr>
      <w:ind w:left="1134" w:right="0" w:firstLine="0"/>
      <w:spacing w:after="57"/>
    </w:pPr>
  </w:style>
  <w:style w:type="paragraph" w:styleId="1094">
    <w:name w:val="toc 6"/>
    <w:basedOn w:val="1100"/>
    <w:next w:val="1100"/>
    <w:uiPriority w:val="39"/>
    <w:unhideWhenUsed/>
    <w:pPr>
      <w:ind w:left="1417" w:right="0" w:firstLine="0"/>
      <w:spacing w:after="57"/>
    </w:pPr>
  </w:style>
  <w:style w:type="paragraph" w:styleId="1095">
    <w:name w:val="toc 7"/>
    <w:basedOn w:val="1100"/>
    <w:next w:val="1100"/>
    <w:uiPriority w:val="39"/>
    <w:unhideWhenUsed/>
    <w:pPr>
      <w:ind w:left="1701" w:right="0" w:firstLine="0"/>
      <w:spacing w:after="57"/>
    </w:pPr>
  </w:style>
  <w:style w:type="paragraph" w:styleId="1096">
    <w:name w:val="toc 8"/>
    <w:basedOn w:val="1100"/>
    <w:next w:val="1100"/>
    <w:uiPriority w:val="39"/>
    <w:unhideWhenUsed/>
    <w:pPr>
      <w:ind w:left="1984" w:right="0" w:firstLine="0"/>
      <w:spacing w:after="57"/>
    </w:pPr>
  </w:style>
  <w:style w:type="paragraph" w:styleId="1097">
    <w:name w:val="toc 9"/>
    <w:basedOn w:val="1100"/>
    <w:next w:val="1100"/>
    <w:uiPriority w:val="39"/>
    <w:unhideWhenUsed/>
    <w:pPr>
      <w:ind w:left="2268" w:right="0" w:firstLine="0"/>
      <w:spacing w:after="57"/>
    </w:pPr>
  </w:style>
  <w:style w:type="paragraph" w:styleId="1098">
    <w:name w:val="TOC Heading"/>
    <w:uiPriority w:val="39"/>
    <w:unhideWhenUsed/>
  </w:style>
  <w:style w:type="paragraph" w:styleId="1099">
    <w:name w:val="table of figures"/>
    <w:basedOn w:val="1100"/>
    <w:next w:val="1100"/>
    <w:uiPriority w:val="99"/>
    <w:unhideWhenUsed/>
    <w:pPr>
      <w:spacing w:after="0" w:afterAutospacing="0"/>
    </w:pPr>
  </w:style>
  <w:style w:type="paragraph" w:styleId="1100" w:default="1">
    <w:name w:val="Normal"/>
    <w:next w:val="1100"/>
    <w:link w:val="1100"/>
    <w:qFormat/>
    <w:pPr>
      <w:jc w:val="both"/>
      <w:widowControl w:val="off"/>
    </w:pPr>
    <w:rPr>
      <w:sz w:val="21"/>
      <w:szCs w:val="24"/>
      <w:lang w:val="en-US" w:eastAsia="zh-CN" w:bidi="ar-SA"/>
    </w:rPr>
  </w:style>
  <w:style w:type="paragraph" w:styleId="1101">
    <w:name w:val="标题 1"/>
    <w:basedOn w:val="1100"/>
    <w:next w:val="1100"/>
    <w:link w:val="1113"/>
    <w:qFormat/>
    <w:pPr>
      <w:jc w:val="center"/>
      <w:keepLines/>
      <w:keepNext/>
      <w:spacing w:before="240" w:after="120" w:line="300" w:lineRule="auto"/>
      <w:outlineLvl w:val="0"/>
    </w:pPr>
    <w:rPr>
      <w:rFonts w:ascii="宋体"/>
      <w:b/>
      <w:sz w:val="32"/>
      <w:szCs w:val="20"/>
    </w:rPr>
  </w:style>
  <w:style w:type="paragraph" w:styleId="1102">
    <w:name w:val="标题 2"/>
    <w:basedOn w:val="1100"/>
    <w:next w:val="1115"/>
    <w:link w:val="1114"/>
    <w:qFormat/>
    <w:pPr>
      <w:jc w:val="center"/>
      <w:keepLines/>
      <w:keepNext/>
      <w:spacing w:before="120" w:line="300" w:lineRule="auto"/>
      <w:outlineLvl w:val="1"/>
    </w:pPr>
    <w:rPr>
      <w:rFonts w:ascii="Arial" w:hAnsi="Arial" w:eastAsia="黑体"/>
      <w:b/>
      <w:sz w:val="30"/>
      <w:szCs w:val="20"/>
    </w:rPr>
  </w:style>
  <w:style w:type="paragraph" w:styleId="1103">
    <w:name w:val="标题 3"/>
    <w:basedOn w:val="1100"/>
    <w:next w:val="1115"/>
    <w:link w:val="1117"/>
    <w:qFormat/>
    <w:pPr>
      <w:jc w:val="left"/>
      <w:keepLines/>
      <w:keepNext/>
      <w:spacing w:before="360" w:after="120"/>
      <w:outlineLvl w:val="2"/>
    </w:pPr>
    <w:rPr>
      <w:rFonts w:ascii="宋体"/>
      <w:b/>
      <w:sz w:val="24"/>
      <w:szCs w:val="20"/>
      <w:u w:val="single"/>
    </w:rPr>
  </w:style>
  <w:style w:type="paragraph" w:styleId="1104">
    <w:name w:val="标题 4"/>
    <w:basedOn w:val="1100"/>
    <w:next w:val="1100"/>
    <w:link w:val="1118"/>
    <w:qFormat/>
    <w:pPr>
      <w:keepLines/>
      <w:keepNext/>
      <w:spacing w:before="280" w:after="290" w:line="376" w:lineRule="atLeast"/>
      <w:outlineLvl w:val="3"/>
    </w:pPr>
    <w:rPr>
      <w:rFonts w:ascii="Arial" w:hAnsi="Arial" w:eastAsia="黑体"/>
      <w:b/>
      <w:sz w:val="28"/>
      <w:szCs w:val="20"/>
    </w:rPr>
  </w:style>
  <w:style w:type="paragraph" w:styleId="1105">
    <w:name w:val="标题 5"/>
    <w:basedOn w:val="1100"/>
    <w:next w:val="1100"/>
    <w:link w:val="1119"/>
    <w:qFormat/>
    <w:pPr>
      <w:keepLines/>
      <w:keepNext/>
      <w:spacing w:before="280" w:after="290" w:line="376" w:lineRule="atLeast"/>
      <w:outlineLvl w:val="4"/>
    </w:pPr>
    <w:rPr>
      <w:b/>
      <w:sz w:val="28"/>
      <w:szCs w:val="20"/>
    </w:rPr>
  </w:style>
  <w:style w:type="paragraph" w:styleId="1106">
    <w:name w:val="标题 6"/>
    <w:basedOn w:val="1100"/>
    <w:next w:val="1100"/>
    <w:link w:val="1120"/>
    <w:qFormat/>
    <w:pPr>
      <w:keepLines/>
      <w:keepNext/>
      <w:spacing w:before="240" w:after="64" w:line="320" w:lineRule="atLeast"/>
      <w:outlineLvl w:val="5"/>
    </w:pPr>
    <w:rPr>
      <w:rFonts w:ascii="Arial" w:hAnsi="Arial" w:eastAsia="黑体"/>
      <w:b/>
      <w:sz w:val="24"/>
      <w:szCs w:val="20"/>
    </w:rPr>
  </w:style>
  <w:style w:type="paragraph" w:styleId="1107">
    <w:name w:val="标题 7"/>
    <w:basedOn w:val="1100"/>
    <w:next w:val="1100"/>
    <w:link w:val="1121"/>
    <w:qFormat/>
    <w:pPr>
      <w:keepLines/>
      <w:keepNext/>
      <w:spacing w:before="240" w:after="64" w:line="320" w:lineRule="atLeast"/>
      <w:outlineLvl w:val="6"/>
    </w:pPr>
    <w:rPr>
      <w:b/>
      <w:sz w:val="24"/>
      <w:szCs w:val="20"/>
    </w:rPr>
  </w:style>
  <w:style w:type="paragraph" w:styleId="1108">
    <w:name w:val="标题 8"/>
    <w:basedOn w:val="1100"/>
    <w:next w:val="1100"/>
    <w:link w:val="1122"/>
    <w:qFormat/>
    <w:pPr>
      <w:keepLines/>
      <w:keepNext/>
      <w:spacing w:before="240" w:after="64" w:line="320" w:lineRule="atLeast"/>
      <w:outlineLvl w:val="7"/>
    </w:pPr>
    <w:rPr>
      <w:rFonts w:ascii="Arial" w:hAnsi="Arial" w:eastAsia="黑体"/>
      <w:sz w:val="24"/>
      <w:szCs w:val="20"/>
    </w:rPr>
  </w:style>
  <w:style w:type="paragraph" w:styleId="1109">
    <w:name w:val="标题 9"/>
    <w:basedOn w:val="1100"/>
    <w:next w:val="1100"/>
    <w:link w:val="1123"/>
    <w:qFormat/>
    <w:pPr>
      <w:keepLines/>
      <w:keepNext/>
      <w:spacing w:before="240" w:after="64" w:line="320" w:lineRule="atLeast"/>
      <w:outlineLvl w:val="8"/>
    </w:pPr>
    <w:rPr>
      <w:rFonts w:ascii="Arial" w:hAnsi="Arial" w:eastAsia="黑体"/>
      <w:szCs w:val="20"/>
    </w:rPr>
  </w:style>
  <w:style w:type="character" w:styleId="1110">
    <w:name w:val="默认段落字体"/>
    <w:next w:val="1110"/>
    <w:link w:val="1100"/>
    <w:uiPriority w:val="1"/>
    <w:unhideWhenUsed/>
    <w:qFormat/>
  </w:style>
  <w:style w:type="table" w:styleId="1111">
    <w:name w:val="普通表格"/>
    <w:next w:val="1111"/>
    <w:link w:val="1100"/>
    <w:uiPriority w:val="99"/>
    <w:unhideWhenUsed/>
    <w:qFormat/>
    <w:tblPr/>
  </w:style>
  <w:style w:type="numbering" w:styleId="1112">
    <w:name w:val="无列表"/>
    <w:next w:val="1112"/>
    <w:link w:val="1100"/>
    <w:uiPriority w:val="99"/>
    <w:semiHidden/>
    <w:unhideWhenUsed/>
  </w:style>
  <w:style w:type="character" w:styleId="1113">
    <w:name w:val="标题 1 字符"/>
    <w:next w:val="1113"/>
    <w:link w:val="1101"/>
    <w:qFormat/>
    <w:rPr>
      <w:rFonts w:ascii="宋体"/>
      <w:b/>
      <w:sz w:val="32"/>
    </w:rPr>
  </w:style>
  <w:style w:type="character" w:styleId="1114">
    <w:name w:val="标题 2 字符"/>
    <w:next w:val="1114"/>
    <w:link w:val="1102"/>
    <w:qFormat/>
    <w:rPr>
      <w:rFonts w:ascii="Arial" w:hAnsi="Arial" w:eastAsia="黑体"/>
      <w:b/>
      <w:sz w:val="30"/>
      <w:lang w:val="en-US" w:eastAsia="zh-CN" w:bidi="ar-SA"/>
    </w:rPr>
  </w:style>
  <w:style w:type="paragraph" w:styleId="1115">
    <w:name w:val="正文缩进"/>
    <w:basedOn w:val="1100"/>
    <w:next w:val="1115"/>
    <w:link w:val="1116"/>
    <w:uiPriority w:val="99"/>
    <w:qFormat/>
    <w:pPr>
      <w:ind w:firstLine="420"/>
      <w:jc w:val="left"/>
    </w:pPr>
    <w:rPr>
      <w:rFonts w:ascii="宋体"/>
      <w:sz w:val="24"/>
    </w:rPr>
  </w:style>
  <w:style w:type="character" w:styleId="1116">
    <w:name w:val="正文缩进 字符1"/>
    <w:next w:val="1116"/>
    <w:link w:val="1115"/>
    <w:qFormat/>
    <w:rPr>
      <w:rFonts w:ascii="宋体" w:eastAsia="宋体"/>
      <w:sz w:val="24"/>
      <w:szCs w:val="24"/>
      <w:lang w:val="en-US" w:eastAsia="zh-CN" w:bidi="ar-SA"/>
    </w:rPr>
  </w:style>
  <w:style w:type="character" w:styleId="1117">
    <w:name w:val="标题 3 字符"/>
    <w:next w:val="1117"/>
    <w:link w:val="1103"/>
    <w:qFormat/>
    <w:rPr>
      <w:rFonts w:ascii="宋体" w:eastAsia="宋体"/>
      <w:b/>
      <w:sz w:val="24"/>
      <w:u w:val="single"/>
      <w:lang w:val="en-US" w:eastAsia="zh-CN" w:bidi="ar-SA"/>
    </w:rPr>
  </w:style>
  <w:style w:type="character" w:styleId="1118">
    <w:name w:val="标题 4 字符"/>
    <w:next w:val="1118"/>
    <w:link w:val="1104"/>
    <w:qFormat/>
    <w:rPr>
      <w:rFonts w:ascii="Arial" w:hAnsi="Arial" w:eastAsia="黑体"/>
      <w:b/>
      <w:sz w:val="28"/>
    </w:rPr>
  </w:style>
  <w:style w:type="character" w:styleId="1119">
    <w:name w:val="标题 5 字符"/>
    <w:next w:val="1119"/>
    <w:link w:val="1105"/>
    <w:qFormat/>
    <w:rPr>
      <w:b/>
      <w:sz w:val="28"/>
    </w:rPr>
  </w:style>
  <w:style w:type="character" w:styleId="1120">
    <w:name w:val="标题 6 字符"/>
    <w:next w:val="1120"/>
    <w:link w:val="1106"/>
    <w:qFormat/>
    <w:rPr>
      <w:rFonts w:ascii="Arial" w:hAnsi="Arial" w:eastAsia="黑体"/>
      <w:b/>
      <w:sz w:val="24"/>
    </w:rPr>
  </w:style>
  <w:style w:type="character" w:styleId="1121">
    <w:name w:val="标题 7 字符"/>
    <w:next w:val="1121"/>
    <w:link w:val="1107"/>
    <w:qFormat/>
    <w:rPr>
      <w:b/>
      <w:sz w:val="24"/>
    </w:rPr>
  </w:style>
  <w:style w:type="character" w:styleId="1122">
    <w:name w:val="标题 8 字符"/>
    <w:next w:val="1122"/>
    <w:link w:val="1108"/>
    <w:qFormat/>
    <w:rPr>
      <w:rFonts w:ascii="Arial" w:hAnsi="Arial" w:eastAsia="黑体"/>
      <w:sz w:val="24"/>
    </w:rPr>
  </w:style>
  <w:style w:type="character" w:styleId="1123">
    <w:name w:val="标题 9 字符"/>
    <w:next w:val="1123"/>
    <w:link w:val="1109"/>
    <w:qFormat/>
    <w:rPr>
      <w:rFonts w:ascii="Arial" w:hAnsi="Arial" w:eastAsia="黑体"/>
      <w:sz w:val="21"/>
    </w:rPr>
  </w:style>
  <w:style w:type="paragraph" w:styleId="1124">
    <w:name w:val="目录 7"/>
    <w:basedOn w:val="1100"/>
    <w:next w:val="1100"/>
    <w:link w:val="1100"/>
    <w:qFormat/>
    <w:pPr>
      <w:ind w:left="2520"/>
    </w:pPr>
  </w:style>
  <w:style w:type="paragraph" w:styleId="1125">
    <w:name w:val="题注"/>
    <w:basedOn w:val="1100"/>
    <w:next w:val="1100"/>
    <w:link w:val="1100"/>
    <w:qFormat/>
    <w:pPr>
      <w:spacing w:line="480" w:lineRule="auto"/>
    </w:pPr>
    <w:rPr>
      <w:rFonts w:ascii="华文中宋" w:hAnsi="华文中宋" w:eastAsia="华文中宋"/>
      <w:sz w:val="36"/>
      <w:szCs w:val="20"/>
    </w:rPr>
  </w:style>
  <w:style w:type="paragraph" w:styleId="1126">
    <w:name w:val="文档结构图"/>
    <w:basedOn w:val="1100"/>
    <w:next w:val="1126"/>
    <w:link w:val="1127"/>
    <w:qFormat/>
    <w:pPr>
      <w:shd w:val="clear" w:color="auto" w:fill="000080"/>
    </w:pPr>
  </w:style>
  <w:style w:type="character" w:styleId="1127">
    <w:name w:val="文档结构图 字符"/>
    <w:next w:val="1127"/>
    <w:link w:val="1126"/>
    <w:qFormat/>
    <w:rPr>
      <w:sz w:val="21"/>
      <w:szCs w:val="24"/>
      <w:shd w:val="clear" w:color="auto" w:fill="000080"/>
    </w:rPr>
  </w:style>
  <w:style w:type="paragraph" w:styleId="1128">
    <w:name w:val="批注文字"/>
    <w:basedOn w:val="1100"/>
    <w:next w:val="1128"/>
    <w:link w:val="1129"/>
    <w:qFormat/>
    <w:pPr>
      <w:jc w:val="left"/>
    </w:pPr>
  </w:style>
  <w:style w:type="character" w:styleId="1129">
    <w:name w:val="批注文字 字符1"/>
    <w:next w:val="1129"/>
    <w:link w:val="1128"/>
    <w:uiPriority w:val="99"/>
    <w:qFormat/>
    <w:rPr>
      <w:sz w:val="21"/>
      <w:szCs w:val="24"/>
    </w:rPr>
  </w:style>
  <w:style w:type="paragraph" w:styleId="1130">
    <w:name w:val="正文文本 3"/>
    <w:basedOn w:val="1100"/>
    <w:next w:val="1130"/>
    <w:link w:val="1131"/>
    <w:qFormat/>
    <w:pPr>
      <w:spacing w:after="120"/>
    </w:pPr>
    <w:rPr>
      <w:sz w:val="16"/>
      <w:szCs w:val="16"/>
    </w:rPr>
  </w:style>
  <w:style w:type="character" w:styleId="1131">
    <w:name w:val="正文文本 3 字符"/>
    <w:next w:val="1131"/>
    <w:link w:val="1130"/>
    <w:qFormat/>
    <w:rPr>
      <w:sz w:val="16"/>
      <w:szCs w:val="16"/>
    </w:rPr>
  </w:style>
  <w:style w:type="paragraph" w:styleId="1132">
    <w:name w:val="正文文本"/>
    <w:basedOn w:val="1100"/>
    <w:next w:val="1132"/>
    <w:link w:val="1133"/>
    <w:qFormat/>
    <w:pPr>
      <w:spacing w:before="120" w:line="22" w:lineRule="atLeast"/>
      <w:tabs>
        <w:tab w:val="left" w:pos="567" w:leader="none"/>
      </w:tabs>
    </w:pPr>
    <w:rPr>
      <w:rFonts w:ascii="宋体" w:hAnsi="宋体"/>
      <w:sz w:val="24"/>
    </w:rPr>
  </w:style>
  <w:style w:type="character" w:styleId="1133">
    <w:name w:val="正文文本 字符1"/>
    <w:next w:val="1133"/>
    <w:link w:val="1132"/>
    <w:qFormat/>
    <w:rPr>
      <w:rFonts w:ascii="宋体" w:hAnsi="宋体"/>
      <w:sz w:val="24"/>
      <w:szCs w:val="24"/>
    </w:rPr>
  </w:style>
  <w:style w:type="paragraph" w:styleId="1134">
    <w:name w:val="正文文本缩进"/>
    <w:basedOn w:val="1100"/>
    <w:next w:val="1134"/>
    <w:link w:val="1135"/>
    <w:qFormat/>
    <w:pPr>
      <w:ind w:firstLine="570"/>
      <w:spacing w:line="360" w:lineRule="auto"/>
    </w:pPr>
    <w:rPr>
      <w:sz w:val="24"/>
    </w:rPr>
  </w:style>
  <w:style w:type="character" w:styleId="1135">
    <w:name w:val="正文文本缩进 字符"/>
    <w:next w:val="1135"/>
    <w:link w:val="1134"/>
    <w:qFormat/>
    <w:rPr>
      <w:rFonts w:eastAsia="宋体"/>
      <w:sz w:val="24"/>
      <w:szCs w:val="24"/>
      <w:lang w:val="en-US" w:eastAsia="zh-CN" w:bidi="ar-SA"/>
    </w:rPr>
  </w:style>
  <w:style w:type="paragraph" w:styleId="1136">
    <w:name w:val="列表 2"/>
    <w:basedOn w:val="1100"/>
    <w:next w:val="1136"/>
    <w:link w:val="1100"/>
    <w:qFormat/>
    <w:pPr>
      <w:ind w:left="100" w:hanging="200"/>
    </w:pPr>
  </w:style>
  <w:style w:type="paragraph" w:styleId="1137">
    <w:name w:val="文本块"/>
    <w:basedOn w:val="1100"/>
    <w:next w:val="1137"/>
    <w:link w:val="1100"/>
    <w:qFormat/>
    <w:pPr>
      <w:ind w:left="480" w:right="-341" w:firstLine="513"/>
      <w:widowControl/>
    </w:pPr>
    <w:rPr>
      <w:sz w:val="24"/>
      <w:szCs w:val="20"/>
    </w:rPr>
  </w:style>
  <w:style w:type="paragraph" w:styleId="1138">
    <w:name w:val="目录 5"/>
    <w:basedOn w:val="1100"/>
    <w:next w:val="1100"/>
    <w:link w:val="1100"/>
    <w:qFormat/>
    <w:pPr>
      <w:ind w:left="1680"/>
    </w:pPr>
  </w:style>
  <w:style w:type="paragraph" w:styleId="1139">
    <w:name w:val="目录 3"/>
    <w:basedOn w:val="1100"/>
    <w:next w:val="1100"/>
    <w:link w:val="1100"/>
    <w:uiPriority w:val="39"/>
    <w:qFormat/>
    <w:pPr>
      <w:ind w:left="840"/>
    </w:pPr>
  </w:style>
  <w:style w:type="paragraph" w:styleId="1140">
    <w:name w:val="纯文本"/>
    <w:basedOn w:val="1100"/>
    <w:next w:val="1140"/>
    <w:link w:val="1141"/>
    <w:uiPriority w:val="99"/>
    <w:qFormat/>
    <w:rPr>
      <w:rFonts w:hint="eastAsia" w:ascii="宋体" w:hAnsi="Courier New"/>
      <w:szCs w:val="20"/>
    </w:rPr>
  </w:style>
  <w:style w:type="character" w:styleId="1141">
    <w:name w:val="纯文本 字符2"/>
    <w:next w:val="1141"/>
    <w:link w:val="1140"/>
    <w:qFormat/>
    <w:rPr>
      <w:rFonts w:hint="eastAsia" w:ascii="宋体" w:hAnsi="Courier New" w:eastAsia="宋体" w:cs="宋体"/>
      <w:sz w:val="21"/>
    </w:rPr>
  </w:style>
  <w:style w:type="paragraph" w:styleId="1142">
    <w:name w:val="目录 8"/>
    <w:basedOn w:val="1100"/>
    <w:next w:val="1100"/>
    <w:link w:val="1100"/>
    <w:qFormat/>
    <w:pPr>
      <w:ind w:left="2940"/>
    </w:pPr>
  </w:style>
  <w:style w:type="paragraph" w:styleId="1143">
    <w:name w:val="日期"/>
    <w:basedOn w:val="1100"/>
    <w:next w:val="1100"/>
    <w:link w:val="1144"/>
    <w:qFormat/>
    <w:pPr>
      <w:ind w:left="100"/>
    </w:pPr>
    <w:rPr>
      <w:rFonts w:ascii="仿宋_GB2312" w:hAnsi="宋体" w:eastAsia="仿宋_GB2312"/>
      <w:color w:val="000000"/>
      <w:sz w:val="24"/>
    </w:rPr>
  </w:style>
  <w:style w:type="character" w:styleId="1144">
    <w:name w:val="日期 字符"/>
    <w:next w:val="1144"/>
    <w:link w:val="1143"/>
    <w:qFormat/>
    <w:rPr>
      <w:rFonts w:ascii="仿宋_GB2312" w:hAnsi="宋体" w:eastAsia="仿宋_GB2312"/>
      <w:color w:val="000000"/>
      <w:sz w:val="24"/>
      <w:szCs w:val="24"/>
    </w:rPr>
  </w:style>
  <w:style w:type="paragraph" w:styleId="1145">
    <w:name w:val="正文文本缩进 2"/>
    <w:basedOn w:val="1100"/>
    <w:next w:val="1145"/>
    <w:link w:val="1146"/>
    <w:qFormat/>
    <w:pPr>
      <w:ind w:firstLine="480"/>
    </w:pPr>
    <w:rPr>
      <w:rFonts w:ascii="仿宋_GB2312" w:eastAsia="仿宋_GB2312"/>
      <w:sz w:val="24"/>
    </w:rPr>
  </w:style>
  <w:style w:type="character" w:styleId="1146">
    <w:name w:val="正文文本缩进 2 字符"/>
    <w:next w:val="1146"/>
    <w:link w:val="1145"/>
    <w:qFormat/>
    <w:rPr>
      <w:rFonts w:ascii="仿宋_GB2312" w:eastAsia="仿宋_GB2312"/>
      <w:sz w:val="24"/>
      <w:szCs w:val="24"/>
    </w:rPr>
  </w:style>
  <w:style w:type="paragraph" w:styleId="1147">
    <w:name w:val="批注框文本"/>
    <w:basedOn w:val="1100"/>
    <w:next w:val="1147"/>
    <w:link w:val="1148"/>
    <w:qFormat/>
    <w:rPr>
      <w:sz w:val="18"/>
      <w:szCs w:val="18"/>
    </w:rPr>
  </w:style>
  <w:style w:type="character" w:styleId="1148">
    <w:name w:val="批注框文本 字符"/>
    <w:next w:val="1148"/>
    <w:link w:val="1147"/>
    <w:qFormat/>
    <w:rPr>
      <w:sz w:val="18"/>
      <w:szCs w:val="18"/>
    </w:rPr>
  </w:style>
  <w:style w:type="paragraph" w:styleId="1149">
    <w:name w:val="页脚"/>
    <w:basedOn w:val="1100"/>
    <w:next w:val="1149"/>
    <w:link w:val="1150"/>
    <w:uiPriority w:val="99"/>
    <w:qFormat/>
    <w:pPr>
      <w:jc w:val="left"/>
      <w:tabs>
        <w:tab w:val="center" w:pos="4153" w:leader="none"/>
        <w:tab w:val="right" w:pos="8306" w:leader="none"/>
      </w:tabs>
    </w:pPr>
    <w:rPr>
      <w:rFonts w:ascii="宋体"/>
      <w:sz w:val="18"/>
      <w:szCs w:val="20"/>
    </w:rPr>
  </w:style>
  <w:style w:type="character" w:styleId="1150">
    <w:name w:val="页脚 字符"/>
    <w:next w:val="1150"/>
    <w:link w:val="1149"/>
    <w:uiPriority w:val="99"/>
    <w:qFormat/>
    <w:rPr>
      <w:rFonts w:ascii="宋体" w:eastAsia="宋体"/>
      <w:sz w:val="18"/>
      <w:lang w:val="en-US" w:eastAsia="zh-CN" w:bidi="ar-SA"/>
    </w:rPr>
  </w:style>
  <w:style w:type="paragraph" w:styleId="1151">
    <w:name w:val="页眉"/>
    <w:basedOn w:val="1100"/>
    <w:next w:val="1151"/>
    <w:link w:val="1152"/>
    <w:qFormat/>
    <w:pPr>
      <w:jc w:val="center"/>
      <w:tabs>
        <w:tab w:val="center" w:pos="4153" w:leader="none"/>
        <w:tab w:val="right" w:pos="8306" w:leader="none"/>
      </w:tabs>
      <w:pBdr>
        <w:bottom w:val="single" w:color="000000" w:sz="6" w:space="1"/>
      </w:pBdr>
    </w:pPr>
    <w:rPr>
      <w:sz w:val="18"/>
      <w:szCs w:val="18"/>
    </w:rPr>
  </w:style>
  <w:style w:type="character" w:styleId="1152">
    <w:name w:val="页眉 字符"/>
    <w:next w:val="1152"/>
    <w:link w:val="1151"/>
    <w:qFormat/>
    <w:rPr>
      <w:rFonts w:eastAsia="宋体"/>
      <w:sz w:val="18"/>
      <w:szCs w:val="18"/>
      <w:lang w:val="en-US" w:eastAsia="zh-CN" w:bidi="ar-SA"/>
    </w:rPr>
  </w:style>
  <w:style w:type="paragraph" w:styleId="1153">
    <w:name w:val="目录 1"/>
    <w:basedOn w:val="1100"/>
    <w:next w:val="1100"/>
    <w:link w:val="1100"/>
    <w:uiPriority w:val="39"/>
    <w:qFormat/>
    <w:pPr>
      <w:spacing w:line="300" w:lineRule="auto"/>
      <w:tabs>
        <w:tab w:val="left" w:pos="1050" w:leader="none"/>
        <w:tab w:val="right" w:pos="8937" w:leader="dot"/>
      </w:tabs>
    </w:pPr>
    <w:rPr>
      <w:rFonts w:ascii="宋体" w:hAnsi="宋体"/>
      <w:b/>
      <w:sz w:val="24"/>
    </w:rPr>
  </w:style>
  <w:style w:type="paragraph" w:styleId="1154">
    <w:name w:val="目录 4"/>
    <w:basedOn w:val="1100"/>
    <w:next w:val="1100"/>
    <w:link w:val="1100"/>
    <w:qFormat/>
    <w:pPr>
      <w:ind w:left="1260"/>
    </w:pPr>
  </w:style>
  <w:style w:type="paragraph" w:styleId="1155">
    <w:name w:val="目录 6"/>
    <w:basedOn w:val="1100"/>
    <w:next w:val="1100"/>
    <w:link w:val="1100"/>
    <w:qFormat/>
    <w:pPr>
      <w:ind w:left="2100"/>
    </w:pPr>
  </w:style>
  <w:style w:type="paragraph" w:styleId="1156">
    <w:name w:val="正文文本缩进 3"/>
    <w:basedOn w:val="1100"/>
    <w:next w:val="1156"/>
    <w:link w:val="1157"/>
    <w:qFormat/>
    <w:pPr>
      <w:ind w:left="720" w:firstLine="480"/>
      <w:jc w:val="left"/>
      <w:spacing w:before="120" w:line="22" w:lineRule="atLeast"/>
    </w:pPr>
    <w:rPr>
      <w:rFonts w:ascii="宋体"/>
      <w:sz w:val="24"/>
      <w:szCs w:val="20"/>
    </w:rPr>
  </w:style>
  <w:style w:type="character" w:styleId="1157">
    <w:name w:val="正文文本缩进 3 字符"/>
    <w:next w:val="1157"/>
    <w:link w:val="1156"/>
    <w:qFormat/>
    <w:rPr>
      <w:rFonts w:ascii="宋体"/>
      <w:sz w:val="24"/>
    </w:rPr>
  </w:style>
  <w:style w:type="paragraph" w:styleId="1158">
    <w:name w:val="目录 2"/>
    <w:basedOn w:val="1100"/>
    <w:next w:val="1100"/>
    <w:link w:val="1100"/>
    <w:uiPriority w:val="39"/>
    <w:qFormat/>
    <w:pPr>
      <w:ind w:left="420"/>
      <w:spacing w:line="312" w:lineRule="auto"/>
      <w:tabs>
        <w:tab w:val="right" w:pos="8937" w:leader="dot"/>
      </w:tabs>
    </w:pPr>
  </w:style>
  <w:style w:type="paragraph" w:styleId="1159">
    <w:name w:val="目录 9"/>
    <w:basedOn w:val="1100"/>
    <w:next w:val="1100"/>
    <w:link w:val="1100"/>
    <w:qFormat/>
    <w:pPr>
      <w:ind w:left="3360"/>
    </w:pPr>
  </w:style>
  <w:style w:type="paragraph" w:styleId="1160">
    <w:name w:val="HTML 预设格式"/>
    <w:basedOn w:val="1100"/>
    <w:next w:val="1160"/>
    <w:link w:val="116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61">
    <w:name w:val="HTML 预设格式 字符"/>
    <w:next w:val="1161"/>
    <w:link w:val="1160"/>
    <w:qFormat/>
    <w:rPr>
      <w:rFonts w:ascii="宋体" w:hAnsi="宋体" w:cs="宋体"/>
      <w:sz w:val="24"/>
      <w:szCs w:val="24"/>
    </w:rPr>
  </w:style>
  <w:style w:type="paragraph" w:styleId="1162">
    <w:name w:val="普通(网站)"/>
    <w:basedOn w:val="1100"/>
    <w:next w:val="1162"/>
    <w:link w:val="1100"/>
    <w:uiPriority w:val="99"/>
    <w:unhideWhenUsed/>
    <w:qFormat/>
    <w:pPr>
      <w:jc w:val="left"/>
      <w:spacing w:before="100" w:beforeAutospacing="1" w:after="100" w:afterAutospacing="1"/>
      <w:widowControl/>
    </w:pPr>
    <w:rPr>
      <w:rFonts w:ascii="宋体" w:hAnsi="宋体" w:cs="宋体"/>
      <w:sz w:val="24"/>
    </w:rPr>
  </w:style>
  <w:style w:type="paragraph" w:styleId="1163">
    <w:name w:val="索引 1"/>
    <w:basedOn w:val="1100"/>
    <w:next w:val="1100"/>
    <w:link w:val="1100"/>
    <w:qFormat/>
    <w:rPr>
      <w:szCs w:val="20"/>
    </w:rPr>
  </w:style>
  <w:style w:type="paragraph" w:styleId="1164">
    <w:name w:val="标题"/>
    <w:basedOn w:val="1100"/>
    <w:next w:val="1164"/>
    <w:link w:val="1165"/>
    <w:qFormat/>
    <w:pPr>
      <w:jc w:val="center"/>
      <w:outlineLvl w:val="0"/>
    </w:pPr>
    <w:rPr>
      <w:b/>
      <w:sz w:val="32"/>
      <w:szCs w:val="20"/>
    </w:rPr>
  </w:style>
  <w:style w:type="character" w:styleId="1165">
    <w:name w:val="标题 字符"/>
    <w:next w:val="1165"/>
    <w:link w:val="1164"/>
    <w:qFormat/>
    <w:rPr>
      <w:b/>
      <w:sz w:val="32"/>
    </w:rPr>
  </w:style>
  <w:style w:type="paragraph" w:styleId="1166">
    <w:name w:val="批注主题"/>
    <w:basedOn w:val="1128"/>
    <w:next w:val="1128"/>
    <w:link w:val="1167"/>
    <w:qFormat/>
    <w:rPr>
      <w:b/>
      <w:bCs/>
    </w:rPr>
  </w:style>
  <w:style w:type="character" w:styleId="1167">
    <w:name w:val="批注主题 字符"/>
    <w:next w:val="1167"/>
    <w:link w:val="1166"/>
    <w:qFormat/>
    <w:rPr>
      <w:rFonts w:ascii="Times New Roman" w:hAnsi="Times New Roman" w:eastAsia="宋体" w:cs="Times New Roman"/>
      <w:b/>
      <w:bCs/>
      <w:sz w:val="21"/>
      <w:szCs w:val="24"/>
      <w:lang w:val="en-US" w:eastAsia="zh-CN" w:bidi="ar-SA"/>
    </w:rPr>
  </w:style>
  <w:style w:type="paragraph" w:styleId="1168">
    <w:name w:val="正文首行缩进 2"/>
    <w:basedOn w:val="1134"/>
    <w:next w:val="1168"/>
    <w:link w:val="1169"/>
    <w:qFormat/>
    <w:pPr>
      <w:ind w:left="420" w:firstLine="420"/>
      <w:spacing w:after="120" w:line="480" w:lineRule="exact"/>
    </w:pPr>
    <w:rPr>
      <w:szCs w:val="20"/>
    </w:rPr>
  </w:style>
  <w:style w:type="character" w:styleId="1169">
    <w:name w:val="正文首行缩进 2 字符"/>
    <w:next w:val="1169"/>
    <w:link w:val="1168"/>
    <w:qFormat/>
    <w:rPr>
      <w:rFonts w:eastAsia="宋体"/>
      <w:sz w:val="24"/>
      <w:szCs w:val="24"/>
      <w:lang w:val="en-US" w:eastAsia="zh-CN" w:bidi="ar-SA"/>
    </w:rPr>
  </w:style>
  <w:style w:type="table" w:styleId="1170">
    <w:name w:val="网格型"/>
    <w:basedOn w:val="1111"/>
    <w:next w:val="1170"/>
    <w:link w:val="1100"/>
    <w:uiPriority w:val="39"/>
    <w:qFormat/>
    <w:tblPr/>
  </w:style>
  <w:style w:type="table" w:styleId="1171">
    <w:name w:val="中等深浅网格 1 - 着色 2"/>
    <w:basedOn w:val="1111"/>
    <w:next w:val="1171"/>
    <w:link w:val="1100"/>
    <w:qFormat/>
    <w:rPr>
      <w:sz w:val="21"/>
      <w:szCs w:val="24"/>
    </w:rPr>
    <w:tblPr/>
  </w:style>
  <w:style w:type="character" w:styleId="1172">
    <w:name w:val="要点"/>
    <w:next w:val="1172"/>
    <w:link w:val="1100"/>
    <w:qFormat/>
    <w:rPr>
      <w:b/>
      <w:bCs/>
    </w:rPr>
  </w:style>
  <w:style w:type="character" w:styleId="1173">
    <w:name w:val="页码"/>
    <w:next w:val="1173"/>
    <w:link w:val="1100"/>
    <w:qFormat/>
  </w:style>
  <w:style w:type="character" w:styleId="1174">
    <w:name w:val="访问过的超链接"/>
    <w:next w:val="1174"/>
    <w:link w:val="1100"/>
    <w:qFormat/>
    <w:rPr>
      <w:color w:val="800080"/>
      <w:u w:val="single"/>
    </w:rPr>
  </w:style>
  <w:style w:type="character" w:styleId="1175">
    <w:name w:val="强调"/>
    <w:next w:val="1175"/>
    <w:link w:val="1100"/>
    <w:qFormat/>
    <w:rPr>
      <w:color w:val="cc0033"/>
    </w:rPr>
  </w:style>
  <w:style w:type="character" w:styleId="1176">
    <w:name w:val="超链接"/>
    <w:next w:val="1176"/>
    <w:link w:val="1100"/>
    <w:uiPriority w:val="99"/>
    <w:qFormat/>
    <w:rPr>
      <w:color w:val="0000ff"/>
      <w:u w:val="single"/>
    </w:rPr>
  </w:style>
  <w:style w:type="character" w:styleId="1177">
    <w:name w:val="批注引用"/>
    <w:next w:val="1177"/>
    <w:link w:val="1100"/>
    <w:qFormat/>
    <w:rPr>
      <w:sz w:val="21"/>
      <w:szCs w:val="21"/>
    </w:rPr>
  </w:style>
  <w:style w:type="character" w:styleId="1178">
    <w:name w:val="HTML 引文"/>
    <w:next w:val="1178"/>
    <w:link w:val="1100"/>
    <w:qFormat/>
    <w:rPr>
      <w:i/>
      <w:iCs/>
    </w:rPr>
  </w:style>
  <w:style w:type="character" w:styleId="1179">
    <w:name w:val="批注文字 字符"/>
    <w:next w:val="1179"/>
    <w:link w:val="1100"/>
    <w:uiPriority w:val="99"/>
    <w:qFormat/>
    <w:rPr>
      <w:rFonts w:ascii="Times New Roman" w:hAnsi="Times New Roman" w:eastAsia="宋体" w:cs="Times New Roman"/>
      <w:sz w:val="24"/>
      <w:lang w:val="en-US" w:eastAsia="zh-CN" w:bidi="ar-SA"/>
    </w:rPr>
  </w:style>
  <w:style w:type="character" w:styleId="1180">
    <w:name w:val="c21"/>
    <w:next w:val="1180"/>
    <w:link w:val="1100"/>
    <w:qFormat/>
    <w:rPr>
      <w:rFonts w:ascii="ˎ̥" w:hAnsi="ˎ̥"/>
      <w:color w:val="000000"/>
      <w:sz w:val="20"/>
      <w:szCs w:val="20"/>
      <w:u w:val="none"/>
    </w:rPr>
  </w:style>
  <w:style w:type="character" w:styleId="1181">
    <w:name w:val="title4"/>
    <w:next w:val="1181"/>
    <w:link w:val="1100"/>
    <w:qFormat/>
    <w:rPr>
      <w:b/>
      <w:bCs/>
      <w:color w:val="1d87b3"/>
      <w:sz w:val="15"/>
      <w:szCs w:val="15"/>
    </w:rPr>
  </w:style>
  <w:style w:type="character" w:styleId="1182">
    <w:name w:val="标题 2 Char Char"/>
    <w:next w:val="1182"/>
    <w:link w:val="1100"/>
    <w:qFormat/>
    <w:rPr>
      <w:rFonts w:ascii="Arial" w:hAnsi="Arial" w:eastAsia="黑体"/>
      <w:b/>
      <w:bCs/>
      <w:sz w:val="32"/>
      <w:szCs w:val="32"/>
      <w:lang w:val="en-US" w:eastAsia="zh-CN" w:bidi="ar-SA"/>
    </w:rPr>
  </w:style>
  <w:style w:type="character" w:styleId="1183">
    <w:name w:val="black1"/>
    <w:next w:val="1183"/>
    <w:link w:val="1100"/>
    <w:qFormat/>
    <w:rPr>
      <w:color w:val="000000"/>
    </w:rPr>
  </w:style>
  <w:style w:type="character" w:styleId="1184">
    <w:name w:val="street-address"/>
    <w:next w:val="1184"/>
    <w:link w:val="1100"/>
    <w:qFormat/>
  </w:style>
  <w:style w:type="character" w:styleId="1185">
    <w:name w:val="locality"/>
    <w:next w:val="1185"/>
    <w:link w:val="1100"/>
    <w:qFormat/>
  </w:style>
  <w:style w:type="character" w:styleId="1186">
    <w:name w:val="正文文本缩进 Char1"/>
    <w:next w:val="1186"/>
    <w:link w:val="1187"/>
    <w:qFormat/>
    <w:rPr>
      <w:rFonts w:ascii="宋体" w:hAnsi="宋体" w:eastAsia="宋体"/>
      <w:sz w:val="24"/>
      <w:szCs w:val="24"/>
      <w:lang w:bidi="ar-SA"/>
    </w:rPr>
  </w:style>
  <w:style w:type="paragraph" w:styleId="1187">
    <w:name w:val="正文文本缩进1"/>
    <w:basedOn w:val="1100"/>
    <w:next w:val="1187"/>
    <w:link w:val="1186"/>
    <w:qFormat/>
    <w:pPr>
      <w:ind w:firstLine="480"/>
      <w:spacing w:line="480" w:lineRule="exact"/>
    </w:pPr>
    <w:rPr>
      <w:rFonts w:ascii="宋体" w:hAnsi="宋体"/>
      <w:sz w:val="24"/>
    </w:rPr>
  </w:style>
  <w:style w:type="character" w:styleId="1188">
    <w:name w:val="Char Char11"/>
    <w:next w:val="1188"/>
    <w:link w:val="1100"/>
    <w:qFormat/>
    <w:rPr>
      <w:rFonts w:ascii="宋体" w:eastAsia="宋体"/>
      <w:b/>
      <w:sz w:val="24"/>
      <w:u w:val="single"/>
      <w:lang w:val="en-US" w:eastAsia="zh-CN" w:bidi="ar-SA"/>
    </w:rPr>
  </w:style>
  <w:style w:type="character" w:styleId="1189">
    <w:name w:val="txt"/>
    <w:next w:val="1189"/>
    <w:link w:val="1100"/>
    <w:qFormat/>
  </w:style>
  <w:style w:type="character" w:styleId="1190">
    <w:name w:val="正文缩进 Char Char"/>
    <w:next w:val="1190"/>
    <w:link w:val="1191"/>
    <w:qFormat/>
    <w:rPr>
      <w:rFonts w:ascii="宋体" w:eastAsia="宋体"/>
      <w:color w:val="000000"/>
      <w:sz w:val="28"/>
      <w:lang w:bidi="ar-SA"/>
    </w:rPr>
  </w:style>
  <w:style w:type="paragraph" w:styleId="1191">
    <w:name w:val="正文缩进1"/>
    <w:basedOn w:val="1100"/>
    <w:next w:val="1191"/>
    <w:link w:val="1190"/>
    <w:qFormat/>
    <w:pPr>
      <w:ind w:firstLine="567"/>
      <w:spacing w:line="480" w:lineRule="exact"/>
      <w:widowControl/>
    </w:pPr>
    <w:rPr>
      <w:rFonts w:ascii="宋体"/>
      <w:color w:val="000000"/>
      <w:sz w:val="28"/>
      <w:szCs w:val="20"/>
    </w:rPr>
  </w:style>
  <w:style w:type="character" w:styleId="1192">
    <w:name w:val="普通文字1 Char1"/>
    <w:next w:val="1192"/>
    <w:link w:val="1100"/>
    <w:qFormat/>
    <w:rPr>
      <w:rFonts w:ascii="宋体" w:hAnsi="Courier New" w:eastAsia="宋体"/>
      <w:sz w:val="21"/>
      <w:lang w:val="en-US" w:eastAsia="zh-CN" w:bidi="ar-SA"/>
    </w:rPr>
  </w:style>
  <w:style w:type="character" w:styleId="1193">
    <w:name w:val="chanpin1"/>
    <w:next w:val="1193"/>
    <w:link w:val="1100"/>
    <w:qFormat/>
    <w:rPr>
      <w:rFonts w:ascii="ˎ̥" w:hAnsi="ˎ̥"/>
      <w:color w:val="000000"/>
      <w:sz w:val="20"/>
      <w:szCs w:val="20"/>
      <w:u w:val="none"/>
    </w:rPr>
  </w:style>
  <w:style w:type="character" w:styleId="1194">
    <w:name w:val="列出段落 字符"/>
    <w:next w:val="1194"/>
    <w:link w:val="1195"/>
    <w:uiPriority w:val="34"/>
    <w:qFormat/>
    <w:rPr>
      <w:rFonts w:ascii="Calibri" w:hAnsi="Calibri" w:eastAsia="宋体"/>
      <w:sz w:val="21"/>
      <w:szCs w:val="22"/>
      <w:lang w:val="en-US" w:eastAsia="zh-CN" w:bidi="ar-SA"/>
    </w:rPr>
  </w:style>
  <w:style w:type="paragraph" w:styleId="1195">
    <w:name w:val="列出段落"/>
    <w:basedOn w:val="1100"/>
    <w:next w:val="1195"/>
    <w:link w:val="1194"/>
    <w:uiPriority w:val="34"/>
    <w:qFormat/>
    <w:pPr>
      <w:ind w:firstLine="420"/>
    </w:pPr>
    <w:rPr>
      <w:rFonts w:ascii="Calibri" w:hAnsi="Calibri"/>
      <w:szCs w:val="22"/>
    </w:rPr>
  </w:style>
  <w:style w:type="character" w:styleId="1196">
    <w:name w:val="标题 3 Char Char"/>
    <w:next w:val="1196"/>
    <w:link w:val="1100"/>
    <w:qFormat/>
    <w:rPr>
      <w:rFonts w:eastAsia="宋体"/>
      <w:b/>
      <w:bCs/>
      <w:sz w:val="32"/>
      <w:szCs w:val="32"/>
      <w:lang w:val="en-US" w:eastAsia="zh-CN" w:bidi="ar-SA"/>
    </w:rPr>
  </w:style>
  <w:style w:type="character" w:styleId="1197">
    <w:name w:val="段1 Char"/>
    <w:next w:val="1197"/>
    <w:link w:val="1100"/>
    <w:qFormat/>
    <w:rPr>
      <w:rFonts w:ascii="宋体" w:eastAsia="宋体"/>
      <w:sz w:val="24"/>
      <w:lang w:val="en-US" w:eastAsia="zh-CN" w:bidi="ar-SA"/>
    </w:rPr>
  </w:style>
  <w:style w:type="character" w:styleId="1198">
    <w:name w:val="chanpin拷贝"/>
    <w:next w:val="1198"/>
    <w:link w:val="1100"/>
    <w:qFormat/>
  </w:style>
  <w:style w:type="character" w:styleId="1199">
    <w:name w:val="纯文本 Char1"/>
    <w:next w:val="1199"/>
    <w:link w:val="1100"/>
    <w:uiPriority w:val="99"/>
    <w:qFormat/>
    <w:rPr>
      <w:rFonts w:ascii="宋体" w:hAnsi="Courier New" w:eastAsia="宋体"/>
      <w:sz w:val="21"/>
      <w:lang w:val="en-US" w:eastAsia="zh-CN" w:bidi="ar-SA"/>
    </w:rPr>
  </w:style>
  <w:style w:type="character" w:styleId="1200">
    <w:name w:val="apple-style-span"/>
    <w:next w:val="1200"/>
    <w:link w:val="1100"/>
    <w:qFormat/>
    <w:rPr>
      <w:rFonts w:cs="Times New Roman"/>
    </w:rPr>
  </w:style>
  <w:style w:type="paragraph" w:styleId="1201">
    <w:name w:val="二级条标题"/>
    <w:basedOn w:val="1202"/>
    <w:next w:val="1100"/>
    <w:link w:val="1100"/>
    <w:qFormat/>
    <w:pPr>
      <w:numPr>
        <w:ilvl w:val="0"/>
        <w:numId w:val="0"/>
      </w:numPr>
      <w:ind w:hanging="840"/>
      <w:tabs>
        <w:tab w:val="left" w:pos="360" w:leader="none"/>
        <w:tab w:val="left" w:pos="840" w:leader="none"/>
      </w:tabs>
      <w:outlineLvl w:val="2"/>
    </w:pPr>
    <w:rPr>
      <w:rFonts w:ascii="宋体" w:eastAsia="宋体"/>
      <w:b w:val="0"/>
    </w:rPr>
  </w:style>
  <w:style w:type="paragraph" w:styleId="1202">
    <w:name w:val="一级条标题"/>
    <w:basedOn w:val="1203"/>
    <w:next w:val="1100"/>
    <w:link w:val="1100"/>
    <w:qFormat/>
    <w:pPr>
      <w:numPr>
        <w:ilvl w:val="1"/>
      </w:numPr>
      <w:ind w:left="0" w:hanging="840"/>
      <w:tabs>
        <w:tab w:val="left" w:pos="360" w:leader="none"/>
        <w:tab w:val="left" w:pos="840" w:leader="none"/>
      </w:tabs>
      <w:outlineLvl w:val="1"/>
    </w:pPr>
  </w:style>
  <w:style w:type="paragraph" w:styleId="1203">
    <w:name w:val="章标题"/>
    <w:next w:val="1100"/>
    <w:link w:val="110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04">
    <w:name w:val="font7"/>
    <w:basedOn w:val="1100"/>
    <w:next w:val="1204"/>
    <w:link w:val="1100"/>
    <w:qFormat/>
    <w:pPr>
      <w:jc w:val="left"/>
      <w:spacing w:before="100" w:beforeAutospacing="1" w:after="100" w:afterAutospacing="1"/>
      <w:widowControl/>
    </w:pPr>
    <w:rPr>
      <w:rFonts w:eastAsia="Arial Unicode MS"/>
      <w:b/>
      <w:bCs/>
      <w:color w:val="000000"/>
      <w:sz w:val="20"/>
      <w:szCs w:val="20"/>
    </w:rPr>
  </w:style>
  <w:style w:type="paragraph" w:styleId="1205">
    <w:name w:val="字元 字元"/>
    <w:basedOn w:val="1100"/>
    <w:next w:val="1205"/>
    <w:link w:val="1100"/>
    <w:qFormat/>
    <w:rPr>
      <w:rFonts w:ascii="Tahoma" w:hAnsi="Tahoma"/>
      <w:sz w:val="24"/>
      <w:szCs w:val="20"/>
    </w:rPr>
  </w:style>
  <w:style w:type="paragraph" w:styleId="1206">
    <w:name w:val="Char3 Char Char Char"/>
    <w:basedOn w:val="1100"/>
    <w:next w:val="1206"/>
    <w:link w:val="1100"/>
    <w:qFormat/>
    <w:rPr>
      <w:rFonts w:ascii="Tahoma" w:hAnsi="Tahoma"/>
      <w:sz w:val="24"/>
      <w:szCs w:val="20"/>
    </w:rPr>
  </w:style>
  <w:style w:type="paragraph" w:styleId="1207">
    <w:name w:val="font6"/>
    <w:basedOn w:val="1100"/>
    <w:next w:val="1207"/>
    <w:link w:val="1100"/>
    <w:qFormat/>
    <w:pPr>
      <w:jc w:val="left"/>
      <w:spacing w:before="100" w:beforeAutospacing="1" w:after="100" w:afterAutospacing="1"/>
      <w:widowControl/>
    </w:pPr>
    <w:rPr>
      <w:rFonts w:ascii="宋体" w:hAnsi="宋体" w:cs="宋体"/>
      <w:sz w:val="20"/>
      <w:szCs w:val="20"/>
    </w:rPr>
  </w:style>
  <w:style w:type="paragraph" w:styleId="1208">
    <w:name w:val="项目编号2"/>
    <w:basedOn w:val="1209"/>
    <w:next w:val="1208"/>
    <w:link w:val="1100"/>
    <w:qFormat/>
    <w:pPr>
      <w:numPr>
        <w:numId w:val="3"/>
      </w:numPr>
    </w:pPr>
  </w:style>
  <w:style w:type="paragraph" w:styleId="1209">
    <w:name w:val="项目编号1"/>
    <w:basedOn w:val="1100"/>
    <w:next w:val="1209"/>
    <w:link w:val="1100"/>
    <w:qFormat/>
    <w:pPr>
      <w:numPr>
        <w:ilvl w:val="0"/>
        <w:numId w:val="2"/>
      </w:numPr>
      <w:spacing w:before="100" w:beforeAutospacing="1" w:after="100" w:afterAutospacing="1" w:line="360" w:lineRule="auto"/>
    </w:pPr>
    <w:rPr>
      <w:sz w:val="24"/>
    </w:rPr>
  </w:style>
  <w:style w:type="paragraph" w:styleId="1210">
    <w:name w:val="图中文字"/>
    <w:basedOn w:val="1100"/>
    <w:next w:val="1210"/>
    <w:link w:val="1100"/>
    <w:qFormat/>
    <w:pPr>
      <w:jc w:val="center"/>
      <w:spacing w:line="0" w:lineRule="atLeast"/>
    </w:pPr>
    <w:rPr>
      <w:sz w:val="24"/>
      <w:szCs w:val="20"/>
    </w:rPr>
  </w:style>
  <w:style w:type="paragraph" w:styleId="1211">
    <w:name w:val="xl46"/>
    <w:basedOn w:val="1100"/>
    <w:next w:val="1211"/>
    <w:link w:val="110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2">
    <w:name w:val="xl25"/>
    <w:basedOn w:val="1100"/>
    <w:next w:val="1212"/>
    <w:link w:val="11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3">
    <w:name w:val="Char2"/>
    <w:basedOn w:val="1100"/>
    <w:next w:val="1213"/>
    <w:link w:val="1100"/>
    <w:qFormat/>
    <w:rPr>
      <w:rFonts w:ascii="Tahoma" w:hAnsi="Tahoma"/>
      <w:sz w:val="24"/>
      <w:szCs w:val="20"/>
    </w:rPr>
  </w:style>
  <w:style w:type="paragraph" w:styleId="1214">
    <w:name w:val="xl35"/>
    <w:basedOn w:val="1100"/>
    <w:next w:val="1214"/>
    <w:link w:val="110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5">
    <w:name w:val="xl40"/>
    <w:basedOn w:val="1100"/>
    <w:next w:val="1215"/>
    <w:link w:val="11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6">
    <w:name w:val="xl52"/>
    <w:basedOn w:val="1100"/>
    <w:next w:val="1216"/>
    <w:link w:val="110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17">
    <w:name w:val="xl43"/>
    <w:basedOn w:val="1100"/>
    <w:next w:val="1217"/>
    <w:link w:val="110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8">
    <w:name w:val="background1"/>
    <w:basedOn w:val="1100"/>
    <w:next w:val="1218"/>
    <w:link w:val="1100"/>
    <w:qFormat/>
    <w:pPr>
      <w:jc w:val="left"/>
      <w:spacing w:before="100" w:beforeAutospacing="1" w:after="100" w:afterAutospacing="1"/>
      <w:widowControl/>
    </w:pPr>
    <w:rPr>
      <w:rFonts w:ascii="宋体" w:hAnsi="宋体" w:cs="宋体"/>
      <w:sz w:val="24"/>
    </w:rPr>
  </w:style>
  <w:style w:type="paragraph" w:styleId="1219">
    <w:name w:val="Char Char Char Char Char Char Char"/>
    <w:basedOn w:val="1100"/>
    <w:next w:val="1219"/>
    <w:link w:val="1100"/>
    <w:qFormat/>
    <w:pPr>
      <w:ind w:firstLine="200"/>
      <w:spacing w:line="360" w:lineRule="auto"/>
    </w:pPr>
    <w:rPr>
      <w:rFonts w:eastAsia="仿宋_GB2312"/>
      <w:sz w:val="24"/>
    </w:rPr>
  </w:style>
  <w:style w:type="paragraph" w:styleId="1220">
    <w:name w:val="xl38"/>
    <w:basedOn w:val="1100"/>
    <w:next w:val="1220"/>
    <w:link w:val="11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21">
    <w:name w:val="xl36"/>
    <w:basedOn w:val="1100"/>
    <w:next w:val="1221"/>
    <w:link w:val="110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2">
    <w:name w:val="正文 + 宋体"/>
    <w:basedOn w:val="1100"/>
    <w:next w:val="1222"/>
    <w:link w:val="1100"/>
    <w:qFormat/>
    <w:pPr>
      <w:ind w:left="360" w:hanging="360"/>
      <w:jc w:val="left"/>
      <w:widowControl/>
    </w:pPr>
    <w:rPr>
      <w:rFonts w:ascii="宋体" w:hAnsi="宋体" w:cs="宋体"/>
      <w:b/>
      <w:bCs/>
      <w:color w:val="000000"/>
      <w:sz w:val="18"/>
      <w:szCs w:val="18"/>
    </w:rPr>
  </w:style>
  <w:style w:type="paragraph" w:styleId="1223">
    <w:name w:val="正文列项_数字"/>
    <w:basedOn w:val="1100"/>
    <w:next w:val="1223"/>
    <w:link w:val="1100"/>
    <w:qFormat/>
    <w:pPr>
      <w:numPr>
        <w:ilvl w:val="7"/>
        <w:numId w:val="1"/>
      </w:numPr>
      <w:ind w:left="680" w:hanging="150"/>
      <w:spacing w:line="460" w:lineRule="exact"/>
      <w:tabs>
        <w:tab w:val="clear" w:pos="860" w:leader="none"/>
      </w:tabs>
      <w:outlineLvl w:val="7"/>
    </w:pPr>
    <w:rPr>
      <w:rFonts w:ascii="宋体"/>
      <w:sz w:val="28"/>
      <w:szCs w:val="20"/>
    </w:rPr>
  </w:style>
  <w:style w:type="paragraph" w:styleId="1224">
    <w:name w:val="xl39"/>
    <w:basedOn w:val="1100"/>
    <w:next w:val="1224"/>
    <w:link w:val="11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5">
    <w:name w:val="xl37"/>
    <w:basedOn w:val="1100"/>
    <w:next w:val="1225"/>
    <w:link w:val="110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6">
    <w:name w:val="xl32"/>
    <w:basedOn w:val="1100"/>
    <w:next w:val="1226"/>
    <w:link w:val="110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7">
    <w:name w:val="font8"/>
    <w:basedOn w:val="1100"/>
    <w:next w:val="1227"/>
    <w:link w:val="1100"/>
    <w:qFormat/>
    <w:pPr>
      <w:jc w:val="left"/>
      <w:spacing w:before="100" w:beforeAutospacing="1" w:after="100" w:afterAutospacing="1"/>
      <w:widowControl/>
    </w:pPr>
    <w:rPr>
      <w:sz w:val="36"/>
      <w:szCs w:val="36"/>
    </w:rPr>
  </w:style>
  <w:style w:type="paragraph" w:styleId="1228">
    <w:name w:val="Char"/>
    <w:basedOn w:val="1100"/>
    <w:next w:val="1228"/>
    <w:link w:val="1100"/>
    <w:qFormat/>
    <w:pPr>
      <w:tabs>
        <w:tab w:val="left" w:pos="360" w:leader="none"/>
      </w:tabs>
    </w:pPr>
    <w:rPr>
      <w:sz w:val="24"/>
    </w:rPr>
  </w:style>
  <w:style w:type="paragraph" w:styleId="1229">
    <w:name w:val="Char Char Char Char Char Char Char Char Char Char Char Char Char Char Char Char"/>
    <w:basedOn w:val="1100"/>
    <w:next w:val="1229"/>
    <w:link w:val="1100"/>
    <w:qFormat/>
    <w:pPr>
      <w:jc w:val="center"/>
      <w:spacing w:after="160" w:line="240" w:lineRule="exact"/>
      <w:widowControl/>
    </w:pPr>
    <w:rPr>
      <w:rFonts w:ascii="宋体" w:hAnsi="宋体"/>
      <w:b/>
      <w:sz w:val="30"/>
      <w:szCs w:val="30"/>
      <w:lang w:eastAsia="en-US"/>
    </w:rPr>
  </w:style>
  <w:style w:type="paragraph" w:styleId="1230">
    <w:name w:val="xl45"/>
    <w:basedOn w:val="1100"/>
    <w:next w:val="1230"/>
    <w:link w:val="110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1">
    <w:name w:val="Char Char1 Char Char Char Char Char Char"/>
    <w:basedOn w:val="1100"/>
    <w:next w:val="1231"/>
    <w:link w:val="1100"/>
    <w:qFormat/>
    <w:pPr>
      <w:jc w:val="left"/>
      <w:spacing w:after="160" w:line="240" w:lineRule="exact"/>
      <w:widowControl/>
    </w:pPr>
    <w:rPr>
      <w:rFonts w:ascii="Verdana" w:hAnsi="Verdana" w:eastAsia="仿宋_GB2312"/>
      <w:sz w:val="24"/>
      <w:szCs w:val="20"/>
      <w:lang w:eastAsia="en-US"/>
    </w:rPr>
  </w:style>
  <w:style w:type="paragraph" w:styleId="1232">
    <w:name w:val="Char Char1"/>
    <w:basedOn w:val="1126"/>
    <w:next w:val="1232"/>
    <w:link w:val="1100"/>
    <w:qFormat/>
    <w:rPr>
      <w:rFonts w:ascii="Tahoma" w:hAnsi="Tahoma"/>
      <w:sz w:val="24"/>
    </w:rPr>
  </w:style>
  <w:style w:type="paragraph" w:styleId="1233">
    <w:name w:val="xl26"/>
    <w:basedOn w:val="1100"/>
    <w:next w:val="1233"/>
    <w:link w:val="11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34">
    <w:name w:val="xl30"/>
    <w:basedOn w:val="1100"/>
    <w:next w:val="1234"/>
    <w:link w:val="11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5">
    <w:name w:val="xl41"/>
    <w:basedOn w:val="1100"/>
    <w:next w:val="1235"/>
    <w:link w:val="110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6">
    <w:name w:val="样式 宋体 五号 行距: 单倍行距"/>
    <w:basedOn w:val="1100"/>
    <w:next w:val="1236"/>
    <w:link w:val="1100"/>
    <w:qFormat/>
    <w:pPr>
      <w:jc w:val="left"/>
    </w:pPr>
    <w:rPr>
      <w:rFonts w:ascii="宋体" w:hAnsi="宋体"/>
      <w:szCs w:val="20"/>
    </w:rPr>
  </w:style>
  <w:style w:type="paragraph" w:styleId="1237">
    <w:name w:val="Char1 Char Char Char1"/>
    <w:basedOn w:val="1100"/>
    <w:next w:val="1237"/>
    <w:link w:val="1100"/>
    <w:qFormat/>
    <w:rPr>
      <w:rFonts w:ascii="Tahoma" w:hAnsi="Tahoma" w:cs="仿宋_GB2312"/>
      <w:sz w:val="24"/>
      <w:szCs w:val="28"/>
    </w:rPr>
  </w:style>
  <w:style w:type="paragraph" w:styleId="1238">
    <w:name w:val="四级条标题"/>
    <w:basedOn w:val="1239"/>
    <w:next w:val="1100"/>
    <w:link w:val="1100"/>
    <w:qFormat/>
    <w:pPr>
      <w:numPr>
        <w:ilvl w:val="4"/>
      </w:numPr>
      <w:ind w:left="0" w:hanging="840"/>
      <w:tabs>
        <w:tab w:val="left" w:pos="360" w:leader="none"/>
        <w:tab w:val="left" w:pos="840" w:leader="none"/>
      </w:tabs>
      <w:outlineLvl w:val="4"/>
    </w:pPr>
  </w:style>
  <w:style w:type="paragraph" w:styleId="1239">
    <w:name w:val="三级条标题"/>
    <w:basedOn w:val="1201"/>
    <w:next w:val="1100"/>
    <w:link w:val="1100"/>
    <w:qFormat/>
    <w:pPr>
      <w:numPr>
        <w:ilvl w:val="3"/>
        <w:numId w:val="1"/>
      </w:numPr>
      <w:ind w:left="0" w:hanging="840"/>
      <w:tabs>
        <w:tab w:val="left" w:pos="360" w:leader="none"/>
        <w:tab w:val="left" w:pos="840" w:leader="none"/>
      </w:tabs>
      <w:outlineLvl w:val="3"/>
    </w:pPr>
  </w:style>
  <w:style w:type="paragraph" w:styleId="1240">
    <w:name w:val="??"/>
    <w:next w:val="1240"/>
    <w:link w:val="1100"/>
    <w:qFormat/>
    <w:pPr>
      <w:jc w:val="both"/>
      <w:widowControl w:val="off"/>
    </w:pPr>
    <w:rPr>
      <w:sz w:val="21"/>
      <w:lang w:val="en-US" w:eastAsia="en-US" w:bidi="ar-SA"/>
    </w:rPr>
  </w:style>
  <w:style w:type="paragraph" w:styleId="1241">
    <w:name w:val="样式 标题 2 + 宋体 五号 行距: 单倍行距"/>
    <w:basedOn w:val="1102"/>
    <w:next w:val="1241"/>
    <w:link w:val="110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42">
    <w:name w:val="List Paragraph1"/>
    <w:basedOn w:val="1100"/>
    <w:next w:val="1242"/>
    <w:link w:val="1100"/>
    <w:qFormat/>
    <w:pPr>
      <w:ind w:firstLine="420"/>
    </w:pPr>
    <w:rPr>
      <w:rFonts w:ascii="Calibri" w:hAnsi="Calibri"/>
      <w:szCs w:val="22"/>
    </w:rPr>
  </w:style>
  <w:style w:type="paragraph" w:styleId="1243">
    <w:name w:val="项目符号1"/>
    <w:basedOn w:val="1244"/>
    <w:next w:val="1243"/>
    <w:link w:val="1100"/>
    <w:qFormat/>
    <w:pPr>
      <w:ind w:left="-25" w:firstLine="0"/>
    </w:pPr>
  </w:style>
  <w:style w:type="paragraph" w:styleId="1244">
    <w:name w:val="正文文本样式"/>
    <w:basedOn w:val="1100"/>
    <w:next w:val="1244"/>
    <w:link w:val="1100"/>
    <w:qFormat/>
    <w:pPr>
      <w:ind w:firstLine="482"/>
      <w:spacing w:line="360" w:lineRule="auto"/>
    </w:pPr>
    <w:rPr>
      <w:rFonts w:cs="宋体"/>
      <w:sz w:val="24"/>
      <w:szCs w:val="20"/>
    </w:rPr>
  </w:style>
  <w:style w:type="paragraph" w:styleId="1245">
    <w:name w:val="xl27"/>
    <w:basedOn w:val="1100"/>
    <w:next w:val="1245"/>
    <w:link w:val="11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6">
    <w:name w:val="font5"/>
    <w:basedOn w:val="1100"/>
    <w:next w:val="1246"/>
    <w:link w:val="1100"/>
    <w:qFormat/>
    <w:pPr>
      <w:jc w:val="left"/>
      <w:spacing w:before="100" w:beforeAutospacing="1" w:after="100" w:afterAutospacing="1"/>
      <w:widowControl/>
    </w:pPr>
    <w:rPr>
      <w:rFonts w:ascii="宋体" w:hAnsi="宋体" w:cs="宋体"/>
      <w:sz w:val="18"/>
      <w:szCs w:val="18"/>
    </w:rPr>
  </w:style>
  <w:style w:type="paragraph" w:styleId="1247">
    <w:name w:val="五级条标题"/>
    <w:basedOn w:val="1238"/>
    <w:next w:val="1100"/>
    <w:link w:val="1100"/>
    <w:qFormat/>
    <w:pPr>
      <w:numPr>
        <w:ilvl w:val="5"/>
      </w:numPr>
      <w:ind w:left="0" w:hanging="840"/>
      <w:tabs>
        <w:tab w:val="left" w:pos="360" w:leader="none"/>
        <w:tab w:val="left" w:pos="840" w:leader="none"/>
      </w:tabs>
      <w:outlineLvl w:val="5"/>
    </w:pPr>
  </w:style>
  <w:style w:type="paragraph" w:styleId="1248">
    <w:name w:val="xl49"/>
    <w:basedOn w:val="1100"/>
    <w:next w:val="1248"/>
    <w:link w:val="11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49">
    <w:name w:val="文档正文"/>
    <w:basedOn w:val="1100"/>
    <w:next w:val="1249"/>
    <w:link w:val="1100"/>
    <w:qFormat/>
    <w:pPr>
      <w:spacing w:before="120" w:after="120" w:line="180" w:lineRule="auto"/>
    </w:pPr>
    <w:rPr>
      <w:rFonts w:ascii="Arial" w:hAnsi="Arial"/>
      <w:szCs w:val="20"/>
    </w:rPr>
  </w:style>
  <w:style w:type="paragraph" w:styleId="1250">
    <w:name w:val="xl33"/>
    <w:basedOn w:val="1100"/>
    <w:next w:val="1250"/>
    <w:link w:val="11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1">
    <w:name w:val="xl42"/>
    <w:basedOn w:val="1100"/>
    <w:next w:val="1251"/>
    <w:link w:val="11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52">
    <w:name w:val="Char Char Char1 Char"/>
    <w:basedOn w:val="1100"/>
    <w:next w:val="1252"/>
    <w:link w:val="1100"/>
    <w:qFormat/>
    <w:rPr>
      <w:rFonts w:ascii="Tahoma" w:hAnsi="Tahoma"/>
      <w:sz w:val="24"/>
      <w:szCs w:val="20"/>
    </w:rPr>
  </w:style>
  <w:style w:type="paragraph" w:styleId="1253">
    <w:name w:val="xl44"/>
    <w:basedOn w:val="1100"/>
    <w:next w:val="1253"/>
    <w:link w:val="110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54">
    <w:name w:val="1名"/>
    <w:basedOn w:val="1100"/>
    <w:next w:val="1254"/>
    <w:link w:val="1100"/>
    <w:qFormat/>
    <w:pPr>
      <w:numPr>
        <w:ilvl w:val="0"/>
        <w:numId w:val="5"/>
      </w:numPr>
      <w:spacing w:before="120"/>
      <w:tabs>
        <w:tab w:val="left" w:pos="360" w:leader="none"/>
      </w:tabs>
    </w:pPr>
    <w:rPr>
      <w:rFonts w:ascii="宋体"/>
      <w:sz w:val="28"/>
      <w:szCs w:val="20"/>
    </w:rPr>
  </w:style>
  <w:style w:type="paragraph" w:styleId="1255">
    <w:name w:val="font9"/>
    <w:basedOn w:val="1100"/>
    <w:next w:val="1255"/>
    <w:link w:val="1100"/>
    <w:qFormat/>
    <w:pPr>
      <w:jc w:val="left"/>
      <w:spacing w:before="100" w:beforeAutospacing="1" w:after="100" w:afterAutospacing="1"/>
      <w:widowControl/>
    </w:pPr>
    <w:rPr>
      <w:rFonts w:hint="eastAsia" w:ascii="宋体" w:hAnsi="宋体" w:cs="Arial Unicode MS"/>
      <w:color w:val="000000"/>
      <w:sz w:val="20"/>
      <w:szCs w:val="20"/>
    </w:rPr>
  </w:style>
  <w:style w:type="paragraph" w:styleId="1256">
    <w:name w:val="Char Char Char1 Char1"/>
    <w:basedOn w:val="1100"/>
    <w:next w:val="1256"/>
    <w:link w:val="1100"/>
    <w:qFormat/>
    <w:rPr>
      <w:rFonts w:ascii="Tahoma" w:hAnsi="Tahoma"/>
      <w:sz w:val="24"/>
      <w:szCs w:val="20"/>
    </w:rPr>
  </w:style>
  <w:style w:type="paragraph" w:styleId="1257">
    <w:name w:val="Char Char Char Char Char Char Char Char Char Char"/>
    <w:basedOn w:val="1100"/>
    <w:next w:val="1257"/>
    <w:link w:val="1100"/>
    <w:qFormat/>
  </w:style>
  <w:style w:type="paragraph" w:styleId="1258">
    <w:name w:val="Char Char1 Char Char Char Char Char Char Char Char"/>
    <w:basedOn w:val="1100"/>
    <w:next w:val="1258"/>
    <w:link w:val="1100"/>
    <w:qFormat/>
    <w:pPr>
      <w:jc w:val="left"/>
      <w:spacing w:after="160" w:line="240" w:lineRule="exact"/>
      <w:widowControl/>
    </w:pPr>
    <w:rPr>
      <w:rFonts w:ascii="Verdana" w:hAnsi="Verdana"/>
      <w:sz w:val="20"/>
      <w:szCs w:val="20"/>
      <w:lang w:eastAsia="en-US"/>
    </w:rPr>
  </w:style>
  <w:style w:type="paragraph" w:styleId="1259">
    <w:name w:val="Char1"/>
    <w:basedOn w:val="1100"/>
    <w:next w:val="1259"/>
    <w:link w:val="1100"/>
    <w:qFormat/>
    <w:pPr>
      <w:tabs>
        <w:tab w:val="left" w:pos="360" w:leader="none"/>
      </w:tabs>
    </w:pPr>
    <w:rPr>
      <w:sz w:val="24"/>
    </w:rPr>
  </w:style>
  <w:style w:type="paragraph" w:styleId="1260">
    <w:name w:val="正文列项_字母"/>
    <w:basedOn w:val="1100"/>
    <w:next w:val="1260"/>
    <w:link w:val="1100"/>
    <w:qFormat/>
    <w:pPr>
      <w:numPr>
        <w:ilvl w:val="6"/>
        <w:numId w:val="1"/>
      </w:numPr>
      <w:ind w:left="480" w:hanging="180"/>
      <w:spacing w:line="460" w:lineRule="exact"/>
      <w:tabs>
        <w:tab w:val="clear" w:pos="635" w:leader="none"/>
      </w:tabs>
      <w:outlineLvl w:val="6"/>
    </w:pPr>
    <w:rPr>
      <w:rFonts w:ascii="宋体"/>
      <w:sz w:val="28"/>
      <w:szCs w:val="20"/>
    </w:rPr>
  </w:style>
  <w:style w:type="paragraph" w:styleId="1261">
    <w:name w:val="xl28"/>
    <w:basedOn w:val="1100"/>
    <w:next w:val="1261"/>
    <w:link w:val="11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2">
    <w:name w:val="xl47"/>
    <w:basedOn w:val="1100"/>
    <w:next w:val="1262"/>
    <w:link w:val="110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3">
    <w:name w:val="默认段落字体 Para Char Char Char Char"/>
    <w:basedOn w:val="1100"/>
    <w:next w:val="1263"/>
    <w:link w:val="1100"/>
    <w:qFormat/>
    <w:rPr>
      <w:rFonts w:ascii="Arial" w:hAnsi="Arial" w:cs="Arial"/>
      <w:szCs w:val="21"/>
    </w:rPr>
  </w:style>
  <w:style w:type="paragraph" w:styleId="1264">
    <w:name w:val="xl48"/>
    <w:basedOn w:val="1100"/>
    <w:next w:val="1264"/>
    <w:link w:val="11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65">
    <w:name w:val="xl31"/>
    <w:basedOn w:val="1100"/>
    <w:next w:val="1265"/>
    <w:link w:val="110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6">
    <w:name w:val="xl53"/>
    <w:basedOn w:val="1100"/>
    <w:next w:val="1266"/>
    <w:link w:val="11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7">
    <w:name w:val="Char Char Char"/>
    <w:basedOn w:val="1100"/>
    <w:next w:val="1267"/>
    <w:link w:val="1100"/>
    <w:qFormat/>
    <w:rPr>
      <w:rFonts w:ascii="Tahoma" w:hAnsi="Tahoma"/>
      <w:sz w:val="24"/>
      <w:szCs w:val="20"/>
    </w:rPr>
  </w:style>
  <w:style w:type="paragraph" w:styleId="1268">
    <w:name w:val="xl50"/>
    <w:basedOn w:val="1100"/>
    <w:next w:val="1268"/>
    <w:link w:val="11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69">
    <w:name w:val="缺省文本"/>
    <w:basedOn w:val="1100"/>
    <w:next w:val="1269"/>
    <w:link w:val="1100"/>
    <w:qFormat/>
    <w:pPr>
      <w:jc w:val="left"/>
    </w:pPr>
    <w:rPr>
      <w:sz w:val="24"/>
    </w:rPr>
  </w:style>
  <w:style w:type="paragraph" w:styleId="1270">
    <w:name w:val="Char Char Char1"/>
    <w:basedOn w:val="1100"/>
    <w:next w:val="1270"/>
    <w:link w:val="1100"/>
    <w:qFormat/>
    <w:rPr>
      <w:rFonts w:ascii="Tahoma" w:hAnsi="Tahoma"/>
      <w:sz w:val="24"/>
      <w:szCs w:val="20"/>
    </w:rPr>
  </w:style>
  <w:style w:type="paragraph" w:styleId="1271">
    <w:name w:val="Char Char Char Char Char Char Char1"/>
    <w:basedOn w:val="1100"/>
    <w:next w:val="1271"/>
    <w:link w:val="1100"/>
    <w:qFormat/>
    <w:pPr>
      <w:ind w:firstLine="200"/>
      <w:spacing w:line="360" w:lineRule="auto"/>
    </w:pPr>
    <w:rPr>
      <w:rFonts w:eastAsia="仿宋_GB2312"/>
      <w:sz w:val="24"/>
    </w:rPr>
  </w:style>
  <w:style w:type="paragraph" w:styleId="1272">
    <w:name w:val="xl51"/>
    <w:basedOn w:val="1100"/>
    <w:next w:val="1272"/>
    <w:link w:val="110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3">
    <w:name w:val="样式2"/>
    <w:basedOn w:val="1163"/>
    <w:next w:val="1273"/>
    <w:link w:val="1100"/>
    <w:qFormat/>
    <w:pPr>
      <w:jc w:val="center"/>
      <w:spacing w:line="360" w:lineRule="auto"/>
    </w:pPr>
    <w:rPr>
      <w:sz w:val="24"/>
    </w:rPr>
  </w:style>
  <w:style w:type="paragraph" w:styleId="1274">
    <w:name w:val="xl24"/>
    <w:basedOn w:val="1100"/>
    <w:next w:val="1274"/>
    <w:link w:val="11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5">
    <w:name w:val="xl29"/>
    <w:basedOn w:val="1100"/>
    <w:next w:val="1275"/>
    <w:link w:val="11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6">
    <w:name w:val="正文 + 楷体_GB2312"/>
    <w:basedOn w:val="1100"/>
    <w:next w:val="1276"/>
    <w:link w:val="1100"/>
    <w:qFormat/>
    <w:pPr>
      <w:jc w:val="left"/>
      <w:widowControl/>
    </w:pPr>
    <w:rPr>
      <w:rFonts w:ascii="楷体_GB2312" w:eastAsia="楷体_GB2312" w:cs="Arial"/>
      <w:sz w:val="24"/>
    </w:rPr>
  </w:style>
  <w:style w:type="paragraph" w:styleId="1277">
    <w:name w:val="xl34"/>
    <w:basedOn w:val="1100"/>
    <w:next w:val="1277"/>
    <w:link w:val="11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78">
    <w:name w:val="1 Char Char Char Char"/>
    <w:basedOn w:val="1100"/>
    <w:next w:val="1278"/>
    <w:link w:val="1100"/>
    <w:qFormat/>
    <w:rPr>
      <w:rFonts w:ascii="Tahoma" w:hAnsi="Tahoma"/>
      <w:sz w:val="24"/>
      <w:szCs w:val="20"/>
    </w:rPr>
  </w:style>
  <w:style w:type="paragraph" w:styleId="1279">
    <w:name w:val="Default"/>
    <w:next w:val="1279"/>
    <w:link w:val="1100"/>
    <w:qFormat/>
    <w:pPr>
      <w:widowControl w:val="off"/>
    </w:pPr>
    <w:rPr>
      <w:rFonts w:ascii="Symbol" w:hAnsi="Symbol" w:cs="Symbol"/>
      <w:color w:val="000000"/>
      <w:sz w:val="24"/>
      <w:szCs w:val="24"/>
      <w:lang w:val="en-US" w:eastAsia="zh-CN" w:bidi="ar-SA"/>
    </w:rPr>
  </w:style>
  <w:style w:type="paragraph" w:styleId="1280">
    <w:name w:val="列出段落1"/>
    <w:basedOn w:val="1100"/>
    <w:next w:val="1280"/>
    <w:link w:val="1100"/>
    <w:qFormat/>
    <w:pPr>
      <w:ind w:firstLine="420"/>
    </w:pPr>
    <w:rPr>
      <w:rFonts w:ascii="Calibri" w:hAnsi="Calibri"/>
      <w:szCs w:val="22"/>
    </w:rPr>
  </w:style>
  <w:style w:type="paragraph" w:styleId="1281">
    <w:name w:val="default"/>
    <w:basedOn w:val="1100"/>
    <w:next w:val="1281"/>
    <w:link w:val="1100"/>
    <w:qFormat/>
    <w:pPr>
      <w:jc w:val="left"/>
      <w:spacing w:before="100" w:beforeAutospacing="1" w:after="100" w:afterAutospacing="1"/>
      <w:widowControl/>
    </w:pPr>
    <w:rPr>
      <w:rFonts w:ascii="宋体" w:hAnsi="宋体" w:cs="宋体"/>
      <w:sz w:val="24"/>
    </w:rPr>
  </w:style>
  <w:style w:type="paragraph" w:styleId="1282">
    <w:name w:val="字元 字元1"/>
    <w:basedOn w:val="1100"/>
    <w:next w:val="1282"/>
    <w:link w:val="1100"/>
    <w:qFormat/>
    <w:rPr>
      <w:rFonts w:ascii="Tahoma" w:hAnsi="Tahoma"/>
      <w:sz w:val="24"/>
      <w:szCs w:val="20"/>
    </w:rPr>
  </w:style>
  <w:style w:type="paragraph" w:styleId="1283">
    <w:name w:val="_Style 160"/>
    <w:next w:val="1283"/>
    <w:link w:val="1100"/>
    <w:qFormat/>
    <w:rPr>
      <w:sz w:val="21"/>
      <w:szCs w:val="24"/>
      <w:lang w:val="en-US" w:eastAsia="zh-CN" w:bidi="ar-SA"/>
    </w:rPr>
  </w:style>
  <w:style w:type="paragraph" w:styleId="1284">
    <w:name w:val="项目编号3"/>
    <w:basedOn w:val="1244"/>
    <w:next w:val="1284"/>
    <w:link w:val="1100"/>
    <w:qFormat/>
    <w:pPr>
      <w:numPr>
        <w:ilvl w:val="0"/>
        <w:numId w:val="6"/>
      </w:numPr>
    </w:pPr>
  </w:style>
  <w:style w:type="paragraph" w:styleId="1285">
    <w:name w:val="Char21"/>
    <w:basedOn w:val="1100"/>
    <w:next w:val="1285"/>
    <w:link w:val="1100"/>
    <w:qFormat/>
    <w:rPr>
      <w:rFonts w:ascii="Tahoma" w:hAnsi="Tahoma"/>
      <w:sz w:val="24"/>
      <w:szCs w:val="20"/>
    </w:rPr>
  </w:style>
  <w:style w:type="paragraph" w:styleId="1286">
    <w:name w:val="表格文字"/>
    <w:basedOn w:val="1134"/>
    <w:next w:val="1286"/>
    <w:link w:val="1100"/>
    <w:qFormat/>
    <w:pPr>
      <w:ind w:firstLine="0"/>
      <w:spacing w:before="20" w:after="20" w:line="240" w:lineRule="auto"/>
    </w:pPr>
    <w:rPr>
      <w:rFonts w:ascii="Century Gothic" w:hAnsi="Century Gothic"/>
      <w:sz w:val="20"/>
      <w:szCs w:val="20"/>
    </w:rPr>
  </w:style>
  <w:style w:type="paragraph" w:styleId="1287">
    <w:name w:val="Char Char Char Char Char Char Char Char Char Char1"/>
    <w:basedOn w:val="1100"/>
    <w:next w:val="1287"/>
    <w:link w:val="1100"/>
    <w:qFormat/>
    <w:rPr>
      <w:rFonts w:ascii="宋体" w:hAnsi="宋体" w:cs="Courier New"/>
      <w:sz w:val="32"/>
      <w:szCs w:val="32"/>
    </w:rPr>
  </w:style>
  <w:style w:type="paragraph" w:styleId="1288">
    <w:name w:val="正文文本样式 加粗"/>
    <w:basedOn w:val="1244"/>
    <w:next w:val="1288"/>
    <w:link w:val="1100"/>
    <w:qFormat/>
    <w:rPr>
      <w:b/>
    </w:rPr>
  </w:style>
  <w:style w:type="paragraph" w:styleId="1289">
    <w:name w:val="Char2 Char Char Char Char Char Char"/>
    <w:basedOn w:val="1100"/>
    <w:next w:val="1289"/>
    <w:link w:val="1100"/>
    <w:qFormat/>
    <w:pPr>
      <w:jc w:val="center"/>
      <w:spacing w:line="400" w:lineRule="exact"/>
      <w:widowControl/>
    </w:pPr>
  </w:style>
  <w:style w:type="paragraph" w:styleId="1290">
    <w:name w:val="Char Char4"/>
    <w:basedOn w:val="1100"/>
    <w:next w:val="1290"/>
    <w:link w:val="1100"/>
    <w:qFormat/>
    <w:pPr>
      <w:jc w:val="center"/>
      <w:spacing w:line="400" w:lineRule="exact"/>
      <w:widowControl/>
    </w:pPr>
  </w:style>
  <w:style w:type="paragraph" w:styleId="1291">
    <w:name w:val="Char3 Char Char Char1"/>
    <w:basedOn w:val="1100"/>
    <w:next w:val="1291"/>
    <w:link w:val="1100"/>
    <w:qFormat/>
    <w:rPr>
      <w:rFonts w:ascii="Tahoma" w:hAnsi="Tahoma"/>
      <w:sz w:val="24"/>
      <w:szCs w:val="20"/>
    </w:rPr>
  </w:style>
  <w:style w:type="paragraph" w:styleId="1292">
    <w:name w:val="无间隔"/>
    <w:next w:val="1292"/>
    <w:link w:val="1100"/>
    <w:qFormat/>
    <w:pPr>
      <w:jc w:val="both"/>
      <w:widowControl w:val="off"/>
    </w:pPr>
    <w:rPr>
      <w:sz w:val="21"/>
      <w:szCs w:val="24"/>
      <w:lang w:val="en-US" w:eastAsia="zh-CN" w:bidi="ar-SA"/>
    </w:rPr>
  </w:style>
  <w:style w:type="paragraph" w:styleId="1293">
    <w:name w:val="22222222222222"/>
    <w:basedOn w:val="1100"/>
    <w:next w:val="1293"/>
    <w:link w:val="1100"/>
    <w:qFormat/>
    <w:pPr>
      <w:ind w:firstLine="480"/>
      <w:jc w:val="left"/>
      <w:spacing w:line="360" w:lineRule="auto"/>
      <w:widowControl/>
    </w:pPr>
    <w:rPr>
      <w:color w:val="ff0000"/>
      <w:sz w:val="24"/>
      <w:szCs w:val="20"/>
    </w:rPr>
  </w:style>
  <w:style w:type="character" w:styleId="1294">
    <w:name w:val="中等深浅网格 1 - 强调文字颜色 2 Char"/>
    <w:next w:val="1294"/>
    <w:link w:val="1295"/>
    <w:qFormat/>
    <w:rPr>
      <w:sz w:val="21"/>
      <w:szCs w:val="24"/>
      <w:lang w:val="zh-CN" w:eastAsia="zh-CN" w:bidi="ar-SA"/>
    </w:rPr>
  </w:style>
  <w:style w:type="paragraph" w:styleId="1295">
    <w:name w:val="1"/>
    <w:next w:val="1295"/>
    <w:link w:val="1294"/>
    <w:qFormat/>
    <w:rPr>
      <w:sz w:val="21"/>
      <w:szCs w:val="24"/>
      <w:lang w:val="zh-CN" w:eastAsia="zh-CN" w:bidi="ar-SA"/>
    </w:rPr>
  </w:style>
  <w:style w:type="paragraph" w:styleId="1296">
    <w:name w:val="图文"/>
    <w:basedOn w:val="1100"/>
    <w:next w:val="1296"/>
    <w:link w:val="1100"/>
    <w:qFormat/>
    <w:pPr>
      <w:spacing w:after="50" w:line="360" w:lineRule="auto"/>
    </w:pPr>
    <w:rPr>
      <w:sz w:val="24"/>
    </w:rPr>
  </w:style>
  <w:style w:type="paragraph" w:styleId="1297">
    <w:name w:val="xl23"/>
    <w:basedOn w:val="1100"/>
    <w:next w:val="1297"/>
    <w:link w:val="1100"/>
    <w:qFormat/>
    <w:pPr>
      <w:spacing w:before="100" w:beforeAutospacing="1" w:after="100" w:afterAutospacing="1" w:line="360" w:lineRule="auto"/>
      <w:widowControl/>
    </w:pPr>
    <w:rPr>
      <w:sz w:val="24"/>
      <w:szCs w:val="20"/>
    </w:rPr>
  </w:style>
  <w:style w:type="paragraph" w:styleId="1298">
    <w:name w:val="正文表格"/>
    <w:basedOn w:val="1100"/>
    <w:next w:val="1298"/>
    <w:link w:val="1299"/>
    <w:qFormat/>
    <w:pPr>
      <w:jc w:val="left"/>
    </w:pPr>
    <w:rPr>
      <w:rFonts w:ascii="宋体" w:hAnsi="宋体"/>
      <w:color w:val="000000"/>
      <w:szCs w:val="21"/>
    </w:rPr>
  </w:style>
  <w:style w:type="character" w:styleId="1299">
    <w:name w:val="正文表格 Char"/>
    <w:next w:val="1299"/>
    <w:link w:val="1298"/>
    <w:qFormat/>
    <w:rPr>
      <w:rFonts w:ascii="宋体" w:hAnsi="宋体"/>
      <w:color w:val="000000"/>
      <w:sz w:val="21"/>
      <w:szCs w:val="21"/>
    </w:rPr>
  </w:style>
  <w:style w:type="paragraph" w:styleId="1300">
    <w:name w:val="正文重点"/>
    <w:basedOn w:val="1100"/>
    <w:next w:val="1300"/>
    <w:link w:val="1301"/>
    <w:qFormat/>
    <w:pPr>
      <w:ind w:firstLine="482"/>
      <w:jc w:val="left"/>
      <w:spacing w:line="360" w:lineRule="auto"/>
    </w:pPr>
    <w:rPr>
      <w:b/>
      <w:sz w:val="24"/>
      <w:szCs w:val="20"/>
    </w:rPr>
  </w:style>
  <w:style w:type="character" w:styleId="1301">
    <w:name w:val="正文重点 Char"/>
    <w:next w:val="1301"/>
    <w:link w:val="1300"/>
    <w:qFormat/>
    <w:rPr>
      <w:b/>
      <w:sz w:val="24"/>
    </w:rPr>
  </w:style>
  <w:style w:type="paragraph" w:styleId="1302">
    <w:name w:val="标题1-附件"/>
    <w:basedOn w:val="1101"/>
    <w:next w:val="1302"/>
    <w:link w:val="1100"/>
    <w:qFormat/>
    <w:pPr>
      <w:jc w:val="left"/>
    </w:pPr>
    <w:rPr>
      <w:sz w:val="24"/>
      <w:szCs w:val="24"/>
    </w:rPr>
  </w:style>
  <w:style w:type="paragraph" w:styleId="1303">
    <w:name w:val="正文小标题"/>
    <w:basedOn w:val="1100"/>
    <w:next w:val="1115"/>
    <w:link w:val="1304"/>
    <w:qFormat/>
    <w:pPr>
      <w:ind w:firstLine="482"/>
      <w:jc w:val="left"/>
      <w:spacing w:before="312" w:after="312"/>
    </w:pPr>
    <w:rPr>
      <w:rFonts w:ascii="宋体" w:hAnsi="宋体"/>
      <w:b/>
      <w:i/>
      <w:color w:val="ff0000"/>
      <w:sz w:val="24"/>
      <w:szCs w:val="20"/>
    </w:rPr>
  </w:style>
  <w:style w:type="character" w:styleId="1304">
    <w:name w:val="正文小标题 Char"/>
    <w:next w:val="1304"/>
    <w:link w:val="1303"/>
    <w:qFormat/>
    <w:rPr>
      <w:rFonts w:ascii="宋体" w:hAnsi="宋体"/>
      <w:b/>
      <w:i/>
      <w:color w:val="ff0000"/>
      <w:sz w:val="24"/>
    </w:rPr>
  </w:style>
  <w:style w:type="paragraph" w:styleId="1305">
    <w:name w:val="正文大标题"/>
    <w:basedOn w:val="1303"/>
    <w:next w:val="1115"/>
    <w:link w:val="1306"/>
    <w:qFormat/>
    <w:pPr>
      <w:jc w:val="center"/>
    </w:pPr>
    <w:rPr>
      <w:i w:val="0"/>
      <w:color w:val="000000"/>
      <w:sz w:val="28"/>
      <w:szCs w:val="21"/>
    </w:rPr>
  </w:style>
  <w:style w:type="character" w:styleId="1306">
    <w:name w:val="正文大标题 Char"/>
    <w:next w:val="1306"/>
    <w:link w:val="1305"/>
    <w:qFormat/>
    <w:rPr>
      <w:rFonts w:ascii="宋体" w:hAnsi="宋体"/>
      <w:b/>
      <w:color w:val="000000"/>
      <w:sz w:val="28"/>
      <w:szCs w:val="21"/>
    </w:rPr>
  </w:style>
  <w:style w:type="paragraph" w:styleId="1307">
    <w:name w:val="注释"/>
    <w:basedOn w:val="1100"/>
    <w:next w:val="1307"/>
    <w:link w:val="1308"/>
    <w:qFormat/>
    <w:pPr>
      <w:ind w:left="420" w:hanging="420"/>
      <w:jc w:val="left"/>
    </w:pPr>
    <w:rPr>
      <w:rFonts w:ascii="宋体" w:hAnsi="宋体"/>
      <w:szCs w:val="21"/>
    </w:rPr>
  </w:style>
  <w:style w:type="character" w:styleId="1308">
    <w:name w:val="注释 Char"/>
    <w:next w:val="1308"/>
    <w:link w:val="1307"/>
    <w:qFormat/>
    <w:rPr>
      <w:rFonts w:ascii="宋体" w:hAnsi="宋体"/>
      <w:sz w:val="21"/>
      <w:szCs w:val="21"/>
    </w:rPr>
  </w:style>
  <w:style w:type="paragraph" w:styleId="1309">
    <w:name w:val="正文须知-1级"/>
    <w:basedOn w:val="1100"/>
    <w:next w:val="1100"/>
    <w:link w:val="1100"/>
    <w:qFormat/>
    <w:pPr>
      <w:numPr>
        <w:ilvl w:val="0"/>
        <w:numId w:val="7"/>
      </w:numPr>
      <w:spacing w:line="300" w:lineRule="auto"/>
    </w:pPr>
    <w:rPr>
      <w:rFonts w:ascii="宋体" w:hAnsi="Calibri"/>
      <w:sz w:val="24"/>
      <w:szCs w:val="21"/>
    </w:rPr>
  </w:style>
  <w:style w:type="paragraph" w:styleId="1310">
    <w:name w:val="正文须知-2级"/>
    <w:basedOn w:val="1100"/>
    <w:next w:val="1310"/>
    <w:link w:val="1100"/>
    <w:qFormat/>
    <w:pPr>
      <w:numPr>
        <w:ilvl w:val="1"/>
        <w:numId w:val="7"/>
      </w:numPr>
      <w:spacing w:line="300" w:lineRule="auto"/>
    </w:pPr>
    <w:rPr>
      <w:rFonts w:ascii="宋体" w:hAnsi="Calibri"/>
      <w:sz w:val="24"/>
      <w:szCs w:val="21"/>
    </w:rPr>
  </w:style>
  <w:style w:type="paragraph" w:styleId="1311">
    <w:name w:val="正文须知-3级"/>
    <w:basedOn w:val="1100"/>
    <w:next w:val="1311"/>
    <w:link w:val="1100"/>
    <w:qFormat/>
    <w:pPr>
      <w:numPr>
        <w:ilvl w:val="2"/>
        <w:numId w:val="7"/>
      </w:numPr>
      <w:ind w:hanging="355"/>
      <w:spacing w:line="300" w:lineRule="auto"/>
    </w:pPr>
    <w:rPr>
      <w:rFonts w:ascii="宋体" w:hAnsi="Calibri"/>
      <w:sz w:val="24"/>
      <w:szCs w:val="21"/>
    </w:rPr>
  </w:style>
  <w:style w:type="character" w:styleId="1312">
    <w:name w:val="纯文本 字符"/>
    <w:next w:val="1312"/>
    <w:link w:val="1100"/>
    <w:uiPriority w:val="99"/>
    <w:qFormat/>
    <w:rPr>
      <w:rFonts w:ascii="宋体" w:hAnsi="Courier New" w:eastAsia="宋体" w:cs="Times New Roman"/>
      <w:sz w:val="21"/>
      <w:szCs w:val="21"/>
      <w:lang w:val="en-US" w:eastAsia="zh-CN" w:bidi="ar-SA"/>
    </w:rPr>
  </w:style>
  <w:style w:type="paragraph" w:styleId="1313">
    <w:name w:val="表格1"/>
    <w:basedOn w:val="1100"/>
    <w:next w:val="1313"/>
    <w:link w:val="1100"/>
    <w:qFormat/>
    <w:pPr>
      <w:ind w:firstLine="480"/>
      <w:jc w:val="center"/>
    </w:pPr>
    <w:rPr>
      <w:sz w:val="24"/>
      <w:szCs w:val="20"/>
    </w:rPr>
  </w:style>
  <w:style w:type="character" w:styleId="1314">
    <w:name w:val="纯文本 字符1"/>
    <w:next w:val="1314"/>
    <w:link w:val="1100"/>
    <w:qFormat/>
    <w:rPr>
      <w:rFonts w:ascii="宋体" w:hAnsi="Courier New"/>
    </w:rPr>
  </w:style>
  <w:style w:type="character" w:styleId="1315">
    <w:name w:val="bjh-p"/>
    <w:next w:val="1315"/>
    <w:link w:val="1100"/>
    <w:qFormat/>
  </w:style>
  <w:style w:type="paragraph" w:styleId="1316">
    <w:name w:val="无标题条"/>
    <w:next w:val="1100"/>
    <w:link w:val="1100"/>
    <w:qFormat/>
    <w:pPr>
      <w:jc w:val="both"/>
    </w:pPr>
    <w:rPr>
      <w:sz w:val="21"/>
      <w:lang w:val="en-US" w:eastAsia="zh-CN" w:bidi="ar-SA"/>
    </w:rPr>
  </w:style>
  <w:style w:type="character" w:styleId="1317">
    <w:name w:val="正文格式 Char"/>
    <w:next w:val="1317"/>
    <w:link w:val="1318"/>
    <w:qFormat/>
    <w:rPr>
      <w:rFonts w:ascii="宋体" w:hAnsi="宋体"/>
      <w:sz w:val="24"/>
      <w:szCs w:val="24"/>
      <w:lang w:val="en-GB"/>
    </w:rPr>
  </w:style>
  <w:style w:type="paragraph" w:styleId="1318">
    <w:name w:val="正文格式"/>
    <w:basedOn w:val="1100"/>
    <w:next w:val="1318"/>
    <w:link w:val="1317"/>
    <w:qFormat/>
    <w:pPr>
      <w:ind w:firstLine="480"/>
      <w:spacing w:line="360" w:lineRule="auto"/>
    </w:pPr>
    <w:rPr>
      <w:rFonts w:ascii="宋体" w:hAnsi="宋体"/>
      <w:sz w:val="24"/>
      <w:lang w:val="en-GB"/>
    </w:rPr>
  </w:style>
  <w:style w:type="character" w:styleId="1319">
    <w:name w:val="标题 3 Char"/>
    <w:next w:val="1319"/>
    <w:link w:val="1100"/>
    <w:qFormat/>
    <w:rPr>
      <w:rFonts w:ascii="宋体" w:eastAsia="宋体"/>
      <w:b/>
      <w:sz w:val="24"/>
      <w:u w:val="single"/>
      <w:lang w:val="en-US" w:eastAsia="zh-CN" w:bidi="ar-SA"/>
    </w:rPr>
  </w:style>
  <w:style w:type="character" w:styleId="1320">
    <w:name w:val="正文缩进 Char"/>
    <w:next w:val="1320"/>
    <w:link w:val="1100"/>
    <w:qFormat/>
    <w:rPr>
      <w:rFonts w:ascii="宋体" w:eastAsia="宋体"/>
      <w:sz w:val="24"/>
      <w:szCs w:val="24"/>
      <w:lang w:val="en-US" w:eastAsia="zh-CN" w:bidi="ar-SA"/>
    </w:rPr>
  </w:style>
  <w:style w:type="character" w:styleId="1321">
    <w:name w:val="Char Char111"/>
    <w:next w:val="1321"/>
    <w:link w:val="1100"/>
    <w:qFormat/>
    <w:rPr>
      <w:rFonts w:ascii="宋体" w:eastAsia="宋体"/>
      <w:b/>
      <w:sz w:val="24"/>
      <w:u w:val="single"/>
      <w:lang w:val="en-US" w:eastAsia="zh-CN" w:bidi="ar-SA"/>
    </w:rPr>
  </w:style>
  <w:style w:type="character" w:styleId="1322">
    <w:name w:val="正文文本缩进 Char"/>
    <w:next w:val="1322"/>
    <w:link w:val="1100"/>
    <w:qFormat/>
    <w:rPr>
      <w:rFonts w:eastAsia="宋体"/>
      <w:sz w:val="24"/>
      <w:szCs w:val="24"/>
      <w:lang w:val="en-US" w:eastAsia="zh-CN" w:bidi="ar-SA"/>
    </w:rPr>
  </w:style>
  <w:style w:type="character" w:styleId="1323">
    <w:name w:val="列出段落 Char"/>
    <w:next w:val="1323"/>
    <w:link w:val="1100"/>
    <w:qFormat/>
    <w:rPr>
      <w:rFonts w:ascii="Calibri" w:hAnsi="Calibri" w:eastAsia="宋体"/>
      <w:sz w:val="21"/>
      <w:szCs w:val="22"/>
      <w:lang w:val="en-US" w:eastAsia="zh-CN" w:bidi="ar-SA"/>
    </w:rPr>
  </w:style>
  <w:style w:type="character" w:styleId="1324">
    <w:name w:val="页眉 Char"/>
    <w:next w:val="1324"/>
    <w:link w:val="1100"/>
    <w:qFormat/>
    <w:rPr>
      <w:rFonts w:eastAsia="宋体"/>
      <w:sz w:val="18"/>
      <w:szCs w:val="18"/>
      <w:lang w:val="en-US" w:eastAsia="zh-CN" w:bidi="ar-SA"/>
    </w:rPr>
  </w:style>
  <w:style w:type="character" w:styleId="1325">
    <w:name w:val="标题 2 Char"/>
    <w:next w:val="1325"/>
    <w:link w:val="1100"/>
    <w:qFormat/>
    <w:rPr>
      <w:rFonts w:ascii="Arial" w:hAnsi="Arial" w:eastAsia="黑体"/>
      <w:b/>
      <w:sz w:val="30"/>
      <w:lang w:val="en-US" w:eastAsia="zh-CN" w:bidi="ar-SA"/>
    </w:rPr>
  </w:style>
  <w:style w:type="paragraph" w:styleId="1326">
    <w:name w:val="字元 字元2"/>
    <w:basedOn w:val="1100"/>
    <w:next w:val="1326"/>
    <w:link w:val="1100"/>
    <w:qFormat/>
    <w:rPr>
      <w:rFonts w:ascii="Tahoma" w:hAnsi="Tahoma"/>
      <w:sz w:val="24"/>
      <w:szCs w:val="20"/>
    </w:rPr>
  </w:style>
  <w:style w:type="paragraph" w:styleId="1327">
    <w:name w:val="Char3 Char Char Char2"/>
    <w:basedOn w:val="1100"/>
    <w:next w:val="1327"/>
    <w:link w:val="1100"/>
    <w:qFormat/>
    <w:rPr>
      <w:rFonts w:ascii="Tahoma" w:hAnsi="Tahoma"/>
      <w:sz w:val="24"/>
      <w:szCs w:val="20"/>
    </w:rPr>
  </w:style>
  <w:style w:type="paragraph" w:styleId="1328">
    <w:name w:val="正文文本缩进2"/>
    <w:basedOn w:val="1100"/>
    <w:next w:val="1328"/>
    <w:link w:val="1100"/>
    <w:qFormat/>
    <w:pPr>
      <w:ind w:firstLine="480"/>
      <w:spacing w:line="480" w:lineRule="exact"/>
    </w:pPr>
    <w:rPr>
      <w:rFonts w:ascii="宋体" w:hAnsi="宋体"/>
      <w:sz w:val="24"/>
      <w:lang w:val="zh-CN" w:eastAsia="zh-CN"/>
    </w:rPr>
  </w:style>
  <w:style w:type="paragraph" w:styleId="1329">
    <w:name w:val="Char3"/>
    <w:basedOn w:val="1100"/>
    <w:next w:val="1329"/>
    <w:link w:val="1100"/>
    <w:qFormat/>
    <w:pPr>
      <w:tabs>
        <w:tab w:val="left" w:pos="360" w:leader="none"/>
      </w:tabs>
    </w:pPr>
    <w:rPr>
      <w:sz w:val="24"/>
    </w:rPr>
  </w:style>
  <w:style w:type="paragraph" w:styleId="1330">
    <w:name w:val="Char Char Char Char Char Char Char Char Char Char Char Char Char Char Char Char1"/>
    <w:basedOn w:val="1100"/>
    <w:next w:val="1330"/>
    <w:link w:val="1100"/>
    <w:qFormat/>
    <w:pPr>
      <w:jc w:val="center"/>
      <w:spacing w:after="160" w:line="240" w:lineRule="exact"/>
      <w:widowControl/>
    </w:pPr>
    <w:rPr>
      <w:rFonts w:ascii="宋体" w:hAnsi="宋体"/>
      <w:b/>
      <w:sz w:val="30"/>
      <w:szCs w:val="30"/>
      <w:lang w:eastAsia="en-US"/>
    </w:rPr>
  </w:style>
  <w:style w:type="paragraph" w:styleId="1331">
    <w:name w:val="Char Char1 Char Char Char Char Char Char1"/>
    <w:basedOn w:val="1100"/>
    <w:next w:val="1331"/>
    <w:link w:val="1100"/>
    <w:qFormat/>
    <w:pPr>
      <w:jc w:val="left"/>
      <w:spacing w:after="160" w:line="240" w:lineRule="exact"/>
      <w:widowControl/>
    </w:pPr>
    <w:rPr>
      <w:rFonts w:ascii="Verdana" w:hAnsi="Verdana" w:eastAsia="仿宋_GB2312"/>
      <w:sz w:val="24"/>
      <w:szCs w:val="20"/>
      <w:lang w:eastAsia="en-US"/>
    </w:rPr>
  </w:style>
  <w:style w:type="paragraph" w:styleId="1332">
    <w:name w:val="列出段落2"/>
    <w:basedOn w:val="1100"/>
    <w:next w:val="1332"/>
    <w:link w:val="1100"/>
    <w:qFormat/>
    <w:pPr>
      <w:ind w:firstLine="420"/>
    </w:pPr>
    <w:rPr>
      <w:rFonts w:ascii="Calibri" w:hAnsi="Calibri"/>
      <w:szCs w:val="22"/>
    </w:rPr>
  </w:style>
  <w:style w:type="paragraph" w:styleId="1333">
    <w:name w:val="Char Char Char1 Char2"/>
    <w:basedOn w:val="1100"/>
    <w:next w:val="1333"/>
    <w:link w:val="1100"/>
    <w:qFormat/>
    <w:rPr>
      <w:rFonts w:ascii="Tahoma" w:hAnsi="Tahoma"/>
      <w:sz w:val="24"/>
      <w:szCs w:val="20"/>
    </w:rPr>
  </w:style>
  <w:style w:type="paragraph" w:styleId="1334">
    <w:name w:val="Char Char Char2"/>
    <w:basedOn w:val="1100"/>
    <w:next w:val="1334"/>
    <w:link w:val="1100"/>
    <w:qFormat/>
    <w:rPr>
      <w:rFonts w:ascii="Tahoma" w:hAnsi="Tahoma"/>
      <w:sz w:val="24"/>
      <w:szCs w:val="20"/>
    </w:rPr>
  </w:style>
  <w:style w:type="paragraph" w:styleId="1335">
    <w:name w:val="Char Char Char Char Char Char Char2"/>
    <w:basedOn w:val="1100"/>
    <w:next w:val="1335"/>
    <w:link w:val="1100"/>
    <w:qFormat/>
    <w:pPr>
      <w:ind w:firstLine="200"/>
      <w:spacing w:line="360" w:lineRule="auto"/>
    </w:pPr>
    <w:rPr>
      <w:rFonts w:eastAsia="仿宋_GB2312"/>
      <w:sz w:val="24"/>
    </w:rPr>
  </w:style>
  <w:style w:type="paragraph" w:styleId="1336">
    <w:name w:val="正文缩进2"/>
    <w:basedOn w:val="1100"/>
    <w:next w:val="1336"/>
    <w:link w:val="1100"/>
    <w:qFormat/>
    <w:pPr>
      <w:ind w:firstLine="567"/>
      <w:spacing w:line="480" w:lineRule="exact"/>
      <w:widowControl/>
    </w:pPr>
    <w:rPr>
      <w:rFonts w:ascii="宋体"/>
      <w:color w:val="000000"/>
      <w:sz w:val="28"/>
      <w:szCs w:val="20"/>
      <w:lang w:val="zh-CN" w:eastAsia="zh-CN"/>
    </w:rPr>
  </w:style>
  <w:style w:type="paragraph" w:styleId="1337">
    <w:name w:val="Revision"/>
    <w:next w:val="1337"/>
    <w:link w:val="1100"/>
    <w:qFormat/>
    <w:rPr>
      <w:sz w:val="21"/>
      <w:szCs w:val="24"/>
      <w:lang w:val="en-US" w:eastAsia="zh-CN" w:bidi="ar-SA"/>
    </w:rPr>
  </w:style>
  <w:style w:type="paragraph" w:styleId="1338">
    <w:name w:val="Char22"/>
    <w:basedOn w:val="1100"/>
    <w:next w:val="1338"/>
    <w:link w:val="1100"/>
    <w:qFormat/>
    <w:rPr>
      <w:rFonts w:ascii="Tahoma" w:hAnsi="Tahoma"/>
      <w:sz w:val="24"/>
      <w:szCs w:val="20"/>
    </w:rPr>
  </w:style>
  <w:style w:type="paragraph" w:styleId="1339">
    <w:name w:val="Char Char Char Char Char Char Char Char Char Char2"/>
    <w:basedOn w:val="1100"/>
    <w:next w:val="1339"/>
    <w:link w:val="1100"/>
    <w:qFormat/>
    <w:rPr>
      <w:rFonts w:ascii="宋体" w:hAnsi="宋体" w:cs="Courier New"/>
      <w:sz w:val="32"/>
      <w:szCs w:val="32"/>
    </w:rPr>
  </w:style>
  <w:style w:type="paragraph" w:styleId="1340">
    <w:name w:val="Char2 Char Char Char Char Char Char1"/>
    <w:basedOn w:val="1100"/>
    <w:next w:val="1340"/>
    <w:link w:val="1100"/>
    <w:qFormat/>
    <w:pPr>
      <w:jc w:val="center"/>
      <w:spacing w:line="400" w:lineRule="exact"/>
      <w:widowControl/>
    </w:pPr>
  </w:style>
  <w:style w:type="character" w:styleId="1341">
    <w:name w:val="页脚 Char"/>
    <w:next w:val="1341"/>
    <w:link w:val="1100"/>
    <w:qFormat/>
    <w:rPr>
      <w:rFonts w:ascii="宋体" w:eastAsia="宋体"/>
      <w:sz w:val="18"/>
      <w:lang w:val="en-US" w:eastAsia="zh-CN" w:bidi="ar-SA"/>
    </w:rPr>
  </w:style>
  <w:style w:type="paragraph" w:styleId="1342">
    <w:name w:val="Char Char41"/>
    <w:basedOn w:val="1100"/>
    <w:next w:val="1342"/>
    <w:link w:val="1100"/>
    <w:qFormat/>
    <w:pPr>
      <w:jc w:val="center"/>
      <w:spacing w:line="400" w:lineRule="exact"/>
      <w:widowControl/>
    </w:pPr>
  </w:style>
  <w:style w:type="character" w:styleId="1343">
    <w:name w:val="批注文字 Char"/>
    <w:next w:val="1343"/>
    <w:link w:val="1100"/>
    <w:uiPriority w:val="99"/>
    <w:qFormat/>
    <w:rPr>
      <w:sz w:val="21"/>
      <w:szCs w:val="24"/>
    </w:rPr>
  </w:style>
  <w:style w:type="character" w:styleId="1344">
    <w:name w:val="标题 Char"/>
    <w:next w:val="1344"/>
    <w:link w:val="1100"/>
    <w:qFormat/>
    <w:rPr>
      <w:b/>
      <w:sz w:val="32"/>
    </w:rPr>
  </w:style>
  <w:style w:type="paragraph" w:styleId="1345">
    <w:name w:val="图例"/>
    <w:basedOn w:val="1100"/>
    <w:next w:val="1345"/>
    <w:link w:val="1100"/>
    <w:qFormat/>
    <w:pPr>
      <w:jc w:val="center"/>
      <w:spacing w:before="120" w:after="120" w:line="360" w:lineRule="auto"/>
    </w:pPr>
    <w:rPr>
      <w:rFonts w:eastAsia="仿宋_GB2312"/>
      <w:b/>
      <w:sz w:val="24"/>
      <w:szCs w:val="20"/>
    </w:rPr>
  </w:style>
  <w:style w:type="table" w:styleId="1346">
    <w:name w:val="Table Normal"/>
    <w:next w:val="1346"/>
    <w:link w:val="1100"/>
    <w:uiPriority w:val="2"/>
    <w:unhideWhenUsed/>
    <w:qFormat/>
    <w:pPr>
      <w:widowControl w:val="off"/>
    </w:pPr>
    <w:rPr>
      <w:rFonts w:ascii="Calibri" w:hAnsi="Calibri"/>
      <w:sz w:val="22"/>
      <w:szCs w:val="22"/>
      <w:lang w:val="en-US" w:eastAsia="en-US" w:bidi="ar-SA"/>
    </w:rPr>
    <w:tblPr/>
  </w:style>
  <w:style w:type="paragraph" w:styleId="1347">
    <w:name w:val="Table Paragraph"/>
    <w:basedOn w:val="1100"/>
    <w:next w:val="1347"/>
    <w:link w:val="1100"/>
    <w:uiPriority w:val="1"/>
    <w:qFormat/>
    <w:pPr>
      <w:jc w:val="left"/>
    </w:pPr>
    <w:rPr>
      <w:rFonts w:ascii="宋体" w:hAnsi="宋体" w:cs="宋体"/>
      <w:sz w:val="22"/>
      <w:szCs w:val="22"/>
      <w:lang w:eastAsia="en-US"/>
    </w:rPr>
  </w:style>
  <w:style w:type="paragraph" w:styleId="1348">
    <w:name w:val="成文日期"/>
    <w:basedOn w:val="1100"/>
    <w:next w:val="1348"/>
    <w:link w:val="1349"/>
    <w:qFormat/>
    <w:pPr>
      <w:ind w:right="400" w:firstLine="200"/>
      <w:jc w:val="right"/>
      <w:spacing w:line="570" w:lineRule="exact"/>
    </w:pPr>
    <w:rPr>
      <w:rFonts w:ascii="仿宋_GB2312" w:eastAsia="仿宋_GB2312"/>
      <w:sz w:val="32"/>
      <w:szCs w:val="20"/>
    </w:rPr>
  </w:style>
  <w:style w:type="character" w:styleId="1349">
    <w:name w:val="成文日期 Char"/>
    <w:next w:val="1349"/>
    <w:link w:val="1348"/>
    <w:rPr>
      <w:rFonts w:ascii="仿宋_GB2312" w:eastAsia="仿宋_GB2312"/>
      <w:sz w:val="32"/>
    </w:rPr>
  </w:style>
  <w:style w:type="paragraph" w:styleId="1350">
    <w:name w:val="修订"/>
    <w:next w:val="1350"/>
    <w:link w:val="1100"/>
    <w:uiPriority w:val="99"/>
    <w:unhideWhenUsed/>
    <w:rPr>
      <w:sz w:val="21"/>
      <w:szCs w:val="24"/>
      <w:lang w:val="en-US" w:eastAsia="zh-CN" w:bidi="ar-SA"/>
    </w:rPr>
  </w:style>
  <w:style w:type="character" w:styleId="1351">
    <w:name w:val="正文缩进 字符"/>
    <w:next w:val="1351"/>
    <w:link w:val="1100"/>
    <w:uiPriority w:val="99"/>
    <w:qFormat/>
    <w:rPr>
      <w:rFonts w:ascii="宋体" w:hAnsi="Times New Roman" w:eastAsia="宋体" w:cs="Times New Roman"/>
      <w:sz w:val="24"/>
    </w:rPr>
  </w:style>
  <w:style w:type="character" w:styleId="1352">
    <w:name w:val="正文文本 字符"/>
    <w:next w:val="1352"/>
    <w:link w:val="1100"/>
    <w:qFormat/>
    <w:rPr>
      <w:rFonts w:ascii="宋体" w:hAnsi="宋体"/>
      <w:sz w:val="24"/>
      <w:szCs w:val="24"/>
    </w:rPr>
  </w:style>
  <w:style w:type="paragraph" w:styleId="1353">
    <w:name w:val="纯文本1"/>
    <w:next w:val="1154"/>
    <w:link w:val="1100"/>
    <w:qFormat/>
    <w:pPr>
      <w:jc w:val="both"/>
      <w:widowControl w:val="off"/>
    </w:pPr>
    <w:rPr>
      <w:rFonts w:ascii="宋体" w:hAnsi="宋体"/>
      <w:sz w:val="26"/>
      <w:szCs w:val="24"/>
      <w:lang w:val="en-US" w:eastAsia="zh-CN" w:bidi="ar-SA"/>
    </w:rPr>
  </w:style>
  <w:style w:type="paragraph" w:styleId="1354">
    <w:name w:val="AONormal"/>
    <w:next w:val="1354"/>
    <w:link w:val="1100"/>
    <w:qFormat/>
    <w:pPr>
      <w:ind w:firstLine="440"/>
      <w:spacing w:line="400" w:lineRule="exact"/>
    </w:pPr>
    <w:rPr>
      <w:rFonts w:ascii="华文楷体" w:hAnsi="华文楷体" w:eastAsia="华文楷体" w:cs="华文楷体"/>
      <w:sz w:val="22"/>
      <w:szCs w:val="21"/>
      <w:lang w:val="en-US" w:eastAsia="zh-CN" w:bidi="ar-SA"/>
    </w:rPr>
  </w:style>
  <w:style w:type="paragraph" w:styleId="1355">
    <w:name w:val="正文文本11"/>
    <w:basedOn w:val="1100"/>
    <w:next w:val="1355"/>
    <w:link w:val="1100"/>
    <w:qFormat/>
    <w:pPr>
      <w:spacing w:before="120" w:line="22" w:lineRule="atLeast"/>
      <w:tabs>
        <w:tab w:val="left" w:pos="567" w:leader="none"/>
      </w:tabs>
    </w:pPr>
    <w:rPr>
      <w:rFonts w:ascii="宋体" w:hAnsi="宋体"/>
      <w:sz w:val="24"/>
    </w:rPr>
  </w:style>
  <w:style w:type="paragraph" w:styleId="1356">
    <w:name w:val="一、"/>
    <w:basedOn w:val="1100"/>
    <w:next w:val="1356"/>
    <w:link w:val="1100"/>
    <w:qFormat/>
    <w:pPr>
      <w:ind w:firstLine="640"/>
    </w:pPr>
    <w:rPr>
      <w:rFonts w:eastAsia="黑体"/>
      <w:szCs w:val="32"/>
    </w:rPr>
  </w:style>
  <w:style w:type="character" w:styleId="1357" w:default="1">
    <w:name w:val="Default Paragraph Font"/>
    <w:uiPriority w:val="1"/>
    <w:semiHidden/>
    <w:unhideWhenUsed/>
  </w:style>
  <w:style w:type="numbering" w:styleId="1358" w:default="1">
    <w:name w:val="No List"/>
    <w:uiPriority w:val="99"/>
    <w:semiHidden/>
    <w:unhideWhenUsed/>
  </w:style>
  <w:style w:type="table" w:styleId="13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67</cp:revision>
  <dcterms:created xsi:type="dcterms:W3CDTF">2022-05-30T08:08:00Z</dcterms:created>
  <dcterms:modified xsi:type="dcterms:W3CDTF">2026-09-03T06:49:07Z</dcterms:modified>
  <cp:version>1048576</cp:version>
</cp:coreProperties>
</file>