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964"/>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8"/>
        </w:rPr>
        <w:t xml:space="preserve"> </w:t>
      </w:r>
      <w:r/>
    </w:p>
    <w:p>
      <w:pPr>
        <w:ind w:left="0" w:right="0" w:firstLine="964"/>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8"/>
        </w:rPr>
        <w:t xml:space="preserve"> </w:t>
      </w:r>
      <w:r/>
    </w:p>
    <w:p>
      <w:pPr>
        <w:ind w:left="0" w:right="0" w:firstLine="964"/>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8"/>
        </w:rPr>
        <w:t xml:space="preserve"> </w:t>
      </w:r>
      <w:r/>
    </w:p>
    <w:p>
      <w:pPr>
        <w:ind w:left="0" w:right="0" w:firstLine="964"/>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8"/>
        </w:rPr>
        <w:t xml:space="preserve"> </w:t>
      </w:r>
      <w:r/>
    </w:p>
    <w:p>
      <w:pPr>
        <w:ind w:left="0" w:right="0" w:firstLine="964"/>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8"/>
        </w:rPr>
        <w:t xml:space="preserve"> </w:t>
      </w:r>
      <w:r/>
    </w:p>
    <w:p>
      <w:pPr>
        <w:ind w:left="0" w:right="0" w:firstLine="964"/>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8"/>
        </w:rPr>
        <w:t xml:space="preserve"> </w:t>
      </w:r>
      <w:r/>
    </w:p>
    <w:p>
      <w:pPr>
        <w:ind w:left="0" w:right="0" w:firstLine="96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询 价 通 知 书</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44"/>
        </w:rPr>
        <w:t xml:space="preserve">（电子招投标）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（货物类项目，专门面向中小微企业）</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w:t>
      </w:r>
      <w:r>
        <w:rPr>
          <w:rFonts w:ascii="Calibri" w:hAnsi="Calibri" w:eastAsia="Calibri" w:cs="Calibri"/>
          <w:color w:val="000000"/>
          <w:sz w:val="32"/>
        </w:rPr>
        <w:t xml:space="preserve">JSZC-321181-JZCG-X2026-0020</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项目名称：丹阳市大泊中心幼儿园电梯（客梯）采购项目</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丹阳市政府采购中心</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2026</w:t>
      </w:r>
      <w:r>
        <w:rPr>
          <w:rFonts w:ascii="SimSun" w:hAnsi="SimSun" w:eastAsia="SimSun" w:cs="SimSun"/>
          <w:color w:val="000000"/>
          <w:sz w:val="32"/>
        </w:rPr>
        <w:t xml:space="preserve">年</w:t>
      </w:r>
      <w:r>
        <w:rPr>
          <w:rFonts w:ascii="Calibri" w:hAnsi="Calibri" w:eastAsia="Calibri" w:cs="Calibri"/>
          <w:color w:val="000000"/>
          <w:sz w:val="32"/>
        </w:rPr>
        <w:t xml:space="preserve">9</w:t>
      </w:r>
      <w:r>
        <w:rPr>
          <w:rFonts w:ascii="SimSun" w:hAnsi="SimSun" w:eastAsia="SimSun" w:cs="SimSun"/>
          <w:color w:val="000000"/>
          <w:sz w:val="32"/>
        </w:rPr>
        <w:t xml:space="preserve">月</w:t>
      </w:r>
      <w:r>
        <w:rPr>
          <w:rFonts w:ascii="Calibri" w:hAnsi="Calibri" w:eastAsia="Calibri" w:cs="Calibri"/>
          <w:color w:val="000000"/>
          <w:sz w:val="32"/>
        </w:rPr>
        <w:t xml:space="preserve">15</w:t>
      </w:r>
      <w:r>
        <w:rPr>
          <w:rFonts w:ascii="SimSun" w:hAnsi="SimSun" w:eastAsia="SimSun" w:cs="SimSun"/>
          <w:color w:val="000000"/>
          <w:sz w:val="32"/>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提 示 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为打造公开公平公正的政府采购营商环境，规范政府采购活动，请贵单位仔细阅读下列条款：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1.应当遵循公开、公平、公正和诚实信用原则；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2.不得有串通投标（响应）、提供虚假材料等违法违规行为；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3.不得捏造事实、提供虚假材料或者以非法手段取得证明材料进行投诉。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二、经查实有下列行为的，将依法依规严肃处理: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(5)在采购过程中与采购人进行协商谈判的;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2．在“信用中国”网、中国政府采购网等相关网站有失信记录按规定被依法限制参与政府采购活动的，在规定期限内不得参加本市范围内的政府采购活动。</w:t>
      </w:r>
      <w:r/>
    </w:p>
    <w:p>
      <w:pPr>
        <w:ind w:left="0" w:right="0" w:firstLine="883"/>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总目录</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 询价邀请……………………………………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供应商须知…………………………………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合同文本……………………………………</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采购需求……………………………………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 评标方法与评标标准………………………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 投标（响应）文件格式……………………</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第一章询价邀请</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935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项目概况：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丹阳市大泊中心幼儿园电梯（客梯）采购项目（JSZC-321181-JZCG-X2026-0020）的潜在供应商应在江苏省政府采购网 获取询价文件，并于2026-9-29 09:30 （北京时间）前递交投标（响应）文件。</w:t>
            </w:r>
            <w:r/>
          </w:p>
        </w:tc>
      </w:tr>
    </w:tbl>
    <w:p>
      <w:pPr>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一、项目基本情况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项目编号：JSZC-321181-JZCG-X2026-0020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项目名称：丹阳市大泊中心幼儿园电梯（客梯）采购项目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预算金额：9.8万元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最高限价（如有）：9.8万元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采购需求：详细内容及要求见采购需求。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完工期：合同签订之后，15日完成供货及安装。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本项目（是/否）接受联合体投标（响应）：不接受联合体</w:t>
      </w:r>
      <w:r/>
    </w:p>
    <w:p>
      <w:pPr>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（一）满足《中华人民共和国政府采购法》第二十二条规定；</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1.法人或者其他组织的营业执照等证明文件，自然人的身份证明。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2.上一年度的财务状况报告（成立不满一年不需提供）。</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3.依法缴纳税收和社会保障资金的相关材料。</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4.具备履行合同所必需的设备和专业技术能力的书面声明。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5.参加政府采购活动前3年内在经营活动中没有重大违法记录的书面声明。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6.资格承诺函供应商可自行选择是否提供资格承诺函，若不提供资格承诺函的，应按采购文件要求提供以上 2-5 项相应的证明材料。资格承诺函格式要求见投标（响应）文件组成部分。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（二）落实政府采购政策需满足的资格要求：本项目专门面向中小微企业。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（三）本项目的特定资格要求：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3.1供应商如为电梯制造商，须具有《中华人民共和国特种设备制造许可证》（电梯）或《中华人民共和国特种设备生产许可证》（电梯）。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供应商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r/>
    </w:p>
    <w:p>
      <w:pPr>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三、获取采购文件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时间：2026年9月15日 至2026年9月22日 ，每天上午00:00-12:00,下午12:00-23:59 （北京时间，法定节假日除外）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地点：江苏省政府采购网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方式：线上获取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售价：0.00元 </w:t>
      </w:r>
      <w:r/>
    </w:p>
    <w:p>
      <w:pPr>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四、提交投标（响应）文件截止时间、开标时间和地点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时间：2026-9-29 09:30 （北京时间）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地点：江苏省政府采购网 </w:t>
      </w:r>
      <w:r/>
    </w:p>
    <w:p>
      <w:pPr>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五、公告期限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自本公告发布之日起5个工作日。</w:t>
      </w:r>
      <w:r/>
    </w:p>
    <w:p>
      <w:pPr>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六、其他补充事宜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根据省财政厅《关于更换全省政府采购交易系统C A数字证书和电子签章的通知1.本项目通过“苏采云”系统进行采购，请在投标（响应）前详细阅读《“苏采云”系统供应商操作手册》（下载路径：江苏政府采购网——资料下载——《江苏省政府采购交易管理系统（苏采云）供应商操作指南》）；供应商在使用系统进行投标（响应）的过程中如遇涉及“苏采云”系统使用的任何问题，应在工作日9:00-11:30 、13:30-17:30期间致电技术支持热线咨询，联系方式：0519-86722803、0519-86722805。</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2.供应商投标（响应）需提前办理数字认证证书，办理方式和注意事项详见: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镇江地区意源（方正）办理方式：镇江市润州区冠城路8号工人大厦7楼公共资源交易中心大厅CA窗口。工作日办公时间：9：00-12：00、13：30-17：30。联系人：邵娟，联系电话：13655287962，办理指南地址：</w:t>
      </w:r>
      <w:hyperlink r:id="rId11" w:tooltip="http://jsxcmm.com/help/gys.html%E3%80%82" w:history="1">
        <w:r>
          <w:rPr>
            <w:rStyle w:val="679"/>
            <w:rFonts w:ascii="FangSong" w:hAnsi="FangSong" w:eastAsia="FangSong" w:cs="FangSong"/>
            <w:color w:val="0000ee"/>
            <w:sz w:val="24"/>
            <w:u w:val="single"/>
          </w:rPr>
          <w:t xml:space="preserve">http://jsxcmm.com/help/gys.html。</w:t>
        </w:r>
      </w:hyperlink>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有关本次采购的事项若存在变动或修改，敬请及时关注丹阳市政府采购中心在“江苏政府采购网”发布的更正公告。</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4.供应商在使用系统进行投标（响应）的过程中如遇到涉及“苏采云”系统使用的任何问题，应在工作日上午9：00-11：30下午13：30-17：30期间致电技术支持热线咨询，联系电话：0519-86722803、0519-86722805。</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本次采购不收取投标（响应）保证金。</w:t>
      </w:r>
      <w:r/>
    </w:p>
    <w:p>
      <w:pPr>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七、对本次采购提出询问，请按以下方式联系。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rPr>
          <w:rFonts w:ascii="Microsoft YaHei" w:hAnsi="Microsoft YaHei" w:eastAsia="Microsoft YaHei" w:cs="Microsoft YaHei"/>
          <w:color w:val="000000"/>
          <w:sz w:val="22"/>
        </w:rPr>
        <w:t xml:space="preserve"> </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单位名称：丹阳市大泊中心幼儿园</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单位地址：丹阳市大泊镇东路28号</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联系人：柴晓奕</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联系电话：13812370968</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2.采购代理机构信息（如有）</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单位名称：丹阳市政府采购中心</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单位地址：丹阳市开发区兰陵路88号</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联系人：王东</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联系电话：0511-86906230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项目联系人：王东</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电话：0511-86906230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第二部分供应商须知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93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8"/>
        <w:gridCol w:w="1113"/>
        <w:gridCol w:w="76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本次投标（响应）报价的币种为人民币。</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供应商应按采购文件所提供的各报价表格式报价。</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供应商应对本项目报出最具有竞争力的价格，应包括本次采购要求提供的货物（服务）已支付或将支付的所有费用（含税费）。</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最低投标（响应）报价不能作为中标的保证。</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☑本项目不同意分包。</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□同意将非主体、非关键性的工作分包。供应商应当在投标（响应）文件中载明分包承担主体，分包承担主体应当具备相应资质条件且不得再次分包。</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☑不统一组织</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□统一组织</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时间：2026年9月23日上午9:30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地点：丹阳市大泊中心幼儿园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联系人：柴晓奕  联系方式：13812370968</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□有，本项目演示使用录播上传形式，各供应商自行将录播内容上传至“苏采云”系统的演示视频模块。操作指南详见http://www.ccgp-jiangsu.gov.cn/jiangsu/zlxz/ee/ee3a4bc5a3454aa2b0d9312230633ce9.html。</w:t>
            </w:r>
            <w:r>
              <w:rPr>
                <w:rFonts w:ascii="SimSun" w:hAnsi="SimSun" w:eastAsia="SimSun" w:cs="SimSun"/>
                <w:b/>
                <w:color w:val="000000"/>
                <w:sz w:val="24"/>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☑不要求提供。</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提醒：除仅凭书面方式不能准确描述采购需求或者需要对样品进行主观判断以确认是否满足采购需求等特殊情况外，不得要求供应商提供样品。</w:t>
            </w:r>
            <w:r>
              <w:rPr>
                <w:rFonts w:ascii="SimSun" w:hAnsi="SimSun" w:eastAsia="SimSun" w:cs="SimSun"/>
                <w:color w:val="000000"/>
                <w:sz w:val="24"/>
              </w:rPr>
              <w:t xml:space="preserve">）</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（2）样品制作的标准和要求：；</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（3）样品的评审方法以及评审标准：详见评审办法；</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（4）是否需要随样品提交检测报告：□否；□是，检测机构的要求：；检测内容：。</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（5）提供样品的时间：；地点：；联系人：，联系电话： 。请供应商在上述时间内提供样品并按规定位置安装完毕。超过截止时间的，采购人或采购代理机构将不予接收及安装，并将清场并封闭样品现场。</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（7）制作、运输、安装和保管样品所发生的一切费用由供应商自理。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☑本项目不允许采购进口产品。</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☑货物类。本项目核心产品为：</w:t>
            </w:r>
            <w:r>
              <w:rPr>
                <w:rFonts w:ascii="SimSun" w:hAnsi="SimSun" w:eastAsia="SimSun" w:cs="SimSun"/>
                <w:color w:val="000000"/>
                <w:sz w:val="24"/>
                <w:u w:val="single"/>
              </w:rPr>
              <w:t xml:space="preserve">电梯</w:t>
            </w:r>
            <w:r>
              <w:rPr>
                <w:rFonts w:ascii="SimSun" w:hAnsi="SimSun" w:eastAsia="SimSun" w:cs="SimSun"/>
                <w:color w:val="000000"/>
                <w:sz w:val="24"/>
              </w:rPr>
              <w:t xml:space="preserve">。</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见采购标的汇总表 </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935"/>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第二部分供应商须知</w:t>
      </w:r>
      <w:r/>
    </w:p>
    <w:p>
      <w:pPr>
        <w:pStyle w:val="935"/>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935"/>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1．适用范围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本询价通知书仅适用于丹阳市大泊中心幼儿园电梯（客梯）采购项目。</w:t>
      </w:r>
      <w:r/>
    </w:p>
    <w:p>
      <w:pPr>
        <w:pStyle w:val="935"/>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2．定义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 “采购人”系指依法进行政府采购的国家机关、事业单位、团体组织，即：</w:t>
      </w:r>
      <w:r>
        <w:rPr>
          <w:rFonts w:ascii="SimSun" w:hAnsi="SimSun" w:eastAsia="SimSun" w:cs="SimSun"/>
          <w:color w:val="000000"/>
          <w:sz w:val="24"/>
        </w:rPr>
        <w:t xml:space="preserve">丹阳市大泊中心幼儿园。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“供应商”系指响应询价、参加投标（响应）竞争的法人、其他组织或者自然人。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“询价组织方”系指组织本次采购活动的单位，即：</w:t>
      </w:r>
      <w:r>
        <w:rPr>
          <w:rFonts w:ascii="SimSun" w:hAnsi="SimSun" w:eastAsia="SimSun" w:cs="SimSun"/>
          <w:color w:val="000000"/>
          <w:sz w:val="24"/>
          <w:u w:val="single"/>
        </w:rPr>
        <w:t xml:space="preserve">丹阳市政府采购中心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2.4“货物”亦称产品，系指供应商按采购文件要求，须向采购人提供的电梯设备、备件、工具、说明书及使用手册。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系指根据采购文件规定供应商承担的与供货有关的辅助服务，按合同规定供应商必须承担的供货安装、设备调试、技术指导、培训以及其他类似的承诺义务。服务亦包括采购文件中特别描述的其它形式的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本次采购采取询价方式 □综合评分法☑最低评标价法。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资格后审  □资格预审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pStyle w:val="935"/>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4．投标（响应）费用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供应商应自行承担所有与参加投标（响应）有关的费用</w:t>
      </w:r>
      <w:r>
        <w:rPr>
          <w:rFonts w:ascii="SimSun" w:hAnsi="SimSun" w:eastAsia="SimSun" w:cs="SimSun"/>
          <w:b/>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4.2不论投标（响应）的结果如何，采购人和采购代理机构在任何情况下均无义务和责任承担上述费用。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5．政策功能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5.1.2在政府采购活动中，供应商提供的货物、工程或者服务符合下列情形的，享受中小企业扶持政策：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供应商应按照采购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根据国家扶持中小企业的有关政策，采购项目中标供应商在履约过程中如遇到资金困难，凭政府采购合同在相关金融机构办理授信申请，相关事宜请查阅“江苏政府采购网---政采贷”网站。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二、询价通知书</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6.询价通知书构成</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6.1询价通知书包括：</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（1）询价邀请</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 </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6.2供应商获取本文件后，应认真阅读本文件中所有的事项、格式条款和规范等要求。</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rPr>
          <w:rFonts w:ascii="SimSun" w:hAnsi="SimSun" w:eastAsia="SimSun" w:cs="SimSun"/>
          <w:b/>
          <w:color w:val="000000"/>
          <w:sz w:val="24"/>
          <w:u w:val="single"/>
        </w:rPr>
        <w:t xml:space="preserve">除非有特殊要求，询价通知书不单独提供标的所在地自然环境、气象条件、公用设施等情况，供应商被视为熟悉上述与签订和履行合同有关的一切情况。</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7.询价通知书的澄清和修改</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7.1任何要求对询价通知书进行澄清的供应商，应及时联系项目联系人。</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7.2按照权责相一致原则，供应商提出的对于询价通知书主要商务、技术指标的相关澄清、修改要求，由采购人负责答复并视情况作出澄清或修改的决定。</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7.3询价组织方可以对已发出的询价通知书进行必要的澄清或者修改。澄清或者修改将在“镇江市公共资源交易服务平台——政府采购”网站上发布澄清公告。澄清或者修改的内容为询价通知书的组成部分。</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7.4澄清或者修改的内容可能影响响应文件编制的，询价组织方将在提交响应文件截止时间3个工作日前，在系统中以书面形式通知所有已获取询价通知书的潜在供应商, 供应商请登录系统查看相应内容；不足3个工作日的，询价组织方将顺延提交响应文件的截止时间。</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7.5如澄清或修改公告有重新发布电子询价通知书的，供应商应下载最新发布的电子询价通知书制作响应文件。因供应商自身原因未能及时获取的，一切后果由供应商自行承担。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三、响应文件的编制</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8.编制响应文件的工具</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8.1供应商须通过镇江市公共资源交易中心提供的最新响应文件制作软件编制响应文件。</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9.响应文件的语言及度量衡单位</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代理机构就有关本次采购的所有来往通知、函件和文件均应使用简体中文。供应商提交的支持性文件可以使用另一种语言，但相应内容应翻译成中文，在解释响应文件时以中文文本为准。</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9.2除询价通知书另有规定外，响应文件所使用的度量衡单位，均须采用国家法定计量单位。</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10.响应文件的构成</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10.1供应商编写的响应文件应按询价通知书第六部分“响应文件格式”中的要求进行编写。</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11．响应文件的编制</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11.1供应商应仔细阅读询价通知书，按照询价通知书的要求编制响应文件。响应文件应当对询价通知书提出的要求和条件作出明确响应。</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11.2供应商在编制响应文件时，各模块内容须填写或提交到对应位置，无相应内容可填的项应填写“无”、“没有相应指标”等明确的回答文字。</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11.3响应文件编排混乱或上传资料内容模糊等所引起的不利后果，由供应商自行承担。</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11.4供应商应保证响应文件所提供的全部资料合法、真实、可靠。</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12.报价的要求</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询价报价应以人民币为货币单位。</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供应商应按询价通知书所提供的报价表格式报价。</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供应商的报价应包含货物设计、制造、包装、仓储、运输装缷、保险、安装、调试及验收合格之前保管及保修期内备品备件、专用工具、伴随服务、技术图纸资料、人员培训发生的所有含税费用、支付给员工的工资和国家强制缴纳的各种社会保障资金，以及供应商认为需要的其他费用和项目实施所涉及的一切费用。</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供应商任何错漏、优惠、竞争性报价不得作为减轻责任、减少服务、增加收费、降低质量的理由。</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最低报价不能作为成交的唯一保证。</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 成交价格即为合同签约价。</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13.询价有效期</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13.1询价有效期为询价通知书规定的网上提交响应文件截止之日后90个日历日。供应商参加询价，即视为接受询价有效期的约定。</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在特殊情况下，采购人于原询价有效期满之前，可向供应商提出延长询价有效期的要求。这种要求与答复均应采用书面形式。供应商可以拒绝采购人的这一要求而放弃参加询价。同意延长询价有效期的供应商，既不能要求也不允许修改其响应文件。</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响应文件的式样和签署</w:t>
      </w:r>
      <w:r/>
    </w:p>
    <w:p>
      <w:pPr>
        <w:ind w:left="0" w:right="0" w:firstLine="444"/>
        <w:jc w:val="both"/>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14.1供应商应通过响应文件制作软件使用数字认证证书对响应文件进行合成、电子签章及加密打包。</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15．响应文件的提交</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15.1响应文件提交</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15.1.1供应商须在询价通知书规定的截止时间前，通过响应文件编制软件或登录”苏采云”系统在规定时间内完成提交，提交成功后系统将发送回执。</w:t>
      </w:r>
      <w:r>
        <w:rPr>
          <w:rFonts w:ascii="SimSun" w:hAnsi="SimSun" w:eastAsia="SimSun" w:cs="SimSun"/>
          <w:b/>
          <w:color w:val="000000"/>
          <w:sz w:val="24"/>
        </w:rPr>
        <w:t xml:space="preserve">时间以”苏采云”系统时间为准</w:t>
      </w:r>
      <w:r>
        <w:rPr>
          <w:rFonts w:ascii="SimSun" w:hAnsi="SimSun" w:eastAsia="SimSun" w:cs="SimSun"/>
          <w:color w:val="000000"/>
          <w:sz w:val="24"/>
        </w:rPr>
        <w:t xml:space="preserve">。</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15.1.2截止时间以后传输的响应文件，”苏采云”系统将拒绝接收。供应商应充分考虑网络环境、网络带宽等风险因素。</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15.1.3提交响应文件时，供应商须使用制作该响应文件的同一数字认证证书进行提交操作。</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rPr>
        <w:t xml:space="preserve">提交完成后至解密前，供应商不能对加密响应文件时所使用的数字认证证书进行更新、续费，否则可能引起的响应文件解密失败等相关后果由供应商自行承担。</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15.1.5因不可抗力事件造成的响应文件的损坏、丢失的，询价组织方不承担责任。</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询价组织方可以通过修改询价通知书自行酌情延长提交截止时间，在此情况下，推迟的提交截止时间将以书面形式通知已获取询价通知书的潜在供应商，并在“镇江市公共资源交易服务平台---政府采购”上发布公告。供应商应及时自行登录系统查看相应内容。</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w:t>
      </w:r>
      <w:r>
        <w:rPr>
          <w:rFonts w:ascii="SimSun" w:hAnsi="SimSun" w:eastAsia="SimSun" w:cs="SimSun"/>
          <w:b/>
          <w:color w:val="000000"/>
          <w:sz w:val="21"/>
        </w:rPr>
        <w:t xml:space="preserve"> </w:t>
      </w:r>
      <w:r>
        <w:rPr>
          <w:rFonts w:ascii="SimSun" w:hAnsi="SimSun" w:eastAsia="SimSun" w:cs="SimSun"/>
          <w:b/>
          <w:color w:val="000000"/>
          <w:sz w:val="24"/>
        </w:rPr>
        <w:t xml:space="preserve">响应文件的补充、修改和撤回</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16.1供应商在响应文件提交截止时间前，可以对所提交的响应文件进行补充、修改或撤回。</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16.2供应商在提交截止时间前需要对响应文件进行补充、修改的，应当使用响应文件制作软件重新制作并提交。</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16.3在提交截止时间之后，供应商不得对其响应文件作任何补充、修改或撤回。</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16.4在响应文件提交截止时间至询价通知书中规定的询价有效期满之间的这段时间内，供应商不得撤回响应文件，否则将被视为失信行为。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四、解密与评审</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17.响应文件的解密</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17.1供应商应当在询价前做好充分准备，使用CA数字证书准时进行解密。</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rPr>
          <w:rFonts w:ascii="SimSun" w:hAnsi="SimSun" w:eastAsia="SimSun" w:cs="SimSun"/>
          <w:b/>
          <w:color w:val="000000"/>
          <w:sz w:val="24"/>
        </w:rPr>
        <w:t xml:space="preserve">供应商不足三家，不进入解密程序</w:t>
      </w:r>
      <w:r>
        <w:rPr>
          <w:rFonts w:ascii="SimSun" w:hAnsi="SimSun" w:eastAsia="SimSun" w:cs="SimSun"/>
          <w:color w:val="000000"/>
          <w:sz w:val="24"/>
        </w:rPr>
        <w:t xml:space="preserve">。</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询价响应截止时间之后，询价组织方将在系统内发出解密的指令，供应商自行实施解密，限定在询价组织方发布解密指令后30分钟内完成。解密时，供应商必须使用与制作响应文件时同一数字认证证书对响应文件进行解密，否则解密将会失败。</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17.4因供应商原因造成响应文件未解密或解密失败或无法正常打开响应文件的，询价组织方将拒绝其响应。部分供应商的响应文件未解密或解密失败的，程序可以继续进行。</w:t>
      </w:r>
      <w:r>
        <w:rPr>
          <w:rFonts w:ascii="SimSun" w:hAnsi="SimSun" w:eastAsia="SimSun" w:cs="SimSun"/>
          <w:b/>
          <w:color w:val="000000"/>
          <w:sz w:val="24"/>
        </w:rPr>
        <w:t xml:space="preserve">若解密成功的供应商不足三家，不进入后续程序。</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17.5本项目在限定的解密时间内，只要有任一家供应商解密成功，即视为“苏采云”系统运行无故障。</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17.6供应商须配合有关工作，否则自行承担后果。</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询价小组组成</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18.1询价小组由采购人代表和评审专家共3人以上单数组成。</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w:t>
      </w:r>
      <w:r>
        <w:rPr>
          <w:rFonts w:ascii="SimSun" w:hAnsi="SimSun" w:eastAsia="SimSun" w:cs="SimSun"/>
          <w:b/>
          <w:color w:val="000000"/>
          <w:sz w:val="21"/>
        </w:rPr>
        <w:t xml:space="preserve"> </w:t>
      </w:r>
      <w:r>
        <w:rPr>
          <w:rFonts w:ascii="SimSun" w:hAnsi="SimSun" w:eastAsia="SimSun" w:cs="SimSun"/>
          <w:b/>
          <w:color w:val="000000"/>
          <w:sz w:val="24"/>
        </w:rPr>
        <w:t xml:space="preserve">评审程序</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19.1资格性检查。询价小组依法对供应商的资格条件进行审查。</w:t>
      </w:r>
      <w:r>
        <w:rPr>
          <w:rFonts w:ascii="SimSun" w:hAnsi="SimSun" w:eastAsia="SimSun" w:cs="SimSun"/>
          <w:b/>
          <w:color w:val="000000"/>
          <w:sz w:val="24"/>
        </w:rPr>
        <w:t xml:space="preserve">合格供应商不足3家的，不进入后续程序。</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19.2符合性检查。询价小组从响应文件的有效性、完整性和对询价通知书的响应程度进行审查，以确定是否对询价通知书作出响应。</w:t>
      </w:r>
      <w:r>
        <w:rPr>
          <w:rFonts w:ascii="SimSun" w:hAnsi="SimSun" w:eastAsia="SimSun" w:cs="SimSun"/>
          <w:b/>
          <w:color w:val="000000"/>
          <w:sz w:val="24"/>
        </w:rPr>
        <w:t xml:space="preserve">符合性审查合格供应商不足3家的，不进入详细评审环节。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根据《关于推动解决政府采购异常低价问题的通知》财库〔2026〕2号的要求，评审委员会（询价小组）应当启动异常低价投标（响应）审查程序的情形包括：</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4.评审委员会（询价小组）基于专业判断，认为供应商报价过低，有可能影响产品质量或者不能诚信履约的其他情形。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上述情形的相关供应商，评审委员会（询价小组）应对其启动异常低价投标（响应）审查程序，包括：要求相关供应商在评标现场合理的时间内，提供项目具体成本测算等与报价合理性相关的书面说明及相关证明材料，对投标（响应）价格作出解释，由评审委员会（询价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询价小组）应当将其作为无效投标（响应）处理。</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供应商澄清、说明。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接到询价小组澄清要求的供应商，应按询价小组通知的时间和地点做出书面澄清，书面澄清的内容须由供应商法定代表人或其委托代理人签署，并作为响应文件的补充部分。</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19.4供应商响应文件无效响应条款详见评审办法和标准。</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20.特殊情况处理</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出现下列情形之一的，应当终止询价采购活动，发布项目终止公告并说明原因，重新开展采购活动： </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（一）因情况变化，不再符合规定的询价采购方式适用情形的； </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（二）出现影响采购公正的违法、违规行为的； </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（三）在采购过程中符合竞争要求的供应商或者报价未超过采购预算的供应商不足3家的。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五、确定成交结果</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21.确定成交供应商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询价小组根据评审记录和评审结果编写评审报告，推荐成交候选人。采购人根据询价小组推荐的成交候选人确定成交供应商。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成交结果经采购人确定后，采购代理机构将向成交供应商发出成交通知书。成交通知书是合同的一个组成部分。对采购人和成交供应商均具有法律效力。成交通知书发出后，采购人改变成交结果的，或者成交供应商放弃成交项目的，应当依法承担法律责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六、签订合同</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签订合同</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22.1采购人与成交供应商应当在成交通知书发出之日起15日内，按照询价通知书确定的合同文本以及采购标的、规格型号、采购金额、采购数量、技术和服务要求等事项签订政府采购合同。</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采购人不得向成交供应商提出超出询价通知书以外的任何要求作为签订合同的条件，不得与成交供应商订立背离询价通知书确定的合同文本以及采购标的、规格型号、采购金额、采购数量、技术和服务要求等实质性内容的协议。</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22.3采购合同履行中，采购人需追加与合同标的相同产品的，在不改变合同其他条款的前提下，可以与供应商签订补充合同，但所有补充合同的采购金额不得超过原合同采购金额的百分之十。</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MS Mincho" w:hAnsi="MS Mincho" w:eastAsia="MS Mincho" w:cs="MS Mincho"/>
          <w:color w:val="000000"/>
          <w:sz w:val="24"/>
        </w:rPr>
        <w:t xml:space="preserve">☑</w:t>
      </w:r>
      <w:r>
        <w:rPr>
          <w:rFonts w:ascii="SimSun" w:hAnsi="SimSun" w:eastAsia="SimSun" w:cs="SimSun"/>
          <w:color w:val="000000"/>
          <w:sz w:val="24"/>
        </w:rPr>
        <w:t xml:space="preserve">本项目不收取履约保证金。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□本项目中标供应商应提交合同金额XX%的履约保证金（不得超过政府采购合同金额的10%），履约保证金应以支票、汇票、本票、保函、保险保单等非现金形式缴纳或提交。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履约保证金退还时间：采购单位收到供应商退付申请后5个工作日内退还；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七、询问、质疑、投诉</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24．询问</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供应商对询价活动事项有疑问的，可以向采购人或询价组织方提出询问，采购人或询价组织方将依法作出答复，但答复的内容不得涉及商业秘密。</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25．质疑</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提出质疑的供应商应当是参与所质疑项目采购活动的供应商。供应商认为询价通知书、采购过程和成交结果使自己的合法权益受到损害的，可以在知道或者应知其权益受到损害之日起七个工作日内，以书面形式向采购人、采购代理机构提出质疑。否则，采购人或者采购代理机构不予受理 </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（1）对可以质疑的询价通知书提出质疑的，为收到询价通知书之日或者询价通知书公告期限届满之日；</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（3）对成交结果提出质疑的，为结果公告期限届满之日。</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供应商应按照“谁主张、谁举证”的原则对质疑内容提供相关证明材料，并对质疑内容的真实性承担责任。供应商不得虚假质疑和恶意质疑，如通过捏造事实、伪造证明材料等方式提出异议或投诉，阻碍询价活动正常进行的，属于严重不良行为，询价组织方将提请财政部门将其列入不良行为记录名单，并依法予以处罚。</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25.3供应商应当在法定质疑期内一次性提出针对同一采购程序环节的质疑。供应商如在法定期限内对同一采购程序环节提出多次质疑的，将只对供应商第一次质疑作出答复。</w:t>
      </w:r>
      <w:r>
        <w:rPr>
          <w:rFonts w:ascii="SimSun" w:hAnsi="SimSun" w:eastAsia="SimSun" w:cs="SimSun"/>
          <w:b/>
          <w:color w:val="000000"/>
          <w:sz w:val="24"/>
        </w:rPr>
        <w:t xml:space="preserve">供应商如对采购需求提出质疑，采购人负责处理和答复涉及采购需求的质疑内容。</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25.4质疑流程及注意事项见“镇江市公共资源交易平台”网站-政民互动-质疑投诉渠道。</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25.5采购人或询价组织方在收到供应商的书面质疑后将及时组织调查核实，在七个工作日内作出答复，并以书面或在网站公告形式通知质疑供应商和其他有关供应商，答复的内容不涉及商业秘密。</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25.6本项目采购人及丹阳市政府采购中心只接收以纸质原件形式送达的质疑。（本项目采购人及丹阳市政府采购中心不接受未填写快递运单的快件）</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接收部门:丹阳市政府采购中心</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接收地址:丹阳市开发区兰陵路88号四楼</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联系人：王东</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联系电话:0511-86906230</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25.7以下情形的质疑不予受理：</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25.7.1内容不符合《政府采购质疑和投诉办法》第十二条规定的质疑。</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25.7.2超出政府采购法定期限的质疑。</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25.7.3以传真、电子邮件等方式递交的非原件形式的质疑。</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25.7.4未参加投标（响应）活动的供应商或在投标（响应）活动中自身权益未受到损害的供应商所提出的质疑。</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25.7.5供应商组成联合体参加投标（响应），联合体中任何一方或多方未按要求签字、盖章、加盖公章的质疑。</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25.7.6质疑流程及质疑函格式见“镇江市公共资源交易平台”网站-政民互动-质疑渠道。</w:t>
      </w:r>
      <w:r/>
    </w:p>
    <w:p>
      <w:pPr>
        <w:ind w:left="0" w:right="14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26．投诉</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质疑供应商对采购人、询价组织方的答复不满意，或者采购人、询价组织方未在规定的时间内作出答复的，可以在答复期满后十五个工作日内向采购项目同级财政部门投诉。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八、诚实信用和解释权</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27．诚实信用</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27.1供应商之间不得相互串通询价报价，不得妨碍其他供应商的公平竞争，不得损害采购人和其他供应商的合法权益。</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不得以向询价组织方工作人员、询价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27.3供应商不得虚假承诺，否则，按照提供虚假材料谋取中标/成交处理。</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27.4供应商应自觉遵守询价纪律，扰乱询价现场秩序的，属于失信行为，根据《江苏省政府采购供应商监督管理暂行办法》，失信行为将被记入供应商诚信档案。</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credit.jiangsu.gov.cn），信用记录查询截止时间为项目资</w:t>
      </w:r>
      <w:r>
        <w:rPr>
          <w:rFonts w:ascii="SimSun" w:hAnsi="SimSun" w:eastAsia="SimSun" w:cs="SimSun"/>
          <w:color w:val="000000"/>
          <w:sz w:val="24"/>
        </w:rPr>
        <w:t xml:space="preserve">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20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
        </w:rPr>
        <w:t xml:space="preserve"> </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28．解释权</w:t>
      </w:r>
      <w:r/>
    </w:p>
    <w:p>
      <w:pPr>
        <w:ind w:left="0" w:right="0" w:firstLine="20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
        </w:rPr>
        <w:t xml:space="preserve"> </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28.1除相关法律、法规规定外，本询价通知书的解释权归镇江市公共资源交易中心所有。</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29.适用法律及约束力</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29.1供应商一旦获取了本询价通知书并参加询价，即被认为接受了本询价通知书的规定和约束。</w:t>
      </w:r>
      <w:r/>
    </w:p>
    <w:p>
      <w:pPr>
        <w:ind w:left="0" w:right="14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29.2本次采购及由本次采购产生的合同受中华人民共和国法律制约和保护。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丹阳市政府采购合同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中标供应商：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使用说明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6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1.本合同标准文本适用于购买现成货物的采购项目，不包括需要供应商定制开发、创新研发的货物采购项目。</w:t>
      </w:r>
      <w:r/>
    </w:p>
    <w:p>
      <w:pPr>
        <w:ind w:left="0" w:right="0" w:firstLine="6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2.本合同标准文本为政府采购货物买卖合同编制提供参考，可以结合采购项目具体情况，对文本作必要的调整修订后使用。</w:t>
      </w:r>
      <w:r/>
    </w:p>
    <w:p>
      <w:pPr>
        <w:ind w:left="0" w:right="0" w:firstLine="6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3.本合同标准文本各条款中，如涉及填写多家供应商、制造商，多种采购标的、分包主要内容等信息的，可根据采购项目具体情况添加信息项。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927"/>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第一节 政府采购合同协议书</w:t>
      </w:r>
      <w:r/>
    </w:p>
    <w:p>
      <w:pPr>
        <w:pStyle w:val="927"/>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w:t>
      </w:r>
      <w:r>
        <w:rPr>
          <w:rFonts w:ascii="SimSun" w:hAnsi="SimSun" w:eastAsia="SimSun" w:cs="SimSun"/>
          <w:color w:val="000000"/>
          <w:sz w:val="24"/>
          <w:u w:val="single"/>
        </w:rPr>
        <w:t xml:space="preserve">                       </w:t>
      </w:r>
      <w:r>
        <w:rPr>
          <w:rFonts w:ascii="SimSun" w:hAnsi="SimSun" w:eastAsia="SimSun" w:cs="SimSun"/>
          <w:color w:val="000000"/>
          <w:sz w:val="24"/>
        </w:rPr>
        <w:t xml:space="preserve">（采购人）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w:t>
      </w:r>
      <w:r>
        <w:rPr>
          <w:rFonts w:ascii="SimSun" w:hAnsi="SimSun" w:eastAsia="SimSun" w:cs="SimSun"/>
          <w:color w:val="000000"/>
          <w:sz w:val="24"/>
          <w:u w:val="single"/>
        </w:rPr>
        <w:t xml:space="preserve">                       </w:t>
      </w:r>
      <w:r>
        <w:rPr>
          <w:rFonts w:ascii="SimSun" w:hAnsi="SimSun" w:eastAsia="SimSun" w:cs="SimSun"/>
          <w:color w:val="000000"/>
          <w:sz w:val="24"/>
        </w:rPr>
        <w:t xml:space="preserve">（供应商）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谈判/询价文件等采购文件、乙方的《投标（响应）文件》及《中标（成交）通知书》，甲乙双方同意签订本合同。具体情况及要求如下：</w:t>
      </w:r>
      <w:r/>
    </w:p>
    <w:p>
      <w:pPr>
        <w:numPr>
          <w:ilvl w:val="0"/>
          <w:numId w:val="1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项目信息</w:t>
      </w:r>
      <w:r/>
    </w:p>
    <w:p>
      <w:pPr>
        <w:numPr>
          <w:ilvl w:val="0"/>
          <w:numId w:val="12"/>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w:t>
      </w:r>
      <w:r>
        <w:rPr>
          <w:rFonts w:ascii="SimSun" w:hAnsi="SimSun" w:eastAsia="SimSun" w:cs="SimSun"/>
          <w:color w:val="000000"/>
          <w:sz w:val="24"/>
          <w:u w:val="single"/>
        </w:rPr>
        <w:t xml:space="preserve">                                     </w:t>
      </w:r>
      <w:r/>
    </w:p>
    <w:p>
      <w:pPr>
        <w:ind w:left="0" w:right="0" w:firstLine="0"/>
        <w:spacing w:before="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采购项目编号：</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采购标的及数量（台/套/个/架/组等）：</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规格型号：</w:t>
      </w:r>
      <w:r>
        <w:rPr>
          <w:rFonts w:ascii="SimSun" w:hAnsi="SimSun" w:eastAsia="SimSun" w:cs="SimSun"/>
          <w:color w:val="000000"/>
          <w:sz w:val="24"/>
          <w:u w:val="single"/>
        </w:rPr>
        <w:t xml:space="preserve">               </w:t>
      </w:r>
      <w:r/>
    </w:p>
    <w:p>
      <w:pPr>
        <w:ind w:left="0" w:right="0" w:firstLine="10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采购标的的技术要求、商务要求具体见附件。</w:t>
      </w:r>
      <w:r/>
    </w:p>
    <w:p>
      <w:pPr>
        <w:ind w:left="0" w:right="0" w:firstLine="10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①涉及信息类产品，请填写该产品关键部件的品牌、型号：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标的名称：</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型号：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型号：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型号：</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②涉及车辆采购，请填写是否属于新能源汽车：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¨是，《政府采购品目分类目录》底级品目名称：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数量：</w:t>
      </w:r>
      <w:r>
        <w:rPr>
          <w:rFonts w:ascii="SimSun" w:hAnsi="SimSun" w:eastAsia="SimSun" w:cs="SimSun"/>
          <w:color w:val="000000"/>
          <w:sz w:val="24"/>
          <w:u w:val="single"/>
        </w:rPr>
        <w:t xml:space="preserve">    </w:t>
      </w:r>
      <w:r>
        <w:rPr>
          <w:rFonts w:ascii="SimSun" w:hAnsi="SimSun" w:eastAsia="SimSun" w:cs="SimSun"/>
          <w:color w:val="000000"/>
          <w:sz w:val="24"/>
        </w:rPr>
        <w:t xml:space="preserve"> 金额：</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（4）政府采购组织形式：¨政府集中采购¨部门集中采购¨分散采购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（5）政府采购方式：¨公开招标 ¨邀请招标 ¨竞争性谈判 ¨竞争性磋商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¨询价 ¨单一来源 ¨框架协议 ¨其他：</w:t>
      </w:r>
      <w:r>
        <w:rPr>
          <w:rFonts w:ascii="SimSun" w:hAnsi="SimSun" w:eastAsia="SimSun" w:cs="SimSun"/>
          <w:color w:val="000000"/>
          <w:sz w:val="24"/>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（注：在框架协议采购的第二阶段，可选择使用该合同文本）</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（6）中标（成交）采购标的制造商是否为中小企业：¨是¨否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本合同是否为专门面向中小企业的采购合同（中小企业预留合同）：¨是¨否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若本项目不专门面向中小企业采购，是否给予小微企业评审优惠：¨是¨否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中标（成交）采购标的制造商是否为残疾人福利性单位：¨是¨否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中标（成交）采购标的制造商是否为监狱企业：¨是¨否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（7）合同是否分包：¨是¨否</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分包主要内容：</w:t>
      </w:r>
      <w:r>
        <w:rPr>
          <w:rFonts w:ascii="SimSun" w:hAnsi="SimSun" w:eastAsia="SimSun" w:cs="SimSun"/>
          <w:color w:val="000000"/>
          <w:sz w:val="24"/>
          <w:u w:val="single"/>
        </w:rPr>
        <w:t xml:space="preserve">                                            </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分包供应商/制造商名称（如供应商和制造商不同，请分别填写）：</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分包供应商/制造商类型（如果供应商和制造商不同，只填写制造商类型）：</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¨大型企业¨中型企业¨小微型企业</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¨残疾人福利性单位 ¨监狱企业 ¨其他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（8）中标（成交）供应商是否为外商投资企业：¨是¨否</w:t>
      </w:r>
      <w:r/>
    </w:p>
    <w:p>
      <w:pPr>
        <w:ind w:left="0" w:right="0" w:firstLine="480"/>
        <w:spacing w:before="240" w:after="240"/>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外商投资企业类型：¨全部由外国投资者投资¨部分由外国投资者投资</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（9）是否涉及进口产品：</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¨是，《政府采购品目分类目录》底级品目名称：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金额：</w:t>
      </w:r>
      <w:r>
        <w:rPr>
          <w:rFonts w:ascii="SimSun" w:hAnsi="SimSun" w:eastAsia="SimSun" w:cs="SimSun"/>
          <w:color w:val="000000"/>
          <w:sz w:val="24"/>
          <w:u w:val="single"/>
        </w:rPr>
        <w:t xml:space="preserve">        </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国别：</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规格型号：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（10）是否涉及节能产品：</w:t>
      </w:r>
      <w:r/>
    </w:p>
    <w:p>
      <w:pPr>
        <w:ind w:left="0" w:right="0" w:firstLine="0"/>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¨是，《节能产品政府采购品目清单》的底级品目名称：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¨强制采购¨优先采购</w:t>
      </w:r>
      <w:r/>
    </w:p>
    <w:p>
      <w:pPr>
        <w:ind w:left="0" w:right="0" w:firstLine="0"/>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是否涉及环境标志产品：</w:t>
      </w:r>
      <w:r/>
    </w:p>
    <w:p>
      <w:pPr>
        <w:ind w:left="0" w:right="0" w:firstLine="0"/>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¨是，《环境标志产品政府采购品目清单》的底级品目名称：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¨强制采购¨优先采购</w:t>
      </w:r>
      <w:r/>
    </w:p>
    <w:p>
      <w:pPr>
        <w:ind w:left="0" w:right="0" w:firstLine="0"/>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是否涉及绿色产品：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¨是，绿色产品政府采购相关政策确定的底级品目名称：</w:t>
      </w:r>
      <w:r>
        <w:rPr>
          <w:rFonts w:ascii="SimSun" w:hAnsi="SimSun" w:eastAsia="SimSun" w:cs="SimSun"/>
          <w:color w:val="000000"/>
          <w:sz w:val="24"/>
          <w:u w:val="single"/>
        </w:rPr>
        <w:t xml:space="preserve">         </w:t>
      </w:r>
      <w:r/>
    </w:p>
    <w:p>
      <w:pPr>
        <w:ind w:left="0" w:right="0" w:firstLine="0"/>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¨强制采购¨优先采购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（11）涉及商品包装和快递包装的，是否参考《商品包装政府采购需求标准（试行）》、《快递包装政府采购需求标准（试行）》明确产品及相关快递服务的具体包装要求：</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¨是¨否¨不涉及</w:t>
      </w:r>
      <w:r/>
    </w:p>
    <w:p>
      <w:pPr>
        <w:numPr>
          <w:ilvl w:val="0"/>
          <w:numId w:val="1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（1）合同金额小写：</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大写：</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分包金额（如有）小写：</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大写：</w:t>
      </w:r>
      <w:r>
        <w:rPr>
          <w:rFonts w:ascii="SimSun" w:hAnsi="SimSun" w:eastAsia="SimSun" w:cs="SimSun"/>
          <w:color w:val="000000"/>
          <w:sz w:val="24"/>
          <w:u w:val="single"/>
        </w:rPr>
        <w:t xml:space="preserve">                       </w:t>
      </w:r>
      <w:r/>
    </w:p>
    <w:p>
      <w:pPr>
        <w:numPr>
          <w:ilvl w:val="0"/>
          <w:numId w:val="12"/>
        </w:numP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p>
      <w:pPr>
        <w:ind w:left="64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¨乙方自愿放弃本项目预付款。</w:t>
      </w:r>
      <w:r/>
    </w:p>
    <w:p>
      <w:pPr>
        <w:ind w:left="64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采购人支付合同金额的30%作为预付款，在收到中标人提供的相应金额的正规发票后10个工作日内进行支付。电梯安装调试完毕、验收合格并交付采购人使用后采购人支付至合同金额的95%，采购人在收到中标人提供的相应金额的正规发票后10个工作日内支付。剩余5%在验收合格满一年后付清，采购人在收到中标人提供的相应金额的正规发票后10个工作日内支付。</w:t>
      </w:r>
      <w:r/>
    </w:p>
    <w:p>
      <w:pPr>
        <w:numPr>
          <w:ilvl w:val="0"/>
          <w:numId w:val="1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（1）起始日期：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日，完成日期：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（3）履约担保：是否收取履约保证金：¨是¨否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收取履约保证金形式：</w:t>
      </w:r>
      <w:r>
        <w:rPr>
          <w:rFonts w:ascii="SimSun" w:hAnsi="SimSun" w:eastAsia="SimSun" w:cs="SimSun"/>
          <w:color w:val="000000"/>
          <w:sz w:val="24"/>
          <w:u w:val="single"/>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收取履约保证金金额：</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履约担保期限：</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（4）分期履行要求：</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（5）风险处置措施和替代方案：</w:t>
      </w:r>
      <w:r>
        <w:rPr>
          <w:rFonts w:ascii="SimSun" w:hAnsi="SimSun" w:eastAsia="SimSun" w:cs="SimSun"/>
          <w:color w:val="000000"/>
          <w:sz w:val="24"/>
          <w:u w:val="single"/>
        </w:rPr>
        <w:t xml:space="preserve">                                                               </w:t>
      </w:r>
      <w:r/>
    </w:p>
    <w:p>
      <w:pPr>
        <w:numPr>
          <w:ilvl w:val="0"/>
          <w:numId w:val="1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合同验收</w:t>
      </w:r>
      <w:r/>
    </w:p>
    <w:p>
      <w:pPr>
        <w:numPr>
          <w:ilvl w:val="0"/>
          <w:numId w:val="13"/>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验收组织方式：¨自行组织 ¨委托第三方组织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验收主体：</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是否邀请本项目的其他供应商参加验收：¨是¨否</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是否邀请专家参加验收：¨是¨否</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是否邀请服务对象参加验收：¨是¨否</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是否邀请第三方检测机构参加验收：¨是¨否</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是否进行抽查检测：¨是，抽查比例：</w:t>
      </w:r>
      <w:r>
        <w:rPr>
          <w:rFonts w:ascii="SimSun" w:hAnsi="SimSun" w:eastAsia="SimSun" w:cs="SimSun"/>
          <w:color w:val="000000"/>
          <w:sz w:val="24"/>
          <w:u w:val="single"/>
        </w:rPr>
        <w:t xml:space="preserve">        </w:t>
      </w:r>
      <w:r>
        <w:rPr>
          <w:rFonts w:ascii="SimSun" w:hAnsi="SimSun" w:eastAsia="SimSun" w:cs="SimSun"/>
          <w:color w:val="000000"/>
          <w:sz w:val="24"/>
        </w:rPr>
        <w:t xml:space="preserve"> ¨否</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是否存在破坏性检测：¨是，</w:t>
      </w:r>
      <w:r>
        <w:rPr>
          <w:rFonts w:ascii="SimSun" w:hAnsi="SimSun" w:eastAsia="SimSun" w:cs="SimSun"/>
          <w:color w:val="000000"/>
          <w:sz w:val="24"/>
          <w:u w:val="single"/>
        </w:rPr>
        <w:t xml:space="preserve">（应明确对被破坏的检测产品的处理方式）</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验收组织的其他事项：</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（2）履约验收时间：</w:t>
      </w:r>
      <w:r>
        <w:rPr>
          <w:rFonts w:ascii="SimSun" w:hAnsi="SimSun" w:eastAsia="SimSun" w:cs="SimSun"/>
          <w:color w:val="000000"/>
          <w:sz w:val="24"/>
          <w:u w:val="single"/>
        </w:rPr>
        <w:t xml:space="preserve">（计划于何时验收/供应商提出验收申请之日起   日内组织验收）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（3）履约验收方式：¨一次性验收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¨分期/分项验收：</w:t>
      </w:r>
      <w:r>
        <w:rPr>
          <w:rFonts w:ascii="SimSun" w:hAnsi="SimSun" w:eastAsia="SimSun" w:cs="SimSun"/>
          <w:color w:val="000000"/>
          <w:sz w:val="24"/>
          <w:u w:val="single"/>
        </w:rPr>
        <w:t xml:space="preserve"> （应明确分期/分项验收的工作安排）</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（4）履约验收程序：</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（5）履约验收的内容：</w:t>
      </w:r>
      <w:r>
        <w:rPr>
          <w:rFonts w:ascii="SimSun" w:hAnsi="SimSun" w:eastAsia="SimSun" w:cs="SimSun"/>
          <w:color w:val="000000"/>
          <w:sz w:val="24"/>
          <w:u w:val="single"/>
        </w:rPr>
        <w:t xml:space="preserve"> （应当包括每一项技术和商务要求的履约情况，特别是落实政府采购扶持中小企业，支持绿色发展和乡村振兴等政策情况）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（6）履约验收标准：</w:t>
      </w:r>
      <w:r>
        <w:rPr>
          <w:rFonts w:ascii="SimSun" w:hAnsi="SimSun" w:eastAsia="SimSun" w:cs="SimSun"/>
          <w:color w:val="000000"/>
          <w:sz w:val="24"/>
          <w:u w:val="single"/>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（7）是否以采购活动中供应商提供的样品作为参考：¨是¨否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（8）履约验收其他事项：</w:t>
      </w:r>
      <w:r>
        <w:rPr>
          <w:rFonts w:ascii="SimSun" w:hAnsi="SimSun" w:eastAsia="SimSun" w:cs="SimSun"/>
          <w:color w:val="000000"/>
          <w:sz w:val="24"/>
          <w:u w:val="single"/>
        </w:rPr>
        <w:t xml:space="preserve">      （产权过户登记等）</w:t>
      </w:r>
      <w:r/>
    </w:p>
    <w:p>
      <w:pPr>
        <w:numPr>
          <w:ilvl w:val="0"/>
          <w:numId w:val="1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组成合同的文件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（1）政府采购合同协议书及其变更、补充协议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（2）政府采购合同专用条款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（3）政府采购合同通用条款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（7）有关技术文件，图纸</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numPr>
          <w:ilvl w:val="0"/>
          <w:numId w:val="1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合同生效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日生效。</w:t>
      </w:r>
      <w:r/>
    </w:p>
    <w:p>
      <w:pPr>
        <w:numPr>
          <w:ilvl w:val="0"/>
          <w:numId w:val="1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合同份数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份，甲方执</w:t>
      </w:r>
      <w:r>
        <w:rPr>
          <w:rFonts w:ascii="SimSun" w:hAnsi="SimSun" w:eastAsia="SimSun" w:cs="SimSun"/>
          <w:color w:val="000000"/>
          <w:sz w:val="24"/>
          <w:u w:val="single"/>
        </w:rPr>
        <w:t xml:space="preserve">    </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    </w:t>
      </w:r>
      <w:r>
        <w:rPr>
          <w:rFonts w:ascii="SimSun" w:hAnsi="SimSun" w:eastAsia="SimSun" w:cs="SimSun"/>
          <w:color w:val="000000"/>
          <w:sz w:val="24"/>
        </w:rPr>
        <w:t xml:space="preserve">份，均具有同等法律效力。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附件：具体标的及其技术要求和商务要求、联合协议、分包意向协议等。</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pStyle w:val="927"/>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rPr>
        <w:t xml:space="preserve">   </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6"/>
        <w:gridCol w:w="2691"/>
        <w:gridCol w:w="2178"/>
        <w:gridCol w:w="2374"/>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115"/>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val="false"/>
          </w:tcPr>
          <w:p>
            <w:pPr>
              <w:ind w:left="0" w:right="0" w:firstLine="645"/>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注：涉及联合体或其他合同主体的信息应按上表格式加列。</w:t>
            </w:r>
            <w:r/>
          </w:p>
        </w:tc>
      </w:tr>
    </w:tbl>
    <w:p>
      <w:pPr>
        <w:pStyle w:val="927"/>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2"/>
        </w:rPr>
        <w:t xml:space="preserve"> </w:t>
      </w:r>
      <w:r/>
    </w:p>
    <w:p>
      <w:pPr>
        <w:pStyle w:val="927"/>
        <w:ind w:left="0" w:right="0" w:firstLine="0"/>
        <w:jc w:val="center"/>
        <w:spacing w:before="120" w:after="260" w:line="761" w:lineRule="atLeast"/>
        <w:pBdr>
          <w:top w:val="none" w:color="000000" w:sz="4" w:space="0"/>
          <w:left w:val="none" w:color="000000" w:sz="4" w:space="0"/>
          <w:bottom w:val="none" w:color="000000" w:sz="4" w:space="0"/>
          <w:right w:val="none" w:color="000000" w:sz="4" w:space="0"/>
        </w:pBdr>
      </w:pPr>
      <w:r>
        <w:br w:type="page" w:clear="all"/>
      </w:r>
      <w:r/>
    </w:p>
    <w:p>
      <w:pPr>
        <w:pStyle w:val="927"/>
        <w:ind w:left="0" w:right="0" w:firstLine="0"/>
        <w:jc w:val="center"/>
        <w:spacing w:before="120" w:after="260" w:line="761"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numPr>
          <w:ilvl w:val="0"/>
          <w:numId w:val="1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甲方有权要求乙方对缺陷部分予以修复，并按合同约定享有货物保修及其他合同约定的权利。</w:t>
      </w:r>
      <w:r/>
    </w:p>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甲方应当根据合同约定及时向乙方支付合同价款，不得以内部人员变更、履行内部付款流程等为由，拒绝或迟延支付。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center"/>
        <w:spacing w:before="3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center"/>
        <w:spacing w:before="3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numPr>
          <w:ilvl w:val="0"/>
          <w:numId w:val="15"/>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w:t>
      </w:r>
      <w:r>
        <w:rPr>
          <w:rFonts w:ascii="SimSun" w:hAnsi="SimSun" w:eastAsia="SimSun" w:cs="SimSun"/>
          <w:color w:val="000000"/>
          <w:sz w:val="24"/>
          <w:u w:val="none"/>
        </w:rPr>
        <w:t xml:space="preserve">因违反前述约定对第三人构成侵权的，应当由乙方向第三人承担法律责任；甲方依法向第三人赔偿后，有权向乙方追偿。甲方有其他损失的，乙方应当赔偿</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left="0" w:right="0" w:firstLine="0"/>
        <w:spacing w:before="3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乙方应当以支票、汇票、本票或者金融机构、担保机构出具的保函等非现金形式提交。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如果乙方出现</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甲方在项目通过验收后按照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规定的时间内将履约保证金退还乙方；逾期退还的，乙方可要求甲方支付违约金，违约金按照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迟延交货的违约责任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numPr>
          <w:ilvl w:val="0"/>
          <w:numId w:val="1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16.1合同的变更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（1）合同履行过程中因供应商就采购文件、采购过程或结果提起投诉的，甲方认为有必要的，可以中止合同的履行。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乙方不得将合同转包给其他供应商。涉及合同分包的，乙方应根据采购文件和投标（响应）文件规定进行合同分包。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center"/>
        <w:spacing w:before="3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本合同的订立、生效、解释、履行及与本合同有关的争议解决，均适用法律、行政法规。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 一方当事人变更名称、住所、联系人、联系电话或电子邮箱等信息的，应当在变更后3日内及时书面通知对方，对方实际收到变更通知前的送达仍为有效送达。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numPr>
          <w:ilvl w:val="0"/>
          <w:numId w:val="17"/>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927"/>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第三节 政府采购合同专用条款</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2"/>
        <w:gridCol w:w="1611"/>
        <w:gridCol w:w="4699"/>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7天</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甲方所在地</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甲方所在地</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54" w:right="85" w:hanging="25"/>
              <w:spacing w:before="181"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1、中国政府根据现行税法规定对甲方征收的、与本合同有关的一切税费，均由甲方负担，采购文件另有规定的除外。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2、中国政府根据现行税法规定对乙方征收的、与本合同有关的一切税费，均由乙方负担。</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伴随服务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1、在甲方对乙方违约而采取的任何补救措施不受影响的情况下，甲方可向乙方发出终止部分或全部合同的书面通知书。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如果乙方未能按合同规定的期限或甲方同意延长的限期内完成部分或全部服务工作;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乙方在收到甲方发出的违约通知后10天内，或经甲方书面认可延长的时间内未能纠正其过失;</w:t>
            </w:r>
            <w:r/>
          </w:p>
          <w:p>
            <w:pPr>
              <w:ind w:left="66" w:right="0" w:firstLine="0"/>
              <w:spacing w:before="182"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如果乙方未能履行合同规定的其他义务。</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2</w:t>
            </w:r>
            <w:r>
              <w:rPr>
                <w:rFonts w:ascii="SimSun" w:hAnsi="SimSun" w:eastAsia="SimSun" w:cs="SimSun"/>
                <w:color w:val="000000"/>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索赔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合同生效及其它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本合同自双方签定之日起生效，至服务完成并付清费用结束</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第四部分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丹阳市大泊中心幼儿园电梯1台，施工内容包含拆卸旧电梯、交叉开门、杂物梯井道改造客梯井道、整梯新机安装、调试；电梯门套制作及安装挡隔板等内容。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二.技术要求</w:t>
      </w:r>
      <w:r/>
    </w:p>
    <w:p>
      <w:pPr>
        <w:numPr>
          <w:ilvl w:val="0"/>
          <w:numId w:val="18"/>
        </w:numPr>
        <w:jc w:val="both"/>
        <w:spacing w:before="240" w:after="24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3"/>
        <w:gridCol w:w="344"/>
        <w:gridCol w:w="304"/>
        <w:gridCol w:w="477"/>
        <w:gridCol w:w="585"/>
        <w:gridCol w:w="645"/>
        <w:gridCol w:w="1280"/>
        <w:gridCol w:w="437"/>
        <w:gridCol w:w="822"/>
        <w:gridCol w:w="667"/>
        <w:gridCol w:w="721"/>
      </w:tblGrid>
      <w:tr>
        <w:trPr>
          <w:trHeight w:val="2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楼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电梯编号及用途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载重（kg）</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速度（m/s）</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井道尺寸（mm） 宽*深</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停靠层数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门洞尺寸（mm）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冲顶高度</w:t>
            </w:r>
            <w:r/>
          </w:p>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底坑深度（mm）</w:t>
            </w:r>
            <w:r/>
          </w:p>
        </w:tc>
      </w:tr>
      <w:tr>
        <w:trPr>
          <w:trHeight w:val="3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教学楼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DT1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有机房客梯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1800mm*1750mm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1F-3F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800*2100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1400</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备注</w:t>
            </w:r>
            <w:r/>
          </w:p>
        </w:tc>
        <w:tc>
          <w:tcPr>
            <w:gridSpan w:val="1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2" w:type="dxa"/>
            <w:vAlign w:val="center"/>
            <w:textDirection w:val="lrTb"/>
            <w:noWrap w:val="false"/>
          </w:tcPr>
          <w:p>
            <w:pPr>
              <w:ind w:left="840" w:right="0" w:hanging="960"/>
              <w:jc w:val="center"/>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DT1:</w:t>
            </w:r>
            <w:r/>
          </w:p>
          <w:p>
            <w:pPr>
              <w:ind w:left="0" w:right="0" w:firstLine="440"/>
              <w:jc w:val="center"/>
              <w:spacing w:before="0" w:after="0" w:line="2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1F:3700 2F:3700 3F:4700</w:t>
            </w:r>
            <w:r/>
          </w:p>
        </w:tc>
      </w:tr>
    </w:tbl>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2"/>
        <w:gridCol w:w="6512"/>
      </w:tblGrid>
      <w:tr>
        <w:trPr>
          <w:trHeight w:val="4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单台控制</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先进的全电脑控制技术</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拖动系统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交流永磁同步无齿轮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曳引机位置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上置（有机房）</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额定载重量（kg）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500（kg）</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1.0（m/s）</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服务楼层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1层、2层，3层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发纹不锈钢</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厅门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发纹不锈钢</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轿厢壁材料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发纹不锈钢</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PVC地板</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候梯厅显示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电子数码层楼显示器及微动按钮配发纹不锈钢</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面板组成的一体化呼梯装置</w:t>
            </w: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电力提供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1.动力电源：a)电压：380V±7%    b)频率：50HZ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c)相数：3相5线制，零线和地线始终分开</w:t>
            </w:r>
            <w:r/>
          </w:p>
        </w:tc>
      </w:tr>
      <w:tr>
        <w:trPr>
          <w:trHeight w:val="55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2.照明电源：a)电压：220V  b)频率：50HZ  c)相数：单相</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2" w:type="dxa"/>
            <w:vAlign w:val="center"/>
            <w:textDirection w:val="lrTb"/>
            <w:noWrap w:val="false"/>
          </w:tcPr>
          <w:p>
            <w:pPr>
              <w:ind w:left="0" w:right="0" w:firstLine="0"/>
              <w:jc w:val="both"/>
              <w:spacing w:before="0" w:after="0" w:line="2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1.交叉开门</w:t>
            </w:r>
            <w:r/>
          </w:p>
          <w:p>
            <w:pPr>
              <w:ind w:left="0" w:right="0" w:firstLine="0"/>
              <w:jc w:val="both"/>
              <w:spacing w:before="0" w:after="0" w:line="2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2.拆除旧电梯</w:t>
            </w:r>
            <w:r/>
          </w:p>
          <w:p>
            <w:pPr>
              <w:ind w:left="0" w:right="0" w:firstLine="0"/>
              <w:jc w:val="both"/>
              <w:spacing w:before="0" w:after="0" w:line="2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3.杂物梯井道改造客梯井道及厅门外安装不锈钢门和大门套</w:t>
            </w:r>
            <w:r/>
          </w:p>
          <w:p>
            <w:pPr>
              <w:ind w:left="0" w:right="0" w:firstLine="0"/>
              <w:jc w:val="center"/>
              <w:spacing w:before="0" w:after="0" w:line="2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8"/>
        <w:gridCol/>
        <w:gridCol w:w="2641"/>
        <w:gridCol w:w="6105"/>
      </w:tblGrid>
      <w:tr>
        <w:trPr>
          <w:trHeight w:val="436"/>
        </w:trPr>
        <w:tc>
          <w:tcPr>
            <w:gridSpan w:val="3"/>
            <w:shd w:val="clear" w:color="f4b7be" w:fill="f4b7be"/>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3139"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运行功能</w:t>
            </w:r>
            <w:r/>
          </w:p>
        </w:tc>
        <w:tc>
          <w:tcPr>
            <w:shd w:val="clear" w:color="f4b7be" w:fill="f4b7be"/>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描述</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电梯变频驱动</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精确调整电动机转速，令电梯启动、运行、停止时的速度曲线平稳、圆滑，获得良好的舒适感。</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门机变频驱动</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精确调整电动机转速，使门机的开启、关闭更轻柔灵敏。</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独立运行</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通过动作开关，使电梯不响应外召，仅响应轿内指令。</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自动不停站通过</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当轿内挤满乘客或负载接近预定值，为保持最大运行效率，该轿厢将自动越过召唤层站。</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开门时间自动调整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按照层站召唤或轿厢召唤的区别，自动调整保持开门时间。</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本层重开门</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关门途中，可以按本层站召唤按钮使门重新开启。</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即时关门</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电梯停站开门到位时，按下关门按钮，门立即被关闭。</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停梯开门</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电梯减速平层，直到完全停稳后才开门。</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指令登记删除</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如按错了轿内楼层指令按钮，只要把同一按钮连按两次，就可取消已登记指令。</w:t>
            </w:r>
            <w:r/>
          </w:p>
        </w:tc>
      </w:tr>
      <w:tr>
        <w:trPr>
          <w:trHeight w:val="436"/>
        </w:trPr>
        <w:tc>
          <w:tcPr>
            <w:gridSpan w:val="3"/>
            <w:shd w:val="clear" w:color="f4b7be" w:fill="f4b7be"/>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39"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人机界面</w:t>
            </w:r>
            <w:r/>
          </w:p>
        </w:tc>
        <w:tc>
          <w:tcPr>
            <w:shd w:val="clear" w:color="f4b7be" w:fill="f4b7be"/>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描述</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轿内及层站微动指令按钮</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轿内操纵箱指令按钮及层站召唤按钮采用新型微动型按钮。</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轿内层楼、方向指示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轿内显示电梯所在层数及当前运行方向。</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层站层楼、方向指示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层站显示电梯所在层数及当前运行方向。</w:t>
            </w:r>
            <w:r/>
          </w:p>
        </w:tc>
      </w:tr>
      <w:tr>
        <w:trPr>
          <w:trHeight w:val="436"/>
        </w:trPr>
        <w:tc>
          <w:tcPr>
            <w:gridSpan w:val="3"/>
            <w:shd w:val="clear" w:color="f4b7be" w:fill="f4b7be"/>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39"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安全功能</w:t>
            </w:r>
            <w:r/>
          </w:p>
        </w:tc>
        <w:tc>
          <w:tcPr>
            <w:shd w:val="clear" w:color="f4b7be" w:fill="f4b7be"/>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描述</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光幕保护</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门开启和关闭期间，用覆盖整个门高度的红外光幕探测乘客和物体的门保护装置。</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指定停靠</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由于某种原因，电梯在目的层无法开门，电梯将关门运行至下一指定层楼。</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超载停梯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轿厢超载时，鸣响蜂鸣器并停止于该层站。</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防止失速内部计数器保护</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由于曳引钢丝绳打滑而无法正常运行时，电梯停止运行。</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启动保护控制</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电梯启动后在指定的时间内，没有离开门区，电梯停止运行。</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检修操作</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当进入检修状态时，轿厢以低速点动运行。</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故障自诊断</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控制器可记录最新的60个故障，以便快速排除故障，迅速恢复电梯运行。</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电梯门重复开关</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有时因阻碍或干扰，电梯门未能关闭，电梯门会重复打开或关闭，直到杂物被清除。</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上线越层及上下极限保护装置</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该装置可有效地防止当电梯万一发生失控时的冲顶或撞底现象，使电梯更安全可靠。</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下行超速保护装置</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当电梯下降运行的速度超过额定速度的1.2倍时，该装置自动切断控制电源，使电机停止运转以阻止电梯超速下行：如电梯继续超速下行，其速度超过额定速度的1.4倍时，安全钳动作，强制电梯停止运行，保证安全。</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上行超速保护装置</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当电梯上行的速度超过额定速度的1.2倍时，该装置自动将电梯减速或制停。</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轿厢防意外移动</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电梯在开门状态下，轿厢出现意外移动时，使轿厢停止移动。</w:t>
            </w:r>
            <w:r/>
          </w:p>
        </w:tc>
      </w:tr>
      <w:tr>
        <w:trPr>
          <w:trHeight w:val="436"/>
        </w:trPr>
        <w:tc>
          <w:tcPr>
            <w:gridSpan w:val="3"/>
            <w:shd w:val="clear" w:color="f4b7be" w:fill="f4b7be"/>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应急功能</w:t>
            </w:r>
            <w:r/>
          </w:p>
        </w:tc>
        <w:tc>
          <w:tcPr>
            <w:shd w:val="clear" w:color="f4b7be" w:fill="f4b7be"/>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描述</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应急照明</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停电时，自动打开轿内应急照明。</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点动运行</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当进入紧急电动状态时，轿厢以低速电动运行</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五方通话</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通过对讲机，可让轿内、轿顶、电梯机房、井道底坑、救援值班室之间通话。</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警铃</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紧急时，连续按下轿内操纵箱上的警铃按钮，安装于轿厢顶上的电铃会鸣响。</w:t>
            </w:r>
            <w:r/>
          </w:p>
        </w:tc>
      </w:tr>
      <w:tr>
        <w:trPr>
          <w:trHeight w:val="436"/>
        </w:trPr>
        <w:tc>
          <w:tcPr>
            <w:gridSpan w:val="2"/>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消防返回</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启动基站或监控屏上的钥匙开关，所有召唤均被取消电梯立即驶往指定救援层站停靠，并自动开门。</w:t>
            </w:r>
            <w:r/>
          </w:p>
        </w:tc>
      </w:tr>
      <w:tr>
        <w:trPr>
          <w:trHeight w:val="436"/>
        </w:trPr>
        <w:tc>
          <w:tcPr>
            <w:gridSpan w:val="3"/>
            <w:shd w:val="clear" w:color="f4b7be" w:fill="f4b7be"/>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节能功能</w:t>
            </w:r>
            <w:r/>
          </w:p>
        </w:tc>
        <w:tc>
          <w:tcPr>
            <w:shd w:val="clear" w:color="f4b7be" w:fill="f4b7be"/>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描述</w:t>
            </w:r>
            <w:r/>
          </w:p>
        </w:tc>
      </w:tr>
      <w:tr>
        <w:trPr>
          <w:trHeight w:val="4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轿厢风扇/照明自动开关</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在规定的时间内没有召唤或指令信号，轿厢内的风扇和照明会自动关闭，以节能。</w:t>
            </w:r>
            <w:r/>
          </w:p>
        </w:tc>
      </w:tr>
      <w:tr>
        <w:trPr>
          <w:trHeight w:val="436"/>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gridSpan w:val="2"/>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远程关闭</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610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通过钥匙开关，电梯可以被召唤到基站（服务完成后），并自动退出服务。</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2.本项目核心产品为曳引驱动乘客电梯。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3.详细技术指标及要求：</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0"/>
        <w:gridCol w:w="892"/>
        <w:gridCol w:w="3863"/>
        <w:gridCol w:w="762"/>
        <w:gridCol w:w="739"/>
        <w:gridCol w:w="501"/>
      </w:tblGrid>
      <w:tr>
        <w:trPr>
          <w:trHeight w:val="2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3"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详细技术参数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有机房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乘客电梯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3" w:type="dxa"/>
            <w:vAlign w:val="top"/>
            <w:textDirection w:val="lrTb"/>
            <w:noWrap w:val="false"/>
          </w:tcPr>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一、技术指标：</w:t>
            </w:r>
            <w:r/>
          </w:p>
          <w:p>
            <w:pPr>
              <w:ind w:left="0" w:right="0" w:firstLine="40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DT1:</w:t>
            </w:r>
            <w:r>
              <w:rPr>
                <w:rFonts w:ascii="SimSun" w:hAnsi="SimSun" w:eastAsia="SimSun" w:cs="SimSun"/>
                <w:color w:val="000000"/>
                <w:sz w:val="20"/>
              </w:rPr>
              <w:t xml:space="preserve"> 层数：3/3/3；交井道尺寸：1800*1750mm; 顶层高度(m)：4.7；底坑深度(m)：1.4;层高:1F 3700mm、2F 3700mm、3F 4700mm；载重：500kg，提升速度(m/s)：1.0;所在位置：食堂。</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rPr>
                <w:rFonts w:ascii="SimSun" w:hAnsi="SimSun" w:eastAsia="SimSun" w:cs="SimSun"/>
                <w:color w:val="000000"/>
                <w:sz w:val="20"/>
              </w:rPr>
              <w:t xml:space="preserve">2.电梯形式：曳引驱动乘客电梯.</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rPr>
                <w:rFonts w:ascii="SimSun" w:hAnsi="SimSun" w:eastAsia="SimSun" w:cs="SimSun"/>
                <w:color w:val="000000"/>
                <w:sz w:val="20"/>
              </w:rPr>
              <w:t xml:space="preserve">3.电梯材质：轿顶、轿厢内壁、吊顶材质均采用发纹不锈钢；轿厢地板采用PVC材质，并做防滑处理;操作面板：发纹不锈钢，数码显示；电梯门套需采用304不锈钢，且厚度≥1.2mm。</w:t>
            </w:r>
            <w:r/>
          </w:p>
          <w:p>
            <w:pPr>
              <w:ind w:left="0" w:right="0" w:firstLine="4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4:电梯对讲系统方式：无线传输</w:t>
            </w:r>
            <w:r/>
          </w:p>
          <w:p>
            <w:pPr>
              <w:ind w:left="0" w:right="0" w:firstLine="4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5.控制方式：集选控制</w:t>
            </w:r>
            <w:r/>
          </w:p>
          <w:p>
            <w:pPr>
              <w:ind w:left="0" w:right="0" w:firstLine="4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6.开门方式：中分两扇交叉门</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二、功能指标：</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满载直驶； 基站开门等待时间可调；▲轿厢照明、风扇节能运行；火灾应急返回；▲轿内应急照明；▲门锁安全装置的失效检测；语音安抚功能；▲应急电动松闸功能；▲制动力矩检测功能；▲无线对讲系统；再平层故障时就近平层（如，马达过温 故障、楼层位置错误）；缺相及错相保护；▲轿厢意外移动保护；▲门锁安全装置的失效检测;▲IC刷卡功能。</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rPr>
                <w:rFonts w:ascii="SimSun" w:hAnsi="SimSun" w:eastAsia="SimSun" w:cs="SimSun"/>
                <w:color w:val="000000"/>
                <w:sz w:val="20"/>
              </w:rPr>
              <w:t xml:space="preserve">三、安全指标：</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整机</w:t>
            </w:r>
            <w:r>
              <w:rPr>
                <w:rFonts w:ascii="SimSun" w:hAnsi="SimSun" w:eastAsia="SimSun" w:cs="SimSun"/>
                <w:b/>
                <w:color w:val="000000"/>
                <w:sz w:val="20"/>
              </w:rPr>
              <w:t xml:space="preserve">乘客电梯、缓冲器、控制柜、驱动主机、限速器</w:t>
            </w:r>
            <w:r>
              <w:rPr>
                <w:rFonts w:ascii="SimSun" w:hAnsi="SimSun" w:eastAsia="SimSun" w:cs="SimSun"/>
                <w:color w:val="000000"/>
                <w:sz w:val="20"/>
              </w:rPr>
              <w:t xml:space="preserve">具有符合《电梯型式试验规则》（TSG T7007-2022）规定的有效期内的特种设备型式试验证书，需提供型式试验证书复印件并加盖供应商公章。</w:t>
            </w:r>
            <w:r/>
          </w:p>
          <w:p>
            <w:pPr>
              <w:ind w:left="0" w:right="0" w:firstLine="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top"/>
            <w:textDirection w:val="lrTb"/>
            <w:noWrap w:val="false"/>
          </w:tcPr>
          <w:p>
            <w:pPr>
              <w:ind w:left="0" w:right="0" w:firstLine="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7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6" w:type="dxa"/>
            <w:vAlign w:val="center"/>
            <w:textDirection w:val="lrTb"/>
            <w:noWrap w:val="false"/>
          </w:tcPr>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注：1.电梯大门套采用304不锈钢材质，且厚度≥1.2mm；安装电梯门口挡板，高度1.3米</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按国家规范要求配置五方通话系统无线传输。</w:t>
            </w:r>
            <w:r/>
          </w:p>
          <w:p>
            <w:pPr>
              <w:ind w:left="8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2.各供应商现场实勘电梯井道，投标（响应）报价含井道整改费用，拆除旧电梯。</w:t>
            </w:r>
            <w:r/>
          </w:p>
          <w:p>
            <w:pPr>
              <w:ind w:left="0" w:right="0" w:firstLine="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3.投标（响应）总价为交钥匙工程价，采购人不再追加任何费用。</w:t>
            </w:r>
            <w:r/>
          </w:p>
        </w:tc>
      </w:tr>
    </w:tbl>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符号说明：★表示实质性参数，不满足该指标项将导致投标（响应）无效；▲表示重要参数，负偏离项总计3项或3项以上的，视为未实质性响应本项目采购需求，为无效投标（响应）；其他为一般参数。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三、商务要求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1、完工及质保期：</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（1）完工期：合同签订之后，15日完成供货及安装。</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（2）服务期：项目竣工验收合格后进入质量保修期，免费保修期为2年。（自电梯安装验收合格之日起计算）</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3）保修期内，供应商负责对其所提供的全部软件、硬件、设备及系统其它相关部分，进行免费技术服务、维护、维修，免费提供备品、备件服务，不收取额外费用。因人为因素出现的故障，供应商负责对维修只收取配件成本费用。</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（4）保修期外，终身维修，维修只收取配件成本费用。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2、安装调试及培训：</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（1）供应商负责安装调试；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（2）供应商须提供全套技术手册和维修手册，并负责使用人员的培训，确保相关人员能够正常使用项目涉及产品的所有功能。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（3）由于教学楼、食堂在学校内，</w:t>
      </w:r>
      <w:r>
        <w:rPr>
          <w:rFonts w:ascii="SimSun" w:hAnsi="SimSun" w:eastAsia="SimSun" w:cs="SimSun"/>
          <w:color w:val="000000"/>
          <w:sz w:val="20"/>
        </w:rPr>
        <w:t xml:space="preserve">供应商</w:t>
      </w:r>
      <w:r>
        <w:rPr>
          <w:rFonts w:ascii="SimSun" w:hAnsi="SimSun" w:eastAsia="SimSun" w:cs="SimSun"/>
          <w:color w:val="000000"/>
          <w:sz w:val="22"/>
        </w:rPr>
        <w:t xml:space="preserve">要充分考虑安全因素。每天施工完成后要及时清理现场，确保不影响后期师生人员上、下班（学）。施工时</w:t>
      </w:r>
      <w:r>
        <w:rPr>
          <w:rFonts w:ascii="SimSun" w:hAnsi="SimSun" w:eastAsia="SimSun" w:cs="SimSun"/>
          <w:color w:val="000000"/>
          <w:sz w:val="20"/>
        </w:rPr>
        <w:t xml:space="preserve">供应商</w:t>
      </w:r>
      <w:r>
        <w:rPr>
          <w:rFonts w:ascii="SimSun" w:hAnsi="SimSun" w:eastAsia="SimSun" w:cs="SimSun"/>
          <w:color w:val="000000"/>
          <w:sz w:val="22"/>
        </w:rPr>
        <w:t xml:space="preserve">必须现场配备安全员，在现场全程监督确保施工安全。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3.调试检测要求：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（1）安装调试完工后，供应商组织自检，协助买方申请技术检查部门检测合格后方可移交。检测所需设备由成交供应商提供。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（2）供应商派遣有丰富经验的工程人员进行检测，并对检测调试错误所导致的设备损坏承担全部赔偿责任。检测调试完毕后，按国家标准验收程序和规程进行验收，双方认可后签字。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4.售后服务：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供应商须提供24小时服务热线，承诺在系统发生故障2小时内赶到现场。如果在系统发生故障时间段内，未能及时派技术人员到达现场并</w:t>
      </w:r>
      <w:r>
        <w:rPr>
          <w:rFonts w:ascii="SimSun" w:hAnsi="SimSun" w:eastAsia="SimSun" w:cs="SimSun"/>
          <w:color w:val="000000"/>
          <w:sz w:val="24"/>
        </w:rPr>
        <w:t xml:space="preserve">进行维修，则</w:t>
      </w:r>
      <w:r>
        <w:rPr>
          <w:rFonts w:ascii="SimSun" w:hAnsi="SimSun" w:eastAsia="SimSun" w:cs="SimSun"/>
          <w:color w:val="000000"/>
          <w:sz w:val="22"/>
        </w:rPr>
        <w:t xml:space="preserve">由采购人组织专业技术人员维修，由此产生的费用由中标供应商支付。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5.现场踏勘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请已获取采购文件的各供应商应前往项目实施地进行现场踏勘，若未参加的现场踏勘，则今后出现与此相关的任何问题由供应商自行承担全部责任和后果。</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时间：2026年9月23日上午9:30</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地点：丹阳市大泊中心幼儿园</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联系人：柴晓奕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联系方式：13812370968</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注：1.符号说明：★表示实质性参数，不满足该指标项将导致投标（响应）无效；▲表示重要参数，其他为一般参数。</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2.对项目需求部分的询问、质疑请向采购人提出，询问、质疑由采购人负责解释。</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9"/>
        </w:numPr>
        <w:jc w:val="center"/>
        <w:spacing w:before="240" w:after="24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评标办法和标准</w:t>
      </w:r>
      <w:r/>
    </w:p>
    <w:p>
      <w:pPr>
        <w:ind w:left="482" w:right="1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询价小组义务</w:t>
      </w:r>
      <w:r/>
    </w:p>
    <w:p>
      <w:pPr>
        <w:ind w:left="482" w:right="1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询价小组成员应当履行下列义务： </w:t>
      </w:r>
      <w:r/>
    </w:p>
    <w:p>
      <w:pPr>
        <w:ind w:left="482" w:right="1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（一）遵纪守法，客观、公正、廉洁地履行职责； </w:t>
      </w:r>
      <w:r/>
    </w:p>
    <w:p>
      <w:pPr>
        <w:ind w:left="482" w:right="1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（二）根据采购文件的规定独立进行评审，对个人的评审意见承担法律责任； </w:t>
      </w:r>
      <w:r/>
    </w:p>
    <w:p>
      <w:pPr>
        <w:ind w:left="482" w:right="1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（三）参与评审报告的起草； </w:t>
      </w:r>
      <w:r/>
    </w:p>
    <w:p>
      <w:pPr>
        <w:ind w:left="482" w:right="1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（四）配合采购人、采购代理机构答复供应商提出的质疑； </w:t>
      </w:r>
      <w:r/>
    </w:p>
    <w:p>
      <w:pPr>
        <w:ind w:left="482" w:right="1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（五）配合财政部门的投诉处理和监督检查工作。</w:t>
      </w:r>
      <w:r/>
    </w:p>
    <w:p>
      <w:pPr>
        <w:ind w:left="482" w:right="1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2.评审程序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2.1询价组织方按询价小组名单核对身份并签到。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2.2询价组织方宣布询价及评审纪律，询价小组确认有无回避的情形。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2.3询价小组推选组长，负责组织询价及评审活动，采购人代表不得担任组长。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2.4询价小组正式评审前，应当对采购文件进行熟悉和理解，审查采购文件。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询价小组应当对响应文件进行评审，并根据询价文件规定的程序、评定成交的标准等事项对响应文件进行实质性审查。未实质性响应询价文件供应商提交的响应文件按无效响应处理，询价小组应当告知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询价小组在对响应文件的有效性、完整性和响应程度进行审查时，可以要求供应商对响应文件中含义不明确、同类问题表述不一致或者有明显文字和计算错误的内容等作出必要的澄清、说明或者更正。询价小组要求供应商澄清、说明或者更正响应文件应当以书面形式作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2.10询价小组应当从质量和服务均能满足采购文件实质性响应要求的供应商中，按照报价由低到高的顺序提出3名以上成交候选人，并编写评审报告。</w:t>
      </w:r>
      <w:r/>
    </w:p>
    <w:p>
      <w:pPr>
        <w:ind w:left="0" w:right="14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3.供应商资格审查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☑发布公告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开启结束后，询价小组将依法对供应商的资格进行审查。资格审查的内容如下：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2762"/>
        <w:gridCol w:w="58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提供法人或者其他组织的营业执照等证明文件扫描件；供应商为自然人的，提供其身份证扫描件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提供2025度财务报告，成立不满一年的提供至少一个月财务报告，或银行出具的资信证明，或财政部门认可的政府采购专业担保机构出具的投标（响应）担保函等；或提供资格承诺函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提供声明函或资格承诺函。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提供资格承诺函或声明函。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（1）供应商如为电梯制造商，须具有《中华人民共和国特种设备制造许可证》（电梯）或《中华人民共和国特种设备生产许可证》（电梯）。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供应商可自行选择是否提供资格承诺函，若不提供资格承诺函的， 应按采购文件要求提供以上 2-5 项相应的证明材料。资格承诺函格式要求见投标（响应）文件组成部分。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 </w:t>
      </w:r>
      <w:r>
        <w:rPr>
          <w:rFonts w:ascii="SimSun" w:hAnsi="SimSun" w:eastAsia="SimSun" w:cs="SimSun"/>
          <w:b/>
          <w:color w:val="000000"/>
          <w:sz w:val="24"/>
        </w:rPr>
        <w:t xml:space="preserve">询价响应文件的有效性、完整性和响应程度审查</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2"/>
        <w:gridCol w:w="1760"/>
        <w:gridCol w:w="720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60"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202"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92" w:type="dxa"/>
            <w:vAlign w:val="center"/>
            <w:vMerge w:val="restart"/>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6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投标（响应）文件有效性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2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投标（响应）文件的有效电子签章。</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2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投标（响应）报价。</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2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未发现属无效投标（响应）的情形。</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92"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对采购文件（询价通知书）响应程度</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2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审查投标（响应）文件，以确定其是否满足采购文件（询价通知书）的实质性要求。不满足采购文件（询价通知书）的实质性要求的，投标（响应）无效。</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询价响应文件与询价通知书要求的主要条款、条件和技术规格是否相符，是否存在重大偏离或保留。所谓重大偏离或保留系指影响到询价通知书规定的货物（服务）范围、质量和性能的，或者在实质上与询价通知书不一致，有限制采购人权利和供应商义务的规定，而纠正这些偏离或保留将会对其他实质上响应文件的供应商的竞争地位产生不公正的影响（重大偏离或保留的认定须经询价小组半数以上同意）。询价小组决定询价响应文件的响应性只根据询价响应文件本身的内容，而不寻求外部的证据。</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供应商存在下列情况之一的，其询价响应无效：</w:t>
      </w:r>
      <w:r/>
    </w:p>
    <w:p>
      <w:pPr>
        <w:ind w:left="0" w:right="1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（1）未按照询价通知书要求盖公章的；未按询价通知书要求由供应商的法定代表人签字或盖章的；</w:t>
      </w:r>
      <w:r/>
    </w:p>
    <w:p>
      <w:pPr>
        <w:ind w:left="0" w:right="1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（2）不具备询价通知书中规定的资格要求的；</w:t>
      </w:r>
      <w:r/>
    </w:p>
    <w:p>
      <w:pPr>
        <w:ind w:left="0" w:right="1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（3）报价超出采购项目预算或最高限价的；</w:t>
      </w:r>
      <w:r/>
    </w:p>
    <w:p>
      <w:pPr>
        <w:ind w:left="0" w:right="1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（4）响应文件含有采购人不能接受的附加条件的；</w:t>
      </w:r>
      <w:r/>
    </w:p>
    <w:p>
      <w:pPr>
        <w:ind w:left="0" w:right="1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（5）不符合法律、法规和询价通知书规定的其它实质性条款（须经询价小组半数以上同意）：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☑如有委托代理人，未提供供应商为其缴纳社保证明材料的；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☑不同供应商的单位负责人为同一人或者存在直接控股、管理关系的；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信用中国”网站（www.creditchina.gov.cn）、中国政府采购网（www.ccgp.gov.cn）、“信用江苏”网站（http://www.jscredit.gov.cn）查询结果为失信被执行人名单、重大税收违法案件当事人名单、政府采购严重违法失信行为名单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明显低于其他通过符合性审查供应商的报价，符合《关于推动解决政府采购异常低价问题的通知》财库〔2026〕2号中规定的异常低价情形，评审委员会（询价小组）已对其启动异常低价投标（响应）审查程序，但供应商不能证明其报价合理性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☑未在提交截止时间前提交有效加密文件的；由于供应商原因，未在规定时间内对响应文件进行有效解密的；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☑供应商存在串通竞标情形的：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有下列情形之一的，视为供应商串通询价，询价响应无效：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（1）不同供应商的响应文件由同一单位或者个人编制；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（2）不同供应商委托同一单位或者个人办理询价事宜；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（3）不同供应商的响应文件载明的项目管理成员或者联系人员为同一人；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（4）不同供应商的响应文件异常一致或者询价报价呈规律性差异；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（5）不同供应商的响应文件相互混装。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☑为本项目提供整体设计、规范编制或者项目管理、监理、检测等服务的；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☑项目工期有负偏离的；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☑项目服务要求响应有负偏离的；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☑免费质保期有负偏离的；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☑参数部分负偏离程度过大，经评委会认定影响采购人实际使用的；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5.评审</w:t>
      </w:r>
      <w:r/>
    </w:p>
    <w:p>
      <w:pPr>
        <w:ind w:left="0" w:right="14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5.1.价格调减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1.根据《财政部 发展改革委 生态环境部 市场监管总局关于调整优化节能产品 环境标志产品政府采购执行机制的通知》（财库〔2019〕9号）的规定，对政府采购节能产品、环境标志产品实施品目清单管理。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节能产品政府采购品目清单优先采购范围中的，每有一种对其最后报价进行×2%的调减。（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left="0" w:right="1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经主管预算单位统筹后未预留份额专门面向中小企业采购的采购项目，以及预留份额项目中的非预留部分采购包，供应商提供的货物均由小型、微型企业制造的，对其投标（响应）报价给予10%的调减。应当按照《政府采购促进中小企业发展管理办法》（财库〔2020〕46号）的规定提供《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视同小型、微型企业，享受与小型、微型企业产品价格同比例扣除的优惠政策。参加报价的监狱企业，应当按照《关于政府采购支持监狱企业发展有关问题的通知》（财库[2014]68号）的规定提供由省级以上监狱管理局、戒毒管理局(含新疆生产建设兵团)出具的属于监狱企业的证明文件复印件；</w:t>
      </w:r>
      <w:r/>
    </w:p>
    <w:p>
      <w:pPr>
        <w:ind w:left="0" w:right="1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视同小型、微型企业，享受与小型、微型企业产品价格同比例扣除的优惠政策。参加报价的残疾人福利性单位，应当按照《财政部、民政部、中国残疾人联合会关于促进残疾人就业政府采购政策的通知》（财库〔2017〕141号）的规定提供《残疾人福利性单位声明函》。</w:t>
      </w:r>
      <w:r/>
    </w:p>
    <w:p>
      <w:pPr>
        <w:ind w:left="0" w:right="1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同一供应商报价上述2、3、4三项价格调减优惠不得重复享受。调减后的价格作为评审价格，成交价格仍以的实际报价为准。</w:t>
      </w:r>
      <w:r/>
    </w:p>
    <w:p>
      <w:pPr>
        <w:ind w:left="0" w:right="14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二、评审办法和标准</w:t>
      </w:r>
      <w:r/>
    </w:p>
    <w:p>
      <w:pPr>
        <w:ind w:left="0" w:right="1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1.询价小组应当从质量和服务均能满足采购文件实质性响应要求的供应商中，按照报价（经调减后）由低到高的顺序提出1名以上成交候选人，并编写评审报告。</w:t>
      </w:r>
      <w:r/>
    </w:p>
    <w:p>
      <w:pPr>
        <w:ind w:left="0" w:right="1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2.报价相同的，按质量和服务由高到低顺序排列。</w:t>
        <w:br w:type="page" w:clear="all"/>
      </w:r>
      <w:r/>
    </w:p>
    <w:p>
      <w:pPr>
        <w:ind w:left="0" w:right="0" w:firstLine="0"/>
        <w:jc w:val="center"/>
        <w:spacing w:before="240" w:after="24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第六部分投标（响应）文件（格式）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540" w:after="5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文  件</w:t>
      </w:r>
      <w:r/>
    </w:p>
    <w:p>
      <w:pPr>
        <w:ind w:left="0" w:right="0" w:firstLine="480"/>
        <w:jc w:val="both"/>
        <w:spacing w:before="540" w:after="5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48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48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人（公章）：   </w:t>
      </w:r>
      <w:r/>
    </w:p>
    <w:p>
      <w:pPr>
        <w:ind w:left="0" w:right="0" w:firstLine="48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基本目录</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一、开标一览表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rPr>
          <w:rFonts w:ascii="Calibri" w:hAnsi="Calibri" w:eastAsia="Calibri" w:cs="Calibri"/>
          <w:color w:val="000000"/>
          <w:sz w:val="2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92"/>
        <w:gridCol w:w="2793"/>
        <w:gridCol w:w="3525"/>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9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9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52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9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详见投标（响应）文件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52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9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31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金额大写</w:t>
            </w:r>
            <w:r>
              <w:rPr>
                <w:rFonts w:ascii="Calibri" w:hAnsi="Calibri" w:eastAsia="Calibri" w:cs="Calibri"/>
                <w:color w:val="000000"/>
                <w:sz w:val="24"/>
              </w:rPr>
              <w:t xml:space="preserve"> </w:t>
            </w:r>
            <w:r/>
          </w:p>
        </w:tc>
      </w:tr>
    </w:tbl>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供应商盖章（公章）：</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二、询价承诺函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（询价组织方）：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根据贵方关于   （项目编号）询价邀请，我方经详细审阅和研究，现决定参加本项目询价，正式授权下述   、   (姓名和职务)代表   （供应商名称），全权处理本项目询价的有关事宜。我方声明如下：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1.我方承诺：我方完全具备《政府采购法》第二十二条第一款规定的条件。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2.我方承诺：根据询价通知书及询价响应文件的规定和承诺，完成项目合同的相应责任和义务（如有偏离，响应文件中另作说明）。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3.我方已详细审核全部询价通知书，包括询价通知书变更通知（如果有），我公司完全理解并同意放弃对这方面不明及误解的权利。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4.我方保证向贵方提供的响应文件及所有材料的完整、真实、合法、有效并对其负责。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5.我方同意从规定的询价日期起遵循本询价通知书，并在规定的有效期期满之前均具有约束力。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6.我方承诺在规定的询价开始时间后，在询价有效期内不撤回响应文件。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7.我方同意提供贵方可能要求的与本询价有关的任何证据或资料。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8.我方如用虚假材料或恶意方式向贵方提出质疑，将承担相应的法律责任。同时承诺：我公司如果有上述行为，将无条件承担贵方相关的调查论证费用。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9.遵守询价通知书中要求的收费项目和标准。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10.与本询价活动有关的一切正式往来通讯请寄：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加盖</w:t>
      </w:r>
      <w:r>
        <w:rPr>
          <w:rFonts w:ascii="SimSun" w:hAnsi="SimSun" w:eastAsia="SimSun" w:cs="SimSun"/>
          <w:color w:val="000000"/>
          <w:sz w:val="24"/>
        </w:rPr>
        <w:t xml:space="preserve">CA</w:t>
      </w:r>
      <w:r>
        <w:rPr>
          <w:rFonts w:ascii="Times New Roman" w:hAnsi="Times New Roman" w:eastAsia="Times New Roman" w:cs="Times New Roman"/>
          <w:color w:val="000000"/>
          <w:sz w:val="24"/>
        </w:rPr>
        <w:t xml:space="preserve">电子公章</w:t>
      </w:r>
      <w:r>
        <w:rPr>
          <w:rFonts w:ascii="SimSun" w:hAnsi="SimSun" w:eastAsia="SimSun" w:cs="SimSun"/>
          <w:color w:val="000000"/>
          <w:sz w:val="24"/>
        </w:rPr>
        <w:t xml:space="preserve">）：      </w:t>
      </w:r>
      <w:r/>
    </w:p>
    <w:p>
      <w:pPr>
        <w:ind w:left="0" w:right="0" w:firstLine="4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三、清单及明细报价表</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1525"/>
        <w:gridCol w:w="1415"/>
        <w:gridCol w:w="1649"/>
        <w:gridCol/>
        <w:gridCol w:w="1664"/>
        <w:gridCol w:w="1479"/>
        <w:gridCol w:w="49"/>
        <w:gridCol w:w="1095"/>
      </w:tblGrid>
      <w:tr>
        <w:trPr>
          <w:trHeight w:val="594"/>
        </w:trPr>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服务部分小计：     元</w:t>
            </w:r>
            <w:r/>
          </w:p>
        </w:tc>
      </w:tr>
      <w:tr>
        <w:trPr>
          <w:trHeight w:val="59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其它相关费用</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w:t>
      </w:r>
      <w:r>
        <w:rPr>
          <w:rFonts w:ascii="SimSun" w:hAnsi="SimSun" w:eastAsia="SimSun" w:cs="SimSun"/>
          <w:b/>
          <w:i/>
          <w:color w:val="000000"/>
          <w:sz w:val="24"/>
        </w:rPr>
        <w:t xml:space="preserve">本表仅供参考，请各供应商仔细核对第四部分项目需求</w:t>
      </w:r>
      <w:r>
        <w:rPr>
          <w:rFonts w:ascii="SimSun" w:hAnsi="SimSun" w:eastAsia="SimSun" w:cs="SimSun"/>
          <w:b/>
          <w:color w:val="000000"/>
          <w:sz w:val="24"/>
        </w:rPr>
        <w:t xml:space="preserve">。</w:t>
      </w:r>
      <w:r>
        <w:rPr>
          <w:rFonts w:ascii="SimSun" w:hAnsi="SimSun" w:eastAsia="SimSun" w:cs="SimSun"/>
          <w:color w:val="000000"/>
          <w:sz w:val="24"/>
        </w:rPr>
        <w:t xml:space="preserve">本表中“供应商认为与此次采购有关的必须的费用”由供应商根据采购文件第四部分项目需求相关报价要求填写，项目总报价包含与本项目相关的所有费用。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2、项目实施时，除采购人明确提出需要变更增加外，不再增加任何费用，供应商应确保本项目能安全、正常运行并达到采购要求。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3、本表中项目总价应与开标（报价）一览表中报价保持一致。总价与按单价汇总金额不一致的，以单价金额计算结果为准。</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四、法定代表人身份证明书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4"/>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4"/>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4"/>
        </w:rPr>
        <w:t xml:space="preserve">，在我单位任</w:t>
      </w:r>
      <w:r>
        <w:rPr>
          <w:rFonts w:ascii="SimSun" w:hAnsi="SimSun" w:eastAsia="SimSun" w:cs="SimSun"/>
          <w:color w:val="000000"/>
          <w:sz w:val="24"/>
          <w:u w:val="single"/>
        </w:rPr>
        <w:t xml:space="preserve">               </w:t>
      </w:r>
      <w:r>
        <w:rPr>
          <w:rFonts w:ascii="SimSun" w:hAnsi="SimSun" w:eastAsia="SimSun" w:cs="SimSun"/>
          <w:color w:val="000000"/>
          <w:sz w:val="24"/>
        </w:rPr>
        <w:t xml:space="preserve">职务，系我单位主要负责人即法定代表人。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w:t>
      </w:r>
      <w:r/>
    </w:p>
    <w:p>
      <w:pPr>
        <w:ind w:left="0" w:right="0" w:firstLine="480"/>
        <w:spacing w:before="240" w:after="24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附：法定代表人居民身份证扫描件</w:t>
      </w:r>
      <w:r/>
    </w:p>
    <w:p>
      <w:pPr>
        <w:ind w:left="0" w:right="0" w:firstLine="480"/>
        <w:spacing w:before="240" w:after="24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注：1.“法定代表人”直接参加投标响应活动的仅需填写本身份证明</w:t>
      </w:r>
      <w:r>
        <w:rPr>
          <w:rFonts w:ascii="SimSun" w:hAnsi="SimSun" w:eastAsia="SimSun" w:cs="SimSun"/>
          <w:color w:val="000000"/>
          <w:sz w:val="24"/>
        </w:rPr>
        <w:t xml:space="preserve">。</w:t>
      </w:r>
      <w:r/>
    </w:p>
    <w:p>
      <w:pPr>
        <w:ind w:left="0" w:right="0" w:firstLine="482"/>
        <w:spacing w:before="240" w:after="24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2.供应商属于非法人组织的，按照法律、行政法规规定能够对外代表其从事民事活动的主要负责人，视同法定代表人。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五、法定代表人授权委托书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附：委托代理人居民身份证扫描件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注：“法定代表人”授权其他人（必须为供应商正式员工，证明材料：劳动合同、近半年内至少一个月社会保险缴纳材料附后）投标（响应）的，须填写法定代表人身份证明书和本委托书。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资格条件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三、有依法缴纳税收和社会保障资金的良好记录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采购活动，提供的货物全部由符合政策要求的中小企业制造。相关企业（含联合体中的中小企业、签订分包意向协议的中小企业）的具体情况如下：  </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  </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 （标的名称）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  </w:t>
      </w:r>
      <w:r/>
    </w:p>
    <w:p>
      <w:pPr>
        <w:ind w:left="0" w:right="0" w:firstLine="50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  </w:t>
      </w:r>
      <w:r/>
    </w:p>
    <w:p>
      <w:pPr>
        <w:ind w:left="0" w:right="0" w:firstLine="50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企业名称（盖章）：  </w:t>
      </w:r>
      <w:r/>
    </w:p>
    <w:p>
      <w:pPr>
        <w:ind w:left="0" w:right="0" w:firstLine="50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七、本项目的特定资格要求：</w:t>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八、资格承诺函</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___________（采购人、采购代理机构）</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______________（项目名称）______________（项目编号）</w:t>
      </w:r>
      <w:r>
        <w:rPr>
          <w:rFonts w:ascii="SimSun" w:hAnsi="SimSun" w:eastAsia="SimSun" w:cs="SimSun"/>
          <w:color w:val="000000"/>
          <w:sz w:val="24"/>
        </w:rPr>
        <w:t xml:space="preserve">项目的政府采购活动，现承诺如下：</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w:t>
      </w:r>
      <w:r>
        <w:rPr>
          <w:rFonts w:ascii="SimSun" w:hAnsi="SimSun" w:eastAsia="SimSun" w:cs="SimSun"/>
          <w:color w:val="000000"/>
          <w:sz w:val="24"/>
          <w:u w:val="single"/>
        </w:rPr>
        <w:t xml:space="preserve">___________</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SimSun" w:hAnsi="SimSun" w:eastAsia="SimSun" w:cs="SimSun"/>
          <w:color w:val="000000"/>
          <w:sz w:val="24"/>
          <w:u w:val="single"/>
        </w:rPr>
        <w:t xml:space="preserve">___________</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___________</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符合条件</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一、投标（响应）报价</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二、商务要求响应</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2688"/>
        <w:gridCol w:w="2883"/>
        <w:gridCol w:w="1302"/>
        <w:gridCol w:w="8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三、技术要求响应</w:t>
      </w:r>
      <w:r/>
    </w:p>
    <w:tbl>
      <w:tblPr>
        <w:tblStyle w:val="6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2811"/>
        <w:gridCol w:w="2900"/>
        <w:gridCol w:w="1300"/>
        <w:gridCol w:w="8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价格折扣文件格式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(一)中小企业声明函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采购活动，提供的货物全部由符合政策要求的中小企业制造。相关企业（含联合体中的中小企业、签订分包意向协议的中小企业）的具体情况如下：  </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  </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 （标的名称）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  </w:t>
      </w:r>
      <w:r/>
    </w:p>
    <w:p>
      <w:pPr>
        <w:ind w:left="0" w:right="0" w:firstLine="50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  </w:t>
      </w:r>
      <w:r/>
    </w:p>
    <w:p>
      <w:pPr>
        <w:ind w:left="0" w:right="0" w:firstLine="50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企业名称（盖章）：  </w:t>
      </w:r>
      <w:r/>
    </w:p>
    <w:p>
      <w:pPr>
        <w:ind w:left="0" w:right="0" w:firstLine="50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ind w:left="0" w:right="0" w:firstLine="482"/>
        <w:jc w:val="center"/>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（二）残疾人福利性单位声明函</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（备注：1、供应商如不提供此声明函，价格将不做相应扣除。2、成交供应商为残疾人福利单位的，此声明函将随成交结果同时公告，接受社会监督）</w:t>
      </w:r>
      <w:r/>
    </w:p>
    <w:p>
      <w:pPr>
        <w:ind w:left="0" w:right="0" w:firstLine="5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供应商全称（加盖CA电子公章）：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日期：</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（三）按</w:t>
      </w:r>
      <w:r>
        <w:rPr>
          <w:rFonts w:ascii="SimSun" w:hAnsi="SimSun" w:eastAsia="SimSun" w:cs="SimSun"/>
          <w:color w:val="000000"/>
          <w:sz w:val="24"/>
        </w:rPr>
        <w:t xml:space="preserve">采购</w:t>
      </w:r>
      <w:r>
        <w:rPr>
          <w:rFonts w:ascii="SimSun" w:hAnsi="SimSun" w:eastAsia="SimSun" w:cs="SimSun"/>
          <w:b/>
          <w:color w:val="000000"/>
          <w:sz w:val="24"/>
        </w:rPr>
        <w:t xml:space="preserve">文件要求供应商所能提供的其他文件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MS Mincho">
    <w:panose1 w:val="02020603050405090304"/>
  </w:font>
  <w:font w:name="Segoe UI Symbol">
    <w:panose1 w:val="020B0502040204020203"/>
  </w:font>
  <w:font w:name="FangSong">
    <w:panose1 w:val="02010609060101010101"/>
  </w:font>
  <w:font w:name="SimHei">
    <w:panose1 w:val="02010609060101010101"/>
  </w:font>
  <w:font w:name="Symbol">
    <w:panose1 w:val="05050102010706020507"/>
  </w:font>
  <w:font w:name="KaiTi">
    <w:panose1 w:val="02010609060101010101"/>
  </w:font>
  <w:font w:name="华文楷体">
    <w:panose1 w:val="02010600040101010101"/>
  </w:font>
  <w:font w:name="Wingdings">
    <w:panose1 w:val="05000000000000000000"/>
  </w:font>
  <w:font w:name="等线">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Microsoft YaHei">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ind w:firstLine="360"/>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ind w:firstLine="36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decimal"/>
      <w:isLgl w:val="false"/>
      <w:suff w:val="tab"/>
      <w:lvlText w:val="第%1部分"/>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7"/>
  </w:num>
  <w:num w:numId="4">
    <w:abstractNumId w:val="5"/>
  </w:num>
  <w:num w:numId="5">
    <w:abstractNumId w:val="4"/>
  </w:num>
  <w:num w:numId="6">
    <w:abstractNumId w:val="1"/>
  </w:num>
  <w:num w:numId="7">
    <w:abstractNumId w:val="6"/>
  </w:num>
  <w:num w:numId="8">
    <w:abstractNumId w:val="2"/>
  </w:num>
  <w:num w:numId="9">
    <w:abstractNumId w:val="8"/>
  </w:num>
  <w:num w:numId="10">
    <w:abstractNumId w:val="0"/>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link w:val="934"/>
    <w:uiPriority w:val="0"/>
    <w:qFormat/>
    <w:pPr>
      <w:jc w:val="center"/>
      <w:widowControl w:val="off"/>
    </w:pPr>
    <w:rPr>
      <w:rFonts w:hint="default" w:asciiTheme="minorHAnsi" w:hAnsiTheme="minorHAnsi" w:eastAsiaTheme="minorEastAsia" w:cstheme="minorBidi"/>
      <w:sz w:val="32"/>
      <w:szCs w:val="32"/>
      <w:lang w:val="en-US" w:eastAsia="zh-CN" w:bidi="ar-SA"/>
    </w:rPr>
  </w:style>
  <w:style w:type="paragraph" w:styleId="639">
    <w:name w:val="Heading 1"/>
    <w:basedOn w:val="638"/>
    <w:next w:val="638"/>
    <w:link w:val="718"/>
    <w:uiPriority w:val="9"/>
    <w:qFormat/>
    <w:pPr>
      <w:keepLines/>
      <w:keepNext/>
      <w:spacing w:before="480" w:after="200"/>
      <w:outlineLvl w:val="0"/>
    </w:pPr>
    <w:rPr>
      <w:rFonts w:ascii="Arial" w:hAnsi="Arial" w:eastAsia="Arial" w:cs="Arial"/>
      <w:sz w:val="40"/>
      <w:szCs w:val="40"/>
    </w:rPr>
  </w:style>
  <w:style w:type="paragraph" w:styleId="640">
    <w:name w:val="Heading 2"/>
    <w:basedOn w:val="638"/>
    <w:next w:val="638"/>
    <w:uiPriority w:val="0"/>
    <w:qFormat/>
    <w:pPr>
      <w:spacing w:before="260" w:after="260" w:line="416" w:lineRule="auto"/>
      <w:outlineLvl w:val="1"/>
    </w:pPr>
    <w:rPr>
      <w:rFonts w:ascii="幼圆" w:eastAsia="楷体_GB2312"/>
      <w:b/>
      <w:sz w:val="44"/>
      <w:szCs w:val="20"/>
    </w:rPr>
  </w:style>
  <w:style w:type="paragraph" w:styleId="641">
    <w:name w:val="Heading 3"/>
    <w:basedOn w:val="638"/>
    <w:next w:val="638"/>
    <w:uiPriority w:val="0"/>
    <w:qFormat/>
    <w:pPr>
      <w:outlineLvl w:val="2"/>
    </w:pPr>
    <w:rPr>
      <w:sz w:val="32"/>
    </w:rPr>
  </w:style>
  <w:style w:type="paragraph" w:styleId="642">
    <w:name w:val="Heading 4"/>
    <w:basedOn w:val="641"/>
    <w:next w:val="638"/>
    <w:link w:val="721"/>
    <w:uiPriority w:val="9"/>
    <w:unhideWhenUsed/>
    <w:qFormat/>
    <w:pPr>
      <w:spacing w:before="320" w:after="200"/>
      <w:outlineLvl w:val="3"/>
    </w:pPr>
    <w:rPr>
      <w:rFonts w:ascii="Arial" w:eastAsia="Arial"/>
      <w:bCs/>
      <w:sz w:val="26"/>
      <w:szCs w:val="26"/>
    </w:rPr>
  </w:style>
  <w:style w:type="paragraph" w:styleId="643">
    <w:name w:val="Heading 5"/>
    <w:basedOn w:val="638"/>
    <w:next w:val="638"/>
    <w:link w:val="722"/>
    <w:uiPriority w:val="9"/>
    <w:unhideWhenUsed/>
    <w:qFormat/>
    <w:pPr>
      <w:keepLines/>
      <w:keepNext/>
      <w:spacing w:before="320" w:after="200"/>
      <w:outlineLvl w:val="4"/>
    </w:pPr>
    <w:rPr>
      <w:rFonts w:ascii="Arial" w:hAnsi="Arial" w:eastAsia="Arial" w:cs="Arial"/>
      <w:b/>
      <w:bCs/>
      <w:sz w:val="24"/>
    </w:rPr>
  </w:style>
  <w:style w:type="paragraph" w:styleId="644">
    <w:name w:val="Heading 6"/>
    <w:basedOn w:val="638"/>
    <w:next w:val="638"/>
    <w:link w:val="723"/>
    <w:uiPriority w:val="9"/>
    <w:unhideWhenUsed/>
    <w:qFormat/>
    <w:pPr>
      <w:keepLines/>
      <w:keepNext/>
      <w:spacing w:before="320" w:after="200"/>
      <w:outlineLvl w:val="5"/>
    </w:pPr>
    <w:rPr>
      <w:rFonts w:ascii="Arial" w:hAnsi="Arial" w:eastAsia="Arial" w:cs="Arial"/>
      <w:b/>
      <w:bCs/>
      <w:sz w:val="22"/>
      <w:szCs w:val="22"/>
    </w:rPr>
  </w:style>
  <w:style w:type="paragraph" w:styleId="645">
    <w:name w:val="Heading 7"/>
    <w:basedOn w:val="638"/>
    <w:next w:val="638"/>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Heading 8"/>
    <w:basedOn w:val="638"/>
    <w:next w:val="638"/>
    <w:link w:val="725"/>
    <w:uiPriority w:val="9"/>
    <w:unhideWhenUsed/>
    <w:qFormat/>
    <w:pPr>
      <w:keepLines/>
      <w:keepNext/>
      <w:spacing w:before="320" w:after="200"/>
      <w:outlineLvl w:val="7"/>
    </w:pPr>
    <w:rPr>
      <w:rFonts w:ascii="Arial" w:hAnsi="Arial" w:eastAsia="Arial" w:cs="Arial"/>
      <w:i/>
      <w:iCs/>
      <w:sz w:val="22"/>
      <w:szCs w:val="22"/>
    </w:rPr>
  </w:style>
  <w:style w:type="paragraph" w:styleId="647">
    <w:name w:val="Heading 9"/>
    <w:basedOn w:val="638"/>
    <w:next w:val="638"/>
    <w:link w:val="726"/>
    <w:uiPriority w:val="9"/>
    <w:unhideWhenUsed/>
    <w:qFormat/>
    <w:pPr>
      <w:keepLines/>
      <w:keepNext/>
      <w:spacing w:before="320" w:after="200"/>
      <w:outlineLvl w:val="8"/>
    </w:pPr>
    <w:rPr>
      <w:rFonts w:ascii="Arial" w:hAnsi="Arial" w:eastAsia="Arial" w:cs="Arial"/>
      <w:i/>
      <w:iCs/>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toc 7"/>
    <w:basedOn w:val="638"/>
    <w:next w:val="638"/>
    <w:uiPriority w:val="39"/>
    <w:unhideWhenUsed/>
    <w:qFormat/>
    <w:pPr>
      <w:ind w:left="1701"/>
      <w:spacing w:after="57"/>
    </w:pPr>
  </w:style>
  <w:style w:type="paragraph" w:styleId="651">
    <w:name w:val="Normal Indent"/>
    <w:basedOn w:val="638"/>
    <w:link w:val="918"/>
    <w:uiPriority w:val="0"/>
    <w:unhideWhenUsed/>
    <w:qFormat/>
    <w:pPr>
      <w:ind w:firstLine="420"/>
    </w:pPr>
  </w:style>
  <w:style w:type="paragraph" w:styleId="652">
    <w:name w:val="Caption"/>
    <w:basedOn w:val="638"/>
    <w:next w:val="63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3">
    <w:name w:val="Document Map"/>
    <w:basedOn w:val="638"/>
    <w:uiPriority w:val="99"/>
    <w:semiHidden/>
    <w:unhideWhenUsed/>
    <w:qFormat/>
    <w:rPr>
      <w:rFonts w:ascii="宋体"/>
      <w:sz w:val="18"/>
      <w:szCs w:val="18"/>
    </w:rPr>
  </w:style>
  <w:style w:type="paragraph" w:styleId="654">
    <w:name w:val="annotation text"/>
    <w:basedOn w:val="638"/>
    <w:link w:val="923"/>
    <w:uiPriority w:val="99"/>
    <w:semiHidden/>
    <w:unhideWhenUsed/>
    <w:qFormat/>
    <w:pPr>
      <w:jc w:val="left"/>
    </w:pPr>
  </w:style>
  <w:style w:type="paragraph" w:styleId="655">
    <w:name w:val="Body Text"/>
    <w:basedOn w:val="638"/>
    <w:next w:val="638"/>
    <w:uiPriority w:val="0"/>
    <w:qFormat/>
    <w:pPr>
      <w:spacing w:after="120"/>
    </w:pPr>
    <w:rPr>
      <w:rFonts w:ascii="Times New Roman" w:hAnsi="Times New Roman" w:eastAsia="宋体" w:cs="Times New Roman"/>
    </w:rPr>
  </w:style>
  <w:style w:type="paragraph" w:styleId="656">
    <w:name w:val="Body Text Indent"/>
    <w:basedOn w:val="638"/>
    <w:uiPriority w:val="99"/>
    <w:qFormat/>
    <w:pPr>
      <w:ind w:firstLine="645"/>
    </w:pPr>
    <w:rPr>
      <w:sz w:val="20"/>
    </w:rPr>
  </w:style>
  <w:style w:type="paragraph" w:styleId="657">
    <w:name w:val="toc 5"/>
    <w:basedOn w:val="638"/>
    <w:next w:val="638"/>
    <w:uiPriority w:val="39"/>
    <w:unhideWhenUsed/>
    <w:qFormat/>
    <w:pPr>
      <w:ind w:left="1134"/>
      <w:spacing w:after="57"/>
    </w:pPr>
  </w:style>
  <w:style w:type="paragraph" w:styleId="658">
    <w:name w:val="toc 3"/>
    <w:basedOn w:val="638"/>
    <w:next w:val="638"/>
    <w:uiPriority w:val="39"/>
    <w:unhideWhenUsed/>
    <w:qFormat/>
    <w:pPr>
      <w:ind w:left="567"/>
      <w:spacing w:after="57"/>
    </w:pPr>
  </w:style>
  <w:style w:type="paragraph" w:styleId="659">
    <w:name w:val="Plain Text"/>
    <w:basedOn w:val="638"/>
    <w:uiPriority w:val="99"/>
    <w:qFormat/>
    <w:rPr>
      <w:rFonts w:ascii="宋体" w:hAnsi="Courier New"/>
      <w:sz w:val="20"/>
      <w:szCs w:val="21"/>
    </w:rPr>
  </w:style>
  <w:style w:type="paragraph" w:styleId="660">
    <w:name w:val="toc 8"/>
    <w:basedOn w:val="638"/>
    <w:next w:val="638"/>
    <w:uiPriority w:val="39"/>
    <w:unhideWhenUsed/>
    <w:qFormat/>
    <w:pPr>
      <w:ind w:left="1984"/>
      <w:spacing w:after="57"/>
    </w:pPr>
  </w:style>
  <w:style w:type="paragraph" w:styleId="661">
    <w:name w:val="endnote text"/>
    <w:basedOn w:val="638"/>
    <w:link w:val="863"/>
    <w:uiPriority w:val="99"/>
    <w:semiHidden/>
    <w:unhideWhenUsed/>
    <w:qFormat/>
    <w:rPr>
      <w:sz w:val="20"/>
    </w:rPr>
  </w:style>
  <w:style w:type="paragraph" w:styleId="662">
    <w:name w:val="Balloon Text"/>
    <w:basedOn w:val="638"/>
    <w:link w:val="917"/>
    <w:uiPriority w:val="99"/>
    <w:semiHidden/>
    <w:unhideWhenUsed/>
    <w:qFormat/>
    <w:rPr>
      <w:sz w:val="18"/>
      <w:szCs w:val="18"/>
    </w:rPr>
  </w:style>
  <w:style w:type="paragraph" w:styleId="663">
    <w:name w:val="Footer"/>
    <w:basedOn w:val="638"/>
    <w:link w:val="736"/>
    <w:uiPriority w:val="99"/>
    <w:unhideWhenUsed/>
    <w:qFormat/>
    <w:pPr>
      <w:tabs>
        <w:tab w:val="center" w:pos="7143" w:leader="none"/>
        <w:tab w:val="right" w:pos="14287" w:leader="none"/>
      </w:tabs>
    </w:pPr>
  </w:style>
  <w:style w:type="paragraph" w:styleId="664">
    <w:name w:val="Header"/>
    <w:basedOn w:val="638"/>
    <w:link w:val="734"/>
    <w:uiPriority w:val="99"/>
    <w:unhideWhenUsed/>
    <w:qFormat/>
    <w:pPr>
      <w:tabs>
        <w:tab w:val="center" w:pos="7143" w:leader="none"/>
        <w:tab w:val="right" w:pos="14287" w:leader="none"/>
      </w:tabs>
    </w:pPr>
  </w:style>
  <w:style w:type="paragraph" w:styleId="665">
    <w:name w:val="toc 1"/>
    <w:basedOn w:val="638"/>
    <w:next w:val="638"/>
    <w:uiPriority w:val="39"/>
    <w:unhideWhenUsed/>
    <w:qFormat/>
    <w:pPr>
      <w:spacing w:after="57"/>
    </w:pPr>
  </w:style>
  <w:style w:type="paragraph" w:styleId="666">
    <w:name w:val="toc 4"/>
    <w:basedOn w:val="638"/>
    <w:next w:val="638"/>
    <w:uiPriority w:val="39"/>
    <w:unhideWhenUsed/>
    <w:qFormat/>
    <w:pPr>
      <w:ind w:left="850"/>
      <w:spacing w:after="57"/>
    </w:pPr>
  </w:style>
  <w:style w:type="paragraph" w:styleId="667">
    <w:name w:val="Subtitle"/>
    <w:basedOn w:val="638"/>
    <w:next w:val="638"/>
    <w:link w:val="729"/>
    <w:uiPriority w:val="11"/>
    <w:qFormat/>
    <w:pPr>
      <w:spacing w:before="200" w:after="200"/>
    </w:pPr>
    <w:rPr>
      <w:sz w:val="24"/>
    </w:rPr>
  </w:style>
  <w:style w:type="paragraph" w:styleId="668">
    <w:name w:val="footnote text"/>
    <w:basedOn w:val="638"/>
    <w:link w:val="862"/>
    <w:uiPriority w:val="99"/>
    <w:semiHidden/>
    <w:unhideWhenUsed/>
    <w:qFormat/>
    <w:pPr>
      <w:spacing w:after="40"/>
    </w:pPr>
    <w:rPr>
      <w:sz w:val="18"/>
    </w:rPr>
  </w:style>
  <w:style w:type="paragraph" w:styleId="669">
    <w:name w:val="toc 6"/>
    <w:basedOn w:val="638"/>
    <w:next w:val="638"/>
    <w:uiPriority w:val="39"/>
    <w:unhideWhenUsed/>
    <w:qFormat/>
    <w:pPr>
      <w:ind w:left="1417"/>
      <w:spacing w:after="57"/>
    </w:pPr>
  </w:style>
  <w:style w:type="paragraph" w:styleId="670">
    <w:name w:val="table of figures"/>
    <w:basedOn w:val="638"/>
    <w:next w:val="638"/>
    <w:uiPriority w:val="99"/>
    <w:unhideWhenUsed/>
    <w:qFormat/>
  </w:style>
  <w:style w:type="paragraph" w:styleId="671">
    <w:name w:val="toc 2"/>
    <w:basedOn w:val="638"/>
    <w:next w:val="638"/>
    <w:uiPriority w:val="39"/>
    <w:unhideWhenUsed/>
    <w:qFormat/>
    <w:pPr>
      <w:ind w:left="283"/>
      <w:spacing w:after="57"/>
    </w:pPr>
  </w:style>
  <w:style w:type="paragraph" w:styleId="672">
    <w:name w:val="toc 9"/>
    <w:basedOn w:val="638"/>
    <w:next w:val="638"/>
    <w:uiPriority w:val="39"/>
    <w:unhideWhenUsed/>
    <w:qFormat/>
    <w:pPr>
      <w:ind w:left="2268"/>
      <w:spacing w:after="57"/>
    </w:pPr>
  </w:style>
  <w:style w:type="paragraph" w:styleId="673">
    <w:name w:val="Normal (Web)"/>
    <w:basedOn w:val="638"/>
    <w:uiPriority w:val="99"/>
    <w:semiHidden/>
    <w:unhideWhenUsed/>
    <w:qFormat/>
    <w:pPr>
      <w:jc w:val="left"/>
      <w:spacing w:beforeAutospacing="1" w:afterAutospacing="1"/>
    </w:pPr>
    <w:rPr>
      <w:rFonts w:cs="Times New Roman"/>
      <w:sz w:val="24"/>
    </w:rPr>
  </w:style>
  <w:style w:type="paragraph" w:styleId="674">
    <w:name w:val="Title"/>
    <w:basedOn w:val="638"/>
    <w:next w:val="638"/>
    <w:link w:val="728"/>
    <w:uiPriority w:val="10"/>
    <w:qFormat/>
    <w:pPr>
      <w:contextualSpacing/>
      <w:spacing w:before="300" w:after="200"/>
    </w:pPr>
    <w:rPr>
      <w:sz w:val="48"/>
      <w:szCs w:val="48"/>
    </w:rPr>
  </w:style>
  <w:style w:type="paragraph" w:styleId="675">
    <w:name w:val="annotation subject"/>
    <w:basedOn w:val="654"/>
    <w:next w:val="654"/>
    <w:link w:val="924"/>
    <w:uiPriority w:val="99"/>
    <w:semiHidden/>
    <w:unhideWhenUsed/>
    <w:qFormat/>
    <w:rPr>
      <w:b/>
      <w:bCs/>
    </w:rPr>
  </w:style>
  <w:style w:type="paragraph" w:styleId="676">
    <w:name w:val="Body Text First Indent 2"/>
    <w:basedOn w:val="656"/>
    <w:uiPriority w:val="99"/>
    <w:qFormat/>
    <w:pPr>
      <w:ind w:firstLine="420"/>
      <w:spacing w:line="312" w:lineRule="auto"/>
    </w:pPr>
    <w:rPr>
      <w:rFonts w:ascii="Calibri" w:hAnsi="Calibri"/>
      <w:sz w:val="22"/>
    </w:rPr>
  </w:style>
  <w:style w:type="table" w:styleId="677">
    <w:name w:val="Table Grid"/>
    <w:basedOn w:val="64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8">
    <w:name w:val="endnote reference"/>
    <w:basedOn w:val="648"/>
    <w:uiPriority w:val="99"/>
    <w:semiHidden/>
    <w:unhideWhenUsed/>
    <w:qFormat/>
    <w:rPr>
      <w:vertAlign w:val="superscript"/>
    </w:rPr>
  </w:style>
  <w:style w:type="character" w:styleId="679">
    <w:name w:val="Hyperlink"/>
    <w:uiPriority w:val="99"/>
    <w:unhideWhenUsed/>
    <w:qFormat/>
    <w:rPr>
      <w:color w:val="0026e5" w:themeColor="hyperlink"/>
      <w:u w:val="single"/>
      <w14:textFill>
        <w14:solidFill>
          <w14:schemeClr w14:val="hlink"/>
        </w14:solidFill>
      </w14:textFill>
    </w:rPr>
  </w:style>
  <w:style w:type="character" w:styleId="680">
    <w:name w:val="annotation reference"/>
    <w:basedOn w:val="648"/>
    <w:uiPriority w:val="99"/>
    <w:semiHidden/>
    <w:unhideWhenUsed/>
    <w:qFormat/>
    <w:rPr>
      <w:sz w:val="21"/>
      <w:szCs w:val="21"/>
    </w:rPr>
  </w:style>
  <w:style w:type="character" w:styleId="681">
    <w:name w:val="footnote reference"/>
    <w:basedOn w:val="648"/>
    <w:uiPriority w:val="99"/>
    <w:unhideWhenUsed/>
    <w:qFormat/>
    <w:rPr>
      <w:vertAlign w:val="superscript"/>
    </w:rPr>
  </w:style>
  <w:style w:type="character" w:styleId="682" w:customStyle="1">
    <w:name w:val="Heading 1 Char"/>
    <w:basedOn w:val="648"/>
    <w:uiPriority w:val="9"/>
    <w:qFormat/>
    <w:rPr>
      <w:rFonts w:ascii="Arial" w:hAnsi="Arial" w:eastAsia="Arial" w:cs="Arial"/>
      <w:sz w:val="40"/>
      <w:szCs w:val="40"/>
    </w:rPr>
  </w:style>
  <w:style w:type="character" w:styleId="683" w:customStyle="1">
    <w:name w:val="Heading 4 Char"/>
    <w:basedOn w:val="648"/>
    <w:uiPriority w:val="9"/>
    <w:qFormat/>
    <w:rPr>
      <w:rFonts w:ascii="Arial" w:hAnsi="Arial" w:eastAsia="Arial" w:cs="Arial"/>
      <w:b/>
      <w:bCs/>
      <w:sz w:val="26"/>
      <w:szCs w:val="26"/>
    </w:rPr>
  </w:style>
  <w:style w:type="character" w:styleId="684" w:customStyle="1">
    <w:name w:val="Heading 5 Char"/>
    <w:basedOn w:val="648"/>
    <w:uiPriority w:val="9"/>
    <w:qFormat/>
    <w:rPr>
      <w:rFonts w:ascii="Arial" w:hAnsi="Arial" w:eastAsia="Arial" w:cs="Arial"/>
      <w:b/>
      <w:bCs/>
      <w:sz w:val="24"/>
      <w:szCs w:val="24"/>
    </w:rPr>
  </w:style>
  <w:style w:type="character" w:styleId="685" w:customStyle="1">
    <w:name w:val="Heading 6 Char"/>
    <w:basedOn w:val="648"/>
    <w:uiPriority w:val="9"/>
    <w:qFormat/>
    <w:rPr>
      <w:rFonts w:ascii="Arial" w:hAnsi="Arial" w:eastAsia="Arial" w:cs="Arial"/>
      <w:b/>
      <w:bCs/>
      <w:sz w:val="22"/>
      <w:szCs w:val="22"/>
    </w:rPr>
  </w:style>
  <w:style w:type="character" w:styleId="686" w:customStyle="1">
    <w:name w:val="Heading 7 Char"/>
    <w:basedOn w:val="648"/>
    <w:uiPriority w:val="9"/>
    <w:qFormat/>
    <w:rPr>
      <w:rFonts w:ascii="Arial" w:hAnsi="Arial" w:eastAsia="Arial" w:cs="Arial"/>
      <w:b/>
      <w:bCs/>
      <w:i/>
      <w:iCs/>
      <w:sz w:val="22"/>
      <w:szCs w:val="22"/>
    </w:rPr>
  </w:style>
  <w:style w:type="character" w:styleId="687" w:customStyle="1">
    <w:name w:val="Heading 8 Char"/>
    <w:basedOn w:val="648"/>
    <w:uiPriority w:val="9"/>
    <w:qFormat/>
    <w:rPr>
      <w:rFonts w:ascii="Arial" w:hAnsi="Arial" w:eastAsia="Arial" w:cs="Arial"/>
      <w:i/>
      <w:iCs/>
      <w:sz w:val="22"/>
      <w:szCs w:val="22"/>
    </w:rPr>
  </w:style>
  <w:style w:type="character" w:styleId="688" w:customStyle="1">
    <w:name w:val="Heading 9 Char"/>
    <w:basedOn w:val="648"/>
    <w:uiPriority w:val="9"/>
    <w:qFormat/>
    <w:rPr>
      <w:rFonts w:ascii="Arial" w:hAnsi="Arial" w:eastAsia="Arial" w:cs="Arial"/>
      <w:i/>
      <w:iCs/>
      <w:sz w:val="21"/>
      <w:szCs w:val="21"/>
    </w:rPr>
  </w:style>
  <w:style w:type="character" w:styleId="689" w:customStyle="1">
    <w:name w:val="Title Char"/>
    <w:basedOn w:val="648"/>
    <w:uiPriority w:val="10"/>
    <w:qFormat/>
    <w:rPr>
      <w:sz w:val="48"/>
      <w:szCs w:val="48"/>
    </w:rPr>
  </w:style>
  <w:style w:type="character" w:styleId="690" w:customStyle="1">
    <w:name w:val="Subtitle Char"/>
    <w:basedOn w:val="648"/>
    <w:uiPriority w:val="11"/>
    <w:qFormat/>
    <w:rPr>
      <w:sz w:val="24"/>
      <w:szCs w:val="24"/>
    </w:rPr>
  </w:style>
  <w:style w:type="character" w:styleId="691" w:customStyle="1">
    <w:name w:val="Quote Char"/>
    <w:uiPriority w:val="29"/>
    <w:qFormat/>
    <w:rPr>
      <w:i/>
    </w:rPr>
  </w:style>
  <w:style w:type="character" w:styleId="692" w:customStyle="1">
    <w:name w:val="Intense Quote Char"/>
    <w:uiPriority w:val="30"/>
    <w:qFormat/>
    <w:rPr>
      <w:i/>
    </w:rPr>
  </w:style>
  <w:style w:type="character" w:styleId="693" w:customStyle="1">
    <w:name w:val="Header Char"/>
    <w:basedOn w:val="648"/>
    <w:uiPriority w:val="99"/>
    <w:qFormat/>
  </w:style>
  <w:style w:type="character" w:styleId="694" w:customStyle="1">
    <w:name w:val="Caption Char"/>
    <w:uiPriority w:val="99"/>
    <w:qFormat/>
  </w:style>
  <w:style w:type="table" w:styleId="695" w:customStyle="1">
    <w:name w:val="Plain Table 1"/>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2"/>
    <w:basedOn w:val="6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3"/>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customStyle="1">
    <w:name w:val="Plain Table 4"/>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customStyle="1">
    <w:name w:val="Plain Table 5"/>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0" w:customStyle="1">
    <w:name w:val="Grid Table 1 Light"/>
    <w:basedOn w:val="6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1" w:customStyle="1">
    <w:name w:val="Grid Table 2"/>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2" w:customStyle="1">
    <w:name w:val="Grid Table 3"/>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4"/>
    <w:basedOn w:val="6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customStyle="1">
    <w:name w:val="Grid Table 5 Dark"/>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5" w:customStyle="1">
    <w:name w:val="Grid Table 6 Colorful"/>
    <w:basedOn w:val="6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6" w:customStyle="1">
    <w:name w:val="Grid Table 7 Colorful"/>
    <w:basedOn w:val="6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7" w:customStyle="1">
    <w:name w:val="List Table 1 Light"/>
    <w:basedOn w:val="6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8" w:customStyle="1">
    <w:name w:val="List Table 2"/>
    <w:basedOn w:val="6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9" w:customStyle="1">
    <w:name w:val="List Table 3"/>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0" w:customStyle="1">
    <w:name w:val="List Table 4"/>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1" w:customStyle="1">
    <w:name w:val="List Table 5 Dark"/>
    <w:basedOn w:val="6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2" w:customStyle="1">
    <w:name w:val="List Table 6 Colorful"/>
    <w:basedOn w:val="6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3" w:customStyle="1">
    <w:name w:val="List Table 7 Colorful"/>
    <w:basedOn w:val="6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4" w:customStyle="1">
    <w:name w:val="Footnote Text Char"/>
    <w:uiPriority w:val="99"/>
    <w:qFormat/>
    <w:rPr>
      <w:sz w:val="18"/>
    </w:rPr>
  </w:style>
  <w:style w:type="character" w:styleId="715" w:customStyle="1">
    <w:name w:val="Endnote Text Char"/>
    <w:uiPriority w:val="99"/>
    <w:qFormat/>
    <w:rPr>
      <w:sz w:val="20"/>
    </w:rPr>
  </w:style>
  <w:style w:type="paragraph" w:styleId="716" w:customStyle="1">
    <w:name w:val="TOC Heading"/>
    <w:uiPriority w:val="39"/>
    <w:unhideWhenUsed/>
    <w:qFormat/>
    <w:rPr>
      <w:rFonts w:hint="default" w:ascii="Times New Roman" w:hAnsi="Times New Roman" w:eastAsia="宋体" w:cs="Times New Roman"/>
    </w:rPr>
  </w:style>
  <w:style w:type="paragraph" w:styleId="717" w:customStyle="1">
    <w:name w:val="标题二、"/>
    <w:basedOn w:val="638"/>
    <w:uiPriority w:val="99"/>
    <w:qFormat/>
    <w:pPr>
      <w:ind w:firstLine="200"/>
      <w:spacing w:line="360" w:lineRule="auto"/>
      <w:outlineLvl w:val="2"/>
    </w:pPr>
    <w:rPr>
      <w:rFonts w:ascii="宋体" w:hAnsi="宋体"/>
      <w:b/>
      <w:szCs w:val="21"/>
    </w:rPr>
  </w:style>
  <w:style w:type="character" w:styleId="718" w:customStyle="1">
    <w:name w:val="标题 1 字符"/>
    <w:basedOn w:val="648"/>
    <w:link w:val="639"/>
    <w:uiPriority w:val="9"/>
    <w:qFormat/>
    <w:rPr>
      <w:rFonts w:ascii="Arial" w:hAnsi="Arial" w:eastAsia="Arial" w:cs="Arial"/>
      <w:sz w:val="40"/>
      <w:szCs w:val="40"/>
    </w:rPr>
  </w:style>
  <w:style w:type="character" w:styleId="719" w:customStyle="1">
    <w:name w:val="Heading 2 Char"/>
    <w:basedOn w:val="648"/>
    <w:uiPriority w:val="9"/>
    <w:qFormat/>
    <w:rPr>
      <w:rFonts w:ascii="Arial" w:hAnsi="Arial" w:eastAsia="Arial" w:cs="Arial"/>
      <w:sz w:val="34"/>
    </w:rPr>
  </w:style>
  <w:style w:type="character" w:styleId="720" w:customStyle="1">
    <w:name w:val="Heading 3 Char"/>
    <w:basedOn w:val="648"/>
    <w:uiPriority w:val="9"/>
    <w:qFormat/>
    <w:rPr>
      <w:rFonts w:ascii="Arial" w:hAnsi="Arial" w:eastAsia="Arial" w:cs="Arial"/>
      <w:sz w:val="30"/>
      <w:szCs w:val="30"/>
    </w:rPr>
  </w:style>
  <w:style w:type="character" w:styleId="721" w:customStyle="1">
    <w:name w:val="标题 4 字符"/>
    <w:basedOn w:val="648"/>
    <w:link w:val="642"/>
    <w:uiPriority w:val="9"/>
    <w:qFormat/>
    <w:rPr>
      <w:rFonts w:ascii="Arial" w:hAnsi="Arial" w:eastAsia="Arial" w:cs="Arial"/>
      <w:b/>
      <w:bCs/>
      <w:sz w:val="26"/>
      <w:szCs w:val="26"/>
    </w:rPr>
  </w:style>
  <w:style w:type="character" w:styleId="722" w:customStyle="1">
    <w:name w:val="标题 5 字符"/>
    <w:basedOn w:val="648"/>
    <w:link w:val="643"/>
    <w:uiPriority w:val="9"/>
    <w:qFormat/>
    <w:rPr>
      <w:rFonts w:ascii="Arial" w:hAnsi="Arial" w:eastAsia="Arial" w:cs="Arial"/>
      <w:b/>
      <w:bCs/>
      <w:sz w:val="24"/>
      <w:szCs w:val="24"/>
    </w:rPr>
  </w:style>
  <w:style w:type="character" w:styleId="723" w:customStyle="1">
    <w:name w:val="标题 6 字符"/>
    <w:basedOn w:val="648"/>
    <w:link w:val="644"/>
    <w:uiPriority w:val="9"/>
    <w:qFormat/>
    <w:rPr>
      <w:rFonts w:ascii="Arial" w:hAnsi="Arial" w:eastAsia="Arial" w:cs="Arial"/>
      <w:b/>
      <w:bCs/>
      <w:sz w:val="22"/>
      <w:szCs w:val="22"/>
    </w:rPr>
  </w:style>
  <w:style w:type="character" w:styleId="724" w:customStyle="1">
    <w:name w:val="标题 7 字符"/>
    <w:basedOn w:val="648"/>
    <w:link w:val="645"/>
    <w:uiPriority w:val="9"/>
    <w:qFormat/>
    <w:rPr>
      <w:rFonts w:ascii="Arial" w:hAnsi="Arial" w:eastAsia="Arial" w:cs="Arial"/>
      <w:b/>
      <w:bCs/>
      <w:i/>
      <w:iCs/>
      <w:sz w:val="22"/>
      <w:szCs w:val="22"/>
    </w:rPr>
  </w:style>
  <w:style w:type="character" w:styleId="725" w:customStyle="1">
    <w:name w:val="标题 8 字符"/>
    <w:basedOn w:val="648"/>
    <w:link w:val="646"/>
    <w:uiPriority w:val="9"/>
    <w:qFormat/>
    <w:rPr>
      <w:rFonts w:ascii="Arial" w:hAnsi="Arial" w:eastAsia="Arial" w:cs="Arial"/>
      <w:i/>
      <w:iCs/>
      <w:sz w:val="22"/>
      <w:szCs w:val="22"/>
    </w:rPr>
  </w:style>
  <w:style w:type="character" w:styleId="726" w:customStyle="1">
    <w:name w:val="标题 9 字符"/>
    <w:basedOn w:val="648"/>
    <w:link w:val="647"/>
    <w:uiPriority w:val="9"/>
    <w:qFormat/>
    <w:rPr>
      <w:rFonts w:ascii="Arial" w:hAnsi="Arial" w:eastAsia="Arial" w:cs="Arial"/>
      <w:i/>
      <w:iCs/>
      <w:sz w:val="21"/>
      <w:szCs w:val="21"/>
    </w:rPr>
  </w:style>
  <w:style w:type="paragraph" w:styleId="727">
    <w:name w:val="No Spacing"/>
    <w:uiPriority w:val="1"/>
    <w:qFormat/>
    <w:rPr>
      <w:rFonts w:hint="default" w:asciiTheme="minorHAnsi" w:hAnsiTheme="minorHAnsi" w:eastAsiaTheme="minorEastAsia" w:cstheme="minorBidi"/>
      <w:lang w:val="en-US" w:eastAsia="zh-CN" w:bidi="ar-SA"/>
    </w:rPr>
  </w:style>
  <w:style w:type="character" w:styleId="728" w:customStyle="1">
    <w:name w:val="标题 字符"/>
    <w:basedOn w:val="648"/>
    <w:link w:val="674"/>
    <w:uiPriority w:val="10"/>
    <w:qFormat/>
    <w:rPr>
      <w:sz w:val="48"/>
      <w:szCs w:val="48"/>
    </w:rPr>
  </w:style>
  <w:style w:type="character" w:styleId="729" w:customStyle="1">
    <w:name w:val="副标题 字符"/>
    <w:basedOn w:val="648"/>
    <w:link w:val="667"/>
    <w:uiPriority w:val="11"/>
    <w:qFormat/>
    <w:rPr>
      <w:sz w:val="24"/>
      <w:szCs w:val="24"/>
    </w:rPr>
  </w:style>
  <w:style w:type="paragraph" w:styleId="730">
    <w:name w:val="Quote"/>
    <w:basedOn w:val="638"/>
    <w:next w:val="638"/>
    <w:link w:val="731"/>
    <w:uiPriority w:val="29"/>
    <w:qFormat/>
    <w:pPr>
      <w:ind w:left="720" w:right="720"/>
    </w:pPr>
    <w:rPr>
      <w:i/>
    </w:rPr>
  </w:style>
  <w:style w:type="character" w:styleId="731" w:customStyle="1">
    <w:name w:val="引用 字符"/>
    <w:link w:val="730"/>
    <w:uiPriority w:val="29"/>
    <w:qFormat/>
    <w:rPr>
      <w:i/>
    </w:rPr>
  </w:style>
  <w:style w:type="paragraph" w:styleId="732">
    <w:name w:val="Intense Quote"/>
    <w:basedOn w:val="638"/>
    <w:next w:val="638"/>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明显引用 字符"/>
    <w:link w:val="732"/>
    <w:uiPriority w:val="30"/>
    <w:qFormat/>
    <w:rPr>
      <w:i/>
    </w:rPr>
  </w:style>
  <w:style w:type="character" w:styleId="734" w:customStyle="1">
    <w:name w:val="页眉 字符"/>
    <w:basedOn w:val="648"/>
    <w:link w:val="664"/>
    <w:uiPriority w:val="99"/>
    <w:qFormat/>
  </w:style>
  <w:style w:type="character" w:styleId="735" w:customStyle="1">
    <w:name w:val="Footer Char"/>
    <w:basedOn w:val="648"/>
    <w:uiPriority w:val="99"/>
    <w:qFormat/>
  </w:style>
  <w:style w:type="character" w:styleId="736" w:customStyle="1">
    <w:name w:val="页脚 字符"/>
    <w:link w:val="663"/>
    <w:uiPriority w:val="99"/>
    <w:qFormat/>
  </w:style>
  <w:style w:type="table" w:styleId="737" w:customStyle="1">
    <w:name w:val="Table Grid Light"/>
    <w:basedOn w:val="6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38" w:customStyle="1">
    <w:name w:val="无格式表格 11"/>
    <w:basedOn w:val="6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21"/>
    <w:basedOn w:val="6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basedOn w:val="6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basedOn w:val="6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basedOn w:val="6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网格表 1 浅色1"/>
    <w:basedOn w:val="6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4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4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4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4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4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4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6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4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4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4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4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4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4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7" w:customStyle="1">
    <w:name w:val="网格表 31"/>
    <w:basedOn w:val="6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4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4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4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4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4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4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6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4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6" w:customStyle="1">
    <w:name w:val="Grid Table 4 - Accent 2"/>
    <w:basedOn w:val="64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7" w:customStyle="1">
    <w:name w:val="Grid Table 4 - Accent 3"/>
    <w:basedOn w:val="64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8" w:customStyle="1">
    <w:name w:val="Grid Table 4 - Accent 4"/>
    <w:basedOn w:val="64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9" w:customStyle="1">
    <w:name w:val="Grid Table 4 - Accent 5"/>
    <w:basedOn w:val="64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0" w:customStyle="1">
    <w:name w:val="Grid Table 4 - Accent 6"/>
    <w:basedOn w:val="64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1" w:customStyle="1">
    <w:name w:val="网格表 5 深色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3" w:customStyle="1">
    <w:name w:val="Grid Table 5 Dark - Accent 2"/>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4" w:customStyle="1">
    <w:name w:val="Grid Table 5 Dark - Accent 3"/>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5" w:customStyle="1">
    <w:name w:val="Grid Table 5 Dark- Accent 4"/>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6" w:customStyle="1">
    <w:name w:val="Grid Table 5 Dark - Accent 5"/>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7" w:customStyle="1">
    <w:name w:val="Grid Table 5 Dark - Accent 6"/>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8" w:customStyle="1">
    <w:name w:val="网格表 6 彩色1"/>
    <w:basedOn w:val="6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4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4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4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82" w:customStyle="1">
    <w:name w:val="Grid Table 6 Colorful - Accent 4"/>
    <w:basedOn w:val="64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4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4" w:customStyle="1">
    <w:name w:val="Grid Table 6 Colorful - Accent 6"/>
    <w:basedOn w:val="64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5" w:customStyle="1">
    <w:name w:val="网格表 7 彩色1"/>
    <w:basedOn w:val="6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4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4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4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4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4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4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2" w:customStyle="1">
    <w:name w:val="清单表 1 浅色1"/>
    <w:basedOn w:val="64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4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4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4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4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4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4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9" w:customStyle="1">
    <w:name w:val="清单表 21"/>
    <w:basedOn w:val="6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4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1" w:customStyle="1">
    <w:name w:val="List Table 2 - Accent 2"/>
    <w:basedOn w:val="64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2" w:customStyle="1">
    <w:name w:val="List Table 2 - Accent 3"/>
    <w:basedOn w:val="64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3" w:customStyle="1">
    <w:name w:val="List Table 2 - Accent 4"/>
    <w:basedOn w:val="64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4" w:customStyle="1">
    <w:name w:val="List Table 2 - Accent 5"/>
    <w:basedOn w:val="64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5" w:customStyle="1">
    <w:name w:val="List Table 2 - Accent 6"/>
    <w:basedOn w:val="64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6" w:customStyle="1">
    <w:name w:val="清单表 31"/>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4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8" w:customStyle="1">
    <w:name w:val="List Table 3 - Accent 2"/>
    <w:basedOn w:val="64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4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4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4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4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3" w:customStyle="1">
    <w:name w:val="清单表 41"/>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4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5" w:customStyle="1">
    <w:name w:val="List Table 4 - Accent 2"/>
    <w:basedOn w:val="64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6" w:customStyle="1">
    <w:name w:val="List Table 4 - Accent 3"/>
    <w:basedOn w:val="64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7" w:customStyle="1">
    <w:name w:val="List Table 4 - Accent 4"/>
    <w:basedOn w:val="64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8" w:customStyle="1">
    <w:name w:val="List Table 4 - Accent 5"/>
    <w:basedOn w:val="64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9" w:customStyle="1">
    <w:name w:val="List Table 4 - Accent 6"/>
    <w:basedOn w:val="64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0" w:customStyle="1">
    <w:name w:val="清单表 5 深色1"/>
    <w:basedOn w:val="6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basedOn w:val="64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4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4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4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4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4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清单表 6 彩色1"/>
    <w:basedOn w:val="64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4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9" w:customStyle="1">
    <w:name w:val="List Table 6 Colorful - Accent 2"/>
    <w:basedOn w:val="64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0" w:customStyle="1">
    <w:name w:val="List Table 6 Colorful - Accent 3"/>
    <w:basedOn w:val="64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1" w:customStyle="1">
    <w:name w:val="List Table 6 Colorful - Accent 4"/>
    <w:basedOn w:val="64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2" w:customStyle="1">
    <w:name w:val="List Table 6 Colorful - Accent 5"/>
    <w:basedOn w:val="64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3" w:customStyle="1">
    <w:name w:val="List Table 6 Colorful - Accent 6"/>
    <w:basedOn w:val="64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4" w:customStyle="1">
    <w:name w:val="清单表 7 彩色1"/>
    <w:basedOn w:val="64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4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4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4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4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4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4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3" w:customStyle="1">
    <w:name w:val="Lined - Accent 2"/>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4" w:customStyle="1">
    <w:name w:val="Lined - Accent 3"/>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5" w:customStyle="1">
    <w:name w:val="Lined - Accent 4"/>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6" w:customStyle="1">
    <w:name w:val="Lined - Accent 5"/>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7" w:customStyle="1">
    <w:name w:val="Lined - Accent 6"/>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8" w:customStyle="1">
    <w:name w:val="Bordered &amp; Lined - Accent"/>
    <w:basedOn w:val="6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4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0" w:customStyle="1">
    <w:name w:val="Bordered &amp; Lined - Accent 2"/>
    <w:basedOn w:val="64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1" w:customStyle="1">
    <w:name w:val="Bordered &amp; Lined - Accent 3"/>
    <w:basedOn w:val="64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2" w:customStyle="1">
    <w:name w:val="Bordered &amp; Lined - Accent 4"/>
    <w:basedOn w:val="64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3" w:customStyle="1">
    <w:name w:val="Bordered &amp; Lined - Accent 5"/>
    <w:basedOn w:val="64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4" w:customStyle="1">
    <w:name w:val="Bordered &amp; Lined - Accent 6"/>
    <w:basedOn w:val="64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5" w:customStyle="1">
    <w:name w:val="Bordered"/>
    <w:basedOn w:val="6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4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7" w:customStyle="1">
    <w:name w:val="Bordered - Accent 2"/>
    <w:basedOn w:val="64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8" w:customStyle="1">
    <w:name w:val="Bordered - Accent 3"/>
    <w:basedOn w:val="64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9" w:customStyle="1">
    <w:name w:val="Bordered - Accent 4"/>
    <w:basedOn w:val="64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0" w:customStyle="1">
    <w:name w:val="Bordered - Accent 5"/>
    <w:basedOn w:val="64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1" w:customStyle="1">
    <w:name w:val="Bordered - Accent 6"/>
    <w:basedOn w:val="64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2" w:customStyle="1">
    <w:name w:val="脚注文本 字符"/>
    <w:link w:val="668"/>
    <w:uiPriority w:val="99"/>
    <w:qFormat/>
    <w:rPr>
      <w:sz w:val="18"/>
    </w:rPr>
  </w:style>
  <w:style w:type="character" w:styleId="863" w:customStyle="1">
    <w:name w:val="尾注文本 字符"/>
    <w:link w:val="661"/>
    <w:uiPriority w:val="99"/>
    <w:qFormat/>
    <w:rPr>
      <w:sz w:val="20"/>
    </w:rPr>
  </w:style>
  <w:style w:type="paragraph" w:styleId="864" w:customStyle="1">
    <w:name w:val="TOC 标题1"/>
    <w:uiPriority w:val="39"/>
    <w:unhideWhenUsed/>
    <w:qFormat/>
    <w:rPr>
      <w:rFonts w:hint="default" w:asciiTheme="minorHAnsi" w:hAnsiTheme="minorHAnsi" w:eastAsiaTheme="minorEastAsia" w:cstheme="minorBidi"/>
      <w:lang w:val="en-US" w:eastAsia="zh-CN" w:bidi="ar-SA"/>
    </w:rPr>
  </w:style>
  <w:style w:type="paragraph" w:styleId="865" w:customStyle="1">
    <w:name w:val="列出段落12"/>
    <w:basedOn w:val="638"/>
    <w:uiPriority w:val="0"/>
    <w:qFormat/>
    <w:pPr>
      <w:ind w:firstLine="420"/>
    </w:pPr>
  </w:style>
  <w:style w:type="paragraph" w:styleId="866" w:customStyle="1">
    <w:name w:val="01-标书-标题1"/>
    <w:next w:val="638"/>
    <w:uiPriority w:val="0"/>
    <w:qFormat/>
    <w:pPr>
      <w:ind w:firstLine="643"/>
      <w:jc w:val="both"/>
      <w:keepLines/>
      <w:keepNext/>
      <w:pageBreakBefore/>
      <w:widowControl w:val="off"/>
      <w:tabs>
        <w:tab w:val="left" w:pos="425" w:leader="none"/>
      </w:tabs>
      <w:outlineLvl w:val="0"/>
    </w:pPr>
    <w:rPr>
      <w:rFonts w:hint="default" w:cs="Times New Roman" w:asciiTheme="minorEastAsia" w:hAnsiTheme="minorEastAsia" w:eastAsiaTheme="minorEastAsia"/>
      <w:b/>
      <w:sz w:val="32"/>
      <w:szCs w:val="32"/>
      <w:lang w:val="en-US" w:eastAsia="zh-CN" w:bidi="ar-SA"/>
    </w:rPr>
  </w:style>
  <w:style w:type="paragraph" w:styleId="86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目录 1_0"/>
    <w:basedOn w:val="867"/>
    <w:next w:val="867"/>
    <w:uiPriority w:val="39"/>
    <w:qFormat/>
  </w:style>
  <w:style w:type="paragraph" w:styleId="869"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870"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871" w:customStyle="1">
    <w:name w:val="titlebody"/>
    <w:basedOn w:val="648"/>
    <w:uiPriority w:val="0"/>
    <w:qFormat/>
    <w:rPr>
      <w:rFonts w:ascii="宋体" w:hAnsi="宋体" w:eastAsia="宋体" w:cs="宋体"/>
      <w:b/>
      <w:bCs/>
      <w:color w:val="000000"/>
      <w:sz w:val="24"/>
      <w:szCs w:val="24"/>
    </w:rPr>
  </w:style>
  <w:style w:type="paragraph" w:styleId="87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87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87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87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87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877"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878"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879" w:customStyle="1">
    <w:name w:val="Normal_1_0"/>
    <w:uiPriority w:val="0"/>
    <w:qFormat/>
    <w:pPr>
      <w:jc w:val="center"/>
      <w:spacing w:line="360" w:lineRule="auto"/>
      <w:outlineLvl w:val="1"/>
    </w:pPr>
    <w:rPr>
      <w:rFonts w:hint="default" w:cs="宋体" w:asciiTheme="minorEastAsia" w:hAnsiTheme="minorEastAsia" w:eastAsiaTheme="minorEastAsia"/>
      <w:b/>
      <w:sz w:val="28"/>
      <w:szCs w:val="28"/>
      <w:lang w:val="en-US" w:eastAsia="zh-CN" w:bidi="ar-SA"/>
    </w:rPr>
  </w:style>
  <w:style w:type="paragraph" w:styleId="880"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881"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88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883"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88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885"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886" w:customStyle="1">
    <w:name w:val="正文缩进_0"/>
    <w:basedOn w:val="885"/>
    <w:uiPriority w:val="0"/>
    <w:qFormat/>
    <w:pPr>
      <w:ind w:firstLine="482"/>
      <w:spacing w:line="360" w:lineRule="atLeast"/>
    </w:pPr>
    <w:rPr>
      <w:rFonts w:ascii="Times New Roman" w:hAnsi="Times New Roman"/>
      <w:sz w:val="24"/>
      <w:szCs w:val="20"/>
    </w:rPr>
  </w:style>
  <w:style w:type="paragraph" w:styleId="887"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888" w:customStyle="1">
    <w:name w:val="Normal_8"/>
    <w:uiPriority w:val="0"/>
    <w:qFormat/>
    <w:pPr>
      <w:ind w:firstLine="883"/>
      <w:jc w:val="center"/>
      <w:outlineLvl w:val="2"/>
    </w:pPr>
    <w:rPr>
      <w:rFonts w:hint="default" w:ascii="Times New Roman" w:hAnsi="Times New Roman" w:cs="Times New Roman" w:eastAsiaTheme="minorEastAsia"/>
      <w:b/>
      <w:sz w:val="44"/>
      <w:szCs w:val="44"/>
      <w:lang w:val="en-US" w:eastAsia="zh-CN" w:bidi="ar-SA"/>
    </w:rPr>
  </w:style>
  <w:style w:type="paragraph" w:styleId="889"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890"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891"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892"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893"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89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89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896"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paragraph" w:styleId="897" w:customStyle="1">
    <w:name w:val="列表段落1"/>
    <w:basedOn w:val="896"/>
    <w:uiPriority w:val="34"/>
    <w:qFormat/>
    <w:pPr>
      <w:ind w:firstLine="420"/>
    </w:pPr>
  </w:style>
  <w:style w:type="paragraph" w:styleId="898"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89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0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01"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02" w:customStyle="1">
    <w:name w:val="正文_8"/>
    <w:uiPriority w:val="0"/>
    <w:qFormat/>
    <w:rPr>
      <w:rFonts w:hint="default" w:ascii="Times New Roman" w:hAnsi="Times New Roman" w:eastAsia="等线" w:cs="Times New Roman"/>
      <w:sz w:val="24"/>
      <w:szCs w:val="24"/>
      <w:lang w:val="en-US" w:eastAsia="zh-CN" w:bidi="ar-SA"/>
    </w:rPr>
  </w:style>
  <w:style w:type="paragraph" w:styleId="903"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0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0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906" w:customStyle="1">
    <w:name w:val="正文:缩进"/>
    <w:basedOn w:val="638"/>
    <w:uiPriority w:val="0"/>
    <w:qFormat/>
    <w:pPr>
      <w:ind w:firstLine="200"/>
      <w:jc w:val="left"/>
    </w:pPr>
  </w:style>
  <w:style w:type="paragraph" w:styleId="907" w:customStyle="1">
    <w:name w:val="_Style 2"/>
    <w:basedOn w:val="638"/>
    <w:uiPriority w:val="34"/>
    <w:qFormat/>
    <w:pPr>
      <w:ind w:firstLine="420"/>
    </w:pPr>
  </w:style>
  <w:style w:type="paragraph" w:styleId="908"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0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table" w:styleId="910" w:customStyle="1">
    <w:name w:val="Table Normal"/>
    <w:uiPriority w:val="0"/>
    <w:semiHidden/>
    <w:unhideWhenUsed/>
    <w:qFormat/>
    <w:tblPr>
      <w:tblCellMar>
        <w:left w:w="0" w:type="dxa"/>
        <w:top w:w="0" w:type="dxa"/>
        <w:right w:w="0" w:type="dxa"/>
        <w:bottom w:w="0" w:type="dxa"/>
      </w:tblCellMar>
    </w:tblPr>
  </w:style>
  <w:style w:type="paragraph" w:styleId="911" w:customStyle="1">
    <w:name w:val="Table Text"/>
    <w:basedOn w:val="638"/>
    <w:uiPriority w:val="0"/>
    <w:qFormat/>
    <w:pPr>
      <w:jc w:val="left"/>
      <w:spacing w:before="80" w:after="80" w:line="240" w:lineRule="atLeast"/>
    </w:pPr>
    <w:rPr>
      <w:rFonts w:ascii="等线" w:hAnsi="等线" w:eastAsia="等线" w:cs="Arial"/>
      <w:szCs w:val="21"/>
    </w:rPr>
  </w:style>
  <w:style w:type="character" w:styleId="912" w:customStyle="1">
    <w:name w:val="默认段落字体1"/>
    <w:uiPriority w:val="0"/>
    <w:qFormat/>
    <w:rPr>
      <w:rFonts w:asciiTheme="minorHAnsi" w:hAnsiTheme="minorHAnsi" w:eastAsiaTheme="minorEastAsia" w:cstheme="minorBidi"/>
      <w:sz w:val="21"/>
      <w:szCs w:val="24"/>
      <w:lang w:val="en-US" w:eastAsia="zh-CN" w:bidi="ar-SA"/>
    </w:rPr>
  </w:style>
  <w:style w:type="paragraph" w:styleId="913"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14" w:customStyle="1">
    <w:name w:val="列出段落1"/>
    <w:basedOn w:val="896"/>
    <w:uiPriority w:val="34"/>
    <w:qFormat/>
    <w:pPr>
      <w:ind w:firstLine="420"/>
    </w:pPr>
  </w:style>
  <w:style w:type="paragraph" w:styleId="915" w:customStyle="1">
    <w:name w:val="Char"/>
    <w:basedOn w:val="638"/>
    <w:uiPriority w:val="0"/>
    <w:qFormat/>
    <w:pPr>
      <w:ind w:firstLine="200"/>
      <w:tabs>
        <w:tab w:val="left" w:pos="360" w:leader="none"/>
      </w:tabs>
    </w:pPr>
    <w:rPr>
      <w:sz w:val="28"/>
      <w:szCs w:val="30"/>
    </w:rPr>
  </w:style>
  <w:style w:type="paragraph" w:styleId="916" w:customStyle="1">
    <w:name w:val="普通正文"/>
    <w:basedOn w:val="638"/>
    <w:uiPriority w:val="0"/>
    <w:qFormat/>
    <w:pPr>
      <w:ind w:firstLine="480"/>
      <w:jc w:val="left"/>
      <w:spacing w:before="120" w:after="120" w:line="360" w:lineRule="auto"/>
    </w:pPr>
    <w:rPr>
      <w:rFonts w:ascii="Arial" w:hAnsi="Arial"/>
      <w:sz w:val="24"/>
      <w:szCs w:val="24"/>
    </w:rPr>
  </w:style>
  <w:style w:type="character" w:styleId="917" w:customStyle="1">
    <w:name w:val="批注框文本 字符"/>
    <w:basedOn w:val="648"/>
    <w:link w:val="662"/>
    <w:uiPriority w:val="99"/>
    <w:semiHidden/>
    <w:qFormat/>
    <w:rPr>
      <w:rFonts w:asciiTheme="minorHAnsi" w:hAnsiTheme="minorHAnsi" w:eastAsiaTheme="minorEastAsia" w:cstheme="minorBidi"/>
      <w:sz w:val="18"/>
      <w:szCs w:val="18"/>
    </w:rPr>
  </w:style>
  <w:style w:type="character" w:styleId="918" w:customStyle="1">
    <w:name w:val="正文缩进 字符"/>
    <w:link w:val="651"/>
    <w:uiPriority w:val="0"/>
    <w:qFormat/>
    <w:rPr>
      <w:rFonts w:asciiTheme="minorHAnsi" w:hAnsiTheme="minorHAnsi" w:eastAsiaTheme="minorEastAsia" w:cstheme="minorBidi"/>
      <w:sz w:val="21"/>
      <w:szCs w:val="24"/>
    </w:rPr>
  </w:style>
  <w:style w:type="paragraph" w:styleId="919">
    <w:name w:val="List Paragraph"/>
    <w:basedOn w:val="638"/>
    <w:uiPriority w:val="99"/>
    <w:qFormat/>
    <w:pPr>
      <w:ind w:firstLine="420"/>
    </w:pPr>
  </w:style>
  <w:style w:type="character" w:styleId="920" w:customStyle="1">
    <w:name w:val="font21"/>
    <w:basedOn w:val="648"/>
    <w:uiPriority w:val="0"/>
    <w:qFormat/>
    <w:rPr>
      <w:rFonts w:hint="eastAsia" w:ascii="宋体" w:hAnsi="宋体" w:eastAsia="宋体" w:cs="宋体"/>
      <w:color w:val="000000"/>
      <w:sz w:val="22"/>
      <w:szCs w:val="22"/>
      <w:u w:val="none"/>
    </w:rPr>
  </w:style>
  <w:style w:type="character" w:styleId="921" w:customStyle="1">
    <w:name w:val="font11"/>
    <w:basedOn w:val="648"/>
    <w:uiPriority w:val="0"/>
    <w:qFormat/>
    <w:rPr>
      <w:rFonts w:hint="eastAsia" w:ascii="宋体" w:hAnsi="宋体" w:eastAsia="宋体" w:cs="宋体"/>
      <w:color w:val="000000"/>
      <w:sz w:val="22"/>
      <w:szCs w:val="22"/>
      <w:u w:val="none"/>
    </w:rPr>
  </w:style>
  <w:style w:type="character" w:styleId="922" w:customStyle="1">
    <w:name w:val="font41"/>
    <w:basedOn w:val="648"/>
    <w:uiPriority w:val="0"/>
    <w:qFormat/>
    <w:rPr>
      <w:rFonts w:ascii="Calibri" w:hAnsi="Calibri" w:cs="Calibri"/>
      <w:color w:val="000000"/>
      <w:sz w:val="22"/>
      <w:szCs w:val="22"/>
      <w:u w:val="none"/>
    </w:rPr>
  </w:style>
  <w:style w:type="character" w:styleId="923" w:customStyle="1">
    <w:name w:val="批注文字 字符"/>
    <w:basedOn w:val="648"/>
    <w:link w:val="654"/>
    <w:uiPriority w:val="99"/>
    <w:semiHidden/>
    <w:qFormat/>
    <w:rPr>
      <w:rFonts w:asciiTheme="minorHAnsi" w:hAnsiTheme="minorHAnsi" w:eastAsiaTheme="minorEastAsia" w:cstheme="minorBidi"/>
      <w:sz w:val="32"/>
      <w:szCs w:val="32"/>
    </w:rPr>
  </w:style>
  <w:style w:type="character" w:styleId="924" w:customStyle="1">
    <w:name w:val="批注主题 字符"/>
    <w:basedOn w:val="923"/>
    <w:link w:val="675"/>
    <w:uiPriority w:val="99"/>
    <w:semiHidden/>
    <w:qFormat/>
    <w:rPr>
      <w:rFonts w:asciiTheme="minorHAnsi" w:hAnsiTheme="minorHAnsi" w:eastAsiaTheme="minorEastAsia" w:cstheme="minorBidi"/>
      <w:b/>
      <w:bCs/>
      <w:sz w:val="32"/>
      <w:szCs w:val="32"/>
    </w:rPr>
  </w:style>
  <w:style w:type="paragraph" w:styleId="925" w:customStyle="1">
    <w:name w:val="Normal_25"/>
    <w:uiPriority w:val="0"/>
    <w:qFormat/>
    <w:rPr>
      <w:rFonts w:hint="default" w:ascii="Times New Roman" w:hAnsi="Times New Roman" w:eastAsia="Times New Roman" w:cs="Times New Roman"/>
      <w:sz w:val="24"/>
      <w:szCs w:val="24"/>
    </w:rPr>
  </w:style>
  <w:style w:type="paragraph" w:styleId="926"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927" w:customStyle="1">
    <w:name w:val="Heading 2"/>
    <w:basedOn w:val="900"/>
    <w:next w:val="928"/>
    <w:uiPriority w:val="99"/>
    <w:qFormat/>
    <w:pPr>
      <w:jc w:val="center"/>
      <w:keepLines/>
      <w:keepNext/>
      <w:spacing w:before="260" w:after="260" w:line="416" w:lineRule="auto"/>
      <w:outlineLvl w:val="1"/>
    </w:pPr>
    <w:rPr>
      <w:rFonts w:ascii="幼圆" w:hAnsi="Arial" w:eastAsia="楷体_GB2312"/>
      <w:b/>
      <w:sz w:val="44"/>
      <w:szCs w:val="20"/>
    </w:rPr>
  </w:style>
  <w:style w:type="paragraph" w:styleId="928" w:customStyle="1">
    <w:name w:val="Normal Indent_0"/>
    <w:basedOn w:val="900"/>
    <w:uiPriority w:val="0"/>
    <w:unhideWhenUsed/>
    <w:qFormat/>
    <w:pPr>
      <w:ind w:firstLine="420"/>
    </w:pPr>
  </w:style>
  <w:style w:type="paragraph" w:styleId="92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30" w:customStyle="1">
    <w:name w:val="列出段落3"/>
    <w:basedOn w:val="638"/>
    <w:uiPriority w:val="99"/>
    <w:qFormat/>
    <w:pPr>
      <w:ind w:firstLine="420"/>
    </w:pPr>
    <w:rPr>
      <w:rFonts w:ascii="Calibri" w:hAnsi="Calibri"/>
      <w:szCs w:val="22"/>
    </w:rPr>
  </w:style>
  <w:style w:type="paragraph" w:styleId="931" w:customStyle="1">
    <w:name w:val="标题 11"/>
    <w:basedOn w:val="638"/>
    <w:next w:val="638"/>
    <w:uiPriority w:val="9"/>
    <w:qFormat/>
    <w:pPr>
      <w:keepLines/>
      <w:keepNext/>
      <w:spacing w:before="340" w:after="330" w:line="578" w:lineRule="atLeast"/>
      <w:outlineLvl w:val="0"/>
    </w:pPr>
    <w:rPr>
      <w:b/>
      <w:bCs/>
      <w:sz w:val="44"/>
      <w:szCs w:val="44"/>
    </w:rPr>
  </w:style>
  <w:style w:type="paragraph" w:styleId="932" w:customStyle="1">
    <w:name w:val="正文缩进1"/>
    <w:basedOn w:val="638"/>
    <w:uiPriority w:val="0"/>
    <w:qFormat/>
    <w:pPr>
      <w:ind w:firstLine="420"/>
      <w:spacing w:line="240" w:lineRule="auto"/>
    </w:pPr>
    <w:rPr>
      <w:rFonts w:ascii="Times New Roman" w:hAnsi="Times New Roman"/>
      <w:sz w:val="20"/>
      <w:szCs w:val="20"/>
    </w:rPr>
  </w:style>
  <w:style w:type="paragraph" w:styleId="933" w:customStyle="1">
    <w:name w:val="标题 51"/>
    <w:basedOn w:val="638"/>
    <w:next w:val="638"/>
    <w:uiPriority w:val="9"/>
    <w:qFormat/>
    <w:pPr>
      <w:keepLines/>
      <w:keepNext/>
      <w:spacing w:before="280" w:after="290" w:line="376" w:lineRule="auto"/>
      <w:outlineLvl w:val="4"/>
    </w:pPr>
    <w:rPr>
      <w:b/>
      <w:bCs/>
      <w:sz w:val="28"/>
      <w:szCs w:val="28"/>
    </w:rPr>
  </w:style>
  <w:style w:type="character" w:styleId="934" w:customStyle="1">
    <w:name w:val="默认段落字体11"/>
    <w:link w:val="638"/>
    <w:uiPriority w:val="1"/>
    <w:unhideWhenUsed/>
    <w:qFormat/>
    <w:rPr>
      <w:rFonts w:hint="default" w:asciiTheme="minorHAnsi" w:hAnsiTheme="minorHAnsi" w:eastAsiaTheme="minorEastAsia" w:cstheme="minorBidi"/>
      <w:sz w:val="32"/>
      <w:szCs w:val="32"/>
      <w:lang w:val="en-US" w:eastAsia="zh-CN" w:bidi="ar-SA"/>
    </w:rPr>
  </w:style>
  <w:style w:type="paragraph" w:styleId="935" w:customStyle="1">
    <w:name w:val="Heading 3"/>
    <w:basedOn w:val="638"/>
    <w:next w:val="638"/>
    <w:uiPriority w:val="0"/>
    <w:qFormat/>
    <w:pPr>
      <w:keepLines/>
      <w:keepNext/>
      <w:spacing w:before="260" w:after="260" w:line="416" w:lineRule="auto"/>
      <w:outlineLvl w:val="2"/>
    </w:pPr>
    <w:rPr>
      <w:b/>
      <w:sz w:val="32"/>
      <w:szCs w:val="20"/>
    </w:rPr>
  </w:style>
  <w:style w:type="paragraph" w:styleId="93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7" w:customStyle="1">
    <w:name w:val="索引 41"/>
    <w:basedOn w:val="638"/>
    <w:next w:val="638"/>
    <w:uiPriority w:val="0"/>
    <w:unhideWhenUsed/>
    <w:qFormat/>
    <w:pPr>
      <w:ind w:left="600"/>
    </w:pPr>
  </w:style>
  <w:style w:type="paragraph" w:styleId="938" w:customStyle="1">
    <w:name w:val="正文缩进111"/>
    <w:basedOn w:val="638"/>
    <w:uiPriority w:val="0"/>
    <w:unhideWhenUsed/>
    <w:qFormat/>
    <w:pPr>
      <w:ind w:firstLine="420"/>
    </w:pPr>
    <w:rPr>
      <w:sz w:val="20"/>
    </w:rPr>
  </w:style>
  <w:style w:type="numbering" w:styleId="115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xcmm.com/help/gys.html%E3%80%8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big_baby</dc:creator>
  <cp:lastModifiedBy>王东</cp:lastModifiedBy>
  <cp:revision>37</cp:revision>
  <dcterms:created xsi:type="dcterms:W3CDTF">2023-12-24T12:59:00Z</dcterms:created>
  <dcterms:modified xsi:type="dcterms:W3CDTF">2026-09-15T07:15:18Z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D39B04BF085A427DB582059BC250DFA1_13</vt:lpwstr>
  </property>
  <property fmtid="{D5CDD505-2E9C-101B-9397-08002B2CF9AE}" pid="4" name="KSOTemplateDocerSaveRecord">
    <vt:lpwstr>eyJoZGlkIjoiOGMxYWJhY2UyNDczYTMwZDJkNGYxZjhlM2JiZjU5MzAiLCJ1c2VySWQiOiIxMjk1NDA4OCJ9</vt:lpwstr>
  </property>
</Properties>
</file>