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0"/>
        <w:rPr>
          <w:rFonts w:hint="eastAsia" w:eastAsia="黑体"/>
          <w:b/>
          <w:bCs/>
          <w:color w:val="000000"/>
          <w:sz w:val="84"/>
        </w:rPr>
      </w:pPr>
      <w:r>
        <w:rPr>
          <w:rFonts w:hint="eastAsia" w:eastAsia="黑体"/>
          <w:b/>
          <w:bCs/>
          <w:color w:val="000000"/>
          <w:sz w:val="84"/>
        </w:rPr>
      </w:r>
      <w:r/>
    </w:p>
    <w:p>
      <w:pPr>
        <w:pStyle w:val="81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14"/>
        <w:ind w:left="0" w:firstLine="0"/>
        <w:rPr>
          <w:rFonts w:hint="eastAsia"/>
          <w:b/>
          <w:bCs/>
          <w:color w:val="000000"/>
          <w:sz w:val="30"/>
          <w:szCs w:val="30"/>
        </w:rPr>
      </w:pPr>
      <w:r/>
      <w:bookmarkStart w:id="0" w:name="OLE_LINK7"/>
      <w:r/>
      <w:bookmarkStart w:id="1" w:name="OLE_LINK8"/>
      <w:r>
        <w:rPr>
          <w:rFonts w:hint="eastAsia"/>
          <w:b/>
          <w:bCs/>
          <w:color w:val="000000"/>
          <w:sz w:val="30"/>
          <w:szCs w:val="30"/>
        </w:rPr>
        <w:t xml:space="preserve">项目名称：</w:t>
      </w:r>
      <w:r>
        <w:rPr>
          <w:rFonts w:hint="eastAsia" w:hAnsi="宋体"/>
          <w:color w:val="000000"/>
          <w:sz w:val="30"/>
          <w:szCs w:val="30"/>
        </w:rPr>
        <w:t xml:space="preserve">2026年常州市钟楼区环境卫生管理处环卫车辆加油服务项目</w:t>
      </w:r>
      <w:r>
        <w:rPr>
          <w:rFonts w:hint="eastAsia"/>
          <w:b/>
          <w:bCs/>
          <w:color w:val="000000"/>
          <w:sz w:val="30"/>
          <w:szCs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ookmarkEnd w:id="0"/>
      <w:r>
        <w:rPr>
          <w:rFonts w:hint="eastAsia"/>
          <w:b/>
          <w:bCs/>
          <w:color w:val="000000"/>
          <w:sz w:val="30"/>
          <w:szCs w:val="30"/>
        </w:rPr>
        <w:t xml:space="preserve">项目编号：</w:t>
      </w:r>
      <w:r>
        <w:rPr>
          <w:b/>
          <w:color w:val="000000"/>
          <w:sz w:val="30"/>
          <w:szCs w:val="30"/>
        </w:rPr>
      </w:r>
      <w:r>
        <w:rPr>
          <w:rFonts w:ascii="Segoe UI" w:hAnsi="Segoe UI" w:eastAsia="Segoe UI" w:cs="Segoe UI"/>
          <w:color w:val="000000"/>
          <w:sz w:val="24"/>
          <w:highlight w:val="white"/>
        </w:rPr>
        <w:t xml:space="preserve">JSZC-320400-JZCG-G2026-0313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color w:val="000000"/>
          <w:sz w:val="30"/>
          <w:szCs w:val="30"/>
        </w:rPr>
        <w:t xml:space="preserve">        </w:t>
      </w:r>
      <w:r>
        <w:rPr>
          <w:rFonts w:hint="eastAsia"/>
          <w:b/>
          <w:color w:val="000000"/>
          <w:sz w:val="30"/>
          <w:szCs w:val="30"/>
        </w:rPr>
        <w:t xml:space="preserve">   </w:t>
      </w:r>
      <w:r>
        <w:rPr>
          <w:color w:val="000000"/>
          <w:sz w:val="30"/>
          <w:szCs w:val="30"/>
        </w:rPr>
        <w:t xml:space="preserve">  </w:t>
      </w:r>
      <w:r>
        <w:rPr>
          <w:b/>
          <w:color w:val="000000"/>
          <w:sz w:val="30"/>
          <w:szCs w:val="30"/>
        </w:rPr>
        <w:t xml:space="preserve"> </w:t>
      </w:r>
      <w:r/>
      <w:r/>
      <w:r>
        <w:rPr>
          <w:sz w:val="21"/>
        </w:rPr>
      </w:r>
    </w:p>
    <w:p>
      <w:pPr>
        <w:pStyle w:val="7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服务类项目且不包含产品采购，适用苏采云系统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814"/>
        <w:ind w:firstLine="0"/>
        <w:spacing w:before="0" w:after="0"/>
        <w:rPr>
          <w:rFonts w:hint="eastAsia" w:ascii="宋体" w:hAnsi="宋体"/>
        </w:rPr>
      </w:pPr>
      <w:r/>
      <w:bookmarkEnd w:id="1"/>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spacing w:before="0" w:after="0"/>
        <w:rPr>
          <w:rFonts w:hint="eastAsia" w:ascii="宋体" w:hAnsi="宋体"/>
        </w:rPr>
      </w:pPr>
      <w:r>
        <w:rPr>
          <w:rFonts w:hint="eastAsia" w:ascii="宋体" w:hAnsi="宋体"/>
        </w:rPr>
      </w:r>
      <w:r/>
    </w:p>
    <w:p>
      <w:pPr>
        <w:pStyle w:val="814"/>
        <w:ind w:firstLine="0"/>
        <w:jc w:val="center"/>
        <w:rPr>
          <w:rFonts w:hint="eastAsia"/>
          <w:b/>
          <w:bCs/>
          <w:sz w:val="32"/>
        </w:rPr>
      </w:pPr>
      <w:r>
        <w:rPr>
          <w:rFonts w:hint="eastAsia"/>
          <w:b/>
          <w:bCs/>
          <w:sz w:val="32"/>
        </w:rPr>
        <w:t xml:space="preserve">常州市政府采购中心</w:t>
      </w:r>
      <w:r>
        <w:rPr>
          <w:rFonts w:hint="eastAsia"/>
          <w:b/>
          <w:bCs/>
          <w:sz w:val="32"/>
        </w:rPr>
      </w:r>
      <w:r/>
    </w:p>
    <w:p>
      <w:pPr>
        <w:pStyle w:val="814"/>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8</w:t>
      </w:r>
      <w:r>
        <w:rPr>
          <w:rFonts w:hint="eastAsia"/>
          <w:b/>
          <w:bCs/>
          <w:sz w:val="32"/>
        </w:rPr>
        <w:t xml:space="preserve">日</w:t>
      </w:r>
      <w:r>
        <w:rPr>
          <w:rFonts w:hint="eastAsia"/>
          <w:b/>
          <w:bCs/>
          <w:sz w:val="32"/>
        </w:rPr>
      </w:r>
      <w:r/>
    </w:p>
    <w:p>
      <w:pPr>
        <w:pStyle w:val="814"/>
        <w:ind w:firstLine="0"/>
        <w:rPr>
          <w:rFonts w:hint="eastAsia"/>
          <w:u w:val="single"/>
        </w:rPr>
      </w:pPr>
      <w:r>
        <w:rPr>
          <w:rFonts w:hint="eastAsia"/>
        </w:rPr>
        <w:t xml:space="preserve">                        </w:t>
      </w:r>
      <w:r>
        <w:rPr>
          <w:rFonts w:hint="eastAsia"/>
          <w:u w:val="single"/>
        </w:rPr>
      </w:r>
      <w:r/>
    </w:p>
    <w:p>
      <w:pPr>
        <w:pStyle w:val="814"/>
        <w:ind w:firstLine="0"/>
        <w:jc w:val="center"/>
        <w:rPr>
          <w:rFonts w:hint="eastAsia"/>
        </w:rPr>
      </w:pPr>
      <w:r>
        <w:rPr>
          <w:rFonts w:hint="eastAsia"/>
        </w:rPr>
      </w:r>
      <w:r/>
    </w:p>
    <w:p>
      <w:pPr>
        <w:pStyle w:val="700"/>
        <w:jc w:val="center"/>
        <w:spacing w:line="480" w:lineRule="auto"/>
        <w:rPr>
          <w:rFonts w:hint="eastAsia" w:ascii="黑体" w:hAnsi="Arial" w:eastAsia="黑体"/>
          <w:b/>
          <w:sz w:val="44"/>
        </w:rPr>
        <w:outlineLvl w:val="0"/>
      </w:pPr>
      <w:r>
        <w:br w:type="page" w:clear="all"/>
      </w:r>
      <w:bookmarkStart w:id="2" w:name="_Toc120614210"/>
      <w:r/>
      <w:bookmarkStart w:id="3" w:name="_Toc523127445"/>
      <w:r/>
      <w:bookmarkStart w:id="4" w:name="_Toc16938516"/>
      <w:r/>
      <w:bookmarkStart w:id="5" w:name="_Toc479757206"/>
      <w:r/>
      <w:bookmarkStart w:id="6" w:name="_Toc20823272"/>
      <w:r/>
      <w:bookmarkStart w:id="7"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0"/>
        <w:spacing w:line="480" w:lineRule="auto"/>
        <w:rPr>
          <w:rFonts w:hint="eastAsia" w:ascii="仿宋_GB2312" w:hAnsi="Arial" w:eastAsia="仿宋_GB2312"/>
          <w:b/>
          <w:sz w:val="28"/>
        </w:rPr>
      </w:pPr>
      <w:r>
        <w:rPr>
          <w:rFonts w:hint="eastAsia" w:ascii="仿宋_GB2312" w:hAnsi="Arial" w:eastAsia="仿宋_GB2312"/>
          <w:b/>
          <w:sz w:val="28"/>
        </w:rPr>
      </w:r>
      <w:r/>
    </w:p>
    <w:p>
      <w:pPr>
        <w:pStyle w:val="700"/>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受[常州市钟楼区环境卫生管理处]的委托，常州市政府采购中心就[2026年常州市钟楼区环境卫生管理处环卫车辆加油服务项目]([项目编号]</w:t>
      </w:r>
      <w:r>
        <w:rPr>
          <w:rFonts w:ascii="宋体" w:hAnsi="宋体"/>
          <w:sz w:val="24"/>
          <w:szCs w:val="24"/>
        </w:rPr>
      </w:r>
      <w:r>
        <w:rPr>
          <w:rFonts w:ascii="Segoe UI" w:hAnsi="Segoe UI" w:eastAsia="Segoe UI" w:cs="Segoe UI"/>
          <w:color w:val="000000"/>
          <w:sz w:val="24"/>
          <w:highlight w:val="white"/>
        </w:rPr>
        <w:t xml:space="preserve">JSZC-320400-JZCG-G2026-0313</w:t>
      </w:r>
      <w:r/>
      <w:r>
        <w:rPr>
          <w:rFonts w:hint="eastAsia" w:ascii="宋体" w:hAnsi="宋体"/>
          <w:sz w:val="24"/>
          <w:szCs w:val="24"/>
        </w:rPr>
        <w:t xml:space="preserve">)项目进行公开招标采购，欢迎符合条件的供应商投标。</w:t>
      </w:r>
      <w:r/>
      <w:r/>
      <w:r>
        <w:rPr>
          <w:sz w:val="21"/>
        </w:rPr>
      </w:r>
    </w:p>
    <w:p>
      <w:pPr>
        <w:pStyle w:val="703"/>
        <w:ind w:firstLine="498"/>
        <w:spacing w:before="156" w:after="156" w:line="360" w:lineRule="auto"/>
      </w:pPr>
      <w:r/>
      <w:bookmarkStart w:id="8" w:name="_Toc35393790"/>
      <w:r/>
      <w:bookmarkStart w:id="9" w:name="_Toc38985263"/>
      <w:r/>
      <w:bookmarkStart w:id="10" w:name="_Toc35393621"/>
      <w:r/>
      <w:bookmarkStart w:id="11" w:name="_Toc28359079"/>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1.项目编号：</w:t>
      </w:r>
      <w:r>
        <w:rPr>
          <w:rFonts w:ascii="宋体" w:hAnsi="宋体"/>
          <w:sz w:val="24"/>
          <w:szCs w:val="24"/>
        </w:rPr>
      </w:r>
      <w:r>
        <w:rPr>
          <w:rFonts w:ascii="Segoe UI" w:hAnsi="Segoe UI" w:eastAsia="Segoe UI" w:cs="Segoe UI"/>
          <w:color w:val="000000"/>
          <w:sz w:val="24"/>
          <w:highlight w:val="white"/>
        </w:rPr>
        <w:t xml:space="preserve">JSZC-320400-JZCG-G2026-0313</w:t>
      </w:r>
      <w:r/>
      <w:r>
        <w:rPr>
          <w:rFonts w:hint="eastAsia" w:ascii="宋体" w:hAnsi="宋体"/>
          <w:sz w:val="24"/>
          <w:szCs w:val="24"/>
        </w:rPr>
      </w:r>
      <w:r/>
      <w:r/>
      <w:r>
        <w:rPr>
          <w:sz w:val="21"/>
        </w:rPr>
      </w:r>
    </w:p>
    <w:p>
      <w:pPr>
        <w:pStyle w:val="700"/>
        <w:ind w:firstLine="480"/>
        <w:rPr>
          <w:rFonts w:ascii="宋体" w:hAnsi="宋体"/>
          <w:sz w:val="24"/>
          <w:szCs w:val="24"/>
        </w:rPr>
      </w:pPr>
      <w:r>
        <w:rPr>
          <w:rFonts w:hint="eastAsia" w:ascii="宋体" w:hAnsi="宋体"/>
          <w:sz w:val="24"/>
          <w:szCs w:val="24"/>
        </w:rPr>
        <w:t xml:space="preserve">2.项目名称：2026年常州市钟楼区环境卫生管理处环卫车辆加油服务项目</w:t>
      </w:r>
      <w:r>
        <w:rPr>
          <w:rFonts w:ascii="宋体" w:hAnsi="宋体"/>
          <w:sz w:val="24"/>
          <w:szCs w:val="24"/>
        </w:rPr>
      </w:r>
      <w:r/>
    </w:p>
    <w:p>
      <w:pPr>
        <w:pStyle w:val="700"/>
        <w:ind w:firstLine="480"/>
        <w:rPr>
          <w:rFonts w:ascii="宋体" w:hAnsi="宋体"/>
          <w:sz w:val="24"/>
          <w:szCs w:val="24"/>
        </w:rPr>
      </w:pPr>
      <w:r/>
      <w:bookmarkEnd w:id="13"/>
      <w:r>
        <w:rPr>
          <w:rFonts w:hint="eastAsia" w:ascii="宋体" w:hAnsi="宋体"/>
          <w:sz w:val="24"/>
          <w:szCs w:val="24"/>
        </w:rPr>
        <w:t xml:space="preserve">3.预算金额：200万元</w:t>
      </w: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200</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p>
      <w:pPr>
        <w:pStyle w:val="700"/>
        <w:ind w:firstLine="480"/>
        <w:rPr>
          <w:rFonts w:ascii="宋体" w:hAnsi="宋体"/>
          <w:sz w:val="24"/>
          <w:szCs w:val="24"/>
          <w:u w:val="single"/>
        </w:rPr>
      </w:pPr>
      <w:r>
        <w:rPr>
          <w:rFonts w:hint="eastAsia" w:ascii="宋体" w:hAnsi="宋体"/>
          <w:sz w:val="24"/>
          <w:szCs w:val="24"/>
        </w:rPr>
        <w:t xml:space="preserve">5.采购需求（简介）：本项目是2026年常州市钟楼区环境卫生管理处环卫车辆加油服务项目，针对常州市钟楼区环境卫生管理处31辆车提供车辆加油服务。要求能提供以下油品：92#车用汽油（VIA)、0#车用柴油(VI）、-10#车用柴油(VI）、尾气处理液（符合东风车辆标准）</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0"/>
        <w:ind w:firstLine="480"/>
        <w:rPr>
          <w:rFonts w:hint="eastAsia" w:ascii="宋体" w:hAnsi="宋体" w:eastAsia="宋体"/>
          <w:sz w:val="24"/>
          <w:szCs w:val="24"/>
          <w:u w:val="single"/>
          <w:lang w:eastAsia="zh-CN"/>
        </w:rPr>
      </w:pPr>
      <w:r>
        <w:rPr>
          <w:rFonts w:hint="eastAsia" w:ascii="宋体" w:hAnsi="宋体"/>
          <w:sz w:val="24"/>
          <w:szCs w:val="24"/>
        </w:rPr>
        <w:t xml:space="preserve">6.合同履行期限：自合同签订之日起一年</w:t>
      </w:r>
      <w:r>
        <w:rPr>
          <w:rFonts w:hint="eastAsia" w:ascii="宋体" w:hAnsi="宋体"/>
          <w:sz w:val="24"/>
          <w:szCs w:val="24"/>
          <w:lang w:eastAsia="zh-CN"/>
        </w:rPr>
        <w:t xml:space="preserve">。</w:t>
      </w:r>
      <w:r>
        <w:rPr>
          <w:rFonts w:hint="eastAsia" w:ascii="宋体" w:hAnsi="宋体" w:eastAsia="宋体"/>
          <w:sz w:val="24"/>
          <w:szCs w:val="24"/>
          <w:u w:val="single"/>
          <w:lang w:eastAsia="zh-CN"/>
        </w:rPr>
      </w:r>
      <w:r/>
    </w:p>
    <w:p>
      <w:pPr>
        <w:pStyle w:val="703"/>
        <w:ind w:firstLine="498"/>
        <w:spacing w:before="156" w:after="156" w:line="360" w:lineRule="auto"/>
      </w:pPr>
      <w:r/>
      <w:bookmarkStart w:id="14" w:name="_Toc35393622"/>
      <w:r/>
      <w:bookmarkStart w:id="15" w:name="_Toc35393791"/>
      <w:r/>
      <w:bookmarkStart w:id="16" w:name="_Toc28359003"/>
      <w:r/>
      <w:bookmarkStart w:id="17" w:name="_Toc28359080"/>
      <w:r/>
      <w:bookmarkStart w:id="18" w:name="_Toc38985264"/>
      <w:r>
        <w:rPr>
          <w:rFonts w:hint="eastAsia"/>
        </w:rPr>
        <w:t xml:space="preserve">二、申请人的资格要求：</w:t>
      </w:r>
      <w:bookmarkEnd w:id="14"/>
      <w:r/>
      <w:bookmarkEnd w:id="15"/>
      <w:r/>
      <w:bookmarkEnd w:id="16"/>
      <w:r/>
      <w:bookmarkEnd w:id="17"/>
      <w:r/>
      <w:bookmarkEnd w:id="18"/>
      <w:r/>
      <w:r/>
    </w:p>
    <w:p>
      <w:pPr>
        <w:pStyle w:val="700"/>
        <w:ind w:firstLine="480"/>
        <w:rPr>
          <w:rFonts w:hint="eastAsia" w:ascii="宋体" w:hAnsi="宋体"/>
          <w:sz w:val="24"/>
          <w:szCs w:val="24"/>
        </w:rPr>
      </w:pPr>
      <w:r/>
      <w:bookmarkStart w:id="19" w:name="_Toc35393623"/>
      <w:r/>
      <w:bookmarkStart w:id="20" w:name="_Toc38985265"/>
      <w:r/>
      <w:bookmarkStart w:id="21" w:name="_Toc35393792"/>
      <w:r/>
      <w:bookmarkStart w:id="22" w:name="_Toc28359081"/>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0"/>
        <w:ind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无</w:t>
      </w:r>
      <w:r>
        <w:rPr>
          <w:rFonts w:hint="eastAsia" w:ascii="宋体" w:hAnsi="宋体" w:eastAsia="宋体" w:cs="宋体"/>
          <w:sz w:val="24"/>
          <w:szCs w:val="24"/>
          <w:lang w:val="en-US" w:eastAsia="zh-CN"/>
        </w:rPr>
      </w:r>
      <w:r/>
    </w:p>
    <w:p>
      <w:pPr>
        <w:pStyle w:val="703"/>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700"/>
        <w:ind w:firstLine="540"/>
        <w:spacing w:line="360" w:lineRule="auto"/>
        <w:rPr>
          <w:rFonts w:ascii="宋体" w:hAnsi="宋体" w:cs="宋体"/>
          <w:sz w:val="24"/>
          <w:szCs w:val="24"/>
        </w:rPr>
      </w:pPr>
      <w:r/>
      <w:bookmarkStart w:id="24" w:name="_Toc35393793"/>
      <w:r/>
      <w:bookmarkStart w:id="25" w:name="_Toc38985266"/>
      <w:r/>
      <w:bookmarkStart w:id="26" w:name="_Toc28359082"/>
      <w:r/>
      <w:bookmarkStart w:id="27" w:name="_Toc28359005"/>
      <w:r/>
      <w:bookmarkStart w:id="28"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3"/>
        <w:ind w:firstLine="498"/>
        <w:spacing w:before="156" w:after="156" w:line="360" w:lineRule="auto"/>
      </w:pPr>
      <w:r/>
      <w:bookmarkEnd w:id="24"/>
      <w:r/>
      <w:bookmarkEnd w:id="25"/>
      <w:r/>
      <w:bookmarkEnd w:id="26"/>
      <w:r/>
      <w:bookmarkEnd w:id="27"/>
      <w:r/>
      <w:bookmarkEnd w:id="28"/>
      <w:r/>
      <w:bookmarkStart w:id="29" w:name="_Toc35393794"/>
      <w:r/>
      <w:bookmarkStart w:id="30" w:name="_Toc38985267"/>
      <w:r/>
      <w:bookmarkStart w:id="31" w:name="_Toc28359007"/>
      <w:r/>
      <w:bookmarkStart w:id="32" w:name="_Toc28359084"/>
      <w:r/>
      <w:bookmarkStart w:id="33" w:name="_Toc35393625"/>
      <w:r>
        <w:rPr>
          <w:rFonts w:hint="eastAsia"/>
        </w:rPr>
        <w:t xml:space="preserve">四、投标文件提交</w:t>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3"/>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700"/>
        <w:ind w:firstLine="480"/>
        <w:rPr>
          <w:rFonts w:ascii="宋体" w:hAnsi="宋体" w:cs="宋体"/>
          <w:sz w:val="24"/>
          <w:szCs w:val="24"/>
        </w:rPr>
      </w:pPr>
      <w:r/>
      <w:bookmarkStart w:id="34" w:name="_Toc38985268"/>
      <w:r/>
      <w:bookmarkStart w:id="35" w:name="_Toc35393795"/>
      <w:r/>
      <w:bookmarkStart w:id="36"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3"/>
        <w:ind w:firstLine="498"/>
        <w:spacing w:before="156" w:after="156" w:line="360" w:lineRule="auto"/>
      </w:pPr>
      <w:r>
        <w:rPr>
          <w:rFonts w:hint="eastAsia"/>
        </w:rPr>
        <w:t xml:space="preserve">六、其他补充事宜</w:t>
      </w:r>
      <w:bookmarkEnd w:id="34"/>
      <w:r/>
      <w:bookmarkEnd w:id="35"/>
      <w:r/>
      <w:bookmarkEnd w:id="36"/>
      <w:r/>
      <w:r/>
    </w:p>
    <w:p>
      <w:pPr>
        <w:pStyle w:val="70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3"/>
        <w:ind w:firstLine="498"/>
        <w:spacing w:before="156" w:after="156" w:line="360" w:lineRule="auto"/>
      </w:pPr>
      <w:r/>
      <w:bookmarkStart w:id="37" w:name="_Toc28359008"/>
      <w:r/>
      <w:bookmarkStart w:id="38" w:name="_Toc28359085"/>
      <w:r/>
      <w:bookmarkStart w:id="39" w:name="_Toc35393627"/>
      <w:r/>
      <w:bookmarkStart w:id="40" w:name="_Toc38985269"/>
      <w:r/>
      <w:bookmarkStart w:id="41" w:name="_Toc35393796"/>
      <w:r>
        <w:rPr>
          <w:rFonts w:hint="eastAsia"/>
        </w:rPr>
        <w:t xml:space="preserve">七、本次招标联系方式</w:t>
      </w:r>
      <w:bookmarkEnd w:id="37"/>
      <w:r/>
      <w:bookmarkEnd w:id="38"/>
      <w:r/>
      <w:bookmarkEnd w:id="39"/>
      <w:r/>
      <w:bookmarkEnd w:id="40"/>
      <w:r/>
      <w:bookmarkEnd w:id="41"/>
      <w:r/>
      <w:r/>
    </w:p>
    <w:p>
      <w:pPr>
        <w:pStyle w:val="70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0"/>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常州市钟楼区环境卫生管理处</w:t>
      </w:r>
      <w:r>
        <w:rPr>
          <w:rFonts w:ascii="宋体" w:hAnsi="宋体"/>
          <w:sz w:val="24"/>
          <w:szCs w:val="24"/>
        </w:rPr>
      </w:r>
      <w:r/>
    </w:p>
    <w:p>
      <w:pPr>
        <w:pStyle w:val="700"/>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常州市钟楼区星港大道88号</w:t>
      </w:r>
      <w:r>
        <w:rPr>
          <w:rFonts w:ascii="宋体" w:hAnsi="宋体"/>
          <w:sz w:val="24"/>
          <w:szCs w:val="24"/>
          <w:highlight w:val="none"/>
        </w:rPr>
      </w:r>
      <w:r/>
    </w:p>
    <w:p>
      <w:pPr>
        <w:pStyle w:val="700"/>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韦先生</w:t>
      </w:r>
      <w:r>
        <w:rPr>
          <w:rFonts w:hint="eastAsia" w:ascii="宋体" w:hAnsi="宋体"/>
          <w:sz w:val="24"/>
          <w:szCs w:val="24"/>
          <w:highlight w:val="none"/>
          <w:u w:val="single"/>
        </w:rPr>
        <w:t xml:space="preserve"> </w:t>
      </w:r>
      <w:r>
        <w:rPr>
          <w:rFonts w:ascii="宋体" w:hAnsi="宋体"/>
          <w:sz w:val="24"/>
          <w:szCs w:val="24"/>
          <w:highlight w:val="none"/>
        </w:rPr>
      </w:r>
      <w:r/>
    </w:p>
    <w:p>
      <w:pPr>
        <w:pStyle w:val="700"/>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0519-81986088</w:t>
      </w:r>
      <w:r>
        <w:rPr>
          <w:rFonts w:hint="eastAsia" w:ascii="宋体" w:hAnsi="宋体"/>
          <w:sz w:val="24"/>
          <w:szCs w:val="24"/>
          <w:highlight w:val="none"/>
          <w:u w:val="single"/>
        </w:rPr>
        <w:t xml:space="preserve"> </w:t>
      </w:r>
      <w:bookmarkStart w:id="42" w:name="_Toc28359009"/>
      <w:r/>
      <w:bookmarkStart w:id="43" w:name="_Toc28359086"/>
      <w:r>
        <w:rPr>
          <w:rFonts w:ascii="宋体" w:hAnsi="宋体"/>
          <w:sz w:val="24"/>
          <w:szCs w:val="24"/>
          <w:highlight w:val="none"/>
          <w:u w:val="single"/>
        </w:rPr>
      </w:r>
      <w:r/>
    </w:p>
    <w:p>
      <w:pPr>
        <w:pStyle w:val="700"/>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70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0"/>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0519-85588156</w:t>
      </w:r>
      <w:r>
        <w:rPr>
          <w:rFonts w:hint="eastAsia" w:ascii="宋体" w:hAnsi="宋体"/>
          <w:sz w:val="24"/>
          <w:szCs w:val="24"/>
          <w:lang w:val="en-US" w:eastAsia="zh-CN"/>
        </w:rPr>
      </w:r>
      <w:r/>
    </w:p>
    <w:p>
      <w:pPr>
        <w:pStyle w:val="700"/>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rPr>
          <w:rFonts w:ascii="宋体" w:hAnsi="宋体"/>
          <w:sz w:val="24"/>
          <w:szCs w:val="24"/>
        </w:rPr>
      </w:r>
      <w:r/>
    </w:p>
    <w:p>
      <w:pPr>
        <w:pStyle w:val="700"/>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0519-85588150</w:t>
      </w:r>
      <w:r>
        <w:rPr>
          <w:rFonts w:hint="eastAsia" w:ascii="宋体" w:hAnsi="宋体"/>
          <w:sz w:val="24"/>
          <w:szCs w:val="24"/>
          <w:lang w:val="en-US" w:eastAsia="zh-CN"/>
        </w:rPr>
      </w:r>
      <w:r/>
    </w:p>
    <w:p>
      <w:pPr>
        <w:pStyle w:val="70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0"/>
        <w:ind w:firstLine="720"/>
        <w:spacing w:line="360" w:lineRule="auto"/>
        <w:rPr>
          <w:rFonts w:ascii="宋体" w:hAnsi="宋体"/>
          <w:sz w:val="24"/>
          <w:szCs w:val="24"/>
        </w:rPr>
      </w:pPr>
      <w:r>
        <w:rPr>
          <w:rFonts w:ascii="宋体" w:hAnsi="宋体"/>
          <w:sz w:val="24"/>
          <w:szCs w:val="24"/>
        </w:rPr>
      </w:r>
      <w:r/>
    </w:p>
    <w:p>
      <w:pPr>
        <w:pStyle w:val="703"/>
        <w:ind w:firstLine="498"/>
        <w:spacing w:before="156" w:after="156" w:line="360" w:lineRule="auto"/>
      </w:pPr>
      <w:r/>
      <w:bookmarkEnd w:id="44"/>
      <w:r/>
      <w:bookmarkEnd w:id="45"/>
      <w:r>
        <w:rPr>
          <w:rFonts w:hint="eastAsia"/>
        </w:rPr>
        <w:t xml:space="preserve">八、其他</w:t>
      </w:r>
      <w:r/>
    </w:p>
    <w:p>
      <w:pPr>
        <w:pStyle w:val="70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0"/>
        <w:ind w:firstLine="480"/>
        <w:spacing w:line="560" w:lineRule="exact"/>
        <w:rPr>
          <w:rFonts w:hint="eastAsia" w:ascii="宋体" w:hAnsi="宋体"/>
          <w:sz w:val="24"/>
        </w:rPr>
      </w:pPr>
      <w:r>
        <w:rPr>
          <w:rFonts w:hint="eastAsia" w:ascii="宋体" w:hAnsi="宋体"/>
          <w:sz w:val="24"/>
        </w:rPr>
      </w:r>
      <w:r/>
    </w:p>
    <w:p>
      <w:pPr>
        <w:pStyle w:val="7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2"/>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20823274"/>
      <w:r/>
      <w:bookmarkStart w:id="48" w:name="_Toc513029202"/>
      <w:r/>
      <w:bookmarkStart w:id="49" w:name="_Toc120614213"/>
      <w:r/>
      <w:bookmarkStart w:id="50" w:name="_Toc16938518"/>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703"/>
        <w:ind w:firstLine="498"/>
        <w:spacing w:before="156" w:after="156" w:line="360" w:lineRule="auto"/>
        <w:rPr>
          <w:rFonts w:hint="eastAsia"/>
        </w:rPr>
      </w:pPr>
      <w:r/>
      <w:bookmarkStart w:id="51" w:name="_Toc20823275"/>
      <w:r/>
      <w:bookmarkStart w:id="52" w:name="_Toc16938519"/>
      <w:r/>
      <w:bookmarkStart w:id="53" w:name="_Toc120614214"/>
      <w:r/>
      <w:bookmarkStart w:id="54" w:name="_Toc513029203"/>
      <w:r>
        <w:rPr>
          <w:rFonts w:hint="eastAsia"/>
        </w:rPr>
        <w:t xml:space="preserve">一、总则</w:t>
      </w:r>
      <w:bookmarkEnd w:id="51"/>
      <w:r/>
      <w:bookmarkEnd w:id="52"/>
      <w:r/>
      <w:bookmarkEnd w:id="53"/>
      <w:r/>
      <w:bookmarkEnd w:id="54"/>
      <w:r>
        <w:rPr>
          <w:rFonts w:hint="eastAsia"/>
        </w:rPr>
      </w:r>
      <w:r/>
    </w:p>
    <w:p>
      <w:pPr>
        <w:pStyle w:val="704"/>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0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4"/>
        <w:ind w:firstLine="420"/>
        <w:spacing w:before="0" w:after="0" w:line="240" w:lineRule="auto"/>
        <w:rPr>
          <w:rFonts w:hint="eastAsia"/>
          <w:b w:val="0"/>
          <w:bCs w:val="0"/>
        </w:rPr>
      </w:pPr>
      <w:r/>
      <w:bookmarkStart w:id="60" w:name="_Toc20823277"/>
      <w:r/>
      <w:bookmarkStart w:id="61" w:name="_Toc513029205"/>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4"/>
        <w:ind w:firstLine="420"/>
        <w:spacing w:before="0" w:after="0" w:line="240" w:lineRule="auto"/>
        <w:rPr>
          <w:rFonts w:hint="eastAsia"/>
          <w:b w:val="0"/>
          <w:bCs w:val="0"/>
        </w:rPr>
      </w:pPr>
      <w:r/>
      <w:bookmarkStart w:id="63" w:name="_Toc20823278"/>
      <w:r/>
      <w:bookmarkStart w:id="64" w:name="_Toc16938522"/>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70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Start w:id="66" w:name="_Toc462564067"/>
      <w:r/>
      <w:bookmarkStart w:id="67" w:name="_Toc513029207"/>
      <w:r/>
      <w:bookmarkStart w:id="68" w:name="_Toc16938523"/>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3"/>
        <w:ind w:firstLine="321"/>
        <w:spacing w:before="156" w:after="156" w:line="360" w:lineRule="auto"/>
        <w:rPr>
          <w:rFonts w:hint="eastAsia"/>
        </w:rPr>
      </w:pPr>
      <w:r/>
      <w:bookmarkStart w:id="70" w:name="_Toc513029209"/>
      <w:r/>
      <w:bookmarkStart w:id="71" w:name="_Toc16938525"/>
      <w:r/>
      <w:bookmarkStart w:id="72" w:name="_Toc120614215"/>
      <w:r/>
      <w:bookmarkStart w:id="73" w:name="_Toc20823281"/>
      <w:r>
        <w:rPr>
          <w:rFonts w:hint="eastAsia"/>
        </w:rPr>
        <w:t xml:space="preserve">二、招标文件</w:t>
      </w:r>
      <w:bookmarkEnd w:id="70"/>
      <w:r/>
      <w:bookmarkEnd w:id="71"/>
      <w:r/>
      <w:bookmarkEnd w:id="72"/>
      <w:r/>
      <w:bookmarkEnd w:id="73"/>
      <w:r>
        <w:rPr>
          <w:rFonts w:hint="eastAsia"/>
        </w:rPr>
      </w:r>
      <w:r/>
    </w:p>
    <w:p>
      <w:pPr>
        <w:pStyle w:val="704"/>
        <w:ind w:firstLine="420"/>
        <w:spacing w:before="0" w:after="0" w:line="240" w:lineRule="auto"/>
        <w:rPr>
          <w:rFonts w:hint="eastAsia"/>
          <w:b w:val="0"/>
          <w:bCs w:val="0"/>
        </w:rPr>
      </w:pPr>
      <w:r/>
      <w:bookmarkStart w:id="74" w:name="_Toc16938526"/>
      <w:r/>
      <w:bookmarkStart w:id="75" w:name="_Toc20823282"/>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4"/>
        <w:ind w:firstLine="560"/>
        <w:spacing w:before="0" w:after="0" w:line="240" w:lineRule="auto"/>
        <w:rPr>
          <w:rFonts w:hint="eastAsia"/>
          <w:b w:val="0"/>
          <w:bCs w:val="0"/>
        </w:rPr>
      </w:pPr>
      <w:r/>
      <w:bookmarkStart w:id="77" w:name="_Toc20823283"/>
      <w:r/>
      <w:bookmarkStart w:id="78" w:name="_Toc513029211"/>
      <w:r/>
      <w:bookmarkStart w:id="79" w:name="_Toc16938527"/>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70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4"/>
        <w:ind w:firstLine="560"/>
        <w:spacing w:before="0" w:after="0" w:line="240" w:lineRule="auto"/>
        <w:rPr>
          <w:rFonts w:hint="eastAsia"/>
          <w:b w:val="0"/>
          <w:bCs w:val="0"/>
        </w:rPr>
      </w:pPr>
      <w:r/>
      <w:bookmarkStart w:id="81" w:name="_Toc20823284"/>
      <w:r/>
      <w:bookmarkStart w:id="82" w:name="_Toc16938528"/>
      <w:r/>
      <w:bookmarkStart w:id="83" w:name="_Toc462564071"/>
      <w:r/>
      <w:bookmarkStart w:id="84" w:name="_Toc513029212"/>
      <w:r>
        <w:rPr>
          <w:rFonts w:hint="eastAsia"/>
          <w:b w:val="0"/>
          <w:bCs w:val="0"/>
        </w:rPr>
        <w:t xml:space="preserve">8、招标文件的修改</w:t>
      </w:r>
      <w:bookmarkEnd w:id="81"/>
      <w:r/>
      <w:bookmarkEnd w:id="82"/>
      <w:r/>
      <w:bookmarkEnd w:id="83"/>
      <w:r/>
      <w:bookmarkEnd w:id="84"/>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3"/>
        <w:ind w:firstLine="482"/>
        <w:spacing w:before="156" w:after="156" w:line="360" w:lineRule="auto"/>
        <w:rPr>
          <w:rFonts w:hint="eastAsia"/>
        </w:rPr>
      </w:pPr>
      <w:r/>
      <w:bookmarkStart w:id="85" w:name="_Toc462564072"/>
      <w:r/>
      <w:bookmarkStart w:id="86" w:name="_Toc16938529"/>
      <w:r/>
      <w:bookmarkStart w:id="87" w:name="_Toc20823285"/>
      <w:r/>
      <w:bookmarkStart w:id="88" w:name="_Toc120614216"/>
      <w:r/>
      <w:bookmarkStart w:id="89" w:name="_Toc513029213"/>
      <w:r>
        <w:rPr>
          <w:rFonts w:hint="eastAsia"/>
        </w:rPr>
        <w:t xml:space="preserve">三、投标文件的编制</w:t>
      </w:r>
      <w:bookmarkEnd w:id="85"/>
      <w:r/>
      <w:bookmarkEnd w:id="86"/>
      <w:r/>
      <w:bookmarkEnd w:id="87"/>
      <w:r/>
      <w:bookmarkEnd w:id="88"/>
      <w:r/>
      <w:bookmarkEnd w:id="89"/>
      <w:r>
        <w:rPr>
          <w:rFonts w:hint="eastAsia"/>
        </w:rPr>
      </w:r>
      <w:r/>
    </w:p>
    <w:p>
      <w:pPr>
        <w:pStyle w:val="704"/>
        <w:ind w:firstLine="560"/>
        <w:spacing w:before="0" w:after="0" w:line="240" w:lineRule="auto"/>
        <w:rPr>
          <w:rFonts w:hint="eastAsia"/>
          <w:bCs w:val="0"/>
        </w:rPr>
      </w:pPr>
      <w:r/>
      <w:bookmarkStart w:id="90" w:name="_Toc462564073"/>
      <w:r/>
      <w:bookmarkStart w:id="91" w:name="_Toc20823286"/>
      <w:r/>
      <w:bookmarkStart w:id="92" w:name="_Toc513029214"/>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0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4"/>
        <w:ind w:firstLine="420"/>
        <w:spacing w:before="0" w:after="0" w:line="240" w:lineRule="auto"/>
        <w:rPr>
          <w:rFonts w:hint="eastAsia"/>
          <w:b w:val="0"/>
          <w:bCs w:val="0"/>
        </w:rPr>
      </w:pPr>
      <w:r/>
      <w:bookmarkStart w:id="94" w:name="_Toc513029215"/>
      <w:r/>
      <w:bookmarkStart w:id="95" w:name="_Toc20823287"/>
      <w:r/>
      <w:bookmarkStart w:id="96" w:name="_Toc462564074"/>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70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4"/>
        <w:ind w:firstLine="420"/>
        <w:spacing w:before="0" w:after="0" w:line="240" w:lineRule="auto"/>
        <w:rPr>
          <w:rFonts w:hint="eastAsia"/>
          <w:b w:val="0"/>
          <w:bCs w:val="0"/>
        </w:rPr>
      </w:pPr>
      <w:r/>
      <w:bookmarkStart w:id="98" w:name="_Hlt26668975"/>
      <w:r/>
      <w:bookmarkEnd w:id="98"/>
      <w:r/>
      <w:bookmarkStart w:id="99" w:name="_Hlt26670360"/>
      <w:r/>
      <w:bookmarkEnd w:id="99"/>
      <w:r/>
      <w:bookmarkStart w:id="100" w:name="_Hlt26954838"/>
      <w:r/>
      <w:bookmarkEnd w:id="100"/>
      <w:r/>
      <w:bookmarkStart w:id="101" w:name="_Toc513029219"/>
      <w:r/>
      <w:bookmarkStart w:id="102" w:name="_Toc14577357"/>
      <w:r/>
      <w:bookmarkStart w:id="103" w:name="_Toc49090509"/>
      <w:r/>
      <w:bookmarkStart w:id="104" w:name="_Toc513029216"/>
      <w:r/>
      <w:bookmarkStart w:id="105" w:name="_Toc49090507"/>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00"/>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4"/>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0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4"/>
        <w:ind w:firstLine="420"/>
        <w:spacing w:before="0" w:after="0" w:line="240" w:lineRule="auto"/>
        <w:rPr>
          <w:rFonts w:hint="eastAsia"/>
          <w:b w:val="0"/>
          <w:bCs w:val="0"/>
        </w:rPr>
      </w:pPr>
      <w:r/>
      <w:bookmarkStart w:id="112" w:name="_Hlt26954842"/>
      <w:r/>
      <w:bookmarkEnd w:id="112"/>
      <w:r/>
      <w:bookmarkStart w:id="113" w:name="_Hlt26670425"/>
      <w:r/>
      <w:bookmarkEnd w:id="113"/>
      <w:r/>
      <w:bookmarkStart w:id="114" w:name="_Hlt26954844"/>
      <w:r/>
      <w:bookmarkEnd w:id="114"/>
      <w:r/>
      <w:bookmarkStart w:id="115" w:name="_Hlt26668983"/>
      <w:r/>
      <w:bookmarkEnd w:id="115"/>
      <w:r/>
      <w:bookmarkStart w:id="116" w:name="_Hlt26954731"/>
      <w:r/>
      <w:bookmarkEnd w:id="116"/>
      <w:r/>
      <w:bookmarkStart w:id="117" w:name="_Hlt26670486"/>
      <w:r/>
      <w:bookmarkEnd w:id="117"/>
      <w:r/>
      <w:bookmarkStart w:id="118" w:name="_Hlt26954846"/>
      <w:r/>
      <w:bookmarkEnd w:id="118"/>
      <w:r/>
      <w:bookmarkStart w:id="119" w:name="_Hlt26670482"/>
      <w:r/>
      <w:bookmarkEnd w:id="119"/>
      <w:r/>
      <w:bookmarkStart w:id="120" w:name="_Hlt26670403"/>
      <w:r/>
      <w:bookmarkEnd w:id="120"/>
      <w:r/>
      <w:bookmarkStart w:id="121" w:name="_Hlt26954848"/>
      <w:r/>
      <w:bookmarkEnd w:id="121"/>
      <w:r>
        <w:rPr>
          <w:rFonts w:hint="eastAsia"/>
          <w:b w:val="0"/>
          <w:bCs w:val="0"/>
        </w:rPr>
        <w:t xml:space="preserve">13、技术要求响应及偏离表、商务要求响应及偏离表</w:t>
      </w:r>
      <w:r>
        <w:rPr>
          <w:rFonts w:hint="eastAsia"/>
          <w:b w:val="0"/>
          <w:bCs w:val="0"/>
        </w:rPr>
      </w:r>
      <w:r/>
    </w:p>
    <w:p>
      <w:pPr>
        <w:pStyle w:val="70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4"/>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rPr>
          <w:rFonts w:hint="eastAsia"/>
          <w:b w:val="0"/>
          <w:bCs w:val="0"/>
        </w:rPr>
      </w:r>
      <w:r/>
    </w:p>
    <w:p>
      <w:pPr>
        <w:pStyle w:val="70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4"/>
        <w:ind w:firstLine="420"/>
        <w:spacing w:before="0" w:after="0" w:line="240" w:lineRule="auto"/>
        <w:rPr>
          <w:rFonts w:hint="eastAsia"/>
          <w:b w:val="0"/>
          <w:bCs w:val="0"/>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3"/>
        <w:ind w:firstLine="482"/>
        <w:spacing w:before="156" w:after="156" w:line="360" w:lineRule="auto"/>
        <w:rPr>
          <w:rFonts w:hint="eastAsia"/>
        </w:rPr>
      </w:pPr>
      <w:r/>
      <w:bookmarkStart w:id="129" w:name="_Hlt26954739"/>
      <w:r/>
      <w:bookmarkEnd w:id="129"/>
      <w:r/>
      <w:bookmarkStart w:id="130" w:name="_Hlt26954852"/>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704"/>
        <w:ind w:firstLine="560"/>
        <w:spacing w:before="0" w:after="0" w:line="240" w:lineRule="auto"/>
        <w:rPr>
          <w:rFonts w:hint="eastAsia" w:ascii="黑体"/>
          <w:b w:val="0"/>
          <w:bCs w:val="0"/>
        </w:rPr>
      </w:pPr>
      <w:r/>
      <w:bookmarkStart w:id="135" w:name="_Toc513029225"/>
      <w:r/>
      <w:bookmarkStart w:id="136" w:name="_Toc462564084"/>
      <w:r/>
      <w:bookmarkStart w:id="137" w:name="_Toc20823297"/>
      <w:r/>
      <w:bookmarkStart w:id="138" w:name="_Toc16938541"/>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hint="eastAsia" w:ascii="黑体"/>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9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Pr>
          <w:rFonts w:hint="eastAsia" w:ascii="宋体" w:hAnsi="宋体"/>
          <w:bCs/>
          <w:sz w:val="24"/>
        </w:rPr>
      </w:r>
      <w:r/>
    </w:p>
    <w:p>
      <w:pPr>
        <w:pStyle w:val="704"/>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rPr>
          <w:rFonts w:hint="eastAsia"/>
          <w:b w:val="0"/>
        </w:rPr>
      </w:r>
      <w:r/>
    </w:p>
    <w:p>
      <w:pPr>
        <w:pStyle w:val="70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4"/>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rPr>
          <w:rFonts w:hint="eastAsia"/>
          <w:b w:val="0"/>
          <w:bCs w:val="0"/>
        </w:rPr>
      </w:r>
      <w:r/>
    </w:p>
    <w:p>
      <w:pPr>
        <w:pStyle w:val="70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4"/>
        <w:ind w:firstLine="420"/>
        <w:spacing w:before="0" w:after="0" w:line="240" w:lineRule="auto"/>
        <w:rPr>
          <w:rFonts w:hint="eastAsia"/>
          <w:b w:val="0"/>
          <w:bCs w:val="0"/>
        </w:rPr>
      </w:pPr>
      <w:r/>
      <w:bookmarkStart w:id="145" w:name="_Toc20823300"/>
      <w:r/>
      <w:bookmarkStart w:id="146" w:name="_Toc16938544"/>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0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3"/>
        <w:ind w:firstLine="482"/>
        <w:spacing w:before="156" w:after="156" w:line="360" w:lineRule="auto"/>
        <w:rPr>
          <w:rFonts w:hint="eastAsia"/>
        </w:rPr>
      </w:pPr>
      <w:r/>
      <w:bookmarkStart w:id="148" w:name="_Toc513029229"/>
      <w:r/>
      <w:bookmarkStart w:id="149" w:name="_Toc120614218"/>
      <w:r/>
      <w:bookmarkStart w:id="150" w:name="_Toc20823301"/>
      <w:r/>
      <w:bookmarkStart w:id="151" w:name="_Toc16938545"/>
      <w:r>
        <w:rPr>
          <w:rFonts w:hint="eastAsia"/>
        </w:rPr>
        <w:t xml:space="preserve">五、开标与评标</w:t>
      </w:r>
      <w:bookmarkEnd w:id="148"/>
      <w:r/>
      <w:bookmarkEnd w:id="149"/>
      <w:r/>
      <w:bookmarkEnd w:id="150"/>
      <w:r/>
      <w:bookmarkEnd w:id="151"/>
      <w:r>
        <w:rPr>
          <w:rFonts w:hint="eastAsia"/>
        </w:rPr>
      </w:r>
      <w:r/>
    </w:p>
    <w:p>
      <w:pPr>
        <w:pStyle w:val="704"/>
        <w:ind w:firstLine="420"/>
        <w:spacing w:before="0" w:after="0" w:line="240" w:lineRule="auto"/>
        <w:rPr>
          <w:rFonts w:hint="eastAsia"/>
          <w:b w:val="0"/>
          <w:bCs w:val="0"/>
        </w:rPr>
      </w:pPr>
      <w:r/>
      <w:bookmarkStart w:id="152" w:name="_Toc513029230"/>
      <w:r/>
      <w:bookmarkStart w:id="153" w:name="_Toc16938546"/>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0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4"/>
        <w:ind w:firstLine="420"/>
        <w:spacing w:before="0" w:after="0" w:line="240" w:lineRule="auto"/>
        <w:rPr>
          <w:rFonts w:hint="eastAsia"/>
          <w:b w:val="0"/>
          <w:bCs w:val="0"/>
        </w:rPr>
      </w:pPr>
      <w:r/>
      <w:bookmarkStart w:id="155" w:name="_Toc513029231"/>
      <w:r/>
      <w:bookmarkStart w:id="156" w:name="_Toc16938547"/>
      <w:r/>
      <w:bookmarkStart w:id="157" w:name="_Toc20823303"/>
      <w:r>
        <w:rPr>
          <w:rFonts w:hint="eastAsia"/>
          <w:b w:val="0"/>
          <w:bCs w:val="0"/>
        </w:rPr>
        <w:t xml:space="preserve">22、评标委员会</w:t>
      </w:r>
      <w:r>
        <w:rPr>
          <w:rFonts w:hint="eastAsia"/>
          <w:b w:val="0"/>
          <w:bCs w:val="0"/>
        </w:rPr>
      </w:r>
      <w:r/>
    </w:p>
    <w:p>
      <w:pPr>
        <w:pStyle w:val="70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0"/>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4"/>
        <w:ind w:firstLine="420"/>
        <w:spacing w:before="0" w:after="0" w:line="240" w:lineRule="auto"/>
        <w:rPr>
          <w:rFonts w:hint="eastAsia"/>
          <w:b w:val="0"/>
          <w:bCs w:val="0"/>
        </w:rPr>
      </w:pPr>
      <w:r/>
      <w:bookmarkStart w:id="158" w:name="_Toc20823304"/>
      <w:r/>
      <w:bookmarkStart w:id="159" w:name="_Toc16938548"/>
      <w:r/>
      <w:bookmarkStart w:id="160" w:name="_Toc513029232"/>
      <w:r>
        <w:rPr>
          <w:rFonts w:hint="eastAsia"/>
          <w:b w:val="0"/>
          <w:bCs w:val="0"/>
        </w:rPr>
        <w:t xml:space="preserve">24、投标文件的澄清</w:t>
      </w:r>
      <w:bookmarkEnd w:id="158"/>
      <w:r/>
      <w:bookmarkEnd w:id="159"/>
      <w:r/>
      <w:bookmarkEnd w:id="160"/>
      <w:r>
        <w:rPr>
          <w:rFonts w:hint="eastAsia"/>
          <w:b w:val="0"/>
          <w:bCs w:val="0"/>
        </w:rPr>
      </w:r>
      <w:r/>
    </w:p>
    <w:p>
      <w:pPr>
        <w:pStyle w:val="70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4"/>
        <w:ind w:firstLine="420"/>
        <w:spacing w:before="0" w:after="0" w:line="240" w:lineRule="auto"/>
        <w:rPr>
          <w:rFonts w:hint="eastAsia"/>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70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0"/>
        <w:ind w:firstLine="420"/>
        <w:spacing w:line="46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4"/>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rPr>
          <w:rFonts w:hint="eastAsia"/>
          <w:b w:val="0"/>
          <w:bCs w:val="0"/>
        </w:rPr>
      </w:r>
      <w:r/>
    </w:p>
    <w:p>
      <w:pPr>
        <w:pStyle w:val="700"/>
        <w:ind w:left="479"/>
        <w:spacing w:line="44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26.1无效投标条款</w:t>
      </w:r>
      <w:r>
        <w:rPr>
          <w:rFonts w:hint="eastAsia" w:ascii="宋体" w:hAnsi="宋体"/>
          <w:bCs/>
          <w:sz w:val="24"/>
        </w:rPr>
      </w:r>
      <w:r/>
    </w:p>
    <w:p>
      <w:pPr>
        <w:pStyle w:val="70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3"/>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04"/>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0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0"/>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3"/>
        <w:spacing w:before="156" w:after="156" w:line="360" w:lineRule="auto"/>
        <w:rPr>
          <w:rFonts w:hint="eastAsia"/>
        </w:rPr>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Pr>
          <w:rFonts w:hint="eastAsia"/>
        </w:rPr>
      </w:r>
      <w:r/>
    </w:p>
    <w:p>
      <w:pPr>
        <w:pStyle w:val="704"/>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513029237"/>
      <w:r/>
      <w:bookmarkStart w:id="180" w:name="_Toc20823309"/>
      <w:r/>
      <w:bookmarkStart w:id="18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4"/>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6938558"/>
      <w:r/>
      <w:bookmarkStart w:id="183" w:name="_Toc513029242"/>
      <w:r/>
      <w:bookmarkStart w:id="184" w:name="_Toc479757207"/>
      <w:r/>
      <w:bookmarkStart w:id="185" w:name="_Toc20823314"/>
      <w:r/>
      <w:bookmarkStart w:id="186"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黑体" w:hAnsi="宋体" w:cs="Times New Roman"/>
          <w:b w:val="0"/>
          <w:sz w:val="30"/>
          <w:szCs w:val="30"/>
        </w:rPr>
      </w:r>
    </w:p>
    <w:p>
      <w:pPr>
        <w:pStyle w:val="70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0"/>
        <w:ind w:firstLine="480"/>
        <w:spacing w:line="480" w:lineRule="exact"/>
        <w:rPr>
          <w:rFonts w:ascii="宋体" w:hAnsi="宋体"/>
          <w:sz w:val="24"/>
          <w:szCs w:val="24"/>
        </w:rPr>
      </w:pPr>
      <w:r>
        <w:rPr>
          <w:rFonts w:ascii="宋体" w:hAnsi="宋体"/>
          <w:sz w:val="24"/>
          <w:szCs w:val="24"/>
        </w:rPr>
      </w:r>
      <w:r/>
    </w:p>
    <w:p>
      <w:pPr>
        <w:pStyle w:val="700"/>
      </w:pPr>
      <w:r/>
      <w:r/>
    </w:p>
    <w:p>
      <w:pPr>
        <w:pStyle w:val="75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pPr>
      <w:r/>
      <w:r/>
    </w:p>
    <w:p>
      <w:pPr>
        <w:pStyle w:val="700"/>
      </w:pPr>
      <w:r/>
      <w:r/>
    </w:p>
    <w:p>
      <w:pPr>
        <w:pStyle w:val="700"/>
      </w:pPr>
      <w:r/>
      <w:r/>
    </w:p>
    <w:p>
      <w:pPr>
        <w:pStyle w:val="700"/>
      </w:pPr>
      <w:r/>
      <w:r/>
    </w:p>
    <w:p>
      <w:pPr>
        <w:pStyle w:val="700"/>
      </w:pPr>
      <w:r/>
      <w:r/>
    </w:p>
    <w:p>
      <w:pPr>
        <w:pStyle w:val="700"/>
      </w:pPr>
      <w:r/>
      <w:r/>
    </w:p>
    <w:p>
      <w:pPr>
        <w:pStyle w:val="700"/>
      </w:pPr>
      <w:r/>
      <w:r/>
    </w:p>
    <w:p>
      <w:pPr>
        <w:pStyle w:val="700"/>
      </w:pPr>
      <w:r/>
      <w:r/>
    </w:p>
    <w:p>
      <w:pPr>
        <w:pStyle w:val="700"/>
      </w:pPr>
      <w:r/>
      <w:r/>
    </w:p>
    <w:p>
      <w:pPr>
        <w:pStyle w:val="701"/>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rPr>
          <w:rFonts w:hint="eastAsia" w:ascii="黑体" w:eastAsia="黑体"/>
          <w:bCs/>
          <w:sz w:val="44"/>
        </w:rPr>
      </w:r>
      <w:r/>
    </w:p>
    <w:p>
      <w:pPr>
        <w:pStyle w:val="700"/>
        <w:jc w:val="center"/>
        <w:spacing w:line="480" w:lineRule="auto"/>
        <w:widowControl/>
        <w:rPr>
          <w:rFonts w:ascii="宋体" w:hAnsi="宋体" w:cs="宋体"/>
          <w:sz w:val="24"/>
        </w:rPr>
      </w:pPr>
      <w:r/>
      <w:bookmarkStart w:id="187" w:name="_Toc462564139"/>
      <w:r/>
      <w:bookmarkStart w:id="188" w:name="_Toc26554093"/>
      <w:r/>
      <w:bookmarkStart w:id="189" w:name="_Toc49090575"/>
      <w:r/>
      <w:bookmarkStart w:id="190" w:name="_Toc120614281"/>
      <w:r/>
      <w:bookmarkStart w:id="191" w:name="_Toc479757211"/>
      <w:r>
        <w:rPr>
          <w:rFonts w:hint="eastAsia" w:ascii="楷体" w:hAnsi="楷体" w:eastAsia="楷体" w:cs="宋体"/>
          <w:b/>
          <w:bCs/>
          <w:sz w:val="44"/>
          <w:szCs w:val="44"/>
        </w:rPr>
        <w:t xml:space="preserve">政府采购合同</w:t>
      </w:r>
      <w:r>
        <w:rPr>
          <w:rFonts w:ascii="宋体" w:hAnsi="宋体" w:cs="宋体"/>
          <w:sz w:val="24"/>
        </w:rPr>
      </w:r>
      <w:r/>
    </w:p>
    <w:p>
      <w:pPr>
        <w:pStyle w:val="700"/>
        <w:jc w:val="center"/>
        <w:spacing w:line="480" w:lineRule="auto"/>
        <w:widowControl/>
        <w:rPr>
          <w:rFonts w:ascii="宋体" w:hAnsi="宋体" w:cs="宋体"/>
          <w:sz w:val="24"/>
        </w:rPr>
      </w:pPr>
      <w:r>
        <w:rPr>
          <w:rFonts w:hint="eastAsia" w:ascii="楷体" w:hAnsi="楷体" w:eastAsia="楷体" w:cs="宋体"/>
          <w:b/>
          <w:bCs/>
          <w:sz w:val="24"/>
        </w:rPr>
        <w:t xml:space="preserve">（服务类）</w:t>
      </w:r>
      <w:r>
        <w:rPr>
          <w:rFonts w:ascii="宋体" w:hAnsi="宋体"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482"/>
        <w:jc w:val="center"/>
        <w:spacing w:before="240" w:after="240"/>
        <w:widowControl/>
        <w:rPr>
          <w:rFonts w:ascii="宋体" w:hAnsi="宋体" w:cs="宋体"/>
          <w:sz w:val="24"/>
        </w:rPr>
      </w:pPr>
      <w:r>
        <w:rPr>
          <w:rFonts w:hint="eastAsia" w:ascii="宋体" w:hAnsi="宋体" w:cs="宋体"/>
          <w:b/>
          <w:bCs/>
          <w:sz w:val="24"/>
        </w:rPr>
        <w:t xml:space="preserve">第一部分 合同书</w:t>
      </w:r>
      <w:r>
        <w:rPr>
          <w:rFonts w:ascii="宋体" w:hAnsi="宋体"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lang w:eastAsia="zh-CN"/>
        </w:rPr>
      </w:pPr>
      <w:r>
        <w:rPr>
          <w:rFonts w:hint="eastAsia" w:ascii="宋体" w:hAnsi="宋体" w:eastAsia="等线" w:cs="宋体"/>
          <w:sz w:val="24"/>
        </w:rPr>
        <w:t xml:space="preserve">项目名称：</w:t>
      </w:r>
      <w:r>
        <w:rPr>
          <w:rFonts w:hint="eastAsia" w:ascii="宋体" w:hAnsi="宋体" w:eastAsia="等线" w:cs="宋体"/>
          <w:sz w:val="24"/>
          <w:lang w:eastAsia="zh-CN"/>
        </w:rPr>
        <w:t xml:space="preserve">2026年常州市钟楼区环境卫生管理处环卫车辆加油服务项目</w:t>
      </w:r>
      <w:r>
        <w:rPr>
          <w:rFonts w:hint="eastAsia" w:ascii="宋体" w:hAnsi="宋体" w:eastAsia="等线" w:cs="宋体"/>
          <w:sz w:val="24"/>
          <w:lang w:eastAsia="zh-CN"/>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甲方：常州市钟楼区环境卫生管理处</w:t>
      </w: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乙方：</w:t>
      </w: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签订地：江苏常州市</w:t>
      </w: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签订日期：</w:t>
      </w:r>
      <w:r>
        <w:rPr>
          <w:rFonts w:hint="eastAsia" w:ascii="宋体" w:hAnsi="宋体" w:eastAsia="等线" w:cs="宋体"/>
          <w:sz w:val="24"/>
          <w:lang w:val="en-US" w:eastAsia="zh-CN"/>
        </w:rPr>
        <w:t xml:space="preserve">      </w:t>
      </w:r>
      <w:r>
        <w:rPr>
          <w:rFonts w:hint="eastAsia" w:ascii="宋体" w:hAnsi="宋体" w:eastAsia="等线" w:cs="宋体"/>
          <w:sz w:val="24"/>
        </w:rPr>
        <w:t xml:space="preserve">年</w:t>
      </w:r>
      <w:r>
        <w:rPr>
          <w:rFonts w:hint="eastAsia" w:ascii="宋体" w:hAnsi="宋体" w:eastAsia="等线" w:cs="宋体"/>
          <w:sz w:val="24"/>
          <w:lang w:val="en-US" w:eastAsia="zh-CN"/>
        </w:rPr>
        <w:t xml:space="preserve">   </w:t>
      </w:r>
      <w:r>
        <w:rPr>
          <w:rFonts w:hint="eastAsia" w:ascii="宋体" w:hAnsi="宋体" w:eastAsia="等线" w:cs="宋体"/>
          <w:sz w:val="24"/>
        </w:rPr>
        <w:t xml:space="preserve"> 月 </w:t>
      </w:r>
      <w:r>
        <w:rPr>
          <w:rFonts w:hint="eastAsia" w:ascii="宋体" w:hAnsi="宋体" w:eastAsia="等线" w:cs="宋体"/>
          <w:sz w:val="24"/>
          <w:lang w:val="en-US" w:eastAsia="zh-CN"/>
        </w:rPr>
        <w:t xml:space="preserve"> </w:t>
      </w:r>
      <w:r>
        <w:rPr>
          <w:rFonts w:hint="eastAsia" w:ascii="宋体" w:hAnsi="宋体" w:eastAsia="等线" w:cs="宋体"/>
          <w:sz w:val="24"/>
        </w:rPr>
        <w:t xml:space="preserve">  日</w:t>
      </w: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0"/>
        <w:ind w:firstLine="720"/>
        <w:jc w:val="left"/>
        <w:spacing w:before="120" w:line="240" w:lineRule="atLeast"/>
        <w:widowControl/>
        <w:rPr>
          <w:rFonts w:hint="eastAsia" w:ascii="宋体" w:hAnsi="宋体" w:eastAsia="等线" w:cs="宋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等线" w:cs="宋体"/>
          <w:sz w:val="24"/>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年</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月</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日</w:t>
      </w:r>
      <w:r>
        <w:rPr>
          <w:rFonts w:hint="eastAsia" w:ascii="仿宋_GB2312" w:hAnsi="仿宋_GB2312" w:eastAsia="仿宋_GB2312" w:cs="仿宋_GB2312"/>
          <w:sz w:val="21"/>
          <w:szCs w:val="21"/>
          <w:u w:val="single"/>
          <w:lang w:eastAsia="zh-CN"/>
        </w:rPr>
        <w:t xml:space="preserve">，</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常州市钟楼区环境卫生管理处 </w:t>
      </w:r>
      <w:r>
        <w:rPr>
          <w:rFonts w:hint="eastAsia" w:ascii="仿宋_GB2312" w:hAnsi="仿宋_GB2312" w:eastAsia="仿宋_GB2312" w:cs="仿宋_GB2312"/>
          <w:sz w:val="21"/>
          <w:szCs w:val="21"/>
        </w:rPr>
        <w:t xml:space="preserve">以</w:t>
      </w:r>
      <w:r>
        <w:rPr>
          <w:rFonts w:hint="eastAsia" w:ascii="仿宋_GB2312" w:hAnsi="仿宋_GB2312" w:eastAsia="仿宋_GB2312" w:cs="仿宋_GB2312"/>
          <w:sz w:val="21"/>
          <w:szCs w:val="21"/>
          <w:u w:val="single"/>
        </w:rPr>
        <w:t xml:space="preserve"> “苏采云”政府采购一体化平台 </w:t>
      </w:r>
      <w:r>
        <w:rPr>
          <w:rFonts w:hint="eastAsia" w:ascii="仿宋_GB2312" w:hAnsi="仿宋_GB2312" w:eastAsia="仿宋_GB2312" w:cs="仿宋_GB2312"/>
          <w:sz w:val="21"/>
          <w:szCs w:val="21"/>
        </w:rPr>
        <w:t xml:space="preserve">对</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eastAsia="zh-CN"/>
        </w:rPr>
        <w:t xml:space="preserve">2026年常州市钟楼区环境卫生管理处环卫车辆加油服务项目</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rPr>
        <w:t xml:space="preserve">项目进行了采购。经</w:t>
      </w:r>
      <w:r>
        <w:rPr>
          <w:rFonts w:hint="eastAsia" w:ascii="仿宋_GB2312" w:hAnsi="仿宋_GB2312" w:eastAsia="仿宋_GB2312" w:cs="仿宋_GB2312"/>
          <w:sz w:val="21"/>
          <w:szCs w:val="21"/>
          <w:u w:val="single"/>
        </w:rPr>
        <w:t xml:space="preserve"> 常州市政府采购中心 </w:t>
      </w:r>
      <w:r>
        <w:rPr>
          <w:rFonts w:hint="eastAsia" w:ascii="仿宋_GB2312" w:hAnsi="仿宋_GB2312" w:eastAsia="仿宋_GB2312" w:cs="仿宋_GB2312"/>
          <w:sz w:val="21"/>
          <w:szCs w:val="21"/>
        </w:rPr>
        <w:t xml:space="preserve">评定，</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为该项目中标供应商。现于中标通知书发出之日起三十日内，按照采购文件确定的事项签订本合同。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根据《中华人民共和国合同法》、《中华人民共和国政府采购法》等相关法律法规之规定，按照平等、自愿、公平和诚实信用的原则，经</w:t>
      </w:r>
      <w:r>
        <w:rPr>
          <w:rFonts w:hint="eastAsia" w:ascii="仿宋_GB2312" w:hAnsi="仿宋_GB2312" w:eastAsia="仿宋_GB2312" w:cs="仿宋_GB2312"/>
          <w:sz w:val="21"/>
          <w:szCs w:val="21"/>
          <w:u w:val="single"/>
        </w:rPr>
        <w:t xml:space="preserve"> 常州市钟楼区环境卫生管理处 </w:t>
      </w:r>
      <w:r>
        <w:rPr>
          <w:rFonts w:hint="eastAsia" w:ascii="仿宋_GB2312" w:hAnsi="仿宋_GB2312" w:eastAsia="仿宋_GB2312" w:cs="仿宋_GB2312"/>
          <w:sz w:val="21"/>
          <w:szCs w:val="21"/>
        </w:rPr>
        <w:t xml:space="preserve">(以下简称：甲方)和</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eastAsia="zh-CN"/>
        </w:rPr>
        <w:t xml:space="preserve">                       </w:t>
      </w:r>
      <w:r>
        <w:rPr>
          <w:rFonts w:hint="eastAsia" w:ascii="仿宋_GB2312" w:hAnsi="仿宋_GB2312" w:eastAsia="仿宋_GB2312" w:cs="仿宋_GB2312"/>
          <w:sz w:val="21"/>
          <w:szCs w:val="21"/>
        </w:rPr>
        <w:t xml:space="preserve">(以下简称：乙方)协商一致，约定以下合同条款，以兹共同遵守、全面履行。</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2" w:name="_Toc127457217"/>
      <w:r/>
      <w:bookmarkStart w:id="193" w:name="_Toc128663771"/>
      <w:r>
        <w:rPr>
          <w:rFonts w:hint="eastAsia" w:ascii="仿宋_GB2312" w:hAnsi="仿宋_GB2312" w:eastAsia="仿宋_GB2312" w:cs="仿宋_GB2312"/>
          <w:b/>
          <w:bCs/>
          <w:sz w:val="21"/>
          <w:szCs w:val="21"/>
        </w:rPr>
        <w:t xml:space="preserve">1.1 合同组成部分</w:t>
      </w:r>
      <w:bookmarkEnd w:id="192"/>
      <w:r/>
      <w:bookmarkEnd w:id="193"/>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1.1.1 本合同及其补充合同、变更协议；</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1.1.2 中标通知书；</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1.1.3 投标文件（含澄清或者说明文件）；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1.1.4 招标文件（含澄清或者修改文件）；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1.1.5 其他相关采购文件。</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4" w:name="_Toc128663772"/>
      <w:r/>
      <w:bookmarkStart w:id="195" w:name="_Toc127457218"/>
      <w:r>
        <w:rPr>
          <w:rFonts w:hint="eastAsia" w:ascii="仿宋_GB2312" w:hAnsi="仿宋_GB2312" w:eastAsia="仿宋_GB2312" w:cs="仿宋_GB2312"/>
          <w:b/>
          <w:bCs/>
          <w:sz w:val="21"/>
          <w:szCs w:val="21"/>
        </w:rPr>
        <w:t xml:space="preserve">1.2 标的</w:t>
      </w:r>
      <w:bookmarkEnd w:id="194"/>
      <w:r/>
      <w:bookmarkEnd w:id="195"/>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rPr>
        <w:t xml:space="preserve">1.2.1 标的名称：</w:t>
      </w:r>
      <w:r>
        <w:rPr>
          <w:rFonts w:hint="eastAsia" w:ascii="仿宋_GB2312" w:hAnsi="仿宋_GB2312" w:eastAsia="仿宋_GB2312" w:cs="仿宋_GB2312"/>
          <w:sz w:val="21"/>
          <w:szCs w:val="21"/>
          <w:u w:val="single"/>
        </w:rPr>
        <w:t xml:space="preserve"> 92#车用汽油（VIA)、0#车用柴油(VI）、-10#车用柴油(VI）、尾气处理液（符合东风车辆标准）</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lang w:val="en-US" w:eastAsia="zh-CN"/>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1.2.2 标的数量：按实际使用量计算；</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1.2.3 标的质量：符合国家规定标准，如因油品质量造成的车辆损坏或者其他经济损失经第三方鉴定后由乙方承担相应的损失，因此甲方有权单方面，无条件解除合同。</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6" w:name="_Toc128663773"/>
      <w:r/>
      <w:bookmarkStart w:id="197" w:name="_Toc127457219"/>
      <w:r>
        <w:rPr>
          <w:rFonts w:hint="eastAsia" w:ascii="仿宋_GB2312" w:hAnsi="仿宋_GB2312" w:eastAsia="仿宋_GB2312" w:cs="仿宋_GB2312"/>
          <w:b/>
          <w:bCs/>
          <w:sz w:val="21"/>
          <w:szCs w:val="21"/>
        </w:rPr>
        <w:t xml:space="preserve">1.3 价款</w:t>
      </w:r>
      <w:bookmarkEnd w:id="196"/>
      <w:r/>
      <w:bookmarkEnd w:id="197"/>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本合同总价为：￥</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万元</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（大写：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人民币）。</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分项价格：</w:t>
      </w:r>
      <w:r>
        <w:rPr>
          <w:rFonts w:hint="eastAsia" w:ascii="仿宋_GB2312" w:hAnsi="仿宋_GB2312" w:eastAsia="仿宋_GB2312" w:cs="仿宋_GB2312"/>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4051"/>
        <w:gridCol w:w="3039"/>
      </w:tblGrid>
      <w:tr>
        <w:trPr>
          <w:trHeight w:val="283"/>
        </w:trPr>
        <w:tc>
          <w:tcPr>
            <w:tcW w:w="1429" w:type="dxa"/>
            <w:vAlign w:val="center"/>
            <w:textDirection w:val="lrTb"/>
            <w:noWrap w:val="false"/>
          </w:tcPr>
          <w:p>
            <w:pPr>
              <w:pStyle w:val="7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序号</w:t>
            </w:r>
            <w:r>
              <w:rPr>
                <w:rFonts w:hint="eastAsia" w:ascii="仿宋_GB2312" w:hAnsi="仿宋_GB2312" w:eastAsia="仿宋_GB2312" w:cs="仿宋_GB2312"/>
                <w:sz w:val="21"/>
                <w:szCs w:val="21"/>
              </w:rPr>
            </w:r>
            <w:r/>
          </w:p>
        </w:tc>
        <w:tc>
          <w:tcPr>
            <w:tcW w:w="4051"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分项名称</w:t>
            </w:r>
            <w:r>
              <w:rPr>
                <w:rFonts w:hint="eastAsia" w:ascii="仿宋_GB2312" w:hAnsi="仿宋_GB2312" w:eastAsia="仿宋_GB2312" w:cs="仿宋_GB2312"/>
                <w:sz w:val="21"/>
                <w:szCs w:val="21"/>
              </w:rPr>
            </w:r>
            <w:r/>
          </w:p>
        </w:tc>
        <w:tc>
          <w:tcPr>
            <w:tcW w:w="3039" w:type="dxa"/>
            <w:vAlign w:val="center"/>
            <w:textDirection w:val="lrTb"/>
            <w:noWrap w:val="false"/>
          </w:tcPr>
          <w:p>
            <w:pPr>
              <w:pStyle w:val="7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分项价格</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1</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0"/>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92#车用汽油（VIB)</w:t>
            </w:r>
            <w:r>
              <w:rPr>
                <w:rFonts w:hint="eastAsia" w:ascii="仿宋_GB2312" w:hAnsi="仿宋_GB2312" w:eastAsia="仿宋_GB2312" w:cs="仿宋_GB2312"/>
                <w:sz w:val="21"/>
                <w:szCs w:val="21"/>
              </w:rPr>
            </w:r>
            <w:r/>
          </w:p>
        </w:tc>
        <w:tc>
          <w:tcPr>
            <w:tcW w:w="3039" w:type="dxa"/>
            <w:vAlign w:val="center"/>
            <w:textDirection w:val="lrTb"/>
            <w:noWrap w:val="false"/>
          </w:tcPr>
          <w:p>
            <w:pPr>
              <w:pStyle w:val="700"/>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2</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0"/>
              <w:jc w:val="center"/>
              <w:keepLines w:val="0"/>
              <w:keepNext w:val="0"/>
              <w:pageBreakBefore w:val="0"/>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sz w:val="21"/>
                <w:szCs w:val="21"/>
              </w:rPr>
              <w:t xml:space="preserve">0#车用柴油(VI）</w:t>
            </w:r>
            <w:r>
              <w:rPr>
                <w:rFonts w:hint="eastAsia" w:ascii="仿宋_GB2312" w:hAnsi="仿宋_GB2312" w:eastAsia="仿宋_GB2312" w:cs="仿宋_GB2312"/>
                <w:color w:val="000000"/>
                <w:sz w:val="21"/>
                <w:szCs w:val="21"/>
              </w:rPr>
            </w:r>
            <w:r/>
          </w:p>
        </w:tc>
        <w:tc>
          <w:tcPr>
            <w:tcW w:w="3039" w:type="dxa"/>
            <w:vAlign w:val="center"/>
            <w:textDirection w:val="lrTb"/>
            <w:noWrap w:val="false"/>
          </w:tcPr>
          <w:p>
            <w:pPr>
              <w:pStyle w:val="700"/>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3</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0"/>
              <w:jc w:val="center"/>
              <w:keepLines w:val="0"/>
              <w:keepNext w:val="0"/>
              <w:pageBreakBefore w:val="0"/>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sz w:val="21"/>
                <w:szCs w:val="21"/>
              </w:rPr>
              <w:t xml:space="preserve">-10#车用柴油(VI）</w:t>
            </w:r>
            <w:r>
              <w:rPr>
                <w:rFonts w:hint="eastAsia" w:ascii="仿宋_GB2312" w:hAnsi="仿宋_GB2312" w:eastAsia="仿宋_GB2312" w:cs="仿宋_GB2312"/>
                <w:color w:val="000000"/>
                <w:sz w:val="21"/>
                <w:szCs w:val="21"/>
              </w:rPr>
            </w:r>
            <w:r/>
          </w:p>
        </w:tc>
        <w:tc>
          <w:tcPr>
            <w:tcW w:w="3039" w:type="dxa"/>
            <w:vAlign w:val="center"/>
            <w:textDirection w:val="lrTb"/>
            <w:noWrap w:val="false"/>
          </w:tcPr>
          <w:p>
            <w:pPr>
              <w:pStyle w:val="700"/>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val="en-US" w:eastAsia="zh-CN"/>
              </w:rPr>
              <w:t xml:space="preserve">3</w:t>
            </w:r>
            <w:r>
              <w:rPr>
                <w:rFonts w:hint="eastAsia" w:ascii="仿宋_GB2312" w:hAnsi="仿宋_GB2312" w:eastAsia="仿宋_GB2312" w:cs="仿宋_GB2312"/>
                <w:color w:val="000000"/>
                <w:sz w:val="21"/>
                <w:szCs w:val="21"/>
                <w:lang w:eastAsia="zh-CN"/>
              </w:rPr>
            </w:r>
            <w:r/>
          </w:p>
        </w:tc>
        <w:tc>
          <w:tcPr>
            <w:tcW w:w="4051" w:type="dxa"/>
            <w:vAlign w:val="center"/>
            <w:textDirection w:val="lrTb"/>
            <w:noWrap w:val="false"/>
          </w:tcPr>
          <w:p>
            <w:pPr>
              <w:pStyle w:val="700"/>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尾气处理液（符合东风车辆标准）</w:t>
            </w:r>
            <w:r>
              <w:rPr>
                <w:rFonts w:hint="eastAsia" w:ascii="仿宋_GB2312" w:hAnsi="仿宋_GB2312" w:eastAsia="仿宋_GB2312" w:cs="仿宋_GB2312"/>
                <w:sz w:val="21"/>
                <w:szCs w:val="21"/>
              </w:rPr>
            </w:r>
            <w:r/>
          </w:p>
        </w:tc>
        <w:tc>
          <w:tcPr>
            <w:tcW w:w="3039" w:type="dxa"/>
            <w:vAlign w:val="center"/>
            <w:textDirection w:val="lrTb"/>
            <w:noWrap w:val="false"/>
          </w:tcPr>
          <w:p>
            <w:pPr>
              <w:pStyle w:val="700"/>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52元/桶/10KG优惠3.5%</w:t>
            </w:r>
            <w:r>
              <w:rPr>
                <w:rFonts w:hint="eastAsia" w:ascii="仿宋_GB2312" w:hAnsi="仿宋_GB2312" w:eastAsia="仿宋_GB2312" w:cs="仿宋_GB2312"/>
                <w:sz w:val="21"/>
                <w:szCs w:val="21"/>
              </w:rPr>
            </w:r>
            <w:r/>
          </w:p>
        </w:tc>
      </w:tr>
      <w:tr>
        <w:trPr>
          <w:trHeight w:val="283"/>
        </w:trPr>
        <w:tc>
          <w:tcPr>
            <w:gridSpan w:val="2"/>
            <w:tcW w:w="5480" w:type="dxa"/>
            <w:vAlign w:val="center"/>
            <w:textDirection w:val="lrTb"/>
            <w:noWrap w:val="false"/>
          </w:tcPr>
          <w:p>
            <w:pPr>
              <w:pStyle w:val="700"/>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总价</w:t>
            </w:r>
            <w:r>
              <w:rPr>
                <w:rFonts w:hint="eastAsia" w:ascii="仿宋_GB2312" w:hAnsi="仿宋_GB2312" w:eastAsia="仿宋_GB2312" w:cs="仿宋_GB2312"/>
                <w:sz w:val="21"/>
                <w:szCs w:val="21"/>
              </w:rPr>
            </w:r>
            <w:r/>
          </w:p>
        </w:tc>
        <w:tc>
          <w:tcPr>
            <w:tcW w:w="3039" w:type="dxa"/>
            <w:vAlign w:val="center"/>
            <w:textDirection w:val="lrTb"/>
            <w:noWrap w:val="false"/>
          </w:tcPr>
          <w:p>
            <w:pPr>
              <w:pStyle w:val="700"/>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约</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万</w:t>
            </w:r>
            <w:r>
              <w:rPr>
                <w:rFonts w:hint="eastAsia" w:ascii="仿宋_GB2312" w:hAnsi="仿宋_GB2312" w:eastAsia="仿宋_GB2312" w:cs="仿宋_GB2312"/>
                <w:sz w:val="21"/>
                <w:szCs w:val="21"/>
              </w:rPr>
            </w:r>
            <w:r/>
          </w:p>
        </w:tc>
      </w:tr>
    </w:tbl>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8" w:name="_Toc128663774"/>
      <w:r/>
      <w:bookmarkStart w:id="199" w:name="_Toc127457220"/>
      <w:r>
        <w:rPr>
          <w:rFonts w:hint="eastAsia" w:ascii="仿宋_GB2312" w:hAnsi="仿宋_GB2312" w:eastAsia="仿宋_GB2312" w:cs="仿宋_GB2312"/>
          <w:b/>
          <w:bCs/>
          <w:sz w:val="21"/>
          <w:szCs w:val="21"/>
        </w:rPr>
        <w:t xml:space="preserve">1.4 付款方式和发票开具方式</w:t>
      </w:r>
      <w:bookmarkEnd w:id="198"/>
      <w:r/>
      <w:bookmarkEnd w:id="199"/>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1.4.1付款方式：</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（1）92#车用汽油（VIA）、0#车用柴油（VI）、-10#车用柴油（VJ）结算方式：国家规定的成品油零售价为基准*固定折扣</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（2）尾气处理液结算方式：固定单价，按实结算。</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（3）由成交供应商提供等额的增值税普通发票，发票金额应与当月充值金额一致。采购人按发票金额支付。自收到发票后10个工作日内支付。</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1.4.2 发票开具方式：</w:t>
      </w:r>
      <w:r>
        <w:rPr>
          <w:rFonts w:hint="eastAsia" w:ascii="仿宋_GB2312" w:hAnsi="仿宋_GB2312" w:eastAsia="仿宋_GB2312" w:cs="仿宋_GB2312"/>
          <w:sz w:val="21"/>
          <w:szCs w:val="21"/>
          <w:u w:val="single"/>
        </w:rPr>
        <w:t xml:space="preserve"> 增值税普通发票（按实付实销）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1.4.3 结算方式：供应商提供加油IC卡结算，并提供加油IC卡办理的流程及使用方法说明。供应商应提供的IC卡为一张总卡，采购人要求数量的副卡，保证一车一卡，加油机上插卡加油。所有的费用通过总卡充值，副卡的金额由总卡统一查询划拨，优惠折扣消费时直接扣除；禁止购物或其他用途消费。</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0" w:name="_Toc127457221"/>
      <w:r/>
      <w:bookmarkStart w:id="201" w:name="_Toc128663775"/>
      <w:r>
        <w:rPr>
          <w:rFonts w:hint="eastAsia" w:ascii="仿宋_GB2312" w:hAnsi="仿宋_GB2312" w:eastAsia="仿宋_GB2312" w:cs="仿宋_GB2312"/>
          <w:b/>
          <w:bCs/>
          <w:sz w:val="21"/>
          <w:szCs w:val="21"/>
        </w:rPr>
        <w:t xml:space="preserve">1.5 履行期限、地点和方式</w:t>
      </w:r>
      <w:bookmarkEnd w:id="200"/>
      <w:r/>
      <w:bookmarkEnd w:id="201"/>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1.5.1</w:t>
      </w:r>
      <w:r>
        <w:rPr>
          <w:rFonts w:hint="eastAsia" w:ascii="仿宋_GB2312" w:hAnsi="仿宋_GB2312" w:eastAsia="仿宋_GB2312" w:cs="仿宋_GB2312"/>
          <w:sz w:val="21"/>
          <w:szCs w:val="21"/>
        </w:rPr>
        <w:t xml:space="preserve">服务期限：自合同签订之日起一年。</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1.5.2</w:t>
      </w:r>
      <w:r>
        <w:rPr>
          <w:rFonts w:hint="eastAsia" w:ascii="仿宋_GB2312" w:hAnsi="仿宋_GB2312" w:eastAsia="仿宋_GB2312" w:cs="仿宋_GB2312"/>
          <w:sz w:val="21"/>
          <w:szCs w:val="21"/>
        </w:rPr>
        <w:t xml:space="preserve">尾气处理液交货期：45天一送，接采购人通知后2小时候送货至采购人指定地点。</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1.5.</w:t>
      </w:r>
      <w:r>
        <w:rPr>
          <w:rFonts w:hint="eastAsia" w:ascii="仿宋_GB2312" w:hAnsi="仿宋_GB2312" w:eastAsia="仿宋_GB2312" w:cs="仿宋_GB2312"/>
          <w:sz w:val="21"/>
          <w:szCs w:val="21"/>
          <w:lang w:val="en-US" w:eastAsia="zh-CN"/>
        </w:rPr>
        <w:t xml:space="preserve">3</w:t>
      </w:r>
      <w:r>
        <w:rPr>
          <w:rFonts w:hint="eastAsia" w:ascii="仿宋_GB2312" w:hAnsi="仿宋_GB2312" w:eastAsia="仿宋_GB2312" w:cs="仿宋_GB2312"/>
          <w:sz w:val="21"/>
          <w:szCs w:val="21"/>
        </w:rPr>
        <w:t xml:space="preserve">履行地点：常州市钟楼区；</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1.5.</w:t>
      </w:r>
      <w:r>
        <w:rPr>
          <w:rFonts w:hint="eastAsia" w:ascii="仿宋_GB2312" w:hAnsi="仿宋_GB2312" w:eastAsia="仿宋_GB2312" w:cs="仿宋_GB2312"/>
          <w:sz w:val="21"/>
          <w:szCs w:val="21"/>
          <w:lang w:val="en-US" w:eastAsia="zh-CN"/>
        </w:rPr>
        <w:t xml:space="preserve">4</w:t>
      </w:r>
      <w:r>
        <w:rPr>
          <w:rFonts w:hint="eastAsia" w:ascii="仿宋_GB2312" w:hAnsi="仿宋_GB2312" w:eastAsia="仿宋_GB2312" w:cs="仿宋_GB2312"/>
          <w:sz w:val="21"/>
          <w:szCs w:val="21"/>
        </w:rPr>
        <w:t xml:space="preserve">履行方式：按合同条款执行，如在年度合同履行期间，项目实际服务金额</w:t>
      </w:r>
      <w:r>
        <w:rPr>
          <w:rFonts w:hint="eastAsia" w:ascii="仿宋_GB2312" w:hAnsi="仿宋_GB2312" w:eastAsia="仿宋_GB2312" w:cs="仿宋_GB2312"/>
          <w:sz w:val="21"/>
          <w:szCs w:val="21"/>
          <w:lang w:val="en-US" w:eastAsia="zh-CN"/>
        </w:rPr>
        <w:t xml:space="preserve">达到</w:t>
      </w:r>
      <w:r>
        <w:rPr>
          <w:rFonts w:hint="eastAsia" w:ascii="仿宋_GB2312" w:hAnsi="仿宋_GB2312" w:eastAsia="仿宋_GB2312" w:cs="仿宋_GB2312"/>
          <w:sz w:val="21"/>
          <w:szCs w:val="21"/>
        </w:rPr>
        <w:t xml:space="preserve">采购人年度预算</w:t>
      </w:r>
      <w:r>
        <w:rPr>
          <w:rFonts w:hint="eastAsia" w:ascii="仿宋_GB2312" w:hAnsi="仿宋_GB2312" w:eastAsia="仿宋_GB2312" w:cs="仿宋_GB2312"/>
          <w:sz w:val="21"/>
          <w:szCs w:val="21"/>
          <w:lang w:val="en-US" w:eastAsia="zh-CN"/>
        </w:rPr>
        <w:t xml:space="preserve">200</w:t>
      </w:r>
      <w:r>
        <w:rPr>
          <w:rFonts w:hint="eastAsia" w:ascii="仿宋_GB2312" w:hAnsi="仿宋_GB2312" w:eastAsia="仿宋_GB2312" w:cs="仿宋_GB2312"/>
          <w:sz w:val="21"/>
          <w:szCs w:val="21"/>
        </w:rPr>
        <w:t xml:space="preserve">万元，则本年度合同终止，由采购人另行商议决定年度内剩余采购需求及供应商确认方式；年度内采购量未达到</w:t>
      </w:r>
      <w:r>
        <w:rPr>
          <w:rFonts w:hint="eastAsia" w:ascii="仿宋_GB2312" w:hAnsi="仿宋_GB2312" w:eastAsia="仿宋_GB2312" w:cs="仿宋_GB2312"/>
          <w:sz w:val="21"/>
          <w:szCs w:val="21"/>
          <w:lang w:val="en-US" w:eastAsia="zh-CN"/>
        </w:rPr>
        <w:t xml:space="preserve">200</w:t>
      </w:r>
      <w:r>
        <w:rPr>
          <w:rFonts w:hint="eastAsia" w:ascii="仿宋_GB2312" w:hAnsi="仿宋_GB2312" w:eastAsia="仿宋_GB2312" w:cs="仿宋_GB2312"/>
          <w:sz w:val="21"/>
          <w:szCs w:val="21"/>
        </w:rPr>
        <w:t xml:space="preserve">万元，按每年的实际使用量结算。</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b/>
          <w:bCs/>
          <w:sz w:val="21"/>
          <w:szCs w:val="21"/>
        </w:rPr>
        <w:outlineLvl w:val="0"/>
      </w:pPr>
      <w:r/>
      <w:bookmarkStart w:id="202" w:name="_Toc128663776"/>
      <w:r/>
      <w:bookmarkStart w:id="203" w:name="_Toc127457222"/>
      <w:r>
        <w:rPr>
          <w:rFonts w:hint="eastAsia" w:ascii="仿宋_GB2312" w:hAnsi="仿宋_GB2312" w:eastAsia="仿宋_GB2312" w:cs="仿宋_GB2312"/>
          <w:b/>
          <w:bCs/>
          <w:sz w:val="21"/>
          <w:szCs w:val="21"/>
          <w:lang w:val="en-US" w:eastAsia="zh-CN"/>
        </w:rPr>
        <w:t xml:space="preserve">1.6</w:t>
      </w:r>
      <w:r>
        <w:rPr>
          <w:rFonts w:hint="eastAsia" w:ascii="仿宋_GB2312" w:hAnsi="仿宋_GB2312" w:eastAsia="仿宋_GB2312" w:cs="仿宋_GB2312"/>
          <w:b/>
          <w:bCs/>
          <w:sz w:val="21"/>
          <w:szCs w:val="21"/>
        </w:rPr>
        <w:t xml:space="preserve">履约保证金</w:t>
      </w:r>
      <w:r>
        <w:rPr>
          <w:rFonts w:hint="eastAsia" w:ascii="仿宋_GB2312" w:hAnsi="仿宋_GB2312" w:eastAsia="仿宋_GB2312" w:cs="仿宋_GB2312"/>
          <w:b/>
          <w:bCs/>
          <w:sz w:val="21"/>
          <w:szCs w:val="21"/>
        </w:rPr>
      </w:r>
      <w:r/>
    </w:p>
    <w:p>
      <w:pPr>
        <w:pStyle w:val="700"/>
        <w:ind w:firstLine="420"/>
        <w:jc w:val="left"/>
        <w:keepLines w:val="0"/>
        <w:keepNext w:val="0"/>
        <w:pageBreakBefore w:val="0"/>
        <w:spacing w:line="360" w:lineRule="auto"/>
        <w:widowControl/>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 xml:space="preserve">本项目</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不收取</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履约保证金。</w:t>
      </w:r>
      <w:r>
        <w:rPr>
          <w:rFonts w:ascii="仿宋_GB2312" w:hAnsi="仿宋_GB2312" w:eastAsia="仿宋_GB2312" w:cs="仿宋_GB2312"/>
          <w:sz w:val="21"/>
          <w:szCs w:val="21"/>
          <w:lang w:val="en-US" w:eastAsia="zh-CN"/>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6.1 乙方交纳人民币</w:t>
      </w:r>
      <w:r>
        <w:rPr>
          <w:rFonts w:hint="eastAsia" w:ascii="仿宋_GB2312" w:hAnsi="仿宋_GB2312" w:eastAsia="仿宋_GB2312" w:cs="仿宋_GB2312"/>
          <w:sz w:val="21"/>
          <w:szCs w:val="21"/>
          <w:u w:val="single"/>
          <w:lang w:val="en-US" w:eastAsia="zh-CN"/>
        </w:rPr>
        <w:t xml:space="preserve">   / </w:t>
      </w:r>
      <w:r>
        <w:rPr>
          <w:rFonts w:hint="eastAsia" w:ascii="仿宋_GB2312" w:hAnsi="仿宋_GB2312" w:eastAsia="仿宋_GB2312" w:cs="仿宋_GB2312"/>
          <w:sz w:val="21"/>
          <w:szCs w:val="21"/>
        </w:rPr>
        <w:t xml:space="preserve">元作为本合同的履约保证金。（不得超过合同金额的5%）。供应商可以自主选择以支票、汇票、本票、保函（保险）等非现金形式交纳或提交，按照省市有关文件精神，鼓励优先采用电子履约保函（保险）形式。</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6.2合同履行结束后，甲方应及时退还交纳的履约保证金。</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6.2.1履约保证金退还方式：</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6.2.2履约保证金退还时间：</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6.2.3履约保证金退还条件：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6.2.4履约保证金不予退还的情形：</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7</w:t>
      </w:r>
      <w:r>
        <w:rPr>
          <w:rFonts w:hint="eastAsia" w:ascii="仿宋_GB2312" w:hAnsi="仿宋_GB2312" w:eastAsia="仿宋_GB2312" w:cs="仿宋_GB2312"/>
          <w:b/>
          <w:bCs/>
          <w:sz w:val="21"/>
          <w:szCs w:val="21"/>
        </w:rPr>
        <w:t xml:space="preserve"> 违约责任</w:t>
      </w:r>
      <w:bookmarkEnd w:id="202"/>
      <w:r/>
      <w:bookmarkEnd w:id="203"/>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.1 除不可抗力外，如果乙方没有按照本合同约定的期限、地点和方式履行，那么甲方可要求乙方支付违约金，违约金按每迟延履行一日的应提供而未提供服务价格的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 %计算，最高限额为本合同总价的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%；迟延履行的违约金计算数额达到前述最高限额之日起，甲方有权在要求乙方支付违约金的同时，书面通知乙方解除本合同；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.2 除不可抗力外，如果甲方没有按照本合同约定的付款方式付款，那么乙方可要求甲方支付违约金，违约金按每迟延付款一日的应付而未付款的 </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%计算，最高限额为本合同总价的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 %；迟延付款的违约金计算数额达到前述最高限额之日起，乙方有权在要求甲方支付违约金的同时，书面通知甲方解除本合同；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.6 如果出现政府采购监督管理部门在处理投诉事项期间，书面通知甲方暂停采购活动的情形，或者询问或质疑事项可能影响中标结果的，导致甲方中止履行合同的情形，均不视为甲方违约。</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.7 因本级政府有政策性调整或其他要求的，甲方有权随时解除合同且不视为甲方违约。</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w:t>
      </w:r>
      <w:r>
        <w:rPr>
          <w:rFonts w:hint="eastAsia" w:ascii="仿宋_GB2312" w:hAnsi="仿宋_GB2312" w:eastAsia="仿宋_GB2312" w:cs="仿宋_GB2312"/>
          <w:color w:val="000000"/>
          <w:sz w:val="21"/>
          <w:szCs w:val="21"/>
          <w:lang w:val="en-US" w:eastAsia="zh-CN"/>
        </w:rPr>
        <w:t xml:space="preserve">7</w:t>
      </w:r>
      <w:r>
        <w:rPr>
          <w:rFonts w:hint="eastAsia" w:ascii="仿宋_GB2312" w:hAnsi="仿宋_GB2312" w:eastAsia="仿宋_GB2312" w:cs="仿宋_GB2312"/>
          <w:color w:val="000000"/>
          <w:sz w:val="21"/>
          <w:szCs w:val="21"/>
        </w:rPr>
        <w:t xml:space="preserve">.8 采购人认为油品质量有问题时，采购人有权要求第三方检测机构对油品进行抽检，检测费用由中标供应商支付。如供应商油品抽查不合格的，合同立刻终止并对车辆造成的损失予以赔偿。</w:t>
      </w:r>
      <w:r>
        <w:rPr>
          <w:rFonts w:hint="eastAsia" w:ascii="仿宋_GB2312" w:hAnsi="仿宋_GB2312" w:eastAsia="仿宋_GB2312" w:cs="仿宋_GB2312"/>
          <w:color w:val="000000"/>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w:t>
      </w:r>
      <w:r>
        <w:rPr>
          <w:rFonts w:hint="eastAsia" w:ascii="仿宋_GB2312" w:hAnsi="仿宋_GB2312" w:eastAsia="仿宋_GB2312" w:cs="仿宋_GB2312"/>
          <w:color w:val="000000"/>
          <w:sz w:val="21"/>
          <w:szCs w:val="21"/>
          <w:lang w:val="en-US" w:eastAsia="zh-CN"/>
        </w:rPr>
        <w:t xml:space="preserve">7</w:t>
      </w:r>
      <w:r>
        <w:rPr>
          <w:rFonts w:hint="eastAsia" w:ascii="仿宋_GB2312" w:hAnsi="仿宋_GB2312" w:eastAsia="仿宋_GB2312" w:cs="仿宋_GB2312"/>
          <w:color w:val="000000"/>
          <w:sz w:val="21"/>
          <w:szCs w:val="21"/>
        </w:rPr>
        <w:t xml:space="preserve">.9 乙方现场加油时确保核对加油车号与加油卡号一一对应，若发现车卡不一，有权停止加油，并告知甲方；乙方每月提供加油明细交与甲方核对，合同金额履行至90%时，乙方有义务发告知函书面提醒甲方消费金额。</w:t>
      </w:r>
      <w:r>
        <w:rPr>
          <w:rFonts w:hint="eastAsia" w:ascii="仿宋_GB2312" w:hAnsi="仿宋_GB2312" w:eastAsia="仿宋_GB2312" w:cs="仿宋_GB2312"/>
          <w:color w:val="000000"/>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4" w:name="_Toc127457223"/>
      <w:r/>
      <w:bookmarkStart w:id="205" w:name="_Toc128663777"/>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8</w:t>
      </w:r>
      <w:r>
        <w:rPr>
          <w:rFonts w:hint="eastAsia" w:ascii="仿宋_GB2312" w:hAnsi="仿宋_GB2312" w:eastAsia="仿宋_GB2312" w:cs="仿宋_GB2312"/>
          <w:b/>
          <w:bCs/>
          <w:sz w:val="21"/>
          <w:szCs w:val="21"/>
        </w:rPr>
        <w:t xml:space="preserve"> 合同争议的解决</w:t>
      </w:r>
      <w:bookmarkEnd w:id="204"/>
      <w:r/>
      <w:bookmarkEnd w:id="205"/>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本合同履行过程中发生的任何争议，双方当事人均可通过和解或者调解解决；不愿和解、调解或者和解、调解不成的，可以选择下列第1.7.2种方式解决：</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8</w:t>
      </w:r>
      <w:r>
        <w:rPr>
          <w:rFonts w:hint="eastAsia" w:ascii="仿宋_GB2312" w:hAnsi="仿宋_GB2312" w:eastAsia="仿宋_GB2312" w:cs="仿宋_GB2312"/>
          <w:sz w:val="21"/>
          <w:szCs w:val="21"/>
        </w:rPr>
        <w:t xml:space="preserve">.1 将争议提交仲裁委员会依申请仲裁时其现行有效的仲裁规则裁决；</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8</w:t>
      </w:r>
      <w:r>
        <w:rPr>
          <w:rFonts w:hint="eastAsia" w:ascii="仿宋_GB2312" w:hAnsi="仿宋_GB2312" w:eastAsia="仿宋_GB2312" w:cs="仿宋_GB2312"/>
          <w:sz w:val="21"/>
          <w:szCs w:val="21"/>
        </w:rPr>
        <w:t xml:space="preserve">.2 向</w:t>
      </w:r>
      <w:r>
        <w:rPr>
          <w:rFonts w:hint="eastAsia" w:ascii="仿宋_GB2312" w:hAnsi="仿宋_GB2312" w:eastAsia="仿宋_GB2312" w:cs="仿宋_GB2312"/>
          <w:sz w:val="21"/>
          <w:szCs w:val="21"/>
          <w:u w:val="single"/>
        </w:rPr>
        <w:t xml:space="preserve">   钟楼区    </w:t>
      </w:r>
      <w:r>
        <w:rPr>
          <w:rFonts w:hint="eastAsia" w:ascii="仿宋_GB2312" w:hAnsi="仿宋_GB2312" w:eastAsia="仿宋_GB2312" w:cs="仿宋_GB2312"/>
          <w:sz w:val="21"/>
          <w:szCs w:val="21"/>
        </w:rPr>
        <w:t xml:space="preserve">人民法院起诉。</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6" w:name="_Toc127457224"/>
      <w:r/>
      <w:bookmarkStart w:id="207" w:name="_Toc128663778"/>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9</w:t>
      </w:r>
      <w:r>
        <w:rPr>
          <w:rFonts w:hint="eastAsia" w:ascii="仿宋_GB2312" w:hAnsi="仿宋_GB2312" w:eastAsia="仿宋_GB2312" w:cs="仿宋_GB2312"/>
          <w:b/>
          <w:bCs/>
          <w:sz w:val="21"/>
          <w:szCs w:val="21"/>
        </w:rPr>
        <w:t xml:space="preserve"> 合同生效</w:t>
      </w:r>
      <w:bookmarkEnd w:id="206"/>
      <w:r/>
      <w:bookmarkEnd w:id="207"/>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本合同自双方当事人盖章或者签字时生效。</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b/>
          <w:bCs/>
          <w:sz w:val="21"/>
          <w:szCs w:val="21"/>
        </w:rPr>
        <w:t xml:space="preserve">甲方</w:t>
      </w:r>
      <w:r>
        <w:rPr>
          <w:rFonts w:hint="eastAsia" w:ascii="仿宋_GB2312" w:hAnsi="仿宋_GB2312" w:eastAsia="仿宋_GB2312" w:cs="仿宋_GB2312"/>
          <w:sz w:val="21"/>
          <w:szCs w:val="21"/>
        </w:rPr>
        <w:t xml:space="preserve">：常州市钟楼区环境卫生管理处 </w:t>
      </w:r>
      <w:r>
        <w:rPr>
          <w:rFonts w:hint="eastAsia" w:ascii="仿宋_GB2312" w:hAnsi="仿宋_GB2312" w:eastAsia="仿宋_GB2312" w:cs="仿宋_GB2312"/>
          <w:sz w:val="21"/>
          <w:szCs w:val="21"/>
          <w:lang w:val="en-US" w:eastAsia="zh-CN"/>
        </w:rPr>
        <w:t xml:space="preserve"> 你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b/>
          <w:bCs/>
          <w:sz w:val="21"/>
          <w:szCs w:val="21"/>
        </w:rPr>
        <w:t xml:space="preserve">乙方</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lang w:eastAsia="zh-CN"/>
        </w:rPr>
      </w:r>
      <w:r/>
    </w:p>
    <w:p>
      <w:pPr>
        <w:pStyle w:val="700"/>
        <w:ind w:right="960" w:firstLine="630"/>
        <w:jc w:val="both"/>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统一社会信用代码：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统一社会信用代码：</w:t>
      </w:r>
      <w:r>
        <w:rPr>
          <w:rFonts w:hint="eastAsia" w:ascii="仿宋_GB2312" w:hAnsi="仿宋_GB2312" w:eastAsia="仿宋_GB2312" w:cs="仿宋_GB2312"/>
          <w:sz w:val="21"/>
          <w:szCs w:val="21"/>
        </w:rPr>
      </w:r>
      <w:r/>
    </w:p>
    <w:p>
      <w:pPr>
        <w:pStyle w:val="700"/>
        <w:ind w:right="960" w:firstLine="420"/>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12320404467288968P                    </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住所：常州市钟楼区星港大道88号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住所：</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法定代表人或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法定代表人</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授权代表（签字）：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或授权代表（签字）: </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联系人：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联系人：</w:t>
      </w:r>
      <w:r>
        <w:rPr>
          <w:rFonts w:hint="eastAsia" w:ascii="仿宋_GB2312" w:hAnsi="仿宋_GB2312" w:eastAsia="仿宋_GB2312" w:cs="仿宋_GB2312"/>
          <w:sz w:val="21"/>
          <w:szCs w:val="21"/>
        </w:rPr>
      </w:r>
      <w:r/>
    </w:p>
    <w:p>
      <w:pPr>
        <w:pStyle w:val="700"/>
        <w:jc w:val="both"/>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约定送达地址：常州市钟楼区星港大道88号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约定送达地址：</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邮政编码：213000                         邮政编码：</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电话: 0519-81986089                       电话:</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传真: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传真:</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电子邮箱：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电子邮箱：</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开户银行：江苏银行常州怀德支行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开户银行：</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开户名称：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开户名称：</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常州市钟楼区环境卫生管理处</w:t>
      </w:r>
      <w:r>
        <w:rPr>
          <w:rFonts w:hint="eastAsia" w:ascii="仿宋_GB2312" w:hAnsi="仿宋_GB2312" w:eastAsia="仿宋_GB2312" w:cs="仿宋_GB2312"/>
          <w:sz w:val="21"/>
          <w:szCs w:val="21"/>
        </w:rPr>
      </w:r>
      <w:r/>
    </w:p>
    <w:p>
      <w:pPr>
        <w:pStyle w:val="70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开户账号：81700188000014519              开户账号：</w:t>
      </w:r>
      <w:r>
        <w:rPr>
          <w:rFonts w:hint="eastAsia" w:ascii="仿宋_GB2312" w:hAnsi="仿宋_GB2312" w:eastAsia="仿宋_GB2312" w:cs="仿宋_GB2312"/>
          <w:sz w:val="21"/>
          <w:szCs w:val="21"/>
        </w:rPr>
      </w:r>
      <w:r/>
    </w:p>
    <w:p>
      <w:pPr>
        <w:pStyle w:val="700"/>
        <w:ind w:firstLine="48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第二部分 合同一般条款</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8" w:name="_Toc127457225"/>
      <w:r/>
      <w:bookmarkStart w:id="209" w:name="_Toc128663779"/>
      <w:r>
        <w:rPr>
          <w:rFonts w:hint="eastAsia" w:ascii="仿宋_GB2312" w:hAnsi="仿宋_GB2312" w:eastAsia="仿宋_GB2312" w:cs="仿宋_GB2312"/>
          <w:b/>
          <w:bCs/>
          <w:sz w:val="21"/>
          <w:szCs w:val="21"/>
        </w:rPr>
        <w:t xml:space="preserve">2.1 定义</w:t>
      </w:r>
      <w:bookmarkEnd w:id="208"/>
      <w:r/>
      <w:bookmarkEnd w:id="209"/>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本合同中的下列词语应按以下内容进行解释：</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 “合同”系指采购人和中标供应商签订的载明双方当事人所达成的协议，并包括所有的附件、附录和构成合同的其他文件。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2.1.2 “合同价”系指根据合同约定，中标供应商在完全履行合同义务后，采购人应支付给中标供应商的价格。</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2.1.3 “服务”系指中标供应商根据合同约定应向采购人履行的除货物和工程以外的其他政府采购对象，包括采购人自身需要的服务和向社会公众提供的公共服务。</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 “甲方”系指与中标供应商签署合同的采购人；采购人委托采购代理机构代表其与乙方签订合同的，采购人的授权委托书作为合同附件。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 “现场”系指合同约定提供服务的地点。</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0" w:name="_Toc128663780"/>
      <w:r/>
      <w:bookmarkStart w:id="211" w:name="_Toc127457226"/>
      <w:r>
        <w:rPr>
          <w:rFonts w:hint="eastAsia" w:ascii="仿宋_GB2312" w:hAnsi="仿宋_GB2312" w:eastAsia="仿宋_GB2312" w:cs="仿宋_GB2312"/>
          <w:b/>
          <w:bCs/>
          <w:sz w:val="21"/>
          <w:szCs w:val="21"/>
        </w:rPr>
        <w:t xml:space="preserve">2.2 技术规范</w:t>
      </w:r>
      <w:bookmarkEnd w:id="210"/>
      <w:r/>
      <w:bookmarkEnd w:id="211"/>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2" w:name="_Toc128663781"/>
      <w:r/>
      <w:bookmarkStart w:id="213" w:name="_Toc127457227"/>
      <w:r>
        <w:rPr>
          <w:rFonts w:hint="eastAsia" w:ascii="仿宋_GB2312" w:hAnsi="仿宋_GB2312" w:eastAsia="仿宋_GB2312" w:cs="仿宋_GB2312"/>
          <w:b/>
          <w:bCs/>
          <w:sz w:val="21"/>
          <w:szCs w:val="21"/>
        </w:rPr>
        <w:t xml:space="preserve">2.3 知识产权</w:t>
      </w:r>
      <w:bookmarkEnd w:id="212"/>
      <w:r/>
      <w:bookmarkEnd w:id="213"/>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2.3.2 合同涉及技术成果的归属和收益的分成办法的，详见</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2.4 履约检查和问题反馈</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2.4.2 合同履行期间，甲方有权将履行过程中出现的问题反馈给乙方，双方当事人应以书面形式约定需要完善和改进的内容。</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4" w:name="_Toc128663782"/>
      <w:r/>
      <w:bookmarkStart w:id="215" w:name="_Toc127457228"/>
      <w:r>
        <w:rPr>
          <w:rFonts w:hint="eastAsia" w:ascii="仿宋_GB2312" w:hAnsi="仿宋_GB2312" w:eastAsia="仿宋_GB2312" w:cs="仿宋_GB2312"/>
          <w:b/>
          <w:bCs/>
          <w:sz w:val="21"/>
          <w:szCs w:val="21"/>
        </w:rPr>
        <w:t xml:space="preserve">2.5 结算方式和付款条件</w:t>
      </w:r>
      <w:bookmarkEnd w:id="214"/>
      <w:r/>
      <w:bookmarkEnd w:id="215"/>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详见</w:t>
      </w:r>
      <w:r>
        <w:rPr>
          <w:rFonts w:hint="eastAsia" w:ascii="仿宋_GB2312" w:hAnsi="仿宋_GB2312" w:eastAsia="仿宋_GB2312" w:cs="仿宋_GB2312"/>
          <w:b/>
          <w:bCs/>
          <w:sz w:val="21"/>
          <w:szCs w:val="21"/>
          <w:u w:val="single"/>
        </w:rPr>
        <w:t xml:space="preserve">合同专用条款</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6" w:name="_Toc127457229"/>
      <w:r/>
      <w:bookmarkStart w:id="217" w:name="_Toc128663783"/>
      <w:r>
        <w:rPr>
          <w:rFonts w:hint="eastAsia" w:ascii="仿宋_GB2312" w:hAnsi="仿宋_GB2312" w:eastAsia="仿宋_GB2312" w:cs="仿宋_GB2312"/>
          <w:b/>
          <w:bCs/>
          <w:sz w:val="21"/>
          <w:szCs w:val="21"/>
        </w:rPr>
        <w:t xml:space="preserve">2.6 技术资料和保密义务</w:t>
      </w:r>
      <w:bookmarkEnd w:id="216"/>
      <w:r/>
      <w:bookmarkEnd w:id="217"/>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2.6.1 乙方有权依据合同约定和项目需要，向甲方了解有关情况，调阅有关资料等，甲方应予积极配合；</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2.6.2 乙方有义务妥善保管和保护由甲方提供的前款信息和资料等；</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8" w:name="_Toc127457230"/>
      <w:r/>
      <w:bookmarkStart w:id="219" w:name="_Toc128663784"/>
      <w:r>
        <w:rPr>
          <w:rFonts w:hint="eastAsia" w:ascii="仿宋_GB2312" w:hAnsi="仿宋_GB2312" w:eastAsia="仿宋_GB2312" w:cs="仿宋_GB2312"/>
          <w:b/>
          <w:bCs/>
          <w:sz w:val="21"/>
          <w:szCs w:val="21"/>
        </w:rPr>
        <w:t xml:space="preserve">2.7 质量保证</w:t>
      </w:r>
      <w:bookmarkEnd w:id="218"/>
      <w:r/>
      <w:bookmarkEnd w:id="219"/>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2.7.1 乙方应建立和完善履行合同的内部质量保证体系，并提供相关内部规章制度给甲方，以便甲方进行监督检查；</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2.7.2 乙方应保证履行合同的人员数量和素质、软件和硬件设备的配置、场地、环境和设施等满足全面履行合同的要求，并应接受甲方的监督检查。</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0" w:name="_Toc127457231"/>
      <w:r/>
      <w:bookmarkStart w:id="221" w:name="_Toc128663785"/>
      <w:r>
        <w:rPr>
          <w:rFonts w:hint="eastAsia" w:ascii="仿宋_GB2312" w:hAnsi="仿宋_GB2312" w:eastAsia="仿宋_GB2312" w:cs="仿宋_GB2312"/>
          <w:b/>
          <w:bCs/>
          <w:sz w:val="21"/>
          <w:szCs w:val="21"/>
        </w:rPr>
        <w:t xml:space="preserve">2.8 延迟履行</w:t>
      </w:r>
      <w:bookmarkEnd w:id="220"/>
      <w:r/>
      <w:bookmarkEnd w:id="221"/>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2" w:name="_Toc127457232"/>
      <w:r/>
      <w:bookmarkStart w:id="223" w:name="_Toc128663786"/>
      <w:r>
        <w:rPr>
          <w:rFonts w:hint="eastAsia" w:ascii="仿宋_GB2312" w:hAnsi="仿宋_GB2312" w:eastAsia="仿宋_GB2312" w:cs="仿宋_GB2312"/>
          <w:b/>
          <w:bCs/>
          <w:sz w:val="21"/>
          <w:szCs w:val="21"/>
        </w:rPr>
        <w:t xml:space="preserve">2.9 合同变更</w:t>
      </w:r>
      <w:bookmarkEnd w:id="222"/>
      <w:r/>
      <w:bookmarkEnd w:id="223"/>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4" w:name="_Toc128663787"/>
      <w:r/>
      <w:bookmarkStart w:id="225" w:name="_Toc127457233"/>
      <w:r>
        <w:rPr>
          <w:rFonts w:hint="eastAsia" w:ascii="仿宋_GB2312" w:hAnsi="仿宋_GB2312" w:eastAsia="仿宋_GB2312" w:cs="仿宋_GB2312"/>
          <w:b/>
          <w:bCs/>
          <w:sz w:val="21"/>
          <w:szCs w:val="21"/>
        </w:rPr>
        <w:t xml:space="preserve">2.10 合同转让和分包</w:t>
      </w:r>
      <w:bookmarkEnd w:id="224"/>
      <w:r/>
      <w:bookmarkEnd w:id="225"/>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6" w:name="_Toc127457234"/>
      <w:r/>
      <w:bookmarkStart w:id="227" w:name="_Toc128663788"/>
      <w:r>
        <w:rPr>
          <w:rFonts w:hint="eastAsia" w:ascii="仿宋_GB2312" w:hAnsi="仿宋_GB2312" w:eastAsia="仿宋_GB2312" w:cs="仿宋_GB2312"/>
          <w:b/>
          <w:bCs/>
          <w:sz w:val="21"/>
          <w:szCs w:val="21"/>
        </w:rPr>
        <w:t xml:space="preserve">2.11 不可抗力</w:t>
      </w:r>
      <w:bookmarkEnd w:id="226"/>
      <w:r/>
      <w:bookmarkEnd w:id="227"/>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2.11.1如果任何一方遭遇法律规定的不可抗力，致使合同履行受阻时，履行合同的期限应予延长，延长的期限应相当于不可抗力所影响的时间；</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2.11.2 因不可抗力致使不能实现合同目的的，当事人可以解除合同；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2.11.3 因不可抗力致使合同有变更必要的，双方当事人应在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约定时间内以书面形式变更合同；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2.11.4受不可抗力影响的一方在不可抗力发生后，应在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约定时间内以书面形式通知对方当事人，并在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约定时间内，将有关部门出具的证明文件送达对方当事人。</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8" w:name="_Toc128663789"/>
      <w:r/>
      <w:bookmarkStart w:id="229" w:name="_Toc127457235"/>
      <w:r>
        <w:rPr>
          <w:rFonts w:hint="eastAsia" w:ascii="仿宋_GB2312" w:hAnsi="仿宋_GB2312" w:eastAsia="仿宋_GB2312" w:cs="仿宋_GB2312"/>
          <w:b/>
          <w:bCs/>
          <w:sz w:val="21"/>
          <w:szCs w:val="21"/>
        </w:rPr>
        <w:t xml:space="preserve">2.12 税费</w:t>
      </w:r>
      <w:bookmarkEnd w:id="228"/>
      <w:r/>
      <w:bookmarkEnd w:id="229"/>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与合同有关的一切税费，均按照中华人民共和国法律的相关规定缴纳。</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0" w:name="_Toc127457236"/>
      <w:r/>
      <w:bookmarkStart w:id="231" w:name="_Toc128663790"/>
      <w:r>
        <w:rPr>
          <w:rFonts w:hint="eastAsia" w:ascii="仿宋_GB2312" w:hAnsi="仿宋_GB2312" w:eastAsia="仿宋_GB2312" w:cs="仿宋_GB2312"/>
          <w:b/>
          <w:bCs/>
          <w:sz w:val="21"/>
          <w:szCs w:val="21"/>
        </w:rPr>
        <w:t xml:space="preserve">2.13 乙方破产</w:t>
      </w:r>
      <w:bookmarkEnd w:id="230"/>
      <w:r/>
      <w:bookmarkEnd w:id="231"/>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2" w:name="_Toc127457237"/>
      <w:r/>
      <w:bookmarkStart w:id="233" w:name="_Toc128663791"/>
      <w:r>
        <w:rPr>
          <w:rFonts w:hint="eastAsia" w:ascii="仿宋_GB2312" w:hAnsi="仿宋_GB2312" w:eastAsia="仿宋_GB2312" w:cs="仿宋_GB2312"/>
          <w:b/>
          <w:bCs/>
          <w:sz w:val="21"/>
          <w:szCs w:val="21"/>
        </w:rPr>
        <w:t xml:space="preserve">2.14 合同中止、终止</w:t>
      </w:r>
      <w:bookmarkEnd w:id="232"/>
      <w:r/>
      <w:bookmarkEnd w:id="233"/>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2.14.1 双方当事人不得擅自中止或者终止合同；</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2.14.2合同继续履行将损害国家利益和社会公共利益的，双方当事人应当中止或者终止合同。有过错的一方应当承担赔偿责任，双方当事人都有过错的，各自承担相应的责任。</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4" w:name="_Toc128663792"/>
      <w:r/>
      <w:bookmarkStart w:id="235" w:name="_Toc127457238"/>
      <w:r>
        <w:rPr>
          <w:rFonts w:hint="eastAsia" w:ascii="仿宋_GB2312" w:hAnsi="仿宋_GB2312" w:eastAsia="仿宋_GB2312" w:cs="仿宋_GB2312"/>
          <w:b/>
          <w:bCs/>
          <w:sz w:val="21"/>
          <w:szCs w:val="21"/>
        </w:rPr>
        <w:t xml:space="preserve">2.15 检验和验收</w:t>
      </w:r>
      <w:bookmarkEnd w:id="234"/>
      <w:r/>
      <w:bookmarkEnd w:id="235"/>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2.15.1 乙方按照</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的约定，定期提交服务报告，甲方按照</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的约定进行定期验收；</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2.15.3 检验和验收标准、程序等具体内容以及前述验收书的效力详见</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i/>
          <w:iCs/>
          <w:sz w:val="21"/>
          <w:szCs w:val="21"/>
        </w:rPr>
        <w:t xml:space="preserve">。</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6" w:name="_Toc127457239"/>
      <w:r/>
      <w:bookmarkStart w:id="237" w:name="_Toc128663793"/>
      <w:r>
        <w:rPr>
          <w:rFonts w:hint="eastAsia" w:ascii="仿宋_GB2312" w:hAnsi="仿宋_GB2312" w:eastAsia="仿宋_GB2312" w:cs="仿宋_GB2312"/>
          <w:b/>
          <w:bCs/>
          <w:sz w:val="21"/>
          <w:szCs w:val="21"/>
        </w:rPr>
        <w:t xml:space="preserve">2.16 通知和送达</w:t>
      </w:r>
      <w:bookmarkEnd w:id="236"/>
      <w:r/>
      <w:bookmarkEnd w:id="237"/>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2.16.1 任何一方因履行合同而以合同第一部分尾部所列明的发出的所有通知、文件、材料，均视为已向对方当事人送达；任何一方变更上述送达方式或者地址的，应于7个工作日内书面通知对方当事人，在对方当事人收到有关变更通知之前，变更前的约定送达方式或者地址仍视为有效。</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8" w:name="_Toc127457240"/>
      <w:r/>
      <w:bookmarkStart w:id="239" w:name="_Toc128663794"/>
      <w:r>
        <w:rPr>
          <w:rFonts w:hint="eastAsia" w:ascii="仿宋_GB2312" w:hAnsi="仿宋_GB2312" w:eastAsia="仿宋_GB2312" w:cs="仿宋_GB2312"/>
          <w:b/>
          <w:bCs/>
          <w:sz w:val="21"/>
          <w:szCs w:val="21"/>
        </w:rPr>
        <w:t xml:space="preserve">2.17 合同使用的文字和适用的法律</w:t>
      </w:r>
      <w:bookmarkEnd w:id="238"/>
      <w:r/>
      <w:bookmarkEnd w:id="239"/>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2.17.1 合同使用汉语书就、变更和解释；</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2.17.2 合同适用中华人民共和国法律。</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40" w:name="_Toc128663795"/>
      <w:r/>
      <w:bookmarkStart w:id="241" w:name="_Toc127457241"/>
      <w:r>
        <w:rPr>
          <w:rFonts w:hint="eastAsia" w:ascii="仿宋_GB2312" w:hAnsi="仿宋_GB2312" w:eastAsia="仿宋_GB2312" w:cs="仿宋_GB2312"/>
          <w:b/>
          <w:bCs/>
          <w:sz w:val="21"/>
          <w:szCs w:val="21"/>
        </w:rPr>
        <w:t xml:space="preserve">2.18 履约保证金</w:t>
      </w:r>
      <w:bookmarkEnd w:id="240"/>
      <w:r/>
      <w:bookmarkEnd w:id="241"/>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2.18.1 采购文件要求乙方提交履约保证金的，乙方应按</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约定的方式，以支票、汇票、本票或者金融机构、担保机构出具的保函等非现金形式，提交不超过合同价10%的履约保证金；</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2.18.2 履约保证金在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约定期间内不予退还或者应完全有效，前述约定期间届满之日起个工作日内，甲方应将履约保证金退还乙方；</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_GB2312" w:hAnsi="仿宋_GB2312" w:eastAsia="仿宋_GB2312" w:cs="仿宋_GB2312"/>
          <w:sz w:val="21"/>
          <w:szCs w:val="21"/>
        </w:rPr>
      </w:r>
      <w:r/>
    </w:p>
    <w:p>
      <w:pPr>
        <w:pStyle w:val="700"/>
        <w:ind w:firstLine="42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2.19 合同份数</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合同份数按</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规定，每份均具有同等法律效力。</w:t>
      </w:r>
      <w:r>
        <w:rPr>
          <w:rFonts w:hint="eastAsia" w:ascii="仿宋_GB2312" w:hAnsi="仿宋_GB2312" w:eastAsia="仿宋_GB2312" w:cs="仿宋_GB2312"/>
          <w:sz w:val="21"/>
          <w:szCs w:val="21"/>
        </w:rPr>
      </w:r>
      <w:r/>
    </w:p>
    <w:p>
      <w:pPr>
        <w:pStyle w:val="700"/>
        <w:ind w:firstLine="42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第三部分  合同专用条款</w:t>
      </w:r>
      <w:r>
        <w:rPr>
          <w:rFonts w:hint="eastAsia" w:ascii="仿宋_GB2312" w:hAnsi="仿宋_GB2312" w:eastAsia="仿宋_GB2312" w:cs="仿宋_GB2312"/>
          <w:sz w:val="21"/>
          <w:szCs w:val="21"/>
        </w:rPr>
      </w:r>
      <w:r/>
    </w:p>
    <w:p>
      <w:pPr>
        <w:pStyle w:val="700"/>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仿宋_GB2312" w:hAnsi="仿宋_GB2312" w:eastAsia="仿宋_GB2312" w:cs="仿宋_GB2312"/>
          <w:sz w:val="21"/>
          <w:szCs w:val="21"/>
        </w:rPr>
      </w:r>
      <w:r/>
    </w:p>
    <w:tbl>
      <w:tblPr>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W w:w="801"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条款号</w:t>
            </w:r>
            <w:r>
              <w:rPr>
                <w:rFonts w:hint="eastAsia" w:ascii="仿宋_GB2312" w:hAnsi="仿宋_GB2312" w:eastAsia="仿宋_GB2312" w:cs="仿宋_GB2312"/>
                <w:sz w:val="21"/>
                <w:szCs w:val="21"/>
              </w:rPr>
            </w:r>
            <w:r/>
          </w:p>
        </w:tc>
        <w:tc>
          <w:tcPr>
            <w:tcW w:w="7633"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约定内容</w:t>
            </w:r>
            <w:r>
              <w:rPr>
                <w:rFonts w:hint="eastAsia" w:ascii="仿宋_GB2312" w:hAnsi="仿宋_GB2312" w:eastAsia="仿宋_GB2312" w:cs="仿宋_GB2312"/>
                <w:sz w:val="21"/>
                <w:szCs w:val="21"/>
              </w:rPr>
            </w:r>
            <w:r/>
          </w:p>
        </w:tc>
      </w:tr>
      <w:tr>
        <w:trPr>
          <w:trHeight w:val="88"/>
        </w:trPr>
        <w:tc>
          <w:tcPr>
            <w:tcW w:w="801"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无</w:t>
            </w:r>
            <w:r>
              <w:rPr>
                <w:rFonts w:hint="eastAsia" w:ascii="仿宋_GB2312" w:hAnsi="仿宋_GB2312" w:eastAsia="仿宋_GB2312" w:cs="仿宋_GB2312"/>
                <w:sz w:val="21"/>
                <w:szCs w:val="21"/>
              </w:rPr>
            </w:r>
            <w:r/>
          </w:p>
        </w:tc>
      </w:tr>
      <w:tr>
        <w:trPr>
          <w:trHeight w:val="352"/>
        </w:trPr>
        <w:tc>
          <w:tcPr>
            <w:tcW w:w="801"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52"/>
        </w:trPr>
        <w:tc>
          <w:tcPr>
            <w:tcW w:w="801"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0"/>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bl>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ascii="黑体" w:eastAsia="黑体"/>
          <w:bCs/>
          <w:sz w:val="44"/>
        </w:rPr>
      </w:pPr>
      <w:r>
        <w:rPr>
          <w:rFonts w:hint="eastAsia" w:ascii="黑体" w:eastAsia="黑体"/>
          <w:bCs/>
          <w:sz w:val="44"/>
        </w:rPr>
      </w:r>
      <w:r/>
    </w:p>
    <w:p>
      <w:pPr>
        <w:pStyle w:val="763"/>
        <w:jc w:val="center"/>
        <w:spacing w:before="120" w:after="120" w:line="0" w:lineRule="atLeast"/>
        <w:rPr>
          <w:rFonts w:hint="eastAsia" w:hAnsi="宋体"/>
          <w:color w:val="000000"/>
          <w:sz w:val="24"/>
        </w:rPr>
      </w:pPr>
      <w:r>
        <w:rPr>
          <w:rFonts w:hint="eastAsia"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1"/>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83"/>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0"/>
        <w:rPr>
          <w:rFonts w:hint="eastAsia"/>
          <w:bCs/>
          <w:sz w:val="24"/>
        </w:rPr>
      </w:pPr>
      <w:r>
        <w:rPr>
          <w:bCs/>
          <w:sz w:val="24"/>
        </w:rPr>
        <w:t xml:space="preserve">1.</w:t>
      </w:r>
      <w:r>
        <w:rPr>
          <w:rFonts w:hint="eastAsia"/>
          <w:bCs/>
          <w:sz w:val="24"/>
        </w:rPr>
        <w:t xml:space="preserve">项目名称：2026年常州市钟楼区环境卫生管理处环卫车辆加油服务项目</w:t>
      </w:r>
      <w:r>
        <w:rPr>
          <w:rFonts w:hint="eastAsia"/>
          <w:bCs/>
          <w:sz w:val="24"/>
        </w:rPr>
      </w:r>
      <w:r/>
    </w:p>
    <w:p>
      <w:pPr>
        <w:pStyle w:val="700"/>
        <w:rPr>
          <w:rFonts w:ascii="宋体" w:hAnsi="宋体"/>
          <w:sz w:val="24"/>
        </w:rPr>
      </w:pPr>
      <w:r>
        <w:rPr>
          <w:rFonts w:hint="eastAsia" w:ascii="宋体" w:hAnsi="宋体"/>
          <w:sz w:val="24"/>
        </w:rPr>
        <w:t xml:space="preserve">2.预算金额：200万元</w:t>
      </w:r>
      <w:r>
        <w:rPr>
          <w:rFonts w:ascii="宋体" w:hAnsi="宋体"/>
          <w:sz w:val="24"/>
        </w:rPr>
      </w:r>
      <w:r/>
    </w:p>
    <w:p>
      <w:pPr>
        <w:pStyle w:val="700"/>
        <w:rPr>
          <w:rFonts w:hint="eastAsia" w:ascii="宋体" w:hAnsi="宋体"/>
          <w:sz w:val="24"/>
        </w:rPr>
      </w:pPr>
      <w:r>
        <w:rPr>
          <w:rFonts w:hint="eastAsia" w:ascii="宋体" w:hAnsi="宋体"/>
          <w:sz w:val="24"/>
        </w:rPr>
        <w:t xml:space="preserve">3.最高限价：200万元</w:t>
      </w:r>
      <w:r>
        <w:rPr>
          <w:rFonts w:hint="eastAsia" w:ascii="宋体" w:hAnsi="宋体"/>
          <w:sz w:val="24"/>
        </w:rPr>
      </w:r>
      <w:r/>
    </w:p>
    <w:p>
      <w:pPr>
        <w:pStyle w:val="700"/>
        <w:rPr>
          <w:rFonts w:ascii="宋体" w:hAnsi="宋体"/>
          <w:sz w:val="24"/>
          <w:u w:val="single"/>
        </w:rPr>
      </w:pPr>
      <w:r>
        <w:rPr>
          <w:rFonts w:hint="eastAsia" w:ascii="宋体" w:hAnsi="宋体"/>
          <w:sz w:val="24"/>
        </w:rPr>
        <w:t xml:space="preserve">4.采购项目概况（简介）：</w:t>
      </w:r>
      <w:r>
        <w:rPr>
          <w:rFonts w:hint="eastAsia" w:ascii="宋体" w:hAnsi="宋体"/>
          <w:sz w:val="24"/>
          <w:szCs w:val="24"/>
          <w:highlight w:val="none"/>
          <w:lang w:val="en-US" w:eastAsia="zh-CN"/>
        </w:rPr>
        <w:t xml:space="preserve">本项目是2026年常州市钟楼区环境卫生管理处环卫车辆加油服务项目，针对常州市钟楼区环境卫生管理处31辆车提供车辆加油服务。要求能提供以下油品：92#车用汽油（VIA)、0#车用柴油(VI）、-10#车用柴油(VI）、尾气处理液（符合东风车辆标准）。</w:t>
      </w:r>
      <w:r>
        <w:rPr>
          <w:rFonts w:ascii="宋体" w:hAnsi="宋体"/>
          <w:sz w:val="24"/>
          <w:u w:val="single"/>
        </w:rPr>
      </w:r>
      <w:r/>
    </w:p>
    <w:p>
      <w:pPr>
        <w:pStyle w:val="700"/>
        <w:rPr>
          <w:rFonts w:hint="eastAsia" w:ascii="宋体" w:hAnsi="宋体"/>
          <w:sz w:val="24"/>
        </w:rPr>
      </w:pPr>
      <w:r>
        <w:rPr>
          <w:rFonts w:hint="eastAsia" w:ascii="宋体" w:hAnsi="宋体"/>
          <w:sz w:val="24"/>
        </w:rPr>
        <w:t xml:space="preserve">5.合同履行期限：</w:t>
      </w:r>
      <w:r>
        <w:rPr>
          <w:rFonts w:hint="eastAsia" w:ascii="宋体" w:hAnsi="宋体"/>
          <w:sz w:val="24"/>
          <w:szCs w:val="24"/>
          <w:highlight w:val="none"/>
          <w:lang w:val="en-US" w:eastAsia="zh-CN"/>
        </w:rPr>
        <w:t xml:space="preserve">自合同签订之日起一年</w:t>
      </w:r>
      <w:r>
        <w:rPr>
          <w:rFonts w:hint="eastAsia" w:ascii="宋体" w:hAnsi="宋体"/>
          <w:sz w:val="24"/>
          <w:szCs w:val="24"/>
          <w:highlight w:val="none"/>
        </w:rPr>
        <w:t xml:space="preserve">。</w:t>
      </w:r>
      <w:r>
        <w:rPr>
          <w:rFonts w:hint="eastAsia" w:ascii="宋体" w:hAnsi="宋体"/>
          <w:sz w:val="24"/>
        </w:rPr>
      </w:r>
      <w:r/>
    </w:p>
    <w:p>
      <w:pPr>
        <w:pStyle w:val="700"/>
        <w:rPr>
          <w:rFonts w:hint="eastAsia" w:ascii="宋体" w:hAnsi="宋体"/>
          <w:sz w:val="24"/>
        </w:rPr>
      </w:pPr>
      <w:r>
        <w:rPr>
          <w:rFonts w:hint="eastAsia" w:ascii="宋体" w:hAnsi="宋体"/>
          <w:sz w:val="24"/>
        </w:rPr>
        <w:t xml:space="preserve">6.是/否接受联合体投标：</w:t>
      </w:r>
      <w:r>
        <w:rPr>
          <w:rFonts w:hint="eastAsia" w:ascii="宋体" w:hAnsi="宋体"/>
          <w:sz w:val="24"/>
          <w:szCs w:val="24"/>
          <w:highlight w:val="none"/>
          <w:lang w:val="en-US" w:eastAsia="zh-CN"/>
        </w:rPr>
        <w:t xml:space="preserve">否</w:t>
      </w:r>
      <w:r>
        <w:rPr>
          <w:rFonts w:hint="eastAsia" w:ascii="宋体" w:hAnsi="宋体"/>
          <w:sz w:val="24"/>
        </w:rPr>
        <w:t xml:space="preserve">；</w:t>
      </w:r>
      <w:r>
        <w:rPr>
          <w:rFonts w:hint="eastAsia" w:ascii="宋体" w:hAnsi="宋体"/>
          <w:sz w:val="24"/>
        </w:rPr>
      </w:r>
      <w:r/>
    </w:p>
    <w:p>
      <w:pPr>
        <w:pStyle w:val="70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否</w:t>
      </w:r>
      <w:r>
        <w:rPr>
          <w:rFonts w:hint="eastAsia" w:ascii="宋体" w:hAnsi="宋体"/>
          <w:bCs/>
          <w:sz w:val="24"/>
          <w:highlight w:val="yellow"/>
        </w:rPr>
      </w:r>
      <w:r/>
    </w:p>
    <w:p>
      <w:pPr>
        <w:pStyle w:val="700"/>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sz w:val="24"/>
          <w:lang w:val="en-US" w:eastAsia="zh-CN"/>
        </w:rPr>
        <w:t xml:space="preserve">否</w:t>
      </w:r>
      <w:r>
        <w:rPr>
          <w:rFonts w:hint="eastAsia" w:ascii="宋体" w:hAnsi="宋体" w:eastAsia="宋体"/>
          <w:sz w:val="24"/>
          <w:lang w:val="en-US" w:eastAsia="zh-CN"/>
        </w:rPr>
      </w:r>
      <w:r/>
    </w:p>
    <w:p>
      <w:pPr>
        <w:pStyle w:val="700"/>
        <w:rPr>
          <w:rFonts w:hint="eastAsia"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否</w:t>
      </w:r>
      <w:r>
        <w:rPr>
          <w:rFonts w:hint="eastAsia" w:eastAsia="宋体"/>
          <w:sz w:val="24"/>
          <w:lang w:val="en-US" w:eastAsia="zh-CN"/>
        </w:rPr>
      </w:r>
      <w:r/>
    </w:p>
    <w:p>
      <w:pPr>
        <w:pStyle w:val="700"/>
        <w:rPr>
          <w:rFonts w:hint="eastAsia" w:eastAsia="宋体"/>
          <w:sz w:val="24"/>
          <w:highlight w:val="none"/>
          <w:lang w:val="en-US" w:eastAsia="zh-CN"/>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sz w:val="24"/>
          <w:highlight w:val="none"/>
          <w:lang w:val="en-US" w:eastAsia="zh-CN"/>
        </w:rPr>
        <w:t xml:space="preserve">否</w:t>
      </w:r>
      <w:r>
        <w:rPr>
          <w:rFonts w:hint="eastAsia" w:eastAsia="宋体"/>
          <w:sz w:val="24"/>
          <w:highlight w:val="none"/>
          <w:lang w:val="en-US" w:eastAsia="zh-CN"/>
        </w:rPr>
      </w:r>
      <w:r/>
    </w:p>
    <w:p>
      <w:pPr>
        <w:pStyle w:val="700"/>
        <w:rPr>
          <w:rFonts w:hint="eastAsia" w:ascii="宋体" w:hAnsi="宋体"/>
          <w:bCs/>
          <w:sz w:val="24"/>
          <w:highlight w:val="none"/>
        </w:rPr>
      </w:pPr>
      <w:r>
        <w:rPr>
          <w:rFonts w:hint="eastAsia"/>
          <w:sz w:val="24"/>
          <w:highlight w:val="none"/>
        </w:rPr>
        <w:t xml:space="preserve">11.本项目的特定资格要求：</w:t>
      </w:r>
      <w:r>
        <w:rPr>
          <w:rFonts w:hint="eastAsia" w:ascii="宋体" w:hAnsi="宋体"/>
          <w:bCs/>
          <w:sz w:val="24"/>
          <w:highlight w:val="none"/>
        </w:rPr>
        <w:t xml:space="preserve">无</w:t>
      </w:r>
      <w:r>
        <w:rPr>
          <w:rFonts w:hint="eastAsia" w:ascii="宋体" w:hAnsi="宋体"/>
          <w:bCs/>
          <w:sz w:val="24"/>
          <w:highlight w:val="none"/>
        </w:rPr>
      </w:r>
      <w:r/>
    </w:p>
    <w:p>
      <w:pPr>
        <w:pStyle w:val="700"/>
        <w:rPr>
          <w:rFonts w:hint="eastAsia" w:ascii="宋体" w:hAnsi="宋体"/>
          <w:bCs/>
          <w:sz w:val="24"/>
          <w:highlight w:val="none"/>
        </w:rPr>
      </w:pPr>
      <w:r>
        <w:rPr>
          <w:rFonts w:hint="eastAsia" w:ascii="宋体" w:hAnsi="宋体"/>
          <w:bCs/>
          <w:sz w:val="24"/>
          <w:highlight w:val="none"/>
        </w:rPr>
        <w:t xml:space="preserve">12.项目类别：服务类</w:t>
      </w:r>
      <w:r>
        <w:rPr>
          <w:rFonts w:hint="eastAsia" w:ascii="宋体" w:hAnsi="宋体"/>
          <w:bCs/>
          <w:sz w:val="24"/>
          <w:highlight w:val="none"/>
        </w:rPr>
      </w:r>
      <w:r/>
    </w:p>
    <w:p>
      <w:pPr>
        <w:pStyle w:val="700"/>
        <w:rPr>
          <w:rFonts w:hint="eastAsia" w:ascii="宋体" w:hAnsi="宋体" w:eastAsia="宋体"/>
          <w:bCs/>
          <w:sz w:val="24"/>
          <w:highlight w:val="none"/>
          <w:lang w:val="en-US" w:eastAsia="zh-CN"/>
        </w:rPr>
      </w:pPr>
      <w:r>
        <w:rPr>
          <w:rFonts w:hint="eastAsia" w:ascii="宋体" w:hAnsi="宋体"/>
          <w:bCs/>
          <w:sz w:val="24"/>
          <w:highlight w:val="none"/>
        </w:rPr>
        <w:t xml:space="preserve">13.</w:t>
      </w:r>
      <w:r>
        <w:rPr>
          <w:rFonts w:ascii="宋体" w:hAnsi="宋体"/>
          <w:sz w:val="24"/>
          <w:highlight w:val="none"/>
        </w:rPr>
        <w:t xml:space="preserve"> 是</w:t>
      </w:r>
      <w:r>
        <w:rPr>
          <w:rFonts w:hint="eastAsia" w:ascii="宋体" w:hAnsi="宋体"/>
          <w:sz w:val="24"/>
          <w:highlight w:val="none"/>
        </w:rPr>
        <w:t xml:space="preserve">/</w:t>
      </w:r>
      <w:r>
        <w:rPr>
          <w:rFonts w:ascii="宋体" w:hAnsi="宋体"/>
          <w:sz w:val="24"/>
          <w:highlight w:val="none"/>
        </w:rPr>
        <w:t xml:space="preserve">否</w:t>
      </w:r>
      <w:r>
        <w:rPr>
          <w:rFonts w:hint="eastAsia"/>
          <w:sz w:val="24"/>
          <w:highlight w:val="none"/>
        </w:rPr>
        <w:t xml:space="preserve">包含产品采购</w:t>
      </w:r>
      <w:r>
        <w:rPr>
          <w:sz w:val="24"/>
          <w:highlight w:val="none"/>
        </w:rPr>
        <w:t xml:space="preserve">：</w:t>
      </w:r>
      <w:r>
        <w:rPr>
          <w:rFonts w:hint="eastAsia"/>
          <w:sz w:val="24"/>
          <w:highlight w:val="none"/>
          <w:lang w:val="en-US" w:eastAsia="zh-CN"/>
        </w:rPr>
        <w:t xml:space="preserve">否</w:t>
      </w:r>
      <w:r>
        <w:rPr>
          <w:rFonts w:hint="eastAsia" w:ascii="宋体" w:hAnsi="宋体" w:eastAsia="宋体"/>
          <w:bCs/>
          <w:sz w:val="24"/>
          <w:highlight w:val="none"/>
          <w:lang w:val="en-US" w:eastAsia="zh-CN"/>
        </w:rPr>
      </w:r>
      <w:r/>
    </w:p>
    <w:p>
      <w:pPr>
        <w:pStyle w:val="783"/>
        <w:numPr>
          <w:ilvl w:val="0"/>
          <w:numId w:val="6"/>
        </w:numPr>
        <w:jc w:val="both"/>
        <w:widowControl w:val="off"/>
        <w:rPr>
          <w:rFonts w:ascii="Times New Roman" w:hAnsi="Times New Roman"/>
          <w:b/>
          <w:highlight w:val="none"/>
        </w:rPr>
      </w:pPr>
      <w:r>
        <w:rPr>
          <w:rFonts w:ascii="Times New Roman" w:hAnsi="Times New Roman"/>
          <w:b/>
          <w:highlight w:val="none"/>
          <w:lang w:eastAsia="zh-CN"/>
        </w:rPr>
        <w:t xml:space="preserve">商务要求</w:t>
      </w:r>
      <w:r>
        <w:rPr>
          <w:rFonts w:ascii="Times New Roman" w:hAnsi="Times New Roman"/>
          <w:b/>
          <w:highlight w:val="none"/>
        </w:rPr>
      </w:r>
      <w:r/>
    </w:p>
    <w:p>
      <w:pPr>
        <w:pStyle w:val="700"/>
        <w:ind w:firstLine="480"/>
        <w:keepLines w:val="0"/>
        <w:keepNext w:val="0"/>
        <w:pageBreakBefore w:val="0"/>
        <w:spacing w:line="360" w:lineRule="auto"/>
        <w:rPr>
          <w:i/>
          <w:sz w:val="24"/>
          <w:szCs w:val="24"/>
          <w:highlight w:val="none"/>
        </w:rPr>
      </w:pPr>
      <w:r>
        <w:rPr>
          <w:sz w:val="24"/>
          <w:szCs w:val="24"/>
          <w:highlight w:val="none"/>
        </w:rPr>
        <w:t xml:space="preserve">1.交付（实施）的时间（期限）和地点（范围）</w:t>
      </w:r>
      <w:r>
        <w:rPr>
          <w:i/>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服务期限：</w:t>
      </w:r>
      <w:r>
        <w:rPr>
          <w:rFonts w:hint="eastAsia" w:ascii="宋体" w:hAnsi="宋体"/>
          <w:sz w:val="24"/>
          <w:szCs w:val="24"/>
          <w:highlight w:val="none"/>
          <w:lang w:val="en-US" w:eastAsia="zh-CN"/>
        </w:rPr>
        <w:t xml:space="preserve">自合同签订之日起一年</w:t>
      </w:r>
      <w:r>
        <w:rPr>
          <w:rFonts w:hint="eastAsia" w:ascii="宋体" w:hAnsi="宋体"/>
          <w:sz w:val="24"/>
          <w:szCs w:val="24"/>
          <w:highlight w:val="none"/>
        </w:rPr>
        <w:t xml:space="preserve">。</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）尾气处理液交货期：45天一送，接采购人通知后2小时候送货至采购人指定地点。</w:t>
      </w:r>
      <w:r>
        <w:rPr>
          <w:rFonts w:hint="eastAsia"/>
          <w:sz w:val="24"/>
          <w:szCs w:val="24"/>
          <w:highlight w:val="none"/>
          <w:lang w:eastAsia="zh-CN"/>
        </w:rPr>
      </w:r>
      <w:r/>
    </w:p>
    <w:p>
      <w:pPr>
        <w:pStyle w:val="700"/>
        <w:ind w:firstLine="480"/>
        <w:keepLines w:val="0"/>
        <w:keepNext w:val="0"/>
        <w:pageBreakBefore w:val="0"/>
        <w:spacing w:line="360" w:lineRule="auto"/>
        <w:rPr>
          <w:rFonts w:hint="eastAsia" w:eastAsia="宋体"/>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）交货地点：按照采购人指定的交货地点。</w:t>
      </w:r>
      <w:r>
        <w:rPr>
          <w:rFonts w:hint="eastAsia" w:eastAsia="宋体"/>
          <w:sz w:val="24"/>
          <w:szCs w:val="24"/>
          <w:highlight w:val="none"/>
          <w:lang w:eastAsia="zh-CN"/>
        </w:rPr>
      </w:r>
      <w:r/>
    </w:p>
    <w:p>
      <w:pPr>
        <w:pStyle w:val="700"/>
        <w:ind w:firstLine="480"/>
        <w:keepLines w:val="0"/>
        <w:keepNext w:val="0"/>
        <w:pageBreakBefore w:val="0"/>
        <w:spacing w:line="360" w:lineRule="auto"/>
        <w:rPr>
          <w:sz w:val="24"/>
          <w:szCs w:val="24"/>
          <w:highlight w:val="none"/>
        </w:rPr>
      </w:pPr>
      <w:r>
        <w:rPr>
          <w:sz w:val="24"/>
          <w:szCs w:val="24"/>
          <w:highlight w:val="none"/>
        </w:rPr>
        <w:t xml:space="preserve">2.付款条件（进度和方式）</w:t>
      </w:r>
      <w:r>
        <w:rPr>
          <w:sz w:val="24"/>
          <w:szCs w:val="24"/>
          <w:highlight w:val="none"/>
        </w:rPr>
      </w:r>
      <w:r/>
    </w:p>
    <w:p>
      <w:pPr>
        <w:pStyle w:val="700"/>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92#车用汽油（VIA）、0#车用柴油（VI）、-10#车用柴油（VJ）结算方式：国家规定的成品油零售价为基准*固定折扣</w:t>
      </w:r>
      <w:r>
        <w:rPr>
          <w:rFonts w:hint="eastAsia"/>
          <w:sz w:val="24"/>
          <w:szCs w:val="24"/>
        </w:rPr>
      </w:r>
      <w:r/>
    </w:p>
    <w:p>
      <w:pPr>
        <w:pStyle w:val="700"/>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尾气处理液结算方式：固定单价，按实结算。</w:t>
      </w:r>
      <w:r>
        <w:rPr>
          <w:rFonts w:hint="eastAsia"/>
          <w:sz w:val="24"/>
          <w:szCs w:val="24"/>
        </w:rPr>
      </w:r>
      <w:r/>
    </w:p>
    <w:p>
      <w:pPr>
        <w:pStyle w:val="700"/>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由</w:t>
      </w:r>
      <w:r>
        <w:rPr>
          <w:rFonts w:hint="eastAsia"/>
          <w:sz w:val="24"/>
          <w:szCs w:val="24"/>
          <w:lang w:eastAsia="zh-CN"/>
        </w:rPr>
        <w:t xml:space="preserve">中标人</w:t>
      </w:r>
      <w:r>
        <w:rPr>
          <w:rFonts w:hint="eastAsia"/>
          <w:sz w:val="24"/>
          <w:szCs w:val="24"/>
        </w:rPr>
        <w:t xml:space="preserve">提供等额的增值税普通发票，发票金额应与当月充值金额一致。采购人按发票金额支付。自收到发票后10个工作日内支付。</w:t>
      </w:r>
      <w:r>
        <w:rPr>
          <w:rFonts w:hint="eastAsia"/>
          <w:sz w:val="24"/>
          <w:szCs w:val="24"/>
        </w:rPr>
      </w:r>
      <w:r/>
    </w:p>
    <w:p>
      <w:pPr>
        <w:pStyle w:val="700"/>
        <w:ind w:firstLine="480"/>
        <w:keepLines w:val="0"/>
        <w:keepNext w:val="0"/>
        <w:pageBreakBefore w:val="0"/>
        <w:spacing w:line="360" w:lineRule="auto"/>
        <w:rPr>
          <w:rFonts w:hint="eastAsia"/>
          <w:sz w:val="24"/>
          <w:szCs w:val="24"/>
        </w:rPr>
      </w:pPr>
      <w:r>
        <w:rPr>
          <w:sz w:val="24"/>
          <w:szCs w:val="24"/>
        </w:rPr>
        <w:t xml:space="preserve">3.包装和运输</w:t>
      </w:r>
      <w:r>
        <w:rPr>
          <w:rFonts w:hint="eastAsia"/>
          <w:sz w:val="24"/>
          <w:szCs w:val="24"/>
        </w:rPr>
      </w:r>
      <w:r/>
    </w:p>
    <w:p>
      <w:pPr>
        <w:pStyle w:val="700"/>
        <w:ind w:firstLine="480"/>
        <w:keepLines w:val="0"/>
        <w:keepNext w:val="0"/>
        <w:pageBreakBefore w:val="0"/>
        <w:spacing w:line="360" w:lineRule="auto"/>
        <w:rPr>
          <w:sz w:val="24"/>
          <w:szCs w:val="24"/>
        </w:rPr>
      </w:pPr>
      <w:r>
        <w:rPr>
          <w:rFonts w:hint="eastAsia"/>
          <w:sz w:val="24"/>
          <w:szCs w:val="24"/>
        </w:rPr>
        <w:t xml:space="preserve">无</w:t>
      </w:r>
      <w:r>
        <w:rPr>
          <w:sz w:val="24"/>
          <w:szCs w:val="24"/>
        </w:rPr>
      </w:r>
      <w:r/>
    </w:p>
    <w:p>
      <w:pPr>
        <w:pStyle w:val="700"/>
        <w:ind w:firstLine="480"/>
        <w:keepLines w:val="0"/>
        <w:keepNext w:val="0"/>
        <w:pageBreakBefore w:val="0"/>
        <w:spacing w:line="360" w:lineRule="auto"/>
        <w:rPr>
          <w:sz w:val="24"/>
          <w:szCs w:val="24"/>
        </w:rPr>
      </w:pPr>
      <w:r>
        <w:rPr>
          <w:sz w:val="24"/>
          <w:szCs w:val="24"/>
        </w:rPr>
        <w:t xml:space="preserve">4.售后服务（质保期</w:t>
      </w:r>
      <w:r>
        <w:rPr>
          <w:rFonts w:hint="eastAsia"/>
          <w:sz w:val="24"/>
          <w:szCs w:val="24"/>
        </w:rPr>
        <w:t xml:space="preserve">等</w:t>
      </w:r>
      <w:r>
        <w:rPr>
          <w:sz w:val="24"/>
          <w:szCs w:val="24"/>
        </w:rPr>
        <w:t xml:space="preserve">）</w:t>
      </w:r>
      <w:r>
        <w:rPr>
          <w:sz w:val="24"/>
          <w:szCs w:val="24"/>
        </w:rPr>
      </w:r>
      <w:r/>
    </w:p>
    <w:p>
      <w:pPr>
        <w:pStyle w:val="700"/>
        <w:ind w:firstLine="480"/>
        <w:keepLines w:val="0"/>
        <w:keepNext w:val="0"/>
        <w:pageBreakBefore w:val="0"/>
        <w:spacing w:line="360" w:lineRule="auto"/>
        <w:rPr>
          <w:rFonts w:hint="eastAsia" w:ascii="宋体" w:hAnsi="宋体" w:cs="宋体"/>
          <w:sz w:val="24"/>
          <w:szCs w:val="24"/>
        </w:rPr>
      </w:pPr>
      <w:r>
        <w:rPr>
          <w:rFonts w:hint="eastAsia" w:ascii="宋体" w:hAnsi="宋体" w:cs="宋体"/>
          <w:color w:val="000000"/>
          <w:sz w:val="24"/>
          <w:szCs w:val="24"/>
        </w:rPr>
        <w:t xml:space="preserve">对于使用过程中发现有质量问题的货物立即进行调换，相关技术上的问题12小时之内到现场解决，造成车辆发动机等故障的予以赔偿。</w:t>
      </w:r>
      <w:r>
        <w:rPr>
          <w:rFonts w:hint="eastAsia" w:ascii="宋体" w:hAnsi="宋体" w:cs="宋体"/>
          <w:sz w:val="24"/>
          <w:szCs w:val="24"/>
        </w:rPr>
      </w:r>
      <w:r/>
    </w:p>
    <w:p>
      <w:pPr>
        <w:pStyle w:val="700"/>
        <w:ind w:firstLine="480"/>
        <w:keepLines w:val="0"/>
        <w:keepNext w:val="0"/>
        <w:pageBreakBefore w:val="0"/>
        <w:spacing w:line="360" w:lineRule="auto"/>
        <w:rPr>
          <w:rFonts w:hint="eastAsia"/>
          <w:sz w:val="24"/>
          <w:szCs w:val="24"/>
        </w:rPr>
      </w:pPr>
      <w:r>
        <w:rPr>
          <w:sz w:val="24"/>
          <w:szCs w:val="24"/>
        </w:rPr>
        <w:t xml:space="preserve">5.保险</w:t>
      </w:r>
      <w:r>
        <w:rPr>
          <w:rFonts w:hint="eastAsia"/>
          <w:sz w:val="24"/>
          <w:szCs w:val="24"/>
        </w:rPr>
      </w:r>
      <w:r/>
    </w:p>
    <w:p>
      <w:pPr>
        <w:pStyle w:val="700"/>
        <w:ind w:firstLine="480"/>
        <w:keepLines w:val="0"/>
        <w:keepNext w:val="0"/>
        <w:pageBreakBefore w:val="0"/>
        <w:spacing w:line="360" w:lineRule="auto"/>
        <w:rPr>
          <w:rFonts w:hint="eastAsia"/>
          <w:b/>
          <w:i/>
          <w:sz w:val="24"/>
          <w:szCs w:val="24"/>
        </w:rPr>
      </w:pPr>
      <w:r>
        <w:rPr>
          <w:rFonts w:hint="eastAsia"/>
          <w:sz w:val="24"/>
          <w:szCs w:val="24"/>
        </w:rPr>
        <w:t xml:space="preserve">无</w:t>
      </w:r>
      <w:r>
        <w:rPr>
          <w:rFonts w:hint="eastAsia"/>
          <w:b/>
          <w:i/>
          <w:sz w:val="24"/>
          <w:szCs w:val="24"/>
        </w:rPr>
      </w:r>
      <w:r/>
    </w:p>
    <w:p>
      <w:pPr>
        <w:pStyle w:val="783"/>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0"/>
        <w:ind w:firstLine="480"/>
        <w:keepLines w:val="0"/>
        <w:keepNext w:val="0"/>
        <w:pageBreakBefore w:val="0"/>
        <w:spacing w:line="360" w:lineRule="auto"/>
        <w:rPr>
          <w:sz w:val="24"/>
          <w:szCs w:val="24"/>
        </w:rPr>
      </w:pPr>
      <w:r>
        <w:rPr>
          <w:rFonts w:hint="eastAsia"/>
          <w:sz w:val="24"/>
          <w:szCs w:val="24"/>
        </w:rPr>
        <w:t xml:space="preserve">（一）</w:t>
      </w:r>
      <w:r>
        <w:rPr>
          <w:sz w:val="24"/>
          <w:szCs w:val="24"/>
        </w:rPr>
        <w:t xml:space="preserve">基本要求</w:t>
      </w:r>
      <w:r>
        <w:rPr>
          <w:sz w:val="24"/>
          <w:szCs w:val="24"/>
        </w:rPr>
      </w:r>
      <w:r/>
    </w:p>
    <w:p>
      <w:pPr>
        <w:pStyle w:val="700"/>
        <w:ind w:firstLine="480"/>
        <w:keepLines w:val="0"/>
        <w:keepNext w:val="0"/>
        <w:pageBreakBefore w:val="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中标人</w:t>
      </w:r>
      <w:r>
        <w:rPr>
          <w:rFonts w:hint="eastAsia" w:ascii="Times New Roman" w:hAnsi="Times New Roman" w:eastAsia="宋体" w:cs="Times New Roman"/>
          <w:sz w:val="24"/>
          <w:szCs w:val="24"/>
        </w:rPr>
        <w:t xml:space="preserve">加油站至少能提供以下油品，具体需求清单如下：</w:t>
      </w:r>
      <w:r>
        <w:rPr>
          <w:rFonts w:hint="eastAsia" w:ascii="Times New Roman" w:hAnsi="Times New Roman" w:eastAsia="宋体" w:cs="Times New Roman"/>
          <w:sz w:val="24"/>
          <w:szCs w:val="24"/>
        </w:rPr>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4771"/>
        <w:gridCol w:w="2886"/>
      </w:tblGrid>
      <w:tr>
        <w:trPr/>
        <w:tc>
          <w:tcPr>
            <w:tcW w:w="863"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W w:w="4771"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油品规格</w:t>
            </w:r>
            <w:r>
              <w:rPr>
                <w:rFonts w:hint="eastAsia" w:ascii="宋体" w:hAnsi="宋体" w:eastAsia="宋体" w:cs="Times New Roman"/>
                <w:sz w:val="24"/>
                <w:szCs w:val="24"/>
              </w:rPr>
            </w:r>
            <w:r/>
          </w:p>
        </w:tc>
        <w:tc>
          <w:tcPr>
            <w:tcW w:w="2886"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hint="eastAsia" w:ascii="宋体" w:hAnsi="宋体" w:eastAsia="宋体" w:cs="Times New Roman"/>
                <w:sz w:val="24"/>
                <w:szCs w:val="24"/>
              </w:rPr>
            </w:r>
            <w:r/>
          </w:p>
        </w:tc>
      </w:tr>
      <w:tr>
        <w:trPr/>
        <w:tc>
          <w:tcPr>
            <w:tcW w:w="863"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4771"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92#车用汽油（VIA）</w:t>
            </w:r>
            <w:r>
              <w:rPr>
                <w:rFonts w:hint="eastAsia" w:ascii="宋体" w:hAnsi="宋体" w:eastAsia="宋体" w:cs="Times New Roman"/>
                <w:sz w:val="24"/>
                <w:szCs w:val="24"/>
              </w:rPr>
            </w:r>
            <w:r/>
          </w:p>
        </w:tc>
        <w:tc>
          <w:tcPr>
            <w:tcW w:w="2886"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863"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W w:w="4771"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0#车用柴油（VI）</w:t>
            </w:r>
            <w:r>
              <w:rPr>
                <w:rFonts w:hint="eastAsia" w:ascii="宋体" w:hAnsi="宋体" w:eastAsia="宋体" w:cs="Times New Roman"/>
                <w:sz w:val="24"/>
                <w:szCs w:val="24"/>
              </w:rPr>
            </w:r>
            <w:r/>
          </w:p>
        </w:tc>
        <w:tc>
          <w:tcPr>
            <w:tcW w:w="2886"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863"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r>
            <w:r/>
          </w:p>
        </w:tc>
        <w:tc>
          <w:tcPr>
            <w:tcW w:w="4771"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-10#车用柴油</w:t>
            </w:r>
            <w:r>
              <w:rPr>
                <w:rFonts w:hint="eastAsia" w:ascii="宋体" w:hAnsi="宋体" w:eastAsia="宋体" w:cs="Times New Roman"/>
                <w:sz w:val="24"/>
                <w:szCs w:val="24"/>
              </w:rPr>
            </w:r>
            <w:r/>
          </w:p>
        </w:tc>
        <w:tc>
          <w:tcPr>
            <w:tcW w:w="2886"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极寒天气使用</w:t>
            </w:r>
            <w:r>
              <w:rPr>
                <w:rFonts w:hint="eastAsia" w:ascii="宋体" w:hAnsi="宋体" w:eastAsia="宋体" w:cs="Times New Roman"/>
                <w:sz w:val="24"/>
                <w:szCs w:val="24"/>
              </w:rPr>
            </w:r>
            <w:r/>
          </w:p>
        </w:tc>
      </w:tr>
      <w:tr>
        <w:trPr/>
        <w:tc>
          <w:tcPr>
            <w:tcW w:w="863"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r>
            <w:r/>
          </w:p>
        </w:tc>
        <w:tc>
          <w:tcPr>
            <w:tcW w:w="4771"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尾气处理液（符合东风车辆标准）</w:t>
            </w:r>
            <w:r>
              <w:rPr>
                <w:rFonts w:hint="eastAsia" w:ascii="宋体" w:hAnsi="宋体" w:eastAsia="宋体" w:cs="Times New Roman"/>
                <w:sz w:val="24"/>
                <w:szCs w:val="24"/>
              </w:rPr>
            </w:r>
            <w:r/>
          </w:p>
        </w:tc>
        <w:tc>
          <w:tcPr>
            <w:tcW w:w="2886" w:type="dxa"/>
            <w:vAlign w:val="top"/>
            <w:textDirection w:val="lrTb"/>
            <w:noWrap w:val="false"/>
          </w:tcPr>
          <w:p>
            <w:pPr>
              <w:pStyle w:val="700"/>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规格为10KG/桶</w:t>
            </w:r>
            <w:r>
              <w:rPr>
                <w:rFonts w:hint="eastAsia" w:ascii="宋体" w:hAnsi="宋体" w:eastAsia="宋体" w:cs="Times New Roman"/>
                <w:sz w:val="24"/>
                <w:szCs w:val="24"/>
              </w:rPr>
            </w:r>
            <w:r/>
          </w:p>
        </w:tc>
      </w:tr>
    </w:tbl>
    <w:p>
      <w:pPr>
        <w:pStyle w:val="700"/>
        <w:ind w:firstLine="480"/>
        <w:keepLines w:val="0"/>
        <w:keepNext w:val="0"/>
        <w:pageBreakBefore w:val="0"/>
        <w:spacing w:line="360" w:lineRule="auto"/>
        <w:rPr>
          <w:rFonts w:hint="eastAsia"/>
          <w:sz w:val="24"/>
          <w:szCs w:val="24"/>
        </w:rPr>
      </w:pPr>
      <w:r>
        <w:rPr>
          <w:rFonts w:hint="eastAsia"/>
          <w:sz w:val="24"/>
          <w:szCs w:val="24"/>
        </w:rPr>
        <w:t xml:space="preserve">（二）</w:t>
      </w:r>
      <w:r>
        <w:rPr>
          <w:sz w:val="24"/>
          <w:szCs w:val="24"/>
        </w:rPr>
        <w:t xml:space="preserve">服务内容及要求/货物技术要求</w:t>
      </w:r>
      <w:r>
        <w:rPr>
          <w:rFonts w:hint="eastAsia"/>
          <w:sz w:val="24"/>
          <w:szCs w:val="24"/>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1.本次采购的标的物需满足国VI车用柴油、车用汽油技术标准，符合国家有关部门规定的相应技术、节能、安全和环保标准；如国家有关部门有强制性规定或要求的，则必须符合相应规定或要求；提供相应的检测报告。</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2.中标人提供的货物和服务必须符合国家标准、行业标准及国家、省、市环境保护相关标准要求。</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3.采购人现有</w:t>
      </w:r>
      <w:r>
        <w:rPr>
          <w:rFonts w:hint="eastAsia"/>
          <w:sz w:val="24"/>
          <w:szCs w:val="24"/>
          <w:lang w:val="en-US" w:eastAsia="zh-CN"/>
        </w:rPr>
        <w:t xml:space="preserve">21</w:t>
      </w:r>
      <w:r>
        <w:rPr>
          <w:rFonts w:hint="eastAsia"/>
          <w:sz w:val="24"/>
          <w:szCs w:val="24"/>
          <w:lang w:eastAsia="zh-CN"/>
        </w:rPr>
        <w:t xml:space="preserve">辆东风牌大型环卫专用作业车辆、大通、长城皮卡等车辆。加油站需保证场地开阔，车辆进出方便；</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4.加油站应稳定油源渠道，保证油品质量，油品规格齐全，不停供、不断油，不销售不合格或掺假的油品，不缺斤少两，在市场供应紧缺时，应优先保证本项目采购中垃圾运输车辆的加油。且按国家规定开具增值税普通发票，通讯方便（专人负责电话联系）。</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5.加油站应有安全措施，确保加油相关活动的安全。加油站内部机构稳定、管理科学规范。</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6.中标人提供加油IC卡结算，并提供加油IC卡办理的流程及使用方法说明。中标人应加强对IC卡的管理，对所有加油车辆实施有效管控，做到一卡一车，专车专用（如用油卡为他车加油的，需及时汇报采购人，中标人承担相应责任，情况严重则立即终止合同），设置程序禁止IC卡在中标人用于站内购物等其他用途。并于每月5日前向采购人报送上月的加油统计报表。</w:t>
      </w:r>
      <w:r>
        <w:rPr>
          <w:rFonts w:hint="eastAsia"/>
          <w:sz w:val="24"/>
          <w:szCs w:val="24"/>
          <w:lang w:eastAsia="zh-CN"/>
        </w:rPr>
      </w:r>
      <w:r/>
    </w:p>
    <w:p>
      <w:pPr>
        <w:pStyle w:val="796"/>
        <w:ind w:left="0" w:firstLine="480"/>
        <w:keepLines w:val="0"/>
        <w:keepNext w:val="0"/>
        <w:pageBreakBefore w:val="0"/>
        <w:spacing w:line="360" w:lineRule="auto"/>
        <w:rPr>
          <w:rFonts w:hint="eastAsia"/>
          <w:sz w:val="24"/>
          <w:szCs w:val="24"/>
          <w:highlight w:val="none"/>
          <w:lang w:eastAsia="zh-CN"/>
        </w:rPr>
      </w:pPr>
      <w:r>
        <w:rPr>
          <w:rFonts w:hint="eastAsia"/>
          <w:sz w:val="24"/>
          <w:szCs w:val="24"/>
          <w:lang w:eastAsia="zh-CN"/>
        </w:rPr>
        <w:t xml:space="preserve">7.中标人在合同履行期间应保障供应，充分考虑遇油荒、天气骤降，加油站安全方面的应急预案，加油站停电供应的应急预案；若因此造成了各种损失，由</w:t>
      </w:r>
      <w:r>
        <w:rPr>
          <w:rFonts w:hint="eastAsia"/>
          <w:sz w:val="24"/>
          <w:szCs w:val="24"/>
          <w:highlight w:val="none"/>
          <w:lang w:eastAsia="zh-CN"/>
        </w:rPr>
        <w:t xml:space="preserve">中标人承担一切责任。</w:t>
      </w:r>
      <w:r>
        <w:rPr>
          <w:rFonts w:hint="eastAsia"/>
          <w:sz w:val="24"/>
          <w:szCs w:val="24"/>
          <w:highlight w:val="none"/>
          <w:lang w:eastAsia="zh-CN"/>
        </w:rPr>
      </w:r>
      <w:r/>
    </w:p>
    <w:p>
      <w:pPr>
        <w:pStyle w:val="796"/>
        <w:ind w:left="0" w:firstLine="480"/>
        <w:keepLines w:val="0"/>
        <w:keepNext w:val="0"/>
        <w:pageBreakBefore w:val="0"/>
        <w:spacing w:line="360" w:lineRule="auto"/>
        <w:rPr>
          <w:rFonts w:hint="eastAsia"/>
          <w:sz w:val="24"/>
          <w:szCs w:val="24"/>
          <w:highlight w:val="none"/>
          <w:lang w:eastAsia="zh-CN"/>
        </w:rPr>
      </w:pPr>
      <w:r>
        <w:rPr>
          <w:rFonts w:hint="eastAsia"/>
          <w:sz w:val="24"/>
          <w:szCs w:val="24"/>
          <w:highlight w:val="none"/>
          <w:lang w:eastAsia="zh-CN"/>
        </w:rPr>
        <w:t xml:space="preserve">8.因本级政府有政策性调整或其他要求的，采购人有权随时解除合同且不视为采购人违约。</w:t>
      </w:r>
      <w:r>
        <w:rPr>
          <w:rFonts w:hint="eastAsia"/>
          <w:sz w:val="24"/>
          <w:szCs w:val="24"/>
          <w:highlight w:val="none"/>
          <w:lang w:eastAsia="zh-CN"/>
        </w:rPr>
      </w:r>
      <w:r/>
    </w:p>
    <w:p>
      <w:pPr>
        <w:pStyle w:val="796"/>
        <w:ind w:left="0" w:firstLine="482"/>
        <w:keepLines w:val="0"/>
        <w:keepNext w:val="0"/>
        <w:pageBreakBefore w:val="0"/>
        <w:spacing w:line="360" w:lineRule="auto"/>
        <w:rPr>
          <w:rFonts w:hint="eastAsia"/>
          <w:b/>
          <w:bCs/>
          <w:sz w:val="24"/>
          <w:szCs w:val="24"/>
          <w:highlight w:val="none"/>
          <w:lang w:eastAsia="zh-CN"/>
        </w:rPr>
      </w:pPr>
      <w:r>
        <w:rPr>
          <w:rFonts w:hint="eastAsia"/>
          <w:b/>
          <w:bCs/>
          <w:sz w:val="24"/>
          <w:szCs w:val="24"/>
          <w:highlight w:val="none"/>
          <w:lang w:val="en-US" w:eastAsia="zh-CN"/>
        </w:rPr>
        <w:t xml:space="preserve">★9.</w:t>
      </w:r>
      <w:r>
        <w:rPr>
          <w:rFonts w:hint="eastAsia"/>
          <w:b/>
          <w:bCs/>
          <w:sz w:val="24"/>
          <w:szCs w:val="24"/>
          <w:highlight w:val="none"/>
          <w:lang w:eastAsia="zh-CN"/>
        </w:rPr>
        <w:t xml:space="preserve">油品质量符合国家标准，</w:t>
      </w:r>
      <w:r>
        <w:rPr>
          <w:rFonts w:hint="eastAsia"/>
          <w:b/>
          <w:bCs/>
          <w:sz w:val="24"/>
          <w:szCs w:val="24"/>
          <w:highlight w:val="none"/>
          <w:lang w:val="en-US" w:eastAsia="zh-CN"/>
        </w:rPr>
        <w:t xml:space="preserve">投标人</w:t>
      </w:r>
      <w:r>
        <w:rPr>
          <w:rFonts w:hint="eastAsia"/>
          <w:b/>
          <w:bCs/>
          <w:sz w:val="24"/>
          <w:szCs w:val="24"/>
          <w:highlight w:val="none"/>
          <w:lang w:eastAsia="zh-CN"/>
        </w:rPr>
        <w:t xml:space="preserve">需提供质量承诺，明确如果因质量问题造成的相关损失的承担，投标文件中提出承诺函（格式自拟）并加盖投标人公章，否则</w:t>
      </w:r>
      <w:r>
        <w:rPr>
          <w:rFonts w:hint="eastAsia"/>
          <w:b/>
          <w:bCs/>
          <w:sz w:val="24"/>
          <w:szCs w:val="24"/>
          <w:highlight w:val="none"/>
          <w:lang w:val="en-US" w:eastAsia="zh-CN"/>
        </w:rPr>
        <w:t xml:space="preserve">视为无效响应</w:t>
      </w:r>
      <w:r>
        <w:rPr>
          <w:rFonts w:hint="eastAsia"/>
          <w:b/>
          <w:bCs/>
          <w:sz w:val="24"/>
          <w:szCs w:val="24"/>
          <w:highlight w:val="none"/>
          <w:lang w:eastAsia="zh-CN"/>
        </w:rPr>
        <w:t xml:space="preserve">。</w:t>
      </w:r>
      <w:r>
        <w:rPr>
          <w:rFonts w:hint="eastAsia"/>
          <w:b/>
          <w:bCs/>
          <w:sz w:val="24"/>
          <w:szCs w:val="24"/>
          <w:highlight w:val="none"/>
          <w:lang w:eastAsia="zh-CN"/>
        </w:rPr>
      </w:r>
      <w:r/>
    </w:p>
    <w:p>
      <w:pPr>
        <w:pStyle w:val="796"/>
        <w:ind w:left="0" w:firstLine="482"/>
        <w:keepLines w:val="0"/>
        <w:keepNext w:val="0"/>
        <w:pageBreakBefore w:val="0"/>
        <w:spacing w:line="360" w:lineRule="auto"/>
        <w:rPr>
          <w:rFonts w:hint="eastAsia"/>
          <w:b/>
          <w:bCs/>
          <w:sz w:val="24"/>
          <w:szCs w:val="24"/>
          <w:highlight w:val="none"/>
          <w:lang w:eastAsia="zh-CN"/>
        </w:rPr>
      </w:pPr>
      <w:r>
        <w:rPr>
          <w:rFonts w:hint="eastAsia"/>
          <w:b/>
          <w:bCs/>
          <w:sz w:val="24"/>
          <w:szCs w:val="24"/>
          <w:highlight w:val="none"/>
          <w:lang w:val="en-US" w:eastAsia="zh-CN"/>
        </w:rPr>
        <w:t xml:space="preserve">★10.</w:t>
      </w:r>
      <w:r>
        <w:rPr>
          <w:rFonts w:hint="eastAsia"/>
          <w:b/>
          <w:bCs/>
          <w:sz w:val="24"/>
          <w:szCs w:val="24"/>
          <w:highlight w:val="none"/>
          <w:lang w:eastAsia="zh-CN"/>
        </w:rPr>
        <w:t xml:space="preserve">投标人承诺购买加油卡或车辆尾气处理液时一次性全额开具合格的增值税普通发票，投标文件中提出承诺函（格式自拟）并加盖投标人公章，否则</w:t>
      </w:r>
      <w:r>
        <w:rPr>
          <w:rFonts w:hint="eastAsia"/>
          <w:b/>
          <w:bCs/>
          <w:sz w:val="24"/>
          <w:szCs w:val="24"/>
          <w:highlight w:val="none"/>
          <w:lang w:val="en-US" w:eastAsia="zh-CN"/>
        </w:rPr>
        <w:t xml:space="preserve">视为无效响应</w:t>
      </w:r>
      <w:r>
        <w:rPr>
          <w:rFonts w:hint="eastAsia"/>
          <w:b/>
          <w:bCs/>
          <w:sz w:val="24"/>
          <w:szCs w:val="24"/>
          <w:highlight w:val="none"/>
          <w:lang w:eastAsia="zh-CN"/>
        </w:rPr>
        <w:t xml:space="preserve">。</w:t>
      </w:r>
      <w:r>
        <w:rPr>
          <w:rFonts w:hint="eastAsia"/>
          <w:b/>
          <w:bCs/>
          <w:sz w:val="24"/>
          <w:szCs w:val="24"/>
          <w:highlight w:val="none"/>
          <w:lang w:eastAsia="zh-CN"/>
        </w:rPr>
      </w:r>
      <w:r/>
    </w:p>
    <w:p>
      <w:pPr>
        <w:pStyle w:val="796"/>
        <w:ind w:left="0" w:firstLine="480"/>
        <w:keepLines w:val="0"/>
        <w:keepNext w:val="0"/>
        <w:pageBreakBefore w:val="0"/>
        <w:spacing w:line="360" w:lineRule="auto"/>
        <w:rPr>
          <w:i/>
          <w:iCs/>
          <w:sz w:val="24"/>
          <w:szCs w:val="24"/>
          <w:highlight w:val="none"/>
          <w:lang w:eastAsia="zh-CN"/>
        </w:rPr>
      </w:pPr>
      <w:r>
        <w:rPr>
          <w:rFonts w:hint="eastAsia"/>
          <w:sz w:val="24"/>
          <w:szCs w:val="24"/>
          <w:highlight w:val="none"/>
          <w:lang w:eastAsia="zh-CN"/>
        </w:rPr>
        <w:t xml:space="preserve">（三）</w:t>
      </w:r>
      <w:r>
        <w:rPr>
          <w:sz w:val="24"/>
          <w:szCs w:val="24"/>
          <w:highlight w:val="none"/>
          <w:lang w:eastAsia="zh-CN"/>
        </w:rPr>
        <w:t xml:space="preserve">验收标准</w:t>
      </w:r>
      <w:r>
        <w:rPr>
          <w:i/>
          <w:iCs/>
          <w:sz w:val="24"/>
          <w:szCs w:val="24"/>
          <w:highlight w:val="none"/>
          <w:lang w:eastAsia="zh-CN"/>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lang w:eastAsia="zh-CN"/>
        </w:rPr>
        <w:t xml:space="preserve">中标人</w:t>
      </w:r>
      <w:r>
        <w:rPr>
          <w:rFonts w:hint="eastAsia"/>
          <w:sz w:val="24"/>
          <w:szCs w:val="24"/>
          <w:highlight w:val="none"/>
        </w:rPr>
        <w:t xml:space="preserve">应保证，所供应的货物应具有行政主管部门颁发的资质证书或国家质量监督部门的产品《检验报告》，货物验收时，还必须提供货物的技术资料、检验合格证、质量保证文件等相关资料。若成交后，必须按采购人指定地点送货，包装应满足保护合同标的物的要求，确保合同标的物在运输、装卸等过程中的安全，采购人在验收单上签字并加盖单位公章验收通过。</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验收标准：在交货前，</w:t>
      </w:r>
      <w:r>
        <w:rPr>
          <w:rFonts w:hint="eastAsia"/>
          <w:sz w:val="24"/>
          <w:szCs w:val="24"/>
          <w:highlight w:val="none"/>
          <w:lang w:eastAsia="zh-CN"/>
        </w:rPr>
        <w:t xml:space="preserve">中标人</w:t>
      </w:r>
      <w:r>
        <w:rPr>
          <w:rFonts w:hint="eastAsia"/>
          <w:sz w:val="24"/>
          <w:szCs w:val="24"/>
          <w:highlight w:val="none"/>
        </w:rPr>
        <w:t xml:space="preserve">应对标的物的质量、规格、性能、数量、外观、包装等进行详细而全面的检验，并出具一份检验合格证明，合格检验证明作为采购人验收的依据，但不能作为有关标的物质量、规格、数量或性能的最终检验结果。</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（四）其他优惠措施</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可提供的优惠措施相关采购需求，所有优惠措施均为</w:t>
      </w:r>
      <w:r>
        <w:rPr>
          <w:rFonts w:hint="eastAsia"/>
          <w:sz w:val="24"/>
          <w:szCs w:val="24"/>
          <w:highlight w:val="none"/>
          <w:lang w:eastAsia="zh-CN"/>
        </w:rPr>
        <w:t xml:space="preserve">投标人</w:t>
      </w:r>
      <w:r>
        <w:rPr>
          <w:rFonts w:hint="eastAsia"/>
          <w:sz w:val="24"/>
          <w:szCs w:val="24"/>
          <w:highlight w:val="none"/>
        </w:rPr>
        <w:t xml:space="preserve">自主承诺的服务，</w:t>
      </w:r>
      <w:r>
        <w:rPr>
          <w:rFonts w:hint="eastAsia"/>
          <w:sz w:val="24"/>
          <w:szCs w:val="24"/>
          <w:highlight w:val="none"/>
          <w:lang w:eastAsia="zh-CN"/>
        </w:rPr>
        <w:t xml:space="preserve">评标委员会</w:t>
      </w:r>
      <w:r>
        <w:rPr>
          <w:rFonts w:hint="eastAsia"/>
          <w:sz w:val="24"/>
          <w:szCs w:val="24"/>
          <w:highlight w:val="none"/>
        </w:rPr>
        <w:t xml:space="preserve">可结合</w:t>
      </w:r>
      <w:r>
        <w:rPr>
          <w:rFonts w:hint="eastAsia"/>
          <w:sz w:val="24"/>
          <w:szCs w:val="24"/>
          <w:highlight w:val="none"/>
          <w:lang w:eastAsia="zh-CN"/>
        </w:rPr>
        <w:t xml:space="preserve">投标人</w:t>
      </w:r>
      <w:r>
        <w:rPr>
          <w:rFonts w:hint="eastAsia"/>
          <w:sz w:val="24"/>
          <w:szCs w:val="24"/>
          <w:highlight w:val="none"/>
        </w:rPr>
        <w:t xml:space="preserve">提交的其他优惠措施进行综合评审。具体其他优惠措施需求如下：</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增值服务优惠</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结合环卫车辆全天候作业、应急作业频次高的特点，</w:t>
      </w:r>
      <w:r>
        <w:rPr>
          <w:rFonts w:hint="eastAsia"/>
          <w:sz w:val="24"/>
          <w:szCs w:val="24"/>
          <w:highlight w:val="none"/>
          <w:lang w:eastAsia="zh-CN"/>
        </w:rPr>
        <w:t xml:space="preserve">投标人</w:t>
      </w:r>
      <w:r>
        <w:rPr>
          <w:rFonts w:hint="eastAsia"/>
          <w:sz w:val="24"/>
          <w:szCs w:val="24"/>
          <w:highlight w:val="none"/>
        </w:rPr>
        <w:t xml:space="preserve">可提供专属增值服务优惠，包含但不限于：免费提供24小时应急加油服务、定点上门加油服务（针对偏远作业点位、故障车辆）、车辆用油安全检测、油路常规养护指导、加油记录精准台账免费归档、月度用油数据分析报表推送等无偿增值服务。</w:t>
      </w:r>
      <w:r>
        <w:rPr>
          <w:rFonts w:hint="eastAsia"/>
          <w:sz w:val="24"/>
          <w:szCs w:val="24"/>
          <w:highlight w:val="none"/>
          <w:lang w:eastAsia="zh-CN"/>
        </w:rPr>
        <w:t xml:space="preserve">投标人</w:t>
      </w:r>
      <w:r>
        <w:rPr>
          <w:rFonts w:hint="eastAsia"/>
          <w:sz w:val="24"/>
          <w:szCs w:val="24"/>
          <w:highlight w:val="none"/>
        </w:rPr>
        <w:t xml:space="preserve">需明确各项增值服务的服务标准、响应时效、覆盖范围、人员配置，保障环卫车辆作业连续性。</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专属保障优惠</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针对本项目服务期内的突发情况、极端天气、重大保障任务等场景，提供专项优惠保障措施，包括但不限于极端天气油品保供不涨价、重大环卫保障任务优先供油、突发用油需求极速响应、油品质量问题全额赔付、年度用油超额部分额外让利等优惠保障政策。</w:t>
      </w:r>
      <w:r>
        <w:rPr>
          <w:rFonts w:hint="eastAsia"/>
          <w:sz w:val="24"/>
          <w:szCs w:val="24"/>
          <w:highlight w:val="none"/>
          <w:lang w:eastAsia="zh-CN"/>
        </w:rPr>
        <w:t xml:space="preserve">投标人</w:t>
      </w:r>
      <w:r>
        <w:rPr>
          <w:rFonts w:hint="eastAsia"/>
          <w:sz w:val="24"/>
          <w:szCs w:val="24"/>
          <w:highlight w:val="none"/>
        </w:rPr>
        <w:t xml:space="preserve">需明确专项保障优惠的适用场景、响应机制、赔付标准，全面降低采购人运维成本及作业风险。</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其他自主优惠措施</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结合自身服务能力及行业优势，提供上述范围外的其他合法合规、贴合本项目环卫车辆加油服务场景的优惠措施，包括但不限于充值优惠、积分兑换、年末服务返利、免费车辆安全巡检、延长配套服务质保期等。所有优惠措施需内容具体、可落地、可核查，无隐性收费、无附加限制条件，切实提升项目服务质量、节约采购资金。</w:t>
      </w:r>
      <w:r>
        <w:rPr>
          <w:rFonts w:hint="eastAsia"/>
          <w:sz w:val="24"/>
          <w:szCs w:val="24"/>
          <w:highlight w:val="none"/>
        </w:rPr>
      </w:r>
      <w:r/>
    </w:p>
    <w:p>
      <w:pPr>
        <w:pStyle w:val="700"/>
        <w:ind w:firstLine="480"/>
        <w:keepLines w:val="0"/>
        <w:keepNext w:val="0"/>
        <w:pageBreakBefore w:val="0"/>
        <w:spacing w:line="360" w:lineRule="auto"/>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五</w:t>
      </w:r>
      <w:r>
        <w:rPr>
          <w:rFonts w:hint="eastAsia"/>
          <w:sz w:val="24"/>
          <w:szCs w:val="24"/>
          <w:highlight w:val="none"/>
          <w:lang w:eastAsia="zh-CN"/>
        </w:rPr>
        <w:t xml:space="preserve">）</w:t>
      </w:r>
      <w:r>
        <w:rPr>
          <w:sz w:val="24"/>
          <w:szCs w:val="24"/>
          <w:highlight w:val="none"/>
        </w:rPr>
        <w:t xml:space="preserve">其他要求</w:t>
      </w:r>
      <w:r>
        <w:rPr>
          <w:sz w:val="24"/>
          <w:szCs w:val="24"/>
          <w:highlight w:val="none"/>
        </w:rPr>
      </w:r>
      <w:r/>
    </w:p>
    <w:p>
      <w:pPr>
        <w:pStyle w:val="700"/>
        <w:ind w:firstLine="480"/>
        <w:keepLines w:val="0"/>
        <w:keepNext w:val="0"/>
        <w:pageBreakBefore w:val="0"/>
        <w:spacing w:line="360" w:lineRule="auto"/>
        <w:rPr>
          <w:rFonts w:hint="eastAsia"/>
          <w:b w:val="0"/>
          <w:bCs w:val="0"/>
          <w:sz w:val="24"/>
          <w:szCs w:val="24"/>
          <w:highlight w:val="none"/>
        </w:rPr>
      </w:pPr>
      <w:r>
        <w:rPr>
          <w:rFonts w:hint="eastAsia"/>
          <w:b w:val="0"/>
          <w:bCs w:val="0"/>
          <w:sz w:val="24"/>
          <w:szCs w:val="24"/>
          <w:highlight w:val="none"/>
        </w:rPr>
        <w:t xml:space="preserve">本项目92#车用汽油（VIA）、0#车用柴油（VI）、-10#车用柴油（VI）</w:t>
      </w:r>
      <w:r>
        <w:rPr>
          <w:rFonts w:hint="eastAsia"/>
          <w:b w:val="0"/>
          <w:bCs w:val="0"/>
          <w:sz w:val="24"/>
          <w:szCs w:val="24"/>
          <w:highlight w:val="none"/>
          <w:lang w:eastAsia="zh-CN"/>
        </w:rPr>
        <w:t xml:space="preserve">、</w:t>
      </w:r>
      <w:r>
        <w:rPr>
          <w:rFonts w:hint="eastAsia"/>
          <w:b w:val="0"/>
          <w:bCs w:val="0"/>
          <w:sz w:val="24"/>
          <w:szCs w:val="24"/>
          <w:highlight w:val="none"/>
        </w:rPr>
        <w:t xml:space="preserve">尾气处理液报价方式为</w:t>
      </w:r>
      <w:r>
        <w:rPr>
          <w:rFonts w:hint="eastAsia"/>
          <w:b/>
          <w:bCs/>
          <w:sz w:val="24"/>
          <w:szCs w:val="24"/>
          <w:highlight w:val="none"/>
        </w:rPr>
        <w:t xml:space="preserve">固定折扣</w:t>
      </w:r>
      <w:r>
        <w:rPr>
          <w:rFonts w:hint="eastAsia"/>
          <w:b w:val="0"/>
          <w:bCs w:val="0"/>
          <w:sz w:val="24"/>
          <w:szCs w:val="24"/>
          <w:highlight w:val="none"/>
        </w:rPr>
        <w:t xml:space="preserve">。</w:t>
      </w:r>
      <w:r>
        <w:rPr>
          <w:rFonts w:hint="eastAsia"/>
          <w:b w:val="0"/>
          <w:bCs w:val="0"/>
          <w:sz w:val="24"/>
          <w:szCs w:val="24"/>
          <w:highlight w:val="none"/>
          <w:lang w:val="en-US" w:eastAsia="zh-CN"/>
        </w:rPr>
        <w:t xml:space="preserve">投标报价</w:t>
      </w:r>
      <w:r>
        <w:rPr>
          <w:rFonts w:hint="eastAsia"/>
          <w:b w:val="0"/>
          <w:bCs w:val="0"/>
          <w:sz w:val="24"/>
          <w:szCs w:val="24"/>
          <w:highlight w:val="none"/>
        </w:rPr>
        <w:t xml:space="preserve">应包括</w:t>
      </w:r>
      <w:r>
        <w:rPr>
          <w:rFonts w:hint="eastAsia"/>
          <w:b w:val="0"/>
          <w:bCs w:val="0"/>
          <w:sz w:val="24"/>
          <w:szCs w:val="24"/>
          <w:highlight w:val="none"/>
          <w:lang w:val="en-US" w:eastAsia="zh-CN"/>
        </w:rPr>
        <w:t xml:space="preserve">采购文件</w:t>
      </w:r>
      <w:r>
        <w:rPr>
          <w:rFonts w:hint="eastAsia"/>
          <w:b w:val="0"/>
          <w:bCs w:val="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b w:val="0"/>
          <w:bCs w:val="0"/>
          <w:sz w:val="24"/>
          <w:szCs w:val="24"/>
          <w:highlight w:val="none"/>
        </w:rPr>
      </w:r>
      <w:r/>
    </w:p>
    <w:p>
      <w:pPr>
        <w:pStyle w:val="700"/>
        <w:ind w:firstLine="480"/>
        <w:keepLines w:val="0"/>
        <w:keepNext w:val="0"/>
        <w:pageBreakBefore w:val="0"/>
        <w:spacing w:line="360" w:lineRule="auto"/>
        <w:rPr>
          <w:rFonts w:hint="eastAsia"/>
          <w:b w:val="0"/>
          <w:bCs w:val="0"/>
          <w:sz w:val="24"/>
          <w:szCs w:val="24"/>
          <w:highlight w:val="none"/>
        </w:rPr>
      </w:pPr>
      <w:r>
        <w:rPr>
          <w:rFonts w:hint="eastAsia"/>
          <w:b w:val="0"/>
          <w:bCs w:val="0"/>
          <w:sz w:val="24"/>
          <w:szCs w:val="24"/>
          <w:highlight w:val="none"/>
        </w:rPr>
        <w:t xml:space="preserve">（</w:t>
      </w:r>
      <w:r>
        <w:rPr>
          <w:rFonts w:hint="eastAsia"/>
          <w:b w:val="0"/>
          <w:bCs w:val="0"/>
          <w:sz w:val="24"/>
          <w:szCs w:val="24"/>
          <w:highlight w:val="none"/>
          <w:lang w:val="en-US" w:eastAsia="zh-CN"/>
        </w:rPr>
        <w:t xml:space="preserve">六</w:t>
      </w:r>
      <w:r>
        <w:rPr>
          <w:rFonts w:hint="eastAsia"/>
          <w:b w:val="0"/>
          <w:bCs w:val="0"/>
          <w:sz w:val="24"/>
          <w:szCs w:val="24"/>
          <w:highlight w:val="none"/>
        </w:rPr>
        <w:t xml:space="preserve">）实质性要求</w:t>
      </w:r>
      <w:r>
        <w:rPr>
          <w:rFonts w:hint="eastAsia"/>
          <w:b w:val="0"/>
          <w:bCs w:val="0"/>
          <w:sz w:val="24"/>
          <w:szCs w:val="24"/>
          <w:highlight w:val="none"/>
        </w:rPr>
      </w:r>
      <w:r/>
    </w:p>
    <w:p>
      <w:pPr>
        <w:pStyle w:val="700"/>
        <w:ind w:firstLine="482"/>
        <w:keepLines w:val="0"/>
        <w:keepNext w:val="0"/>
        <w:pageBreakBefore w:val="0"/>
        <w:spacing w:line="360" w:lineRule="auto"/>
        <w:rPr>
          <w:rFonts w:hint="eastAsia"/>
          <w:b/>
          <w:bCs/>
          <w:iCs/>
          <w:sz w:val="24"/>
          <w:szCs w:val="24"/>
          <w:highlight w:val="none"/>
          <w:u w:val="none"/>
        </w:rPr>
      </w:pPr>
      <w:r>
        <w:rPr>
          <w:rFonts w:hint="eastAsia"/>
          <w:b/>
          <w:bCs/>
          <w:iCs/>
          <w:sz w:val="24"/>
          <w:szCs w:val="24"/>
          <w:highlight w:val="none"/>
          <w:u w:val="none"/>
          <w:lang w:val="en-US" w:eastAsia="zh-CN"/>
        </w:rPr>
        <w:t xml:space="preserve">1</w:t>
      </w:r>
      <w:r>
        <w:rPr>
          <w:rFonts w:hint="eastAsia"/>
          <w:b/>
          <w:bCs/>
          <w:iCs/>
          <w:sz w:val="24"/>
          <w:szCs w:val="24"/>
          <w:highlight w:val="none"/>
          <w:u w:val="none"/>
        </w:rPr>
        <w:t xml:space="preserve">.★油品质量符合国家标准，投标人需提供质量承诺，明确如果因质量问题造成的相关损失的承担，投标文件中提出承诺函（格式自拟）并加盖投标人公章，否则视为无效响应。</w:t>
      </w:r>
      <w:r>
        <w:rPr>
          <w:rFonts w:hint="eastAsia"/>
          <w:b/>
          <w:bCs/>
          <w:iCs/>
          <w:sz w:val="24"/>
          <w:szCs w:val="24"/>
          <w:highlight w:val="none"/>
          <w:u w:val="none"/>
        </w:rPr>
      </w:r>
      <w:r/>
    </w:p>
    <w:p>
      <w:pPr>
        <w:pStyle w:val="700"/>
        <w:ind w:firstLine="482"/>
        <w:keepLines w:val="0"/>
        <w:keepNext w:val="0"/>
        <w:pageBreakBefore w:val="0"/>
        <w:spacing w:line="360" w:lineRule="auto"/>
        <w:rPr>
          <w:rFonts w:hint="eastAsia"/>
          <w:b/>
          <w:bCs/>
          <w:iCs/>
          <w:sz w:val="24"/>
          <w:szCs w:val="24"/>
          <w:highlight w:val="none"/>
          <w:u w:val="none"/>
        </w:rPr>
      </w:pPr>
      <w:r>
        <w:rPr>
          <w:rFonts w:hint="eastAsia"/>
          <w:b/>
          <w:bCs/>
          <w:iCs/>
          <w:sz w:val="24"/>
          <w:szCs w:val="24"/>
          <w:highlight w:val="none"/>
          <w:u w:val="none"/>
          <w:lang w:val="en-US" w:eastAsia="zh-CN"/>
        </w:rPr>
        <w:t xml:space="preserve">2</w:t>
      </w:r>
      <w:r>
        <w:rPr>
          <w:rFonts w:hint="eastAsia"/>
          <w:b/>
          <w:bCs/>
          <w:iCs/>
          <w:sz w:val="24"/>
          <w:szCs w:val="24"/>
          <w:highlight w:val="none"/>
          <w:u w:val="none"/>
        </w:rPr>
        <w:t xml:space="preserve">.★投标人承诺购买加油卡或车辆尾气处理液时一次性全额开具合格的增值税普通发票，投标文件中提出承诺函（格式自拟）并加盖投标人公章，否则视为无效响应。</w:t>
      </w:r>
      <w:r>
        <w:rPr>
          <w:rFonts w:hint="eastAsia"/>
          <w:b/>
          <w:bCs/>
          <w:iCs/>
          <w:sz w:val="24"/>
          <w:szCs w:val="24"/>
          <w:highlight w:val="none"/>
          <w:u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七</w:t>
      </w:r>
      <w:r>
        <w:rPr>
          <w:rFonts w:hint="eastAsia"/>
          <w:sz w:val="24"/>
          <w:szCs w:val="24"/>
          <w:highlight w:val="none"/>
        </w:rPr>
        <w:t xml:space="preserve">）样品</w:t>
      </w:r>
      <w:r>
        <w:rPr>
          <w:rFonts w:hint="eastAsia"/>
          <w:sz w:val="24"/>
          <w:szCs w:val="24"/>
          <w:highlight w:val="none"/>
        </w:rPr>
      </w:r>
      <w:r/>
    </w:p>
    <w:p>
      <w:pPr>
        <w:pStyle w:val="700"/>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无</w:t>
      </w:r>
      <w:r>
        <w:rPr>
          <w:rFonts w:hint="eastAsia"/>
          <w:sz w:val="24"/>
          <w:szCs w:val="24"/>
          <w:highlight w:val="none"/>
        </w:rPr>
      </w:r>
      <w:r/>
    </w:p>
    <w:p>
      <w:pPr>
        <w:pStyle w:val="700"/>
        <w:ind w:firstLine="480"/>
        <w:keepLines w:val="0"/>
        <w:keepNext w:val="0"/>
        <w:pageBreakBefore w:val="0"/>
        <w:spacing w:line="360" w:lineRule="auto"/>
        <w:rPr>
          <w:rFonts w:hint="eastAsia"/>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八</w:t>
      </w:r>
      <w:r>
        <w:rPr>
          <w:rFonts w:hint="eastAsia"/>
          <w:color w:val="000000"/>
          <w:sz w:val="24"/>
          <w:szCs w:val="24"/>
        </w:rPr>
        <w:t xml:space="preserve">）演示</w:t>
      </w:r>
      <w:r>
        <w:rPr>
          <w:rFonts w:hint="eastAsia"/>
          <w:color w:val="000000"/>
          <w:sz w:val="24"/>
          <w:szCs w:val="24"/>
        </w:rPr>
      </w:r>
      <w:r/>
    </w:p>
    <w:p>
      <w:pPr>
        <w:pStyle w:val="700"/>
        <w:ind w:firstLine="480"/>
        <w:keepLines w:val="0"/>
        <w:keepNext w:val="0"/>
        <w:pageBreakBefore w:val="0"/>
        <w:spacing w:line="360" w:lineRule="auto"/>
        <w:rPr>
          <w:rFonts w:hint="eastAsia"/>
          <w:color w:val="000000"/>
          <w:sz w:val="24"/>
          <w:szCs w:val="24"/>
        </w:rPr>
      </w:pPr>
      <w:r>
        <w:rPr>
          <w:rFonts w:hint="eastAsia"/>
          <w:color w:val="000000"/>
          <w:sz w:val="24"/>
          <w:szCs w:val="24"/>
        </w:rPr>
        <w:t xml:space="preserve">无</w:t>
      </w:r>
      <w:r>
        <w:rPr>
          <w:rFonts w:hint="eastAsia"/>
          <w:color w:val="000000"/>
          <w:sz w:val="24"/>
          <w:szCs w:val="24"/>
        </w:rPr>
      </w:r>
      <w:r/>
    </w:p>
    <w:p>
      <w:pPr>
        <w:pStyle w:val="700"/>
        <w:ind w:firstLine="480"/>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九</w:t>
      </w:r>
      <w:r>
        <w:rPr>
          <w:rFonts w:hint="eastAsia" w:ascii="宋体" w:hAnsi="宋体"/>
          <w:sz w:val="24"/>
          <w:szCs w:val="24"/>
        </w:rPr>
        <w:t xml:space="preserve">）采购标的对应的中小企业划分标准所属行业一览表</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4193"/>
        <w:gridCol w:w="3634"/>
      </w:tblGrid>
      <w:tr>
        <w:trPr>
          <w:cantSplit/>
        </w:trPr>
        <w:tc>
          <w:tcPr>
            <w:tcW w:w="693" w:type="dxa"/>
            <w:vAlign w:val="center"/>
            <w:textDirection w:val="lrTb"/>
            <w:noWrap w:val="false"/>
          </w:tcPr>
          <w:p>
            <w:pPr>
              <w:pStyle w:val="700"/>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193" w:type="dxa"/>
            <w:vAlign w:val="center"/>
            <w:textDirection w:val="lrTb"/>
            <w:noWrap w:val="false"/>
          </w:tcPr>
          <w:p>
            <w:pPr>
              <w:pStyle w:val="700"/>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634" w:type="dxa"/>
            <w:vAlign w:val="center"/>
            <w:textDirection w:val="lrTb"/>
            <w:noWrap w:val="false"/>
          </w:tcPr>
          <w:p>
            <w:pPr>
              <w:pStyle w:val="700"/>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93" w:type="dxa"/>
            <w:vAlign w:val="top"/>
            <w:textDirection w:val="lrTb"/>
            <w:noWrap w:val="false"/>
          </w:tcPr>
          <w:p>
            <w:pPr>
              <w:pStyle w:val="700"/>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193" w:type="dxa"/>
            <w:vAlign w:val="top"/>
            <w:textDirection w:val="lrTb"/>
            <w:noWrap w:val="false"/>
          </w:tcPr>
          <w:p>
            <w:pPr>
              <w:pStyle w:val="700"/>
              <w:jc w:val="center"/>
              <w:keepLines w:val="0"/>
              <w:keepNext w:val="0"/>
              <w:pageBreakBefore w:val="0"/>
              <w:spacing w:line="360" w:lineRule="auto"/>
              <w:rPr>
                <w:rFonts w:ascii="宋体" w:hAnsi="宋体"/>
                <w:sz w:val="24"/>
                <w:szCs w:val="24"/>
              </w:rPr>
            </w:pPr>
            <w:r>
              <w:rPr>
                <w:rFonts w:hint="eastAsia"/>
                <w:bCs/>
                <w:sz w:val="24"/>
                <w:szCs w:val="24"/>
              </w:rPr>
              <w:t xml:space="preserve">2026年常州市钟楼区环境卫生管理处环卫车辆加油服务</w:t>
            </w:r>
            <w:r>
              <w:rPr>
                <w:rFonts w:ascii="宋体" w:hAnsi="宋体"/>
                <w:sz w:val="24"/>
                <w:szCs w:val="24"/>
              </w:rPr>
            </w:r>
            <w:r/>
          </w:p>
        </w:tc>
        <w:tc>
          <w:tcPr>
            <w:tcW w:w="3634" w:type="dxa"/>
            <w:vAlign w:val="top"/>
            <w:textDirection w:val="lrTb"/>
            <w:noWrap w:val="false"/>
          </w:tcPr>
          <w:p>
            <w:pPr>
              <w:pStyle w:val="700"/>
              <w:jc w:val="center"/>
              <w:keepLines w:val="0"/>
              <w:keepNext w:val="0"/>
              <w:pageBreakBefore w:val="0"/>
              <w:spacing w:line="360" w:lineRule="auto"/>
              <w:rPr>
                <w:rFonts w:ascii="宋体" w:hAnsi="宋体" w:eastAsia="宋体"/>
                <w:sz w:val="24"/>
                <w:szCs w:val="24"/>
                <w:lang w:val="en-US" w:eastAsia="zh-CN"/>
              </w:rPr>
            </w:pPr>
            <w:r/>
            <w:bookmarkStart w:id="242" w:name="OLE_LINK6"/>
            <w:r>
              <w:rPr>
                <w:rFonts w:hint="eastAsia" w:ascii="宋体" w:hAnsi="宋体"/>
                <w:sz w:val="24"/>
                <w:szCs w:val="24"/>
                <w:lang w:val="en-US" w:eastAsia="zh-CN"/>
              </w:rPr>
              <w:t xml:space="preserve">其他未列明</w:t>
            </w:r>
            <w:bookmarkEnd w:id="242"/>
            <w:r>
              <w:rPr>
                <w:rFonts w:hint="eastAsia" w:ascii="宋体" w:hAnsi="宋体"/>
                <w:sz w:val="24"/>
                <w:szCs w:val="24"/>
                <w:lang w:val="en-US" w:eastAsia="zh-CN"/>
              </w:rPr>
              <w:t xml:space="preserve">行业</w:t>
            </w:r>
            <w:r>
              <w:rPr>
                <w:rFonts w:ascii="宋体" w:hAnsi="宋体" w:eastAsia="宋体"/>
                <w:sz w:val="24"/>
                <w:szCs w:val="24"/>
                <w:lang w:val="en-US" w:eastAsia="zh-CN"/>
              </w:rPr>
            </w:r>
            <w:r/>
          </w:p>
        </w:tc>
      </w:tr>
    </w:tbl>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ind w:firstLine="480"/>
        <w:rPr>
          <w:rFonts w:hint="eastAsia" w:ascii="宋体" w:hAnsi="宋体"/>
          <w:color w:val="000000"/>
          <w:sz w:val="24"/>
        </w:rPr>
      </w:pPr>
      <w:r>
        <w:rPr>
          <w:rFonts w:hint="eastAsia" w:ascii="宋体" w:hAnsi="宋体"/>
          <w:color w:val="000000"/>
          <w:sz w:val="24"/>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0"/>
        <w:rPr>
          <w:rFonts w:hint="eastAsia"/>
        </w:rPr>
      </w:pPr>
      <w:r>
        <w:rPr>
          <w:rFonts w:hint="eastAsia"/>
        </w:rPr>
      </w:r>
      <w:r/>
    </w:p>
    <w:p>
      <w:pPr>
        <w:pStyle w:val="81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1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1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1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1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1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1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1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1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14"/>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14"/>
        <w:spacing w:line="0" w:lineRule="atLeast"/>
        <w:rPr>
          <w:rFonts w:hint="eastAsia" w:ascii="宋体" w:hAnsi="宋体"/>
        </w:rPr>
      </w:pPr>
      <w:r>
        <w:rPr>
          <w:rFonts w:hint="eastAsia" w:ascii="宋体" w:hAnsi="宋体"/>
        </w:rPr>
      </w:r>
      <w:r/>
    </w:p>
    <w:p>
      <w:pPr>
        <w:pStyle w:val="81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1116"/>
        <w:gridCol w:w="4518"/>
        <w:gridCol w:w="587"/>
        <w:gridCol w:w="538"/>
        <w:gridCol w:w="662"/>
        <w:gridCol w:w="660"/>
      </w:tblGrid>
      <w:tr>
        <w:trPr>
          <w:trHeight w:val="671"/>
        </w:trPr>
        <w:tc>
          <w:tcPr>
            <w:tcMar>
              <w:left w:w="0" w:type="dxa"/>
              <w:right w:w="0" w:type="dxa"/>
            </w:tcMar>
            <w:tcW w:w="518"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bCs/>
                <w:sz w:val="24"/>
                <w:szCs w:val="24"/>
              </w:rPr>
              <w:t xml:space="preserve">序号</w:t>
            </w:r>
            <w:r>
              <w:rPr>
                <w:rFonts w:hint="eastAsia" w:ascii="宋体" w:hAnsi="宋体" w:eastAsia="宋体" w:cs="宋体"/>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bCs/>
                <w:sz w:val="24"/>
                <w:szCs w:val="24"/>
              </w:rPr>
              <w:t xml:space="preserve">评分因素</w:t>
            </w:r>
            <w:r>
              <w:rPr>
                <w:rFonts w:hint="eastAsia" w:ascii="宋体" w:hAnsi="宋体" w:eastAsia="宋体" w:cs="宋体"/>
                <w:color w:val="1a1a1a"/>
                <w:sz w:val="24"/>
                <w:szCs w:val="24"/>
              </w:rPr>
            </w:r>
            <w:r/>
          </w:p>
        </w:tc>
        <w:tc>
          <w:tcPr>
            <w:tcMar>
              <w:left w:w="0" w:type="dxa"/>
              <w:right w:w="0" w:type="dxa"/>
            </w:tcMar>
            <w:tcW w:w="4518"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sz w:val="24"/>
                <w:szCs w:val="24"/>
              </w:rPr>
              <w:t xml:space="preserve">评分标准和评审材料</w:t>
            </w:r>
            <w:r>
              <w:rPr>
                <w:rFonts w:hint="eastAsia" w:ascii="宋体" w:hAnsi="宋体" w:eastAsia="宋体" w:cs="宋体"/>
                <w:color w:val="1a1a1a"/>
                <w:sz w:val="24"/>
                <w:szCs w:val="24"/>
              </w:rPr>
            </w:r>
            <w:r/>
          </w:p>
        </w:tc>
        <w:tc>
          <w:tcPr>
            <w:tcMar>
              <w:left w:w="0" w:type="dxa"/>
              <w:right w:w="0" w:type="dxa"/>
            </w:tcMa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最低分值</w:t>
            </w:r>
            <w:r>
              <w:rPr>
                <w:rFonts w:hint="eastAsia" w:ascii="宋体" w:hAnsi="宋体" w:eastAsia="宋体" w:cs="宋体"/>
                <w:color w:val="1a1a1a"/>
                <w:sz w:val="24"/>
                <w:szCs w:val="24"/>
              </w:rPr>
            </w:r>
            <w:r/>
          </w:p>
        </w:tc>
        <w:tc>
          <w:tcPr>
            <w:tcMar>
              <w:left w:w="0" w:type="dxa"/>
              <w:right w:w="0" w:type="dxa"/>
            </w:tcMa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最高分值</w:t>
            </w:r>
            <w:r>
              <w:rPr>
                <w:rFonts w:hint="eastAsia" w:ascii="宋体" w:hAnsi="宋体" w:eastAsia="宋体" w:cs="宋体"/>
                <w:color w:val="1a1a1a"/>
                <w:sz w:val="24"/>
                <w:szCs w:val="24"/>
              </w:rPr>
            </w:r>
            <w:r/>
          </w:p>
        </w:tc>
        <w:tc>
          <w:tcPr>
            <w:tcMar>
              <w:left w:w="0" w:type="dxa"/>
              <w:right w:w="0" w:type="dxa"/>
            </w:tcMar>
            <w:tcW w:w="662"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r>
      <w:tr>
        <w:trPr>
          <w:trHeight w:val="1404"/>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color w:val="1a1a1a"/>
                <w:sz w:val="24"/>
                <w:szCs w:val="24"/>
              </w:rPr>
              <w:t xml:space="preserve">1</w:t>
            </w:r>
            <w:r>
              <w:rPr>
                <w:rFonts w:hint="eastAsia" w:ascii="宋体" w:hAnsi="宋体" w:eastAsia="宋体" w:cs="宋体"/>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报价</w:t>
            </w:r>
            <w:r>
              <w:rPr>
                <w:rFonts w:hint="eastAsia" w:ascii="宋体" w:hAnsi="宋体" w:eastAsia="宋体" w:cs="宋体"/>
                <w:bCs/>
                <w:color w:val="1a1a1a"/>
                <w:sz w:val="24"/>
                <w:szCs w:val="24"/>
                <w:lang w:val="en-US" w:eastAsia="zh-CN"/>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sz w:val="24"/>
                <w:lang w:eastAsia="en-US"/>
              </w:rPr>
            </w:pPr>
            <w:r/>
            <w:bookmarkStart w:id="243" w:name="OLE_LINK3"/>
            <w:r>
              <w:rPr>
                <w:rFonts w:hint="eastAsia" w:ascii="宋体" w:hAnsi="宋体" w:eastAsia="宋体" w:cs="宋体"/>
                <w:color w:val="1a1a1a"/>
                <w:sz w:val="24"/>
                <w:szCs w:val="24"/>
                <w:highlight w:val="none"/>
              </w:rPr>
              <w:t xml:space="preserve">价格分采用低价优先法计算，即</w:t>
            </w:r>
            <w:r>
              <w:rPr>
                <w:rFonts w:hint="eastAsia" w:ascii="宋体" w:hAnsi="宋体" w:cs="宋体"/>
                <w:sz w:val="24"/>
                <w:lang w:eastAsia="en-US"/>
              </w:rPr>
              <w:t xml:space="preserve">满足招标文件要求且报价</w:t>
            </w:r>
            <w:bookmarkEnd w:id="243"/>
            <w:r>
              <w:rPr>
                <w:rFonts w:hint="eastAsia" w:ascii="宋体" w:hAnsi="宋体" w:cs="宋体"/>
                <w:b/>
                <w:bCs/>
                <w:sz w:val="24"/>
                <w:lang w:eastAsia="en-US"/>
              </w:rPr>
              <w:t xml:space="preserve">（即 1-优惠率</w:t>
            </w:r>
            <w:bookmarkStart w:id="244" w:name="OLE_LINK1"/>
            <w:r>
              <w:rPr>
                <w:rFonts w:hint="eastAsia" w:ascii="宋体" w:hAnsi="宋体" w:cs="宋体"/>
                <w:b/>
                <w:bCs/>
                <w:sz w:val="24"/>
                <w:lang w:eastAsia="en-US"/>
              </w:rPr>
              <w:t xml:space="preserve">）</w:t>
            </w:r>
            <w:bookmarkEnd w:id="244"/>
            <w:r>
              <w:rPr>
                <w:rFonts w:hint="eastAsia" w:ascii="宋体" w:hAnsi="宋体" w:cs="宋体"/>
                <w:sz w:val="24"/>
                <w:lang w:eastAsia="en-US"/>
              </w:rPr>
              <w:t xml:space="preserve">最低的报价为评标基准价</w:t>
            </w:r>
            <w:bookmarkStart w:id="245" w:name="OLE_LINK4"/>
            <w:r>
              <w:rPr>
                <w:rFonts w:hint="eastAsia" w:ascii="宋体" w:hAnsi="宋体" w:cs="宋体"/>
                <w:sz w:val="24"/>
                <w:lang w:eastAsia="en-US"/>
              </w:rPr>
              <w:t xml:space="preserve">，</w:t>
            </w:r>
            <w:bookmarkEnd w:id="245"/>
            <w:r>
              <w:rPr>
                <w:rFonts w:hint="eastAsia" w:ascii="宋体" w:hAnsi="宋体" w:cs="宋体"/>
                <w:sz w:val="24"/>
                <w:lang w:eastAsia="en-US"/>
              </w:rPr>
              <w:t xml:space="preserve">其价格</w:t>
            </w:r>
            <w:bookmarkStart w:id="246" w:name="OLE_LINK2"/>
            <w:r>
              <w:rPr>
                <w:rFonts w:hint="eastAsia" w:ascii="宋体" w:hAnsi="宋体" w:cs="宋体"/>
                <w:sz w:val="24"/>
                <w:lang w:eastAsia="en-US"/>
              </w:rPr>
              <w:t xml:space="preserve">分为</w:t>
            </w:r>
            <w:bookmarkEnd w:id="246"/>
            <w:r>
              <w:rPr>
                <w:rFonts w:hint="eastAsia" w:ascii="宋体" w:hAnsi="宋体" w:cs="宋体"/>
                <w:sz w:val="24"/>
                <w:lang w:eastAsia="en-US"/>
              </w:rPr>
              <w:t xml:space="preserve">满分。其他投标人的价格分统一按照下列公式计算</w:t>
            </w:r>
            <w:r>
              <w:rPr>
                <w:rFonts w:hint="eastAsia" w:ascii="宋体" w:hAnsi="宋体" w:eastAsia="宋体" w:cs="宋体"/>
                <w:color w:val="1a1a1a"/>
                <w:sz w:val="24"/>
                <w:szCs w:val="24"/>
                <w:highlight w:val="none"/>
              </w:rPr>
              <w:t xml:space="preserve">(计算结果四舍五入保留两位小数)</w:t>
            </w:r>
            <w:r>
              <w:rPr>
                <w:rFonts w:hint="eastAsia" w:ascii="宋体" w:hAnsi="宋体" w:cs="宋体"/>
                <w:sz w:val="24"/>
                <w:lang w:eastAsia="en-US"/>
              </w:rPr>
              <w:t xml:space="preserve">：价格分得分＝（评标</w:t>
            </w:r>
            <w:bookmarkStart w:id="247" w:name="OLE_LINK5"/>
            <w:r>
              <w:rPr>
                <w:rFonts w:hint="eastAsia" w:ascii="宋体" w:hAnsi="宋体" w:cs="宋体"/>
                <w:sz w:val="24"/>
                <w:lang w:eastAsia="en-US"/>
              </w:rPr>
              <w:t xml:space="preserve">基准价</w:t>
            </w:r>
            <w:bookmarkEnd w:id="247"/>
            <w:r>
              <w:rPr>
                <w:rFonts w:hint="eastAsia" w:ascii="宋体" w:hAnsi="宋体" w:cs="宋体"/>
                <w:sz w:val="24"/>
                <w:lang w:eastAsia="en-US"/>
              </w:rPr>
              <w:t xml:space="preserve">/报价）×</w:t>
            </w:r>
            <w:r>
              <w:rPr>
                <w:rFonts w:hint="eastAsia" w:ascii="宋体" w:hAnsi="宋体" w:eastAsia="宋体" w:cs="宋体"/>
                <w:color w:val="1a1a1a"/>
                <w:sz w:val="24"/>
                <w:szCs w:val="24"/>
                <w:highlight w:val="none"/>
              </w:rPr>
              <w:t xml:space="preserve">价格权重</w:t>
            </w:r>
            <w:r>
              <w:rPr>
                <w:rFonts w:hint="eastAsia" w:ascii="宋体" w:hAnsi="宋体" w:cs="宋体"/>
                <w:sz w:val="24"/>
                <w:lang w:eastAsia="en-US"/>
              </w:rPr>
              <w:t xml:space="preserve">。</w:t>
            </w:r>
            <w:r>
              <w:rPr>
                <w:rFonts w:hint="eastAsia" w:ascii="宋体" w:hAnsi="宋体" w:cs="宋体"/>
                <w:sz w:val="24"/>
                <w:lang w:eastAsia="en-US"/>
              </w:rPr>
            </w:r>
            <w:r/>
          </w:p>
          <w:p>
            <w:pPr>
              <w:pStyle w:val="700"/>
              <w:jc w:val="both"/>
              <w:keepLines w:val="0"/>
              <w:keepNext w:val="0"/>
              <w:pageBreakBefore w:val="0"/>
              <w:spacing w:line="360" w:lineRule="auto"/>
              <w:rPr>
                <w:rFonts w:hint="eastAsia" w:ascii="宋体" w:hAnsi="宋体" w:eastAsia="宋体" w:cs="宋体"/>
                <w:color w:val="1a1a1a"/>
                <w:sz w:val="24"/>
                <w:szCs w:val="24"/>
                <w:highlight w:val="none"/>
              </w:rPr>
            </w:pPr>
            <w:r>
              <w:rPr>
                <w:rFonts w:hint="eastAsia" w:ascii="宋体" w:hAnsi="宋体" w:cs="宋体"/>
                <w:b/>
                <w:bCs/>
                <w:color w:val="1a1a1a"/>
                <w:sz w:val="24"/>
                <w:szCs w:val="24"/>
                <w:highlight w:val="none"/>
                <w:lang w:val="en-US" w:eastAsia="zh-CN"/>
              </w:rPr>
              <w:t xml:space="preserve">注：</w:t>
            </w:r>
            <w:r>
              <w:rPr>
                <w:rFonts w:hint="eastAsia" w:ascii="宋体" w:hAnsi="宋体" w:eastAsia="宋体" w:cs="宋体"/>
                <w:b/>
                <w:bCs/>
                <w:color w:val="1a1a1a"/>
                <w:sz w:val="24"/>
                <w:szCs w:val="24"/>
                <w:highlight w:val="none"/>
              </w:rPr>
              <w:t xml:space="preserve">此处投标报价</w:t>
            </w:r>
            <w:r>
              <w:rPr>
                <w:rFonts w:hint="eastAsia" w:ascii="宋体" w:hAnsi="宋体" w:cs="宋体"/>
                <w:b/>
                <w:bCs/>
                <w:sz w:val="24"/>
                <w:lang w:eastAsia="en-US"/>
              </w:rPr>
              <w:t xml:space="preserve">（即 1-优惠率）</w:t>
            </w:r>
            <w:r>
              <w:rPr>
                <w:rFonts w:hint="eastAsia" w:ascii="宋体" w:hAnsi="宋体" w:eastAsia="宋体" w:cs="宋体"/>
                <w:b/>
                <w:bCs/>
                <w:color w:val="1a1a1a"/>
                <w:sz w:val="24"/>
                <w:szCs w:val="24"/>
                <w:highlight w:val="none"/>
              </w:rPr>
              <w:t xml:space="preserve">指经过报价修正，及因落实政府采购政策进行价格调整后的报价。</w:t>
            </w:r>
            <w:r>
              <w:rPr>
                <w:rFonts w:hint="eastAsia" w:ascii="宋体" w:hAnsi="宋体" w:eastAsia="宋体" w:cs="宋体"/>
                <w:color w:val="1a1a1a"/>
                <w:sz w:val="24"/>
                <w:szCs w:val="24"/>
                <w:highlight w:val="none"/>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color w:val="1a1a1a"/>
                <w:sz w:val="24"/>
                <w:szCs w:val="24"/>
                <w:highlight w:val="none"/>
              </w:rPr>
            </w:pPr>
            <w:r>
              <w:rPr>
                <w:rFonts w:hint="eastAsia" w:ascii="宋体" w:hAnsi="宋体" w:eastAsia="宋体" w:cs="宋体"/>
                <w:color w:val="1a1a1a"/>
                <w:sz w:val="24"/>
                <w:szCs w:val="24"/>
                <w:highlight w:val="none"/>
              </w:rPr>
              <w:t xml:space="preserve">0</w:t>
            </w:r>
            <w:r>
              <w:rPr>
                <w:rFonts w:hint="eastAsia" w:ascii="宋体" w:hAnsi="宋体" w:eastAsia="宋体" w:cs="宋体"/>
                <w:color w:val="1a1a1a"/>
                <w:sz w:val="24"/>
                <w:szCs w:val="24"/>
                <w:highlight w:val="none"/>
              </w:rPr>
            </w:r>
            <w:r/>
          </w:p>
        </w:tc>
        <w:tc>
          <w:tcPr>
            <w:tcW w:w="538" w:type="dxa"/>
            <w:vAlign w:val="center"/>
            <w:textDirection w:val="lrTb"/>
            <w:noWrap w:val="false"/>
          </w:tcPr>
          <w:p>
            <w:pPr>
              <w:pStyle w:val="700"/>
              <w:jc w:val="center"/>
              <w:keepLines w:val="0"/>
              <w:keepNext w:val="0"/>
              <w:pageBreakBefore w:val="0"/>
              <w:spacing w:line="360" w:lineRule="auto"/>
              <w:rPr>
                <w:rFonts w:ascii="宋体" w:hAnsi="宋体" w:eastAsia="宋体" w:cs="宋体"/>
                <w:color w:val="1a1a1a"/>
                <w:sz w:val="24"/>
                <w:szCs w:val="24"/>
                <w:highlight w:val="none"/>
                <w:lang w:val="en-US" w:eastAsia="zh-CN"/>
              </w:rPr>
            </w:pPr>
            <w:r>
              <w:rPr>
                <w:rFonts w:hint="eastAsia" w:ascii="宋体" w:hAnsi="宋体" w:cs="宋体"/>
                <w:color w:val="1a1a1a"/>
                <w:sz w:val="24"/>
                <w:szCs w:val="24"/>
                <w:highlight w:val="none"/>
                <w:lang w:val="en-US" w:eastAsia="zh-CN"/>
              </w:rPr>
              <w:t xml:space="preserve">30</w:t>
            </w:r>
            <w:r>
              <w:rPr>
                <w:rFonts w:ascii="宋体" w:hAnsi="宋体" w:eastAsia="宋体" w:cs="宋体"/>
                <w:color w:val="1a1a1a"/>
                <w:sz w:val="24"/>
                <w:szCs w:val="24"/>
                <w:highlight w:val="none"/>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iCs/>
                <w:color w:val="1a1a1a"/>
                <w:sz w:val="24"/>
                <w:szCs w:val="24"/>
                <w:highlight w:val="none"/>
              </w:rPr>
            </w:pPr>
            <w:r>
              <w:rPr>
                <w:rFonts w:hint="eastAsia" w:ascii="宋体" w:hAnsi="宋体" w:eastAsia="宋体" w:cs="宋体"/>
                <w:iCs/>
                <w:color w:val="1a1a1a"/>
                <w:sz w:val="24"/>
                <w:szCs w:val="24"/>
                <w:highlight w:val="none"/>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r>
      <w:tr>
        <w:trPr>
          <w:trHeight w:val="1022"/>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color w:val="1a1a1a"/>
                <w:sz w:val="24"/>
                <w:szCs w:val="24"/>
              </w:rPr>
              <w:t xml:space="preserve">序号</w:t>
            </w:r>
            <w:r>
              <w:rPr>
                <w:rFonts w:hint="eastAsia" w:ascii="宋体" w:hAnsi="宋体" w:eastAsia="宋体" w:cs="宋体"/>
                <w:b/>
                <w:bCs/>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评分因素</w:t>
            </w:r>
            <w:r>
              <w:rPr>
                <w:rFonts w:hint="eastAsia" w:ascii="宋体" w:hAnsi="宋体" w:eastAsia="宋体" w:cs="宋体"/>
                <w:sz w:val="24"/>
                <w:szCs w:val="24"/>
              </w:rPr>
            </w:r>
            <w:r/>
          </w:p>
        </w:tc>
        <w:tc>
          <w:tcPr>
            <w:tcW w:w="4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评分标准和评审材料</w:t>
            </w:r>
            <w:r>
              <w:rPr>
                <w:rFonts w:hint="eastAsia" w:ascii="宋体" w:hAnsi="宋体" w:eastAsia="宋体" w:cs="宋体"/>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最低分值</w:t>
            </w:r>
            <w:r>
              <w:rPr>
                <w:rFonts w:hint="eastAsia" w:ascii="宋体" w:hAnsi="宋体" w:eastAsia="宋体" w:cs="宋体"/>
                <w:b/>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最高分值</w:t>
            </w:r>
            <w:r>
              <w:rPr>
                <w:rFonts w:hint="eastAsia" w:ascii="宋体" w:hAnsi="宋体" w:eastAsia="宋体" w:cs="宋体"/>
                <w:b/>
                <w:sz w:val="24"/>
                <w:szCs w:val="24"/>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是否暗标评审</w:t>
            </w:r>
            <w:r>
              <w:rPr>
                <w:rFonts w:hint="eastAsia" w:ascii="宋体" w:hAnsi="宋体" w:eastAsia="宋体" w:cs="宋体"/>
                <w:b/>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是否客观分</w:t>
            </w:r>
            <w:r>
              <w:rPr>
                <w:rFonts w:hint="eastAsia" w:ascii="宋体" w:hAnsi="宋体" w:eastAsia="宋体" w:cs="宋体"/>
                <w:b/>
                <w:sz w:val="24"/>
                <w:szCs w:val="24"/>
              </w:rPr>
            </w:r>
            <w:r/>
          </w:p>
        </w:tc>
      </w:tr>
      <w:tr>
        <w:trPr>
          <w:trHeight w:val="1022"/>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color w:val="1a1a1a"/>
                <w:sz w:val="24"/>
                <w:szCs w:val="24"/>
              </w:rPr>
              <w:t xml:space="preserve">2</w:t>
            </w:r>
            <w:r>
              <w:rPr>
                <w:rFonts w:hint="eastAsia" w:ascii="宋体" w:hAnsi="宋体" w:eastAsia="宋体" w:cs="宋体"/>
                <w:b/>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技术分</w:t>
            </w:r>
            <w:r>
              <w:rPr>
                <w:rFonts w:hint="eastAsia" w:ascii="宋体" w:hAnsi="宋体" w:eastAsia="宋体" w:cs="宋体"/>
                <w:b/>
                <w:bCs/>
                <w:sz w:val="24"/>
                <w:szCs w:val="24"/>
              </w:rPr>
            </w:r>
            <w:r/>
          </w:p>
          <w:p>
            <w:pPr>
              <w:pStyle w:val="700"/>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bCs/>
                <w:sz w:val="24"/>
                <w:szCs w:val="24"/>
              </w:rPr>
              <w:t xml:space="preserve">（主观分）</w:t>
            </w:r>
            <w:r>
              <w:rPr>
                <w:rFonts w:hint="eastAsia" w:ascii="宋体" w:hAnsi="宋体" w:eastAsia="宋体" w:cs="宋体"/>
                <w:b/>
                <w:color w:val="1a1a1a"/>
                <w:sz w:val="24"/>
                <w:szCs w:val="24"/>
              </w:rPr>
            </w:r>
            <w:r/>
          </w:p>
        </w:tc>
        <w:tc>
          <w:tcPr>
            <w:tcW w:w="4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0</w:t>
            </w:r>
            <w:r>
              <w:rPr>
                <w:rFonts w:hint="eastAsia" w:ascii="宋体" w:hAnsi="宋体" w:eastAsia="宋体" w:cs="宋体"/>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ascii="宋体" w:hAnsi="宋体" w:eastAsia="宋体" w:cs="宋体"/>
                <w:color w:val="1a1a1a"/>
                <w:sz w:val="24"/>
                <w:szCs w:val="24"/>
                <w:lang w:val="en-US" w:eastAsia="zh-CN"/>
              </w:rPr>
            </w:pPr>
            <w:r>
              <w:rPr>
                <w:rFonts w:hint="eastAsia" w:ascii="宋体" w:hAnsi="宋体" w:cs="宋体"/>
                <w:color w:val="1a1a1a"/>
                <w:sz w:val="24"/>
                <w:szCs w:val="24"/>
                <w:lang w:val="en-US" w:eastAsia="zh-CN"/>
              </w:rPr>
              <w:t xml:space="preserve">48</w:t>
            </w:r>
            <w:r>
              <w:rPr>
                <w:rFonts w:ascii="宋体" w:hAnsi="宋体" w:eastAsia="宋体" w:cs="宋体"/>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b/>
                <w:sz w:val="24"/>
                <w:szCs w:val="24"/>
              </w:rPr>
              <w:t xml:space="preserve">否</w:t>
            </w:r>
            <w:r>
              <w:rPr>
                <w:rFonts w:hint="eastAsia" w:ascii="宋体" w:hAnsi="宋体" w:eastAsia="宋体" w:cs="宋体"/>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b/>
                <w:sz w:val="24"/>
                <w:szCs w:val="24"/>
              </w:rPr>
              <w:t xml:space="preserve">否</w:t>
            </w:r>
            <w:r>
              <w:rPr>
                <w:rFonts w:hint="eastAsia" w:ascii="宋体" w:hAnsi="宋体" w:eastAsia="宋体" w:cs="宋体"/>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2.1</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综合服务方案</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eastAsia="宋体" w:cs="宋体"/>
                <w:bCs/>
                <w:color w:val="1a1a1a"/>
                <w:sz w:val="24"/>
                <w:szCs w:val="24"/>
              </w:rPr>
              <w:t xml:space="preserve">综合服务方案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（1）综合服务方案体系完备、贴合项目实际需求，可全方位匹配项目全部实施标准与要求的，得8分；</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（2）综合服务方案内容详实、贴合度较好，可覆盖项目核心实施需求、满足基本作业标准的，得6分；</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（3）综合服务方案内容常规、专项适配性不足，仅能浅层响应项目基础实施要求的，得4分；</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（4）综合服务方案内容简略、体系残缺，未结合项目场景制定专属内容、无实际适配性的，得2分；</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2.2</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站点及人员配置方案</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站点及人员配置方案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（1）站点布局规划、人员配置方案详实全面，完全契合项目运营实施刚需，可保障项目高效落地的，得</w:t>
            </w: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（2）站点及人员配置方案内容详实，整体规划合理，可适配项目大部分实施场景、满足基础运营需求的，得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（3）站点及人员配置方案框架基础，规划细节欠缺，仅能粗浅匹配项目常规实施工作的，得</w:t>
            </w:r>
            <w:r>
              <w:rPr>
                <w:rFonts w:hint="eastAsia" w:ascii="宋体" w:hAnsi="宋体" w:cs="宋体"/>
                <w:bCs/>
                <w:color w:val="1a1a1a"/>
                <w:sz w:val="24"/>
                <w:szCs w:val="24"/>
                <w:lang w:val="en-US" w:eastAsia="zh-CN"/>
              </w:rPr>
              <w:t xml:space="preserve">4</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（4）站点及人员配置方案内容简陋、规划不完善，未结合项目实际工况制定，适配性极差的，得</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2.3</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应急预案</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应急预案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（1）应急预案体系完善、条款详实，精准贴合项目各类风险场景，可全面覆盖项目应急处置全部需求的，得</w:t>
            </w: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（2）应急预案内容完整、处置流程清晰，可应对项目常见突发状况，基本满足项目应急保障要求的，得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（3）应急预案内容笼统、处置举措单一，风险覆盖范围有限，仅能应对简单应急场景的，得</w:t>
            </w:r>
            <w:r>
              <w:rPr>
                <w:rFonts w:hint="eastAsia" w:ascii="宋体" w:hAnsi="宋体" w:cs="宋体"/>
                <w:bCs/>
                <w:color w:val="1a1a1a"/>
                <w:sz w:val="24"/>
                <w:szCs w:val="24"/>
                <w:lang w:val="en-US" w:eastAsia="zh-CN"/>
              </w:rPr>
              <w:t xml:space="preserve">4</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（4）应急预案内容粗糙、流程缺失，未针对项目专属风险制定，不具备实际应急指导价值的，得</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2.4</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其他优惠措施</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其他优惠措施</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（1）优惠措施体系丰富、贴合项目合作场景，内容详实落地性强，可充分满足项目提质增效、降本赋能需求的，得8分；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（2）优惠措施内容清晰、品类齐全，贴合项目合作实际，可有效匹配项目核心合作诉求的，得6分；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（3）优惠措施内容单一、形式常规，专项适配性不足，仅能满足项目基础合作需求的，得4分；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（4）优惠措施内容简略、条款不完善，未结合项目专属合作需求制定，无实质性利好价值的，得2分；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2.5</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后续服务方案</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后续服务方案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（1）后续服务方案体系健全、服务维度全面，贴合项目全周期运营需求，可全方位保障项目后续运维工作落地的，得8分；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（2）后续服务方案内容详实、服务流程规范，覆盖核心运维场景，可充分保障项目后续正常运营的，得6分；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（3）后续服务方案框架完整、细节欠缺，服务内容通用性强，仅能满足项目基础后续运维需求的，得4分；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（4）后续服务方案内容粗浅、服务条款残缺，未结合项目运维痛点制定，服务保障能力薄弱的，得2分；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2.6</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油站管理制度</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eastAsia="宋体" w:cs="宋体"/>
                <w:bCs/>
                <w:color w:val="1a1a1a"/>
                <w:sz w:val="24"/>
                <w:szCs w:val="24"/>
              </w:rPr>
              <w:t xml:space="preserve">油站管理制度</w:t>
            </w:r>
            <w:r>
              <w:rPr>
                <w:rFonts w:hint="eastAsia" w:ascii="宋体" w:hAnsi="宋体" w:cs="宋体"/>
                <w:bCs/>
                <w:color w:val="1a1a1a"/>
                <w:sz w:val="24"/>
                <w:szCs w:val="24"/>
                <w:lang w:eastAsia="zh-CN"/>
              </w:rPr>
              <w:t xml:space="preserve">（</w:t>
            </w:r>
            <w:r>
              <w:rPr>
                <w:rFonts w:hint="eastAsia" w:ascii="宋体" w:hAnsi="宋体" w:cs="宋体"/>
                <w:bCs/>
                <w:color w:val="1a1a1a"/>
                <w:sz w:val="24"/>
                <w:szCs w:val="24"/>
                <w:lang w:val="en-US" w:eastAsia="zh-CN"/>
              </w:rPr>
              <w:t xml:space="preserve">包括：岗位职责、防火防爆安全管理制度、安全检查制度、安全教育培训制度、加油安全操作规程等</w:t>
            </w:r>
            <w:r>
              <w:rPr>
                <w:rFonts w:hint="eastAsia" w:ascii="宋体" w:hAnsi="宋体" w:cs="宋体"/>
                <w:bCs/>
                <w:color w:val="1a1a1a"/>
                <w:sz w:val="24"/>
                <w:szCs w:val="24"/>
                <w:lang w:eastAsia="zh-CN"/>
              </w:rPr>
              <w:t xml:space="preserve">）</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（1）油站各项管理制度齐全完备、条款细化落地，完全贴合油站运营安全规范，可全面满足项目安全管控要求的，得</w:t>
            </w:r>
            <w:r>
              <w:rPr>
                <w:rFonts w:hint="eastAsia" w:ascii="宋体" w:hAnsi="宋体" w:cs="宋体"/>
                <w:bCs/>
                <w:color w:val="1a1a1a"/>
                <w:sz w:val="24"/>
                <w:szCs w:val="24"/>
                <w:lang w:val="en-US" w:eastAsia="zh-CN"/>
              </w:rPr>
              <w:t xml:space="preserve">8</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（2）油站管理制度体系完整、条款清晰，贴合油站日常运营场景，可有效覆盖项目基础安全管理工作的，得</w:t>
            </w:r>
            <w:r>
              <w:rPr>
                <w:rFonts w:hint="eastAsia" w:ascii="宋体" w:hAnsi="宋体" w:cs="宋体"/>
                <w:bCs/>
                <w:color w:val="1a1a1a"/>
                <w:sz w:val="24"/>
                <w:szCs w:val="24"/>
                <w:lang w:val="en-US" w:eastAsia="zh-CN"/>
              </w:rPr>
              <w:t xml:space="preserve">6</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（3）油站管理制度框架齐全、内容笼统，专项管控细节不足，仅能适配基础安全管理工作的，得</w:t>
            </w:r>
            <w:r>
              <w:rPr>
                <w:rFonts w:hint="eastAsia" w:ascii="宋体" w:hAnsi="宋体" w:cs="宋体"/>
                <w:bCs/>
                <w:color w:val="1a1a1a"/>
                <w:sz w:val="24"/>
                <w:szCs w:val="24"/>
                <w:lang w:val="en-US" w:eastAsia="zh-CN"/>
              </w:rPr>
              <w:t xml:space="preserve">4</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（4）油站管理制度内容简略、条款缺失，未结合油站安全运营核心要求制定，管控指导性不足的，得</w:t>
            </w:r>
            <w:r>
              <w:rPr>
                <w:rFonts w:hint="eastAsia" w:ascii="宋体" w:hAnsi="宋体" w:cs="宋体"/>
                <w:bCs/>
                <w:color w:val="1a1a1a"/>
                <w:sz w:val="24"/>
                <w:szCs w:val="24"/>
                <w:lang w:val="en-US" w:eastAsia="zh-CN"/>
              </w:rPr>
              <w:t xml:space="preserve">2</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（5）不提供的不得分。</w:t>
            </w:r>
            <w:r>
              <w:rPr>
                <w:rFonts w:ascii="宋体" w:hAnsi="宋体" w:eastAsia="宋体" w:cs="宋体"/>
                <w:bCs/>
                <w:color w:val="1a1a1a"/>
                <w:sz w:val="24"/>
                <w:szCs w:val="24"/>
                <w:lang w:val="en-US" w:eastAsia="zh-CN"/>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color w:val="1a1a1a"/>
                <w:sz w:val="24"/>
                <w:szCs w:val="24"/>
              </w:rPr>
            </w:pPr>
            <w:r>
              <w:rPr>
                <w:rFonts w:hint="eastAsia" w:ascii="宋体" w:hAnsi="宋体" w:eastAsia="宋体" w:cs="宋体"/>
                <w:b/>
                <w:bCs/>
                <w:color w:val="1a1a1a"/>
                <w:sz w:val="24"/>
                <w:szCs w:val="24"/>
              </w:rPr>
              <w:t xml:space="preserve">3</w:t>
            </w:r>
            <w:r>
              <w:rPr>
                <w:rFonts w:hint="eastAsia" w:ascii="宋体" w:hAnsi="宋体" w:eastAsia="宋体" w:cs="宋体"/>
                <w:b/>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商务分</w:t>
            </w:r>
            <w:r>
              <w:rPr>
                <w:rFonts w:hint="eastAsia" w:ascii="宋体" w:hAnsi="宋体" w:eastAsia="宋体" w:cs="宋体"/>
                <w:b/>
                <w:bCs/>
                <w:sz w:val="24"/>
                <w:szCs w:val="24"/>
              </w:rPr>
            </w:r>
            <w:r/>
          </w:p>
          <w:p>
            <w:pPr>
              <w:pStyle w:val="700"/>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
                <w:bCs/>
                <w:sz w:val="24"/>
                <w:szCs w:val="24"/>
              </w:rPr>
              <w:t xml:space="preserve">（客观分</w:t>
            </w:r>
            <w:r>
              <w:rPr>
                <w:rFonts w:hint="eastAsia" w:ascii="宋体" w:hAnsi="宋体" w:cs="宋体"/>
                <w:b/>
                <w:bCs/>
                <w:sz w:val="24"/>
                <w:szCs w:val="24"/>
                <w:lang w:eastAsia="zh-CN"/>
              </w:rPr>
              <w:t xml:space="preserve">）</w:t>
            </w:r>
            <w:r>
              <w:rPr>
                <w:rFonts w:hint="eastAsia" w:ascii="宋体" w:hAnsi="宋体" w:eastAsia="宋体" w:cs="宋体"/>
                <w:bCs/>
                <w:color w:val="1a1a1a"/>
                <w:sz w:val="24"/>
                <w:szCs w:val="24"/>
                <w:lang w:eastAsia="zh-CN"/>
              </w:rPr>
            </w:r>
            <w:r/>
          </w:p>
        </w:tc>
        <w:tc>
          <w:tcPr>
            <w:tcW w:w="4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22</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否</w:t>
            </w:r>
            <w:r>
              <w:rPr>
                <w:rFonts w:hint="eastAsia" w:ascii="宋体" w:hAnsi="宋体" w:eastAsia="宋体" w:cs="宋体"/>
                <w:b/>
                <w:bCs/>
                <w:sz w:val="24"/>
                <w:szCs w:val="24"/>
              </w:rPr>
            </w:r>
            <w:r/>
          </w:p>
        </w:tc>
        <w:tc>
          <w:tcPr>
            <w:tcW w:w="660" w:type="dxa"/>
            <w:vAlign w:val="center"/>
            <w:textDirection w:val="lrTb"/>
            <w:noWrap w:val="false"/>
          </w:tcPr>
          <w:p>
            <w:pPr>
              <w:pStyle w:val="70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是</w:t>
            </w:r>
            <w:r>
              <w:rPr>
                <w:rFonts w:hint="eastAsia" w:ascii="宋体" w:hAnsi="宋体" w:eastAsia="宋体" w:cs="宋体"/>
                <w:b/>
                <w:bCs/>
                <w:sz w:val="24"/>
                <w:szCs w:val="24"/>
              </w:rPr>
            </w:r>
            <w:r/>
          </w:p>
        </w:tc>
      </w:tr>
      <w:tr>
        <w:trPr>
          <w:trHeight w:val="2490"/>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3.1</w:t>
            </w:r>
            <w:r>
              <w:rPr>
                <w:rFonts w:hint="eastAsia" w:ascii="宋体" w:hAnsi="宋体" w:eastAsia="宋体" w:cs="宋体"/>
                <w:bCs/>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业绩</w:t>
            </w:r>
            <w:r>
              <w:rPr>
                <w:rFonts w:hint="eastAsia" w:ascii="宋体" w:hAnsi="宋体" w:eastAsia="宋体" w:cs="宋体"/>
                <w:bCs/>
                <w:color w:val="1a1a1a"/>
                <w:sz w:val="24"/>
                <w:szCs w:val="24"/>
                <w:lang w:val="en-US" w:eastAsia="zh-CN"/>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投标人自2023年8月1日以来（时间以合同签订时间为准）</w:t>
            </w:r>
            <w:r>
              <w:rPr>
                <w:rFonts w:hint="eastAsia" w:ascii="宋体" w:hAnsi="宋体" w:eastAsia="宋体" w:cs="宋体"/>
                <w:bCs/>
                <w:color w:val="1a1a1a"/>
                <w:sz w:val="24"/>
                <w:szCs w:val="24"/>
              </w:rPr>
              <w:t xml:space="preserve">承担</w:t>
            </w:r>
            <w:r>
              <w:rPr>
                <w:rFonts w:hint="eastAsia" w:ascii="宋体" w:hAnsi="宋体" w:cs="宋体"/>
                <w:bCs/>
                <w:color w:val="1a1a1a"/>
                <w:sz w:val="24"/>
                <w:szCs w:val="24"/>
                <w:lang w:val="en-US" w:eastAsia="zh-CN"/>
              </w:rPr>
              <w:t xml:space="preserve">过类似加油服务类</w:t>
            </w:r>
            <w:r>
              <w:rPr>
                <w:rFonts w:hint="eastAsia" w:ascii="宋体" w:hAnsi="宋体" w:eastAsia="宋体" w:cs="宋体"/>
                <w:bCs/>
                <w:color w:val="1a1a1a"/>
                <w:sz w:val="24"/>
                <w:szCs w:val="24"/>
              </w:rPr>
              <w:t xml:space="preserve">项目业绩的，有一个得</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rPr>
              <w:t xml:space="preserve">分，最高得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
                <w:bCs w:val="0"/>
                <w:color w:val="1a1a1a"/>
                <w:sz w:val="24"/>
                <w:szCs w:val="24"/>
                <w:lang w:val="en-US" w:eastAsia="zh-CN"/>
              </w:rPr>
              <w:t xml:space="preserve">注：投标文件中提出合同并加盖投标人公章，否则不得分。</w:t>
            </w:r>
            <w:r>
              <w:rPr>
                <w:rFonts w:ascii="宋体" w:hAnsi="宋体" w:eastAsia="宋体" w:cs="宋体"/>
                <w:bCs/>
                <w:color w:val="1a1a1a"/>
                <w:sz w:val="24"/>
                <w:szCs w:val="24"/>
                <w:lang w:val="en-US" w:eastAsia="zh-CN"/>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6</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3.</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lang w:eastAsia="zh-CN"/>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质量</w:t>
            </w:r>
            <w:r>
              <w:rPr>
                <w:rFonts w:hint="eastAsia" w:ascii="宋体" w:hAnsi="宋体" w:eastAsia="宋体" w:cs="宋体"/>
                <w:bCs/>
                <w:color w:val="1a1a1a"/>
                <w:sz w:val="24"/>
                <w:szCs w:val="24"/>
              </w:rPr>
            </w:r>
            <w:r/>
          </w:p>
        </w:tc>
        <w:tc>
          <w:tcPr>
            <w:tcW w:w="4518" w:type="dxa"/>
            <w:vAlign w:val="center"/>
            <w:textDirection w:val="lrTb"/>
            <w:noWrap w:val="false"/>
          </w:tcPr>
          <w:p>
            <w:pPr>
              <w:pStyle w:val="700"/>
              <w:numPr>
                <w:ilvl w:val="0"/>
                <w:numId w:val="0"/>
              </w:numPr>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highlight w:val="none"/>
                <w:lang w:val="en-US" w:eastAsia="zh-CN"/>
              </w:rPr>
              <w:t xml:space="preserve">1.</w:t>
            </w:r>
            <w:r>
              <w:rPr>
                <w:rFonts w:hint="eastAsia" w:ascii="宋体" w:hAnsi="宋体" w:eastAsia="宋体" w:cs="宋体"/>
                <w:bCs/>
                <w:color w:val="1a1a1a"/>
                <w:sz w:val="24"/>
                <w:szCs w:val="24"/>
                <w:highlight w:val="none"/>
              </w:rPr>
              <w:t xml:space="preserve">提供2025年度和2026年公告发布之日前国家认</w:t>
            </w:r>
            <w:r>
              <w:rPr>
                <w:rFonts w:hint="eastAsia" w:ascii="宋体" w:hAnsi="宋体" w:eastAsia="宋体" w:cs="宋体"/>
                <w:bCs/>
                <w:color w:val="1a1a1a"/>
                <w:sz w:val="24"/>
                <w:szCs w:val="24"/>
              </w:rPr>
              <w:t xml:space="preserve">可的检验检测机构出具的各品类</w:t>
            </w:r>
            <w:r>
              <w:rPr>
                <w:rFonts w:hint="eastAsia" w:ascii="宋体" w:hAnsi="宋体" w:cs="宋体"/>
                <w:bCs/>
                <w:color w:val="1a1a1a"/>
                <w:sz w:val="24"/>
                <w:szCs w:val="24"/>
                <w:lang w:eastAsia="zh-CN"/>
              </w:rPr>
              <w:t xml:space="preserve">（92#车用汽油（VIA）、0#车用柴油（VI）、-10#车用柴油</w:t>
            </w:r>
            <w:r>
              <w:rPr>
                <w:rFonts w:hint="eastAsia" w:ascii="宋体" w:hAnsi="宋体" w:eastAsia="宋体" w:cs="宋体"/>
                <w:bCs/>
                <w:color w:val="1a1a1a"/>
                <w:sz w:val="24"/>
                <w:szCs w:val="24"/>
              </w:rPr>
              <w:t xml:space="preserve">、尾气处理液</w:t>
            </w:r>
            <w:r>
              <w:rPr>
                <w:rFonts w:hint="eastAsia" w:ascii="宋体" w:hAnsi="宋体" w:cs="宋体"/>
                <w:bCs/>
                <w:color w:val="1a1a1a"/>
                <w:sz w:val="24"/>
                <w:szCs w:val="24"/>
                <w:lang w:eastAsia="zh-CN"/>
              </w:rPr>
              <w:t xml:space="preserve">）</w:t>
            </w:r>
            <w:r>
              <w:rPr>
                <w:rFonts w:hint="eastAsia" w:ascii="宋体" w:hAnsi="宋体" w:eastAsia="宋体" w:cs="宋体"/>
                <w:bCs/>
                <w:color w:val="1a1a1a"/>
                <w:sz w:val="24"/>
                <w:szCs w:val="24"/>
              </w:rPr>
              <w:t xml:space="preserve">产品质量检验报告，每提供一年得</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rPr>
              <w:t xml:space="preserve">分，最高得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注：投标文件中提出产品质量检验报告并加盖投标人公章，否则不得分。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采购人现使用车辆为东风汽车，车辆尾气处理液必须保证符合东风汽车的使用标准，</w:t>
            </w:r>
            <w:r>
              <w:rPr>
                <w:rFonts w:hint="eastAsia" w:ascii="宋体" w:hAnsi="宋体" w:cs="宋体"/>
                <w:bCs/>
                <w:color w:val="1a1a1a"/>
                <w:sz w:val="24"/>
                <w:szCs w:val="24"/>
                <w:lang w:val="en-US" w:eastAsia="zh-CN"/>
              </w:rPr>
              <w:t xml:space="preserve">具有国家认可的检测机构出具的</w:t>
            </w:r>
            <w:r>
              <w:rPr>
                <w:rFonts w:hint="eastAsia" w:ascii="宋体" w:hAnsi="宋体" w:eastAsia="宋体" w:cs="宋体"/>
                <w:bCs/>
                <w:color w:val="1a1a1a"/>
                <w:sz w:val="24"/>
                <w:szCs w:val="24"/>
              </w:rPr>
              <w:t xml:space="preserve">报告</w:t>
            </w:r>
            <w:r>
              <w:rPr>
                <w:rFonts w:hint="eastAsia" w:ascii="宋体" w:hAnsi="宋体" w:cs="宋体"/>
                <w:bCs/>
                <w:color w:val="1a1a1a"/>
                <w:sz w:val="24"/>
                <w:szCs w:val="24"/>
                <w:lang w:val="en-US" w:eastAsia="zh-CN"/>
              </w:rPr>
              <w:t xml:space="preserve">的，</w:t>
            </w:r>
            <w:r>
              <w:rPr>
                <w:rFonts w:hint="eastAsia" w:ascii="宋体" w:hAnsi="宋体" w:eastAsia="宋体" w:cs="宋体"/>
                <w:bCs/>
                <w:color w:val="1a1a1a"/>
                <w:sz w:val="24"/>
                <w:szCs w:val="24"/>
              </w:rPr>
              <w:t xml:space="preserve">得4分。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注：投标文件中提出报告并加盖投标人公章，否则不得分。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10</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3.</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lang w:eastAsia="zh-CN"/>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相关保障</w:t>
            </w:r>
            <w:r>
              <w:rPr>
                <w:rFonts w:hint="eastAsia" w:ascii="宋体" w:hAnsi="宋体" w:eastAsia="宋体" w:cs="宋体"/>
                <w:bCs/>
                <w:color w:val="1a1a1a"/>
                <w:sz w:val="24"/>
                <w:szCs w:val="24"/>
              </w:rPr>
            </w:r>
            <w:r/>
          </w:p>
        </w:tc>
        <w:tc>
          <w:tcPr>
            <w:tcW w:w="4518" w:type="dxa"/>
            <w:vAlign w:val="center"/>
            <w:textDirection w:val="lrTb"/>
            <w:noWrap w:val="false"/>
          </w:tcPr>
          <w:p>
            <w:pPr>
              <w:pStyle w:val="700"/>
              <w:jc w:val="both"/>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1.</w:t>
            </w:r>
            <w:r>
              <w:rPr>
                <w:rFonts w:hint="eastAsia" w:ascii="宋体" w:hAnsi="宋体" w:eastAsia="宋体" w:cs="宋体"/>
                <w:bCs/>
                <w:color w:val="1a1a1a"/>
                <w:sz w:val="24"/>
                <w:szCs w:val="24"/>
                <w:lang w:eastAsia="zh-CN"/>
              </w:rPr>
              <w:t xml:space="preserve">投标人</w:t>
            </w:r>
            <w:r>
              <w:rPr>
                <w:rFonts w:hint="eastAsia" w:ascii="宋体" w:hAnsi="宋体" w:eastAsia="宋体" w:cs="宋体"/>
                <w:bCs/>
                <w:color w:val="1a1a1a"/>
                <w:sz w:val="24"/>
                <w:szCs w:val="24"/>
              </w:rPr>
              <w:t xml:space="preserve">在项目实施地有自有油库作为保障</w:t>
            </w:r>
            <w:r>
              <w:rPr>
                <w:rFonts w:hint="eastAsia" w:ascii="宋体" w:hAnsi="宋体" w:cs="宋体"/>
                <w:bCs/>
                <w:color w:val="1a1a1a"/>
                <w:sz w:val="24"/>
                <w:szCs w:val="24"/>
                <w:lang w:val="en-US" w:eastAsia="zh-CN"/>
              </w:rPr>
              <w:t xml:space="preserve">的</w:t>
            </w:r>
            <w:r>
              <w:rPr>
                <w:rFonts w:hint="eastAsia" w:ascii="宋体" w:hAnsi="宋体" w:eastAsia="宋体" w:cs="宋体"/>
                <w:bCs/>
                <w:color w:val="1a1a1a"/>
                <w:sz w:val="24"/>
                <w:szCs w:val="24"/>
              </w:rPr>
              <w:t xml:space="preserve">，得3分</w:t>
            </w:r>
            <w:r>
              <w:rPr>
                <w:rFonts w:hint="eastAsia" w:ascii="宋体" w:hAnsi="宋体" w:cs="宋体"/>
                <w:bCs/>
                <w:color w:val="1a1a1a"/>
                <w:sz w:val="24"/>
                <w:szCs w:val="24"/>
                <w:lang w:eastAsia="zh-CN"/>
              </w:rPr>
              <w:t xml:space="preserve">。</w:t>
            </w:r>
            <w:r>
              <w:rPr>
                <w:rFonts w:hint="eastAsia" w:ascii="宋体" w:hAnsi="宋体" w:eastAsia="宋体" w:cs="宋体"/>
                <w:bCs/>
                <w:color w:val="1a1a1a"/>
                <w:sz w:val="24"/>
                <w:szCs w:val="24"/>
                <w:lang w:eastAsia="zh-CN"/>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lang w:val="en-US" w:eastAsia="zh-CN"/>
              </w:rPr>
              <w:t xml:space="preserve">2</w:t>
            </w:r>
            <w:r>
              <w:rPr>
                <w:rFonts w:hint="eastAsia" w:ascii="宋体" w:hAnsi="宋体" w:eastAsia="宋体" w:cs="宋体"/>
                <w:bCs/>
                <w:color w:val="1a1a1a"/>
                <w:sz w:val="24"/>
                <w:szCs w:val="24"/>
              </w:rPr>
              <w:t xml:space="preserve">.</w:t>
            </w:r>
            <w:r>
              <w:rPr>
                <w:rFonts w:hint="eastAsia" w:ascii="宋体" w:hAnsi="宋体" w:eastAsia="宋体" w:cs="宋体"/>
                <w:bCs/>
                <w:color w:val="1a1a1a"/>
                <w:sz w:val="24"/>
                <w:szCs w:val="24"/>
                <w:lang w:eastAsia="zh-CN"/>
              </w:rPr>
              <w:t xml:space="preserve">投标人</w:t>
            </w:r>
            <w:r>
              <w:rPr>
                <w:rFonts w:hint="eastAsia" w:ascii="宋体" w:hAnsi="宋体" w:eastAsia="宋体" w:cs="宋体"/>
                <w:bCs/>
                <w:color w:val="1a1a1a"/>
                <w:sz w:val="24"/>
                <w:szCs w:val="24"/>
              </w:rPr>
              <w:t xml:space="preserve">提供有效的加油场所有害因素检测报告的，得3分。</w:t>
            </w:r>
            <w:r>
              <w:rPr>
                <w:rFonts w:hint="eastAsia" w:ascii="宋体" w:hAnsi="宋体" w:eastAsia="宋体" w:cs="宋体"/>
                <w:bCs/>
                <w:color w:val="1a1a1a"/>
                <w:sz w:val="24"/>
                <w:szCs w:val="24"/>
              </w:rPr>
            </w:r>
            <w:r/>
          </w:p>
          <w:p>
            <w:pPr>
              <w:pStyle w:val="700"/>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注：投标文件中提出相关证明材料并加盖投标人公章，否则不得分。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r>
            <w:r/>
          </w:p>
        </w:tc>
        <w:tc>
          <w:tcPr>
            <w:tcW w:w="1116"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r>
            <w:r/>
          </w:p>
        </w:tc>
        <w:tc>
          <w:tcPr>
            <w:tcW w:w="451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t xml:space="preserve">合计</w:t>
            </w:r>
            <w:r>
              <w:rPr>
                <w:rFonts w:hint="eastAsia" w:ascii="宋体" w:hAnsi="宋体" w:eastAsia="宋体" w:cs="宋体"/>
                <w:b/>
                <w:bCs w:val="0"/>
                <w:color w:val="1a1a1a"/>
                <w:sz w:val="24"/>
                <w:szCs w:val="24"/>
              </w:rPr>
            </w:r>
            <w:r/>
          </w:p>
        </w:tc>
        <w:tc>
          <w:tcPr>
            <w:tcW w:w="587"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t xml:space="preserve">0</w:t>
            </w:r>
            <w:r>
              <w:rPr>
                <w:rFonts w:hint="eastAsia" w:ascii="宋体" w:hAnsi="宋体" w:eastAsia="宋体" w:cs="宋体"/>
                <w:b/>
                <w:bCs w:val="0"/>
                <w:color w:val="1a1a1a"/>
                <w:sz w:val="24"/>
                <w:szCs w:val="24"/>
              </w:rPr>
            </w:r>
            <w:r/>
          </w:p>
        </w:tc>
        <w:tc>
          <w:tcPr>
            <w:tcW w:w="538"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color w:val="1a1a1a"/>
                <w:sz w:val="24"/>
                <w:szCs w:val="24"/>
              </w:rPr>
              <w:t xml:space="preserve">100</w:t>
            </w:r>
            <w:r>
              <w:rPr>
                <w:rFonts w:hint="eastAsia" w:ascii="宋体" w:hAnsi="宋体" w:eastAsia="宋体" w:cs="宋体"/>
                <w:b/>
                <w:bCs w:val="0"/>
                <w:sz w:val="24"/>
                <w:szCs w:val="24"/>
              </w:rPr>
            </w:r>
            <w:r/>
          </w:p>
        </w:tc>
        <w:tc>
          <w:tcPr>
            <w:tcW w:w="662"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iCs/>
                <w:color w:val="1a1a1a"/>
                <w:sz w:val="24"/>
                <w:szCs w:val="24"/>
              </w:rPr>
            </w:pPr>
            <w:r>
              <w:rPr>
                <w:rFonts w:hint="eastAsia" w:ascii="宋体" w:hAnsi="宋体" w:eastAsia="宋体" w:cs="宋体"/>
                <w:b/>
                <w:bCs w:val="0"/>
                <w:iCs/>
                <w:color w:val="1a1a1a"/>
                <w:sz w:val="24"/>
                <w:szCs w:val="24"/>
              </w:rPr>
            </w:r>
            <w:r/>
          </w:p>
        </w:tc>
        <w:tc>
          <w:tcPr>
            <w:tcW w:w="660" w:type="dxa"/>
            <w:vAlign w:val="center"/>
            <w:textDirection w:val="lrTb"/>
            <w:noWrap w:val="false"/>
          </w:tcPr>
          <w:p>
            <w:pPr>
              <w:pStyle w:val="700"/>
              <w:jc w:val="center"/>
              <w:keepLines w:val="0"/>
              <w:keepNext w:val="0"/>
              <w:pageBreakBefore w:val="0"/>
              <w:spacing w:line="360" w:lineRule="auto"/>
              <w:rPr>
                <w:rFonts w:hint="eastAsia" w:ascii="宋体" w:hAnsi="宋体" w:eastAsia="宋体" w:cs="宋体"/>
                <w:b/>
                <w:bCs w:val="0"/>
                <w:iCs/>
                <w:color w:val="1a1a1a"/>
                <w:sz w:val="24"/>
                <w:szCs w:val="24"/>
              </w:rPr>
            </w:pPr>
            <w:r>
              <w:rPr>
                <w:rFonts w:hint="eastAsia" w:ascii="宋体" w:hAnsi="宋体" w:eastAsia="宋体" w:cs="宋体"/>
                <w:b/>
                <w:bCs w:val="0"/>
                <w:iCs/>
                <w:color w:val="1a1a1a"/>
                <w:sz w:val="24"/>
                <w:szCs w:val="24"/>
              </w:rPr>
            </w:r>
            <w:r/>
          </w:p>
        </w:tc>
      </w:tr>
    </w:tbl>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1"/>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rPr>
          <w:rFonts w:hint="eastAsia" w:ascii="黑体" w:eastAsia="黑体"/>
          <w:bCs/>
          <w:sz w:val="44"/>
        </w:rPr>
      </w:r>
      <w:r/>
    </w:p>
    <w:p>
      <w:pPr>
        <w:pStyle w:val="700"/>
        <w:jc w:val="center"/>
        <w:rPr>
          <w:rFonts w:hint="eastAsia" w:ascii="宋体" w:hAnsi="宋体"/>
          <w:b/>
          <w:sz w:val="72"/>
        </w:rPr>
      </w:pPr>
      <w:r/>
      <w:bookmarkStart w:id="248" w:name="_Hlt26955039"/>
      <w:r/>
      <w:bookmarkEnd w:id="248"/>
      <w:r/>
      <w:bookmarkStart w:id="249" w:name="_Toc26554094"/>
      <w:r/>
      <w:bookmarkStart w:id="250" w:name="_Toc120614282"/>
      <w:r/>
      <w:bookmarkStart w:id="251" w:name="_Toc49090576"/>
      <w:r/>
      <w:bookmarkStart w:id="252" w:name="_Hlt26671244"/>
      <w:r/>
      <w:bookmarkEnd w:id="252"/>
      <w:r>
        <w:rPr>
          <w:rFonts w:hint="eastAsia" w:ascii="宋体" w:hAnsi="宋体"/>
          <w:b/>
          <w:sz w:val="72"/>
        </w:rPr>
      </w:r>
      <w:r/>
    </w:p>
    <w:p>
      <w:pPr>
        <w:pStyle w:val="70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72"/>
        </w:rPr>
      </w:pPr>
      <w:r>
        <w:rPr>
          <w:rFonts w:hint="eastAsia" w:ascii="宋体" w:hAnsi="宋体"/>
          <w:b/>
          <w:sz w:val="72"/>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jc w:val="center"/>
        <w:rPr>
          <w:rFonts w:hint="eastAsia" w:ascii="宋体" w:hAnsi="宋体"/>
          <w:b/>
          <w:sz w:val="36"/>
        </w:rPr>
      </w:pPr>
      <w:r>
        <w:rPr>
          <w:rFonts w:hint="eastAsia" w:ascii="宋体" w:hAnsi="宋体"/>
          <w:b/>
          <w:sz w:val="36"/>
        </w:rPr>
      </w:r>
      <w:r/>
    </w:p>
    <w:p>
      <w:pPr>
        <w:pStyle w:val="70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spacing w:line="440" w:lineRule="exact"/>
        <w:rPr>
          <w:rFonts w:ascii="宋体" w:hAnsi="宋体"/>
        </w:rPr>
      </w:pPr>
      <w:r>
        <w:rPr>
          <w:rFonts w:ascii="宋体" w:hAnsi="宋体"/>
        </w:rPr>
      </w:r>
      <w:r/>
    </w:p>
    <w:p>
      <w:pPr>
        <w:pStyle w:val="70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0"/>
        <w:jc w:val="center"/>
        <w:spacing w:line="440" w:lineRule="exact"/>
        <w:rPr>
          <w:rFonts w:hint="eastAsia" w:ascii="宋体" w:hAnsi="宋体"/>
          <w:b/>
          <w:bCs/>
          <w:sz w:val="32"/>
          <w:szCs w:val="32"/>
        </w:rPr>
      </w:pPr>
      <w:r>
        <w:rPr>
          <w:rFonts w:hint="eastAsia" w:ascii="宋体" w:hAnsi="宋体"/>
          <w:b/>
          <w:bCs/>
          <w:sz w:val="32"/>
          <w:szCs w:val="32"/>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0"/>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hint="eastAsia" w:ascii="宋体" w:hAnsi="宋体"/>
          <w:sz w:val="24"/>
        </w:rPr>
      </w:pPr>
      <w:r>
        <w:rPr>
          <w:rFonts w:hint="eastAsia"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ind w:firstLine="480"/>
        <w:spacing w:line="440" w:lineRule="exact"/>
        <w:rPr>
          <w:rFonts w:ascii="宋体" w:hAnsi="宋体"/>
          <w:sz w:val="24"/>
        </w:rPr>
      </w:pPr>
      <w:r>
        <w:rPr>
          <w:rFonts w:ascii="宋体" w:hAnsi="宋体"/>
          <w:sz w:val="24"/>
        </w:rPr>
      </w:r>
      <w:r/>
    </w:p>
    <w:p>
      <w:pPr>
        <w:pStyle w:val="700"/>
        <w:rPr>
          <w:rFonts w:ascii="黑体" w:hAnsi="黑体" w:eastAsia="黑体"/>
          <w:i/>
          <w:sz w:val="32"/>
          <w:szCs w:val="32"/>
          <w:u w:val="single"/>
        </w:rPr>
      </w:pPr>
      <w:r/>
      <w:bookmarkEnd w:id="249"/>
      <w:r/>
      <w:bookmarkEnd w:id="250"/>
      <w:r/>
      <w:bookmarkEnd w:id="251"/>
      <w:r/>
      <w:bookmarkStart w:id="25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50"/>
        <w:ind w:firstLine="480"/>
        <w:spacing w:line="460" w:lineRule="exact"/>
      </w:pPr>
      <w:r/>
      <w:r/>
    </w:p>
    <w:p>
      <w:pPr>
        <w:pStyle w:val="750"/>
        <w:ind w:firstLine="480"/>
        <w:spacing w:line="460" w:lineRule="exact"/>
      </w:pPr>
      <w:r>
        <w:rPr>
          <w:rFonts w:hint="eastAsia"/>
        </w:rPr>
        <w:t xml:space="preserve">致：常州市政府采购中心</w:t>
      </w:r>
      <w:r/>
    </w:p>
    <w:p>
      <w:pPr>
        <w:pStyle w:val="750"/>
        <w:ind w:firstLine="840"/>
        <w:spacing w:line="460" w:lineRule="exact"/>
        <w:rPr>
          <w:u w:val="single"/>
        </w:rPr>
      </w:pPr>
      <w:r>
        <w:rPr>
          <w:rFonts w:hint="eastAsia"/>
          <w:u w:val="single"/>
        </w:rPr>
        <w:t xml:space="preserve">（采购人名称）</w:t>
      </w:r>
      <w:r>
        <w:rPr>
          <w:u w:val="single"/>
        </w:rPr>
      </w:r>
      <w:r/>
    </w:p>
    <w:p>
      <w:pPr>
        <w:pStyle w:val="750"/>
        <w:ind w:firstLine="480"/>
        <w:spacing w:line="460" w:lineRule="exact"/>
      </w:pPr>
      <w:r/>
      <w:r/>
    </w:p>
    <w:p>
      <w:pPr>
        <w:pStyle w:val="750"/>
        <w:ind w:firstLine="480"/>
        <w:spacing w:line="460" w:lineRule="exact"/>
      </w:pPr>
      <w:r>
        <w:rPr>
          <w:rFonts w:hint="eastAsia"/>
        </w:rPr>
        <w:t xml:space="preserve">按照《中华人民共和国政府采购法》第二十二条和招标文件的规定，我单位郑重声明如下：</w:t>
      </w:r>
      <w:r/>
    </w:p>
    <w:p>
      <w:pPr>
        <w:pStyle w:val="75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50"/>
        <w:ind w:firstLine="480"/>
        <w:spacing w:line="460" w:lineRule="exact"/>
      </w:pPr>
      <w:r>
        <w:rPr>
          <w:rFonts w:hint="eastAsia"/>
        </w:rPr>
        <w:t xml:space="preserve">二、我单位具有良好的商业信誉（指投标人经营状况良好，无本资格声明第十条情形）和健全的财务会计制度。</w:t>
      </w:r>
      <w:r/>
    </w:p>
    <w:p>
      <w:pPr>
        <w:pStyle w:val="750"/>
        <w:ind w:firstLine="480"/>
        <w:spacing w:line="460" w:lineRule="exact"/>
      </w:pPr>
      <w:r>
        <w:rPr>
          <w:rFonts w:hint="eastAsia"/>
        </w:rPr>
        <w:t xml:space="preserve">三、我单位依法进行纳税和社会保险申报并实际履行了义务。</w:t>
      </w:r>
      <w:r/>
    </w:p>
    <w:p>
      <w:pPr>
        <w:pStyle w:val="75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0"/>
        <w:ind w:firstLine="480"/>
        <w:spacing w:line="460" w:lineRule="exact"/>
      </w:pPr>
      <w:r>
        <w:rPr>
          <w:rFonts w:hint="eastAsia"/>
        </w:rPr>
        <w:t xml:space="preserve">主要设备有：</w:t>
      </w:r>
      <w:r>
        <w:rPr>
          <w:u w:val="single"/>
        </w:rPr>
        <w:t xml:space="preserve">            </w:t>
      </w:r>
      <w:r/>
    </w:p>
    <w:p>
      <w:pPr>
        <w:pStyle w:val="750"/>
        <w:ind w:firstLine="480"/>
        <w:spacing w:line="460" w:lineRule="exact"/>
      </w:pPr>
      <w:r>
        <w:rPr>
          <w:rFonts w:hint="eastAsia"/>
        </w:rPr>
        <w:t xml:space="preserve">主要专业技术能力有</w:t>
      </w:r>
      <w:r>
        <w:rPr>
          <w:rFonts w:hint="eastAsia"/>
          <w:u w:val="single"/>
        </w:rPr>
        <w:t xml:space="preserve">                 </w:t>
      </w:r>
      <w:r/>
    </w:p>
    <w:p>
      <w:pPr>
        <w:pStyle w:val="75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0"/>
        <w:ind w:firstLine="480"/>
        <w:spacing w:line="460" w:lineRule="exact"/>
      </w:pPr>
      <w:r>
        <w:rPr>
          <w:rFonts w:hint="eastAsia"/>
        </w:rPr>
        <w:t xml:space="preserve">六、我单位具备法律、行政法规规定的其他条件。</w:t>
      </w:r>
      <w:r/>
    </w:p>
    <w:p>
      <w:pPr>
        <w:pStyle w:val="75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50"/>
        <w:ind w:firstLine="480"/>
        <w:spacing w:line="460" w:lineRule="exact"/>
      </w:pPr>
      <w:r>
        <w:rPr>
          <w:rFonts w:hint="eastAsia"/>
        </w:rPr>
        <w:t xml:space="preserve">九、</w:t>
      </w:r>
      <w:r>
        <w:t xml:space="preserve">我单位无以下不良信用记录情形：</w:t>
      </w:r>
      <w:r/>
    </w:p>
    <w:p>
      <w:pPr>
        <w:pStyle w:val="750"/>
        <w:ind w:firstLine="480"/>
        <w:spacing w:line="460" w:lineRule="exact"/>
      </w:pPr>
      <w:r>
        <w:t xml:space="preserve">1</w:t>
      </w:r>
      <w:r>
        <w:rPr>
          <w:rFonts w:hint="eastAsia"/>
        </w:rPr>
        <w:t xml:space="preserve">、在“信用中国”网站被列入失信被执行人和重大税收违法案件当事人名单；</w:t>
      </w:r>
      <w:r/>
    </w:p>
    <w:p>
      <w:pPr>
        <w:pStyle w:val="750"/>
        <w:ind w:firstLine="480"/>
        <w:spacing w:line="460" w:lineRule="exact"/>
      </w:pPr>
      <w:r>
        <w:t xml:space="preserve">2</w:t>
      </w:r>
      <w:r>
        <w:rPr>
          <w:rFonts w:hint="eastAsia"/>
        </w:rPr>
        <w:t xml:space="preserve">、在“中国政府采购网”网站被列入政府采购严重违法失信行为记录名单；</w:t>
      </w:r>
      <w:r/>
    </w:p>
    <w:p>
      <w:pPr>
        <w:pStyle w:val="750"/>
        <w:ind w:firstLine="480"/>
        <w:spacing w:line="460" w:lineRule="exact"/>
      </w:pPr>
      <w:r>
        <w:t xml:space="preserve">3</w:t>
      </w:r>
      <w:r>
        <w:rPr>
          <w:rFonts w:hint="eastAsia"/>
        </w:rPr>
        <w:t xml:space="preserve">、</w:t>
      </w:r>
      <w:r>
        <w:t xml:space="preserve">不符合《政府采购法》第二十二条规定的条件。</w:t>
      </w:r>
      <w:r/>
    </w:p>
    <w:p>
      <w:pPr>
        <w:pStyle w:val="750"/>
        <w:ind w:firstLine="480"/>
        <w:spacing w:line="460" w:lineRule="exact"/>
      </w:pPr>
      <w:r/>
      <w:r/>
    </w:p>
    <w:p>
      <w:pPr>
        <w:pStyle w:val="75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0"/>
        <w:ind w:firstLine="480"/>
        <w:spacing w:line="460" w:lineRule="exact"/>
      </w:pPr>
      <w:r/>
      <w:r/>
    </w:p>
    <w:p>
      <w:pPr>
        <w:pStyle w:val="750"/>
        <w:ind w:firstLine="480"/>
        <w:spacing w:line="460" w:lineRule="exact"/>
      </w:pPr>
      <w:r/>
      <w:r/>
    </w:p>
    <w:p>
      <w:pPr>
        <w:pStyle w:val="750"/>
        <w:ind w:firstLine="480"/>
        <w:spacing w:line="460" w:lineRule="exact"/>
      </w:pPr>
      <w:r>
        <w:rPr>
          <w:rFonts w:hint="eastAsia"/>
        </w:rPr>
        <w:t xml:space="preserve">                                            投标人：（加盖公章）</w:t>
      </w:r>
      <w:r/>
    </w:p>
    <w:p>
      <w:pPr>
        <w:pStyle w:val="750"/>
        <w:ind w:firstLine="480"/>
        <w:spacing w:line="460" w:lineRule="exact"/>
      </w:pPr>
      <w:r>
        <w:rPr>
          <w:rFonts w:hint="eastAsia"/>
        </w:rPr>
        <w:t xml:space="preserve">                                           法定代表人（或单位负责人）签字或盖章：</w:t>
      </w:r>
      <w:r/>
    </w:p>
    <w:p>
      <w:pPr>
        <w:pStyle w:val="750"/>
        <w:ind w:firstLine="4305"/>
        <w:spacing w:line="460" w:lineRule="exact"/>
        <w:rPr>
          <w:rFonts w:hint="eastAsia"/>
        </w:rPr>
      </w:pPr>
      <w:r>
        <w:rPr>
          <w:rFonts w:hint="eastAsia"/>
        </w:rPr>
        <w:t xml:space="preserve">日期：    年    月    日</w:t>
      </w:r>
      <w:r>
        <w:rPr>
          <w:rFonts w:hint="eastAsia"/>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rFonts w:hint="eastAsia"/>
          <w:sz w:val="24"/>
        </w:rPr>
      </w:pPr>
      <w:r>
        <w:rPr>
          <w:rFonts w:hint="eastAsia"/>
          <w:sz w:val="24"/>
        </w:rPr>
      </w:r>
      <w:r/>
    </w:p>
    <w:p>
      <w:pPr>
        <w:pStyle w:val="70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0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9"/>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9"/>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9"/>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9"/>
        <w:ind w:firstLine="480"/>
        <w:tabs>
          <w:tab w:val="left" w:pos="360" w:leader="none"/>
        </w:tabs>
        <w:rPr>
          <w:rFonts w:hint="eastAsia"/>
          <w:sz w:val="24"/>
          <w:szCs w:val="24"/>
        </w:rPr>
      </w:pPr>
      <w:r>
        <w:rPr>
          <w:rFonts w:hint="eastAsia"/>
          <w:sz w:val="24"/>
          <w:szCs w:val="24"/>
        </w:rPr>
        <w:t xml:space="preserve">      日期：</w:t>
      </w:r>
      <w:bookmarkStart w:id="254" w:name="_Hlt26955070"/>
      <w:r/>
      <w:bookmarkEnd w:id="254"/>
      <w:r/>
      <w:bookmarkStart w:id="255" w:name="_格式3__银行出具的资信证明"/>
      <w:r/>
      <w:bookmarkEnd w:id="255"/>
      <w:r/>
      <w:bookmarkStart w:id="256" w:name="_Hlt26671380"/>
      <w:r/>
      <w:bookmarkEnd w:id="256"/>
      <w:r>
        <w:rPr>
          <w:rFonts w:hint="eastAsia"/>
          <w:sz w:val="24"/>
          <w:szCs w:val="24"/>
          <w:u w:val="single"/>
        </w:rPr>
        <w:t xml:space="preserve">                                         </w:t>
      </w:r>
      <w:r>
        <w:rPr>
          <w:rFonts w:hint="eastAsia"/>
          <w:sz w:val="24"/>
          <w:szCs w:val="24"/>
        </w:rPr>
      </w:r>
      <w:r/>
    </w:p>
    <w:p>
      <w:pPr>
        <w:pStyle w:val="750"/>
        <w:rPr>
          <w:rFonts w:hint="eastAsia"/>
          <w:i/>
          <w:sz w:val="24"/>
          <w:szCs w:val="24"/>
          <w:u w:val="single"/>
        </w:rPr>
      </w:pPr>
      <w:r>
        <w:rPr>
          <w:rFonts w:hint="eastAsia"/>
          <w:i/>
          <w:sz w:val="24"/>
          <w:szCs w:val="24"/>
          <w:u w:val="single"/>
        </w:rPr>
      </w:r>
      <w:r/>
    </w:p>
    <w:p>
      <w:pPr>
        <w:pStyle w:val="750"/>
        <w:ind w:firstLine="0"/>
        <w:rPr>
          <w:rFonts w:hint="eastAsia"/>
        </w:rPr>
      </w:pPr>
      <w:r>
        <w:rPr>
          <w:rFonts w:hint="eastAsia"/>
        </w:rPr>
      </w:r>
      <w:r/>
    </w:p>
    <w:p>
      <w:pPr>
        <w:pStyle w:val="700"/>
        <w:spacing w:line="460" w:lineRule="exact"/>
        <w:rPr>
          <w:rFonts w:hint="eastAsia" w:ascii="楷体" w:hAnsi="楷体" w:eastAsia="楷体"/>
          <w:bCs/>
          <w:sz w:val="24"/>
          <w:szCs w:val="24"/>
        </w:rPr>
      </w:pPr>
      <w:r>
        <w:rPr>
          <w:rFonts w:hint="eastAsia" w:ascii="楷体" w:hAnsi="楷体" w:eastAsia="楷体"/>
          <w:bCs/>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1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14"/>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ind w:firstLine="240"/>
        <w:jc w:val="center"/>
        <w:spacing w:line="560" w:lineRule="exact"/>
        <w:rPr>
          <w:rFonts w:hint="eastAsia" w:ascii="宋体" w:hAnsi="宋体"/>
          <w:bCs/>
          <w:sz w:val="24"/>
        </w:rPr>
      </w:pPr>
      <w:r>
        <w:rPr>
          <w:rFonts w:hint="eastAsia" w:ascii="宋体" w:hAnsi="宋体"/>
          <w:bCs/>
          <w:sz w:val="24"/>
        </w:rPr>
      </w:r>
      <w:r/>
    </w:p>
    <w:p>
      <w:pPr>
        <w:pStyle w:val="700"/>
        <w:jc w:val="center"/>
        <w:spacing w:line="460" w:lineRule="exact"/>
        <w:rPr>
          <w:rFonts w:ascii="黑体" w:hAnsi="黑体" w:eastAsia="黑体"/>
          <w:b/>
          <w:sz w:val="32"/>
          <w:szCs w:val="32"/>
        </w:rPr>
      </w:pPr>
      <w:r>
        <w:rPr>
          <w:rFonts w:ascii="黑体" w:hAnsi="黑体" w:eastAsia="黑体"/>
          <w:b/>
          <w:sz w:val="32"/>
          <w:szCs w:val="32"/>
        </w:rPr>
      </w:r>
      <w:r/>
    </w:p>
    <w:p>
      <w:pPr>
        <w:pStyle w:val="70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0"/>
        <w:ind w:right="720"/>
        <w:spacing w:line="560" w:lineRule="exact"/>
        <w:rPr>
          <w:rFonts w:hint="eastAsia" w:ascii="宋体" w:hAnsi="宋体"/>
          <w:sz w:val="24"/>
          <w:szCs w:val="24"/>
        </w:rPr>
      </w:pPr>
      <w:r>
        <w:rPr>
          <w:rFonts w:hint="eastAsia" w:ascii="宋体" w:hAnsi="宋体"/>
          <w:sz w:val="24"/>
          <w:szCs w:val="24"/>
        </w:rPr>
      </w:r>
      <w:r/>
    </w:p>
    <w:p>
      <w:pPr>
        <w:pStyle w:val="70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0"/>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0"/>
        <w:ind w:firstLine="240"/>
        <w:spacing w:line="560" w:lineRule="exact"/>
        <w:rPr>
          <w:rFonts w:hint="eastAsia" w:ascii="宋体" w:hAnsi="宋体"/>
          <w:sz w:val="24"/>
          <w:szCs w:val="24"/>
        </w:rPr>
      </w:pP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0"/>
        <w:ind w:firstLine="480"/>
        <w:spacing w:line="588" w:lineRule="exact"/>
        <w:rPr>
          <w:rFonts w:hint="eastAsia" w:ascii="宋体" w:hAnsi="宋体"/>
          <w:sz w:val="24"/>
        </w:rPr>
      </w:pPr>
      <w:r>
        <w:rPr>
          <w:rFonts w:hint="eastAsia" w:ascii="宋体" w:hAnsi="宋体"/>
          <w:sz w:val="24"/>
        </w:rPr>
      </w:r>
      <w:r/>
    </w:p>
    <w:p>
      <w:pPr>
        <w:pStyle w:val="70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0"/>
        <w:ind w:firstLine="645"/>
        <w:spacing w:line="560" w:lineRule="exact"/>
        <w:rPr>
          <w:rFonts w:hint="eastAsia" w:ascii="宋体" w:hAnsi="宋体"/>
          <w:sz w:val="24"/>
        </w:rPr>
      </w:pPr>
      <w:r>
        <w:rPr>
          <w:rFonts w:hint="eastAsia" w:ascii="宋体" w:hAnsi="宋体"/>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rPr>
          <w:rFonts w:hint="eastAsia"/>
        </w:rPr>
      </w:pPr>
      <w:r>
        <w:rPr>
          <w:rFonts w:hint="eastAsia"/>
        </w:rPr>
      </w:r>
      <w:r/>
    </w:p>
    <w:p>
      <w:pPr>
        <w:pStyle w:val="70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3794"/>
        <w:gridCol w:w="1500"/>
        <w:gridCol w:w="2610"/>
      </w:tblGrid>
      <w:tr>
        <w:trPr>
          <w:cantSplit/>
          <w:trHeight w:val="659"/>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79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1500" w:type="dxa"/>
            <w:vAlign w:val="center"/>
            <w:textDirection w:val="lrTb"/>
            <w:noWrap w:val="false"/>
          </w:tcPr>
          <w:p>
            <w:pPr>
              <w:pStyle w:val="700"/>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投标折扣（%）</w:t>
            </w:r>
            <w:r>
              <w:rPr>
                <w:rFonts w:hint="eastAsia" w:ascii="宋体" w:hAnsi="宋体" w:eastAsia="宋体"/>
                <w:sz w:val="24"/>
                <w:szCs w:val="24"/>
                <w:lang w:eastAsia="zh-CN"/>
              </w:rPr>
            </w:r>
            <w:r/>
          </w:p>
        </w:tc>
        <w:tc>
          <w:tcPr>
            <w:tcW w:w="2610"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lang w:val="en-US" w:eastAsia="zh-CN"/>
              </w:rPr>
              <w:t xml:space="preserve">备注</w:t>
            </w: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79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eastAsia="宋体" w:cs="宋体"/>
                <w:color w:val="1a1a1a"/>
                <w:sz w:val="24"/>
                <w:szCs w:val="24"/>
              </w:rPr>
              <w:t xml:space="preserve">92#车</w:t>
            </w:r>
            <w:r>
              <w:rPr>
                <w:rFonts w:hint="eastAsia" w:ascii="宋体" w:hAnsi="宋体" w:eastAsia="宋体" w:cs="宋体"/>
                <w:color w:val="1a1a1a"/>
                <w:sz w:val="24"/>
                <w:szCs w:val="24"/>
                <w:highlight w:val="none"/>
              </w:rPr>
              <w:t xml:space="preserve">用汽油（VIA）</w:t>
            </w:r>
            <w:r>
              <w:rPr>
                <w:rFonts w:ascii="宋体" w:hAnsi="宋体"/>
                <w:sz w:val="24"/>
                <w:szCs w:val="24"/>
              </w:rPr>
            </w:r>
            <w:r/>
          </w:p>
        </w:tc>
        <w:tc>
          <w:tcPr>
            <w:tcW w:w="1500"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79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eastAsia="宋体" w:cs="宋体"/>
                <w:color w:val="1a1a1a"/>
                <w:sz w:val="24"/>
                <w:szCs w:val="24"/>
                <w:highlight w:val="none"/>
              </w:rPr>
              <w:t xml:space="preserve">0#车用柴油（VI）</w:t>
            </w:r>
            <w:r>
              <w:rPr>
                <w:rFonts w:hint="eastAsia" w:ascii="宋体" w:hAnsi="宋体" w:cs="宋体"/>
                <w:color w:val="1a1a1a"/>
                <w:sz w:val="24"/>
                <w:szCs w:val="24"/>
                <w:highlight w:val="none"/>
                <w:lang w:eastAsia="zh-CN"/>
              </w:rPr>
              <w:t xml:space="preserve">、</w:t>
            </w:r>
            <w:r>
              <w:rPr>
                <w:rFonts w:hint="eastAsia" w:ascii="宋体" w:hAnsi="宋体" w:eastAsia="宋体" w:cs="宋体"/>
                <w:color w:val="1a1a1a"/>
                <w:sz w:val="24"/>
                <w:szCs w:val="24"/>
                <w:highlight w:val="none"/>
              </w:rPr>
              <w:t xml:space="preserve">-10#车用柴油</w:t>
            </w:r>
            <w:r>
              <w:rPr>
                <w:rFonts w:ascii="宋体" w:hAnsi="宋体"/>
                <w:sz w:val="24"/>
                <w:szCs w:val="24"/>
              </w:rPr>
            </w:r>
            <w:r/>
          </w:p>
        </w:tc>
        <w:tc>
          <w:tcPr>
            <w:tcW w:w="1500"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794" w:type="dxa"/>
            <w:vAlign w:val="center"/>
            <w:textDirection w:val="lrTb"/>
            <w:noWrap w:val="false"/>
          </w:tcPr>
          <w:p>
            <w:pPr>
              <w:pStyle w:val="700"/>
              <w:jc w:val="center"/>
              <w:spacing w:line="0" w:lineRule="atLeast"/>
              <w:rPr>
                <w:rFonts w:ascii="宋体" w:hAnsi="宋体"/>
                <w:sz w:val="24"/>
                <w:szCs w:val="24"/>
              </w:rPr>
            </w:pPr>
            <w:r>
              <w:rPr>
                <w:rFonts w:hint="eastAsia" w:ascii="宋体" w:hAnsi="宋体" w:eastAsia="宋体" w:cs="宋体"/>
                <w:color w:val="1a1a1a"/>
                <w:sz w:val="24"/>
                <w:szCs w:val="24"/>
                <w:highlight w:val="none"/>
              </w:rPr>
              <w:t xml:space="preserve">尾气处理液</w:t>
            </w:r>
            <w:r>
              <w:rPr>
                <w:rFonts w:ascii="宋体" w:hAnsi="宋体"/>
                <w:sz w:val="24"/>
                <w:szCs w:val="24"/>
              </w:rPr>
            </w:r>
            <w:r/>
          </w:p>
        </w:tc>
        <w:tc>
          <w:tcPr>
            <w:tcW w:w="1500" w:type="dxa"/>
            <w:vAlign w:val="center"/>
            <w:textDirection w:val="lrTb"/>
            <w:noWrap w:val="false"/>
          </w:tcPr>
          <w:p>
            <w:pPr>
              <w:pStyle w:val="700"/>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0"/>
              <w:jc w:val="center"/>
              <w:spacing w:line="0" w:lineRule="atLeast"/>
              <w:rPr>
                <w:rFonts w:ascii="宋体" w:hAnsi="宋体"/>
                <w:sz w:val="24"/>
                <w:szCs w:val="24"/>
              </w:rPr>
            </w:pPr>
            <w:r>
              <w:rPr>
                <w:rFonts w:hint="eastAsia" w:ascii="宋体" w:hAnsi="宋体"/>
                <w:sz w:val="24"/>
                <w:szCs w:val="24"/>
              </w:rPr>
              <w:t xml:space="preserve">最高限价：52元/桶/10KG</w:t>
            </w:r>
            <w:r>
              <w:rPr>
                <w:rFonts w:ascii="宋体" w:hAnsi="宋体"/>
                <w:sz w:val="24"/>
                <w:szCs w:val="24"/>
              </w:rPr>
            </w:r>
            <w:r/>
          </w:p>
        </w:tc>
      </w:tr>
      <w:tr>
        <w:trPr>
          <w:cantSplit/>
          <w:trHeight w:val="734"/>
        </w:trPr>
        <w:tc>
          <w:tcPr>
            <w:gridSpan w:val="2"/>
            <w:tcW w:w="4742" w:type="dxa"/>
            <w:vAlign w:val="center"/>
            <w:textDirection w:val="lrTb"/>
            <w:noWrap w:val="false"/>
          </w:tcPr>
          <w:p>
            <w:pPr>
              <w:pStyle w:val="700"/>
              <w:jc w:val="center"/>
              <w:spacing w:line="0" w:lineRule="atLeast"/>
              <w:rPr>
                <w:rFonts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lang w:val="en-US" w:eastAsia="zh-CN"/>
              </w:rPr>
              <w:t xml:space="preserve">综合折扣</w:t>
            </w:r>
            <w:r>
              <w:rPr>
                <w:rFonts w:hint="eastAsia" w:ascii="宋体" w:hAnsi="宋体"/>
                <w:b/>
                <w:bCs/>
                <w:sz w:val="24"/>
                <w:szCs w:val="24"/>
              </w:rPr>
              <w:t xml:space="preserve">（</w:t>
            </w:r>
            <w:r>
              <w:rPr>
                <w:rFonts w:hint="eastAsia" w:ascii="宋体" w:hAnsi="宋体"/>
                <w:b/>
                <w:bCs/>
                <w:sz w:val="24"/>
                <w:szCs w:val="24"/>
                <w:lang w:val="en-US" w:eastAsia="zh-CN"/>
              </w:rPr>
              <w:t xml:space="preserve">%</w:t>
            </w:r>
            <w:r>
              <w:rPr>
                <w:rFonts w:hint="eastAsia" w:ascii="宋体" w:hAnsi="宋体"/>
                <w:b/>
                <w:bCs/>
                <w:sz w:val="24"/>
                <w:szCs w:val="24"/>
              </w:rPr>
              <w:t xml:space="preserve">）</w:t>
            </w:r>
            <w:r>
              <w:rPr>
                <w:rFonts w:ascii="宋体" w:hAnsi="宋体"/>
                <w:b/>
                <w:bCs/>
                <w:sz w:val="24"/>
                <w:szCs w:val="24"/>
              </w:rPr>
            </w:r>
            <w:r/>
          </w:p>
        </w:tc>
        <w:tc>
          <w:tcPr>
            <w:tcW w:w="1500" w:type="dxa"/>
            <w:vAlign w:val="center"/>
            <w:textDirection w:val="lrTb"/>
            <w:noWrap w:val="false"/>
          </w:tcPr>
          <w:p>
            <w:pPr>
              <w:pStyle w:val="700"/>
              <w:jc w:val="center"/>
              <w:spacing w:line="0" w:lineRule="atLeast"/>
              <w:rPr>
                <w:rFonts w:hint="eastAsia" w:ascii="宋体" w:hAnsi="宋体"/>
                <w:b/>
                <w:bCs/>
                <w:sz w:val="24"/>
                <w:szCs w:val="24"/>
              </w:rPr>
            </w:pPr>
            <w:r>
              <w:rPr>
                <w:rFonts w:hint="eastAsia" w:ascii="宋体" w:hAnsi="宋体"/>
                <w:b/>
                <w:bCs/>
                <w:sz w:val="24"/>
                <w:szCs w:val="24"/>
              </w:rPr>
            </w:r>
            <w:r/>
          </w:p>
        </w:tc>
        <w:tc>
          <w:tcPr>
            <w:tcW w:w="2610" w:type="dxa"/>
            <w:vAlign w:val="center"/>
            <w:textDirection w:val="lrTb"/>
            <w:noWrap w:val="false"/>
          </w:tcPr>
          <w:p>
            <w:pPr>
              <w:pStyle w:val="700"/>
              <w:jc w:val="center"/>
              <w:spacing w:line="0" w:lineRule="atLeast"/>
              <w:rPr>
                <w:rFonts w:ascii="宋体" w:hAnsi="宋体"/>
                <w:b/>
                <w:bCs/>
                <w:sz w:val="24"/>
                <w:szCs w:val="24"/>
                <w:lang w:val="en-US"/>
              </w:rPr>
            </w:pPr>
            <w:r>
              <w:rPr>
                <w:rFonts w:hint="eastAsia" w:ascii="宋体" w:hAnsi="宋体" w:eastAsia="宋体" w:cs="宋体"/>
                <w:b/>
                <w:bCs/>
                <w:color w:val="1a1a1a"/>
                <w:sz w:val="24"/>
                <w:szCs w:val="24"/>
              </w:rPr>
              <w:t xml:space="preserve">92#车</w:t>
            </w:r>
            <w:r>
              <w:rPr>
                <w:rFonts w:hint="eastAsia" w:ascii="宋体" w:hAnsi="宋体" w:eastAsia="宋体" w:cs="宋体"/>
                <w:b/>
                <w:bCs/>
                <w:color w:val="1a1a1a"/>
                <w:sz w:val="24"/>
                <w:szCs w:val="24"/>
                <w:highlight w:val="none"/>
              </w:rPr>
              <w:t xml:space="preserve">用汽油（VIA）</w:t>
            </w:r>
            <w:r>
              <w:rPr>
                <w:rFonts w:hint="eastAsia" w:ascii="宋体" w:hAnsi="宋体"/>
                <w:b/>
                <w:bCs/>
                <w:sz w:val="24"/>
                <w:szCs w:val="24"/>
                <w:lang w:val="en-US" w:eastAsia="zh-CN"/>
              </w:rPr>
              <w:t xml:space="preserve">投标折扣*20%+</w:t>
            </w:r>
            <w:r>
              <w:rPr>
                <w:rFonts w:hint="eastAsia" w:ascii="宋体" w:hAnsi="宋体" w:eastAsia="宋体" w:cs="宋体"/>
                <w:b/>
                <w:bCs/>
                <w:color w:val="1a1a1a"/>
                <w:sz w:val="24"/>
                <w:szCs w:val="24"/>
                <w:highlight w:val="none"/>
              </w:rPr>
              <w:t xml:space="preserve">0#车用柴油（VI）</w:t>
            </w:r>
            <w:r>
              <w:rPr>
                <w:rFonts w:hint="eastAsia" w:ascii="宋体" w:hAnsi="宋体" w:cs="宋体"/>
                <w:b/>
                <w:bCs/>
                <w:color w:val="1a1a1a"/>
                <w:sz w:val="24"/>
                <w:szCs w:val="24"/>
                <w:highlight w:val="none"/>
                <w:lang w:eastAsia="zh-CN"/>
              </w:rPr>
              <w:t xml:space="preserve">、</w:t>
            </w:r>
            <w:r>
              <w:rPr>
                <w:rFonts w:hint="eastAsia" w:ascii="宋体" w:hAnsi="宋体" w:eastAsia="宋体" w:cs="宋体"/>
                <w:b/>
                <w:bCs/>
                <w:color w:val="1a1a1a"/>
                <w:sz w:val="24"/>
                <w:szCs w:val="24"/>
                <w:highlight w:val="none"/>
              </w:rPr>
              <w:t xml:space="preserve">-10#车用柴油</w:t>
            </w:r>
            <w:r>
              <w:rPr>
                <w:rFonts w:hint="eastAsia" w:ascii="宋体" w:hAnsi="宋体"/>
                <w:b/>
                <w:bCs/>
                <w:sz w:val="24"/>
                <w:szCs w:val="24"/>
                <w:lang w:val="en-US" w:eastAsia="zh-CN"/>
              </w:rPr>
              <w:t xml:space="preserve">投标折扣*60%+</w:t>
            </w:r>
            <w:r>
              <w:rPr>
                <w:rFonts w:hint="eastAsia" w:ascii="宋体" w:hAnsi="宋体" w:eastAsia="宋体" w:cs="宋体"/>
                <w:b/>
                <w:bCs/>
                <w:color w:val="1a1a1a"/>
                <w:sz w:val="24"/>
                <w:szCs w:val="24"/>
                <w:highlight w:val="none"/>
              </w:rPr>
              <w:t xml:space="preserve">尾气处理液</w:t>
            </w:r>
            <w:r>
              <w:rPr>
                <w:rFonts w:hint="eastAsia" w:ascii="宋体" w:hAnsi="宋体"/>
                <w:b/>
                <w:bCs/>
                <w:sz w:val="24"/>
                <w:szCs w:val="24"/>
                <w:lang w:val="en-US" w:eastAsia="zh-CN"/>
              </w:rPr>
              <w:t xml:space="preserve">投标折扣*20&amp;</w:t>
            </w:r>
            <w:r>
              <w:rPr>
                <w:rFonts w:ascii="宋体" w:hAnsi="宋体"/>
                <w:b/>
                <w:bCs/>
                <w:sz w:val="24"/>
                <w:szCs w:val="24"/>
                <w:lang w:val="en-US"/>
              </w:rPr>
            </w:r>
            <w:r/>
          </w:p>
        </w:tc>
      </w:tr>
      <w:tr>
        <w:trPr>
          <w:cantSplit/>
          <w:trHeight w:val="734"/>
        </w:trPr>
        <w:tc>
          <w:tcPr>
            <w:gridSpan w:val="2"/>
            <w:tcW w:w="4742" w:type="dxa"/>
            <w:vAlign w:val="center"/>
            <w:textDirection w:val="lrTb"/>
            <w:noWrap w:val="false"/>
          </w:tcPr>
          <w:p>
            <w:pPr>
              <w:pStyle w:val="700"/>
              <w:jc w:val="center"/>
              <w:spacing w:line="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投标优惠率</w:t>
            </w:r>
            <w:r>
              <w:rPr>
                <w:rFonts w:hint="eastAsia" w:ascii="宋体" w:hAnsi="宋体"/>
                <w:b/>
                <w:bCs/>
                <w:sz w:val="24"/>
                <w:szCs w:val="24"/>
              </w:rPr>
              <w:t xml:space="preserve">（</w:t>
            </w:r>
            <w:r>
              <w:rPr>
                <w:rFonts w:hint="eastAsia" w:ascii="宋体" w:hAnsi="宋体"/>
                <w:b/>
                <w:bCs/>
                <w:sz w:val="24"/>
                <w:szCs w:val="24"/>
                <w:lang w:val="en-US" w:eastAsia="zh-CN"/>
              </w:rPr>
              <w:t xml:space="preserve">%</w:t>
            </w:r>
            <w:r>
              <w:rPr>
                <w:rFonts w:hint="eastAsia" w:ascii="宋体" w:hAnsi="宋体"/>
                <w:b/>
                <w:bCs/>
                <w:sz w:val="24"/>
                <w:szCs w:val="24"/>
              </w:rPr>
              <w:t xml:space="preserve">）</w:t>
            </w:r>
            <w:r>
              <w:rPr>
                <w:rFonts w:ascii="宋体" w:hAnsi="宋体" w:eastAsia="宋体"/>
                <w:b/>
                <w:bCs/>
                <w:sz w:val="24"/>
                <w:szCs w:val="24"/>
                <w:lang w:val="en-US" w:eastAsia="zh-CN"/>
              </w:rPr>
            </w:r>
            <w:r/>
          </w:p>
        </w:tc>
        <w:tc>
          <w:tcPr>
            <w:tcW w:w="1500" w:type="dxa"/>
            <w:vAlign w:val="center"/>
            <w:textDirection w:val="lrTb"/>
            <w:noWrap w:val="false"/>
          </w:tcPr>
          <w:p>
            <w:pPr>
              <w:pStyle w:val="700"/>
              <w:jc w:val="center"/>
              <w:spacing w:line="0" w:lineRule="atLeast"/>
              <w:rPr>
                <w:rFonts w:hint="eastAsia" w:ascii="宋体" w:hAnsi="宋体"/>
                <w:b/>
                <w:bCs/>
                <w:sz w:val="24"/>
                <w:szCs w:val="24"/>
              </w:rPr>
            </w:pPr>
            <w:r>
              <w:rPr>
                <w:rFonts w:hint="eastAsia" w:ascii="宋体" w:hAnsi="宋体"/>
                <w:b/>
                <w:bCs/>
                <w:sz w:val="24"/>
                <w:szCs w:val="24"/>
              </w:rPr>
            </w:r>
            <w:r/>
          </w:p>
        </w:tc>
        <w:tc>
          <w:tcPr>
            <w:tcW w:w="2610" w:type="dxa"/>
            <w:vAlign w:val="center"/>
            <w:textDirection w:val="lrTb"/>
            <w:noWrap w:val="false"/>
          </w:tcPr>
          <w:p>
            <w:pPr>
              <w:pStyle w:val="700"/>
              <w:jc w:val="center"/>
              <w:spacing w:line="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100%-</w:t>
            </w:r>
            <w:r>
              <w:rPr>
                <w:rFonts w:hint="eastAsia" w:ascii="宋体" w:hAnsi="宋体"/>
                <w:b/>
                <w:bCs/>
                <w:sz w:val="24"/>
                <w:szCs w:val="24"/>
              </w:rPr>
              <w:t xml:space="preserve">投标</w:t>
            </w:r>
            <w:r>
              <w:rPr>
                <w:rFonts w:hint="eastAsia" w:ascii="宋体" w:hAnsi="宋体"/>
                <w:b/>
                <w:bCs/>
                <w:sz w:val="24"/>
                <w:szCs w:val="24"/>
                <w:lang w:val="en-US" w:eastAsia="zh-CN"/>
              </w:rPr>
              <w:t xml:space="preserve">综合折扣</w:t>
            </w:r>
            <w:r>
              <w:rPr>
                <w:rFonts w:ascii="宋体" w:hAnsi="宋体" w:eastAsia="宋体"/>
                <w:b/>
                <w:bCs/>
                <w:sz w:val="24"/>
                <w:szCs w:val="24"/>
                <w:lang w:val="en-US" w:eastAsia="zh-CN"/>
              </w:rPr>
            </w:r>
            <w:r/>
          </w:p>
        </w:tc>
      </w:tr>
    </w:tbl>
    <w:p>
      <w:pPr>
        <w:pStyle w:val="70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00"/>
        <w:rPr>
          <w:rFonts w:hint="eastAsia" w:ascii="宋体" w:hAnsi="宋体"/>
          <w:sz w:val="24"/>
          <w:szCs w:val="24"/>
          <w:u w:val="single"/>
        </w:rPr>
      </w:pPr>
      <w:r>
        <w:rPr>
          <w:rFonts w:hint="eastAsia" w:ascii="宋体" w:hAnsi="宋体"/>
          <w:sz w:val="24"/>
          <w:szCs w:val="24"/>
          <w:u w:val="single"/>
        </w:rPr>
      </w:r>
      <w:r/>
    </w:p>
    <w:p>
      <w:pPr>
        <w:pStyle w:val="700"/>
        <w:rPr>
          <w:rFonts w:hint="eastAsia" w:ascii="宋体" w:hAnsi="宋体"/>
          <w:sz w:val="24"/>
          <w:szCs w:val="24"/>
        </w:rPr>
      </w:pPr>
      <w:r>
        <w:rPr>
          <w:rFonts w:hint="eastAsia" w:ascii="宋体" w:hAnsi="宋体"/>
          <w:sz w:val="24"/>
          <w:szCs w:val="24"/>
        </w:rPr>
        <w:t xml:space="preserve">备注：1.投标报价采用</w:t>
      </w:r>
      <w:r>
        <w:rPr>
          <w:rFonts w:hint="eastAsia" w:ascii="宋体" w:hAnsi="宋体"/>
          <w:sz w:val="24"/>
          <w:szCs w:val="24"/>
          <w:lang w:val="en-US" w:eastAsia="zh-CN"/>
        </w:rPr>
        <w:t xml:space="preserve">固定折扣</w:t>
      </w:r>
      <w:r>
        <w:rPr>
          <w:rFonts w:hint="eastAsia" w:ascii="宋体" w:hAnsi="宋体"/>
          <w:sz w:val="24"/>
          <w:szCs w:val="24"/>
        </w:rPr>
        <w:t xml:space="preserve">，“投标折扣”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r>
      <w:r/>
    </w:p>
    <w:p>
      <w:pPr>
        <w:pStyle w:val="700"/>
        <w:numPr>
          <w:ilvl w:val="0"/>
          <w:numId w:val="7"/>
        </w:numPr>
        <w:rPr>
          <w:rFonts w:hint="eastAsia" w:ascii="宋体" w:hAnsi="宋体"/>
          <w:sz w:val="24"/>
          <w:szCs w:val="24"/>
        </w:rPr>
      </w:pPr>
      <w:r>
        <w:rPr>
          <w:rFonts w:hint="eastAsia" w:ascii="宋体" w:hAnsi="宋体"/>
          <w:sz w:val="24"/>
          <w:szCs w:val="24"/>
        </w:rPr>
        <w:t xml:space="preserve">“投标分项报价表”中“投标优惠率”数额应当与“开标一览表”中“投标优惠率”数额一致。</w:t>
      </w:r>
      <w:r>
        <w:rPr>
          <w:rFonts w:hint="eastAsia" w:ascii="宋体" w:hAnsi="宋体"/>
          <w:sz w:val="24"/>
          <w:szCs w:val="24"/>
        </w:rPr>
      </w:r>
      <w:r/>
    </w:p>
    <w:p>
      <w:pPr>
        <w:pStyle w:val="700"/>
        <w:numPr>
          <w:ilvl w:val="0"/>
          <w:numId w:val="7"/>
        </w:numPr>
        <w:rPr>
          <w:rFonts w:hint="eastAsia" w:ascii="宋体" w:hAnsi="宋体"/>
          <w:sz w:val="24"/>
          <w:szCs w:val="24"/>
        </w:rPr>
      </w:pPr>
      <w:r>
        <w:rPr>
          <w:rFonts w:hint="eastAsia" w:ascii="宋体" w:hAnsi="宋体"/>
          <w:sz w:val="24"/>
          <w:szCs w:val="24"/>
          <w:lang w:val="en-US" w:eastAsia="zh-CN"/>
        </w:rPr>
        <w:t xml:space="preserve">举例：“</w:t>
      </w:r>
      <w:r>
        <w:rPr>
          <w:rFonts w:hint="eastAsia" w:ascii="宋体" w:hAnsi="宋体" w:eastAsia="宋体" w:cs="宋体"/>
          <w:color w:val="1a1a1a"/>
          <w:sz w:val="24"/>
          <w:szCs w:val="24"/>
        </w:rPr>
        <w:t xml:space="preserve">92#车</w:t>
      </w:r>
      <w:r>
        <w:rPr>
          <w:rFonts w:hint="eastAsia" w:ascii="宋体" w:hAnsi="宋体" w:eastAsia="宋体" w:cs="宋体"/>
          <w:color w:val="1a1a1a"/>
          <w:sz w:val="24"/>
          <w:szCs w:val="24"/>
          <w:highlight w:val="none"/>
        </w:rPr>
        <w:t xml:space="preserve">用汽油（VIA）</w:t>
      </w:r>
      <w:r>
        <w:rPr>
          <w:rFonts w:hint="eastAsia" w:ascii="宋体" w:hAnsi="宋体"/>
          <w:sz w:val="24"/>
          <w:szCs w:val="24"/>
          <w:lang w:val="en-US" w:eastAsia="zh-CN"/>
        </w:rPr>
        <w:t xml:space="preserve">”投标折扣为95%、“</w:t>
      </w:r>
      <w:r>
        <w:rPr>
          <w:rFonts w:hint="eastAsia" w:ascii="宋体" w:hAnsi="宋体" w:eastAsia="宋体" w:cs="宋体"/>
          <w:color w:val="1a1a1a"/>
          <w:sz w:val="24"/>
          <w:szCs w:val="24"/>
          <w:highlight w:val="none"/>
        </w:rPr>
        <w:t xml:space="preserve">0#车用柴油（VI）</w:t>
      </w:r>
      <w:r>
        <w:rPr>
          <w:rFonts w:hint="eastAsia" w:ascii="宋体" w:hAnsi="宋体" w:cs="宋体"/>
          <w:color w:val="1a1a1a"/>
          <w:sz w:val="24"/>
          <w:szCs w:val="24"/>
          <w:highlight w:val="none"/>
          <w:lang w:eastAsia="zh-CN"/>
        </w:rPr>
        <w:t xml:space="preserve">、</w:t>
      </w:r>
      <w:r>
        <w:rPr>
          <w:rFonts w:hint="eastAsia" w:ascii="宋体" w:hAnsi="宋体" w:eastAsia="宋体" w:cs="宋体"/>
          <w:color w:val="1a1a1a"/>
          <w:sz w:val="24"/>
          <w:szCs w:val="24"/>
          <w:highlight w:val="none"/>
        </w:rPr>
        <w:t xml:space="preserve">-10#车用柴油</w:t>
      </w:r>
      <w:r>
        <w:rPr>
          <w:rFonts w:hint="eastAsia" w:ascii="宋体" w:hAnsi="宋体"/>
          <w:sz w:val="24"/>
          <w:szCs w:val="24"/>
          <w:lang w:val="en-US" w:eastAsia="zh-CN"/>
        </w:rPr>
        <w:t xml:space="preserve">”投标折扣为90%、“</w:t>
      </w:r>
      <w:r>
        <w:rPr>
          <w:rFonts w:hint="eastAsia" w:ascii="宋体" w:hAnsi="宋体" w:eastAsia="宋体" w:cs="宋体"/>
          <w:color w:val="1a1a1a"/>
          <w:sz w:val="24"/>
          <w:szCs w:val="24"/>
          <w:highlight w:val="none"/>
        </w:rPr>
        <w:t xml:space="preserve">尾气处理液</w:t>
      </w:r>
      <w:r>
        <w:rPr>
          <w:rFonts w:hint="eastAsia" w:ascii="宋体" w:hAnsi="宋体"/>
          <w:sz w:val="24"/>
          <w:szCs w:val="24"/>
          <w:lang w:val="en-US" w:eastAsia="zh-CN"/>
        </w:rPr>
        <w:t xml:space="preserve">”投标折扣为85%，投标综合折扣为：95%*20%+90%*60%+85%*20%=90.00%；</w:t>
      </w:r>
      <w:r>
        <w:rPr>
          <w:rFonts w:hint="eastAsia" w:ascii="宋体" w:hAnsi="宋体"/>
          <w:sz w:val="24"/>
          <w:szCs w:val="24"/>
        </w:rPr>
        <w:t xml:space="preserve">投标优惠率</w:t>
      </w:r>
      <w:r>
        <w:rPr>
          <w:rFonts w:hint="eastAsia" w:ascii="宋体" w:hAnsi="宋体"/>
          <w:sz w:val="24"/>
          <w:szCs w:val="24"/>
          <w:lang w:val="en-US" w:eastAsia="zh-CN"/>
        </w:rPr>
        <w:t xml:space="preserve">为：100%-90.00%=10.00%。</w:t>
      </w:r>
      <w:r>
        <w:rPr>
          <w:rFonts w:hint="eastAsia" w:ascii="宋体" w:hAnsi="宋体"/>
          <w:sz w:val="24"/>
          <w:szCs w:val="24"/>
        </w:rPr>
      </w:r>
      <w:r/>
    </w:p>
    <w:p>
      <w:pPr>
        <w:pStyle w:val="700"/>
        <w:jc w:val="center"/>
        <w:rPr>
          <w:rFonts w:hint="eastAsia" w:ascii="黑体" w:hAnsi="黑体" w:eastAsia="黑体"/>
          <w:b/>
          <w:sz w:val="32"/>
          <w:szCs w:val="32"/>
        </w:rPr>
      </w:pPr>
      <w:r>
        <w:rPr>
          <w:rFonts w:hint="eastAsia" w:ascii="黑体" w:hAnsi="黑体" w:eastAsia="黑体"/>
          <w:b/>
          <w:sz w:val="32"/>
          <w:szCs w:val="32"/>
        </w:rPr>
      </w:r>
      <w:r/>
    </w:p>
    <w:p>
      <w:pPr>
        <w:pStyle w:val="70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jc w:val="center"/>
        <w:rPr>
          <w:rFonts w:hint="eastAsia" w:ascii="黑体" w:hAnsi="Arial" w:eastAsia="黑体"/>
          <w:b/>
          <w:sz w:val="36"/>
        </w:rPr>
      </w:pPr>
      <w:r>
        <w:rPr>
          <w:rFonts w:hint="eastAsia" w:ascii="黑体" w:hAnsi="Arial" w:eastAsia="黑体"/>
          <w:b/>
          <w:sz w:val="36"/>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jc w:val="center"/>
        <w:rPr>
          <w:rFonts w:hint="eastAsia" w:ascii="黑体" w:hAnsi="黑体" w:eastAsia="黑体"/>
          <w:b/>
          <w:sz w:val="32"/>
          <w:szCs w:val="32"/>
        </w:rPr>
      </w:pPr>
      <w:r/>
      <w:bookmarkEnd w:id="253"/>
      <w:r/>
      <w:bookmarkStart w:id="257" w:name="_Hlt26955054"/>
      <w:r/>
      <w:bookmarkEnd w:id="25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0"/>
              <w:jc w:val="left"/>
              <w:rPr>
                <w:b/>
                <w:color w:val="000000"/>
                <w:sz w:val="24"/>
              </w:rPr>
            </w:pPr>
            <w:r/>
            <w:bookmarkStart w:id="258" w:name="_Hlt24879081"/>
            <w:r/>
            <w:bookmarkEnd w:id="258"/>
            <w:r/>
            <w:bookmarkStart w:id="259" w:name="_Hlt26782999"/>
            <w:r/>
            <w:bookmarkEnd w:id="259"/>
            <w:r/>
            <w:bookmarkStart w:id="260" w:name="_Hlt26580838"/>
            <w:r/>
            <w:bookmarkEnd w:id="260"/>
            <w:r/>
            <w:bookmarkStart w:id="261" w:name="_Hlt26609391"/>
            <w:r/>
            <w:bookmarkEnd w:id="261"/>
            <w:r/>
            <w:bookmarkStart w:id="262" w:name="_Hlt26955056"/>
            <w:r/>
            <w:bookmarkEnd w:id="262"/>
            <w:r/>
            <w:bookmarkStart w:id="263" w:name="_Hlt26671372"/>
            <w:r/>
            <w:bookmarkEnd w:id="263"/>
            <w:r/>
            <w:bookmarkStart w:id="264" w:name="_Hlt26955064"/>
            <w:r/>
            <w:bookmarkEnd w:id="264"/>
            <w:r/>
            <w:bookmarkStart w:id="265" w:name="_Hlt26671343"/>
            <w:r/>
            <w:bookmarkEnd w:id="265"/>
            <w:r>
              <w:rPr>
                <w:rFonts w:hint="eastAsia"/>
                <w:b/>
                <w:color w:val="000000"/>
                <w:sz w:val="24"/>
              </w:rPr>
              <w:t xml:space="preserve">对本项目商务要求条款的偏离情况（请进行勾选）：</w:t>
            </w:r>
            <w:r>
              <w:rPr>
                <w:b/>
                <w:color w:val="000000"/>
                <w:sz w:val="24"/>
              </w:rPr>
            </w:r>
            <w:r/>
          </w:p>
          <w:p>
            <w:pPr>
              <w:pStyle w:val="70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0"/>
              <w:jc w:val="center"/>
              <w:rPr>
                <w:rFonts w:hint="eastAsia" w:ascii="宋体" w:hAnsi="宋体"/>
                <w:sz w:val="24"/>
                <w:szCs w:val="24"/>
              </w:rPr>
            </w:pPr>
            <w:r>
              <w:rPr>
                <w:rFonts w:hint="eastAsia" w:ascii="宋体" w:hAnsi="宋体"/>
                <w:sz w:val="24"/>
                <w:szCs w:val="24"/>
              </w:rPr>
            </w:r>
            <w:r/>
          </w:p>
        </w:tc>
      </w:tr>
    </w:tbl>
    <w:p>
      <w:pPr>
        <w:pStyle w:val="70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0"/>
        <w:spacing w:line="480" w:lineRule="auto"/>
        <w:rPr>
          <w:rFonts w:hint="eastAsia" w:ascii="宋体" w:hAnsi="宋体"/>
          <w:sz w:val="24"/>
        </w:rPr>
      </w:pPr>
      <w:r>
        <w:rPr>
          <w:rFonts w:hint="eastAsia" w:ascii="宋体" w:hAnsi="宋体"/>
          <w:sz w:val="24"/>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00"/>
        <w:spacing w:line="480" w:lineRule="auto"/>
        <w:rPr>
          <w:rFonts w:hint="eastAsia" w:ascii="仿宋_GB2312" w:hAnsi="Arial"/>
          <w:sz w:val="30"/>
        </w:rPr>
      </w:pPr>
      <w:r>
        <w:rPr>
          <w:rFonts w:hint="eastAsia" w:ascii="仿宋_GB2312" w:hAnsi="Arial"/>
          <w:sz w:val="30"/>
        </w:rPr>
      </w:r>
      <w:r/>
    </w:p>
    <w:p>
      <w:pPr>
        <w:pStyle w:val="750"/>
        <w:ind w:firstLine="0"/>
        <w:rPr>
          <w:rFonts w:hint="eastAsia" w:ascii="宋体" w:hAnsi="宋体"/>
          <w:sz w:val="24"/>
        </w:rPr>
      </w:pPr>
      <w:r/>
      <w:bookmarkStart w:id="266" w:name="_Hlt26671374"/>
      <w:r/>
      <w:bookmarkEnd w:id="266"/>
      <w:r/>
      <w:bookmarkStart w:id="267" w:name="_Hlt26955066"/>
      <w:r/>
      <w:bookmarkEnd w:id="267"/>
      <w:r/>
      <w:bookmarkStart w:id="268" w:name="_Hlt26609389"/>
      <w:r/>
      <w:bookmarkEnd w:id="268"/>
      <w:r/>
      <w:bookmarkStart w:id="269" w:name="_Toc462564146"/>
      <w:r>
        <w:rPr>
          <w:rFonts w:hint="eastAsia" w:ascii="宋体" w:hAnsi="宋体"/>
          <w:sz w:val="24"/>
        </w:rPr>
      </w:r>
      <w:r/>
    </w:p>
    <w:p>
      <w:pPr>
        <w:pStyle w:val="700"/>
        <w:ind w:firstLine="480"/>
        <w:rPr>
          <w:rFonts w:hint="eastAsia" w:ascii="宋体" w:hAnsi="宋体"/>
          <w:sz w:val="24"/>
          <w:szCs w:val="24"/>
        </w:rPr>
      </w:pPr>
      <w:r/>
      <w:bookmarkEnd w:id="187"/>
      <w:r/>
      <w:bookmarkEnd w:id="191"/>
      <w:r/>
      <w:bookmarkEnd w:id="269"/>
      <w:r/>
      <w:bookmarkStart w:id="270" w:name="_格式2__法定代表人授权书"/>
      <w:r/>
      <w:bookmarkEnd w:id="270"/>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ascii="宋体" w:hAnsi="宋体"/>
          <w:sz w:val="24"/>
          <w:szCs w:val="24"/>
        </w:rPr>
      </w:r>
      <w:r/>
    </w:p>
    <w:p>
      <w:pPr>
        <w:pStyle w:val="70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0"/>
        <w:ind w:firstLine="480"/>
        <w:rPr>
          <w:sz w:val="24"/>
          <w:szCs w:val="24"/>
        </w:rPr>
      </w:pPr>
      <w:r>
        <w:rPr>
          <w:rFonts w:hint="eastAsia" w:ascii="宋体" w:hAnsi="宋体"/>
          <w:sz w:val="24"/>
          <w:szCs w:val="24"/>
        </w:rPr>
        <w:t xml:space="preserve">项目名称：</w:t>
      </w:r>
      <w:r>
        <w:rPr>
          <w:sz w:val="24"/>
          <w:szCs w:val="24"/>
        </w:rPr>
      </w:r>
      <w:r/>
    </w:p>
    <w:p>
      <w:pPr>
        <w:pStyle w:val="70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7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w:t>
            </w:r>
            <w:r>
              <w:rPr>
                <w:rFonts w:hint="eastAsia" w:ascii="宋体" w:hAnsi="宋体"/>
                <w:sz w:val="24"/>
                <w:szCs w:val="24"/>
                <w:lang w:val="en-US" w:eastAsia="zh-CN"/>
              </w:rPr>
              <w:t xml:space="preserve">优惠</w:t>
            </w:r>
            <w:r>
              <w:rPr>
                <w:rFonts w:hint="eastAsia" w:ascii="宋体" w:hAnsi="宋体"/>
                <w:sz w:val="24"/>
                <w:szCs w:val="24"/>
              </w:rPr>
              <w:t xml:space="preserve">率</w:t>
            </w:r>
            <w:r>
              <w:rPr>
                <w:rFonts w:hint="eastAsia" w:ascii="宋体" w:hAnsi="宋体"/>
                <w:sz w:val="24"/>
                <w:szCs w:val="24"/>
              </w:rPr>
            </w:r>
            <w:r/>
          </w:p>
        </w:tc>
      </w:tr>
      <w:tr>
        <w:trPr>
          <w:cantSplit/>
          <w:trHeight w:val="612"/>
        </w:trPr>
        <w:tc>
          <w:tcPr>
            <w:tcW w:w="8220" w:type="dxa"/>
            <w:vAlign w:val="center"/>
            <w:textDirection w:val="lrTb"/>
            <w:noWrap w:val="false"/>
          </w:tcPr>
          <w:p>
            <w:pPr>
              <w:pStyle w:val="814"/>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700"/>
        <w:rPr>
          <w:rFonts w:ascii="宋体" w:hAnsi="宋体"/>
          <w:sz w:val="24"/>
          <w:szCs w:val="24"/>
        </w:rPr>
      </w:pPr>
      <w:r>
        <w:rPr>
          <w:rFonts w:ascii="宋体" w:hAnsi="宋体"/>
          <w:sz w:val="24"/>
          <w:szCs w:val="24"/>
        </w:rPr>
      </w:r>
      <w:r/>
    </w:p>
    <w:p>
      <w:pPr>
        <w:pStyle w:val="700"/>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Cs/>
          <w:sz w:val="24"/>
        </w:rPr>
      </w:pPr>
      <w:r>
        <w:rPr>
          <w:rFonts w:hint="eastAsia" w:ascii="宋体" w:hAnsi="宋体"/>
          <w:bCs/>
          <w:sz w:val="24"/>
        </w:rPr>
      </w:r>
      <w:r/>
    </w:p>
    <w:p>
      <w:pPr>
        <w:pStyle w:val="70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00"/>
        <w:spacing w:line="460" w:lineRule="exact"/>
        <w:rPr>
          <w:rFonts w:ascii="宋体" w:hAnsi="宋体"/>
          <w:bCs/>
          <w:sz w:val="24"/>
        </w:rPr>
      </w:pPr>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tcW w:w="1089"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00"/>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00"/>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00"/>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00"/>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00"/>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bl>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hint="eastAsia" w:ascii="宋体" w:hAnsi="宋体" w:cs="仿宋"/>
          <w:b/>
          <w:bCs/>
          <w:sz w:val="32"/>
          <w:szCs w:val="32"/>
        </w:rPr>
      </w:pPr>
      <w:r>
        <w:rPr>
          <w:rFonts w:hint="eastAsia" w:ascii="宋体" w:hAnsi="宋体" w:cs="仿宋"/>
          <w:b/>
          <w:bCs/>
          <w:sz w:val="32"/>
          <w:szCs w:val="32"/>
        </w:rPr>
      </w:r>
      <w:r/>
    </w:p>
    <w:p>
      <w:pPr>
        <w:pStyle w:val="7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hint="eastAsia" w:ascii="宋体" w:hAnsi="宋体"/>
          <w:b/>
          <w:sz w:val="24"/>
          <w:szCs w:val="24"/>
        </w:rPr>
      </w:pPr>
      <w:r>
        <w:rPr>
          <w:rFonts w:hint="eastAsia" w:ascii="宋体" w:hAnsi="宋体"/>
          <w:b/>
          <w:sz w:val="24"/>
          <w:szCs w:val="24"/>
        </w:rPr>
      </w:r>
      <w:r/>
    </w:p>
    <w:p>
      <w:pPr>
        <w:pStyle w:val="7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50"/>
        <w:rPr>
          <w:rFonts w:hint="eastAsia"/>
          <w:sz w:val="24"/>
          <w:szCs w:val="24"/>
        </w:rPr>
      </w:pPr>
      <w:r>
        <w:rPr>
          <w:rFonts w:hint="eastAsia"/>
          <w:sz w:val="24"/>
          <w:szCs w:val="24"/>
        </w:rPr>
      </w:r>
      <w:r/>
    </w:p>
    <w:p>
      <w:pPr>
        <w:pStyle w:val="75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78"/>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78"/>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7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rPr>
        <w:rStyle w:val="718"/>
      </w:rPr>
    </w:r>
    <w:r/>
  </w:p>
  <w:p>
    <w:pPr>
      <w:pStyle w:val="7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0"/>
        <w:ind w:left="900" w:hanging="900"/>
        <w:tabs>
          <w:tab w:val="num" w:pos="900" w:leader="none"/>
        </w:tabs>
      </w:pPr>
      <w:rPr>
        <w:rFonts w:hint="eastAsia"/>
      </w:rPr>
    </w:lvl>
    <w:lvl w:ilvl="1">
      <w:start w:val="1"/>
      <w:numFmt w:val="decimal"/>
      <w:isLgl w:val="false"/>
      <w:suff w:val="tab"/>
      <w:lvlText w:val="%1.%2"/>
      <w:lvlJc w:val="left"/>
      <w:pPr>
        <w:pStyle w:val="7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0"/>
        <w:ind w:left="1980" w:hanging="900"/>
        <w:tabs>
          <w:tab w:val="num" w:pos="1980" w:leader="none"/>
        </w:tabs>
      </w:pPr>
      <w:rPr>
        <w:rFonts w:hint="eastAsia"/>
      </w:rPr>
    </w:lvl>
    <w:lvl w:ilvl="3">
      <w:start w:val="1"/>
      <w:numFmt w:val="decimal"/>
      <w:isLgl w:val="false"/>
      <w:suff w:val="tab"/>
      <w:lvlText w:val="%1.%2.%3.%4"/>
      <w:lvlJc w:val="left"/>
      <w:pPr>
        <w:pStyle w:val="700"/>
        <w:ind w:left="900" w:hanging="900"/>
        <w:tabs>
          <w:tab w:val="num" w:pos="900" w:leader="none"/>
        </w:tabs>
      </w:pPr>
      <w:rPr>
        <w:rFonts w:hint="eastAsia"/>
      </w:rPr>
    </w:lvl>
    <w:lvl w:ilvl="4">
      <w:start w:val="1"/>
      <w:numFmt w:val="decimal"/>
      <w:isLgl w:val="false"/>
      <w:suff w:val="tab"/>
      <w:lvlText w:val="%1.%2.%3.%4.%5"/>
      <w:lvlJc w:val="left"/>
      <w:pPr>
        <w:pStyle w:val="700"/>
        <w:ind w:left="900" w:hanging="900"/>
        <w:tabs>
          <w:tab w:val="num" w:pos="900" w:leader="none"/>
        </w:tabs>
      </w:pPr>
      <w:rPr>
        <w:rFonts w:hint="eastAsia"/>
      </w:rPr>
    </w:lvl>
    <w:lvl w:ilvl="5">
      <w:start w:val="1"/>
      <w:numFmt w:val="decimal"/>
      <w:isLgl w:val="false"/>
      <w:suff w:val="tab"/>
      <w:lvlText w:val="%1.%2.%3.%4.%5.%6"/>
      <w:lvlJc w:val="left"/>
      <w:pPr>
        <w:pStyle w:val="700"/>
        <w:ind w:left="900" w:hanging="900"/>
        <w:tabs>
          <w:tab w:val="num" w:pos="900" w:leader="none"/>
        </w:tabs>
      </w:pPr>
      <w:rPr>
        <w:rFonts w:hint="eastAsia"/>
      </w:rPr>
    </w:lvl>
    <w:lvl w:ilvl="6">
      <w:start w:val="1"/>
      <w:numFmt w:val="decimal"/>
      <w:isLgl w:val="false"/>
      <w:suff w:val="tab"/>
      <w:lvlText w:val="%1.%2.%3.%4.%5.%6.%7"/>
      <w:lvlJc w:val="left"/>
      <w:pPr>
        <w:pStyle w:val="700"/>
        <w:ind w:left="900" w:hanging="900"/>
        <w:tabs>
          <w:tab w:val="num" w:pos="900" w:leader="none"/>
        </w:tabs>
      </w:pPr>
      <w:rPr>
        <w:rFonts w:hint="eastAsia"/>
      </w:rPr>
    </w:lvl>
    <w:lvl w:ilvl="7">
      <w:start w:val="1"/>
      <w:numFmt w:val="decimal"/>
      <w:isLgl w:val="false"/>
      <w:suff w:val="tab"/>
      <w:lvlText w:val="%1.%2.%3.%4.%5.%6.%7.%8"/>
      <w:lvlJc w:val="left"/>
      <w:pPr>
        <w:pStyle w:val="700"/>
        <w:ind w:left="900" w:hanging="900"/>
        <w:tabs>
          <w:tab w:val="num" w:pos="900" w:leader="none"/>
        </w:tabs>
      </w:pPr>
      <w:rPr>
        <w:rFonts w:hint="eastAsia"/>
      </w:rPr>
    </w:lvl>
    <w:lvl w:ilvl="8">
      <w:start w:val="1"/>
      <w:numFmt w:val="decimal"/>
      <w:isLgl w:val="false"/>
      <w:suff w:val="tab"/>
      <w:lvlText w:val="%1.%2.%3.%4.%5.%6.%7.%8.%9"/>
      <w:lvlJc w:val="left"/>
      <w:pPr>
        <w:pStyle w:val="700"/>
        <w:ind w:left="900" w:hanging="900"/>
        <w:tabs>
          <w:tab w:val="num" w:pos="900" w:leader="none"/>
        </w:tabs>
      </w:pPr>
      <w:rPr>
        <w:rFonts w:hint="eastAsia"/>
      </w:rPr>
    </w:lvl>
  </w:abstractNum>
  <w:abstractNum w:abstractNumId="2">
    <w:multiLevelType w:val="hybridMultilevel"/>
    <w:lvl w:ilvl="0">
      <w:start w:val="1"/>
      <w:numFmt w:val="upperLetter"/>
      <w:pStyle w:val="784"/>
      <w:isLgl w:val="false"/>
      <w:suff w:val="tab"/>
      <w:lvlText w:val="附录%1."/>
      <w:lvlJc w:val="left"/>
      <w:pPr>
        <w:pStyle w:val="7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00"/>
        <w:ind w:left="500" w:hanging="500"/>
      </w:pPr>
    </w:lvl>
    <w:lvl w:ilvl="1">
      <w:start w:val="1"/>
      <w:numFmt w:val="lowerLetter"/>
      <w:isLgl w:val="false"/>
      <w:suff w:val="tab"/>
      <w:lvlText w:val="%2)"/>
      <w:lvlJc w:val="left"/>
      <w:pPr>
        <w:pStyle w:val="700"/>
        <w:ind w:left="840" w:hanging="420"/>
      </w:pPr>
    </w:lvl>
    <w:lvl w:ilvl="2">
      <w:start w:val="1"/>
      <w:numFmt w:val="lowerRoman"/>
      <w:isLgl w:val="false"/>
      <w:suff w:val="tab"/>
      <w:lvlText w:val="%3."/>
      <w:lvlJc w:val="right"/>
      <w:pPr>
        <w:pStyle w:val="700"/>
        <w:ind w:left="1260" w:hanging="420"/>
      </w:pPr>
    </w:lvl>
    <w:lvl w:ilvl="3">
      <w:start w:val="1"/>
      <w:numFmt w:val="decimal"/>
      <w:isLgl w:val="false"/>
      <w:suff w:val="tab"/>
      <w:lvlText w:val="%4."/>
      <w:lvlJc w:val="left"/>
      <w:pPr>
        <w:pStyle w:val="700"/>
        <w:ind w:left="1680" w:hanging="420"/>
      </w:pPr>
    </w:lvl>
    <w:lvl w:ilvl="4">
      <w:start w:val="1"/>
      <w:numFmt w:val="lowerLetter"/>
      <w:isLgl w:val="false"/>
      <w:suff w:val="tab"/>
      <w:lvlText w:val="%5)"/>
      <w:lvlJc w:val="left"/>
      <w:pPr>
        <w:pStyle w:val="700"/>
        <w:ind w:left="2100" w:hanging="420"/>
      </w:pPr>
    </w:lvl>
    <w:lvl w:ilvl="5">
      <w:start w:val="1"/>
      <w:numFmt w:val="lowerRoman"/>
      <w:isLgl w:val="false"/>
      <w:suff w:val="tab"/>
      <w:lvlText w:val="%6."/>
      <w:lvlJc w:val="right"/>
      <w:pPr>
        <w:pStyle w:val="700"/>
        <w:ind w:left="2520" w:hanging="420"/>
      </w:pPr>
    </w:lvl>
    <w:lvl w:ilvl="6">
      <w:start w:val="1"/>
      <w:numFmt w:val="decimal"/>
      <w:isLgl w:val="false"/>
      <w:suff w:val="tab"/>
      <w:lvlText w:val="%7."/>
      <w:lvlJc w:val="left"/>
      <w:pPr>
        <w:pStyle w:val="700"/>
        <w:ind w:left="2940" w:hanging="420"/>
      </w:pPr>
    </w:lvl>
    <w:lvl w:ilvl="7">
      <w:start w:val="1"/>
      <w:numFmt w:val="lowerLetter"/>
      <w:isLgl w:val="false"/>
      <w:suff w:val="tab"/>
      <w:lvlText w:val="%8)"/>
      <w:lvlJc w:val="left"/>
      <w:pPr>
        <w:pStyle w:val="700"/>
        <w:ind w:left="3360" w:hanging="420"/>
      </w:pPr>
    </w:lvl>
    <w:lvl w:ilvl="8">
      <w:start w:val="1"/>
      <w:numFmt w:val="lowerRoman"/>
      <w:isLgl w:val="false"/>
      <w:suff w:val="tab"/>
      <w:lvlText w:val="%9."/>
      <w:lvlJc w:val="right"/>
      <w:pPr>
        <w:pStyle w:val="700"/>
        <w:ind w:left="3780" w:hanging="420"/>
      </w:pPr>
    </w:lvl>
  </w:abstractNum>
  <w:abstractNum w:abstractNumId="4">
    <w:multiLevelType w:val="hybridMultilevel"/>
    <w:lvl w:ilvl="0">
      <w:start w:val="1"/>
      <w:numFmt w:val="decimal"/>
      <w:pStyle w:val="792"/>
      <w:isLgl w:val="false"/>
      <w:suff w:val="tab"/>
      <w:lvlText w:val="%1."/>
      <w:lvlJc w:val="left"/>
      <w:pPr>
        <w:pStyle w:val="700"/>
        <w:ind w:left="709" w:hanging="709"/>
        <w:tabs>
          <w:tab w:val="num" w:pos="709" w:leader="none"/>
        </w:tabs>
      </w:pPr>
      <w:rPr>
        <w:rFonts w:hint="eastAsia"/>
      </w:rPr>
    </w:lvl>
    <w:lvl w:ilvl="1">
      <w:start w:val="1"/>
      <w:numFmt w:val="decimal"/>
      <w:isLgl w:val="false"/>
      <w:suff w:val="tab"/>
      <w:lvlText w:val="%1.%2"/>
      <w:lvlJc w:val="left"/>
      <w:pPr>
        <w:pStyle w:val="700"/>
        <w:ind w:left="709" w:hanging="709"/>
        <w:tabs>
          <w:tab w:val="num" w:pos="709" w:leader="none"/>
        </w:tabs>
      </w:pPr>
      <w:rPr>
        <w:rFonts w:hint="eastAsia"/>
      </w:rPr>
    </w:lvl>
    <w:lvl w:ilvl="2">
      <w:start w:val="1"/>
      <w:numFmt w:val="decimal"/>
      <w:isLgl w:val="false"/>
      <w:suff w:val="tab"/>
      <w:lvlText w:val="%1.%2.%3."/>
      <w:lvlJc w:val="left"/>
      <w:pPr>
        <w:pStyle w:val="700"/>
        <w:ind w:left="425" w:hanging="425"/>
        <w:tabs>
          <w:tab w:val="num" w:pos="425" w:leader="none"/>
        </w:tabs>
      </w:pPr>
      <w:rPr>
        <w:rFonts w:hint="eastAsia"/>
      </w:rPr>
    </w:lvl>
    <w:lvl w:ilvl="3">
      <w:start w:val="1"/>
      <w:numFmt w:val="decimal"/>
      <w:isLgl w:val="false"/>
      <w:suff w:val="tab"/>
      <w:lvlText w:val="%1.%2.%3.%4."/>
      <w:lvlJc w:val="left"/>
      <w:pPr>
        <w:pStyle w:val="700"/>
        <w:ind w:left="851" w:hanging="851"/>
        <w:tabs>
          <w:tab w:val="num" w:pos="851" w:leader="none"/>
        </w:tabs>
      </w:pPr>
      <w:rPr>
        <w:rFonts w:hint="eastAsia"/>
      </w:rPr>
    </w:lvl>
    <w:lvl w:ilvl="4">
      <w:start w:val="1"/>
      <w:numFmt w:val="decimal"/>
      <w:isLgl w:val="false"/>
      <w:suff w:val="tab"/>
      <w:lvlText w:val="%1.%2.%3.%4.%5."/>
      <w:lvlJc w:val="left"/>
      <w:pPr>
        <w:pStyle w:val="700"/>
        <w:ind w:left="992" w:hanging="992"/>
        <w:tabs>
          <w:tab w:val="num" w:pos="992" w:leader="none"/>
        </w:tabs>
      </w:pPr>
      <w:rPr>
        <w:rFonts w:hint="eastAsia"/>
      </w:rPr>
    </w:lvl>
    <w:lvl w:ilvl="5">
      <w:start w:val="1"/>
      <w:numFmt w:val="decimal"/>
      <w:isLgl w:val="false"/>
      <w:suff w:val="tab"/>
      <w:lvlText w:val="%1.%2.%3.%4.%5.%6."/>
      <w:lvlJc w:val="left"/>
      <w:pPr>
        <w:pStyle w:val="700"/>
        <w:ind w:left="1134" w:hanging="1134"/>
        <w:tabs>
          <w:tab w:val="num" w:pos="1134" w:leader="none"/>
        </w:tabs>
      </w:pPr>
      <w:rPr>
        <w:rFonts w:hint="eastAsia"/>
      </w:rPr>
    </w:lvl>
    <w:lvl w:ilvl="6">
      <w:start w:val="1"/>
      <w:numFmt w:val="decimal"/>
      <w:isLgl w:val="false"/>
      <w:suff w:val="tab"/>
      <w:lvlText w:val="%1.%2.%3.%4.%5.%6.%7."/>
      <w:lvlJc w:val="left"/>
      <w:pPr>
        <w:pStyle w:val="700"/>
        <w:ind w:left="1276" w:hanging="1276"/>
        <w:tabs>
          <w:tab w:val="num" w:pos="1276" w:leader="none"/>
        </w:tabs>
      </w:pPr>
      <w:rPr>
        <w:rFonts w:hint="eastAsia"/>
      </w:rPr>
    </w:lvl>
    <w:lvl w:ilvl="7">
      <w:start w:val="1"/>
      <w:numFmt w:val="decimal"/>
      <w:isLgl w:val="false"/>
      <w:suff w:val="tab"/>
      <w:lvlText w:val="%1.%2.%3.%4.%5.%6.%7.%8."/>
      <w:lvlJc w:val="left"/>
      <w:pPr>
        <w:pStyle w:val="700"/>
        <w:ind w:left="1418" w:hanging="1418"/>
        <w:tabs>
          <w:tab w:val="num" w:pos="1418" w:leader="none"/>
        </w:tabs>
      </w:pPr>
      <w:rPr>
        <w:rFonts w:hint="eastAsia"/>
      </w:rPr>
    </w:lvl>
    <w:lvl w:ilvl="8">
      <w:start w:val="1"/>
      <w:numFmt w:val="decimal"/>
      <w:isLgl w:val="false"/>
      <w:suff w:val="tab"/>
      <w:lvlText w:val="%1.%2.%3.%4.%5.%6.%7.%8.%9."/>
      <w:lvlJc w:val="left"/>
      <w:pPr>
        <w:pStyle w:val="70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00"/>
        <w:ind w:left="0" w:firstLine="0"/>
      </w:pPr>
      <w:rPr>
        <w:rFonts w:hint="eastAsia"/>
      </w:rPr>
    </w:lvl>
    <w:lvl w:ilvl="1">
      <w:start w:val="1"/>
      <w:numFmt w:val="decimal"/>
      <w:isLgl w:val="false"/>
      <w:suff w:val="nothing"/>
      <w:lvlText w:val="%2、"/>
      <w:lvlJc w:val="left"/>
      <w:pPr>
        <w:pStyle w:val="700"/>
        <w:ind w:left="0" w:firstLine="0"/>
      </w:pPr>
      <w:rPr>
        <w:rFonts w:hint="eastAsia"/>
      </w:rPr>
    </w:lvl>
    <w:lvl w:ilvl="2">
      <w:start w:val="1"/>
      <w:numFmt w:val="decimal"/>
      <w:isLgl w:val="false"/>
      <w:suff w:val="nothing"/>
      <w:lvlText w:val="%2.%3 "/>
      <w:lvlJc w:val="left"/>
      <w:pPr>
        <w:pStyle w:val="700"/>
        <w:ind w:left="0" w:firstLine="0"/>
      </w:pPr>
      <w:rPr>
        <w:rFonts w:hint="eastAsia"/>
      </w:rPr>
    </w:lvl>
    <w:lvl w:ilvl="3">
      <w:start w:val="1"/>
      <w:numFmt w:val="decimal"/>
      <w:isLgl w:val="false"/>
      <w:suff w:val="nothing"/>
      <w:lvlText w:val="%2.%3.%4 "/>
      <w:lvlJc w:val="left"/>
      <w:pPr>
        <w:pStyle w:val="700"/>
        <w:ind w:left="0" w:firstLine="0"/>
      </w:pPr>
      <w:rPr>
        <w:rFonts w:hint="eastAsia"/>
      </w:rPr>
    </w:lvl>
    <w:lvl w:ilvl="4">
      <w:start w:val="1"/>
      <w:numFmt w:val="decimal"/>
      <w:isLgl w:val="false"/>
      <w:suff w:val="nothing"/>
      <w:lvlText w:val="%2.%3.%4.%5 "/>
      <w:lvlJc w:val="left"/>
      <w:pPr>
        <w:pStyle w:val="700"/>
        <w:ind w:left="0" w:firstLine="0"/>
      </w:pPr>
      <w:rPr>
        <w:rFonts w:hint="eastAsia"/>
      </w:rPr>
    </w:lvl>
    <w:lvl w:ilvl="5">
      <w:start w:val="1"/>
      <w:numFmt w:val="decimal"/>
      <w:pStyle w:val="706"/>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pStyle w:val="708"/>
      <w:isLgl w:val="false"/>
      <w:suff w:val="nothing"/>
      <w:lvlText w:val=""/>
      <w:lvlJc w:val="left"/>
      <w:pPr>
        <w:pStyle w:val="700"/>
        <w:ind w:left="0" w:firstLine="0"/>
      </w:pPr>
      <w:rPr>
        <w:rFonts w:hint="eastAsia"/>
      </w:rPr>
    </w:lvl>
    <w:lvl w:ilvl="8">
      <w:start w:val="1"/>
      <w:numFmt w:val="decimal"/>
      <w:pStyle w:val="709"/>
      <w:isLgl w:val="false"/>
      <w:suff w:val="nothing"/>
      <w:lvlText w:val=""/>
      <w:lvlJc w:val="left"/>
      <w:pPr>
        <w:pStyle w:val="700"/>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0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rFonts w:ascii="Times New Roman" w:hAnsi="Times New Roman"/>
      <w:sz w:val="21"/>
      <w:szCs w:val="21"/>
      <w:lang w:val="en-US" w:eastAsia="zh-CN" w:bidi="ar-SA"/>
    </w:rPr>
  </w:style>
  <w:style w:type="paragraph" w:styleId="701">
    <w:name w:val="标题 1"/>
    <w:basedOn w:val="700"/>
    <w:next w:val="700"/>
    <w:link w:val="721"/>
    <w:qFormat/>
    <w:pPr>
      <w:jc w:val="center"/>
      <w:keepNext/>
      <w:outlineLvl w:val="0"/>
    </w:pPr>
    <w:rPr>
      <w:rFonts w:ascii="楷体_GB2312" w:eastAsia="楷体_GB2312"/>
      <w:sz w:val="28"/>
      <w:szCs w:val="28"/>
    </w:rPr>
  </w:style>
  <w:style w:type="paragraph" w:styleId="702">
    <w:name w:val="标题 2"/>
    <w:basedOn w:val="700"/>
    <w:next w:val="750"/>
    <w:link w:val="722"/>
    <w:qFormat/>
    <w:pPr>
      <w:jc w:val="center"/>
      <w:keepLines/>
      <w:keepNext/>
      <w:spacing w:before="260" w:after="260" w:line="416" w:lineRule="auto"/>
      <w:outlineLvl w:val="1"/>
    </w:pPr>
    <w:rPr>
      <w:rFonts w:ascii="Arial" w:hAnsi="Arial" w:eastAsia="幼圆" w:cs="Arial"/>
      <w:b/>
      <w:bCs/>
      <w:sz w:val="44"/>
      <w:szCs w:val="44"/>
    </w:rPr>
  </w:style>
  <w:style w:type="paragraph" w:styleId="703">
    <w:name w:val="标题 3"/>
    <w:basedOn w:val="700"/>
    <w:next w:val="750"/>
    <w:link w:val="724"/>
    <w:qFormat/>
    <w:pPr>
      <w:keepLines/>
      <w:keepNext/>
      <w:spacing w:before="260" w:after="260" w:line="416" w:lineRule="auto"/>
      <w:outlineLvl w:val="2"/>
    </w:pPr>
    <w:rPr>
      <w:b/>
      <w:bCs/>
      <w:sz w:val="32"/>
      <w:szCs w:val="32"/>
    </w:rPr>
  </w:style>
  <w:style w:type="paragraph" w:styleId="704">
    <w:name w:val="标题 4"/>
    <w:basedOn w:val="700"/>
    <w:next w:val="750"/>
    <w:link w:val="725"/>
    <w:qFormat/>
    <w:pPr>
      <w:keepLines/>
      <w:keepNext/>
      <w:spacing w:before="280" w:after="290" w:line="376" w:lineRule="auto"/>
      <w:outlineLvl w:val="3"/>
    </w:pPr>
    <w:rPr>
      <w:rFonts w:ascii="Arial" w:hAnsi="Arial" w:eastAsia="黑体" w:cs="Arial"/>
      <w:b/>
      <w:bCs/>
      <w:sz w:val="28"/>
      <w:szCs w:val="28"/>
    </w:rPr>
  </w:style>
  <w:style w:type="paragraph" w:styleId="705">
    <w:name w:val="标题 5"/>
    <w:basedOn w:val="700"/>
    <w:next w:val="750"/>
    <w:link w:val="726"/>
    <w:qFormat/>
    <w:pPr>
      <w:keepNext/>
      <w:outlineLvl w:val="4"/>
    </w:pPr>
    <w:rPr>
      <w:rFonts w:ascii="宋体"/>
      <w:color w:val="000000"/>
      <w:sz w:val="28"/>
      <w:szCs w:val="28"/>
    </w:rPr>
  </w:style>
  <w:style w:type="paragraph" w:styleId="706">
    <w:name w:val="标题 6"/>
    <w:basedOn w:val="700"/>
    <w:next w:val="700"/>
    <w:link w:val="727"/>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14"/>
    <w:qFormat/>
    <w:pPr>
      <w:numPr>
        <w:ilvl w:val="6"/>
        <w:numId w:val="1"/>
      </w:numPr>
      <w:keepLines/>
      <w:keepNext/>
      <w:spacing w:before="240" w:after="64" w:line="320" w:lineRule="auto"/>
      <w:outlineLvl w:val="6"/>
    </w:pPr>
    <w:rPr>
      <w:b/>
      <w:bCs/>
      <w:sz w:val="24"/>
      <w:szCs w:val="24"/>
    </w:rPr>
  </w:style>
  <w:style w:type="paragraph" w:styleId="708">
    <w:name w:val="标题 8"/>
    <w:basedOn w:val="700"/>
    <w:next w:val="700"/>
    <w:link w:val="728"/>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15"/>
    <w:qFormat/>
    <w:pPr>
      <w:numPr>
        <w:ilvl w:val="8"/>
        <w:numId w:val="1"/>
      </w:numPr>
      <w:keepLines/>
      <w:keepNext/>
      <w:spacing w:before="240" w:after="64" w:line="320" w:lineRule="auto"/>
      <w:outlineLvl w:val="8"/>
    </w:pPr>
    <w:rPr>
      <w:rFonts w:ascii="Arial" w:hAnsi="Arial" w:eastAsia="黑体"/>
    </w:rPr>
  </w:style>
  <w:style w:type="character" w:styleId="710">
    <w:name w:val="默认段落字体"/>
    <w:next w:val="710"/>
    <w:link w:val="700"/>
    <w:uiPriority w:val="1"/>
    <w:unhideWhenUsed/>
  </w:style>
  <w:style w:type="table" w:styleId="711">
    <w:name w:val="普通表格"/>
    <w:next w:val="711"/>
    <w:link w:val="700"/>
    <w:uiPriority w:val="99"/>
    <w:unhideWhenUsed/>
    <w:tblPr/>
  </w:style>
  <w:style w:type="character" w:styleId="712">
    <w:name w:val="批注框文本 Char"/>
    <w:next w:val="712"/>
    <w:link w:val="781"/>
    <w:semiHidden/>
    <w:rPr>
      <w:rFonts w:ascii="Times New Roman" w:hAnsi="Times New Roman" w:eastAsia="宋体" w:cs="Times New Roman"/>
      <w:sz w:val="18"/>
      <w:szCs w:val="18"/>
    </w:rPr>
  </w:style>
  <w:style w:type="character" w:styleId="713">
    <w:name w:val="超链接"/>
    <w:next w:val="713"/>
    <w:link w:val="700"/>
    <w:rPr>
      <w:color w:val="0000ff"/>
      <w:u w:val="single"/>
    </w:rPr>
  </w:style>
  <w:style w:type="character" w:styleId="714">
    <w:name w:val="标题 7 Char"/>
    <w:next w:val="714"/>
    <w:link w:val="707"/>
    <w:rPr>
      <w:rFonts w:ascii="Times New Roman" w:hAnsi="Times New Roman" w:eastAsia="宋体" w:cs="Times New Roman"/>
      <w:b/>
      <w:bCs/>
      <w:sz w:val="24"/>
      <w:szCs w:val="24"/>
    </w:rPr>
  </w:style>
  <w:style w:type="character" w:styleId="715">
    <w:name w:val="标题 9 Char"/>
    <w:next w:val="715"/>
    <w:link w:val="709"/>
    <w:rPr>
      <w:rFonts w:ascii="Arial" w:hAnsi="Arial" w:eastAsia="黑体" w:cs="Times New Roman"/>
      <w:szCs w:val="21"/>
    </w:rPr>
  </w:style>
  <w:style w:type="character" w:styleId="716">
    <w:name w:val="要点"/>
    <w:next w:val="716"/>
    <w:link w:val="700"/>
    <w:qFormat/>
    <w:rPr>
      <w:b/>
      <w:bCs/>
    </w:rPr>
  </w:style>
  <w:style w:type="character" w:styleId="717">
    <w:name w:val="批注引用"/>
    <w:next w:val="717"/>
    <w:link w:val="700"/>
    <w:qFormat/>
    <w:rPr>
      <w:sz w:val="21"/>
      <w:szCs w:val="21"/>
    </w:rPr>
  </w:style>
  <w:style w:type="character" w:styleId="718">
    <w:name w:val="页码"/>
    <w:next w:val="718"/>
    <w:link w:val="700"/>
  </w:style>
  <w:style w:type="character" w:styleId="719">
    <w:name w:val="已访问的超链接"/>
    <w:next w:val="719"/>
    <w:link w:val="700"/>
    <w:rPr>
      <w:color w:val="800080"/>
      <w:u w:val="single"/>
    </w:rPr>
  </w:style>
  <w:style w:type="character" w:styleId="720">
    <w:name w:val="正文首行缩进 2 Char"/>
    <w:next w:val="720"/>
    <w:link w:val="768"/>
    <w:rPr>
      <w:rFonts w:ascii="宋体" w:hAnsi="宋体" w:eastAsia="宋体" w:cs="Times New Roman"/>
      <w:sz w:val="32"/>
      <w:szCs w:val="20"/>
    </w:rPr>
  </w:style>
  <w:style w:type="character" w:styleId="721">
    <w:name w:val="标题 1 Char"/>
    <w:next w:val="721"/>
    <w:link w:val="701"/>
    <w:rPr>
      <w:rFonts w:ascii="楷体_GB2312" w:hAnsi="Times New Roman" w:eastAsia="楷体_GB2312" w:cs="Times New Roman"/>
      <w:sz w:val="28"/>
      <w:szCs w:val="28"/>
    </w:rPr>
  </w:style>
  <w:style w:type="character" w:styleId="722">
    <w:name w:val="标题 2 Char"/>
    <w:next w:val="722"/>
    <w:link w:val="702"/>
    <w:rPr>
      <w:rFonts w:ascii="Arial" w:hAnsi="Arial" w:eastAsia="幼圆" w:cs="Arial"/>
      <w:b/>
      <w:bCs/>
      <w:sz w:val="44"/>
      <w:szCs w:val="44"/>
    </w:rPr>
  </w:style>
  <w:style w:type="character" w:styleId="723">
    <w:name w:val="正文缩进 Char"/>
    <w:next w:val="723"/>
    <w:link w:val="750"/>
    <w:qFormat/>
    <w:rPr>
      <w:rFonts w:ascii="Times New Roman" w:hAnsi="Times New Roman" w:eastAsia="宋体" w:cs="Times New Roman"/>
      <w:szCs w:val="21"/>
    </w:rPr>
  </w:style>
  <w:style w:type="character" w:styleId="724">
    <w:name w:val="标题 3 Char"/>
    <w:next w:val="724"/>
    <w:link w:val="703"/>
    <w:rPr>
      <w:rFonts w:ascii="Times New Roman" w:hAnsi="Times New Roman" w:eastAsia="宋体" w:cs="Times New Roman"/>
      <w:b/>
      <w:bCs/>
      <w:sz w:val="32"/>
      <w:szCs w:val="32"/>
    </w:rPr>
  </w:style>
  <w:style w:type="character" w:styleId="725">
    <w:name w:val="标题 4 Char"/>
    <w:next w:val="725"/>
    <w:link w:val="704"/>
    <w:rPr>
      <w:rFonts w:ascii="Arial" w:hAnsi="Arial" w:eastAsia="黑体" w:cs="Arial"/>
      <w:b/>
      <w:bCs/>
      <w:sz w:val="28"/>
      <w:szCs w:val="28"/>
    </w:rPr>
  </w:style>
  <w:style w:type="character" w:styleId="726">
    <w:name w:val="标题 5 Char"/>
    <w:next w:val="726"/>
    <w:link w:val="705"/>
    <w:rPr>
      <w:rFonts w:ascii="宋体" w:hAnsi="Times New Roman" w:eastAsia="宋体" w:cs="Times New Roman"/>
      <w:color w:val="000000"/>
      <w:sz w:val="28"/>
      <w:szCs w:val="28"/>
    </w:rPr>
  </w:style>
  <w:style w:type="character" w:styleId="727">
    <w:name w:val="标题 6 Char"/>
    <w:next w:val="727"/>
    <w:link w:val="706"/>
    <w:rPr>
      <w:rFonts w:ascii="Arial" w:hAnsi="Arial" w:eastAsia="黑体" w:cs="Times New Roman"/>
      <w:b/>
      <w:bCs/>
      <w:sz w:val="24"/>
      <w:szCs w:val="24"/>
    </w:rPr>
  </w:style>
  <w:style w:type="character" w:styleId="728">
    <w:name w:val="标题 8 Char"/>
    <w:next w:val="728"/>
    <w:link w:val="708"/>
    <w:rPr>
      <w:rFonts w:ascii="Arial" w:hAnsi="Arial" w:eastAsia="黑体" w:cs="Times New Roman"/>
      <w:sz w:val="24"/>
      <w:szCs w:val="24"/>
    </w:rPr>
  </w:style>
  <w:style w:type="character" w:styleId="729">
    <w:name w:val="文档结构图 Char"/>
    <w:next w:val="729"/>
    <w:link w:val="759"/>
    <w:semiHidden/>
    <w:rPr>
      <w:rFonts w:ascii="Times New Roman" w:hAnsi="Times New Roman" w:eastAsia="宋体" w:cs="Times New Roman"/>
      <w:szCs w:val="21"/>
      <w:shd w:val="clear" w:color="auto" w:fill="000080"/>
    </w:rPr>
  </w:style>
  <w:style w:type="character" w:styleId="730">
    <w:name w:val="批注文字 Char"/>
    <w:next w:val="730"/>
    <w:link w:val="755"/>
    <w:rPr>
      <w:rFonts w:ascii="Times New Roman" w:hAnsi="Times New Roman" w:eastAsia="宋体" w:cs="Times New Roman"/>
      <w:szCs w:val="21"/>
    </w:rPr>
  </w:style>
  <w:style w:type="character" w:styleId="731">
    <w:name w:val="正文文本 3 Char"/>
    <w:next w:val="731"/>
    <w:link w:val="754"/>
    <w:rPr>
      <w:rFonts w:ascii="仿宋_GB2312" w:hAnsi="Arial" w:eastAsia="仿宋_GB2312" w:cs="Times New Roman"/>
      <w:sz w:val="32"/>
      <w:szCs w:val="32"/>
    </w:rPr>
  </w:style>
  <w:style w:type="character" w:styleId="732">
    <w:name w:val="正文文本 Char"/>
    <w:next w:val="732"/>
    <w:link w:val="760"/>
    <w:rPr>
      <w:rFonts w:ascii="楷体_GB2312" w:hAnsi="Arial" w:eastAsia="楷体_GB2312" w:cs="Times New Roman"/>
      <w:sz w:val="28"/>
      <w:szCs w:val="28"/>
    </w:rPr>
  </w:style>
  <w:style w:type="character" w:styleId="733">
    <w:name w:val="正文文本缩进 Char"/>
    <w:next w:val="733"/>
    <w:link w:val="764"/>
    <w:rPr>
      <w:rFonts w:ascii="楷体_GB2312" w:hAnsi="Times New Roman" w:eastAsia="楷体_GB2312" w:cs="Times New Roman"/>
      <w:sz w:val="32"/>
      <w:szCs w:val="32"/>
    </w:rPr>
  </w:style>
  <w:style w:type="character" w:styleId="734">
    <w:name w:val="纯文本 Char"/>
    <w:next w:val="734"/>
    <w:link w:val="763"/>
    <w:rPr>
      <w:rFonts w:ascii="宋体" w:hAnsi="Courier New" w:eastAsia="宋体" w:cs="Courier New"/>
      <w:szCs w:val="21"/>
    </w:rPr>
  </w:style>
  <w:style w:type="character" w:styleId="735">
    <w:name w:val="日期 Char"/>
    <w:next w:val="735"/>
    <w:link w:val="753"/>
    <w:rPr>
      <w:rFonts w:ascii="Times New Roman" w:hAnsi="Times New Roman" w:eastAsia="宋体" w:cs="Times New Roman"/>
      <w:sz w:val="24"/>
      <w:szCs w:val="24"/>
    </w:rPr>
  </w:style>
  <w:style w:type="character" w:styleId="736">
    <w:name w:val="正文文本缩进 2 Char"/>
    <w:next w:val="736"/>
    <w:link w:val="773"/>
    <w:rPr>
      <w:rFonts w:ascii="Arial" w:hAnsi="Arial" w:eastAsia="仿宋_GB2312" w:cs="Arial"/>
      <w:sz w:val="32"/>
      <w:szCs w:val="32"/>
    </w:rPr>
  </w:style>
  <w:style w:type="character" w:styleId="737">
    <w:name w:val="页脚 Char"/>
    <w:next w:val="737"/>
    <w:link w:val="778"/>
    <w:uiPriority w:val="99"/>
    <w:rPr>
      <w:rFonts w:ascii="Times New Roman" w:hAnsi="Times New Roman" w:eastAsia="宋体" w:cs="Times New Roman"/>
      <w:sz w:val="18"/>
      <w:szCs w:val="18"/>
    </w:rPr>
  </w:style>
  <w:style w:type="character" w:styleId="738">
    <w:name w:val="页眉 Char"/>
    <w:next w:val="738"/>
    <w:link w:val="780"/>
    <w:rPr>
      <w:rFonts w:ascii="Times New Roman" w:hAnsi="Times New Roman" w:eastAsia="宋体" w:cs="Times New Roman"/>
      <w:sz w:val="18"/>
      <w:szCs w:val="18"/>
    </w:rPr>
  </w:style>
  <w:style w:type="character" w:styleId="739">
    <w:name w:val="正文文本缩进 3 Char"/>
    <w:next w:val="739"/>
    <w:link w:val="761"/>
    <w:rPr>
      <w:rFonts w:ascii="Arial" w:hAnsi="Arial" w:eastAsia="仿宋_GB2312" w:cs="Arial"/>
      <w:color w:val="ffff00"/>
      <w:sz w:val="32"/>
      <w:szCs w:val="32"/>
    </w:rPr>
  </w:style>
  <w:style w:type="character" w:styleId="740">
    <w:name w:val="正文文本 2 Char"/>
    <w:next w:val="740"/>
    <w:link w:val="779"/>
    <w:rPr>
      <w:rFonts w:ascii="楷体_GB2312" w:hAnsi="Times New Roman" w:eastAsia="楷体_GB2312" w:cs="Times New Roman"/>
      <w:sz w:val="28"/>
      <w:szCs w:val="28"/>
    </w:rPr>
  </w:style>
  <w:style w:type="character" w:styleId="741">
    <w:name w:val="标题 Char"/>
    <w:next w:val="741"/>
    <w:link w:val="765"/>
    <w:uiPriority w:val="10"/>
    <w:rPr>
      <w:rFonts w:ascii="Cambria" w:hAnsi="Cambria" w:cs="Times New Roman"/>
      <w:b/>
      <w:bCs/>
      <w:sz w:val="32"/>
      <w:szCs w:val="32"/>
    </w:rPr>
  </w:style>
  <w:style w:type="character" w:styleId="742">
    <w:name w:val="批注主题 Char"/>
    <w:next w:val="742"/>
    <w:link w:val="751"/>
    <w:semiHidden/>
    <w:rPr>
      <w:rFonts w:ascii="Times New Roman" w:hAnsi="Times New Roman" w:eastAsia="宋体" w:cs="Times New Roman"/>
      <w:b/>
      <w:bCs/>
      <w:szCs w:val="21"/>
    </w:rPr>
  </w:style>
  <w:style w:type="character" w:styleId="743">
    <w:name w:val="正文首行缩进 Char"/>
    <w:next w:val="743"/>
    <w:link w:val="757"/>
    <w:rPr>
      <w:rFonts w:ascii="仿宋_GB2312" w:hAnsi="Times New Roman" w:eastAsia="仿宋_GB2312" w:cs="Times New Roman"/>
      <w:sz w:val="30"/>
      <w:szCs w:val="30"/>
    </w:rPr>
  </w:style>
  <w:style w:type="character" w:styleId="744">
    <w:name w:val="二级目录 Char"/>
    <w:next w:val="744"/>
    <w:link w:val="784"/>
    <w:rPr>
      <w:b/>
      <w:sz w:val="30"/>
      <w:szCs w:val="28"/>
    </w:rPr>
  </w:style>
  <w:style w:type="character" w:styleId="745">
    <w:name w:val="列出段落 Char1"/>
    <w:next w:val="745"/>
    <w:link w:val="783"/>
    <w:uiPriority w:val="34"/>
    <w:qFormat/>
    <w:rPr>
      <w:sz w:val="24"/>
      <w:szCs w:val="24"/>
      <w:lang w:eastAsia="en-US" w:bidi="en-US"/>
    </w:rPr>
  </w:style>
  <w:style w:type="character" w:styleId="746">
    <w:name w:val="font5 Char"/>
    <w:next w:val="746"/>
    <w:link w:val="700"/>
    <w:rPr>
      <w:rFonts w:ascii="宋体" w:hAnsi="宋体" w:eastAsia="宋体"/>
      <w:sz w:val="28"/>
      <w:szCs w:val="28"/>
      <w:lang w:val="en-US" w:eastAsia="zh-CN" w:bidi="ar-SA"/>
    </w:rPr>
  </w:style>
  <w:style w:type="character" w:styleId="747">
    <w:name w:val="列出段落 Char,Bullet List Char,numbered Char,FooterText Char,List Paragraph1 Char,Paragraphe de liste1 Char"/>
    <w:next w:val="747"/>
    <w:link w:val="786"/>
    <w:rPr>
      <w:rFonts w:ascii="Calibri" w:hAnsi="Calibri"/>
      <w:sz w:val="24"/>
      <w:szCs w:val="24"/>
      <w:lang w:eastAsia="en-US" w:bidi="en-US"/>
    </w:rPr>
  </w:style>
  <w:style w:type="paragraph" w:styleId="748">
    <w:name w:val="4"/>
    <w:basedOn w:val="700"/>
    <w:next w:val="761"/>
    <w:link w:val="700"/>
    <w:pPr>
      <w:ind w:firstLine="420"/>
      <w:spacing w:line="360" w:lineRule="auto"/>
    </w:pPr>
    <w:rPr>
      <w:color w:val="ff0000"/>
      <w:sz w:val="24"/>
      <w:szCs w:val="24"/>
    </w:rPr>
  </w:style>
  <w:style w:type="paragraph" w:styleId="749">
    <w:name w:val="列表 3"/>
    <w:basedOn w:val="700"/>
    <w:next w:val="749"/>
    <w:link w:val="700"/>
    <w:pPr>
      <w:ind w:left="100" w:hanging="200"/>
    </w:pPr>
  </w:style>
  <w:style w:type="paragraph" w:styleId="750">
    <w:name w:val="正文缩进"/>
    <w:basedOn w:val="700"/>
    <w:next w:val="750"/>
    <w:link w:val="723"/>
    <w:uiPriority w:val="99"/>
    <w:pPr>
      <w:ind w:firstLine="420"/>
    </w:pPr>
  </w:style>
  <w:style w:type="paragraph" w:styleId="751">
    <w:name w:val="批注主题"/>
    <w:basedOn w:val="755"/>
    <w:next w:val="755"/>
    <w:link w:val="742"/>
    <w:semiHidden/>
    <w:rPr>
      <w:b/>
      <w:bCs/>
    </w:rPr>
  </w:style>
  <w:style w:type="paragraph" w:styleId="752">
    <w:name w:val="目录 6"/>
    <w:basedOn w:val="700"/>
    <w:next w:val="700"/>
    <w:link w:val="700"/>
    <w:semiHidden/>
    <w:pPr>
      <w:ind w:left="1050"/>
      <w:jc w:val="left"/>
    </w:pPr>
  </w:style>
  <w:style w:type="paragraph" w:styleId="753">
    <w:name w:val="日期"/>
    <w:basedOn w:val="700"/>
    <w:next w:val="700"/>
    <w:link w:val="735"/>
    <w:rPr>
      <w:sz w:val="24"/>
      <w:szCs w:val="24"/>
    </w:rPr>
  </w:style>
  <w:style w:type="paragraph" w:styleId="754">
    <w:name w:val="正文文本 3"/>
    <w:basedOn w:val="700"/>
    <w:next w:val="754"/>
    <w:link w:val="731"/>
    <w:rPr>
      <w:rFonts w:ascii="仿宋_GB2312" w:hAnsi="Arial" w:eastAsia="仿宋_GB2312"/>
      <w:sz w:val="32"/>
      <w:szCs w:val="32"/>
    </w:rPr>
  </w:style>
  <w:style w:type="paragraph" w:styleId="755">
    <w:name w:val="批注文字"/>
    <w:basedOn w:val="700"/>
    <w:next w:val="755"/>
    <w:link w:val="730"/>
    <w:qFormat/>
    <w:pPr>
      <w:jc w:val="left"/>
    </w:pPr>
  </w:style>
  <w:style w:type="paragraph" w:styleId="756">
    <w:name w:val="目录 7"/>
    <w:basedOn w:val="700"/>
    <w:next w:val="700"/>
    <w:link w:val="700"/>
    <w:semiHidden/>
    <w:pPr>
      <w:ind w:left="1260"/>
      <w:jc w:val="left"/>
    </w:pPr>
  </w:style>
  <w:style w:type="paragraph" w:styleId="757">
    <w:name w:val="正文首行缩进"/>
    <w:basedOn w:val="700"/>
    <w:next w:val="757"/>
    <w:link w:val="743"/>
    <w:pPr>
      <w:ind w:firstLine="200"/>
      <w:spacing w:line="360" w:lineRule="auto"/>
    </w:pPr>
    <w:rPr>
      <w:rFonts w:ascii="仿宋_GB2312" w:eastAsia="仿宋_GB2312"/>
      <w:sz w:val="30"/>
      <w:szCs w:val="30"/>
    </w:rPr>
  </w:style>
  <w:style w:type="paragraph" w:styleId="758">
    <w:name w:val="列表 2"/>
    <w:basedOn w:val="700"/>
    <w:next w:val="758"/>
    <w:link w:val="700"/>
    <w:pPr>
      <w:ind w:left="100" w:hanging="200"/>
    </w:pPr>
  </w:style>
  <w:style w:type="paragraph" w:styleId="759">
    <w:name w:val="文档结构图"/>
    <w:basedOn w:val="700"/>
    <w:next w:val="759"/>
    <w:link w:val="729"/>
    <w:semiHidden/>
    <w:pPr>
      <w:shd w:val="clear" w:color="auto" w:fill="000080"/>
    </w:pPr>
  </w:style>
  <w:style w:type="paragraph" w:styleId="760">
    <w:name w:val="正文文本"/>
    <w:basedOn w:val="700"/>
    <w:next w:val="760"/>
    <w:link w:val="732"/>
    <w:rPr>
      <w:rFonts w:ascii="楷体_GB2312" w:hAnsi="Arial" w:eastAsia="楷体_GB2312"/>
      <w:sz w:val="28"/>
      <w:szCs w:val="28"/>
    </w:rPr>
  </w:style>
  <w:style w:type="paragraph" w:styleId="761">
    <w:name w:val="正文文本缩进 3"/>
    <w:basedOn w:val="700"/>
    <w:next w:val="761"/>
    <w:link w:val="739"/>
    <w:pPr>
      <w:ind w:left="645" w:firstLine="645"/>
    </w:pPr>
    <w:rPr>
      <w:rFonts w:ascii="Arial" w:hAnsi="Arial" w:eastAsia="仿宋_GB2312" w:cs="Arial"/>
      <w:color w:val="ffff00"/>
      <w:sz w:val="32"/>
      <w:szCs w:val="32"/>
    </w:rPr>
  </w:style>
  <w:style w:type="paragraph" w:styleId="762">
    <w:name w:val="目录 4"/>
    <w:basedOn w:val="700"/>
    <w:next w:val="700"/>
    <w:link w:val="700"/>
    <w:semiHidden/>
    <w:pPr>
      <w:ind w:left="630"/>
      <w:jc w:val="left"/>
    </w:pPr>
  </w:style>
  <w:style w:type="paragraph" w:styleId="763">
    <w:name w:val="纯文本"/>
    <w:basedOn w:val="700"/>
    <w:next w:val="763"/>
    <w:link w:val="734"/>
    <w:qFormat/>
    <w:rPr>
      <w:rFonts w:ascii="宋体" w:hAnsi="Courier New" w:cs="Courier New"/>
    </w:rPr>
  </w:style>
  <w:style w:type="paragraph" w:styleId="764">
    <w:name w:val="正文文本缩进"/>
    <w:basedOn w:val="700"/>
    <w:next w:val="764"/>
    <w:link w:val="733"/>
    <w:pPr>
      <w:ind w:firstLine="645"/>
    </w:pPr>
    <w:rPr>
      <w:rFonts w:ascii="楷体_GB2312" w:eastAsia="楷体_GB2312"/>
      <w:sz w:val="32"/>
      <w:szCs w:val="32"/>
    </w:rPr>
  </w:style>
  <w:style w:type="paragraph" w:styleId="765">
    <w:name w:val="标题"/>
    <w:basedOn w:val="700"/>
    <w:next w:val="700"/>
    <w:link w:val="741"/>
    <w:uiPriority w:val="10"/>
    <w:qFormat/>
    <w:pPr>
      <w:jc w:val="center"/>
      <w:spacing w:before="240" w:after="60"/>
      <w:outlineLvl w:val="0"/>
    </w:pPr>
    <w:rPr>
      <w:rFonts w:ascii="Cambria" w:hAnsi="Cambria" w:cs="Times New Roman"/>
      <w:b/>
      <w:bCs/>
      <w:sz w:val="32"/>
      <w:szCs w:val="32"/>
    </w:rPr>
  </w:style>
  <w:style w:type="paragraph" w:styleId="766">
    <w:name w:val="目录 5"/>
    <w:basedOn w:val="700"/>
    <w:next w:val="700"/>
    <w:link w:val="700"/>
    <w:semiHidden/>
    <w:pPr>
      <w:ind w:left="840"/>
      <w:jc w:val="left"/>
    </w:pPr>
  </w:style>
  <w:style w:type="paragraph" w:styleId="767">
    <w:name w:val="图表目录"/>
    <w:basedOn w:val="700"/>
    <w:next w:val="700"/>
    <w:link w:val="700"/>
    <w:semiHidden/>
    <w:pPr>
      <w:ind w:left="840" w:hanging="420"/>
    </w:pPr>
  </w:style>
  <w:style w:type="paragraph" w:styleId="768">
    <w:name w:val="正文首行缩进 2"/>
    <w:basedOn w:val="764"/>
    <w:next w:val="768"/>
    <w:link w:val="720"/>
    <w:pPr>
      <w:ind w:firstLine="420"/>
      <w:spacing w:line="360" w:lineRule="auto"/>
    </w:pPr>
    <w:rPr>
      <w:rFonts w:ascii="宋体" w:hAnsi="宋体" w:eastAsia="宋体"/>
      <w:sz w:val="21"/>
      <w:szCs w:val="20"/>
    </w:rPr>
  </w:style>
  <w:style w:type="paragraph" w:styleId="769">
    <w:name w:val="目录 3"/>
    <w:basedOn w:val="700"/>
    <w:next w:val="700"/>
    <w:link w:val="700"/>
    <w:semiHidden/>
    <w:pPr>
      <w:ind w:left="420"/>
      <w:jc w:val="left"/>
    </w:pPr>
    <w:rPr>
      <w:i/>
      <w:iCs/>
      <w:szCs w:val="24"/>
    </w:rPr>
  </w:style>
  <w:style w:type="paragraph" w:styleId="770">
    <w:name w:val="普通(网站)"/>
    <w:basedOn w:val="700"/>
    <w:next w:val="770"/>
    <w:link w:val="700"/>
    <w:uiPriority w:val="99"/>
    <w:pPr>
      <w:jc w:val="left"/>
      <w:spacing w:before="100" w:beforeAutospacing="1" w:after="100" w:afterAutospacing="1"/>
      <w:widowControl/>
    </w:pPr>
    <w:rPr>
      <w:rFonts w:ascii="宋体" w:hAnsi="宋体" w:cs="宋体"/>
      <w:sz w:val="24"/>
      <w:szCs w:val="24"/>
    </w:rPr>
  </w:style>
  <w:style w:type="paragraph" w:styleId="771">
    <w:name w:val="目录 2"/>
    <w:basedOn w:val="700"/>
    <w:next w:val="700"/>
    <w:link w:val="700"/>
    <w:semiHidden/>
    <w:pPr>
      <w:ind w:left="210"/>
      <w:jc w:val="left"/>
    </w:pPr>
    <w:rPr>
      <w:smallCaps/>
      <w:szCs w:val="24"/>
    </w:rPr>
  </w:style>
  <w:style w:type="paragraph" w:styleId="772">
    <w:name w:val="目录 1"/>
    <w:basedOn w:val="700"/>
    <w:next w:val="700"/>
    <w:link w:val="700"/>
    <w:semiHidden/>
    <w:pPr>
      <w:jc w:val="left"/>
      <w:spacing w:before="120" w:after="120" w:line="400" w:lineRule="exact"/>
      <w:tabs>
        <w:tab w:val="right" w:pos="8720" w:leader="dot"/>
      </w:tabs>
    </w:pPr>
    <w:rPr>
      <w:rFonts w:ascii="宋体" w:hAnsi="宋体"/>
      <w:caps/>
      <w:sz w:val="24"/>
      <w:szCs w:val="24"/>
    </w:rPr>
  </w:style>
  <w:style w:type="paragraph" w:styleId="773">
    <w:name w:val="正文文本缩进 2"/>
    <w:basedOn w:val="700"/>
    <w:next w:val="773"/>
    <w:link w:val="736"/>
    <w:pPr>
      <w:ind w:left="630" w:firstLine="645"/>
    </w:pPr>
    <w:rPr>
      <w:rFonts w:ascii="Arial" w:hAnsi="Arial" w:eastAsia="仿宋_GB2312" w:cs="Arial"/>
      <w:sz w:val="32"/>
      <w:szCs w:val="32"/>
    </w:rPr>
  </w:style>
  <w:style w:type="paragraph" w:styleId="774">
    <w:name w:val="索引 1"/>
    <w:basedOn w:val="700"/>
    <w:next w:val="700"/>
    <w:link w:val="700"/>
    <w:semiHidden/>
    <w:pPr>
      <w:spacing w:line="240" w:lineRule="atLeast"/>
    </w:pPr>
    <w:rPr>
      <w:b/>
      <w:bCs/>
    </w:rPr>
  </w:style>
  <w:style w:type="paragraph" w:styleId="775">
    <w:name w:val="目录 8"/>
    <w:basedOn w:val="700"/>
    <w:next w:val="700"/>
    <w:link w:val="700"/>
    <w:semiHidden/>
    <w:pPr>
      <w:ind w:left="1470"/>
      <w:jc w:val="left"/>
    </w:pPr>
  </w:style>
  <w:style w:type="paragraph" w:styleId="776">
    <w:name w:val="目录 9"/>
    <w:basedOn w:val="700"/>
    <w:next w:val="700"/>
    <w:link w:val="700"/>
    <w:semiHidden/>
    <w:pPr>
      <w:ind w:left="1680"/>
      <w:jc w:val="left"/>
    </w:pPr>
  </w:style>
  <w:style w:type="paragraph" w:styleId="777">
    <w:name w:val="列表"/>
    <w:basedOn w:val="700"/>
    <w:next w:val="777"/>
    <w:link w:val="700"/>
    <w:pPr>
      <w:ind w:left="200" w:hanging="200"/>
    </w:pPr>
  </w:style>
  <w:style w:type="paragraph" w:styleId="778">
    <w:name w:val="页脚"/>
    <w:basedOn w:val="700"/>
    <w:next w:val="778"/>
    <w:link w:val="737"/>
    <w:uiPriority w:val="99"/>
    <w:pPr>
      <w:jc w:val="left"/>
      <w:tabs>
        <w:tab w:val="center" w:pos="4153" w:leader="none"/>
        <w:tab w:val="right" w:pos="8306" w:leader="none"/>
      </w:tabs>
    </w:pPr>
    <w:rPr>
      <w:sz w:val="18"/>
      <w:szCs w:val="18"/>
    </w:rPr>
  </w:style>
  <w:style w:type="paragraph" w:styleId="779">
    <w:name w:val="正文文本 2"/>
    <w:basedOn w:val="700"/>
    <w:next w:val="779"/>
    <w:link w:val="740"/>
    <w:pPr>
      <w:jc w:val="center"/>
      <w:widowControl/>
    </w:pPr>
    <w:rPr>
      <w:rFonts w:ascii="楷体_GB2312" w:eastAsia="楷体_GB2312"/>
      <w:sz w:val="28"/>
      <w:szCs w:val="28"/>
    </w:rPr>
  </w:style>
  <w:style w:type="paragraph" w:styleId="780">
    <w:name w:val="页眉"/>
    <w:basedOn w:val="700"/>
    <w:next w:val="780"/>
    <w:link w:val="738"/>
    <w:pPr>
      <w:jc w:val="center"/>
      <w:tabs>
        <w:tab w:val="center" w:pos="4153" w:leader="none"/>
        <w:tab w:val="right" w:pos="8306" w:leader="none"/>
      </w:tabs>
      <w:pBdr>
        <w:bottom w:val="single" w:color="000000" w:sz="6" w:space="1"/>
      </w:pBdr>
    </w:pPr>
    <w:rPr>
      <w:sz w:val="18"/>
      <w:szCs w:val="18"/>
    </w:rPr>
  </w:style>
  <w:style w:type="paragraph" w:styleId="781">
    <w:name w:val="批注框文本"/>
    <w:basedOn w:val="700"/>
    <w:next w:val="781"/>
    <w:link w:val="712"/>
    <w:semiHidden/>
    <w:rPr>
      <w:sz w:val="18"/>
      <w:szCs w:val="18"/>
    </w:rPr>
  </w:style>
  <w:style w:type="paragraph" w:styleId="782">
    <w:name w:val=" Char Char Char Char Char Char Char Char"/>
    <w:basedOn w:val="700"/>
    <w:next w:val="782"/>
    <w:link w:val="700"/>
    <w:pPr>
      <w:jc w:val="left"/>
      <w:spacing w:after="160" w:line="240" w:lineRule="exact"/>
      <w:widowControl/>
    </w:pPr>
    <w:rPr>
      <w:rFonts w:ascii="Verdana" w:hAnsi="Verdana"/>
      <w:sz w:val="20"/>
      <w:szCs w:val="20"/>
      <w:lang w:eastAsia="en-US"/>
    </w:rPr>
  </w:style>
  <w:style w:type="paragraph" w:styleId="783">
    <w:name w:val="列出段落"/>
    <w:basedOn w:val="700"/>
    <w:next w:val="783"/>
    <w:link w:val="745"/>
    <w:uiPriority w:val="34"/>
    <w:qFormat/>
    <w:pPr>
      <w:contextualSpacing/>
      <w:ind w:left="720"/>
      <w:jc w:val="left"/>
      <w:widowControl/>
    </w:pPr>
    <w:rPr>
      <w:rFonts w:ascii="Calibri" w:hAnsi="Calibri"/>
      <w:sz w:val="24"/>
      <w:szCs w:val="24"/>
      <w:lang w:eastAsia="en-US" w:bidi="en-US"/>
    </w:rPr>
  </w:style>
  <w:style w:type="paragraph" w:styleId="784">
    <w:name w:val="二级目录"/>
    <w:next w:val="700"/>
    <w:link w:val="744"/>
    <w:pPr>
      <w:numPr>
        <w:ilvl w:val="0"/>
        <w:numId w:val="2"/>
      </w:numPr>
      <w:tabs>
        <w:tab w:val="left" w:pos="907" w:leader="none"/>
        <w:tab w:val="left" w:pos="1145" w:leader="none"/>
      </w:tabs>
      <w:outlineLvl w:val="1"/>
    </w:pPr>
    <w:rPr>
      <w:b/>
      <w:sz w:val="30"/>
      <w:szCs w:val="28"/>
      <w:lang w:val="en-US" w:eastAsia="zh-CN" w:bidi="ar-SA"/>
    </w:rPr>
  </w:style>
  <w:style w:type="paragraph" w:styleId="785">
    <w:name w:val="table_lines"/>
    <w:basedOn w:val="700"/>
    <w:next w:val="785"/>
    <w:link w:val="700"/>
    <w:pPr>
      <w:jc w:val="left"/>
      <w:widowControl/>
    </w:pPr>
    <w:rPr>
      <w:sz w:val="20"/>
      <w:szCs w:val="20"/>
      <w:lang w:val="de-DE" w:eastAsia="de-DE"/>
    </w:rPr>
  </w:style>
  <w:style w:type="paragraph" w:styleId="786">
    <w:name w:val="列出段落1"/>
    <w:basedOn w:val="700"/>
    <w:next w:val="786"/>
    <w:link w:val="747"/>
    <w:qFormat/>
    <w:pPr>
      <w:contextualSpacing/>
      <w:ind w:left="720"/>
      <w:jc w:val="left"/>
      <w:widowControl/>
    </w:pPr>
    <w:rPr>
      <w:rFonts w:ascii="Calibri" w:hAnsi="Calibri" w:eastAsia="宋体" w:cs="Times New Roman"/>
      <w:sz w:val="24"/>
      <w:szCs w:val="24"/>
      <w:lang w:eastAsia="en-US" w:bidi="en-US"/>
    </w:rPr>
  </w:style>
  <w:style w:type="paragraph" w:styleId="787">
    <w:name w:val="xl26"/>
    <w:basedOn w:val="700"/>
    <w:next w:val="787"/>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8">
    <w:name w:val="标题1"/>
    <w:basedOn w:val="700"/>
    <w:next w:val="700"/>
    <w:link w:val="700"/>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name w:val="Char"/>
    <w:basedOn w:val="700"/>
    <w:next w:val="789"/>
    <w:link w:val="700"/>
    <w:pPr>
      <w:ind w:firstLine="200"/>
      <w:tabs>
        <w:tab w:val="left" w:pos="360" w:leader="none"/>
      </w:tabs>
    </w:pPr>
    <w:rPr>
      <w:sz w:val="28"/>
      <w:szCs w:val="30"/>
    </w:rPr>
  </w:style>
  <w:style w:type="paragraph" w:styleId="790">
    <w:name w:val="xl29"/>
    <w:basedOn w:val="700"/>
    <w:next w:val="790"/>
    <w:link w:val="70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1">
    <w:name w:val="font6"/>
    <w:basedOn w:val="700"/>
    <w:next w:val="791"/>
    <w:link w:val="700"/>
    <w:pPr>
      <w:jc w:val="left"/>
      <w:spacing w:before="100" w:beforeAutospacing="1" w:after="100" w:afterAutospacing="1"/>
      <w:widowControl/>
    </w:pPr>
    <w:rPr>
      <w:rFonts w:hint="eastAsia" w:ascii="宋体" w:hAnsi="宋体"/>
      <w:sz w:val="28"/>
      <w:szCs w:val="28"/>
      <w:u w:val="single"/>
    </w:rPr>
  </w:style>
  <w:style w:type="paragraph" w:styleId="792">
    <w:name w:val="样式1"/>
    <w:basedOn w:val="700"/>
    <w:next w:val="792"/>
    <w:link w:val="700"/>
    <w:pPr>
      <w:numPr>
        <w:ilvl w:val="0"/>
        <w:numId w:val="3"/>
      </w:numPr>
      <w:tabs>
        <w:tab w:val="left" w:pos="709" w:leader="none"/>
      </w:tabs>
    </w:pPr>
    <w:rPr>
      <w:rFonts w:ascii="宋体" w:hAnsi="宋体"/>
    </w:rPr>
  </w:style>
  <w:style w:type="paragraph" w:styleId="793">
    <w:name w:val="xl24"/>
    <w:basedOn w:val="700"/>
    <w:next w:val="793"/>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4">
    <w:name w:val="xl30"/>
    <w:basedOn w:val="700"/>
    <w:next w:val="794"/>
    <w:link w:val="700"/>
    <w:pPr>
      <w:jc w:val="center"/>
      <w:spacing w:before="100" w:beforeAutospacing="1" w:after="100" w:afterAutospacing="1"/>
      <w:widowControl/>
    </w:pPr>
    <w:rPr>
      <w:rFonts w:ascii="宋体" w:hAnsi="宋体"/>
      <w:b/>
      <w:bCs/>
      <w:sz w:val="36"/>
      <w:szCs w:val="36"/>
    </w:rPr>
  </w:style>
  <w:style w:type="paragraph" w:styleId="795">
    <w:name w:val="标题3"/>
    <w:basedOn w:val="700"/>
    <w:next w:val="700"/>
    <w:link w:val="700"/>
    <w:pPr>
      <w:ind w:firstLine="624"/>
      <w:spacing w:line="590" w:lineRule="atLeast"/>
    </w:pPr>
    <w:rPr>
      <w:rFonts w:ascii="方正黑体_GBK" w:eastAsia="方正黑体_GBK"/>
      <w:sz w:val="32"/>
      <w:szCs w:val="32"/>
    </w:rPr>
  </w:style>
  <w:style w:type="paragraph" w:styleId="796">
    <w:name w:val="列表段落"/>
    <w:basedOn w:val="700"/>
    <w:next w:val="796"/>
    <w:link w:val="700"/>
    <w:uiPriority w:val="34"/>
    <w:qFormat/>
    <w:pPr>
      <w:contextualSpacing/>
      <w:ind w:left="720"/>
      <w:jc w:val="left"/>
      <w:widowControl/>
    </w:pPr>
    <w:rPr>
      <w:rFonts w:ascii="Calibri" w:hAnsi="Calibri"/>
      <w:sz w:val="24"/>
      <w:szCs w:val="24"/>
      <w:lang w:eastAsia="en-US" w:bidi="en-US"/>
    </w:rPr>
  </w:style>
  <w:style w:type="paragraph" w:styleId="797">
    <w:name w:val="普通 (Web)"/>
    <w:basedOn w:val="700"/>
    <w:next w:val="797"/>
    <w:link w:val="700"/>
    <w:pPr>
      <w:jc w:val="left"/>
      <w:spacing w:before="100" w:beforeAutospacing="1" w:after="100" w:afterAutospacing="1"/>
      <w:widowControl/>
    </w:pPr>
    <w:rPr>
      <w:rFonts w:ascii="宋体" w:hAnsi="宋体"/>
      <w:sz w:val="24"/>
      <w:szCs w:val="24"/>
    </w:rPr>
  </w:style>
  <w:style w:type="paragraph" w:styleId="798">
    <w:name w:val="附录1"/>
    <w:next w:val="798"/>
    <w:link w:val="70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9">
    <w:name w:val="无间隔"/>
    <w:next w:val="799"/>
    <w:link w:val="700"/>
    <w:uiPriority w:val="99"/>
    <w:qFormat/>
    <w:pPr>
      <w:jc w:val="both"/>
      <w:widowControl w:val="off"/>
    </w:pPr>
    <w:rPr>
      <w:rFonts w:ascii="Times New Roman" w:hAnsi="Times New Roman"/>
      <w:sz w:val="21"/>
      <w:szCs w:val="21"/>
      <w:lang w:val="en-US" w:eastAsia="zh-CN" w:bidi="ar-SA"/>
    </w:rPr>
  </w:style>
  <w:style w:type="paragraph" w:styleId="800">
    <w:name w:val="xl27"/>
    <w:basedOn w:val="700"/>
    <w:next w:val="800"/>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name w:val="font7"/>
    <w:basedOn w:val="700"/>
    <w:next w:val="801"/>
    <w:link w:val="700"/>
    <w:pPr>
      <w:jc w:val="left"/>
      <w:spacing w:before="100" w:beforeAutospacing="1" w:after="100" w:afterAutospacing="1"/>
      <w:widowControl/>
    </w:pPr>
    <w:rPr>
      <w:rFonts w:hint="eastAsia" w:ascii="宋体" w:hAnsi="宋体"/>
      <w:sz w:val="18"/>
      <w:szCs w:val="18"/>
    </w:rPr>
  </w:style>
  <w:style w:type="paragraph" w:styleId="802">
    <w:name w:val="Char Char Char Char Char Char Char Char"/>
    <w:basedOn w:val="700"/>
    <w:next w:val="802"/>
    <w:link w:val="700"/>
    <w:pPr>
      <w:jc w:val="left"/>
      <w:spacing w:after="160" w:line="240" w:lineRule="exact"/>
      <w:widowControl/>
    </w:pPr>
    <w:rPr>
      <w:rFonts w:ascii="Verdana" w:hAnsi="Verdana"/>
      <w:sz w:val="20"/>
      <w:szCs w:val="20"/>
      <w:lang w:eastAsia="en-US"/>
    </w:rPr>
  </w:style>
  <w:style w:type="paragraph" w:styleId="803">
    <w:name w:val=" Char Char Char Char Char Char Char Char Char Char"/>
    <w:basedOn w:val="700"/>
    <w:next w:val="803"/>
    <w:link w:val="700"/>
    <w:pPr>
      <w:spacing w:line="360" w:lineRule="auto"/>
    </w:pPr>
    <w:rPr>
      <w:sz w:val="24"/>
      <w:szCs w:val="20"/>
    </w:rPr>
  </w:style>
  <w:style w:type="paragraph" w:styleId="804">
    <w:name w:val="Body Text(ch)"/>
    <w:basedOn w:val="700"/>
    <w:next w:val="760"/>
    <w:link w:val="700"/>
    <w:pPr>
      <w:spacing w:after="120"/>
    </w:pPr>
    <w:rPr>
      <w:rFonts w:ascii="宋体" w:hAnsi="Arial"/>
      <w:bCs/>
      <w:iCs/>
      <w:szCs w:val="24"/>
    </w:rPr>
  </w:style>
  <w:style w:type="paragraph" w:styleId="805">
    <w:name w:val=" Char"/>
    <w:basedOn w:val="759"/>
    <w:next w:val="805"/>
    <w:link w:val="700"/>
    <w:rPr>
      <w:rFonts w:ascii="Tahoma" w:hAnsi="Tahoma"/>
      <w:sz w:val="24"/>
      <w:szCs w:val="24"/>
    </w:rPr>
  </w:style>
  <w:style w:type="paragraph" w:styleId="806">
    <w:name w:val="xl28"/>
    <w:basedOn w:val="700"/>
    <w:next w:val="806"/>
    <w:link w:val="7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7">
    <w:name w:val="修订"/>
    <w:next w:val="807"/>
    <w:link w:val="700"/>
    <w:uiPriority w:val="99"/>
    <w:semiHidden/>
    <w:rPr>
      <w:rFonts w:ascii="Times New Roman" w:hAnsi="Times New Roman"/>
      <w:sz w:val="21"/>
      <w:szCs w:val="21"/>
      <w:lang w:val="en-US" w:eastAsia="zh-CN" w:bidi="ar-SA"/>
    </w:rPr>
  </w:style>
  <w:style w:type="paragraph" w:styleId="808">
    <w:name w:val=" Char Char Char Char"/>
    <w:basedOn w:val="759"/>
    <w:next w:val="808"/>
    <w:link w:val="700"/>
    <w:pPr>
      <w:spacing w:line="360" w:lineRule="auto"/>
    </w:pPr>
    <w:rPr>
      <w:rFonts w:ascii="Tahoma" w:hAnsi="Tahoma"/>
      <w:sz w:val="24"/>
      <w:szCs w:val="24"/>
    </w:rPr>
  </w:style>
  <w:style w:type="paragraph" w:styleId="809">
    <w:name w:val="图标"/>
    <w:basedOn w:val="700"/>
    <w:next w:val="700"/>
    <w:link w:val="70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0">
    <w:name w:val="font5"/>
    <w:basedOn w:val="700"/>
    <w:next w:val="810"/>
    <w:link w:val="700"/>
    <w:pPr>
      <w:jc w:val="left"/>
      <w:spacing w:before="100" w:beforeAutospacing="1" w:after="100" w:afterAutospacing="1"/>
      <w:widowControl/>
    </w:pPr>
    <w:rPr>
      <w:rFonts w:hint="eastAsia" w:ascii="宋体" w:hAnsi="宋体"/>
      <w:sz w:val="28"/>
      <w:szCs w:val="28"/>
    </w:rPr>
  </w:style>
  <w:style w:type="paragraph" w:styleId="811">
    <w:name w:val="xl25"/>
    <w:basedOn w:val="700"/>
    <w:next w:val="811"/>
    <w:link w:val="7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2">
    <w:name w:val="Char Char Char Char"/>
    <w:basedOn w:val="759"/>
    <w:next w:val="812"/>
    <w:link w:val="700"/>
    <w:pPr>
      <w:spacing w:line="360" w:lineRule="auto"/>
    </w:pPr>
    <w:rPr>
      <w:rFonts w:ascii="Tahoma" w:hAnsi="Tahoma"/>
      <w:sz w:val="24"/>
      <w:szCs w:val="24"/>
    </w:rPr>
  </w:style>
  <w:style w:type="paragraph" w:styleId="813">
    <w:name w:val="table_1stline"/>
    <w:basedOn w:val="700"/>
    <w:next w:val="813"/>
    <w:link w:val="700"/>
    <w:pPr>
      <w:jc w:val="left"/>
      <w:spacing w:before="120"/>
      <w:widowControl/>
    </w:pPr>
    <w:rPr>
      <w:bCs/>
      <w:sz w:val="20"/>
      <w:szCs w:val="20"/>
      <w:lang w:val="de-DE" w:eastAsia="de-DE"/>
    </w:rPr>
  </w:style>
  <w:style w:type="paragraph" w:styleId="814">
    <w:name w:val="普通正文"/>
    <w:basedOn w:val="700"/>
    <w:next w:val="814"/>
    <w:link w:val="700"/>
    <w:pPr>
      <w:ind w:firstLine="480"/>
      <w:jc w:val="left"/>
      <w:spacing w:before="120" w:after="120" w:line="360" w:lineRule="auto"/>
    </w:pPr>
    <w:rPr>
      <w:rFonts w:ascii="Arial" w:hAnsi="Arial"/>
      <w:sz w:val="24"/>
      <w:szCs w:val="24"/>
    </w:rPr>
  </w:style>
  <w:style w:type="table" w:styleId="815">
    <w:name w:val="网格型"/>
    <w:basedOn w:val="711"/>
    <w:next w:val="815"/>
    <w:link w:val="700"/>
    <w:pPr>
      <w:jc w:val="both"/>
      <w:widowControl w:val="off"/>
    </w:pPr>
    <w:rPr>
      <w:rFonts w:ascii="Times New Roman" w:hAnsi="Times New Roman" w:eastAsia="宋体" w:cs="Times New Roman"/>
      <w:sz w:val="20"/>
      <w:szCs w:val="20"/>
    </w:rPr>
    <w:tblPr/>
  </w:style>
  <w:style w:type="character" w:styleId="11285" w:default="1">
    <w:name w:val="Default Paragraph Font"/>
    <w:uiPriority w:val="1"/>
    <w:semiHidden/>
    <w:unhideWhenUsed/>
  </w:style>
  <w:style w:type="numbering" w:styleId="11286" w:default="1">
    <w:name w:val="No List"/>
    <w:uiPriority w:val="99"/>
    <w:semiHidden/>
    <w:unhideWhenUsed/>
  </w:style>
  <w:style w:type="table" w:styleId="1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2</cp:revision>
  <dcterms:created xsi:type="dcterms:W3CDTF">2024-07-29T06:57:00Z</dcterms:created>
  <dcterms:modified xsi:type="dcterms:W3CDTF">2026-09-11T08:10:29Z</dcterms:modified>
</cp:coreProperties>
</file>