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390" w:leader="none"/>
          <w:tab w:val="center" w:pos="4404" w:leader="none"/>
        </w:tabs>
        <w:rPr>
          <w:rFonts w:hint="eastAsia" w:ascii="宋体" w:hAnsi="宋体" w:cs="宋体"/>
          <w:color w:val="auto"/>
          <w:sz w:val="76"/>
          <w:szCs w:val="76"/>
          <w:highlight w:val="none"/>
        </w:rPr>
      </w:pPr>
      <w:r/>
      <w:bookmarkStart w:id="67" w:name="_GoBack"/>
      <w:r/>
      <w:bookmarkEnd w:id="67"/>
      <w:r/>
      <w:r/>
    </w:p>
    <w:p>
      <w:pPr>
        <w:jc w:val="center"/>
        <w:spacing w:line="360" w:lineRule="auto"/>
        <w:tabs>
          <w:tab w:val="left" w:pos="390" w:leader="none"/>
          <w:tab w:val="center" w:pos="4404" w:leader="none"/>
        </w:tabs>
        <w:rPr>
          <w:rFonts w:hint="eastAsia" w:ascii="宋体" w:hAnsi="宋体" w:cs="宋体"/>
          <w:color w:val="auto"/>
          <w:sz w:val="76"/>
          <w:szCs w:val="76"/>
          <w:highlight w:val="none"/>
        </w:rPr>
      </w:pPr>
      <w:r>
        <w:rPr>
          <w:rFonts w:hint="eastAsia" w:ascii="宋体" w:hAnsi="宋体" w:cs="宋体"/>
          <w:color w:val="auto"/>
          <w:sz w:val="76"/>
          <w:szCs w:val="76"/>
          <w:highlight w:val="none"/>
        </w:rPr>
        <w:t xml:space="preserve">公开招标文件</w:t>
      </w:r>
      <w:r/>
    </w:p>
    <w:p>
      <w:pP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Fonts w:hint="eastAsia" w:ascii="宋体" w:hAnsi="宋体" w:cs="宋体"/>
          <w:color w:val="auto"/>
          <w:sz w:val="44"/>
          <w:highlight w:val="none"/>
        </w:rPr>
      </w:pPr>
      <w:r>
        <w:rPr>
          <w:rFonts w:hint="eastAsia" w:ascii="宋体" w:hAnsi="宋体" w:cs="宋体"/>
          <w:color w:val="auto"/>
          <w:sz w:val="44"/>
          <w:highlight w:val="none"/>
        </w:rPr>
      </w:r>
      <w:r/>
    </w:p>
    <w:p>
      <w:pPr>
        <w:spacing w:line="360" w:lineRule="auto"/>
        <w:rPr>
          <w:rFonts w:hint="eastAsia" w:ascii="宋体" w:hAnsi="宋体" w:cs="宋体"/>
          <w:color w:val="auto"/>
          <w:sz w:val="44"/>
          <w:highlight w:val="none"/>
        </w:rPr>
      </w:pPr>
      <w:r>
        <w:rPr>
          <w:rFonts w:hint="eastAsia" w:ascii="宋体" w:hAnsi="宋体" w:cs="宋体"/>
          <w:color w:val="auto"/>
          <w:sz w:val="44"/>
          <w:highlight w:val="none"/>
        </w:rPr>
      </w:r>
      <w:r/>
    </w:p>
    <w:p>
      <w:pPr>
        <w:jc w:val="center"/>
        <w:spacing w:line="360" w:lineRule="auto"/>
        <w:rPr>
          <w:rFonts w:hint="eastAsia" w:ascii="宋体" w:hAnsi="宋体" w:cs="宋体"/>
          <w:color w:val="auto"/>
          <w:sz w:val="44"/>
          <w:highlight w:val="none"/>
        </w:rPr>
      </w:pPr>
      <w:r>
        <w:rPr>
          <w:rFonts w:hint="eastAsia" w:ascii="宋体" w:hAnsi="宋体" w:cs="宋体"/>
          <w:color w:val="auto"/>
          <w:sz w:val="44"/>
          <w:highlight w:val="none"/>
        </w:rPr>
      </w:r>
      <w:r/>
    </w:p>
    <w:tbl>
      <w:tblPr>
        <w:tblStyle w:val="865"/>
        <w:tblW w:w="9445" w:type="dxa"/>
        <w:tblInd w:w="-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45"/>
      </w:tblGrid>
      <w:tr>
        <w:trPr>
          <w:trHeight w:val="1523"/>
        </w:trPr>
        <w:tc>
          <w:tcPr>
            <w:tcBorders>
              <w:top w:val="none" w:color="000000" w:sz="4" w:space="0"/>
              <w:left w:val="none" w:color="000000" w:sz="4" w:space="0"/>
              <w:bottom w:val="none" w:color="000000" w:sz="4" w:space="0"/>
              <w:right w:val="none" w:color="000000" w:sz="4" w:space="0"/>
            </w:tcBorders>
            <w:tcW w:w="9445" w:type="dxa"/>
            <w:vAlign w:val="top"/>
            <w:textDirection w:val="lrTb"/>
            <w:noWrap w:val="false"/>
          </w:tcPr>
          <w:p>
            <w:pPr>
              <w:pStyle w:val="856"/>
              <w:jc w:val="center"/>
              <w:rPr>
                <w:rFonts w:hint="eastAsia" w:ascii="宋体" w:hAnsi="宋体" w:cs="宋体"/>
                <w:color w:val="auto"/>
                <w:sz w:val="32"/>
                <w:szCs w:val="32"/>
                <w:highlight w:val="none"/>
                <w:lang w:eastAsia="zh-CN"/>
              </w:rPr>
            </w:pPr>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JSZC-320100-NJYP-G2026-0019</w:t>
            </w:r>
            <w:r/>
          </w:p>
          <w:p>
            <w:pPr>
              <w:pStyle w:val="856"/>
              <w:jc w:val="center"/>
              <w:rPr>
                <w:rFonts w:hint="eastAsia" w:eastAsia="宋体"/>
                <w:color w:val="auto"/>
                <w:highlight w:val="none"/>
                <w:lang w:eastAsia="zh-CN"/>
              </w:rPr>
            </w:pPr>
            <w:r>
              <w:rPr>
                <w:rFonts w:hint="eastAsia" w:ascii="宋体" w:hAnsi="宋体" w:cs="宋体"/>
                <w:b w:val="0"/>
                <w:color w:val="auto"/>
                <w:sz w:val="32"/>
                <w:szCs w:val="32"/>
                <w:highlight w:val="none"/>
              </w:rPr>
              <w:t xml:space="preserve">项目名称：</w:t>
            </w:r>
            <w:r>
              <w:rPr>
                <w:rFonts w:hint="eastAsia" w:ascii="宋体" w:hAnsi="宋体" w:cs="宋体"/>
                <w:b w:val="0"/>
                <w:color w:val="auto"/>
                <w:sz w:val="32"/>
                <w:szCs w:val="32"/>
                <w:highlight w:val="none"/>
                <w:lang w:eastAsia="zh-CN"/>
              </w:rPr>
              <w:t xml:space="preserve">2026年警用装备购置更新专项市局保障中心补充装备项目</w:t>
            </w:r>
            <w:r/>
          </w:p>
        </w:tc>
      </w:tr>
      <w:tr>
        <w:trPr>
          <w:trHeight w:val="1523"/>
        </w:trPr>
        <w:tc>
          <w:tcPr>
            <w:tcBorders>
              <w:top w:val="none" w:color="000000" w:sz="4" w:space="0"/>
              <w:left w:val="none" w:color="000000" w:sz="4" w:space="0"/>
              <w:bottom w:val="none" w:color="000000" w:sz="4" w:space="0"/>
              <w:right w:val="none" w:color="000000" w:sz="4" w:space="0"/>
            </w:tcBorders>
            <w:tcW w:w="9445" w:type="dxa"/>
            <w:vAlign w:val="top"/>
            <w:textDirection w:val="lrTb"/>
            <w:noWrap w:val="false"/>
          </w:tcPr>
          <w:p>
            <w:pPr>
              <w:ind w:left="1620" w:hanging="162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bl>
    <w:p>
      <w:pPr>
        <w:jc w:val="center"/>
        <w:spacing w:line="360" w:lineRule="auto"/>
        <w:rPr>
          <w:rFonts w:hint="eastAsia" w:ascii="宋体" w:hAnsi="宋体" w:cs="宋体"/>
          <w:color w:val="auto"/>
          <w:sz w:val="44"/>
          <w:highlight w:val="none"/>
        </w:rPr>
      </w:pPr>
      <w:r>
        <w:rPr>
          <w:rFonts w:hint="eastAsia" w:ascii="宋体" w:hAnsi="宋体" w:cs="宋体"/>
          <w:color w:val="auto"/>
          <w:sz w:val="44"/>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招标人：</w:t>
      </w:r>
      <w:r>
        <w:rPr>
          <w:rFonts w:hint="eastAsia" w:ascii="宋体" w:hAnsi="宋体" w:cs="宋体"/>
          <w:color w:val="auto"/>
          <w:sz w:val="32"/>
          <w:szCs w:val="32"/>
          <w:highlight w:val="none"/>
          <w:lang w:eastAsia="zh-CN"/>
        </w:rPr>
        <w:t xml:space="preserve">南京市公安局</w:t>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招标代理机构：南京永平建设项目管理有限公司</w:t>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二</w:t>
      </w:r>
      <w:bookmarkStart w:id="0" w:name="_Hlk37241689"/>
      <w:r>
        <w:rPr>
          <w:rFonts w:hint="eastAsia" w:ascii="宋体" w:hAnsi="宋体" w:cs="宋体"/>
          <w:color w:val="auto"/>
          <w:sz w:val="32"/>
          <w:szCs w:val="32"/>
          <w:highlight w:val="none"/>
        </w:rPr>
        <w:t xml:space="preserve">〇</w:t>
      </w:r>
      <w:bookmarkEnd w:id="0"/>
      <w:r>
        <w:rPr>
          <w:rFonts w:hint="eastAsia" w:ascii="宋体" w:hAnsi="宋体" w:cs="宋体"/>
          <w:color w:val="auto"/>
          <w:sz w:val="32"/>
          <w:szCs w:val="32"/>
          <w:highlight w:val="none"/>
        </w:rPr>
        <w:t xml:space="preserve">二六年</w:t>
      </w:r>
      <w:r>
        <w:rPr>
          <w:rFonts w:hint="eastAsia" w:ascii="宋体" w:hAnsi="宋体" w:cs="宋体"/>
          <w:color w:val="auto"/>
          <w:sz w:val="32"/>
          <w:szCs w:val="32"/>
          <w:highlight w:val="none"/>
          <w:lang w:val="en-US" w:eastAsia="zh-CN"/>
        </w:rPr>
        <w:t xml:space="preserve">八</w:t>
      </w:r>
      <w:r>
        <w:rPr>
          <w:rFonts w:hint="eastAsia" w:ascii="宋体" w:hAnsi="宋体" w:cs="宋体"/>
          <w:color w:val="auto"/>
          <w:sz w:val="32"/>
          <w:szCs w:val="32"/>
          <w:highlight w:val="none"/>
        </w:rPr>
        <w:t xml:space="preserve">月 </w:t>
      </w:r>
      <w:r/>
    </w:p>
    <w:p>
      <w:pPr>
        <w:jc w:val="center"/>
        <w:spacing w:line="360" w:lineRule="auto"/>
        <w:rPr>
          <w:rFonts w:hint="eastAsia" w:ascii="宋体" w:hAnsi="宋体" w:cs="宋体"/>
          <w:color w:val="auto"/>
          <w:sz w:val="28"/>
          <w:szCs w:val="28"/>
          <w:highlight w:val="none"/>
        </w:rPr>
      </w:pPr>
      <w:r>
        <w:rPr>
          <w:rFonts w:ascii="宋体" w:hAnsi="宋体" w:cs="宋体"/>
          <w:color w:val="auto"/>
          <w:sz w:val="28"/>
          <w:szCs w:val="28"/>
          <w:highlight w:val="none"/>
        </w:rPr>
        <w:br w:type="page" w:clear="all"/>
      </w:r>
      <w:r>
        <w:rPr>
          <w:rFonts w:hint="eastAsia" w:ascii="宋体" w:hAnsi="宋体" w:cs="宋体"/>
          <w:color w:val="auto"/>
          <w:sz w:val="28"/>
          <w:szCs w:val="28"/>
          <w:highlight w:val="none"/>
        </w:rPr>
        <w:t xml:space="preserve">目 录</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81"/>
        <w:spacing w:line="360" w:lineRule="auto"/>
        <w:tabs>
          <w:tab w:val="clear" w:pos="8456" w:leader="none"/>
          <w:tab w:val="right" w:pos="9468" w:leader="dot"/>
        </w:tabs>
        <w:rPr>
          <w:rFonts w:hint="eastAsia"/>
          <w:color w:val="auto"/>
          <w:sz w:val="28"/>
          <w:szCs w:val="28"/>
          <w:highlight w:val="none"/>
        </w:rPr>
      </w:pPr>
      <w:r>
        <w:rPr>
          <w:rFonts w:hint="eastAsia" w:cs="宋体"/>
          <w:color w:val="auto"/>
          <w:sz w:val="28"/>
          <w:szCs w:val="28"/>
          <w:highlight w:val="none"/>
        </w:rPr>
        <w:fldChar w:fldCharType="begin"/>
      </w:r>
      <w:r>
        <w:rPr>
          <w:rFonts w:hint="eastAsia" w:cs="宋体"/>
          <w:color w:val="auto"/>
          <w:sz w:val="28"/>
          <w:szCs w:val="28"/>
          <w:highlight w:val="none"/>
        </w:rPr>
        <w:instrText xml:space="preserve">TOC \o "1-1" \h</w:instrText>
      </w:r>
      <w:r>
        <w:rPr>
          <w:rFonts w:hint="eastAsia"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"_Toc8984" </w:instrText>
      </w:r>
      <w:r>
        <w:rPr>
          <w:color w:val="auto"/>
          <w:highlight w:val="none"/>
        </w:rPr>
        <w:fldChar w:fldCharType="separate"/>
      </w:r>
      <w:r>
        <w:rPr>
          <w:rFonts w:hint="eastAsia" w:cs="宋体"/>
          <w:color w:val="auto"/>
          <w:sz w:val="28"/>
          <w:szCs w:val="28"/>
          <w:highlight w:val="none"/>
          <w:lang w:val="zh-CN"/>
        </w:rPr>
        <w:t xml:space="preserve">第一章 </w:t>
      </w:r>
      <w:r>
        <w:rPr>
          <w:rFonts w:hint="eastAsia" w:cs="宋体"/>
          <w:color w:val="auto"/>
          <w:sz w:val="28"/>
          <w:szCs w:val="28"/>
          <w:highlight w:val="none"/>
        </w:rPr>
        <w:t xml:space="preserve">招标公告</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_Toc8984 \h </w:instrText>
      </w:r>
      <w:r>
        <w:rPr>
          <w:color w:val="auto"/>
          <w:sz w:val="28"/>
          <w:szCs w:val="28"/>
          <w:highlight w:val="none"/>
        </w:rPr>
        <w:fldChar w:fldCharType="separate"/>
      </w:r>
      <w:r>
        <w:rPr>
          <w:color w:val="auto"/>
          <w:sz w:val="28"/>
          <w:szCs w:val="28"/>
          <w:highlight w:val="none"/>
        </w:rPr>
        <w:t xml:space="preserve">1</w:t>
      </w:r>
      <w:r>
        <w:rPr>
          <w:color w:val="auto"/>
          <w:sz w:val="28"/>
          <w:szCs w:val="28"/>
          <w:highlight w:val="none"/>
        </w:rPr>
        <w:fldChar w:fldCharType="end"/>
      </w:r>
      <w:r>
        <w:rPr>
          <w:color w:val="auto"/>
          <w:sz w:val="28"/>
          <w:szCs w:val="28"/>
          <w:highlight w:val="none"/>
        </w:rPr>
        <w:fldChar w:fldCharType="end"/>
      </w:r>
      <w:r/>
    </w:p>
    <w:p>
      <w:pPr>
        <w:pStyle w:val="881"/>
        <w:spacing w:line="360" w:lineRule="auto"/>
        <w:tabs>
          <w:tab w:val="clear" w:pos="8456" w:leader="none"/>
          <w:tab w:val="right" w:pos="9468" w:leader="dot"/>
        </w:tabs>
        <w:rPr>
          <w:rFonts w:hint="eastAsia"/>
          <w:color w:val="auto"/>
          <w:sz w:val="28"/>
          <w:szCs w:val="28"/>
          <w:highlight w:val="none"/>
        </w:rPr>
      </w:pPr>
      <w:r>
        <w:rPr>
          <w:color w:val="auto"/>
          <w:highlight w:val="none"/>
        </w:rPr>
        <w:fldChar w:fldCharType="begin"/>
      </w:r>
      <w:r>
        <w:rPr>
          <w:color w:val="auto"/>
          <w:highlight w:val="none"/>
        </w:rPr>
        <w:instrText xml:space="preserve"> HYPERLINK \l "_Toc25854" </w:instrText>
      </w:r>
      <w:r>
        <w:rPr>
          <w:color w:val="auto"/>
          <w:highlight w:val="none"/>
        </w:rPr>
        <w:fldChar w:fldCharType="separate"/>
      </w:r>
      <w:r>
        <w:rPr>
          <w:rFonts w:hint="eastAsia" w:cs="宋体"/>
          <w:color w:val="auto"/>
          <w:sz w:val="28"/>
          <w:szCs w:val="28"/>
          <w:highlight w:val="none"/>
          <w:lang w:val="zh-CN"/>
        </w:rPr>
        <w:t xml:space="preserve">第二章 供应商须知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_Toc25854 \h </w:instrText>
      </w:r>
      <w:r>
        <w:rPr>
          <w:color w:val="auto"/>
          <w:sz w:val="28"/>
          <w:szCs w:val="28"/>
          <w:highlight w:val="none"/>
        </w:rPr>
        <w:fldChar w:fldCharType="separate"/>
      </w:r>
      <w:r>
        <w:rPr>
          <w:color w:val="auto"/>
          <w:sz w:val="28"/>
          <w:szCs w:val="28"/>
          <w:highlight w:val="none"/>
        </w:rPr>
        <w:t xml:space="preserve">5</w:t>
      </w:r>
      <w:r>
        <w:rPr>
          <w:color w:val="auto"/>
          <w:sz w:val="28"/>
          <w:szCs w:val="28"/>
          <w:highlight w:val="none"/>
        </w:rPr>
        <w:fldChar w:fldCharType="end"/>
      </w:r>
      <w:r>
        <w:rPr>
          <w:color w:val="auto"/>
          <w:sz w:val="28"/>
          <w:szCs w:val="28"/>
          <w:highlight w:val="none"/>
        </w:rPr>
        <w:fldChar w:fldCharType="end"/>
      </w:r>
      <w:r/>
    </w:p>
    <w:p>
      <w:pPr>
        <w:pStyle w:val="881"/>
        <w:spacing w:line="360" w:lineRule="auto"/>
        <w:tabs>
          <w:tab w:val="clear" w:pos="8456" w:leader="none"/>
          <w:tab w:val="right" w:pos="9468" w:leader="dot"/>
        </w:tabs>
        <w:rPr>
          <w:rFonts w:hint="eastAsia"/>
          <w:color w:val="auto"/>
          <w:sz w:val="28"/>
          <w:szCs w:val="28"/>
          <w:highlight w:val="none"/>
        </w:rPr>
      </w:pPr>
      <w:r>
        <w:rPr>
          <w:color w:val="auto"/>
          <w:highlight w:val="none"/>
        </w:rPr>
        <w:fldChar w:fldCharType="begin"/>
      </w:r>
      <w:r>
        <w:rPr>
          <w:color w:val="auto"/>
          <w:highlight w:val="none"/>
        </w:rPr>
        <w:instrText xml:space="preserve"> HYPERLINK \l "_Toc6717" </w:instrText>
      </w:r>
      <w:r>
        <w:rPr>
          <w:color w:val="auto"/>
          <w:highlight w:val="none"/>
        </w:rPr>
        <w:fldChar w:fldCharType="separate"/>
      </w:r>
      <w:r>
        <w:rPr>
          <w:rFonts w:hint="eastAsia"/>
          <w:color w:val="auto"/>
          <w:sz w:val="28"/>
          <w:szCs w:val="28"/>
          <w:highlight w:val="none"/>
        </w:rPr>
        <w:t xml:space="preserve">第三章 </w:t>
      </w:r>
      <w:r>
        <w:rPr>
          <w:rFonts w:hint="eastAsia"/>
          <w:color w:val="auto"/>
          <w:sz w:val="28"/>
          <w:szCs w:val="28"/>
          <w:highlight w:val="none"/>
          <w:lang w:val="zh-CN"/>
        </w:rPr>
        <w:t xml:space="preserve">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_Toc6717 \h </w:instrText>
      </w:r>
      <w:r>
        <w:rPr>
          <w:color w:val="auto"/>
          <w:sz w:val="28"/>
          <w:szCs w:val="28"/>
          <w:highlight w:val="none"/>
        </w:rPr>
        <w:fldChar w:fldCharType="separate"/>
      </w:r>
      <w:r>
        <w:rPr>
          <w:color w:val="auto"/>
          <w:sz w:val="28"/>
          <w:szCs w:val="28"/>
          <w:highlight w:val="none"/>
        </w:rPr>
        <w:t xml:space="preserve">17</w:t>
      </w:r>
      <w:r>
        <w:rPr>
          <w:color w:val="auto"/>
          <w:sz w:val="28"/>
          <w:szCs w:val="28"/>
          <w:highlight w:val="none"/>
        </w:rPr>
        <w:fldChar w:fldCharType="end"/>
      </w:r>
      <w:r>
        <w:rPr>
          <w:color w:val="auto"/>
          <w:sz w:val="28"/>
          <w:szCs w:val="28"/>
          <w:highlight w:val="none"/>
        </w:rPr>
        <w:fldChar w:fldCharType="end"/>
      </w:r>
      <w:r/>
    </w:p>
    <w:p>
      <w:pPr>
        <w:pStyle w:val="881"/>
        <w:spacing w:line="360" w:lineRule="auto"/>
        <w:tabs>
          <w:tab w:val="clear" w:pos="8456" w:leader="none"/>
          <w:tab w:val="right" w:pos="9468" w:leader="dot"/>
        </w:tabs>
        <w:rPr>
          <w:rFonts w:hint="eastAsia"/>
          <w:color w:val="auto"/>
          <w:sz w:val="28"/>
          <w:szCs w:val="28"/>
          <w:highlight w:val="none"/>
        </w:rPr>
      </w:pPr>
      <w:r>
        <w:rPr>
          <w:color w:val="auto"/>
          <w:highlight w:val="none"/>
        </w:rPr>
        <w:fldChar w:fldCharType="begin"/>
      </w:r>
      <w:r>
        <w:rPr>
          <w:color w:val="auto"/>
          <w:highlight w:val="none"/>
        </w:rPr>
        <w:instrText xml:space="preserve"> HYPERLINK \l "_Toc8160" </w:instrText>
      </w:r>
      <w:r>
        <w:rPr>
          <w:color w:val="auto"/>
          <w:highlight w:val="none"/>
        </w:rPr>
        <w:fldChar w:fldCharType="separate"/>
      </w:r>
      <w:r>
        <w:rPr>
          <w:rFonts w:hint="eastAsia" w:cs="宋体"/>
          <w:color w:val="auto"/>
          <w:sz w:val="28"/>
          <w:szCs w:val="28"/>
          <w:highlight w:val="none"/>
          <w:lang w:val="zh-CN"/>
        </w:rPr>
        <w:t xml:space="preserve">第四章</w:t>
      </w:r>
      <w:r>
        <w:rPr>
          <w:rFonts w:hint="eastAsia" w:cs="宋体"/>
          <w:color w:val="auto"/>
          <w:sz w:val="28"/>
          <w:szCs w:val="28"/>
          <w:highlight w:val="none"/>
        </w:rPr>
        <w:t xml:space="preserve"> </w:t>
      </w:r>
      <w:r>
        <w:rPr>
          <w:rFonts w:hint="eastAsia" w:cs="宋体"/>
          <w:color w:val="auto"/>
          <w:sz w:val="28"/>
          <w:szCs w:val="28"/>
          <w:highlight w:val="none"/>
          <w:lang w:val="zh-CN"/>
        </w:rPr>
        <w:t xml:space="preserve">采购项目需求</w:t>
      </w:r>
      <w:r>
        <w:rPr>
          <w:color w:val="auto"/>
          <w:sz w:val="28"/>
          <w:szCs w:val="28"/>
          <w:highlight w:val="none"/>
        </w:rPr>
        <w:tab/>
      </w:r>
      <w:r>
        <w:rPr>
          <w:rFonts w:hint="eastAsia"/>
          <w:color w:val="auto"/>
          <w:sz w:val="28"/>
          <w:szCs w:val="28"/>
          <w:highlight w:val="none"/>
        </w:rPr>
        <w:t xml:space="preserve">1</w:t>
      </w:r>
      <w:r>
        <w:rPr>
          <w:rFonts w:hint="eastAsia"/>
          <w:color w:val="auto"/>
          <w:sz w:val="28"/>
          <w:szCs w:val="28"/>
          <w:highlight w:val="none"/>
        </w:rPr>
        <w:fldChar w:fldCharType="end"/>
      </w:r>
      <w:r>
        <w:rPr>
          <w:rFonts w:hint="eastAsia"/>
          <w:color w:val="auto"/>
          <w:sz w:val="28"/>
          <w:szCs w:val="28"/>
          <w:highlight w:val="none"/>
        </w:rPr>
        <w:t xml:space="preserve">9</w:t>
      </w:r>
      <w:r/>
    </w:p>
    <w:p>
      <w:pPr>
        <w:pStyle w:val="881"/>
        <w:spacing w:line="360" w:lineRule="auto"/>
        <w:tabs>
          <w:tab w:val="clear" w:pos="8456" w:leader="none"/>
          <w:tab w:val="right" w:pos="9468" w:leader="dot"/>
        </w:tabs>
        <w:rPr>
          <w:rFonts w:hint="eastAsia"/>
          <w:color w:val="auto"/>
          <w:sz w:val="28"/>
          <w:szCs w:val="28"/>
          <w:highlight w:val="none"/>
        </w:rPr>
      </w:pPr>
      <w:r>
        <w:rPr>
          <w:color w:val="auto"/>
          <w:highlight w:val="none"/>
        </w:rPr>
        <w:fldChar w:fldCharType="begin"/>
      </w:r>
      <w:r>
        <w:rPr>
          <w:color w:val="auto"/>
          <w:highlight w:val="none"/>
        </w:rPr>
        <w:instrText xml:space="preserve"> HYPERLINK \l "_Toc7238" </w:instrText>
      </w:r>
      <w:r>
        <w:rPr>
          <w:color w:val="auto"/>
          <w:highlight w:val="none"/>
        </w:rPr>
        <w:fldChar w:fldCharType="separate"/>
      </w:r>
      <w:r>
        <w:rPr>
          <w:rFonts w:hint="eastAsia"/>
          <w:color w:val="auto"/>
          <w:sz w:val="28"/>
          <w:szCs w:val="28"/>
          <w:highlight w:val="none"/>
          <w:lang w:val="zh-CN"/>
        </w:rPr>
        <w:t xml:space="preserve">第五章</w:t>
      </w:r>
      <w:r>
        <w:rPr>
          <w:rFonts w:hint="eastAsia"/>
          <w:color w:val="auto"/>
          <w:sz w:val="28"/>
          <w:szCs w:val="28"/>
          <w:highlight w:val="none"/>
        </w:rPr>
        <w:t xml:space="preserve"> </w:t>
      </w:r>
      <w:r>
        <w:rPr>
          <w:rFonts w:hint="eastAsia"/>
          <w:color w:val="auto"/>
          <w:sz w:val="28"/>
          <w:szCs w:val="28"/>
          <w:highlight w:val="none"/>
          <w:lang w:val="zh-CN"/>
        </w:rPr>
        <w:t xml:space="preserve">合同主要条款及格式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_Toc7238 \h </w:instrText>
      </w:r>
      <w:r>
        <w:rPr>
          <w:color w:val="auto"/>
          <w:sz w:val="28"/>
          <w:szCs w:val="28"/>
          <w:highlight w:val="none"/>
        </w:rPr>
        <w:fldChar w:fldCharType="separate"/>
      </w:r>
      <w:r>
        <w:rPr>
          <w:color w:val="auto"/>
          <w:sz w:val="28"/>
          <w:szCs w:val="28"/>
          <w:highlight w:val="none"/>
        </w:rPr>
        <w:t xml:space="preserve">36</w:t>
      </w:r>
      <w:r>
        <w:rPr>
          <w:color w:val="auto"/>
          <w:sz w:val="28"/>
          <w:szCs w:val="28"/>
          <w:highlight w:val="none"/>
        </w:rPr>
        <w:fldChar w:fldCharType="end"/>
      </w:r>
      <w:r>
        <w:rPr>
          <w:color w:val="auto"/>
          <w:sz w:val="28"/>
          <w:szCs w:val="28"/>
          <w:highlight w:val="none"/>
        </w:rPr>
        <w:fldChar w:fldCharType="end"/>
      </w:r>
      <w:r/>
    </w:p>
    <w:p>
      <w:pPr>
        <w:pStyle w:val="881"/>
        <w:spacing w:line="360" w:lineRule="auto"/>
        <w:tabs>
          <w:tab w:val="clear" w:pos="8456" w:leader="none"/>
          <w:tab w:val="right" w:pos="9468" w:leader="dot"/>
        </w:tabs>
        <w:rPr>
          <w:rFonts w:hint="eastAsia"/>
          <w:color w:val="auto"/>
          <w:sz w:val="28"/>
          <w:szCs w:val="28"/>
          <w:highlight w:val="none"/>
        </w:rPr>
      </w:pPr>
      <w:r>
        <w:rPr>
          <w:color w:val="auto"/>
          <w:highlight w:val="none"/>
        </w:rPr>
        <w:fldChar w:fldCharType="begin"/>
      </w:r>
      <w:r>
        <w:rPr>
          <w:color w:val="auto"/>
          <w:highlight w:val="none"/>
        </w:rPr>
        <w:instrText xml:space="preserve"> HYPERLINK \l "_Toc18137" </w:instrText>
      </w:r>
      <w:r>
        <w:rPr>
          <w:color w:val="auto"/>
          <w:highlight w:val="none"/>
        </w:rPr>
        <w:fldChar w:fldCharType="separate"/>
      </w:r>
      <w:r>
        <w:rPr>
          <w:rFonts w:hint="eastAsia" w:cs="宋体"/>
          <w:color w:val="auto"/>
          <w:sz w:val="28"/>
          <w:szCs w:val="28"/>
          <w:highlight w:val="none"/>
          <w:lang w:val="zh-CN"/>
        </w:rPr>
        <w:t xml:space="preserve">第六章</w:t>
      </w:r>
      <w:r>
        <w:rPr>
          <w:rFonts w:hint="eastAsia" w:cs="宋体"/>
          <w:color w:val="auto"/>
          <w:sz w:val="28"/>
          <w:szCs w:val="28"/>
          <w:highlight w:val="none"/>
        </w:rPr>
        <w:t xml:space="preserve"> </w:t>
      </w:r>
      <w:r>
        <w:rPr>
          <w:rFonts w:hint="eastAsia" w:cs="宋体"/>
          <w:color w:val="auto"/>
          <w:sz w:val="28"/>
          <w:szCs w:val="28"/>
          <w:highlight w:val="none"/>
          <w:lang w:val="zh-CN"/>
        </w:rPr>
        <w:t xml:space="preserve">投标文件格式及附件</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_Toc18137 \h </w:instrText>
      </w:r>
      <w:r>
        <w:rPr>
          <w:color w:val="auto"/>
          <w:sz w:val="28"/>
          <w:szCs w:val="28"/>
          <w:highlight w:val="none"/>
        </w:rPr>
        <w:fldChar w:fldCharType="separate"/>
      </w:r>
      <w:r>
        <w:rPr>
          <w:color w:val="auto"/>
          <w:sz w:val="28"/>
          <w:szCs w:val="28"/>
          <w:highlight w:val="none"/>
        </w:rPr>
        <w:t xml:space="preserve">37</w:t>
      </w:r>
      <w:r>
        <w:rPr>
          <w:color w:val="auto"/>
          <w:sz w:val="28"/>
          <w:szCs w:val="28"/>
          <w:highlight w:val="none"/>
        </w:rPr>
        <w:fldChar w:fldCharType="end"/>
      </w:r>
      <w:r>
        <w:rPr>
          <w:color w:val="auto"/>
          <w:sz w:val="28"/>
          <w:szCs w:val="28"/>
          <w:highlight w:val="none"/>
        </w:rPr>
        <w:fldChar w:fldCharType="end"/>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end"/>
      </w:r>
      <w:r/>
    </w:p>
    <w:p>
      <w:pPr>
        <w:pStyle w:val="908"/>
        <w:spacing w:line="360" w:lineRule="auto"/>
        <w:rPr>
          <w:rFonts w:hint="eastAsia" w:ascii="宋体" w:hAnsi="宋体" w:cs="宋体"/>
          <w:color w:val="auto"/>
          <w:sz w:val="36"/>
          <w:szCs w:val="36"/>
          <w:highlight w:val="none"/>
          <w:lang w:val="zh-CN"/>
        </w:rPr>
        <w:sectPr>
          <w:footnotePr/>
          <w:endnotePr/>
          <w:type w:val="nextPage"/>
          <w:pgSz w:w="11906" w:h="16838" w:orient="portrait"/>
          <w:pgMar w:top="1417" w:right="1134" w:bottom="1247" w:left="1304" w:header="851" w:footer="992" w:gutter="0"/>
          <w:pgNumType w:start="1"/>
          <w:cols w:num="1" w:sep="0" w:space="720" w:equalWidth="1"/>
          <w:docGrid w:linePitch="360"/>
        </w:sectPr>
      </w:pPr>
      <w:r/>
      <w:bookmarkStart w:id="1" w:name="_Toc12683"/>
      <w:r/>
      <w:bookmarkStart w:id="2" w:name="_Toc12800"/>
      <w:r/>
      <w:bookmarkStart w:id="3" w:name="_Toc8984"/>
      <w:r/>
      <w:r/>
    </w:p>
    <w:p>
      <w:pPr>
        <w:pStyle w:val="855"/>
        <w:rPr>
          <w:color w:val="auto"/>
          <w:highlight w:val="none"/>
        </w:rPr>
      </w:pPr>
      <w:r>
        <w:rPr>
          <w:rFonts w:hint="eastAsia"/>
          <w:color w:val="auto"/>
          <w:highlight w:val="none"/>
          <w:lang w:val="zh-CN"/>
        </w:rPr>
        <w:t xml:space="preserve">第一章 </w:t>
      </w:r>
      <w:bookmarkEnd w:id="1"/>
      <w:r/>
      <w:bookmarkEnd w:id="2"/>
      <w:r/>
      <w:bookmarkEnd w:id="3"/>
      <w:r>
        <w:rPr>
          <w:rFonts w:hint="eastAsia"/>
          <w:color w:val="auto"/>
          <w:highlight w:val="none"/>
        </w:rPr>
        <w:t xml:space="preserve">招标公告</w:t>
      </w:r>
      <w:r/>
    </w:p>
    <w:p>
      <w:pPr>
        <w:pStyle w:val="92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2026年警用装备购置更新专项市局保障中心补充装备项目</w:t>
      </w:r>
      <w:r>
        <w:rPr>
          <w:rFonts w:hint="eastAsia" w:ascii="宋体" w:hAnsi="宋体" w:eastAsia="宋体" w:cs="宋体"/>
          <w:color w:val="auto"/>
          <w:sz w:val="21"/>
          <w:szCs w:val="21"/>
          <w:highlight w:val="none"/>
        </w:rPr>
        <w:t xml:space="preserve">的潜在供应商应在江苏政府采购网“苏采云”系统获取采购文件，并于2026年</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日9时30分（北京时间）前提交投标文件。</w:t>
      </w:r>
      <w:r/>
    </w:p>
    <w:p>
      <w:pPr>
        <w:pStyle w:val="92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一、项目基本情况</w:t>
      </w:r>
      <w:r/>
    </w:p>
    <w:p>
      <w:pPr>
        <w:pStyle w:val="92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1.项目编号：JSZC-320100-NJYP-G2026-0019</w:t>
      </w:r>
      <w:r/>
    </w:p>
    <w:p>
      <w:pPr>
        <w:pStyle w:val="926"/>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2.项目名称：</w:t>
      </w:r>
      <w:r>
        <w:rPr>
          <w:rFonts w:hint="eastAsia" w:ascii="宋体" w:hAnsi="宋体" w:eastAsia="宋体" w:cs="宋体"/>
          <w:color w:val="auto"/>
          <w:sz w:val="21"/>
          <w:szCs w:val="21"/>
          <w:highlight w:val="none"/>
          <w:lang w:eastAsia="zh-CN"/>
        </w:rPr>
        <w:t xml:space="preserve">2026年警用装备购置更新专项市局保障中心补充装备项目</w:t>
      </w:r>
      <w:r/>
    </w:p>
    <w:p>
      <w:pPr>
        <w:pStyle w:val="92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3.采购方式：公开招标</w:t>
      </w:r>
      <w:r/>
    </w:p>
    <w:p>
      <w:pPr>
        <w:pStyle w:val="92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4.预算金额：</w:t>
      </w:r>
      <w:r>
        <w:rPr>
          <w:rFonts w:hint="eastAsia" w:ascii="宋体" w:hAnsi="宋体" w:eastAsia="宋体" w:cs="宋体"/>
          <w:color w:val="auto"/>
          <w:sz w:val="21"/>
          <w:szCs w:val="21"/>
          <w:highlight w:val="none"/>
          <w:lang w:val="en-US" w:eastAsia="zh-CN"/>
        </w:rPr>
        <w:t xml:space="preserve">149.5</w:t>
      </w:r>
      <w:r>
        <w:rPr>
          <w:rFonts w:hint="eastAsia" w:ascii="宋体" w:hAnsi="宋体" w:eastAsia="宋体" w:cs="宋体"/>
          <w:color w:val="auto"/>
          <w:sz w:val="21"/>
          <w:szCs w:val="21"/>
          <w:highlight w:val="none"/>
        </w:rPr>
        <w:t xml:space="preserve">万元</w:t>
      </w:r>
      <w:r/>
    </w:p>
    <w:p>
      <w:pPr>
        <w:pStyle w:val="926"/>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5.最高限价：</w:t>
      </w:r>
      <w:r>
        <w:rPr>
          <w:rFonts w:hint="eastAsia" w:ascii="宋体" w:hAnsi="宋体" w:eastAsia="宋体" w:cs="宋体"/>
          <w:color w:val="auto"/>
          <w:sz w:val="21"/>
          <w:szCs w:val="21"/>
          <w:highlight w:val="none"/>
          <w:lang w:val="en-US" w:eastAsia="zh-CN"/>
        </w:rPr>
        <w:t xml:space="preserve">147.5</w:t>
      </w:r>
      <w:r>
        <w:rPr>
          <w:rFonts w:hint="eastAsia" w:ascii="宋体" w:hAnsi="宋体" w:eastAsia="宋体" w:cs="宋体"/>
          <w:color w:val="auto"/>
          <w:sz w:val="21"/>
          <w:szCs w:val="21"/>
          <w:highlight w:val="none"/>
        </w:rPr>
        <w:t xml:space="preserve">万元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投标报价不得超过采购项目最高限价金额，否则按无效投标处理。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分包1：21.5</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lang w:val="en-US" w:eastAsia="zh-CN"/>
        </w:rPr>
        <w:t xml:space="preserve"> ;分包2：38</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lang w:val="en-US" w:eastAsia="zh-CN"/>
        </w:rPr>
        <w:t xml:space="preserve"> ；分包3：25</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lang w:val="en-US" w:eastAsia="zh-CN"/>
        </w:rPr>
        <w:t xml:space="preserve">；分包4：23</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lang w:val="en-US" w:eastAsia="zh-CN"/>
        </w:rPr>
        <w:t xml:space="preserve">；分包5：20</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lang w:val="en-US" w:eastAsia="zh-CN"/>
        </w:rPr>
        <w:t xml:space="preserve">；分包6：20</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w:t>
      </w:r>
      <w:r/>
    </w:p>
    <w:p>
      <w:pPr>
        <w:pStyle w:val="92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6.采购需求：为</w:t>
      </w:r>
      <w:r>
        <w:rPr>
          <w:rFonts w:hint="eastAsia" w:ascii="宋体" w:hAnsi="宋体" w:eastAsia="宋体" w:cs="宋体"/>
          <w:color w:val="auto"/>
          <w:sz w:val="21"/>
          <w:szCs w:val="21"/>
          <w:highlight w:val="none"/>
          <w:lang w:eastAsia="zh-CN"/>
        </w:rPr>
        <w:t xml:space="preserve">2026年警用装备购置更新专项市局保障中心补充装备</w:t>
      </w:r>
      <w:r>
        <w:rPr>
          <w:rFonts w:hint="eastAsia" w:ascii="宋体" w:hAnsi="宋体" w:eastAsia="宋体" w:cs="宋体"/>
          <w:color w:val="auto"/>
          <w:sz w:val="21"/>
          <w:szCs w:val="21"/>
          <w:highlight w:val="none"/>
        </w:rPr>
        <w:t xml:space="preserve">，具体详见招标文件。</w:t>
      </w:r>
      <w:r/>
    </w:p>
    <w:tbl>
      <w:tblPr>
        <w:tblStyle w:val="865"/>
        <w:tblW w:w="97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2"/>
        <w:gridCol w:w="2305"/>
        <w:gridCol w:w="2332"/>
        <w:gridCol w:w="2965"/>
        <w:gridCol w:w="1183"/>
      </w:tblGrid>
      <w:tr>
        <w:trPr/>
        <w:tc>
          <w:tcPr>
            <w:tcW w:w="1002" w:type="dxa"/>
            <w:vAlign w:val="top"/>
            <w:textDirection w:val="lrTb"/>
            <w:noWrap w:val="false"/>
          </w:tcPr>
          <w:p>
            <w:pPr>
              <w:pStyle w:val="926"/>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分包号</w:t>
            </w:r>
            <w:r/>
          </w:p>
        </w:tc>
        <w:tc>
          <w:tcPr>
            <w:tcW w:w="2305" w:type="dxa"/>
            <w:vAlign w:val="top"/>
            <w:textDirection w:val="lrTb"/>
            <w:noWrap w:val="false"/>
          </w:tcPr>
          <w:p>
            <w:pPr>
              <w:pStyle w:val="926"/>
              <w:jc w:val="center"/>
              <w:spacing w:line="360" w:lineRule="auto"/>
              <w:rPr>
                <w:rFonts w:hint="eastAsia" w:ascii="宋体" w:hAnsi="宋体" w:eastAsia="宋体" w:cs="宋体"/>
                <w:color w:val="auto"/>
                <w:sz w:val="21"/>
                <w:szCs w:val="21"/>
                <w:highlight w:val="none"/>
                <w:lang w:val="en-US" w:eastAsia="zh-CN"/>
              </w:rPr>
            </w:pPr>
            <w:r>
              <w:rPr>
                <w:rFonts w:ascii="Segoe UI" w:hAnsi="Segoe UI" w:eastAsia="Segoe UI" w:cs="Segoe UI"/>
                <w:b/>
                <w:bCs/>
                <w:i w:val="0"/>
                <w:iCs w:val="0"/>
                <w:caps w:val="0"/>
                <w:color w:val="auto"/>
                <w:spacing w:val="0"/>
                <w:sz w:val="21"/>
                <w:szCs w:val="21"/>
                <w:highlight w:val="none"/>
                <w:shd w:val="clear" w:color="auto" w:fill="fafafa"/>
              </w:rPr>
              <w:t xml:space="preserve">采购包名称</w:t>
            </w:r>
            <w:r/>
          </w:p>
        </w:tc>
        <w:tc>
          <w:tcPr>
            <w:tcW w:w="2332" w:type="dxa"/>
            <w:vAlign w:val="top"/>
            <w:textDirection w:val="lrTb"/>
            <w:noWrap w:val="false"/>
          </w:tcPr>
          <w:p>
            <w:pPr>
              <w:pStyle w:val="926"/>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采购设备</w:t>
            </w:r>
            <w:r/>
          </w:p>
        </w:tc>
        <w:tc>
          <w:tcPr>
            <w:tcW w:w="2965" w:type="dxa"/>
            <w:vAlign w:val="top"/>
            <w:textDirection w:val="lrTb"/>
            <w:noWrap w:val="false"/>
          </w:tcPr>
          <w:p>
            <w:pPr>
              <w:pStyle w:val="926"/>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最高限价金额</w:t>
            </w:r>
            <w:r>
              <w:rPr>
                <w:rFonts w:hint="eastAsia" w:ascii="宋体" w:hAnsi="宋体" w:eastAsia="宋体" w:cs="Times New Roman"/>
                <w:color w:val="auto"/>
                <w:sz w:val="21"/>
                <w:szCs w:val="21"/>
                <w:highlight w:val="none"/>
                <w:vertAlign w:val="baseline"/>
                <w:lang w:val="en-US" w:eastAsia="zh-CN" w:bidi="ar"/>
              </w:rPr>
              <w:t xml:space="preserve">（万元）</w:t>
            </w:r>
            <w:r/>
          </w:p>
        </w:tc>
        <w:tc>
          <w:tcPr>
            <w:tcW w:w="1183" w:type="dxa"/>
            <w:vAlign w:val="top"/>
            <w:textDirection w:val="lrTb"/>
            <w:noWrap w:val="false"/>
          </w:tcPr>
          <w:p>
            <w:pPr>
              <w:pStyle w:val="926"/>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r>
      <w:tr>
        <w:trPr/>
        <w:tc>
          <w:tcPr>
            <w:tcW w:w="1002"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分包1</w:t>
            </w:r>
            <w:r/>
          </w:p>
        </w:tc>
        <w:tc>
          <w:tcPr>
            <w:tcW w:w="23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ascii="Segoe UI" w:hAnsi="Segoe UI" w:eastAsia="Segoe UI" w:cs="Segoe UI"/>
                <w:i w:val="0"/>
                <w:iCs w:val="0"/>
                <w:caps w:val="0"/>
                <w:color w:val="auto"/>
                <w:spacing w:val="0"/>
                <w:sz w:val="21"/>
                <w:szCs w:val="21"/>
                <w:highlight w:val="none"/>
                <w:shd w:val="clear" w:color="auto" w:fill="fafafa"/>
              </w:rPr>
              <w:t xml:space="preserve">2026年警用装备购置更新专项市局保障中心补充装备反宣反制仪项目</w:t>
            </w:r>
            <w:r/>
          </w:p>
        </w:tc>
        <w:tc>
          <w:tcPr>
            <w:tcW w:w="233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反宣反制仪</w:t>
            </w:r>
            <w:r/>
          </w:p>
        </w:tc>
        <w:tc>
          <w:tcPr>
            <w:tcW w:w="2965" w:type="dxa"/>
            <w:vAlign w:val="center"/>
            <w:textDirection w:val="lrTb"/>
            <w:noWrap w:val="false"/>
          </w:tcPr>
          <w:p>
            <w:pPr>
              <w:pStyle w:val="926"/>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21.5</w:t>
            </w:r>
            <w:r/>
          </w:p>
        </w:tc>
        <w:tc>
          <w:tcPr>
            <w:tcW w:w="1183" w:type="dxa"/>
            <w:vAlign w:val="top"/>
            <w:textDirection w:val="lrTb"/>
            <w:noWrap w:val="false"/>
          </w:tcPr>
          <w:p>
            <w:pPr>
              <w:pStyle w:val="92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00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分包2</w:t>
            </w:r>
            <w:r/>
          </w:p>
        </w:tc>
        <w:tc>
          <w:tcPr>
            <w:tcW w:w="23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ascii="Segoe UI" w:hAnsi="Segoe UI" w:eastAsia="Segoe UI" w:cs="Segoe UI"/>
                <w:i w:val="0"/>
                <w:iCs w:val="0"/>
                <w:caps w:val="0"/>
                <w:color w:val="auto"/>
                <w:spacing w:val="0"/>
                <w:sz w:val="21"/>
                <w:szCs w:val="21"/>
                <w:highlight w:val="none"/>
                <w:shd w:val="clear" w:color="auto" w:fill="ffffff"/>
              </w:rPr>
              <w:t xml:space="preserve">2026年警用装备购置更新专项市局保障中心补充装备便携侦测反制设备项目</w:t>
            </w:r>
            <w:r/>
          </w:p>
        </w:tc>
        <w:tc>
          <w:tcPr>
            <w:tcW w:w="233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便携侦测反制设备</w:t>
            </w:r>
            <w:r/>
          </w:p>
        </w:tc>
        <w:tc>
          <w:tcPr>
            <w:tcW w:w="2965" w:type="dxa"/>
            <w:vAlign w:val="center"/>
            <w:textDirection w:val="lrTb"/>
            <w:noWrap w:val="false"/>
          </w:tcPr>
          <w:p>
            <w:pPr>
              <w:pStyle w:val="926"/>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38</w:t>
            </w:r>
            <w:r/>
          </w:p>
        </w:tc>
        <w:tc>
          <w:tcPr>
            <w:tcW w:w="1183" w:type="dxa"/>
            <w:vAlign w:val="top"/>
            <w:textDirection w:val="lrTb"/>
            <w:noWrap w:val="false"/>
          </w:tcPr>
          <w:p>
            <w:pPr>
              <w:pStyle w:val="92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00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分包3</w:t>
            </w:r>
            <w:r/>
          </w:p>
        </w:tc>
        <w:tc>
          <w:tcPr>
            <w:tcW w:w="23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ascii="Segoe UI" w:hAnsi="Segoe UI" w:eastAsia="Segoe UI" w:cs="Segoe UI"/>
                <w:i w:val="0"/>
                <w:iCs w:val="0"/>
                <w:caps w:val="0"/>
                <w:color w:val="auto"/>
                <w:spacing w:val="0"/>
                <w:sz w:val="21"/>
                <w:szCs w:val="21"/>
                <w:highlight w:val="none"/>
                <w:shd w:val="clear" w:color="auto" w:fill="fafafa"/>
              </w:rPr>
              <w:t xml:space="preserve">2026年警用装备购置更新专项市局保障中心补充装备手持式网捕器项目</w:t>
            </w:r>
            <w:r/>
          </w:p>
        </w:tc>
        <w:tc>
          <w:tcPr>
            <w:tcW w:w="233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手持式网捕器</w:t>
            </w:r>
            <w:r/>
          </w:p>
        </w:tc>
        <w:tc>
          <w:tcPr>
            <w:tcW w:w="2965" w:type="dxa"/>
            <w:vAlign w:val="center"/>
            <w:textDirection w:val="lrTb"/>
            <w:noWrap w:val="false"/>
          </w:tcPr>
          <w:p>
            <w:pPr>
              <w:pStyle w:val="926"/>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w:t>
            </w:r>
            <w:r/>
          </w:p>
        </w:tc>
        <w:tc>
          <w:tcPr>
            <w:tcW w:w="1183" w:type="dxa"/>
            <w:vAlign w:val="top"/>
            <w:textDirection w:val="lrTb"/>
            <w:noWrap w:val="false"/>
          </w:tcPr>
          <w:p>
            <w:pPr>
              <w:pStyle w:val="92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90"/>
        </w:trPr>
        <w:tc>
          <w:tcPr>
            <w:tcW w:w="100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分包4</w:t>
            </w:r>
            <w:r/>
          </w:p>
        </w:tc>
        <w:tc>
          <w:tcPr>
            <w:tcW w:w="23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ascii="Segoe UI" w:hAnsi="Segoe UI" w:eastAsia="Segoe UI" w:cs="Segoe UI"/>
                <w:i w:val="0"/>
                <w:iCs w:val="0"/>
                <w:caps w:val="0"/>
                <w:color w:val="auto"/>
                <w:spacing w:val="0"/>
                <w:sz w:val="21"/>
                <w:szCs w:val="21"/>
                <w:highlight w:val="none"/>
                <w:shd w:val="clear" w:color="auto" w:fill="fafafa"/>
              </w:rPr>
              <w:t xml:space="preserve">2026年警用装备购置更新专项市局保障中心补充装备腰带和指挥棒项目</w:t>
            </w:r>
            <w:r/>
          </w:p>
        </w:tc>
        <w:tc>
          <w:tcPr>
            <w:tcW w:w="233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交通指挥棒</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多功能腰带</w:t>
            </w:r>
            <w:r/>
          </w:p>
        </w:tc>
        <w:tc>
          <w:tcPr>
            <w:tcW w:w="2965" w:type="dxa"/>
            <w:vAlign w:val="center"/>
            <w:textDirection w:val="lrTb"/>
            <w:noWrap w:val="false"/>
          </w:tcPr>
          <w:p>
            <w:pPr>
              <w:pStyle w:val="926"/>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w:t>
            </w:r>
            <w:r/>
          </w:p>
        </w:tc>
        <w:tc>
          <w:tcPr>
            <w:shd w:val="clear" w:color="auto" w:fill="auto"/>
            <w:tcW w:w="1183" w:type="dxa"/>
            <w:vAlign w:val="top"/>
            <w:textDirection w:val="lrTb"/>
            <w:noWrap w:val="false"/>
          </w:tcPr>
          <w:p>
            <w:pPr>
              <w:pStyle w:val="926"/>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c>
          <w:tcPr>
            <w:tcW w:w="100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分包5</w:t>
            </w:r>
            <w:r/>
          </w:p>
        </w:tc>
        <w:tc>
          <w:tcPr>
            <w:tcW w:w="23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ascii="Segoe UI" w:hAnsi="Segoe UI" w:eastAsia="Segoe UI" w:cs="Segoe UI"/>
                <w:i w:val="0"/>
                <w:iCs w:val="0"/>
                <w:caps w:val="0"/>
                <w:color w:val="auto"/>
                <w:spacing w:val="0"/>
                <w:sz w:val="21"/>
                <w:szCs w:val="21"/>
                <w:highlight w:val="none"/>
                <w:shd w:val="clear" w:color="auto" w:fill="fafafa"/>
              </w:rPr>
              <w:t xml:space="preserve">2026年警用装备购置更新专项市局保障中心补充装备手持式热成像仪项目</w:t>
            </w:r>
            <w:r/>
          </w:p>
        </w:tc>
        <w:tc>
          <w:tcPr>
            <w:tcW w:w="233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ascii="Segoe UI" w:hAnsi="Segoe UI" w:eastAsia="Segoe UI" w:cs="Segoe UI"/>
                <w:i w:val="0"/>
                <w:iCs w:val="0"/>
                <w:caps w:val="0"/>
                <w:color w:val="auto"/>
                <w:spacing w:val="0"/>
                <w:sz w:val="21"/>
                <w:szCs w:val="21"/>
                <w:highlight w:val="none"/>
                <w:shd w:val="clear" w:color="auto" w:fill="fafafa"/>
              </w:rPr>
              <w:t xml:space="preserve">手持式热成像仪</w:t>
            </w:r>
            <w:r/>
          </w:p>
        </w:tc>
        <w:tc>
          <w:tcPr>
            <w:tcW w:w="2965" w:type="dxa"/>
            <w:vAlign w:val="center"/>
            <w:textDirection w:val="lrTb"/>
            <w:noWrap w:val="false"/>
          </w:tcPr>
          <w:p>
            <w:pPr>
              <w:pStyle w:val="926"/>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w:t>
            </w:r>
            <w:r/>
          </w:p>
        </w:tc>
        <w:tc>
          <w:tcPr>
            <w:shd w:val="clear" w:color="auto" w:fill="auto"/>
            <w:tcW w:w="1183" w:type="dxa"/>
            <w:vAlign w:val="top"/>
            <w:textDirection w:val="lrTb"/>
            <w:noWrap w:val="false"/>
          </w:tcPr>
          <w:p>
            <w:pPr>
              <w:pStyle w:val="926"/>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c>
          <w:tcPr>
            <w:tcW w:w="100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分包6</w:t>
            </w:r>
            <w:r/>
          </w:p>
        </w:tc>
        <w:tc>
          <w:tcPr>
            <w:tcW w:w="23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ascii="Segoe UI" w:hAnsi="Segoe UI" w:eastAsia="Segoe UI" w:cs="Segoe UI"/>
                <w:i w:val="0"/>
                <w:iCs w:val="0"/>
                <w:caps w:val="0"/>
                <w:color w:val="auto"/>
                <w:spacing w:val="0"/>
                <w:sz w:val="21"/>
                <w:szCs w:val="21"/>
                <w:highlight w:val="none"/>
              </w:rPr>
              <w:t xml:space="preserve">2026年警用装备购置更新专项市局保障中心补充装备外骨骼AI助力装备项目</w:t>
            </w:r>
            <w:r/>
          </w:p>
        </w:tc>
        <w:tc>
          <w:tcPr>
            <w:tcW w:w="233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外骨骼AI助力装备</w:t>
            </w:r>
            <w:r/>
          </w:p>
        </w:tc>
        <w:tc>
          <w:tcPr>
            <w:tcW w:w="2965" w:type="dxa"/>
            <w:vAlign w:val="center"/>
            <w:textDirection w:val="lrTb"/>
            <w:noWrap w:val="false"/>
          </w:tcPr>
          <w:p>
            <w:pPr>
              <w:pStyle w:val="926"/>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w:t>
            </w:r>
            <w:r/>
          </w:p>
        </w:tc>
        <w:tc>
          <w:tcPr>
            <w:shd w:val="clear" w:color="auto" w:fill="auto"/>
            <w:tcW w:w="1183" w:type="dxa"/>
            <w:vAlign w:val="top"/>
            <w:textDirection w:val="lrTb"/>
            <w:noWrap w:val="false"/>
          </w:tcPr>
          <w:p>
            <w:pPr>
              <w:pStyle w:val="926"/>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ind w:firstLine="420"/>
        <w:spacing w:before="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eastAsia="zh-CN" w:bidi="ar-SA"/>
        </w:rPr>
        <w:t xml:space="preserve">本项目共</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zh-CN" w:eastAsia="zh-CN" w:bidi="ar-SA"/>
        </w:rPr>
        <w:t xml:space="preserve">个包，供应商最多中标</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CN" w:bidi="ar-SA"/>
        </w:rPr>
        <w:t xml:space="preserve">个分包。按分包1</w:t>
      </w:r>
      <w:r>
        <w:rPr>
          <w:rFonts w:hint="eastAsia" w:ascii="宋体" w:hAnsi="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CN" w:bidi="ar-SA"/>
        </w:rPr>
        <w:t xml:space="preserve">分包2</w:t>
      </w:r>
      <w:r>
        <w:rPr>
          <w:rFonts w:hint="eastAsia" w:ascii="宋体" w:hAnsi="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CN" w:bidi="ar-SA"/>
        </w:rPr>
        <w:t xml:space="preserve">分包3</w:t>
      </w:r>
      <w:r>
        <w:rPr>
          <w:rFonts w:hint="eastAsia" w:ascii="宋体" w:hAnsi="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CN" w:bidi="ar-SA"/>
        </w:rPr>
        <w:t xml:space="preserve">分包4</w:t>
      </w:r>
      <w:r>
        <w:rPr>
          <w:rFonts w:hint="eastAsia" w:ascii="宋体" w:hAnsi="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CN" w:bidi="ar-SA"/>
        </w:rPr>
        <w:t xml:space="preserve">分包5</w:t>
      </w:r>
      <w:r>
        <w:rPr>
          <w:rFonts w:hint="eastAsia" w:ascii="宋体" w:hAnsi="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CN" w:bidi="ar-SA"/>
        </w:rPr>
        <w:t xml:space="preserve">分包6顺序进行评审。当供应商按评审顺序已有</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CN" w:bidi="ar-SA"/>
        </w:rPr>
        <w:t xml:space="preserve">个分包被推荐为排名第一的中标候选人，则不再</w:t>
      </w:r>
      <w:r>
        <w:rPr>
          <w:rFonts w:hint="eastAsia" w:ascii="宋体" w:hAnsi="宋体" w:eastAsia="宋体" w:cs="宋体"/>
          <w:color w:val="auto"/>
          <w:sz w:val="21"/>
          <w:szCs w:val="21"/>
          <w:highlight w:val="none"/>
          <w:lang w:val="en-US" w:eastAsia="zh-CN" w:bidi="ar-SA"/>
        </w:rPr>
        <w:t xml:space="preserve">被</w:t>
      </w:r>
      <w:r>
        <w:rPr>
          <w:rFonts w:hint="eastAsia" w:ascii="宋体" w:hAnsi="宋体" w:eastAsia="宋体" w:cs="宋体"/>
          <w:color w:val="auto"/>
          <w:sz w:val="21"/>
          <w:szCs w:val="21"/>
          <w:highlight w:val="none"/>
          <w:lang w:val="zh-CN" w:eastAsia="zh-CN" w:bidi="ar-SA"/>
        </w:rPr>
        <w:t xml:space="preserve">剩余分包</w:t>
      </w:r>
      <w:r>
        <w:rPr>
          <w:rFonts w:hint="eastAsia" w:ascii="宋体" w:hAnsi="宋体" w:eastAsia="宋体" w:cs="宋体"/>
          <w:color w:val="auto"/>
          <w:sz w:val="21"/>
          <w:szCs w:val="21"/>
          <w:highlight w:val="none"/>
          <w:lang w:val="en-US" w:eastAsia="zh-CN" w:bidi="ar-SA"/>
        </w:rPr>
        <w:t xml:space="preserve">推荐</w:t>
      </w:r>
      <w:r>
        <w:rPr>
          <w:rFonts w:hint="eastAsia" w:ascii="宋体" w:hAnsi="宋体" w:eastAsia="宋体" w:cs="宋体"/>
          <w:color w:val="auto"/>
          <w:sz w:val="21"/>
          <w:szCs w:val="21"/>
          <w:highlight w:val="none"/>
          <w:lang w:val="zh-CN" w:eastAsia="zh-CN" w:bidi="ar-SA"/>
        </w:rPr>
        <w:t xml:space="preserve">为排名第一的中标候选人。</w:t>
      </w:r>
      <w:r/>
    </w:p>
    <w:p>
      <w:pPr>
        <w:ind w:firstLine="40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7.</w:t>
      </w:r>
      <w:r>
        <w:rPr>
          <w:rFonts w:hint="eastAsia" w:ascii="宋体" w:hAnsi="宋体" w:cs="宋体"/>
          <w:color w:val="auto"/>
          <w:szCs w:val="21"/>
          <w:highlight w:val="none"/>
        </w:rPr>
        <w:t xml:space="preserve">项目供货</w:t>
      </w:r>
      <w:r>
        <w:rPr>
          <w:rFonts w:hint="eastAsia" w:ascii="宋体" w:hAnsi="宋体" w:cs="宋体"/>
          <w:color w:val="auto"/>
          <w:szCs w:val="21"/>
          <w:highlight w:val="none"/>
          <w:lang w:val="zh-CN"/>
        </w:rPr>
        <w:t xml:space="preserve">期限：合同签订之日起</w:t>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lang w:val="zh-CN"/>
        </w:rPr>
        <w:t xml:space="preserve">天，全部设备、材料运抵采购人指定地点并安装调试至验收完成（具体以采购人通知为准）。</w:t>
      </w:r>
      <w:r/>
    </w:p>
    <w:p>
      <w:pPr>
        <w:ind w:firstLine="40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8.质量：</w:t>
      </w:r>
      <w:r>
        <w:rPr>
          <w:rFonts w:hint="eastAsia" w:ascii="宋体" w:hAnsi="宋体" w:cs="宋体"/>
          <w:color w:val="auto"/>
          <w:szCs w:val="21"/>
          <w:highlight w:val="none"/>
          <w:lang w:val="zh-CN"/>
        </w:rPr>
        <w:t xml:space="preserve">符合国家相关验收规范，</w:t>
      </w:r>
      <w:r>
        <w:rPr>
          <w:rFonts w:hint="eastAsia" w:ascii="宋体" w:hAnsi="宋体" w:cs="宋体"/>
          <w:color w:val="auto"/>
          <w:szCs w:val="21"/>
          <w:highlight w:val="none"/>
        </w:rPr>
        <w:t xml:space="preserve">具体详见招标文件。</w:t>
      </w:r>
      <w:r/>
    </w:p>
    <w:p>
      <w:pPr>
        <w:ind w:firstLine="40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9.本项目采购标的对应的中小企业划分标准所属行业为：工业。</w:t>
      </w:r>
      <w:r/>
    </w:p>
    <w:p>
      <w:pPr>
        <w:pStyle w:val="92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本项目不接受联合体投标</w:t>
      </w:r>
      <w:r/>
    </w:p>
    <w:p>
      <w:pPr>
        <w:pStyle w:val="926"/>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本项目不接受</w:t>
      </w:r>
      <w:r>
        <w:rPr>
          <w:rFonts w:hint="eastAsia" w:ascii="宋体" w:hAnsi="宋体" w:eastAsia="宋体" w:cs="宋体"/>
          <w:color w:val="auto"/>
          <w:sz w:val="21"/>
          <w:szCs w:val="21"/>
          <w:highlight w:val="none"/>
          <w:lang w:val="en-US" w:eastAsia="zh-CN"/>
        </w:rPr>
        <w:t xml:space="preserve">进口产品投标</w:t>
      </w:r>
      <w:r/>
    </w:p>
    <w:p>
      <w:pPr>
        <w:pStyle w:val="92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二、投标申请人资格要求</w:t>
      </w:r>
      <w:r/>
    </w:p>
    <w:p>
      <w:pPr>
        <w:ind w:firstLine="40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1.具有独立承担民事责任的能力(请提供法人或者其他组织的营业执照等证明文件，自然人的身份证明)</w:t>
      </w:r>
      <w:r/>
    </w:p>
    <w:p>
      <w:pPr>
        <w:ind w:firstLine="40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2.符合《中华人民共和国政府采购法》第二十二条的相关规定，</w:t>
      </w:r>
      <w:r>
        <w:rPr>
          <w:rFonts w:hint="eastAsia" w:ascii="宋体" w:hAnsi="宋体" w:cs="宋体"/>
          <w:color w:val="auto"/>
          <w:sz w:val="21"/>
          <w:szCs w:val="21"/>
          <w:highlight w:val="none"/>
        </w:rPr>
        <w:t xml:space="preserve">提供《</w:t>
      </w:r>
      <w:r>
        <w:rPr>
          <w:rFonts w:hint="eastAsia" w:ascii="宋体" w:hAnsi="宋体" w:cs="宋体"/>
          <w:color w:val="auto"/>
          <w:sz w:val="21"/>
          <w:szCs w:val="21"/>
          <w:highlight w:val="none"/>
          <w:lang w:val="zh-CN"/>
        </w:rPr>
        <w:t xml:space="preserve">信用承诺函》（格式见第六章）。</w:t>
      </w:r>
      <w:r/>
    </w:p>
    <w:p>
      <w:pPr>
        <w:ind w:firstLine="40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 落实政府采购政策需满足的资格要求：（如属于专门面向中小企业采购的项目，供应商应为中小微企业、监狱企业、残疾人福利性单位）</w:t>
      </w:r>
      <w:r/>
    </w:p>
    <w:p>
      <w:pPr>
        <w:ind w:firstLine="40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本项目所有分包按照以下第（4）种方式落实政府采购促进中小企业发展的要求：</w:t>
      </w:r>
      <w:r/>
    </w:p>
    <w:p>
      <w:pPr>
        <w:ind w:firstLine="40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（4）本项目为非预留份额的采购项目或采购包，执行价格扣除优惠政策，具体详见招标文件第三章评标标准。</w:t>
      </w:r>
      <w:r/>
    </w:p>
    <w:p>
      <w:pPr>
        <w:ind w:firstLine="40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 本项目的特定资格条件：无</w:t>
      </w:r>
      <w:r/>
    </w:p>
    <w:p>
      <w:pPr>
        <w:ind w:firstLine="40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 拒绝下述供应商参加本次采购活动：</w:t>
      </w:r>
      <w:r/>
    </w:p>
    <w:p>
      <w:pPr>
        <w:ind w:firstLine="40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（1）供应商单位负责人为同一人或者存在直接控股、管理关系的不同供应商，不得参加同一合同项下的政府采购活动。</w:t>
      </w:r>
      <w:r/>
    </w:p>
    <w:p>
      <w:pPr>
        <w:ind w:firstLine="40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（2）凡为采购项目提供整体设计、规范编制或者项目管理、监理、检测等服务的供应商，不得再参加本项目的采购活动。</w:t>
      </w:r>
      <w:r/>
    </w:p>
    <w:p>
      <w:pPr>
        <w:ind w:firstLine="40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（3）供应商被“信用中国”网站、“中国政府采购网”网站列入失信执行人、重大税收违法案件当事人名单、政府采购严重违法失信行为记录名单。</w:t>
      </w:r>
      <w:r/>
    </w:p>
    <w:p>
      <w:pPr>
        <w:ind w:firstLine="40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（4）供应商未按要求提供《信用承诺函》。</w:t>
      </w:r>
      <w:r/>
    </w:p>
    <w:p>
      <w:pPr>
        <w:pStyle w:val="926"/>
        <w:ind w:left="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三、获取采购文件</w:t>
      </w:r>
      <w:r/>
    </w:p>
    <w:p>
      <w:pPr>
        <w:pStyle w:val="926"/>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时间：自招标公告发布之日起5个工作日</w:t>
      </w:r>
      <w:r/>
    </w:p>
    <w:p>
      <w:pPr>
        <w:pStyle w:val="92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地点：江苏省政府采购交易系统“苏采云系统”</w:t>
      </w:r>
      <w:r/>
    </w:p>
    <w:p>
      <w:pPr>
        <w:ind w:firstLine="400"/>
        <w:spacing w:line="360" w:lineRule="auto"/>
        <w:rPr>
          <w:rFonts w:hint="eastAsia" w:ascii="宋体" w:hAnsi="宋体" w:cs="宋体"/>
          <w:color w:val="auto"/>
          <w:szCs w:val="21"/>
          <w:highlight w:val="none"/>
        </w:rPr>
      </w:pPr>
      <w:r/>
      <w:bookmarkStart w:id="4" w:name="_Hlk62814426"/>
      <w:r>
        <w:rPr>
          <w:rFonts w:hint="eastAsia" w:ascii="宋体" w:hAnsi="宋体" w:cs="宋体"/>
          <w:color w:val="auto"/>
          <w:szCs w:val="21"/>
          <w:highlight w:val="none"/>
        </w:rPr>
        <w:t xml:space="preserve">方式：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bookmarkEnd w:id="4"/>
      <w:r/>
      <w:r/>
    </w:p>
    <w:p>
      <w:pPr>
        <w:pStyle w:val="926"/>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四、提交电子投标文件截止时间、开标时间和地点</w:t>
      </w:r>
      <w:r/>
    </w:p>
    <w:p>
      <w:pPr>
        <w:pStyle w:val="926"/>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截止时间：2026年 </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日9时30分（北京时间） </w:t>
      </w:r>
      <w:r/>
    </w:p>
    <w:p>
      <w:pPr>
        <w:pStyle w:val="926"/>
        <w:ind w:firstLine="400"/>
        <w:spacing w:line="460" w:lineRule="exact"/>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地点：江苏省政府采购交易系统（以下简称“苏采云系统”）网上开标大厅</w:t>
      </w:r>
      <w:r/>
    </w:p>
    <w:p>
      <w:pPr>
        <w:numPr>
          <w:ilvl w:val="0"/>
          <w:numId w:val="1"/>
        </w:numPr>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开启</w:t>
      </w:r>
      <w:r/>
    </w:p>
    <w:p>
      <w:pPr>
        <w:pStyle w:val="926"/>
        <w:ind w:firstLine="20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时间：2026年</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日9时30分（北京时间）</w:t>
      </w:r>
      <w:r/>
    </w:p>
    <w:p>
      <w:pPr>
        <w:ind w:firstLine="20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地点：江苏省政府采购交易系统（以下简称“苏采云系统”）网上开标大厅</w:t>
      </w:r>
      <w:r/>
    </w:p>
    <w:p>
      <w:pPr>
        <w:numPr>
          <w:ilvl w:val="0"/>
          <w:numId w:val="1"/>
        </w:num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公告期限</w:t>
      </w:r>
      <w:r/>
    </w:p>
    <w:p>
      <w:pPr>
        <w:ind w:firstLine="400"/>
        <w:spacing w:line="360" w:lineRule="auto"/>
        <w:tabs>
          <w:tab w:val="left" w:pos="0" w:leader="none"/>
          <w:tab w:val="left" w:pos="510"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七、其他补充事宜</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政府采购管理交易系统（苏采云）供应商操作手册》（以下简称“操作手册”）进行注册，并制作上传投标文件。如供应商未按要求操作，由此所产生的风险由供应商自行承担。《操作手册》下载地址：</w:t>
      </w:r>
      <w:r>
        <w:rPr>
          <w:color w:val="auto"/>
          <w:highlight w:val="none"/>
        </w:rPr>
        <w:fldChar w:fldCharType="begin"/>
      </w:r>
      <w:r>
        <w:rPr>
          <w:color w:val="auto"/>
          <w:highlight w:val="none"/>
        </w:rPr>
        <w:instrText xml:space="preserve"> HYPERLINK "http://www.ccgp-jiangsu.gov.cn/jiangsu/zlxz/ee/ee3a4bc5a3454aa2b0d9312230633ce9.html" </w:instrText>
      </w:r>
      <w:r>
        <w:rPr>
          <w:color w:val="auto"/>
          <w:highlight w:val="none"/>
        </w:rPr>
        <w:fldChar w:fldCharType="separate"/>
      </w:r>
      <w:r>
        <w:rPr>
          <w:rStyle w:val="1002"/>
          <w:rFonts w:hint="eastAsia" w:ascii="宋体" w:hAnsi="宋体" w:cs="宋体"/>
          <w:color w:val="auto"/>
          <w:szCs w:val="21"/>
          <w:highlight w:val="none"/>
        </w:rPr>
        <w:t xml:space="preserve">http://www.ccgp-jiangsu.gov.cn/jiangsu/zlxz/ee/ee3a4bc5a3454aa2b0d9312230633ce9.html</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（“苏采云”南京地区客服热线025-83633744、025-83633743）。</w:t>
      </w:r>
      <w:r/>
    </w:p>
    <w:p>
      <w:pPr>
        <w:ind w:firstLine="420"/>
        <w:spacing w:line="46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2.潜在供应商访问政府采购管理交易系统（苏采云）的网络地址和方法：</w:t>
      </w:r>
      <w:r/>
    </w:p>
    <w:p>
      <w:pPr>
        <w:ind w:firstLine="420"/>
        <w:spacing w:line="46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46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46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（3）“CA数字证书”的办理材料以及供应商操作手册详见：http://jsxcmm.com/help/gys.html。</w:t>
      </w:r>
      <w:r/>
    </w:p>
    <w:p>
      <w:pPr>
        <w:ind w:firstLine="420"/>
        <w:spacing w:line="46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（4）潜在供应商访问“苏采云系统”的网络地址和方法：“苏采云系统”的网址：http://jszfcg.jsczt.cn/jszc/login。</w:t>
      </w:r>
      <w:r/>
    </w:p>
    <w:p>
      <w:pPr>
        <w:ind w:firstLine="420"/>
        <w:spacing w:line="46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（5）采购文件（后缀名为“.kedt”）、供应商操作手册及政府采购客户端工具也可通过“苏采云系统” --已报名项目--报名详情页面内相应链接进行下载。</w:t>
      </w:r>
      <w:r/>
    </w:p>
    <w:p>
      <w:pPr>
        <w:ind w:firstLine="420"/>
        <w:spacing w:line="46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（6）招标代理机构机构将数据电文形式的采购文件加载至“苏采云系统”，供潜在供应商下载或者查阅。    </w:t>
      </w:r>
      <w:r/>
    </w:p>
    <w:p>
      <w:pPr>
        <w:ind w:firstLine="420"/>
        <w:spacing w:line="460" w:lineRule="exact"/>
        <w:rPr>
          <w:rFonts w:hint="eastAsia" w:ascii="宋体" w:hAnsi="宋体" w:cs="宋体"/>
          <w:color w:val="auto"/>
          <w:szCs w:val="21"/>
          <w:highlight w:val="none"/>
        </w:rPr>
      </w:pP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 本项目的招标代理服务费由中标人支付，具体详见采购文件。</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.招标人不组织现场踏勘，供应商如需踏勘现场可自行前往。</w:t>
      </w:r>
      <w:r/>
    </w:p>
    <w:p>
      <w:pPr>
        <w:pStyle w:val="926"/>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八、对本次采购提出询问，请按以下方式联系</w:t>
      </w:r>
      <w:r/>
    </w:p>
    <w:p>
      <w:pPr>
        <w:pStyle w:val="926"/>
        <w:ind w:firstLine="48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1.招标人信息</w:t>
      </w:r>
      <w:r/>
    </w:p>
    <w:p>
      <w:pPr>
        <w:pStyle w:val="926"/>
        <w:ind w:firstLine="480"/>
        <w:spacing w:line="360" w:lineRule="auto"/>
        <w:shd w:val="clear" w:color="auto" w:fill="ffff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名称：</w:t>
      </w:r>
      <w:r>
        <w:rPr>
          <w:rFonts w:hint="eastAsia" w:ascii="宋体" w:hAnsi="宋体" w:eastAsia="宋体" w:cs="宋体"/>
          <w:color w:val="auto"/>
          <w:sz w:val="21"/>
          <w:szCs w:val="21"/>
          <w:highlight w:val="none"/>
          <w:lang w:eastAsia="zh-CN"/>
        </w:rPr>
        <w:t xml:space="preserve">南京市公安局</w:t>
      </w:r>
      <w:r/>
    </w:p>
    <w:p>
      <w:pPr>
        <w:pStyle w:val="926"/>
        <w:ind w:firstLine="480"/>
        <w:spacing w:line="360" w:lineRule="auto"/>
        <w:shd w:val="clear" w:color="auto" w:fill="ffff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lang w:eastAsia="zh-CN"/>
        </w:rPr>
        <w:t xml:space="preserve">南京市秦淮区洪公祠1号</w:t>
      </w:r>
      <w:r/>
    </w:p>
    <w:p>
      <w:pPr>
        <w:pStyle w:val="926"/>
        <w:ind w:firstLine="480"/>
        <w:spacing w:line="360" w:lineRule="auto"/>
        <w:shd w:val="clear" w:color="auto" w:fill="ffff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岳</w:t>
      </w:r>
      <w:r>
        <w:rPr>
          <w:rFonts w:hint="eastAsia" w:ascii="宋体" w:hAnsi="宋体" w:eastAsia="宋体" w:cs="宋体"/>
          <w:color w:val="auto"/>
          <w:sz w:val="21"/>
          <w:szCs w:val="21"/>
          <w:highlight w:val="none"/>
        </w:rPr>
        <w:t xml:space="preserve">警官 </w:t>
      </w:r>
      <w:r/>
    </w:p>
    <w:p>
      <w:pPr>
        <w:pStyle w:val="926"/>
        <w:ind w:firstLine="480"/>
        <w:spacing w:line="360" w:lineRule="auto"/>
        <w:shd w:val="clear" w:color="auto" w:fill="ffff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联系电话：</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84420713</w:t>
      </w:r>
      <w:r/>
    </w:p>
    <w:p>
      <w:pPr>
        <w:pStyle w:val="926"/>
        <w:ind w:firstLine="48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2.招标代理机构机构信息</w:t>
      </w:r>
      <w:r/>
    </w:p>
    <w:p>
      <w:pPr>
        <w:pStyle w:val="926"/>
        <w:ind w:firstLine="48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名称：南京永平建设项目管理有限公司</w:t>
      </w:r>
      <w:r/>
    </w:p>
    <w:p>
      <w:pPr>
        <w:pStyle w:val="926"/>
        <w:ind w:firstLine="48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地址：南京市江宁区万泰路39号宸泰科技大厦泰楼(杭州银行)7层</w:t>
      </w:r>
      <w:r/>
    </w:p>
    <w:p>
      <w:pPr>
        <w:pStyle w:val="926"/>
        <w:ind w:firstLine="48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联系人：冯工 </w:t>
      </w:r>
      <w:r/>
    </w:p>
    <w:p>
      <w:pPr>
        <w:pStyle w:val="926"/>
        <w:ind w:firstLine="48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联系电话：025-52166105-8029</w:t>
      </w:r>
      <w:r/>
    </w:p>
    <w:p>
      <w:pPr>
        <w:pStyle w:val="855"/>
        <w:spacing w:before="0" w:after="0"/>
        <w:rPr>
          <w:rFonts w:hint="eastAsia" w:ascii="宋体" w:hAnsi="宋体" w:cs="宋体"/>
          <w:color w:val="auto"/>
          <w:szCs w:val="36"/>
          <w:highlight w:val="none"/>
          <w:lang w:val="zh-CN"/>
        </w:rPr>
      </w:pPr>
      <w:r>
        <w:rPr>
          <w:rFonts w:hint="eastAsia" w:ascii="宋体" w:hAnsi="宋体" w:cs="宋体"/>
          <w:color w:val="auto"/>
          <w:szCs w:val="21"/>
          <w:highlight w:val="none"/>
          <w:lang w:val="zh-CN"/>
        </w:rPr>
        <w:br w:type="page" w:clear="all"/>
      </w:r>
      <w:bookmarkStart w:id="5" w:name="_Toc25854"/>
      <w:r/>
      <w:bookmarkStart w:id="6" w:name="_Toc19899"/>
      <w:r/>
      <w:bookmarkStart w:id="7" w:name="_Toc18696"/>
      <w:r>
        <w:rPr>
          <w:rFonts w:hint="eastAsia" w:ascii="宋体" w:hAnsi="宋体" w:cs="宋体"/>
          <w:color w:val="auto"/>
          <w:szCs w:val="36"/>
          <w:highlight w:val="none"/>
          <w:lang w:val="zh-CN"/>
        </w:rPr>
        <w:t xml:space="preserve">第二章 </w:t>
      </w:r>
      <w:r>
        <w:rPr>
          <w:rFonts w:hint="eastAsia" w:ascii="宋体" w:hAnsi="宋体" w:cs="宋体"/>
          <w:color w:val="auto"/>
          <w:szCs w:val="36"/>
          <w:highlight w:val="none"/>
        </w:rPr>
        <w:t xml:space="preserve">投标人</w:t>
      </w:r>
      <w:r>
        <w:rPr>
          <w:rFonts w:hint="eastAsia" w:ascii="宋体" w:hAnsi="宋体" w:cs="宋体"/>
          <w:color w:val="auto"/>
          <w:szCs w:val="36"/>
          <w:highlight w:val="none"/>
          <w:lang w:val="zh-CN"/>
        </w:rPr>
        <w:t xml:space="preserve">须知</w:t>
      </w:r>
      <w:bookmarkEnd w:id="5"/>
      <w:r/>
      <w:bookmarkEnd w:id="6"/>
      <w:r/>
      <w:bookmarkEnd w:id="7"/>
      <w:r/>
      <w:r/>
    </w:p>
    <w:p>
      <w:pPr>
        <w:jc w:val="center"/>
        <w:spacing w:line="360" w:lineRule="auto"/>
        <w:rPr>
          <w:b/>
          <w:color w:val="auto"/>
          <w:sz w:val="28"/>
          <w:highlight w:val="none"/>
          <w:lang w:val="zh-CN"/>
        </w:rPr>
      </w:pPr>
      <w:r>
        <w:rPr>
          <w:rFonts w:hint="eastAsia"/>
          <w:b/>
          <w:color w:val="auto"/>
          <w:sz w:val="28"/>
          <w:highlight w:val="none"/>
          <w:lang w:val="zh-CN"/>
        </w:rPr>
        <w:t xml:space="preserve">前附表</w:t>
      </w:r>
      <w:r/>
    </w:p>
    <w:tbl>
      <w:tblPr>
        <w:tblStyle w:val="865"/>
        <w:tblW w:w="9796" w:type="dxa"/>
        <w:tblInd w:w="1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937"/>
        <w:gridCol w:w="1124"/>
        <w:gridCol w:w="1686"/>
        <w:gridCol w:w="5300"/>
      </w:tblGrid>
      <w:tr>
        <w:trPr>
          <w:trHeight w:val="305"/>
        </w:trPr>
        <w:tc>
          <w:tcPr>
            <w:tcBorders>
              <w:top w:val="single" w:color="000000" w:sz="4" w:space="0"/>
              <w:left w:val="single" w:color="000000" w:sz="4" w:space="0"/>
              <w:bottom w:val="single" w:color="000000" w:sz="4" w:space="0"/>
              <w:right w:val="single" w:color="000000" w:sz="4" w:space="0"/>
            </w:tcBorders>
            <w:tcW w:w="749" w:type="dxa"/>
            <w:vAlign w:val="top"/>
            <w:textDirection w:val="lrTb"/>
            <w:noWrap w:val="false"/>
          </w:tcPr>
          <w:p>
            <w:pPr>
              <w:jc w:val="center"/>
              <w:spacing w:line="360" w:lineRule="auto"/>
              <w:rPr>
                <w:rFonts w:hint="eastAsia" w:ascii="宋体" w:hAnsi="宋体"/>
                <w:b/>
                <w:color w:val="auto"/>
                <w:highlight w:val="none"/>
              </w:rPr>
            </w:pPr>
            <w:r>
              <w:rPr>
                <w:rFonts w:hint="eastAsia" w:ascii="宋体" w:hAnsi="宋体"/>
                <w:b/>
                <w:color w:val="auto"/>
                <w:highlight w:val="none"/>
              </w:rPr>
              <w:t xml:space="preserve">序号</w:t>
            </w:r>
            <w:r/>
          </w:p>
        </w:tc>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spacing w:line="360" w:lineRule="auto"/>
              <w:rPr>
                <w:rFonts w:hint="eastAsia" w:ascii="宋体" w:hAnsi="宋体"/>
                <w:b/>
                <w:color w:val="auto"/>
                <w:highlight w:val="none"/>
              </w:rPr>
            </w:pPr>
            <w:r>
              <w:rPr>
                <w:rFonts w:hint="eastAsia" w:ascii="宋体" w:hAnsi="宋体"/>
                <w:b/>
                <w:color w:val="auto"/>
                <w:highlight w:val="none"/>
              </w:rPr>
              <w:t xml:space="preserve">项  目</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jc w:val="center"/>
              <w:spacing w:line="360" w:lineRule="auto"/>
              <w:rPr>
                <w:rFonts w:hint="eastAsia" w:ascii="宋体" w:hAnsi="宋体"/>
                <w:b/>
                <w:color w:val="auto"/>
                <w:highlight w:val="none"/>
              </w:rPr>
            </w:pPr>
            <w:r>
              <w:rPr>
                <w:rFonts w:hint="eastAsia" w:ascii="宋体" w:hAnsi="宋体"/>
                <w:b/>
                <w:color w:val="auto"/>
                <w:highlight w:val="none"/>
              </w:rPr>
              <w:t xml:space="preserve">内        容</w:t>
            </w:r>
            <w:r/>
          </w:p>
        </w:tc>
      </w:tr>
      <w:tr>
        <w:trPr>
          <w:trHeight w:val="327"/>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1</w:t>
            </w:r>
            <w:r/>
          </w:p>
        </w:tc>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项目编号</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eastAsia="宋体" w:cs="宋体"/>
                <w:color w:val="auto"/>
                <w:sz w:val="21"/>
                <w:szCs w:val="21"/>
                <w:highlight w:val="none"/>
              </w:rPr>
              <w:t xml:space="preserve">JSZC-320100-NJYP-G2026-0019</w:t>
            </w:r>
            <w:r/>
          </w:p>
        </w:tc>
      </w:tr>
      <w:tr>
        <w:trPr>
          <w:trHeight w:val="305"/>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2</w:t>
            </w:r>
            <w:r/>
          </w:p>
        </w:tc>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spacing w:line="360" w:lineRule="auto"/>
              <w:rPr>
                <w:rFonts w:hint="eastAsia" w:eastAsia="宋体"/>
                <w:color w:val="auto"/>
                <w:szCs w:val="21"/>
                <w:highlight w:val="none"/>
                <w:lang w:eastAsia="zh-CN"/>
              </w:rPr>
            </w:pPr>
            <w:r>
              <w:rPr>
                <w:rFonts w:hint="eastAsia" w:ascii="宋体" w:hAnsi="宋体" w:cs="Arial"/>
                <w:color w:val="auto"/>
                <w:szCs w:val="21"/>
                <w:highlight w:val="none"/>
                <w:lang w:eastAsia="zh-CN"/>
              </w:rPr>
              <w:t xml:space="preserve">2026年警用装备购置更新专项市局保障中心补充装备项目</w:t>
            </w:r>
            <w:r/>
          </w:p>
        </w:tc>
      </w:tr>
      <w:tr>
        <w:trPr>
          <w:trHeight w:val="444"/>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3</w:t>
            </w:r>
            <w:r/>
          </w:p>
        </w:tc>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招标代理机构</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南京永平建设项目管理有限公司</w:t>
            </w:r>
            <w:r/>
          </w:p>
        </w:tc>
      </w:tr>
      <w:tr>
        <w:trPr>
          <w:trHeight w:val="435"/>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4</w:t>
            </w:r>
            <w:r/>
          </w:p>
        </w:tc>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招标代理机构地址</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南京市江宁区万泰路39号宸泰科技大厦泰楼(杭州银行)7层</w:t>
            </w:r>
            <w:r/>
          </w:p>
        </w:tc>
      </w:tr>
      <w:tr>
        <w:trPr>
          <w:trHeight w:val="392"/>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5</w:t>
            </w:r>
            <w:r/>
          </w:p>
        </w:tc>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采购文件获取方法</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s="Trebuchet MS"/>
                <w:color w:val="auto"/>
                <w:szCs w:val="21"/>
                <w:highlight w:val="none"/>
              </w:rPr>
              <w:t xml:space="preserve">在“江苏政府采购网”免费下载。投标人登陆“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trHeight w:val="355"/>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6</w:t>
            </w:r>
            <w:r/>
          </w:p>
        </w:tc>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spacing w:line="360" w:lineRule="auto"/>
              <w:rPr>
                <w:rFonts w:hint="eastAsia" w:ascii="宋体" w:hAnsi="宋体"/>
                <w:color w:val="auto"/>
                <w:szCs w:val="21"/>
                <w:highlight w:val="none"/>
              </w:rPr>
            </w:pPr>
            <w:r>
              <w:rPr>
                <w:rFonts w:ascii="宋体" w:hAnsi="宋体"/>
                <w:color w:val="auto"/>
                <w:szCs w:val="21"/>
                <w:highlight w:val="none"/>
              </w:rPr>
              <w:t xml:space="preserve">踏勘</w:t>
            </w:r>
            <w:r>
              <w:rPr>
                <w:rFonts w:hint="eastAsia" w:ascii="宋体" w:hAnsi="宋体"/>
                <w:color w:val="auto"/>
                <w:szCs w:val="21"/>
                <w:highlight w:val="none"/>
              </w:rPr>
              <w:t xml:space="preserve">现场</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不组织现场踏勘，</w:t>
            </w:r>
            <w:r>
              <w:rPr>
                <w:rFonts w:hint="eastAsia" w:ascii="宋体" w:hAnsi="宋体"/>
                <w:color w:val="auto"/>
                <w:szCs w:val="21"/>
                <w:highlight w:val="none"/>
              </w:rPr>
              <w:t xml:space="preserve">投标人</w:t>
            </w:r>
            <w:r>
              <w:rPr>
                <w:rFonts w:hint="eastAsia" w:ascii="宋体" w:hAnsi="宋体"/>
                <w:color w:val="auto"/>
                <w:szCs w:val="21"/>
                <w:highlight w:val="none"/>
                <w:lang w:val="zh-CN"/>
              </w:rPr>
              <w:t xml:space="preserve">如需踏勘现场可自行前往。</w:t>
            </w:r>
            <w:r/>
          </w:p>
        </w:tc>
      </w:tr>
      <w:tr>
        <w:trPr>
          <w:trHeight w:val="379"/>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7</w:t>
            </w:r>
            <w:r/>
          </w:p>
        </w:tc>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投标有效期</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jc w:val="left"/>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投标后九十（90）天</w:t>
            </w:r>
            <w:r/>
          </w:p>
        </w:tc>
      </w:tr>
      <w:tr>
        <w:trPr>
          <w:cantSplit/>
          <w:trHeight w:val="356"/>
        </w:trPr>
        <w:tc>
          <w:tcPr>
            <w:tcBorders>
              <w:top w:val="single" w:color="000000" w:sz="4" w:space="0"/>
              <w:left w:val="single" w:color="000000" w:sz="4" w:space="0"/>
              <w:bottom w:val="single" w:color="000000" w:sz="4" w:space="0"/>
              <w:right w:val="single" w:color="000000" w:sz="4" w:space="0"/>
            </w:tcBorders>
            <w:tcW w:w="749" w:type="dxa"/>
            <w:vAlign w:val="center"/>
            <w:vMerge w:val="restart"/>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8</w:t>
            </w:r>
            <w:r/>
          </w:p>
        </w:tc>
        <w:tc>
          <w:tcPr>
            <w:tcBorders>
              <w:top w:val="single" w:color="000000" w:sz="4" w:space="0"/>
              <w:left w:val="single" w:color="000000" w:sz="4" w:space="0"/>
              <w:bottom w:val="single" w:color="000000" w:sz="4" w:space="0"/>
              <w:right w:val="single" w:color="000000" w:sz="4" w:space="0"/>
            </w:tcBorders>
            <w:tcW w:w="937" w:type="dxa"/>
            <w:vAlign w:val="center"/>
            <w:vMerge w:val="restart"/>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银行账户</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户名</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jc w:val="left"/>
              <w:spacing w:line="360" w:lineRule="auto"/>
              <w:rPr>
                <w:rFonts w:hint="eastAsia" w:ascii="宋体" w:hAnsi="宋体"/>
                <w:color w:val="auto"/>
                <w:szCs w:val="21"/>
                <w:highlight w:val="none"/>
              </w:rPr>
            </w:pPr>
            <w:r>
              <w:rPr>
                <w:rFonts w:hint="eastAsia"/>
                <w:color w:val="auto"/>
                <w:szCs w:val="21"/>
                <w:highlight w:val="none"/>
              </w:rPr>
              <w:t xml:space="preserve">南京永平建设项目管理有限公司</w:t>
            </w:r>
            <w:r/>
          </w:p>
        </w:tc>
      </w:tr>
      <w:tr>
        <w:trPr>
          <w:cantSplit/>
          <w:trHeight w:val="334"/>
        </w:trPr>
        <w:tc>
          <w:tcPr>
            <w:tcBorders>
              <w:top w:val="single" w:color="000000" w:sz="4" w:space="0"/>
              <w:left w:val="single" w:color="000000" w:sz="4" w:space="0"/>
              <w:bottom w:val="single" w:color="000000" w:sz="4" w:space="0"/>
              <w:right w:val="single" w:color="000000" w:sz="4" w:space="0"/>
            </w:tcBorders>
            <w:tcW w:w="749" w:type="dxa"/>
            <w:vAlign w:val="center"/>
            <w:vMerge w:val="continue"/>
            <w:textDirection w:val="lrTb"/>
            <w:noWrap w:val="false"/>
          </w:tcPr>
          <w:p>
            <w:pPr>
              <w:jc w:val="center"/>
              <w:spacing w:line="360" w:lineRule="auto"/>
              <w:widowControl/>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937" w:type="dxa"/>
            <w:vAlign w:val="center"/>
            <w:vMerge w:val="continue"/>
            <w:textDirection w:val="lrTb"/>
            <w:noWrap w:val="false"/>
          </w:tcPr>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ind w:firstLine="105"/>
              <w:jc w:val="cente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开户行</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jc w:val="left"/>
              <w:spacing w:line="360" w:lineRule="auto"/>
              <w:rPr>
                <w:rFonts w:hint="eastAsia" w:ascii="宋体" w:hAnsi="宋体"/>
                <w:color w:val="auto"/>
                <w:szCs w:val="21"/>
                <w:highlight w:val="none"/>
                <w:lang w:val="zh-CN"/>
              </w:rPr>
            </w:pPr>
            <w:r>
              <w:rPr>
                <w:rFonts w:hint="eastAsia" w:ascii="宋体" w:hAnsi="宋体"/>
                <w:color w:val="auto"/>
                <w:szCs w:val="21"/>
                <w:highlight w:val="none"/>
              </w:rPr>
              <w:t xml:space="preserve">江苏紫金农商行东山支行</w:t>
            </w:r>
            <w:r/>
          </w:p>
        </w:tc>
      </w:tr>
      <w:tr>
        <w:trPr>
          <w:cantSplit/>
          <w:trHeight w:val="385"/>
        </w:trPr>
        <w:tc>
          <w:tcPr>
            <w:tcBorders>
              <w:top w:val="single" w:color="000000" w:sz="4" w:space="0"/>
              <w:left w:val="single" w:color="000000" w:sz="4" w:space="0"/>
              <w:bottom w:val="single" w:color="000000" w:sz="4" w:space="0"/>
              <w:right w:val="single" w:color="000000" w:sz="4" w:space="0"/>
            </w:tcBorders>
            <w:tcW w:w="749" w:type="dxa"/>
            <w:vAlign w:val="center"/>
            <w:vMerge w:val="continue"/>
            <w:textDirection w:val="lrTb"/>
            <w:noWrap w:val="false"/>
          </w:tcPr>
          <w:p>
            <w:pPr>
              <w:jc w:val="center"/>
              <w:spacing w:line="360" w:lineRule="auto"/>
              <w:widowControl/>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937" w:type="dxa"/>
            <w:vAlign w:val="center"/>
            <w:vMerge w:val="continue"/>
            <w:textDirection w:val="lrTb"/>
            <w:noWrap w:val="false"/>
          </w:tcPr>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账号</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jc w:val="left"/>
              <w:spacing w:line="360" w:lineRule="auto"/>
              <w:rPr>
                <w:rFonts w:hint="eastAsia" w:ascii="宋体" w:hAnsi="宋体"/>
                <w:color w:val="auto"/>
                <w:szCs w:val="21"/>
                <w:highlight w:val="none"/>
                <w:lang w:val="zh-CN"/>
              </w:rPr>
            </w:pPr>
            <w:r>
              <w:rPr>
                <w:rFonts w:ascii="宋体" w:hAnsi="宋体"/>
                <w:color w:val="auto"/>
                <w:szCs w:val="21"/>
                <w:highlight w:val="none"/>
              </w:rPr>
              <w:t xml:space="preserve">3201212401201000044142</w:t>
            </w:r>
            <w:r/>
          </w:p>
        </w:tc>
      </w:tr>
      <w:tr>
        <w:trPr>
          <w:cantSplit/>
          <w:trHeight w:val="374"/>
        </w:trPr>
        <w:tc>
          <w:tcPr>
            <w:tcBorders>
              <w:top w:val="single" w:color="000000" w:sz="4" w:space="0"/>
              <w:left w:val="single" w:color="000000" w:sz="4" w:space="0"/>
              <w:right w:val="single" w:color="000000" w:sz="4" w:space="0"/>
            </w:tcBorders>
            <w:tcW w:w="749" w:type="dxa"/>
            <w:vAlign w:val="center"/>
            <w:vMerge w:val="restart"/>
            <w:textDirection w:val="lrTb"/>
            <w:noWrap w:val="false"/>
          </w:tcPr>
          <w:p>
            <w:pPr>
              <w:jc w:val="center"/>
              <w:spacing w:line="360" w:lineRule="auto"/>
              <w:widowControl/>
              <w:rPr>
                <w:rFonts w:hint="eastAsia" w:ascii="宋体" w:hAnsi="宋体"/>
                <w:color w:val="auto"/>
                <w:highlight w:val="none"/>
              </w:rPr>
            </w:pPr>
            <w:r>
              <w:rPr>
                <w:rFonts w:ascii="宋体" w:hAnsi="宋体"/>
                <w:color w:val="auto"/>
                <w:highlight w:val="none"/>
              </w:rPr>
              <w:t xml:space="preserve">9</w:t>
            </w:r>
            <w:r/>
          </w:p>
        </w:tc>
        <w:tc>
          <w:tcPr>
            <w:tcBorders>
              <w:top w:val="single" w:color="000000" w:sz="4" w:space="0"/>
              <w:left w:val="single" w:color="000000" w:sz="4" w:space="0"/>
              <w:right w:val="single" w:color="000000" w:sz="4" w:space="0"/>
            </w:tcBorders>
            <w:tcW w:w="937" w:type="dxa"/>
            <w:vAlign w:val="center"/>
            <w:vMerge w:val="restart"/>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 信息</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spacing w:line="360" w:lineRule="auto"/>
              <w:rPr>
                <w:rFonts w:ascii="宋体"/>
                <w:color w:val="auto"/>
                <w:szCs w:val="21"/>
                <w:highlight w:val="none"/>
                <w:lang w:val="zh-CN"/>
              </w:rPr>
            </w:pPr>
            <w:r>
              <w:rPr>
                <w:rFonts w:hint="eastAsia" w:ascii="宋体"/>
                <w:color w:val="auto"/>
                <w:szCs w:val="21"/>
                <w:highlight w:val="none"/>
                <w:lang w:val="zh-CN"/>
              </w:rPr>
              <w:t xml:space="preserve">时间</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spacing w:line="360" w:lineRule="auto"/>
              <w:rPr>
                <w:rFonts w:ascii="宋体"/>
                <w:color w:val="auto"/>
                <w:szCs w:val="21"/>
                <w:highlight w:val="none"/>
                <w:lang w:val="zh-CN"/>
              </w:rPr>
            </w:pPr>
            <w:r>
              <w:rPr>
                <w:rFonts w:hint="eastAsia" w:ascii="宋体" w:hAnsi="宋体" w:cs="宋体"/>
                <w:color w:val="auto"/>
                <w:szCs w:val="21"/>
                <w:highlight w:val="none"/>
              </w:rPr>
              <w:t xml:space="preserve">2026年</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日9时30分</w:t>
            </w:r>
            <w:r/>
          </w:p>
        </w:tc>
      </w:tr>
      <w:tr>
        <w:trPr>
          <w:cantSplit/>
          <w:trHeight w:val="449"/>
        </w:trPr>
        <w:tc>
          <w:tcPr>
            <w:tcBorders>
              <w:left w:val="single" w:color="000000" w:sz="4" w:space="0"/>
              <w:right w:val="single" w:color="000000" w:sz="4" w:space="0"/>
            </w:tcBorders>
            <w:tcW w:w="749" w:type="dxa"/>
            <w:vAlign w:val="center"/>
            <w:vMerge w:val="continue"/>
            <w:textDirection w:val="lrTb"/>
            <w:noWrap w:val="false"/>
          </w:tcPr>
          <w:p>
            <w:pPr>
              <w:jc w:val="center"/>
              <w:spacing w:line="360" w:lineRule="auto"/>
              <w:widowControl/>
              <w:rPr>
                <w:rFonts w:hint="eastAsia" w:ascii="宋体" w:hAnsi="宋体"/>
                <w:color w:val="auto"/>
                <w:highlight w:val="none"/>
              </w:rPr>
            </w:pPr>
            <w:r>
              <w:rPr>
                <w:rFonts w:hint="eastAsia" w:ascii="宋体" w:hAnsi="宋体"/>
                <w:color w:val="auto"/>
                <w:highlight w:val="none"/>
              </w:rPr>
            </w:r>
            <w:r/>
          </w:p>
        </w:tc>
        <w:tc>
          <w:tcPr>
            <w:tcBorders>
              <w:left w:val="single" w:color="000000" w:sz="4" w:space="0"/>
              <w:right w:val="single" w:color="000000" w:sz="4" w:space="0"/>
            </w:tcBorders>
            <w:tcW w:w="937" w:type="dxa"/>
            <w:vAlign w:val="center"/>
            <w:vMerge w:val="continue"/>
            <w:textDirection w:val="lrTb"/>
            <w:noWrap w:val="false"/>
          </w:tcPr>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spacing w:line="360" w:lineRule="auto"/>
              <w:rPr>
                <w:rFonts w:ascii="宋体"/>
                <w:color w:val="auto"/>
                <w:szCs w:val="21"/>
                <w:highlight w:val="none"/>
                <w:lang w:val="zh-CN"/>
              </w:rPr>
            </w:pPr>
            <w:r>
              <w:rPr>
                <w:rFonts w:hint="eastAsia" w:ascii="宋体"/>
                <w:color w:val="auto"/>
                <w:szCs w:val="21"/>
                <w:highlight w:val="none"/>
                <w:lang w:val="zh-CN"/>
              </w:rPr>
              <w:t xml:space="preserve">地点</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spacing w:line="360" w:lineRule="auto"/>
              <w:rPr>
                <w:rFonts w:ascii="宋体"/>
                <w:color w:val="auto"/>
                <w:szCs w:val="21"/>
                <w:highlight w:val="none"/>
                <w:lang w:val="zh-CN"/>
              </w:rPr>
            </w:pPr>
            <w:r>
              <w:rPr>
                <w:rFonts w:hint="eastAsia" w:ascii="宋体" w:hAnsi="宋体" w:cs="Trebuchet MS"/>
                <w:color w:val="auto"/>
                <w:szCs w:val="21"/>
                <w:highlight w:val="none"/>
              </w:rPr>
              <w:t xml:space="preserve">江苏省政府采购交易系统（以下简称“苏采云系统”）网上开标大厅</w:t>
            </w:r>
            <w:r/>
          </w:p>
        </w:tc>
      </w:tr>
      <w:tr>
        <w:trPr>
          <w:cantSplit/>
          <w:trHeight w:val="485"/>
        </w:trPr>
        <w:tc>
          <w:tcPr>
            <w:tcBorders>
              <w:top w:val="single" w:color="000000" w:sz="4" w:space="0"/>
              <w:left w:val="single" w:color="000000" w:sz="4" w:space="0"/>
              <w:right w:val="single" w:color="000000" w:sz="4" w:space="0"/>
            </w:tcBorders>
            <w:tcW w:w="749" w:type="dxa"/>
            <w:vAlign w:val="center"/>
            <w:vMerge w:val="restart"/>
            <w:textDirection w:val="lrTb"/>
            <w:noWrap w:val="false"/>
          </w:tcPr>
          <w:p>
            <w:pPr>
              <w:jc w:val="center"/>
              <w:spacing w:line="360" w:lineRule="auto"/>
              <w:widowControl/>
              <w:rPr>
                <w:rFonts w:hint="eastAsia"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0</w:t>
            </w:r>
            <w:r/>
          </w:p>
        </w:tc>
        <w:tc>
          <w:tcPr>
            <w:tcBorders>
              <w:top w:val="single" w:color="000000" w:sz="4" w:space="0"/>
              <w:left w:val="single" w:color="000000" w:sz="4" w:space="0"/>
              <w:right w:val="single" w:color="000000" w:sz="4" w:space="0"/>
            </w:tcBorders>
            <w:tcW w:w="937" w:type="dxa"/>
            <w:vAlign w:val="center"/>
            <w:vMerge w:val="restart"/>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联系 事项</w:t>
            </w:r>
            <w:r/>
          </w:p>
        </w:tc>
        <w:tc>
          <w:tcPr>
            <w:tcBorders>
              <w:top w:val="single" w:color="000000" w:sz="4" w:space="0"/>
              <w:left w:val="single" w:color="000000" w:sz="4" w:space="0"/>
              <w:right w:val="single" w:color="000000" w:sz="4" w:space="0"/>
            </w:tcBorders>
            <w:tcW w:w="1124" w:type="dxa"/>
            <w:vAlign w:val="center"/>
            <w:vMerge w:val="restart"/>
            <w:textDirection w:val="lrTb"/>
            <w:noWrap w:val="false"/>
          </w:tcPr>
          <w:p>
            <w:pPr>
              <w:jc w:val="center"/>
              <w:spacing w:line="360" w:lineRule="auto"/>
              <w:rPr>
                <w:rFonts w:ascii="宋体"/>
                <w:color w:val="auto"/>
                <w:szCs w:val="21"/>
                <w:highlight w:val="none"/>
                <w:lang w:val="zh-CN"/>
              </w:rPr>
            </w:pPr>
            <w:r>
              <w:rPr>
                <w:rFonts w:hint="eastAsia" w:ascii="宋体"/>
                <w:color w:val="auto"/>
                <w:szCs w:val="21"/>
                <w:highlight w:val="none"/>
                <w:lang w:val="zh-CN"/>
              </w:rPr>
              <w:t xml:space="preserve">招标人</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spacing w:line="360" w:lineRule="auto"/>
              <w:rPr>
                <w:rFonts w:ascii="宋体"/>
                <w:color w:val="auto"/>
                <w:szCs w:val="21"/>
                <w:highlight w:val="none"/>
                <w:lang w:val="zh-CN"/>
              </w:rPr>
            </w:pPr>
            <w:r>
              <w:rPr>
                <w:rFonts w:hint="eastAsia" w:ascii="宋体"/>
                <w:color w:val="auto"/>
                <w:szCs w:val="21"/>
                <w:highlight w:val="none"/>
                <w:lang w:val="zh-CN"/>
              </w:rPr>
              <w:t xml:space="preserve">联系人</w:t>
            </w:r>
            <w:r/>
          </w:p>
        </w:tc>
        <w:tc>
          <w:tcPr>
            <w:tcBorders>
              <w:top w:val="single" w:color="000000" w:sz="4" w:space="0"/>
              <w:left w:val="single" w:color="000000" w:sz="4" w:space="0"/>
              <w:bottom w:val="single" w:color="000000" w:sz="4" w:space="0"/>
              <w:right w:val="single" w:color="000000" w:sz="4" w:space="0"/>
            </w:tcBorders>
            <w:tcW w:w="5300" w:type="dxa"/>
            <w:vAlign w:val="center"/>
            <w:textDirection w:val="lrTb"/>
            <w:noWrap w:val="false"/>
          </w:tcPr>
          <w:p>
            <w:pPr>
              <w:spacing w:line="360" w:lineRule="auto"/>
              <w:rPr>
                <w:rFonts w:ascii="宋体"/>
                <w:color w:val="auto"/>
                <w:szCs w:val="21"/>
                <w:highlight w:val="none"/>
              </w:rPr>
            </w:pPr>
            <w:r>
              <w:rPr>
                <w:rFonts w:hint="eastAsia" w:ascii="宋体"/>
                <w:color w:val="auto"/>
                <w:szCs w:val="21"/>
                <w:highlight w:val="none"/>
                <w:lang w:val="en-US" w:eastAsia="zh-CN"/>
              </w:rPr>
              <w:t xml:space="preserve">岳</w:t>
            </w:r>
            <w:r>
              <w:rPr>
                <w:rFonts w:hint="eastAsia" w:ascii="宋体"/>
                <w:color w:val="auto"/>
                <w:szCs w:val="21"/>
                <w:highlight w:val="none"/>
              </w:rPr>
              <w:t xml:space="preserve">警官</w:t>
            </w:r>
            <w:r/>
          </w:p>
        </w:tc>
      </w:tr>
      <w:tr>
        <w:trPr>
          <w:cantSplit/>
          <w:trHeight w:val="621"/>
        </w:trPr>
        <w:tc>
          <w:tcPr>
            <w:tcBorders>
              <w:left w:val="single" w:color="000000" w:sz="4" w:space="0"/>
              <w:right w:val="single" w:color="000000" w:sz="4" w:space="0"/>
            </w:tcBorders>
            <w:tcW w:w="749" w:type="dxa"/>
            <w:vAlign w:val="center"/>
            <w:vMerge w:val="continue"/>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r>
            <w:r/>
          </w:p>
        </w:tc>
        <w:tc>
          <w:tcPr>
            <w:tcBorders>
              <w:left w:val="single" w:color="000000" w:sz="4" w:space="0"/>
              <w:right w:val="single" w:color="000000" w:sz="4" w:space="0"/>
            </w:tcBorders>
            <w:tcW w:w="937" w:type="dxa"/>
            <w:vAlign w:val="center"/>
            <w:vMerge w:val="continue"/>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left w:val="single" w:color="000000" w:sz="4" w:space="0"/>
              <w:bottom w:val="single" w:color="000000" w:sz="4" w:space="0"/>
              <w:right w:val="single" w:color="000000" w:sz="4" w:space="0"/>
            </w:tcBorders>
            <w:tcW w:w="1124" w:type="dxa"/>
            <w:vAlign w:val="center"/>
            <w:vMerge w:val="continue"/>
            <w:textDirection w:val="lrTb"/>
            <w:noWrap w:val="false"/>
          </w:tcPr>
          <w:p>
            <w:pPr>
              <w:jc w:val="center"/>
              <w:spacing w:line="360" w:lineRule="auto"/>
              <w:rPr>
                <w:rFonts w:ascii="宋体"/>
                <w:color w:val="auto"/>
                <w:szCs w:val="21"/>
                <w:highlight w:val="none"/>
                <w:lang w:val="zh-CN"/>
              </w:rPr>
            </w:pPr>
            <w:r>
              <w:rPr>
                <w:rFonts w:ascii="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spacing w:line="360" w:lineRule="auto"/>
              <w:rPr>
                <w:rFonts w:ascii="宋体"/>
                <w:color w:val="auto"/>
                <w:szCs w:val="21"/>
                <w:highlight w:val="none"/>
                <w:lang w:val="zh-CN"/>
              </w:rPr>
            </w:pPr>
            <w:r>
              <w:rPr>
                <w:rFonts w:hint="eastAsia" w:ascii="宋体"/>
                <w:color w:val="auto"/>
                <w:szCs w:val="21"/>
                <w:highlight w:val="none"/>
                <w:lang w:val="zh-CN"/>
              </w:rPr>
              <w:t xml:space="preserve">联系电话</w:t>
            </w:r>
            <w:r/>
          </w:p>
        </w:tc>
        <w:tc>
          <w:tcPr>
            <w:tcBorders>
              <w:top w:val="single" w:color="000000" w:sz="4" w:space="0"/>
              <w:left w:val="single" w:color="000000" w:sz="4" w:space="0"/>
              <w:bottom w:val="single" w:color="000000" w:sz="4" w:space="0"/>
              <w:right w:val="single" w:color="000000" w:sz="4" w:space="0"/>
            </w:tcBorders>
            <w:tcW w:w="5300" w:type="dxa"/>
            <w:vAlign w:val="center"/>
            <w:textDirection w:val="lrTb"/>
            <w:noWrap w:val="false"/>
          </w:tcPr>
          <w:p>
            <w:pPr>
              <w:spacing w:line="360" w:lineRule="auto"/>
              <w:rPr>
                <w:rFonts w:hint="default" w:ascii="宋体" w:eastAsia="宋体"/>
                <w:color w:val="auto"/>
                <w:szCs w:val="21"/>
                <w:highlight w:val="none"/>
                <w:lang w:val="en-US" w:eastAsia="zh-CN"/>
              </w:rPr>
            </w:pPr>
            <w:r>
              <w:rPr>
                <w:rFonts w:hint="eastAsia" w:ascii="宋体" w:hAnsi="宋体" w:cs="宋体"/>
                <w:color w:val="auto"/>
                <w:szCs w:val="21"/>
                <w:highlight w:val="none"/>
                <w:lang w:val="en-US" w:eastAsia="zh-CN"/>
              </w:rPr>
              <w:t xml:space="preserve">84420713</w:t>
            </w:r>
            <w:r/>
          </w:p>
        </w:tc>
      </w:tr>
      <w:tr>
        <w:trPr>
          <w:cantSplit/>
          <w:trHeight w:val="503"/>
        </w:trPr>
        <w:tc>
          <w:tcPr>
            <w:tcBorders>
              <w:left w:val="single" w:color="000000" w:sz="4" w:space="0"/>
              <w:right w:val="single" w:color="000000" w:sz="4" w:space="0"/>
            </w:tcBorders>
            <w:tcW w:w="749" w:type="dxa"/>
            <w:vAlign w:val="center"/>
            <w:vMerge w:val="continue"/>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r>
            <w:r/>
          </w:p>
        </w:tc>
        <w:tc>
          <w:tcPr>
            <w:tcBorders>
              <w:left w:val="single" w:color="000000" w:sz="4" w:space="0"/>
              <w:right w:val="single" w:color="000000" w:sz="4" w:space="0"/>
            </w:tcBorders>
            <w:tcW w:w="937" w:type="dxa"/>
            <w:vAlign w:val="center"/>
            <w:vMerge w:val="continue"/>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right w:val="single" w:color="000000" w:sz="4" w:space="0"/>
            </w:tcBorders>
            <w:tcW w:w="1124" w:type="dxa"/>
            <w:vAlign w:val="center"/>
            <w:vMerge w:val="restart"/>
            <w:textDirection w:val="lrTb"/>
            <w:noWrap w:val="false"/>
          </w:tcPr>
          <w:p>
            <w:pPr>
              <w:jc w:val="center"/>
              <w:spacing w:line="360" w:lineRule="auto"/>
              <w:rPr>
                <w:rFonts w:ascii="宋体"/>
                <w:color w:val="auto"/>
                <w:szCs w:val="21"/>
                <w:highlight w:val="none"/>
                <w:lang w:val="zh-CN"/>
              </w:rPr>
            </w:pPr>
            <w:r>
              <w:rPr>
                <w:rFonts w:hint="eastAsia" w:ascii="宋体"/>
                <w:color w:val="auto"/>
                <w:szCs w:val="21"/>
                <w:highlight w:val="none"/>
                <w:lang w:val="zh-CN"/>
              </w:rPr>
              <w:t xml:space="preserve">招标代理机构机构</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spacing w:line="360" w:lineRule="auto"/>
              <w:rPr>
                <w:rFonts w:ascii="宋体"/>
                <w:color w:val="auto"/>
                <w:szCs w:val="21"/>
                <w:highlight w:val="none"/>
                <w:lang w:val="zh-CN"/>
              </w:rPr>
            </w:pPr>
            <w:r>
              <w:rPr>
                <w:rFonts w:hint="eastAsia" w:ascii="宋体"/>
                <w:color w:val="auto"/>
                <w:szCs w:val="21"/>
                <w:highlight w:val="none"/>
                <w:lang w:val="zh-CN"/>
              </w:rPr>
              <w:t xml:space="preserve">联系人</w:t>
            </w:r>
            <w:r/>
          </w:p>
        </w:tc>
        <w:tc>
          <w:tcPr>
            <w:tcBorders>
              <w:top w:val="single" w:color="000000" w:sz="4" w:space="0"/>
              <w:left w:val="single" w:color="000000" w:sz="4" w:space="0"/>
              <w:bottom w:val="single" w:color="000000" w:sz="4" w:space="0"/>
              <w:right w:val="single" w:color="000000" w:sz="4" w:space="0"/>
            </w:tcBorders>
            <w:tcW w:w="5300" w:type="dxa"/>
            <w:vAlign w:val="center"/>
            <w:textDirection w:val="lrTb"/>
            <w:noWrap w:val="false"/>
          </w:tcPr>
          <w:p>
            <w:pPr>
              <w:spacing w:line="360" w:lineRule="auto"/>
              <w:rPr>
                <w:rFonts w:ascii="宋体"/>
                <w:color w:val="auto"/>
                <w:szCs w:val="21"/>
                <w:highlight w:val="none"/>
                <w:lang w:val="zh-CN"/>
              </w:rPr>
            </w:pPr>
            <w:r>
              <w:rPr>
                <w:rFonts w:hint="eastAsia" w:ascii="宋体"/>
                <w:color w:val="auto"/>
                <w:szCs w:val="21"/>
                <w:highlight w:val="none"/>
              </w:rPr>
              <w:t xml:space="preserve">冯</w:t>
            </w:r>
            <w:r>
              <w:rPr>
                <w:rFonts w:hint="eastAsia" w:ascii="宋体"/>
                <w:color w:val="auto"/>
                <w:szCs w:val="21"/>
                <w:highlight w:val="none"/>
                <w:lang w:val="zh-CN"/>
              </w:rPr>
              <w:t xml:space="preserve">工</w:t>
            </w:r>
            <w:r/>
          </w:p>
        </w:tc>
      </w:tr>
      <w:tr>
        <w:trPr>
          <w:cantSplit/>
          <w:trHeight w:val="550"/>
        </w:trPr>
        <w:tc>
          <w:tcPr>
            <w:tcBorders>
              <w:left w:val="single" w:color="000000" w:sz="4" w:space="0"/>
              <w:right w:val="single" w:color="000000" w:sz="4" w:space="0"/>
            </w:tcBorders>
            <w:tcW w:w="749" w:type="dxa"/>
            <w:vAlign w:val="center"/>
            <w:vMerge w:val="continue"/>
            <w:textDirection w:val="lrTb"/>
            <w:noWrap w:val="false"/>
          </w:tcPr>
          <w:p>
            <w:pPr>
              <w:jc w:val="left"/>
              <w:spacing w:line="360" w:lineRule="auto"/>
              <w:widowControl/>
              <w:rPr>
                <w:rFonts w:hint="eastAsia" w:ascii="宋体" w:hAnsi="宋体"/>
                <w:color w:val="auto"/>
                <w:highlight w:val="none"/>
              </w:rPr>
            </w:pPr>
            <w:r>
              <w:rPr>
                <w:rFonts w:hint="eastAsia" w:ascii="宋体" w:hAnsi="宋体"/>
                <w:color w:val="auto"/>
                <w:highlight w:val="none"/>
              </w:rPr>
            </w:r>
            <w:r/>
          </w:p>
        </w:tc>
        <w:tc>
          <w:tcPr>
            <w:tcBorders>
              <w:left w:val="single" w:color="000000" w:sz="4" w:space="0"/>
              <w:right w:val="single" w:color="000000" w:sz="4" w:space="0"/>
            </w:tcBorders>
            <w:tcW w:w="937" w:type="dxa"/>
            <w:vAlign w:val="center"/>
            <w:vMerge w:val="continue"/>
            <w:textDirection w:val="lrTb"/>
            <w:noWrap w:val="false"/>
          </w:tcPr>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left w:val="single" w:color="000000" w:sz="4" w:space="0"/>
              <w:right w:val="single" w:color="000000" w:sz="4" w:space="0"/>
            </w:tcBorders>
            <w:tcW w:w="1124" w:type="dxa"/>
            <w:vAlign w:val="center"/>
            <w:vMerge w:val="continue"/>
            <w:textDirection w:val="lrTb"/>
            <w:noWrap w:val="false"/>
          </w:tcPr>
          <w:p>
            <w:pPr>
              <w:spacing w:line="360" w:lineRule="auto"/>
              <w:rPr>
                <w:rFonts w:ascii="宋体"/>
                <w:color w:val="auto"/>
                <w:szCs w:val="21"/>
                <w:highlight w:val="none"/>
                <w:lang w:val="zh-CN"/>
              </w:rPr>
            </w:pPr>
            <w:r>
              <w:rPr>
                <w:rFonts w:ascii="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spacing w:line="360" w:lineRule="auto"/>
              <w:rPr>
                <w:rFonts w:ascii="宋体"/>
                <w:color w:val="auto"/>
                <w:szCs w:val="21"/>
                <w:highlight w:val="none"/>
                <w:lang w:val="zh-CN"/>
              </w:rPr>
            </w:pPr>
            <w:r>
              <w:rPr>
                <w:rFonts w:hint="eastAsia" w:ascii="宋体"/>
                <w:color w:val="auto"/>
                <w:szCs w:val="21"/>
                <w:highlight w:val="none"/>
                <w:lang w:val="zh-CN"/>
              </w:rPr>
              <w:t xml:space="preserve">联系电话</w:t>
            </w:r>
            <w:r/>
          </w:p>
        </w:tc>
        <w:tc>
          <w:tcPr>
            <w:tcBorders>
              <w:top w:val="single" w:color="000000" w:sz="4" w:space="0"/>
              <w:left w:val="single" w:color="000000" w:sz="4" w:space="0"/>
              <w:bottom w:val="single" w:color="000000" w:sz="4" w:space="0"/>
              <w:right w:val="single" w:color="000000" w:sz="4" w:space="0"/>
            </w:tcBorders>
            <w:tcW w:w="5300" w:type="dxa"/>
            <w:vAlign w:val="center"/>
            <w:textDirection w:val="lrTb"/>
            <w:noWrap w:val="false"/>
          </w:tcPr>
          <w:p>
            <w:pPr>
              <w:spacing w:line="360" w:lineRule="auto"/>
              <w:rPr>
                <w:rFonts w:ascii="宋体"/>
                <w:color w:val="auto"/>
                <w:szCs w:val="21"/>
                <w:highlight w:val="none"/>
                <w:lang w:val="zh-CN"/>
              </w:rPr>
            </w:pPr>
            <w:r>
              <w:rPr>
                <w:rFonts w:hint="eastAsia" w:ascii="宋体"/>
                <w:color w:val="auto"/>
                <w:szCs w:val="21"/>
                <w:highlight w:val="none"/>
                <w:lang w:val="zh-CN"/>
              </w:rPr>
              <w:t xml:space="preserve">025-52166105-8029</w:t>
            </w:r>
            <w:r/>
          </w:p>
        </w:tc>
      </w:tr>
    </w:tbl>
    <w:p>
      <w:pPr>
        <w:ind w:firstLine="42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ind w:firstLine="413"/>
        <w:spacing w:line="360" w:lineRule="auto"/>
        <w:rPr>
          <w:rFonts w:hint="eastAsia" w:ascii="宋体" w:hAnsi="宋体" w:cs="宋体"/>
          <w:b/>
          <w:color w:val="auto"/>
          <w:highlight w:val="none"/>
        </w:rPr>
      </w:pPr>
      <w:r>
        <w:rPr>
          <w:rFonts w:ascii="宋体" w:hAnsi="宋体" w:cs="宋体"/>
          <w:b/>
          <w:color w:val="auto"/>
          <w:highlight w:val="none"/>
        </w:rPr>
        <w:br w:type="page" w:clear="all"/>
      </w:r>
      <w:r>
        <w:rPr>
          <w:rFonts w:hint="eastAsia" w:ascii="宋体" w:hAnsi="宋体" w:cs="宋体"/>
          <w:b/>
          <w:color w:val="auto"/>
          <w:highlight w:val="none"/>
        </w:rPr>
        <w:t xml:space="preserve">一、总则</w:t>
      </w:r>
      <w:r/>
    </w:p>
    <w:p>
      <w:pPr>
        <w:pStyle w:val="916"/>
        <w:ind w:firstLine="413"/>
        <w:spacing w:line="360" w:lineRule="auto"/>
        <w:rPr>
          <w:b/>
          <w:color w:val="auto"/>
          <w:highlight w:val="none"/>
          <w:lang w:val="zh-CN"/>
        </w:rPr>
      </w:pPr>
      <w:r/>
      <w:bookmarkStart w:id="8" w:name="_Toc3875"/>
      <w:r/>
      <w:bookmarkStart w:id="9" w:name="_Toc31812"/>
      <w:r>
        <w:rPr>
          <w:rFonts w:hint="eastAsia"/>
          <w:b/>
          <w:color w:val="auto"/>
          <w:highlight w:val="none"/>
          <w:lang w:val="zh-CN"/>
        </w:rPr>
        <w:t xml:space="preserve">1、适用法律</w:t>
      </w:r>
      <w:bookmarkEnd w:id="8"/>
      <w:r/>
      <w:bookmarkEnd w:id="9"/>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1.1 《中华人民共和国政府采购法》、《中华人民共和国政府采购法实施条例》、《政府采购货物和服务招标投标管理办法》等有关法律、规章和规定等。</w:t>
      </w:r>
      <w:r/>
    </w:p>
    <w:p>
      <w:pPr>
        <w:pStyle w:val="916"/>
        <w:ind w:firstLine="420"/>
        <w:spacing w:line="360" w:lineRule="auto"/>
        <w:rPr>
          <w:b/>
          <w:color w:val="auto"/>
          <w:highlight w:val="none"/>
          <w:lang w:val="zh-CN"/>
        </w:rPr>
      </w:pPr>
      <w:r/>
      <w:bookmarkStart w:id="10" w:name="_Toc25938"/>
      <w:r/>
      <w:bookmarkStart w:id="11" w:name="_Toc23139"/>
      <w:r>
        <w:rPr>
          <w:rFonts w:hint="eastAsia"/>
          <w:b/>
          <w:color w:val="auto"/>
          <w:highlight w:val="none"/>
          <w:lang w:val="zh-CN"/>
        </w:rPr>
        <w:t xml:space="preserve">2、定义</w:t>
      </w:r>
      <w:bookmarkEnd w:id="10"/>
      <w:r/>
      <w:bookmarkEnd w:id="11"/>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2.1 “供应商”、“投标人”是指参加投标竞争，并符合</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文件规定资格条件的法人、其他组织或者自然人。</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2.2 “产品”指本采购文件中所述产品及相关服务。</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2.3 “用户或使用单位”是指使用货物、服务的单位。</w:t>
      </w:r>
      <w:r/>
    </w:p>
    <w:p>
      <w:pPr>
        <w:pStyle w:val="916"/>
        <w:ind w:firstLine="420"/>
        <w:spacing w:line="360" w:lineRule="auto"/>
        <w:rPr>
          <w:b/>
          <w:color w:val="auto"/>
          <w:highlight w:val="none"/>
          <w:lang w:val="zh-CN"/>
        </w:rPr>
      </w:pPr>
      <w:r>
        <w:rPr>
          <w:rFonts w:hint="eastAsia"/>
          <w:b/>
          <w:color w:val="auto"/>
          <w:highlight w:val="none"/>
          <w:lang w:val="zh-CN"/>
        </w:rPr>
        <w:t xml:space="preserve">3、政策功能</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参加投标的中小企业，应当提供《中小企业声明函》（“中小企业划型标准”详《关于印发中小企业划型标准规定的通知》工信部联企业〔2011〕300号）。其他详见采购文件“第三章 评标标准”</w:t>
      </w:r>
      <w:r/>
    </w:p>
    <w:p>
      <w:pPr>
        <w:ind w:firstLine="413"/>
        <w:spacing w:line="360" w:lineRule="auto"/>
        <w:rPr>
          <w:rFonts w:hint="eastAsia" w:ascii="宋体" w:hAnsi="宋体" w:cs="宋体"/>
          <w:b/>
          <w:color w:val="auto"/>
          <w:highlight w:val="none"/>
        </w:rPr>
      </w:pPr>
      <w:r>
        <w:rPr>
          <w:rFonts w:hint="eastAsia" w:ascii="宋体" w:hAnsi="宋体" w:cs="宋体"/>
          <w:b/>
          <w:color w:val="auto"/>
          <w:highlight w:val="none"/>
        </w:rPr>
        <w:t xml:space="preserve">二、采购文件</w:t>
      </w:r>
      <w:r/>
    </w:p>
    <w:p>
      <w:pPr>
        <w:ind w:firstLine="420"/>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4、采购文件组成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4.1 采购文件组成：招标公告、</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须知、供应商应当提交的资格和资信证明文件、投标报价要求、投标文件编制要求、采购项目的技术规格、要求和数量、合同主要条款及合同签订方式、交货和提供服务的时间、付款条件、评标方法、评标标准、无效投标和废标条款、附件等。</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4.2 采购的最小单位是包。采购服务数量及技术要求中未分包的，</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对要求提供的服务不得部分投标；采购服务数量及技术要求中已经分包（</w:t>
      </w:r>
      <w:r>
        <w:rPr>
          <w:rFonts w:hint="eastAsia" w:ascii="宋体" w:hAnsi="宋体" w:cs="宋体"/>
          <w:color w:val="auto"/>
          <w:szCs w:val="21"/>
          <w:highlight w:val="none"/>
          <w:lang w:val="en-US" w:eastAsia="zh-CN"/>
        </w:rPr>
        <w:t xml:space="preserve">分包1、分包2、分包3、分包4、分包5、分包6</w:t>
      </w:r>
      <w:r>
        <w:rPr>
          <w:rFonts w:hint="eastAsia" w:ascii="宋体" w:hAnsi="宋体" w:cs="宋体"/>
          <w:color w:val="auto"/>
          <w:szCs w:val="21"/>
          <w:highlight w:val="none"/>
          <w:lang w:val="zh-CN"/>
        </w:rPr>
        <w:t xml:space="preserve">）的，应当以</w:t>
      </w:r>
      <w:r>
        <w:rPr>
          <w:rFonts w:hint="eastAsia" w:ascii="宋体" w:hAnsi="宋体" w:cs="宋体"/>
          <w:color w:val="auto"/>
          <w:szCs w:val="21"/>
          <w:highlight w:val="none"/>
        </w:rPr>
        <w:t xml:space="preserve">包</w:t>
      </w:r>
      <w:r>
        <w:rPr>
          <w:rFonts w:hint="eastAsia" w:ascii="宋体" w:hAnsi="宋体" w:cs="宋体"/>
          <w:color w:val="auto"/>
          <w:szCs w:val="21"/>
          <w:highlight w:val="none"/>
          <w:lang w:val="zh-CN"/>
        </w:rPr>
        <w:t xml:space="preserve">为单位投标。</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4.3 采购文件如果要求供应商提交备选投标方案的，供应商可以提交备选方案；否则，备选方案将被拒绝。</w:t>
      </w:r>
      <w:r/>
    </w:p>
    <w:p>
      <w:pPr>
        <w:pStyle w:val="916"/>
        <w:ind w:firstLine="422"/>
        <w:spacing w:line="360" w:lineRule="auto"/>
        <w:rPr>
          <w:b/>
          <w:color w:val="auto"/>
          <w:highlight w:val="none"/>
          <w:lang w:val="zh-CN"/>
        </w:rPr>
      </w:pPr>
      <w:r/>
      <w:bookmarkStart w:id="12" w:name="_Toc19198"/>
      <w:r/>
      <w:bookmarkStart w:id="13" w:name="_Toc27071"/>
      <w:r>
        <w:rPr>
          <w:rFonts w:hint="eastAsia"/>
          <w:b/>
          <w:color w:val="auto"/>
          <w:highlight w:val="none"/>
          <w:lang w:val="zh-CN"/>
        </w:rPr>
        <w:t xml:space="preserve">5、采购文件的澄清、修改</w:t>
      </w:r>
      <w:bookmarkEnd w:id="12"/>
      <w:r/>
      <w:bookmarkEnd w:id="13"/>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5.1招标代理机构对已发出的采购文件进行必要澄清或者修改的，将在采购文件要求提交投标文件截止时间</w:t>
      </w:r>
      <w:r>
        <w:rPr>
          <w:rFonts w:hint="eastAsia" w:ascii="宋体" w:hAnsi="宋体" w:cs="宋体"/>
          <w:b/>
          <w:bCs/>
          <w:iCs/>
          <w:color w:val="auto"/>
          <w:szCs w:val="21"/>
          <w:highlight w:val="none"/>
          <w:u w:val="single"/>
          <w:lang w:val="zh-CN"/>
        </w:rPr>
        <w:t xml:space="preserve">十五日</w:t>
      </w:r>
      <w:r>
        <w:rPr>
          <w:rFonts w:hint="eastAsia" w:ascii="宋体" w:hAnsi="宋体" w:cs="宋体"/>
          <w:color w:val="auto"/>
          <w:szCs w:val="21"/>
          <w:highlight w:val="none"/>
          <w:lang w:val="zh-CN"/>
        </w:rPr>
        <w:t xml:space="preserve">前，在原采购公告媒体发布更正公告，该澄清或者修改的内容为采购文件的组成部分。</w:t>
      </w:r>
      <w:r/>
    </w:p>
    <w:p>
      <w:pPr>
        <w:ind w:firstLine="420"/>
        <w:spacing w:line="360" w:lineRule="auto"/>
        <w:rPr>
          <w:rFonts w:hint="eastAsia" w:ascii="宋体" w:hAnsi="宋体" w:cs="宋体"/>
          <w:color w:val="auto"/>
          <w:highlight w:val="none"/>
        </w:rPr>
      </w:pPr>
      <w:r>
        <w:rPr>
          <w:rFonts w:hint="eastAsia" w:ascii="宋体" w:hAnsi="宋体" w:cs="宋体"/>
          <w:color w:val="auto"/>
          <w:szCs w:val="21"/>
          <w:highlight w:val="none"/>
          <w:lang w:val="zh-CN"/>
        </w:rPr>
        <w:t xml:space="preserve">5.2 招标代理机构在采购文件要求提交投标文件截止时间前，有权决定延长投标截止时间和开标时间，并</w:t>
      </w:r>
      <w:r>
        <w:rPr>
          <w:rFonts w:hint="eastAsia" w:ascii="宋体" w:hAnsi="宋体" w:cs="宋体"/>
          <w:color w:val="auto"/>
          <w:highlight w:val="none"/>
        </w:rPr>
        <w:t xml:space="preserve">在原采购信息发布媒体上发布变更公告。</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.3 </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应在投标截止时间前关注</w:t>
      </w:r>
      <w:r>
        <w:rPr>
          <w:rFonts w:hint="eastAsia" w:ascii="宋体" w:hAnsi="宋体" w:cs="宋体"/>
          <w:color w:val="auto"/>
          <w:highlight w:val="none"/>
        </w:rPr>
        <w:t xml:space="preserve">原采购信息发布媒体上</w:t>
      </w:r>
      <w:r>
        <w:rPr>
          <w:rFonts w:hint="eastAsia" w:ascii="宋体" w:hAnsi="宋体" w:cs="宋体"/>
          <w:color w:val="auto"/>
          <w:szCs w:val="21"/>
          <w:highlight w:val="none"/>
          <w:lang w:val="zh-CN"/>
        </w:rPr>
        <w:t xml:space="preserve">有关本采购项目有无变更公告。</w:t>
      </w:r>
      <w:r/>
    </w:p>
    <w:p>
      <w:pPr>
        <w:ind w:firstLine="413"/>
        <w:spacing w:line="360" w:lineRule="auto"/>
        <w:rPr>
          <w:rFonts w:hint="eastAsia" w:ascii="宋体" w:hAnsi="宋体" w:cs="宋体"/>
          <w:b/>
          <w:color w:val="auto"/>
          <w:highlight w:val="none"/>
        </w:rPr>
      </w:pPr>
      <w:r/>
      <w:bookmarkStart w:id="14" w:name="_Toc31483"/>
      <w:r/>
      <w:bookmarkStart w:id="15" w:name="_Toc19187"/>
      <w:r>
        <w:rPr>
          <w:rFonts w:hint="eastAsia" w:ascii="宋体" w:hAnsi="宋体" w:cs="宋体"/>
          <w:b/>
          <w:color w:val="auto"/>
          <w:highlight w:val="none"/>
        </w:rPr>
        <w:t xml:space="preserve">三、投标</w:t>
      </w:r>
      <w:bookmarkEnd w:id="14"/>
      <w:r/>
      <w:bookmarkEnd w:id="15"/>
      <w:r/>
      <w:r/>
    </w:p>
    <w:p>
      <w:pPr>
        <w:ind w:firstLine="42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6、投标文件的语言、计量单位、货币和编制</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6.1 </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提交的投标文件、技术文件和资料，以及</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与</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代理机构机构就有关投标的所有来往函电均应使用中文。投标文件中若有英文或其他语言文字的资料，应提供相应的中文翻译资料。对不同文本投标文件的解释发生异议的，以中文文本为准。</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6.2 供应商所使用的计量单位应为国家法定计量单位。</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6.3 供应商应用人民币报价。</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6.4 </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应在投标文件中写清相应的项目编号、项目名称、</w:t>
      </w:r>
      <w:r>
        <w:rPr>
          <w:rFonts w:hint="eastAsia" w:ascii="宋体" w:hAnsi="宋体" w:cs="宋体"/>
          <w:color w:val="auto"/>
          <w:szCs w:val="21"/>
          <w:highlight w:val="none"/>
        </w:rPr>
        <w:t xml:space="preserve">分包号、投标人</w:t>
      </w:r>
      <w:r>
        <w:rPr>
          <w:rFonts w:hint="eastAsia" w:ascii="宋体" w:hAnsi="宋体" w:cs="宋体"/>
          <w:color w:val="auto"/>
          <w:szCs w:val="21"/>
          <w:highlight w:val="none"/>
          <w:lang w:val="zh-CN"/>
        </w:rPr>
        <w:t xml:space="preserve">全称、地址、电话、传真等。</w:t>
      </w:r>
      <w:r/>
    </w:p>
    <w:p>
      <w:pPr>
        <w:ind w:firstLine="420"/>
        <w:spacing w:line="360" w:lineRule="auto"/>
        <w:rPr>
          <w:rFonts w:hint="eastAsia" w:ascii="宋体" w:hAnsi="宋体" w:cs="宋体"/>
          <w:b/>
          <w:bCs/>
          <w:color w:val="auto"/>
          <w:szCs w:val="21"/>
          <w:highlight w:val="none"/>
          <w:lang w:val="zh-CN"/>
        </w:rPr>
      </w:pPr>
      <w:r>
        <w:rPr>
          <w:rFonts w:hint="eastAsia" w:ascii="宋体" w:hAnsi="宋体" w:cs="宋体"/>
          <w:color w:val="auto"/>
          <w:szCs w:val="21"/>
          <w:highlight w:val="none"/>
          <w:lang w:val="zh-CN"/>
        </w:rPr>
        <w:t xml:space="preserve">7</w:t>
      </w:r>
      <w:r>
        <w:rPr>
          <w:rFonts w:hint="eastAsia" w:ascii="宋体" w:hAnsi="宋体" w:cs="宋体"/>
          <w:b/>
          <w:bCs/>
          <w:color w:val="auto"/>
          <w:szCs w:val="21"/>
          <w:highlight w:val="none"/>
          <w:lang w:val="zh-CN"/>
        </w:rPr>
        <w:t xml:space="preserve">、联合体投标</w:t>
      </w:r>
      <w:r/>
    </w:p>
    <w:p>
      <w:pPr>
        <w:ind w:firstLine="420"/>
        <w:spacing w:line="360" w:lineRule="auto"/>
        <w:rPr>
          <w:rFonts w:hint="eastAsia" w:ascii="宋体" w:hAnsi="宋体" w:cs="宋体"/>
          <w:b/>
          <w:bCs/>
          <w:color w:val="auto"/>
          <w:szCs w:val="21"/>
          <w:highlight w:val="none"/>
          <w:lang w:val="zh-CN"/>
        </w:rPr>
      </w:pPr>
      <w:r>
        <w:rPr>
          <w:rFonts w:hint="eastAsia" w:ascii="宋体" w:hAnsi="宋体" w:cs="宋体"/>
          <w:color w:val="auto"/>
          <w:szCs w:val="21"/>
          <w:highlight w:val="none"/>
        </w:rPr>
        <w:t xml:space="preserve">7.1本项目</w:t>
      </w:r>
      <w:r>
        <w:rPr>
          <w:rFonts w:hint="eastAsia" w:ascii="宋体" w:hAnsi="宋体" w:cs="宋体"/>
          <w:b/>
          <w:color w:val="auto"/>
          <w:szCs w:val="21"/>
          <w:highlight w:val="none"/>
        </w:rPr>
        <w:t xml:space="preserve">不接受联合体投标。</w:t>
      </w:r>
      <w:r/>
    </w:p>
    <w:p>
      <w:pPr>
        <w:pStyle w:val="916"/>
        <w:ind w:firstLine="420"/>
        <w:spacing w:line="360" w:lineRule="auto"/>
        <w:rPr>
          <w:b/>
          <w:color w:val="auto"/>
          <w:highlight w:val="none"/>
          <w:lang w:val="zh-CN"/>
        </w:rPr>
      </w:pPr>
      <w:r/>
      <w:bookmarkStart w:id="16" w:name="_Toc15094"/>
      <w:r/>
      <w:bookmarkStart w:id="17" w:name="_Toc5169"/>
      <w:r>
        <w:rPr>
          <w:rFonts w:hint="eastAsia"/>
          <w:b/>
          <w:color w:val="auto"/>
          <w:highlight w:val="none"/>
          <w:lang w:val="zh-CN"/>
        </w:rPr>
        <w:t xml:space="preserve">8、投标费用</w:t>
      </w:r>
      <w:bookmarkEnd w:id="16"/>
      <w:r/>
      <w:bookmarkEnd w:id="17"/>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8.1 </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应自行承担所有与准备和参加投标有关的费用。</w:t>
      </w:r>
      <w:r/>
    </w:p>
    <w:p>
      <w:pPr>
        <w:ind w:firstLine="420"/>
        <w:spacing w:line="460" w:lineRule="exact"/>
        <w:rPr>
          <w:rFonts w:hint="eastAsia" w:ascii="宋体" w:hAnsi="宋体" w:cs="宋体"/>
          <w:b/>
          <w:bCs/>
          <w:strike/>
          <w:color w:val="auto"/>
          <w:szCs w:val="21"/>
          <w:highlight w:val="none"/>
        </w:rPr>
      </w:pPr>
      <w:r>
        <w:rPr>
          <w:rFonts w:hint="eastAsia" w:ascii="宋体" w:hAnsi="宋体" w:cs="宋体"/>
          <w:b/>
          <w:bCs/>
          <w:color w:val="auto"/>
          <w:szCs w:val="21"/>
          <w:highlight w:val="none"/>
          <w:lang w:val="zh-CN"/>
        </w:rPr>
        <w:t xml:space="preserve">8.2 </w:t>
      </w:r>
      <w:r>
        <w:rPr>
          <w:rFonts w:hint="eastAsia" w:ascii="宋体" w:hAnsi="宋体" w:cs="宋体"/>
          <w:b/>
          <w:bCs/>
          <w:color w:val="auto"/>
          <w:szCs w:val="21"/>
          <w:highlight w:val="none"/>
        </w:rPr>
        <w:t xml:space="preserve">招标代理费以</w:t>
      </w:r>
      <w:r>
        <w:rPr>
          <w:rFonts w:hint="eastAsia" w:ascii="宋体" w:hAnsi="宋体" w:cs="宋体"/>
          <w:b/>
          <w:bCs/>
          <w:color w:val="auto"/>
          <w:szCs w:val="21"/>
          <w:highlight w:val="none"/>
          <w:lang w:val="en-US" w:eastAsia="zh-CN"/>
        </w:rPr>
        <w:t xml:space="preserve">中标</w:t>
      </w:r>
      <w:r>
        <w:rPr>
          <w:rFonts w:hint="eastAsia" w:ascii="宋体" w:hAnsi="宋体" w:cs="宋体"/>
          <w:b/>
          <w:bCs/>
          <w:color w:val="auto"/>
          <w:szCs w:val="21"/>
          <w:highlight w:val="none"/>
        </w:rPr>
        <w:t xml:space="preserve">金额为基数，按照《招标代理服务收费管理暂行办法》【计价格（2002）1980号】文件收费标准的24%由中标人支付。采购人的采购预算(限价)中已包含本项目的招标代理服务费。招标代理服务费由中标(成交)供应商予以支付，供应商的投标报价中应当包含招标代理服务费。招标代理费由中标单位在领取中标通知书前一次性支付。代理机构开具正规发票。</w:t>
      </w:r>
      <w:r/>
    </w:p>
    <w:p>
      <w:pPr>
        <w:ind w:firstLine="42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9、投标文件组成</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9.1</w:t>
      </w:r>
      <w:r>
        <w:rPr>
          <w:rFonts w:hint="eastAsia" w:ascii="宋体" w:hAnsi="宋体" w:cs="宋体"/>
          <w:color w:val="auto"/>
          <w:szCs w:val="21"/>
          <w:highlight w:val="none"/>
        </w:rPr>
        <w:t xml:space="preserve">投标人应当根据采购文件要求编制投标文件，投标文件应对采购文件提出的要求和条件作出实质性响应，并在</w:t>
      </w:r>
      <w:r>
        <w:rPr>
          <w:rFonts w:hint="eastAsia" w:ascii="宋体" w:hAnsi="宋体" w:cs="宋体"/>
          <w:color w:val="auto"/>
          <w:szCs w:val="21"/>
          <w:highlight w:val="none"/>
          <w:lang w:val="zh-CN"/>
        </w:rPr>
        <w:t xml:space="preserve">《商务条款偏离表》、《技术条款偏离表》等处</w:t>
      </w:r>
      <w:r>
        <w:rPr>
          <w:rFonts w:hint="eastAsia" w:ascii="宋体" w:hAnsi="宋体" w:cs="宋体"/>
          <w:color w:val="auto"/>
          <w:szCs w:val="21"/>
          <w:highlight w:val="none"/>
        </w:rPr>
        <w:t xml:space="preserve">逐条标明满足与否。</w:t>
      </w:r>
      <w:r>
        <w:rPr>
          <w:rFonts w:hint="eastAsia" w:ascii="宋体" w:hAnsi="宋体" w:cs="宋体"/>
          <w:b/>
          <w:color w:val="auto"/>
          <w:szCs w:val="21"/>
          <w:highlight w:val="none"/>
          <w:u w:val="single"/>
          <w:lang w:val="zh-CN"/>
        </w:rPr>
        <w:t xml:space="preserve">对带星号（“★”）的技术条款必须在电子投标文件中提供技术支持资料（如白皮书、彩页、手册、检测报告等），未提供技术支持资料的，评审时不予认可</w:t>
      </w:r>
      <w:r>
        <w:rPr>
          <w:rFonts w:hint="eastAsia" w:ascii="宋体" w:hAnsi="宋体" w:cs="宋体"/>
          <w:color w:val="auto"/>
          <w:szCs w:val="21"/>
          <w:highlight w:val="none"/>
          <w:lang w:val="zh-CN"/>
        </w:rPr>
        <w:t xml:space="preserve">。</w:t>
      </w:r>
      <w:r/>
    </w:p>
    <w:p>
      <w:pPr>
        <w:ind w:firstLine="412"/>
        <w:spacing w:line="360" w:lineRule="auto"/>
        <w:rPr>
          <w:rFonts w:hint="eastAsia" w:ascii="宋体" w:hAnsi="宋体" w:cs="宋体"/>
          <w:b/>
          <w:color w:val="auto"/>
          <w:highlight w:val="none"/>
        </w:rPr>
      </w:pPr>
      <w:r>
        <w:rPr>
          <w:rFonts w:hint="eastAsia" w:ascii="宋体" w:hAnsi="宋体" w:cs="宋体"/>
          <w:color w:val="auto"/>
          <w:szCs w:val="21"/>
          <w:highlight w:val="none"/>
          <w:lang w:val="zh-CN"/>
        </w:rPr>
        <w:t xml:space="preserve">9.2 </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根据采购文件载明的标的采购项目实际情况，拟在中标后将中标项目的非主体、非关键性工作交由他人完成的，应当在电子投标文件中载明。</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.3 上传的电子投标文件由商务部分、技术部分、价格部分，以及其他部分组成。</w:t>
      </w:r>
      <w:r>
        <w:rPr>
          <w:rFonts w:hint="eastAsia" w:ascii="宋体" w:hAnsi="宋体" w:cs="Trebuchet MS"/>
          <w:bCs/>
          <w:color w:val="auto"/>
          <w:szCs w:val="21"/>
          <w:highlight w:val="none"/>
        </w:rPr>
        <w:t xml:space="preserve">（</w:t>
      </w:r>
      <w:r>
        <w:rPr>
          <w:rFonts w:hint="eastAsia" w:ascii="宋体" w:hAnsi="宋体" w:cs="宋体"/>
          <w:color w:val="auto"/>
          <w:szCs w:val="21"/>
          <w:highlight w:val="none"/>
          <w:lang w:val="zh-CN"/>
        </w:rPr>
        <w:t xml:space="preserve">投标文件应按采购文件要求签署、盖章或加盖电子公章</w:t>
      </w:r>
      <w:r>
        <w:rPr>
          <w:rFonts w:hint="eastAsia" w:ascii="宋体" w:hAnsi="宋体" w:cs="Trebuchet MS"/>
          <w:bCs/>
          <w:color w:val="auto"/>
          <w:szCs w:val="21"/>
          <w:highlight w:val="none"/>
        </w:rPr>
        <w:t xml:space="preserve">）</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9</w:t>
      </w:r>
      <w:r>
        <w:rPr>
          <w:rFonts w:ascii="宋体" w:hAnsi="宋体" w:cs="宋体"/>
          <w:color w:val="auto"/>
          <w:szCs w:val="21"/>
          <w:highlight w:val="none"/>
          <w:lang w:val="zh-CN"/>
        </w:rPr>
        <w:t xml:space="preserve">.4 </w:t>
      </w:r>
      <w:r>
        <w:rPr>
          <w:rFonts w:hint="eastAsia" w:ascii="宋体" w:hAnsi="宋体" w:cs="宋体"/>
          <w:color w:val="auto"/>
          <w:szCs w:val="21"/>
          <w:highlight w:val="none"/>
          <w:lang w:val="zh-CN"/>
        </w:rPr>
        <w:t xml:space="preserve">如标书制作工具中格式和内容与“江苏政府采购网”发布的采购文件不一致，以“江苏政府采购网”发布的采购文件为准。</w:t>
      </w:r>
      <w:r/>
    </w:p>
    <w:p>
      <w:pPr>
        <w:ind w:firstLine="422"/>
        <w:spacing w:line="360" w:lineRule="auto"/>
        <w:rPr>
          <w:rFonts w:hint="eastAsia" w:ascii="宋体" w:hAnsi="宋体" w:cs="宋体"/>
          <w:b/>
          <w:color w:val="auto"/>
          <w:highlight w:val="none"/>
        </w:rPr>
      </w:pPr>
      <w:r>
        <w:rPr>
          <w:rFonts w:hint="eastAsia" w:ascii="宋体" w:hAnsi="宋体" w:cs="宋体"/>
          <w:b/>
          <w:color w:val="auto"/>
          <w:highlight w:val="none"/>
        </w:rPr>
        <w:t xml:space="preserve">10、投标文件的商务部分</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10.1 商务部分是证明</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有资格参加投标和中标后有能力履行合同的文件，</w:t>
      </w:r>
      <w:r>
        <w:rPr>
          <w:rFonts w:hint="eastAsia" w:ascii="宋体" w:hAnsi="宋体" w:cs="宋体"/>
          <w:color w:val="auto"/>
          <w:szCs w:val="21"/>
          <w:highlight w:val="none"/>
        </w:rPr>
        <w:t xml:space="preserve">这些文件应能满足采购的要求</w:t>
      </w:r>
      <w:r>
        <w:rPr>
          <w:rFonts w:hint="eastAsia" w:ascii="宋体" w:hAnsi="宋体" w:cs="宋体"/>
          <w:color w:val="auto"/>
          <w:szCs w:val="21"/>
          <w:highlight w:val="none"/>
          <w:lang w:val="zh-CN"/>
        </w:rPr>
        <w:t xml:space="preserve">，包括但不限于下列文件，其中加</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项目不得有缺失或无效。</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投标申请及声明；</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法定代表人授权委托书；</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开标一览</w:t>
      </w:r>
      <w:r>
        <w:rPr>
          <w:rFonts w:hint="eastAsia" w:ascii="宋体" w:hAnsi="宋体" w:cs="宋体"/>
          <w:color w:val="auto"/>
          <w:szCs w:val="21"/>
          <w:highlight w:val="none"/>
          <w:lang w:val="zh-CN"/>
        </w:rPr>
        <w:t xml:space="preserve">表；</w:t>
      </w:r>
      <w:r/>
    </w:p>
    <w:p>
      <w:pPr>
        <w:ind w:firstLine="420"/>
        <w:jc w:val="left"/>
        <w:spacing w:line="360" w:lineRule="auto"/>
        <w:widowControl/>
        <w:rPr>
          <w:color w:val="auto"/>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分项报价表</w:t>
      </w:r>
      <w:r>
        <w:rPr>
          <w:rFonts w:hint="eastAsia" w:ascii="宋体" w:hAnsi="宋体" w:cs="宋体"/>
          <w:bCs/>
          <w:color w:val="auto"/>
          <w:szCs w:val="21"/>
          <w:highlight w:val="none"/>
          <w:lang w:val="zh-CN"/>
        </w:rPr>
        <w:t xml:space="preserve">；</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第一章招标公告中《中华人民共和国政府采购法》规定的资格条件证明文件；</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第一章招标公告中招标人根据采购项目的特殊要求规定的特定条件证明文件；（如有）</w:t>
      </w:r>
      <w:r/>
    </w:p>
    <w:p>
      <w:pPr>
        <w:ind w:firstLine="420"/>
        <w:jc w:val="left"/>
        <w:spacing w:line="360" w:lineRule="auto"/>
        <w:widowControl/>
        <w:rPr>
          <w:rFonts w:hint="eastAsia" w:ascii="宋体" w:hAnsi="宋体" w:cs="宋体"/>
          <w:b/>
          <w:bCs/>
          <w:color w:val="auto"/>
          <w:sz w:val="28"/>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信用承诺函</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商务条款偏离表；</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）承担过类似业绩情况（格式自拟）；</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10</w:t>
      </w:r>
      <w:r>
        <w:rPr>
          <w:rFonts w:hint="eastAsia" w:ascii="宋体" w:hAnsi="宋体" w:cs="宋体"/>
          <w:color w:val="auto"/>
          <w:szCs w:val="21"/>
          <w:highlight w:val="none"/>
          <w:lang w:val="zh-CN"/>
        </w:rPr>
        <w:t xml:space="preserve">）中小企业声明函（如有）；</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11</w:t>
      </w:r>
      <w:r>
        <w:rPr>
          <w:rFonts w:hint="eastAsia" w:ascii="宋体" w:hAnsi="宋体" w:cs="宋体"/>
          <w:color w:val="auto"/>
          <w:szCs w:val="21"/>
          <w:highlight w:val="none"/>
          <w:lang w:val="zh-CN"/>
        </w:rPr>
        <w:t xml:space="preserve">）</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无重大违法记录声明；</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12</w:t>
      </w:r>
      <w:r>
        <w:rPr>
          <w:rFonts w:hint="eastAsia" w:ascii="宋体" w:hAnsi="宋体" w:cs="宋体"/>
          <w:color w:val="auto"/>
          <w:szCs w:val="21"/>
          <w:highlight w:val="none"/>
          <w:lang w:val="zh-CN"/>
        </w:rPr>
        <w:t xml:space="preserve">）残疾人福利性单位声明函（如有）；</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13</w:t>
      </w:r>
      <w:r>
        <w:rPr>
          <w:rFonts w:hint="eastAsia" w:ascii="宋体" w:hAnsi="宋体" w:cs="宋体"/>
          <w:color w:val="auto"/>
          <w:szCs w:val="21"/>
          <w:highlight w:val="none"/>
          <w:lang w:val="zh-CN"/>
        </w:rPr>
        <w:t xml:space="preserve">）属于监狱企业的证明文件（如有）；</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14</w:t>
      </w:r>
      <w:r>
        <w:rPr>
          <w:rFonts w:hint="eastAsia" w:ascii="宋体" w:hAnsi="宋体" w:cs="宋体"/>
          <w:color w:val="auto"/>
          <w:szCs w:val="21"/>
          <w:highlight w:val="none"/>
          <w:lang w:val="zh-CN"/>
        </w:rPr>
        <w:t xml:space="preserve">）</w:t>
      </w:r>
      <w:r>
        <w:rPr>
          <w:rFonts w:hint="eastAsia"/>
          <w:color w:val="auto"/>
          <w:highlight w:val="none"/>
        </w:rPr>
        <w:t xml:space="preserve">《关于符合本国产品标准的声明函》</w:t>
      </w:r>
      <w:r>
        <w:rPr>
          <w:rFonts w:hint="eastAsia" w:ascii="宋体" w:hAnsi="宋体" w:cs="宋体"/>
          <w:color w:val="auto"/>
          <w:szCs w:val="21"/>
          <w:highlight w:val="none"/>
          <w:lang w:val="zh-CN"/>
        </w:rPr>
        <w:t xml:space="preserve">（如有）；</w:t>
      </w:r>
      <w:r/>
    </w:p>
    <w:p>
      <w:pPr>
        <w:ind w:firstLine="420"/>
        <w:jc w:val="left"/>
        <w:spacing w:line="460" w:lineRule="exact"/>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15</w:t>
      </w:r>
      <w:r>
        <w:rPr>
          <w:rFonts w:hint="eastAsia" w:ascii="宋体" w:hAnsi="宋体" w:cs="宋体"/>
          <w:color w:val="auto"/>
          <w:szCs w:val="21"/>
          <w:highlight w:val="none"/>
          <w:lang w:val="zh-CN"/>
        </w:rPr>
        <w:t xml:space="preserve">）</w:t>
      </w:r>
      <w:r>
        <w:rPr>
          <w:rFonts w:hint="eastAsia" w:ascii="宋体" w:hAnsi="宋体" w:cs="宋体"/>
          <w:b/>
          <w:bCs/>
          <w:color w:val="auto"/>
          <w:szCs w:val="21"/>
          <w:highlight w:val="none"/>
        </w:rPr>
        <w:t xml:space="preserve">承诺书</w:t>
      </w:r>
      <w:r/>
    </w:p>
    <w:p>
      <w:pPr>
        <w:ind w:firstLine="420"/>
        <w:jc w:val="left"/>
        <w:spacing w:line="460" w:lineRule="exact"/>
        <w:widowControl/>
        <w:rPr>
          <w:rFonts w:hint="eastAsia" w:ascii="宋体" w:hAnsi="宋体" w:cs="Trebuchet MS"/>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16</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认为需提供的其他资料；</w:t>
      </w:r>
      <w:r/>
    </w:p>
    <w:p>
      <w:pPr>
        <w:ind w:firstLine="42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11、投标文件的技术部分</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11.1 技术部分是证明</w:t>
      </w:r>
      <w:r>
        <w:rPr>
          <w:rFonts w:hint="eastAsia" w:ascii="宋体" w:hAnsi="宋体" w:cs="宋体"/>
          <w:color w:val="auto"/>
          <w:szCs w:val="21"/>
          <w:highlight w:val="none"/>
        </w:rPr>
        <w:t xml:space="preserve">投标人提供的产品和服务是合格的、并符合采购文件要求的证明文件，以及</w:t>
      </w:r>
      <w:r>
        <w:rPr>
          <w:rFonts w:hint="eastAsia" w:ascii="宋体" w:hAnsi="宋体" w:cs="宋体"/>
          <w:color w:val="auto"/>
          <w:szCs w:val="21"/>
          <w:highlight w:val="none"/>
          <w:lang w:val="zh-CN"/>
        </w:rPr>
        <w:t xml:space="preserve">对</w:t>
      </w:r>
      <w:r>
        <w:rPr>
          <w:rFonts w:hint="eastAsia" w:ascii="宋体" w:hAnsi="宋体" w:cs="宋体"/>
          <w:color w:val="auto"/>
          <w:szCs w:val="21"/>
          <w:highlight w:val="none"/>
        </w:rPr>
        <w:t xml:space="preserve">开标一览</w:t>
      </w:r>
      <w:r>
        <w:rPr>
          <w:rFonts w:hint="eastAsia" w:ascii="宋体" w:hAnsi="宋体" w:cs="宋体"/>
          <w:color w:val="auto"/>
          <w:szCs w:val="21"/>
          <w:highlight w:val="none"/>
          <w:lang w:val="zh-CN"/>
        </w:rPr>
        <w:t xml:space="preserve">表中的服务的详细说明，这些文件可以是文字资料、图纸和数据等。</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11.2 若技术性能无特殊说明，则按国家有关部门最新颁布的标准及规范为准；</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11.3 提供的服务如与采购文件要求有不符之处，应说明其差别之所在，并在《技术条款偏离表》中逐条予以说明。</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11.4 投标文件应按照采购文件要求提供技术资料、文件和有关证明，包括但不限于其中加</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项目不得有缺失或无效：</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（1）货物品牌、型号、材质、主要技术（服务）指标和性能、制造商、生产企业名称等详细说明，并且附样品实物照片；</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（2）★《供货一览表》；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（3）★技术条款偏离表；</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（4）货物安装、验收标准、货物技术资料；</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5</w:t>
      </w:r>
      <w:r>
        <w:rPr>
          <w:rFonts w:hint="eastAsia" w:ascii="宋体" w:hAnsi="宋体" w:cs="宋体"/>
          <w:color w:val="auto"/>
          <w:szCs w:val="21"/>
          <w:highlight w:val="none"/>
          <w:lang w:val="zh-CN"/>
        </w:rPr>
        <w:t xml:space="preserve">）实施方案；</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highlight w:val="none"/>
        </w:rPr>
        <w:t xml:space="preserve">（</w:t>
      </w:r>
      <w:r>
        <w:rPr>
          <w:rFonts w:ascii="宋体" w:hAnsi="宋体" w:cs="宋体"/>
          <w:color w:val="auto"/>
          <w:highlight w:val="none"/>
        </w:rPr>
        <w:t xml:space="preserve">6</w:t>
      </w:r>
      <w:r>
        <w:rPr>
          <w:rFonts w:hint="eastAsia" w:ascii="宋体" w:hAnsi="宋体" w:cs="宋体"/>
          <w:color w:val="auto"/>
          <w:highlight w:val="none"/>
        </w:rPr>
        <w:t xml:space="preserve">）</w:t>
      </w:r>
      <w:r>
        <w:rPr>
          <w:rFonts w:hint="eastAsia" w:ascii="宋体" w:hAnsi="宋体" w:cs="宋体"/>
          <w:color w:val="auto"/>
          <w:szCs w:val="21"/>
          <w:highlight w:val="none"/>
          <w:lang w:val="zh-CN"/>
        </w:rPr>
        <w:t xml:space="preserve">服务承诺书；</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7</w:t>
      </w:r>
      <w:r>
        <w:rPr>
          <w:rFonts w:hint="eastAsia" w:ascii="宋体" w:hAnsi="宋体" w:cs="宋体"/>
          <w:color w:val="auto"/>
          <w:szCs w:val="21"/>
          <w:highlight w:val="none"/>
        </w:rPr>
        <w:t xml:space="preserve">）投标人认为需要</w:t>
      </w:r>
      <w:r>
        <w:rPr>
          <w:rFonts w:hint="eastAsia" w:ascii="宋体" w:hAnsi="宋体" w:cs="宋体"/>
          <w:color w:val="auto"/>
          <w:szCs w:val="21"/>
          <w:highlight w:val="none"/>
          <w:lang w:val="zh-CN"/>
        </w:rPr>
        <w:t xml:space="preserve">提供的其他技术资料。</w:t>
      </w:r>
      <w:r/>
    </w:p>
    <w:p>
      <w:pPr>
        <w:ind w:firstLine="420"/>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12、投标文件的价格部分</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12.1 价格部分是对投标货物和服务价格构成的说明，仅接受一个</w:t>
      </w:r>
      <w:r>
        <w:rPr>
          <w:rFonts w:hint="eastAsia" w:ascii="宋体" w:hAnsi="宋体" w:cs="宋体"/>
          <w:color w:val="auto"/>
          <w:szCs w:val="21"/>
          <w:highlight w:val="none"/>
        </w:rPr>
        <w:t xml:space="preserve">报价</w:t>
      </w:r>
      <w:r>
        <w:rPr>
          <w:rFonts w:hint="eastAsia" w:ascii="宋体" w:hAnsi="宋体" w:cs="宋体"/>
          <w:color w:val="auto"/>
          <w:szCs w:val="21"/>
          <w:highlight w:val="none"/>
          <w:lang w:val="zh-CN"/>
        </w:rPr>
        <w:t xml:space="preserve">。</w:t>
      </w:r>
      <w:r/>
    </w:p>
    <w:p>
      <w:pPr>
        <w:ind w:firstLine="420"/>
        <w:jc w:val="left"/>
        <w:spacing w:line="360" w:lineRule="auto"/>
        <w:widowControl/>
        <w:rPr>
          <w:color w:val="auto"/>
          <w:highlight w:val="none"/>
        </w:rPr>
      </w:pPr>
      <w:r>
        <w:rPr>
          <w:rFonts w:hint="eastAsia" w:ascii="宋体" w:hAnsi="宋体" w:cs="宋体"/>
          <w:color w:val="auto"/>
          <w:szCs w:val="21"/>
          <w:highlight w:val="none"/>
          <w:lang w:val="zh-CN"/>
        </w:rPr>
        <w:t xml:space="preserve">12.2</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价格部分</w:t>
      </w:r>
      <w:r>
        <w:rPr>
          <w:rFonts w:hint="eastAsia" w:ascii="宋体" w:hAnsi="宋体" w:cs="宋体"/>
          <w:color w:val="auto"/>
          <w:szCs w:val="21"/>
          <w:highlight w:val="none"/>
        </w:rPr>
        <w:t xml:space="preserve">包括但不限于货物成本、利润、税金、运输费、保险费等相关服务费用</w:t>
      </w:r>
      <w:r>
        <w:rPr>
          <w:rFonts w:hint="eastAsia" w:ascii="宋体" w:hAnsi="宋体" w:cs="宋体"/>
          <w:color w:val="auto"/>
          <w:highlight w:val="none"/>
          <w:lang w:val="zh-CN"/>
        </w:rPr>
        <w:t xml:space="preserve">及</w:t>
      </w:r>
      <w:r>
        <w:rPr>
          <w:rFonts w:hint="eastAsia" w:ascii="宋体" w:hAnsi="宋体" w:cs="宋体"/>
          <w:color w:val="auto"/>
          <w:highlight w:val="none"/>
        </w:rPr>
        <w:t xml:space="preserve">投标人</w:t>
      </w:r>
      <w:r>
        <w:rPr>
          <w:rFonts w:hint="eastAsia" w:ascii="宋体" w:hAnsi="宋体" w:cs="宋体"/>
          <w:color w:val="auto"/>
          <w:highlight w:val="none"/>
          <w:lang w:val="zh-CN"/>
        </w:rPr>
        <w:t xml:space="preserve">认为需要的其他费用等</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 </w:t>
      </w:r>
      <w:r/>
    </w:p>
    <w:p>
      <w:pPr>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val="zh-CN"/>
        </w:rPr>
        <w:t xml:space="preserve">12.3 </w:t>
      </w:r>
      <w:r>
        <w:rPr>
          <w:rFonts w:hint="eastAsia" w:ascii="宋体" w:hAnsi="宋体" w:cs="宋体"/>
          <w:color w:val="auto"/>
          <w:szCs w:val="21"/>
          <w:highlight w:val="none"/>
        </w:rPr>
        <w:t xml:space="preserve">投标人的任何错漏、优惠、竞争性报价不得作为减轻责任、减少服务、增加收费、降低质量的理由。</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12.4 </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应在《开标一览表》、《投标分项报价》等标明提供货物的投标</w:t>
      </w:r>
      <w:r>
        <w:rPr>
          <w:rFonts w:hint="eastAsia" w:ascii="宋体" w:hAnsi="宋体" w:cs="宋体"/>
          <w:color w:val="auto"/>
          <w:szCs w:val="21"/>
          <w:highlight w:val="none"/>
        </w:rPr>
        <w:t xml:space="preserve">报价</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系小企业（含小型、微型企业），并提供本企业制造的货物、承担的工程或者服务，或者提供其他小企业制造的货物，须在《开标一览表》、《</w:t>
      </w:r>
      <w:r>
        <w:rPr>
          <w:rFonts w:hint="eastAsia" w:ascii="宋体" w:hAnsi="宋体" w:cs="宋体"/>
          <w:color w:val="auto"/>
          <w:szCs w:val="21"/>
          <w:highlight w:val="none"/>
        </w:rPr>
        <w:t xml:space="preserve">分项</w:t>
      </w:r>
      <w:r>
        <w:rPr>
          <w:rFonts w:hint="eastAsia" w:ascii="宋体" w:hAnsi="宋体" w:cs="宋体"/>
          <w:color w:val="auto"/>
          <w:szCs w:val="21"/>
          <w:highlight w:val="none"/>
          <w:lang w:val="zh-CN"/>
        </w:rPr>
        <w:t xml:space="preserve">报价</w:t>
      </w:r>
      <w:r>
        <w:rPr>
          <w:rFonts w:hint="eastAsia" w:ascii="宋体" w:hAnsi="宋体" w:cs="宋体"/>
          <w:color w:val="auto"/>
          <w:szCs w:val="21"/>
          <w:highlight w:val="none"/>
        </w:rPr>
        <w:t xml:space="preserve">表</w:t>
      </w:r>
      <w:r>
        <w:rPr>
          <w:rFonts w:hint="eastAsia" w:ascii="宋体" w:hAnsi="宋体" w:cs="宋体"/>
          <w:color w:val="auto"/>
          <w:szCs w:val="21"/>
          <w:highlight w:val="none"/>
          <w:lang w:val="zh-CN"/>
        </w:rPr>
        <w:t xml:space="preserve">》中注明。</w:t>
      </w:r>
      <w:r/>
    </w:p>
    <w:p>
      <w:pPr>
        <w:ind w:firstLine="420"/>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13、投标文件的其他部分</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13.1 其他部分由</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根据编制投标文件需要提供的其他相关文件。</w:t>
      </w:r>
      <w:r/>
    </w:p>
    <w:p>
      <w:pPr>
        <w:ind w:firstLine="42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14、投标保证金</w:t>
      </w:r>
      <w:r/>
    </w:p>
    <w:p>
      <w:pPr>
        <w:ind w:firstLine="42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无须提交投标保证金。</w:t>
      </w:r>
      <w:r/>
    </w:p>
    <w:p>
      <w:pPr>
        <w:ind w:firstLine="42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15、投标有效期</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15.1 自开标之日起</w:t>
      </w:r>
      <w:r>
        <w:rPr>
          <w:rFonts w:hint="eastAsia" w:ascii="宋体" w:hAnsi="宋体" w:cs="宋体"/>
          <w:b/>
          <w:bCs/>
          <w:color w:val="auto"/>
          <w:szCs w:val="21"/>
          <w:highlight w:val="none"/>
        </w:rPr>
        <w:t xml:space="preserve">90</w:t>
      </w:r>
      <w:r>
        <w:rPr>
          <w:rFonts w:hint="eastAsia" w:ascii="宋体" w:hAnsi="宋体" w:cs="宋体"/>
          <w:b/>
          <w:color w:val="auto"/>
          <w:szCs w:val="21"/>
          <w:highlight w:val="none"/>
          <w:lang w:val="zh-CN"/>
        </w:rPr>
        <w:t xml:space="preserve">天</w:t>
      </w:r>
      <w:r>
        <w:rPr>
          <w:rFonts w:hint="eastAsia" w:ascii="宋体" w:hAnsi="宋体" w:cs="宋体"/>
          <w:color w:val="auto"/>
          <w:szCs w:val="21"/>
          <w:highlight w:val="none"/>
          <w:lang w:val="zh-CN"/>
        </w:rPr>
        <w:t xml:space="preserve">内投标有效。</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15.2 在特殊情况下，在原投标有效期截止之前，</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代理机构可要求</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同意延长投标有效期，这种要求与答复均以书面形式提交。</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可拒绝这种要求，接受延长投标有效期的</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将不会要求和允许修正其投标。</w:t>
      </w:r>
      <w:r/>
    </w:p>
    <w:p>
      <w:pPr>
        <w:ind w:firstLine="42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16、投标文件的签署</w:t>
      </w:r>
      <w:r/>
    </w:p>
    <w:p>
      <w:pPr>
        <w:ind w:firstLine="420"/>
        <w:jc w:val="left"/>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投标人应严格按照采购文件要求制作电子投标文件并加盖电子公章。</w:t>
      </w:r>
      <w:r/>
    </w:p>
    <w:p>
      <w:pPr>
        <w:ind w:firstLine="42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17、投标文件的提交</w:t>
      </w:r>
      <w:r/>
    </w:p>
    <w:p>
      <w:pPr>
        <w:ind w:firstLine="420"/>
        <w:jc w:val="left"/>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17.1 投标人应当按照《操作手册》规定，在采购公告规定的提交投标文件截止时间前制作并上传投标文件。</w:t>
      </w:r>
      <w:r/>
    </w:p>
    <w:p>
      <w:pPr>
        <w:ind w:firstLine="420"/>
        <w:jc w:val="left"/>
        <w:spacing w:line="460" w:lineRule="exact"/>
        <w:rPr>
          <w:rFonts w:hint="eastAsia" w:ascii="宋体" w:hAnsi="宋体" w:cs="宋体"/>
          <w:bCs/>
          <w:color w:val="auto"/>
          <w:szCs w:val="21"/>
          <w:highlight w:val="none"/>
        </w:rPr>
      </w:pP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7.2 投标人应充分考虑网络环境、网络带宽等因素可能对投标产生的影响，如因投标人自身原因造成的投标文件上传不成功的，按照本采购文件第二章第</w:t>
      </w:r>
      <w:r>
        <w:rPr>
          <w:rFonts w:ascii="宋体" w:hAnsi="宋体" w:cs="宋体"/>
          <w:bCs/>
          <w:color w:val="auto"/>
          <w:szCs w:val="21"/>
          <w:highlight w:val="none"/>
        </w:rPr>
        <w:t xml:space="preserve">21.2.</w:t>
      </w:r>
      <w:r>
        <w:rPr>
          <w:rFonts w:hint="eastAsia" w:ascii="宋体" w:hAnsi="宋体" w:cs="宋体"/>
          <w:bCs/>
          <w:color w:val="auto"/>
          <w:szCs w:val="21"/>
          <w:highlight w:val="none"/>
        </w:rPr>
        <w:t xml:space="preserve">3条规定做无效投标处理。</w:t>
      </w:r>
      <w:r/>
    </w:p>
    <w:p>
      <w:pPr>
        <w:ind w:firstLine="420"/>
        <w:spacing w:line="460" w:lineRule="exact"/>
        <w:rPr>
          <w:rFonts w:hint="eastAsia" w:ascii="宋体" w:hAnsi="宋体" w:cs="宋体"/>
          <w:bCs/>
          <w:color w:val="auto"/>
          <w:szCs w:val="21"/>
          <w:highlight w:val="none"/>
        </w:rPr>
      </w:pP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7.3 招标代理机构机构可以按照规定，通过修改采购文件酌情延长提交投标文件截止日期，在此情况下，投标人的所有权利和义务均以延长后新的截止日期为准。</w:t>
      </w:r>
      <w:r/>
    </w:p>
    <w:p>
      <w:pPr>
        <w:ind w:firstLine="42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18、有下列情形之一的投标文件将拒收：</w:t>
      </w:r>
      <w:r/>
    </w:p>
    <w:p>
      <w:pPr>
        <w:ind w:firstLine="420"/>
        <w:spacing w:line="460" w:lineRule="exact"/>
        <w:rPr>
          <w:rFonts w:hint="eastAsia" w:ascii="宋体" w:hAnsi="宋体" w:cs="宋体"/>
          <w:bCs/>
          <w:color w:val="auto"/>
          <w:szCs w:val="21"/>
          <w:highlight w:val="none"/>
        </w:rPr>
      </w:pPr>
      <w:r>
        <w:rPr>
          <w:rFonts w:hint="eastAsia" w:ascii="宋体" w:hAnsi="宋体" w:cs="宋体"/>
          <w:color w:val="auto"/>
          <w:szCs w:val="21"/>
          <w:highlight w:val="none"/>
        </w:rPr>
        <w:t xml:space="preserve">18.1 </w:t>
      </w:r>
      <w:r>
        <w:rPr>
          <w:rFonts w:hint="eastAsia" w:ascii="宋体" w:hAnsi="宋体" w:cs="宋体"/>
          <w:color w:val="auto"/>
          <w:szCs w:val="21"/>
          <w:highlight w:val="none"/>
          <w:lang w:val="zh-CN"/>
        </w:rPr>
        <w:t xml:space="preserve">在采购文件要求提交投标文件的截止时间</w:t>
      </w:r>
      <w:r>
        <w:rPr>
          <w:rFonts w:hint="eastAsia" w:ascii="宋体" w:hAnsi="宋体" w:cs="宋体"/>
          <w:bCs/>
          <w:color w:val="auto"/>
          <w:szCs w:val="21"/>
          <w:highlight w:val="none"/>
        </w:rPr>
        <w:t xml:space="preserve">后上传的任何投标文件。</w:t>
      </w:r>
      <w:r/>
    </w:p>
    <w:p>
      <w:pPr>
        <w:ind w:firstLine="42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19、投标文件的修改和撤回</w:t>
      </w:r>
      <w:r/>
    </w:p>
    <w:p>
      <w:pPr>
        <w:ind w:firstLine="420"/>
        <w:spacing w:line="360" w:lineRule="auto"/>
        <w:rPr>
          <w:rFonts w:hint="eastAsia" w:ascii="宋体" w:hAnsi="宋体" w:cs="宋体"/>
          <w:bCs/>
          <w:color w:val="auto"/>
          <w:sz w:val="20"/>
          <w:szCs w:val="20"/>
          <w:highlight w:val="none"/>
        </w:rPr>
      </w:pPr>
      <w:r>
        <w:rPr>
          <w:rFonts w:hint="eastAsia" w:ascii="宋体" w:hAnsi="宋体" w:cs="宋体"/>
          <w:color w:val="auto"/>
          <w:szCs w:val="21"/>
          <w:highlight w:val="none"/>
          <w:lang w:val="zh-CN"/>
        </w:rPr>
        <w:t xml:space="preserve">19.1 </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在投标截止时间前，可以对所提交的投标文件进行补充、修改或撤回</w:t>
      </w:r>
      <w:r>
        <w:rPr>
          <w:rFonts w:hint="eastAsia" w:ascii="宋体" w:hAnsi="宋体" w:cs="宋体"/>
          <w:bCs/>
          <w:color w:val="auto"/>
          <w:sz w:val="20"/>
          <w:szCs w:val="20"/>
          <w:highlight w:val="none"/>
        </w:rPr>
        <w:t xml:space="preserve">，具体操作方法</w:t>
      </w:r>
      <w:r>
        <w:rPr>
          <w:rFonts w:hint="eastAsia" w:ascii="宋体" w:hAnsi="宋体" w:cs="宋体"/>
          <w:color w:val="auto"/>
          <w:szCs w:val="21"/>
          <w:highlight w:val="none"/>
          <w:lang w:val="zh-CN"/>
        </w:rPr>
        <w:t xml:space="preserve">见《操作手册》。提交投标文件截止时间之后，</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不得对其投标文件作任何修改。</w:t>
      </w:r>
      <w:r/>
    </w:p>
    <w:p>
      <w:pPr>
        <w:ind w:firstLine="420"/>
        <w:spacing w:line="460" w:lineRule="exact"/>
        <w:rPr>
          <w:rFonts w:hint="eastAsia" w:ascii="宋体" w:hAnsi="宋体" w:cs="宋体"/>
          <w:bCs/>
          <w:color w:val="auto"/>
          <w:szCs w:val="21"/>
          <w:highlight w:val="none"/>
        </w:rPr>
      </w:pPr>
      <w:r/>
      <w:bookmarkStart w:id="18" w:name="_Toc29284"/>
      <w:r/>
      <w:bookmarkStart w:id="19" w:name="_Toc25047"/>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9.</w:t>
      </w:r>
      <w:r>
        <w:rPr>
          <w:rFonts w:ascii="宋体" w:hAnsi="宋体" w:cs="宋体"/>
          <w:bCs/>
          <w:color w:val="auto"/>
          <w:szCs w:val="21"/>
          <w:highlight w:val="none"/>
        </w:rPr>
        <w:t xml:space="preserve">2 </w:t>
      </w:r>
      <w:r>
        <w:rPr>
          <w:rFonts w:hint="eastAsia" w:ascii="宋体" w:hAnsi="宋体" w:cs="宋体"/>
          <w:bCs/>
          <w:color w:val="auto"/>
          <w:szCs w:val="21"/>
          <w:highlight w:val="none"/>
        </w:rPr>
        <w:t xml:space="preserve">在提交投标文件截止时间至采购文件中规定的投标有效期满之间的这段时间内，投标人不得撤回其投标文件。</w:t>
      </w:r>
      <w:r/>
    </w:p>
    <w:p>
      <w:pPr>
        <w:ind w:firstLine="413"/>
        <w:spacing w:line="360" w:lineRule="auto"/>
        <w:rPr>
          <w:rFonts w:hint="eastAsia" w:ascii="宋体" w:hAnsi="宋体" w:cs="宋体"/>
          <w:b/>
          <w:color w:val="auto"/>
          <w:highlight w:val="none"/>
        </w:rPr>
      </w:pPr>
      <w:r>
        <w:rPr>
          <w:rFonts w:hint="eastAsia" w:ascii="宋体" w:hAnsi="宋体" w:cs="宋体"/>
          <w:b/>
          <w:color w:val="auto"/>
          <w:highlight w:val="none"/>
        </w:rPr>
        <w:t xml:space="preserve">四、开标、评标与确定</w:t>
      </w:r>
      <w:bookmarkEnd w:id="18"/>
      <w:r/>
      <w:bookmarkEnd w:id="19"/>
      <w:r>
        <w:rPr>
          <w:rFonts w:hint="eastAsia" w:ascii="宋体" w:hAnsi="宋体" w:cs="宋体"/>
          <w:b/>
          <w:color w:val="auto"/>
          <w:highlight w:val="none"/>
        </w:rPr>
        <w:t xml:space="preserve">中标人</w:t>
      </w:r>
      <w:r/>
    </w:p>
    <w:p>
      <w:pPr>
        <w:ind w:firstLine="42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20、开标</w:t>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ascii="宋体" w:hAnsi="宋体" w:cs="宋体"/>
          <w:bCs/>
          <w:color w:val="auto"/>
          <w:szCs w:val="21"/>
          <w:highlight w:val="none"/>
        </w:rPr>
        <w:t xml:space="preserve">0</w:t>
      </w:r>
      <w:r>
        <w:rPr>
          <w:rFonts w:hint="eastAsia" w:ascii="宋体" w:hAnsi="宋体" w:cs="宋体"/>
          <w:bCs/>
          <w:color w:val="auto"/>
          <w:szCs w:val="21"/>
          <w:highlight w:val="none"/>
        </w:rPr>
        <w:t xml:space="preserve">.1</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招标代理机构将在招标公告中规定的时间和地点组织开标。投标人应当按照《操作手册》规定，参加开标活动和在苏采云系统规定的时间内对投标文件进行解密。</w:t>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ascii="宋体" w:hAnsi="宋体" w:cs="宋体"/>
          <w:bCs/>
          <w:color w:val="auto"/>
          <w:szCs w:val="21"/>
          <w:highlight w:val="none"/>
        </w:rPr>
        <w:t xml:space="preserve">0</w:t>
      </w:r>
      <w:r>
        <w:rPr>
          <w:rFonts w:hint="eastAsia" w:ascii="宋体" w:hAnsi="宋体" w:cs="宋体"/>
          <w:bCs/>
          <w:color w:val="auto"/>
          <w:szCs w:val="21"/>
          <w:highlight w:val="none"/>
        </w:rPr>
        <w:t xml:space="preserve">.2</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开标由招标代理机构组织。苏采云系统将自动对项目进行开标，并宣布各投标人名称和投标价格。</w:t>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ascii="宋体" w:hAnsi="宋体" w:cs="宋体"/>
          <w:bCs/>
          <w:color w:val="auto"/>
          <w:szCs w:val="21"/>
          <w:highlight w:val="none"/>
        </w:rPr>
        <w:t xml:space="preserve">0</w:t>
      </w:r>
      <w:r>
        <w:rPr>
          <w:rFonts w:hint="eastAsia" w:ascii="宋体" w:hAnsi="宋体" w:cs="宋体"/>
          <w:bCs/>
          <w:color w:val="auto"/>
          <w:szCs w:val="21"/>
          <w:highlight w:val="none"/>
        </w:rPr>
        <w:t xml:space="preserve">.3</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投标人在开标过程中涉及到的投标文件解密、开标结果确认等工作，应按照《操作手册》规定执行。</w:t>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ascii="宋体" w:hAnsi="宋体" w:cs="宋体"/>
          <w:bCs/>
          <w:color w:val="auto"/>
          <w:szCs w:val="21"/>
          <w:highlight w:val="none"/>
        </w:rPr>
        <w:t xml:space="preserve">0</w:t>
      </w:r>
      <w:r>
        <w:rPr>
          <w:rFonts w:hint="eastAsia" w:ascii="宋体" w:hAnsi="宋体" w:cs="宋体"/>
          <w:bCs/>
          <w:color w:val="auto"/>
          <w:szCs w:val="21"/>
          <w:highlight w:val="none"/>
        </w:rPr>
        <w:t xml:space="preserve">.4</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投标人如果对开标过程和开标记录有疑义，应当根据《操作手册》规定提出，如苏采云系统中《开标记录表》宣布后规定时间内未提出的，视同认可开标结果。</w:t>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20.</w:t>
      </w:r>
      <w:r>
        <w:rPr>
          <w:rFonts w:ascii="宋体" w:hAnsi="宋体" w:cs="宋体"/>
          <w:bCs/>
          <w:color w:val="auto"/>
          <w:szCs w:val="21"/>
          <w:highlight w:val="none"/>
        </w:rPr>
        <w:t xml:space="preserve">5</w:t>
      </w:r>
      <w:r>
        <w:rPr>
          <w:rFonts w:hint="eastAsia" w:ascii="宋体" w:hAnsi="宋体" w:cs="宋体"/>
          <w:bCs/>
          <w:color w:val="auto"/>
          <w:szCs w:val="21"/>
          <w:highlight w:val="none"/>
        </w:rPr>
        <w:t xml:space="preserve"> 投标人不足3家的，不予开标。</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20.</w:t>
      </w:r>
      <w:r>
        <w:rPr>
          <w:rFonts w:ascii="宋体" w:hAnsi="宋体" w:cs="宋体"/>
          <w:color w:val="auto"/>
          <w:szCs w:val="21"/>
          <w:highlight w:val="none"/>
        </w:rPr>
        <w:t xml:space="preserve">6</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公开招标数额标准以上的采购项目，投标截止后</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不足3家或者通过资格审查或符合性审查的</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不足3家的，除采购任务取消情形外，按照以下方式处理：</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（1）采购文件存在不合理条款或者采购程序不符合规定的，招标人、招标代理机构机构改正后依法重新招标；</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（2）采购文件没有不合理条款、招标程序符合规定，需要采用其他采购方式采购的，招标人依法报财政部门批准，经批准后，可变更为其他采购方式采购。本次采购文件中对</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资格条件要求、技术要求和商务等要求，将作为其他采购方式采购的基本要求和谈判依据。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20.</w:t>
      </w:r>
      <w:r>
        <w:rPr>
          <w:rFonts w:ascii="宋体" w:hAnsi="宋体" w:cs="宋体"/>
          <w:color w:val="auto"/>
          <w:szCs w:val="21"/>
          <w:highlight w:val="none"/>
        </w:rPr>
        <w:t xml:space="preserve">7</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公开招标数额标准以下的采购项目，按照财政主管部门相关规定执行。</w:t>
      </w:r>
      <w:r/>
    </w:p>
    <w:p>
      <w:pPr>
        <w:ind w:firstLine="42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21、评标</w:t>
      </w:r>
      <w:r/>
    </w:p>
    <w:p>
      <w:pPr>
        <w:ind w:firstLine="420"/>
        <w:spacing w:line="360" w:lineRule="auto"/>
        <w:rPr>
          <w:rFonts w:hint="eastAsia" w:ascii="宋体" w:hAnsi="宋体" w:cs="宋体"/>
          <w:b/>
          <w:bCs/>
          <w:color w:val="auto"/>
          <w:szCs w:val="21"/>
          <w:highlight w:val="none"/>
          <w:lang w:val="zh-CN"/>
        </w:rPr>
      </w:pPr>
      <w:r>
        <w:rPr>
          <w:rFonts w:hint="eastAsia" w:ascii="宋体" w:hAnsi="宋体" w:cs="宋体"/>
          <w:color w:val="auto"/>
          <w:szCs w:val="21"/>
          <w:highlight w:val="none"/>
          <w:lang w:val="zh-CN"/>
        </w:rPr>
        <w:t xml:space="preserve">21.1</w:t>
      </w:r>
      <w:r>
        <w:rPr>
          <w:rFonts w:hint="eastAsia" w:ascii="宋体" w:hAnsi="宋体" w:cs="宋体"/>
          <w:b/>
          <w:bCs/>
          <w:color w:val="auto"/>
          <w:szCs w:val="21"/>
          <w:highlight w:val="none"/>
          <w:lang w:val="zh-CN"/>
        </w:rPr>
        <w:t xml:space="preserve"> 评标组织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21.1.1评标工作由招标代理机构负责组织，具体评标事务由依法组建的评标委员会负责，并独立履行</w:t>
      </w:r>
      <w:r>
        <w:rPr>
          <w:rFonts w:hint="eastAsia" w:ascii="宋体" w:hAnsi="宋体" w:cs="宋体"/>
          <w:color w:val="auto"/>
          <w:szCs w:val="21"/>
          <w:highlight w:val="none"/>
        </w:rPr>
        <w:t xml:space="preserve">下列职责：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（1）审查、评价投标文件是否符合采购文件的商务、技术等实质性要求；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（2）要求投标人对电子投标文件有关事项作出澄清或者说明；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（3）对电子投标文件进行比较和评价；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（3）根据招标人委托协议直接确定中标人；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（4）向招标人、财政部门报告评标中发现的违法行为。</w:t>
      </w:r>
      <w:r/>
    </w:p>
    <w:p>
      <w:pPr>
        <w:ind w:firstLine="420"/>
        <w:spacing w:line="360" w:lineRule="auto"/>
        <w:rPr>
          <w:rFonts w:hint="eastAsia" w:ascii="宋体" w:hAnsi="宋体" w:cs="宋体"/>
          <w:color w:val="auto"/>
          <w:szCs w:val="21"/>
          <w:highlight w:val="none"/>
          <w:lang w:val="zh-CN"/>
        </w:rPr>
      </w:pPr>
      <w:r>
        <w:rPr>
          <w:rFonts w:hint="eastAsia" w:ascii="宋体" w:hAnsi="宋体" w:cs="宋体"/>
          <w:b/>
          <w:bCs/>
          <w:color w:val="auto"/>
          <w:szCs w:val="21"/>
          <w:highlight w:val="none"/>
          <w:lang w:val="zh-CN"/>
        </w:rPr>
        <w:t xml:space="preserve">21.1.2 </w:t>
      </w:r>
      <w:r>
        <w:rPr>
          <w:rFonts w:hint="eastAsia" w:ascii="宋体" w:hAnsi="宋体" w:cs="宋体"/>
          <w:color w:val="auto"/>
          <w:szCs w:val="21"/>
          <w:highlight w:val="none"/>
          <w:lang w:val="zh-CN"/>
        </w:rPr>
        <w:t xml:space="preserve">评标委员会由招标人代表和有关技术、经济等方面的专家组成，独立开展评审工作。</w:t>
      </w:r>
      <w:r/>
    </w:p>
    <w:p>
      <w:pPr>
        <w:ind w:firstLine="42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21.2 评标程序</w:t>
      </w:r>
      <w:r/>
    </w:p>
    <w:p>
      <w:pPr>
        <w:ind w:firstLine="420"/>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21.2.1 投标文件的资格审查。</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21.2.1.1</w:t>
      </w:r>
      <w:r>
        <w:rPr>
          <w:rFonts w:hint="eastAsia" w:ascii="宋体" w:hAnsi="宋体" w:cs="宋体"/>
          <w:color w:val="auto"/>
          <w:szCs w:val="21"/>
          <w:highlight w:val="none"/>
        </w:rPr>
        <w:t xml:space="preserve">由</w:t>
      </w:r>
      <w:r>
        <w:rPr>
          <w:rFonts w:hint="eastAsia" w:ascii="宋体" w:hAnsi="宋体" w:cs="宋体"/>
          <w:color w:val="auto"/>
          <w:szCs w:val="21"/>
          <w:highlight w:val="none"/>
          <w:lang w:val="zh-CN"/>
        </w:rPr>
        <w:t xml:space="preserve">评标委员会独立依法对</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的资格进行审查。</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21.2.1.2资格性审查：依据法律法规和采购文件的规定，对投标文件中的资格证明文件等进行审查，以确定投标</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是否具备投标资格。</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21.2.1.3 在进行资格性审查的同时，将在“信用中国”网站、“中国政府采购网"对</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是否被列入失信被执行人、重大税收违法案件当事人名单、政府采购严重违法失信行为记录名单的情况进行查询，以确定</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是否具备投标资格。查询结果将以网页打印</w:t>
      </w:r>
      <w:r>
        <w:rPr>
          <w:rFonts w:hint="eastAsia" w:ascii="宋体" w:hAnsi="宋体" w:cs="宋体"/>
          <w:bCs/>
          <w:color w:val="auto"/>
          <w:sz w:val="20"/>
          <w:szCs w:val="20"/>
          <w:highlight w:val="none"/>
        </w:rPr>
        <w:t xml:space="preserve">/截图</w:t>
      </w:r>
      <w:r>
        <w:rPr>
          <w:rFonts w:hint="eastAsia" w:ascii="宋体" w:hAnsi="宋体" w:cs="宋体"/>
          <w:color w:val="auto"/>
          <w:szCs w:val="21"/>
          <w:highlight w:val="none"/>
          <w:lang w:val="zh-CN"/>
        </w:rPr>
        <w:t xml:space="preserve">的形式留存并归档。</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21.2.1.4 投标文件有下列情况之一的，在资格性审查时按照无效投标处理：</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（1）不具备采购文件中规定资格条件的；</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被“信用中国”网站、“中国政府采购网"列入失信被执行人、重大税收违法案件当事人名单、政府采购严重违法失信行为记录名单的。接受联合体的项目，两个以上的自然人、法人或者其他组织组成一个联合体，以一个</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的身份共同参加政府采购活动的，联合体成员存在不良信用记录的，视同联合体存在不良应用记录。</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21.2.2 投标文件的符合性审查。</w:t>
      </w:r>
      <w:r/>
    </w:p>
    <w:p>
      <w:pPr>
        <w:ind w:firstLine="422"/>
        <w:spacing w:line="360" w:lineRule="auto"/>
        <w:rPr>
          <w:rFonts w:hint="eastAsia" w:ascii="宋体" w:hAnsi="宋体" w:cs="宋体"/>
          <w:color w:val="auto"/>
          <w:szCs w:val="21"/>
          <w:highlight w:val="none"/>
          <w:lang w:val="zh-CN"/>
        </w:rPr>
      </w:pPr>
      <w:r>
        <w:rPr>
          <w:rFonts w:hint="eastAsia" w:ascii="宋体" w:hAnsi="宋体" w:cs="宋体"/>
          <w:b/>
          <w:color w:val="auto"/>
          <w:szCs w:val="21"/>
          <w:highlight w:val="none"/>
          <w:lang w:val="zh-CN"/>
        </w:rPr>
        <w:t xml:space="preserve">21.2.2.1</w:t>
      </w:r>
      <w:r>
        <w:rPr>
          <w:rFonts w:hint="eastAsia" w:ascii="宋体" w:hAnsi="宋体" w:cs="宋体"/>
          <w:color w:val="auto"/>
          <w:szCs w:val="21"/>
          <w:highlight w:val="none"/>
          <w:lang w:val="zh-CN"/>
        </w:rPr>
        <w:t xml:space="preserve">评标委员会将依据法律法规和采购文件的规定，对</w:t>
      </w:r>
      <w:r>
        <w:rPr>
          <w:rFonts w:hint="eastAsia" w:ascii="宋体" w:hAnsi="宋体" w:cs="宋体"/>
          <w:color w:val="auto"/>
          <w:szCs w:val="21"/>
          <w:highlight w:val="none"/>
        </w:rPr>
        <w:t xml:space="preserve">电子</w:t>
      </w:r>
      <w:r>
        <w:rPr>
          <w:rFonts w:hint="eastAsia" w:ascii="宋体" w:hAnsi="宋体" w:cs="宋体"/>
          <w:color w:val="auto"/>
          <w:szCs w:val="21"/>
          <w:highlight w:val="none"/>
          <w:lang w:val="zh-CN"/>
        </w:rPr>
        <w:t xml:space="preserve">投标文件的有效性、完整性和对采购文件的响应程度进行审查，以确定是否对采购文件的实质性要求作出响应。</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21.2.2.2 实质性要求是指本采购文件中用带星号（“★”）的商务和技术要求。</w:t>
      </w:r>
      <w:r/>
    </w:p>
    <w:p>
      <w:pPr>
        <w:ind w:firstLine="420"/>
        <w:spacing w:line="360" w:lineRule="auto"/>
        <w:rPr>
          <w:rFonts w:hint="eastAsia" w:ascii="宋体" w:hAnsi="宋体" w:cs="宋体"/>
          <w:bCs/>
          <w:color w:val="auto"/>
          <w:highlight w:val="none"/>
        </w:rPr>
      </w:pPr>
      <w:r>
        <w:rPr>
          <w:rFonts w:hint="eastAsia" w:ascii="宋体" w:hAnsi="宋体" w:cs="宋体"/>
          <w:color w:val="auto"/>
          <w:szCs w:val="21"/>
          <w:highlight w:val="none"/>
          <w:lang w:val="zh-CN"/>
        </w:rPr>
        <w:t xml:space="preserve">21.2.2.3 如果</w:t>
      </w:r>
      <w:r>
        <w:rPr>
          <w:rFonts w:hint="eastAsia" w:ascii="宋体" w:hAnsi="宋体" w:cs="宋体"/>
          <w:color w:val="auto"/>
          <w:szCs w:val="21"/>
          <w:highlight w:val="none"/>
        </w:rPr>
        <w:t xml:space="preserve">电子</w:t>
      </w:r>
      <w:r>
        <w:rPr>
          <w:rFonts w:hint="eastAsia" w:ascii="宋体" w:hAnsi="宋体" w:cs="宋体"/>
          <w:color w:val="auto"/>
          <w:szCs w:val="21"/>
          <w:highlight w:val="none"/>
          <w:lang w:val="zh-CN"/>
        </w:rPr>
        <w:t xml:space="preserve">投标文件实质上没有响应采购文件的要求，评标委员会将予以拒绝，</w:t>
      </w:r>
      <w:r>
        <w:rPr>
          <w:rFonts w:hint="eastAsia" w:ascii="宋体" w:hAnsi="宋体" w:cs="宋体"/>
          <w:bCs/>
          <w:color w:val="auto"/>
          <w:highlight w:val="none"/>
        </w:rPr>
        <w:t xml:space="preserve">投标人不得通过修改或撤销不合要求的偏离或保留而使其投标成为实质性响应的投标。</w:t>
      </w:r>
      <w:r/>
    </w:p>
    <w:p>
      <w:pPr>
        <w:ind w:firstLine="420"/>
        <w:spacing w:line="360" w:lineRule="auto"/>
        <w:rPr>
          <w:rFonts w:hint="eastAsia" w:ascii="宋体" w:hAnsi="宋体" w:cs="宋体"/>
          <w:color w:val="auto"/>
          <w:szCs w:val="21"/>
          <w:highlight w:val="none"/>
          <w:lang w:val="zh-CN"/>
        </w:rPr>
      </w:pPr>
      <w:r>
        <w:rPr>
          <w:rFonts w:ascii="宋体" w:hAnsi="宋体" w:cs="宋体"/>
          <w:bCs/>
          <w:color w:val="auto"/>
          <w:highlight w:val="none"/>
        </w:rPr>
        <w:t xml:space="preserve">21</w:t>
      </w:r>
      <w:r>
        <w:rPr>
          <w:rFonts w:hint="eastAsia" w:ascii="宋体" w:hAnsi="宋体" w:cs="宋体"/>
          <w:bCs/>
          <w:color w:val="auto"/>
          <w:highlight w:val="none"/>
        </w:rPr>
        <w:t xml:space="preserve">.</w:t>
      </w:r>
      <w:r>
        <w:rPr>
          <w:rFonts w:ascii="宋体" w:hAnsi="宋体" w:cs="宋体"/>
          <w:bCs/>
          <w:color w:val="auto"/>
          <w:highlight w:val="none"/>
        </w:rPr>
        <w:t xml:space="preserve">2</w:t>
      </w:r>
      <w:r>
        <w:rPr>
          <w:rFonts w:hint="eastAsia" w:ascii="宋体" w:hAnsi="宋体" w:cs="宋体"/>
          <w:bCs/>
          <w:color w:val="auto"/>
          <w:highlight w:val="none"/>
        </w:rPr>
        <w:t xml:space="preserve">.</w:t>
      </w:r>
      <w:r>
        <w:rPr>
          <w:rFonts w:ascii="宋体" w:hAnsi="宋体" w:cs="宋体"/>
          <w:bCs/>
          <w:color w:val="auto"/>
          <w:highlight w:val="none"/>
        </w:rPr>
        <w:t xml:space="preserve">3 </w:t>
      </w:r>
      <w:r>
        <w:rPr>
          <w:rFonts w:hint="eastAsia" w:ascii="宋体" w:hAnsi="宋体" w:cs="宋体"/>
          <w:color w:val="auto"/>
          <w:szCs w:val="21"/>
          <w:highlight w:val="none"/>
          <w:lang w:val="zh-CN"/>
        </w:rPr>
        <w:t xml:space="preserve">投标文件有下列情况之一的，投标无效：</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在苏采云系统规定的时间内未成功解密投标文件；</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（2）未按照采购文件要求上传投标文件；</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3</w:t>
      </w:r>
      <w:r>
        <w:rPr>
          <w:rFonts w:hint="eastAsia" w:ascii="宋体" w:hAnsi="宋体" w:cs="宋体"/>
          <w:color w:val="auto"/>
          <w:szCs w:val="21"/>
          <w:highlight w:val="none"/>
          <w:lang w:val="zh-CN"/>
        </w:rPr>
        <w:t xml:space="preserve">）投标文件未按采购文件要求签署、盖章或加盖电子公章的；</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（4）不具备采购文件中规定的资格要求的；</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5</w:t>
      </w:r>
      <w:r>
        <w:rPr>
          <w:rFonts w:hint="eastAsia" w:ascii="宋体" w:hAnsi="宋体" w:cs="宋体"/>
          <w:color w:val="auto"/>
          <w:szCs w:val="21"/>
          <w:highlight w:val="none"/>
          <w:lang w:val="zh-CN"/>
        </w:rPr>
        <w:t xml:space="preserve">）报价超过采购文件中规定的预算金额或者最高限价的；</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6</w:t>
      </w:r>
      <w:r>
        <w:rPr>
          <w:rFonts w:hint="eastAsia" w:ascii="宋体" w:hAnsi="宋体" w:cs="宋体"/>
          <w:color w:val="auto"/>
          <w:szCs w:val="21"/>
          <w:highlight w:val="none"/>
          <w:lang w:val="zh-CN"/>
        </w:rPr>
        <w:t xml:space="preserve">）投标文件含有招标人不能接受的附加条件的；</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7</w:t>
      </w:r>
      <w:r>
        <w:rPr>
          <w:rFonts w:hint="eastAsia" w:ascii="宋体" w:hAnsi="宋体" w:cs="宋体"/>
          <w:color w:val="auto"/>
          <w:szCs w:val="21"/>
          <w:highlight w:val="none"/>
          <w:lang w:val="zh-CN"/>
        </w:rPr>
        <w:t xml:space="preserve">）评标委员会认为</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的报价明显低于其他通过符合性审查</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的报价，有可能影响产品质量或者不能诚信履约的，将通过苏采云系统要求其在合理的时间内提供说明，必要时提交书面说明、证明材料，或者提供的书面说明、证明材料不能证明其报价合理性的，评审委员会应当将其作为无效投标（响应）处理。</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8</w:t>
      </w:r>
      <w:r>
        <w:rPr>
          <w:rFonts w:hint="eastAsia" w:ascii="宋体" w:hAnsi="宋体" w:cs="宋体"/>
          <w:color w:val="auto"/>
          <w:szCs w:val="21"/>
          <w:highlight w:val="none"/>
          <w:lang w:val="zh-CN"/>
        </w:rPr>
        <w:t xml:space="preserve">）不符合法律、法规和采购文件规定的其他无效情形。</w:t>
      </w:r>
      <w:r/>
    </w:p>
    <w:p>
      <w:pPr>
        <w:ind w:firstLine="420"/>
        <w:spacing w:line="360" w:lineRule="auto"/>
        <w:rPr>
          <w:rFonts w:hint="eastAsia" w:ascii="宋体" w:hAnsi="宋体" w:cs="宋体"/>
          <w:color w:val="auto"/>
          <w:szCs w:val="21"/>
          <w:highlight w:val="none"/>
          <w:lang w:val="zh-CN"/>
        </w:rPr>
      </w:pPr>
      <w:r>
        <w:rPr>
          <w:rFonts w:ascii="宋体" w:hAnsi="宋体" w:cs="宋体"/>
          <w:color w:val="auto"/>
          <w:szCs w:val="21"/>
          <w:highlight w:val="none"/>
          <w:lang w:val="zh-CN"/>
        </w:rPr>
        <w:t xml:space="preserve">21</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2</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4  </w:t>
      </w:r>
      <w:r>
        <w:rPr>
          <w:rFonts w:hint="eastAsia" w:ascii="宋体" w:hAnsi="宋体" w:cs="宋体"/>
          <w:color w:val="auto"/>
          <w:szCs w:val="21"/>
          <w:highlight w:val="none"/>
          <w:lang w:val="zh-CN"/>
        </w:rPr>
        <w:t xml:space="preserve">有下列情形之一的，视为</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串通投标，其投标无效：</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1</w:t>
      </w:r>
      <w:r>
        <w:rPr>
          <w:rFonts w:hint="eastAsia" w:ascii="宋体" w:hAnsi="宋体" w:cs="宋体"/>
          <w:color w:val="auto"/>
          <w:szCs w:val="21"/>
          <w:highlight w:val="none"/>
          <w:lang w:val="zh-CN"/>
        </w:rPr>
        <w:t xml:space="preserve">）不同</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的投标文件由同一单位或者个人编制；</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2</w:t>
      </w:r>
      <w:r>
        <w:rPr>
          <w:rFonts w:hint="eastAsia" w:ascii="宋体" w:hAnsi="宋体" w:cs="宋体"/>
          <w:color w:val="auto"/>
          <w:szCs w:val="21"/>
          <w:highlight w:val="none"/>
          <w:lang w:val="zh-CN"/>
        </w:rPr>
        <w:t xml:space="preserve">）不同</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委托同一单位或者个人办理投标事宜；</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3</w:t>
      </w:r>
      <w:r>
        <w:rPr>
          <w:rFonts w:hint="eastAsia" w:ascii="宋体" w:hAnsi="宋体" w:cs="宋体"/>
          <w:color w:val="auto"/>
          <w:szCs w:val="21"/>
          <w:highlight w:val="none"/>
          <w:lang w:val="zh-CN"/>
        </w:rPr>
        <w:t xml:space="preserve">）不同</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的投标文件载明的项目管理成员或者联系人员为同一人；</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（4）不同</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的投标文件异常一致或者投标报价呈规律性差异；</w:t>
      </w:r>
      <w:r/>
    </w:p>
    <w:p>
      <w:pPr>
        <w:ind w:firstLine="420"/>
        <w:spacing w:line="360" w:lineRule="auto"/>
        <w:widowControl/>
        <w:rPr>
          <w:rFonts w:hint="eastAsia" w:ascii="宋体" w:hAnsi="宋体" w:cs="宋体"/>
          <w:color w:val="auto"/>
          <w:highlight w:val="none"/>
          <w:lang w:val="zh-CN"/>
        </w:rPr>
      </w:pPr>
      <w:r>
        <w:rPr>
          <w:rFonts w:ascii="宋体" w:hAnsi="宋体" w:cs="宋体"/>
          <w:color w:val="auto"/>
          <w:szCs w:val="21"/>
          <w:highlight w:val="none"/>
          <w:lang w:val="zh-CN"/>
        </w:rPr>
        <w:t xml:space="preserve">21</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2</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5</w:t>
      </w:r>
      <w:r>
        <w:rPr>
          <w:rFonts w:hint="eastAsia" w:ascii="宋体" w:hAnsi="宋体" w:cs="宋体"/>
          <w:color w:val="auto"/>
          <w:highlight w:val="none"/>
          <w:lang w:val="zh-CN"/>
        </w:rPr>
        <w:t xml:space="preserve">在评标期间，出现符合专业条件的</w:t>
      </w:r>
      <w:r>
        <w:rPr>
          <w:rFonts w:hint="eastAsia" w:ascii="宋体" w:hAnsi="宋体" w:cs="宋体"/>
          <w:color w:val="auto"/>
          <w:szCs w:val="21"/>
          <w:highlight w:val="none"/>
        </w:rPr>
        <w:t xml:space="preserve">投标人</w:t>
      </w:r>
      <w:r>
        <w:rPr>
          <w:rFonts w:hint="eastAsia" w:ascii="宋体" w:hAnsi="宋体" w:cs="宋体"/>
          <w:color w:val="auto"/>
          <w:highlight w:val="none"/>
          <w:lang w:val="zh-CN"/>
        </w:rPr>
        <w:t xml:space="preserve">或者对</w:t>
      </w:r>
      <w:r>
        <w:rPr>
          <w:rFonts w:hint="eastAsia" w:ascii="宋体" w:hAnsi="宋体" w:cs="宋体"/>
          <w:color w:val="auto"/>
          <w:highlight w:val="none"/>
        </w:rPr>
        <w:t xml:space="preserve">招标</w:t>
      </w:r>
      <w:r>
        <w:rPr>
          <w:rFonts w:hint="eastAsia" w:ascii="宋体" w:hAnsi="宋体" w:cs="宋体"/>
          <w:color w:val="auto"/>
          <w:highlight w:val="none"/>
          <w:lang w:val="zh-CN"/>
        </w:rPr>
        <w:t xml:space="preserve">文件作出实质性响应的供应商不足三家情形的，比照20.</w:t>
      </w:r>
      <w:r>
        <w:rPr>
          <w:rFonts w:ascii="宋体" w:hAnsi="宋体" w:cs="宋体"/>
          <w:color w:val="auto"/>
          <w:highlight w:val="none"/>
        </w:rPr>
        <w:t xml:space="preserve">5</w:t>
      </w:r>
      <w:r>
        <w:rPr>
          <w:rFonts w:hint="eastAsia" w:ascii="宋体" w:hAnsi="宋体" w:cs="宋体"/>
          <w:color w:val="auto"/>
          <w:highlight w:val="none"/>
        </w:rPr>
        <w:t xml:space="preserve">-20.</w:t>
      </w:r>
      <w:r>
        <w:rPr>
          <w:rFonts w:ascii="宋体" w:hAnsi="宋体" w:cs="宋体"/>
          <w:color w:val="auto"/>
          <w:highlight w:val="none"/>
        </w:rPr>
        <w:t xml:space="preserve">6</w:t>
      </w:r>
      <w:r>
        <w:rPr>
          <w:rFonts w:hint="eastAsia" w:ascii="宋体" w:hAnsi="宋体" w:cs="宋体"/>
          <w:color w:val="auto"/>
          <w:highlight w:val="none"/>
          <w:lang w:val="zh-CN"/>
        </w:rPr>
        <w:t xml:space="preserve">款执行。</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21.2.</w:t>
      </w:r>
      <w:r>
        <w:rPr>
          <w:rFonts w:ascii="宋体" w:hAnsi="宋体" w:cs="宋体"/>
          <w:b/>
          <w:color w:val="auto"/>
          <w:szCs w:val="21"/>
          <w:highlight w:val="none"/>
          <w:lang w:val="zh-CN"/>
        </w:rPr>
        <w:t xml:space="preserve">6</w:t>
      </w:r>
      <w:r>
        <w:rPr>
          <w:rFonts w:hint="eastAsia" w:ascii="宋体" w:hAnsi="宋体" w:cs="宋体"/>
          <w:b/>
          <w:color w:val="auto"/>
          <w:szCs w:val="21"/>
          <w:highlight w:val="none"/>
          <w:lang w:val="zh-CN"/>
        </w:rPr>
        <w:t xml:space="preserve"> 投标文件的进一步评审。</w:t>
      </w:r>
      <w:r/>
    </w:p>
    <w:p>
      <w:pPr>
        <w:ind w:firstLine="420"/>
        <w:spacing w:line="360" w:lineRule="auto"/>
        <w:rPr>
          <w:rFonts w:hint="eastAsia" w:ascii="宋体" w:hAnsi="宋体" w:cs="宋体"/>
          <w:bCs/>
          <w:color w:val="auto"/>
          <w:highlight w:val="none"/>
        </w:rPr>
      </w:pPr>
      <w:r>
        <w:rPr>
          <w:rFonts w:hint="eastAsia" w:ascii="宋体" w:hAnsi="宋体" w:cs="宋体"/>
          <w:color w:val="auto"/>
          <w:szCs w:val="21"/>
          <w:highlight w:val="none"/>
          <w:lang w:val="zh-CN"/>
        </w:rPr>
        <w:t xml:space="preserve">21.2.</w:t>
      </w:r>
      <w:r>
        <w:rPr>
          <w:rFonts w:ascii="宋体" w:hAnsi="宋体" w:cs="宋体"/>
          <w:color w:val="auto"/>
          <w:szCs w:val="21"/>
          <w:highlight w:val="none"/>
          <w:lang w:val="zh-CN"/>
        </w:rPr>
        <w:t xml:space="preserve">6</w:t>
      </w:r>
      <w:r>
        <w:rPr>
          <w:rFonts w:hint="eastAsia" w:ascii="宋体" w:hAnsi="宋体" w:cs="宋体"/>
          <w:color w:val="auto"/>
          <w:szCs w:val="21"/>
          <w:highlight w:val="none"/>
          <w:lang w:val="zh-CN"/>
        </w:rPr>
        <w:t xml:space="preserve">.1</w:t>
      </w:r>
      <w:r>
        <w:rPr>
          <w:rFonts w:hint="eastAsia" w:ascii="宋体" w:hAnsi="宋体" w:cs="宋体"/>
          <w:bCs/>
          <w:color w:val="auto"/>
          <w:highlight w:val="none"/>
        </w:rPr>
        <w:t xml:space="preserve">评标委员会将对确定为实质性响应的投标文件进行进一步评审，投标文件报价出现前后不一致的，除采购文件另有规定外，按照下列规定修正：</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（1） 投标文件中《开标一览表》（报价表）内容与投标文件中相应内容不一致的，以《开标一览表》（报价表）为准；</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（2）大写金额与小写金额不一致的，以大写金额为准。</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w:t>
      </w:r>
      <w:r>
        <w:rPr>
          <w:rFonts w:ascii="宋体" w:hAnsi="宋体" w:cs="宋体"/>
          <w:bCs/>
          <w:color w:val="auto"/>
          <w:highlight w:val="none"/>
        </w:rPr>
        <w:t xml:space="preserve">3</w:t>
      </w:r>
      <w:r>
        <w:rPr>
          <w:rFonts w:hint="eastAsia" w:ascii="宋体" w:hAnsi="宋体" w:cs="宋体"/>
          <w:bCs/>
          <w:color w:val="auto"/>
          <w:highlight w:val="none"/>
        </w:rPr>
        <w:t xml:space="preserve">）单价金额小数点或者百分比有明显错位的，以《开标一览表》（报价表）的总价为准，并修改单价；</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w:t>
      </w:r>
      <w:r>
        <w:rPr>
          <w:rFonts w:ascii="宋体" w:hAnsi="宋体" w:cs="宋体"/>
          <w:bCs/>
          <w:color w:val="auto"/>
          <w:highlight w:val="none"/>
        </w:rPr>
        <w:t xml:space="preserve">4</w:t>
      </w:r>
      <w:r>
        <w:rPr>
          <w:rFonts w:hint="eastAsia" w:ascii="宋体" w:hAnsi="宋体" w:cs="宋体"/>
          <w:bCs/>
          <w:color w:val="auto"/>
          <w:highlight w:val="none"/>
        </w:rPr>
        <w:t xml:space="preserve">）总价金额与按单价汇总金额不一致的，以单价金额计算结果为准；</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w:t>
      </w:r>
      <w:r>
        <w:rPr>
          <w:rFonts w:ascii="宋体" w:hAnsi="宋体" w:cs="宋体"/>
          <w:bCs/>
          <w:color w:val="auto"/>
          <w:highlight w:val="none"/>
        </w:rPr>
        <w:t xml:space="preserve">5</w:t>
      </w:r>
      <w:r>
        <w:rPr>
          <w:rFonts w:hint="eastAsia" w:ascii="宋体" w:hAnsi="宋体" w:cs="宋体"/>
          <w:bCs/>
          <w:color w:val="auto"/>
          <w:highlight w:val="none"/>
        </w:rPr>
        <w:t xml:space="preserve">）同时出现两种以上不一致的，按照前款规定的顺序修正。修正后的报价由法定代表人或其授权的代表签字确认，确认后产生约束力，</w:t>
      </w:r>
      <w:r>
        <w:rPr>
          <w:rFonts w:hint="eastAsia" w:ascii="宋体" w:hAnsi="宋体" w:cs="宋体"/>
          <w:color w:val="auto"/>
          <w:szCs w:val="21"/>
          <w:highlight w:val="none"/>
        </w:rPr>
        <w:t xml:space="preserve">投标人</w:t>
      </w:r>
      <w:r>
        <w:rPr>
          <w:rFonts w:hint="eastAsia" w:ascii="宋体" w:hAnsi="宋体" w:cs="宋体"/>
          <w:bCs/>
          <w:color w:val="auto"/>
          <w:highlight w:val="none"/>
        </w:rPr>
        <w:t xml:space="preserve">不确认的，投标无效。</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（5） 对不同文字文本投标文件的解释发生异议的，以中文文本为准。</w:t>
      </w:r>
      <w:r/>
    </w:p>
    <w:p>
      <w:pPr>
        <w:ind w:firstLine="420"/>
        <w:spacing w:line="360" w:lineRule="auto"/>
        <w:rPr>
          <w:rFonts w:hint="eastAsia" w:ascii="宋体" w:hAnsi="宋体" w:cs="宋体"/>
          <w:bCs/>
          <w:color w:val="auto"/>
          <w:highlight w:val="none"/>
        </w:rPr>
      </w:pPr>
      <w:r>
        <w:rPr>
          <w:rFonts w:hint="eastAsia" w:ascii="宋体" w:hAnsi="宋体" w:cs="宋体"/>
          <w:color w:val="auto"/>
          <w:highlight w:val="none"/>
        </w:rPr>
        <w:t xml:space="preserve">21.2.</w:t>
      </w:r>
      <w:r>
        <w:rPr>
          <w:rFonts w:ascii="宋体" w:hAnsi="宋体" w:cs="宋体"/>
          <w:color w:val="auto"/>
          <w:highlight w:val="none"/>
        </w:rPr>
        <w:t xml:space="preserve">6</w:t>
      </w:r>
      <w:r>
        <w:rPr>
          <w:rFonts w:hint="eastAsia" w:ascii="宋体" w:hAnsi="宋体" w:cs="宋体"/>
          <w:color w:val="auto"/>
          <w:highlight w:val="none"/>
        </w:rPr>
        <w:t xml:space="preserve">.</w:t>
      </w:r>
      <w:r>
        <w:rPr>
          <w:rFonts w:ascii="宋体" w:hAnsi="宋体" w:cs="宋体"/>
          <w:color w:val="auto"/>
          <w:highlight w:val="none"/>
        </w:rPr>
        <w:t xml:space="preserve">2</w:t>
      </w:r>
      <w:r>
        <w:rPr>
          <w:rFonts w:hint="eastAsia" w:ascii="宋体" w:hAnsi="宋体" w:cs="宋体"/>
          <w:color w:val="auto"/>
          <w:highlight w:val="none"/>
        </w:rPr>
        <w:t xml:space="preserve"> </w:t>
      </w:r>
      <w:r>
        <w:rPr>
          <w:rFonts w:hint="eastAsia" w:ascii="宋体" w:hAnsi="宋体" w:cs="宋体"/>
          <w:bCs/>
          <w:color w:val="auto"/>
          <w:highlight w:val="none"/>
        </w:rPr>
        <w:t xml:space="preserve">评标委员会将允许修正投标文件中不构成重大偏离的、微小的、非正规的、不一致的或不规则的地方，但这些修改不能影响任何</w:t>
      </w:r>
      <w:r>
        <w:rPr>
          <w:rFonts w:hint="eastAsia" w:ascii="宋体" w:hAnsi="宋体" w:cs="宋体"/>
          <w:color w:val="auto"/>
          <w:szCs w:val="21"/>
          <w:highlight w:val="none"/>
        </w:rPr>
        <w:t xml:space="preserve">投标人</w:t>
      </w:r>
      <w:r>
        <w:rPr>
          <w:rFonts w:hint="eastAsia" w:ascii="宋体" w:hAnsi="宋体" w:cs="宋体"/>
          <w:bCs/>
          <w:color w:val="auto"/>
          <w:highlight w:val="none"/>
        </w:rPr>
        <w:t xml:space="preserve">相应的名次排列。</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21.2.</w:t>
      </w:r>
      <w:r>
        <w:rPr>
          <w:rFonts w:ascii="宋体" w:hAnsi="宋体" w:cs="宋体"/>
          <w:color w:val="auto"/>
          <w:szCs w:val="21"/>
          <w:highlight w:val="none"/>
          <w:lang w:val="zh-CN"/>
        </w:rPr>
        <w:t xml:space="preserve">6</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3</w:t>
      </w:r>
      <w:r>
        <w:rPr>
          <w:rFonts w:hint="eastAsia" w:ascii="宋体" w:hAnsi="宋体" w:cs="宋体"/>
          <w:color w:val="auto"/>
          <w:szCs w:val="21"/>
          <w:highlight w:val="none"/>
          <w:lang w:val="zh-CN"/>
        </w:rPr>
        <w:t xml:space="preserve"> </w:t>
      </w:r>
      <w:r>
        <w:rPr>
          <w:rFonts w:hint="eastAsia" w:ascii="宋体" w:hAnsi="宋体" w:cs="宋体"/>
          <w:b/>
          <w:color w:val="auto"/>
          <w:szCs w:val="21"/>
          <w:highlight w:val="none"/>
          <w:lang w:val="zh-CN"/>
        </w:rPr>
        <w:t xml:space="preserve">澄清有关问题</w:t>
      </w:r>
      <w:r>
        <w:rPr>
          <w:rFonts w:hint="eastAsia" w:ascii="宋体" w:hAnsi="宋体" w:cs="宋体"/>
          <w:color w:val="auto"/>
          <w:szCs w:val="21"/>
          <w:highlight w:val="none"/>
          <w:lang w:val="zh-CN"/>
        </w:rPr>
        <w:t xml:space="preserve">。</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评标期间，评标委员会对电子投标文件中含义不明确、同类问题表述不一致或者有明显文字和计算错误的内容，有权要求投标人作出必要的澄清、说明或者补正。投标人的澄清、说明或者补正不得超出投电子标文件的范围或者改变电子投标文件的实质性内容。评标委员会并非对全部投标人都做澄清要求。</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需要投标人进行澄清、说明和补正的，评标委员会将通过苏采云系统向投标人发出“澄清要求函”，接到“澄清要求函”的投标人应当按照要求在苏采云系统中提交“澄清响应函”并加盖CA电子公章。澄清、说明和补正的内容作为电子投标文件的补充部分，具体操作方式见《操作手册》。</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（3）接到评标委员会澄清、说明和补正要求的投标人如未按规定做出澄清、说明和补正，其风险由投标人自行承担。</w:t>
      </w:r>
      <w:r/>
    </w:p>
    <w:p>
      <w:pPr>
        <w:ind w:firstLine="420"/>
        <w:spacing w:line="360" w:lineRule="auto"/>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（4）评审过程中出现下列情形之一的，评审委员会应当启动异常低价投标（响应）审查程序：</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①投标(响应)报价低于全部通过符合性审查供应商投标(响应)报价平均值50%的，即投标(响应)报价&lt;全部通过符合性审查供应商投标(响应)报价平均值×50%；</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②投标(响应)报价低于通过符合性审查的次低报价供应商投标(响应)报价50%的，即投标(响应)报价&lt;通过符合性审查的次低报价供应商投标(响应)报价×50%；</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③投标(响应)报价低于采购项目最高限价45%的，即投标(响 应)报价&lt;采购项目最高限价×45%；</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④评审委员会认定的供应商响应报价过低、有可能影响产品质量或者不能诚信履约的其他情形。</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⑤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⑥评审委员会依据专业经验，参考同类项目中标(成交)价格、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b/>
          <w:color w:val="auto"/>
          <w:szCs w:val="21"/>
          <w:highlight w:val="none"/>
          <w:lang w:val="zh-CN"/>
        </w:rPr>
        <w:t xml:space="preserve">21.2.</w:t>
      </w:r>
      <w:r>
        <w:rPr>
          <w:rFonts w:ascii="宋体" w:hAnsi="宋体" w:cs="宋体"/>
          <w:b/>
          <w:color w:val="auto"/>
          <w:szCs w:val="21"/>
          <w:highlight w:val="none"/>
          <w:lang w:val="zh-CN"/>
        </w:rPr>
        <w:t xml:space="preserve">6</w:t>
      </w:r>
      <w:r>
        <w:rPr>
          <w:rFonts w:hint="eastAsia" w:ascii="宋体" w:hAnsi="宋体" w:cs="宋体"/>
          <w:b/>
          <w:color w:val="auto"/>
          <w:szCs w:val="21"/>
          <w:highlight w:val="none"/>
          <w:lang w:val="zh-CN"/>
        </w:rPr>
        <w:t xml:space="preserve">.</w:t>
      </w:r>
      <w:r>
        <w:rPr>
          <w:rFonts w:ascii="宋体" w:hAnsi="宋体" w:cs="宋体"/>
          <w:b/>
          <w:color w:val="auto"/>
          <w:szCs w:val="21"/>
          <w:highlight w:val="none"/>
          <w:lang w:val="zh-CN"/>
        </w:rPr>
        <w:t xml:space="preserve">4</w:t>
      </w:r>
      <w:r>
        <w:rPr>
          <w:rFonts w:hint="eastAsia" w:ascii="宋体" w:hAnsi="宋体" w:cs="宋体"/>
          <w:b/>
          <w:color w:val="auto"/>
          <w:szCs w:val="21"/>
          <w:highlight w:val="none"/>
          <w:lang w:val="zh-CN"/>
        </w:rPr>
        <w:t xml:space="preserve">比较与评价。</w:t>
      </w:r>
      <w:r>
        <w:rPr>
          <w:rFonts w:hint="eastAsia" w:ascii="宋体" w:hAnsi="宋体" w:cs="宋体"/>
          <w:color w:val="auto"/>
          <w:szCs w:val="21"/>
          <w:highlight w:val="none"/>
          <w:lang w:val="zh-CN"/>
        </w:rPr>
        <w:t xml:space="preserve">按照采购文件中规定的评标方法和标准，对资格性检查和符合性检查合格的投标文件进行商务和技术评估，综合比较与评价。</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21.2.</w:t>
      </w:r>
      <w:r>
        <w:rPr>
          <w:rFonts w:ascii="宋体" w:hAnsi="宋体" w:cs="宋体"/>
          <w:color w:val="auto"/>
          <w:szCs w:val="21"/>
          <w:highlight w:val="none"/>
          <w:lang w:val="zh-CN"/>
        </w:rPr>
        <w:t xml:space="preserve">7</w:t>
      </w:r>
      <w:r>
        <w:rPr>
          <w:rFonts w:hint="eastAsia" w:ascii="宋体" w:hAnsi="宋体" w:cs="宋体"/>
          <w:color w:val="auto"/>
          <w:szCs w:val="21"/>
          <w:highlight w:val="none"/>
          <w:lang w:val="zh-CN"/>
        </w:rPr>
        <w:t xml:space="preserve"> 有下列情形之一的予以</w:t>
      </w:r>
      <w:r>
        <w:rPr>
          <w:rFonts w:hint="eastAsia" w:ascii="宋体" w:hAnsi="宋体" w:cs="宋体"/>
          <w:b/>
          <w:color w:val="auto"/>
          <w:szCs w:val="21"/>
          <w:highlight w:val="none"/>
        </w:rPr>
        <w:t xml:space="preserve">流标</w:t>
      </w:r>
      <w:r>
        <w:rPr>
          <w:rFonts w:hint="eastAsia" w:ascii="宋体" w:hAnsi="宋体" w:cs="宋体"/>
          <w:color w:val="auto"/>
          <w:szCs w:val="21"/>
          <w:highlight w:val="none"/>
          <w:lang w:val="zh-CN"/>
        </w:rPr>
        <w:t xml:space="preserve">，同时将</w:t>
      </w:r>
      <w:r>
        <w:rPr>
          <w:rFonts w:hint="eastAsia" w:ascii="宋体" w:hAnsi="宋体" w:cs="宋体"/>
          <w:color w:val="auto"/>
          <w:szCs w:val="21"/>
          <w:highlight w:val="none"/>
        </w:rPr>
        <w:t xml:space="preserve">流标</w:t>
      </w:r>
      <w:r>
        <w:rPr>
          <w:rFonts w:hint="eastAsia" w:ascii="宋体" w:hAnsi="宋体" w:cs="宋体"/>
          <w:color w:val="auto"/>
          <w:szCs w:val="21"/>
          <w:highlight w:val="none"/>
          <w:lang w:val="zh-CN"/>
        </w:rPr>
        <w:t xml:space="preserve">理由通知所有</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（1）所有投标均不符合招标文件要求，被评标委员会否决；</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（2）有效投标不足三个，评标委员会认为缺乏竞争性，决定否决全部投标。；</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（3）出现影响招标公正的违法、违规行为的；</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（4）因重大变故，采购任务取消的。</w:t>
      </w:r>
      <w:r/>
    </w:p>
    <w:p>
      <w:pPr>
        <w:ind w:firstLine="420"/>
        <w:spacing w:line="360" w:lineRule="auto"/>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21.3 评标方法和标准</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21.3.1采用综合评分法。综合评分法是指投标文件满足采购文件全部实质性要求，且按照采购文件中规定评审因素量化指标评审</w:t>
      </w:r>
      <w:bookmarkStart w:id="20" w:name="_Hlk176874978"/>
      <w:r>
        <w:rPr>
          <w:rFonts w:hint="eastAsia" w:ascii="宋体" w:hAnsi="宋体" w:cs="宋体"/>
          <w:color w:val="auto"/>
          <w:szCs w:val="21"/>
          <w:highlight w:val="none"/>
          <w:lang w:val="zh-CN"/>
        </w:rPr>
        <w:t xml:space="preserve">得分最高</w:t>
      </w:r>
      <w:bookmarkEnd w:id="20"/>
      <w:r>
        <w:rPr>
          <w:rFonts w:hint="eastAsia" w:ascii="宋体" w:hAnsi="宋体" w:cs="宋体"/>
          <w:color w:val="auto"/>
          <w:szCs w:val="21"/>
          <w:highlight w:val="none"/>
          <w:lang w:val="zh-CN"/>
        </w:rPr>
        <w:t xml:space="preserve">的</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为中标候选人或中标人的评标方法。具体评分标准详见第</w:t>
      </w:r>
      <w:r>
        <w:rPr>
          <w:rFonts w:hint="eastAsia" w:ascii="宋体" w:hAnsi="宋体" w:cs="宋体"/>
          <w:color w:val="auto"/>
          <w:szCs w:val="21"/>
          <w:highlight w:val="none"/>
        </w:rPr>
        <w:t xml:space="preserve">三</w:t>
      </w:r>
      <w:r>
        <w:rPr>
          <w:rFonts w:hint="eastAsia" w:ascii="宋体" w:hAnsi="宋体" w:cs="宋体"/>
          <w:color w:val="auto"/>
          <w:szCs w:val="21"/>
          <w:highlight w:val="none"/>
          <w:lang w:val="zh-CN"/>
        </w:rPr>
        <w:t xml:space="preserve">章。</w:t>
      </w:r>
      <w:r/>
    </w:p>
    <w:p>
      <w:pPr>
        <w:pStyle w:val="898"/>
        <w:rPr>
          <w:rFonts w:hint="eastAsia" w:cs="宋体"/>
          <w:color w:val="auto"/>
          <w:szCs w:val="21"/>
          <w:highlight w:val="none"/>
        </w:rPr>
      </w:pPr>
      <w:r>
        <w:rPr>
          <w:rFonts w:hint="eastAsia" w:cs="宋体"/>
          <w:color w:val="auto"/>
          <w:szCs w:val="21"/>
          <w:highlight w:val="none"/>
        </w:rPr>
        <w:t xml:space="preserve">21.3.2使用综合评分法的采购项目，提供相同品牌产品且通过资格审查、符合性审查的不同投标人参加同一合同项下投标的，按1家投标人计算，评审后得分最高的同品牌投标人获得中标人推荐资格；评审得分相同的，由采购人或者采购人委托评标委员会按照招标文件规定的方式确定1个投标人获得中标人推荐资格，招标文件未规定的采取随机抽取方式确定，其他同品牌投标人不作为中标候选人。</w:t>
      </w:r>
      <w:r/>
    </w:p>
    <w:p>
      <w:pPr>
        <w:pStyle w:val="898"/>
        <w:rPr>
          <w:rFonts w:hint="eastAsia"/>
          <w:color w:val="auto"/>
          <w:highlight w:val="none"/>
        </w:rPr>
      </w:pPr>
      <w:r>
        <w:rPr>
          <w:rFonts w:hint="eastAsia" w:cs="宋体"/>
          <w:color w:val="auto"/>
          <w:szCs w:val="21"/>
          <w:highlight w:val="none"/>
        </w:rPr>
        <w:t xml:space="preserve">非单一产品采购项目，采购人应当根据采购项目技术构成、产品价格比重等合理确定核心产品，并在招标文件中载明。</w:t>
      </w:r>
      <w:r/>
    </w:p>
    <w:p>
      <w:pPr>
        <w:ind w:firstLine="420"/>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22、确定中标</w:t>
      </w:r>
      <w:r>
        <w:rPr>
          <w:rFonts w:hint="eastAsia" w:ascii="宋体" w:hAnsi="宋体" w:cs="宋体"/>
          <w:b/>
          <w:bCs/>
          <w:color w:val="auto"/>
          <w:highlight w:val="none"/>
        </w:rPr>
        <w:t xml:space="preserve">人</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highlight w:val="none"/>
          <w:lang w:val="zh-CN"/>
        </w:rPr>
        <w:t xml:space="preserve">22.1 </w:t>
      </w:r>
      <w:r>
        <w:rPr>
          <w:rFonts w:hint="eastAsia" w:ascii="宋体" w:hAnsi="宋体" w:cs="宋体"/>
          <w:color w:val="auto"/>
          <w:szCs w:val="21"/>
          <w:highlight w:val="none"/>
          <w:lang w:val="zh-CN"/>
        </w:rPr>
        <w:t xml:space="preserve">在综合比较与评价后，按照得分由高到低顺序对供应商进行排列。得分相同的，按投标报价由低到高顺序排列。得分且最终投标报价相同的并列。投标文件满足采购文件全部实质性要求，且按照评标评审因素的量化指标评审得分排名第一的</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确定为</w:t>
      </w:r>
      <w:r>
        <w:rPr>
          <w:rFonts w:hint="eastAsia" w:ascii="宋体" w:hAnsi="宋体" w:cs="宋体"/>
          <w:color w:val="auto"/>
          <w:szCs w:val="21"/>
          <w:highlight w:val="none"/>
        </w:rPr>
        <w:t xml:space="preserve">中标人</w:t>
      </w:r>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22.2 </w:t>
      </w:r>
      <w:r>
        <w:rPr>
          <w:rFonts w:hint="eastAsia" w:ascii="宋体" w:hAnsi="宋体" w:cs="宋体"/>
          <w:color w:val="auto"/>
          <w:szCs w:val="21"/>
          <w:highlight w:val="none"/>
        </w:rPr>
        <w:t xml:space="preserve">中标人</w:t>
      </w:r>
      <w:r>
        <w:rPr>
          <w:rFonts w:hint="eastAsia" w:ascii="宋体" w:hAnsi="宋体" w:cs="宋体"/>
          <w:color w:val="auto"/>
          <w:szCs w:val="21"/>
          <w:highlight w:val="none"/>
          <w:lang w:val="zh-CN"/>
        </w:rPr>
        <w:t xml:space="preserve">确定之日起2个工作日内，将在财政部门指定的政府采购信息发布媒体上公告，中标供应商及时到招标代理机构领取《中标通知书》。</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22.3 中标通知书对招标人和中标供应商具有同等法律效力。</w:t>
      </w:r>
      <w:r/>
    </w:p>
    <w:p>
      <w:pPr>
        <w:ind w:firstLine="420"/>
        <w:spacing w:line="360" w:lineRule="auto"/>
        <w:rPr>
          <w:rFonts w:hint="eastAsia" w:ascii="宋体" w:hAnsi="宋体" w:cs="宋体"/>
          <w:color w:val="auto"/>
          <w:highlight w:val="none"/>
        </w:rPr>
      </w:pPr>
      <w:r>
        <w:rPr>
          <w:rFonts w:hint="eastAsia" w:ascii="宋体" w:hAnsi="宋体" w:cs="宋体"/>
          <w:color w:val="auto"/>
          <w:szCs w:val="21"/>
          <w:highlight w:val="none"/>
          <w:lang w:val="zh-CN"/>
        </w:rPr>
        <w:t xml:space="preserve">22.4 </w:t>
      </w:r>
      <w:r>
        <w:rPr>
          <w:rFonts w:hint="eastAsia" w:ascii="宋体" w:hAnsi="宋体" w:cs="宋体"/>
          <w:color w:val="auto"/>
          <w:highlight w:val="none"/>
        </w:rPr>
        <w:t xml:space="preserve">中标通知书发出后，中标人无正当理由不与招标人签订合同的，情节严重的，由财政部门将其列入不良行为记录名单，在一至三年内禁止参加南京市政府采购活动，并予以通报。</w:t>
      </w:r>
      <w:r/>
    </w:p>
    <w:p>
      <w:pPr>
        <w:ind w:firstLine="420"/>
        <w:spacing w:line="360" w:lineRule="auto"/>
        <w:tabs>
          <w:tab w:val="left" w:pos="1260" w:leader="none"/>
        </w:tabs>
        <w:rPr>
          <w:rFonts w:hint="eastAsia" w:ascii="宋体" w:hAnsi="宋体" w:cs="宋体"/>
          <w:color w:val="auto"/>
          <w:highlight w:val="none"/>
        </w:rPr>
      </w:pPr>
      <w:r>
        <w:rPr>
          <w:rFonts w:hint="eastAsia" w:ascii="宋体" w:hAnsi="宋体" w:cs="宋体"/>
          <w:color w:val="auto"/>
          <w:highlight w:val="none"/>
        </w:rPr>
        <w:t xml:space="preserve">22.5</w:t>
      </w:r>
      <w:r>
        <w:rPr>
          <w:rFonts w:hint="eastAsia" w:ascii="宋体" w:hAnsi="宋体" w:cs="宋体"/>
          <w:color w:val="auto"/>
          <w:szCs w:val="21"/>
          <w:highlight w:val="none"/>
          <w:lang w:val="zh-CN"/>
        </w:rPr>
        <w:t xml:space="preserve">招标代理机构和评标委员会</w:t>
      </w:r>
      <w:r>
        <w:rPr>
          <w:rFonts w:hint="eastAsia" w:ascii="宋体" w:hAnsi="宋体" w:cs="宋体"/>
          <w:color w:val="auto"/>
          <w:highlight w:val="none"/>
        </w:rPr>
        <w:t xml:space="preserve">对未中标的投标人不作未中标原因的解释。</w:t>
      </w:r>
      <w:r/>
    </w:p>
    <w:p>
      <w:pPr>
        <w:ind w:firstLine="413"/>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23</w:t>
      </w:r>
      <w:r>
        <w:rPr>
          <w:rFonts w:hint="eastAsia" w:ascii="宋体" w:hAnsi="宋体" w:cs="宋体"/>
          <w:b/>
          <w:bCs/>
          <w:color w:val="auto"/>
          <w:szCs w:val="21"/>
          <w:highlight w:val="none"/>
          <w:lang w:val="zh-CN"/>
        </w:rPr>
        <w:t xml:space="preserve">、</w:t>
      </w:r>
      <w:r>
        <w:rPr>
          <w:rFonts w:hint="eastAsia" w:ascii="宋体" w:hAnsi="宋体" w:cs="宋体"/>
          <w:b/>
          <w:color w:val="auto"/>
          <w:szCs w:val="21"/>
          <w:highlight w:val="none"/>
        </w:rPr>
        <w:t xml:space="preserve">评标</w:t>
      </w:r>
      <w:r/>
    </w:p>
    <w:p>
      <w:pPr>
        <w:ind w:firstLine="420"/>
        <w:spacing w:line="360" w:lineRule="auto"/>
        <w:tabs>
          <w:tab w:val="left" w:pos="1260" w:leader="none"/>
        </w:tabs>
        <w:rPr>
          <w:rFonts w:hint="eastAsia" w:ascii="宋体" w:hAnsi="宋体" w:cs="宋体"/>
          <w:color w:val="auto"/>
          <w:highlight w:val="none"/>
        </w:rPr>
      </w:pPr>
      <w:r>
        <w:rPr>
          <w:rFonts w:hint="eastAsia" w:ascii="宋体" w:hAnsi="宋体" w:cs="宋体"/>
          <w:color w:val="auto"/>
          <w:highlight w:val="none"/>
        </w:rPr>
        <w:t xml:space="preserve">23.1 本项目评标活动在江苏政府采购网“苏采云”系统进行。</w:t>
      </w:r>
      <w:r/>
    </w:p>
    <w:p>
      <w:pPr>
        <w:ind w:firstLine="420"/>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24、评标过程的保密性</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24.1 招标代理机构将采取必要措施，保证评标在严格保密的情况下进行。</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24.2 任何单位和个人不得非法干预、影响评标办法的确定，以及评标过程和结果。</w:t>
      </w:r>
      <w:r/>
    </w:p>
    <w:p>
      <w:pPr>
        <w:ind w:firstLine="420"/>
        <w:spacing w:line="360" w:lineRule="auto"/>
        <w:rPr>
          <w:rFonts w:hint="eastAsia" w:ascii="宋体" w:hAnsi="宋体" w:cs="宋体"/>
          <w:b/>
          <w:color w:val="auto"/>
          <w:szCs w:val="21"/>
          <w:highlight w:val="none"/>
        </w:rPr>
      </w:pPr>
      <w:r>
        <w:rPr>
          <w:rFonts w:hint="eastAsia" w:ascii="宋体" w:hAnsi="宋体" w:cs="宋体"/>
          <w:color w:val="auto"/>
          <w:szCs w:val="21"/>
          <w:highlight w:val="none"/>
          <w:lang w:val="zh-CN"/>
        </w:rPr>
        <w:t xml:space="preserve">24.3 凡是与审查、澄清、评价和比较投标的有关资料等，均不向</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及与评标无关的其他人员透露。</w:t>
      </w:r>
      <w:r/>
    </w:p>
    <w:p>
      <w:pPr>
        <w:ind w:firstLine="413"/>
        <w:spacing w:line="360" w:lineRule="auto"/>
        <w:rPr>
          <w:rFonts w:hint="eastAsia" w:ascii="宋体" w:hAnsi="宋体" w:cs="宋体"/>
          <w:b/>
          <w:color w:val="auto"/>
          <w:highlight w:val="none"/>
        </w:rPr>
      </w:pPr>
      <w:r/>
      <w:bookmarkStart w:id="21" w:name="_Toc27897"/>
      <w:r/>
      <w:bookmarkStart w:id="22" w:name="_Toc28778"/>
      <w:r>
        <w:rPr>
          <w:rFonts w:hint="eastAsia" w:ascii="宋体" w:hAnsi="宋体" w:cs="宋体"/>
          <w:b/>
          <w:color w:val="auto"/>
          <w:highlight w:val="none"/>
        </w:rPr>
        <w:t xml:space="preserve">五、签订合同</w:t>
      </w:r>
      <w:bookmarkEnd w:id="21"/>
      <w:r/>
      <w:bookmarkEnd w:id="22"/>
      <w:r/>
      <w:r/>
    </w:p>
    <w:p>
      <w:pPr>
        <w:ind w:firstLine="42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25、签订合同</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25.1 招标人应当自中标通知书发出之日起30日内，按照采购文件和中标人投标文件的规定与中标人签订书面合同。所签订的合同不得对采购文件确定事项和中标人投标文件作实质性修改。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25.2</w:t>
      </w:r>
      <w:r>
        <w:rPr>
          <w:rFonts w:hint="eastAsia" w:ascii="宋体" w:hAnsi="宋体" w:cs="宋体"/>
          <w:color w:val="auto"/>
          <w:szCs w:val="21"/>
          <w:highlight w:val="none"/>
        </w:rPr>
        <w:t xml:space="preserve">招标人不得向中标人提出任何不合理的要求作为签订合同的条件，不得与中标人私下订立背离合同实质性内容的协议。</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25.3中标人拒绝与招标人签订合同，或因不可抗力或者自身原因不能履行政府采购合同的，招标人可以按照评审报告中的得分高低顺序，确定下一顺序</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为中标人，也可以重新开展政府采购活动。</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25.4 采购合同履行中，招标人需追加与合同标的相同货物的，在不改变合同其他条款的前提下，可以与</w:t>
      </w:r>
      <w:r>
        <w:rPr>
          <w:rFonts w:hint="eastAsia" w:ascii="宋体" w:hAnsi="宋体" w:cs="宋体"/>
          <w:color w:val="auto"/>
          <w:szCs w:val="21"/>
          <w:highlight w:val="none"/>
        </w:rPr>
        <w:t xml:space="preserve">中标人</w:t>
      </w:r>
      <w:r>
        <w:rPr>
          <w:rFonts w:hint="eastAsia" w:ascii="宋体" w:hAnsi="宋体" w:cs="宋体"/>
          <w:color w:val="auto"/>
          <w:szCs w:val="21"/>
          <w:highlight w:val="none"/>
          <w:lang w:val="zh-CN"/>
        </w:rPr>
        <w:t xml:space="preserve">协商签订补充合同，但所有补充合同的采购金额不得超过原合同采购金额的百分之十。</w:t>
      </w:r>
      <w:r/>
    </w:p>
    <w:p>
      <w:pPr>
        <w:ind w:firstLine="413"/>
        <w:spacing w:line="360" w:lineRule="auto"/>
        <w:rPr>
          <w:rFonts w:hint="eastAsia" w:ascii="宋体" w:hAnsi="宋体" w:cs="宋体"/>
          <w:b/>
          <w:color w:val="auto"/>
          <w:highlight w:val="none"/>
        </w:rPr>
      </w:pPr>
      <w:r/>
      <w:bookmarkStart w:id="23" w:name="_Toc24260"/>
      <w:r/>
      <w:bookmarkStart w:id="24" w:name="_Toc10775"/>
      <w:r>
        <w:rPr>
          <w:rFonts w:hint="eastAsia" w:ascii="宋体" w:hAnsi="宋体" w:cs="宋体"/>
          <w:b/>
          <w:color w:val="auto"/>
          <w:highlight w:val="none"/>
        </w:rPr>
        <w:t xml:space="preserve">六、询问、质疑、投诉和诚实信用</w:t>
      </w:r>
      <w:bookmarkEnd w:id="23"/>
      <w:r/>
      <w:bookmarkEnd w:id="24"/>
      <w:r/>
      <w:r/>
    </w:p>
    <w:p>
      <w:pPr>
        <w:ind w:firstLine="42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26、询问</w:t>
      </w:r>
      <w:r/>
    </w:p>
    <w:p>
      <w:pPr>
        <w:ind w:firstLine="420"/>
        <w:spacing w:line="360" w:lineRule="auto"/>
        <w:rPr>
          <w:rFonts w:hint="eastAsia" w:ascii="宋体" w:hAnsi="宋体" w:cs="宋体"/>
          <w:b/>
          <w:color w:val="auto"/>
          <w:szCs w:val="21"/>
          <w:highlight w:val="none"/>
          <w:lang w:val="zh-CN"/>
        </w:rPr>
      </w:pPr>
      <w:r>
        <w:rPr>
          <w:rFonts w:hint="eastAsia" w:ascii="宋体" w:hAnsi="宋体" w:cs="宋体"/>
          <w:color w:val="auto"/>
          <w:szCs w:val="21"/>
          <w:highlight w:val="none"/>
          <w:lang w:val="zh-CN"/>
        </w:rPr>
        <w:t xml:space="preserve">26.1 </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对采购活动事项有疑问的，可以向招标代理机构或招标人提出询问，招标代理机构或招标人将在两个工作日内作出答复，但答复的内容不涉及商业秘密</w:t>
      </w:r>
      <w:r>
        <w:rPr>
          <w:rFonts w:hint="eastAsia" w:ascii="宋体" w:hAnsi="宋体" w:cs="宋体"/>
          <w:b/>
          <w:color w:val="auto"/>
          <w:szCs w:val="21"/>
          <w:highlight w:val="none"/>
          <w:lang w:val="zh-CN"/>
        </w:rPr>
        <w:t xml:space="preserve">。</w:t>
      </w:r>
      <w:r/>
    </w:p>
    <w:p>
      <w:pPr>
        <w:ind w:firstLine="420"/>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27、质疑</w:t>
      </w:r>
      <w:r/>
    </w:p>
    <w:p>
      <w:pPr>
        <w:ind w:firstLine="420"/>
        <w:spacing w:line="360" w:lineRule="auto"/>
        <w:rPr>
          <w:rFonts w:hint="eastAsia" w:ascii="宋体" w:hAnsi="宋体" w:cs="宋体"/>
          <w:b/>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对招标活动事项有疑问的，可以向代理机构提出询问，代理机构将依法作出答复，但答复的内容不涉及商业秘密。</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认为采购文件、采购过程和成交结果使自己的合法权益受到损害的，可以在知道或者应当知道其权益受到损害之日起七个工作日内，将质疑文件原件送达代理机构。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.3质疑文件应包括以下主要内容，并</w:t>
      </w:r>
      <w:r>
        <w:rPr>
          <w:rFonts w:hint="eastAsia" w:ascii="宋体" w:hAnsi="宋体" w:cs="宋体"/>
          <w:color w:val="auto"/>
          <w:szCs w:val="21"/>
          <w:highlight w:val="none"/>
        </w:rPr>
        <w:t xml:space="preserve">按照“谁主张、谁举证”的原则，附上相关证明材料。否则，代理机构不予受理：</w:t>
      </w:r>
      <w:r/>
    </w:p>
    <w:p>
      <w:pPr>
        <w:ind w:left="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（1）质疑项目名称、项目编号、包号、采购公告发布时间、开标时间；</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（2）具体的质疑事项及法律依据（具体条款）；</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（3）质疑相关证明文件或证明材料，如果涉及到产品功能或技术指标的，应出具相关制造商的证明文件（友情提示：</w:t>
      </w:r>
      <w:r>
        <w:rPr>
          <w:rFonts w:hint="eastAsia" w:ascii="宋体" w:hAnsi="宋体" w:cs="宋体"/>
          <w:color w:val="auto"/>
          <w:szCs w:val="21"/>
          <w:highlight w:val="none"/>
        </w:rPr>
        <w:t xml:space="preserve">投标人全部产品线中没有满足技术需求要求的产品才可以对采购产品提出质疑，并提出</w:t>
      </w:r>
      <w:r>
        <w:rPr>
          <w:rFonts w:hint="eastAsia" w:ascii="宋体" w:hAnsi="宋体" w:cs="宋体"/>
          <w:b/>
          <w:bCs/>
          <w:color w:val="auto"/>
          <w:szCs w:val="21"/>
          <w:highlight w:val="none"/>
        </w:rPr>
        <w:t xml:space="preserve">修改理由</w:t>
      </w:r>
      <w:r>
        <w:rPr>
          <w:rFonts w:hint="eastAsia" w:ascii="宋体" w:hAnsi="宋体" w:cs="宋体"/>
          <w:color w:val="auto"/>
          <w:szCs w:val="21"/>
          <w:highlight w:val="none"/>
        </w:rPr>
        <w:t xml:space="preserve">和</w:t>
      </w:r>
      <w:r>
        <w:rPr>
          <w:rFonts w:hint="eastAsia" w:ascii="宋体" w:hAnsi="宋体" w:cs="宋体"/>
          <w:b/>
          <w:bCs/>
          <w:color w:val="auto"/>
          <w:szCs w:val="21"/>
          <w:highlight w:val="none"/>
        </w:rPr>
        <w:t xml:space="preserve">修改建议</w:t>
      </w:r>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（4）质疑</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名称、地址、联系方式</w:t>
      </w:r>
      <w:r>
        <w:rPr>
          <w:rFonts w:hint="eastAsia" w:ascii="宋体" w:hAnsi="宋体" w:cs="宋体"/>
          <w:color w:val="auto"/>
          <w:szCs w:val="21"/>
          <w:highlight w:val="none"/>
        </w:rPr>
        <w:t xml:space="preserve">（包括手机、传真号码）</w:t>
      </w:r>
      <w:r>
        <w:rPr>
          <w:rFonts w:hint="eastAsia" w:ascii="宋体" w:hAnsi="宋体" w:cs="宋体"/>
          <w:color w:val="auto"/>
          <w:szCs w:val="21"/>
          <w:highlight w:val="none"/>
          <w:lang w:val="zh-CN"/>
        </w:rPr>
        <w:t xml:space="preserve">；</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（5）法定代表人</w:t>
      </w:r>
      <w:r>
        <w:rPr>
          <w:rFonts w:hint="eastAsia" w:ascii="宋体" w:hAnsi="宋体" w:cs="宋体"/>
          <w:color w:val="auto"/>
          <w:szCs w:val="21"/>
          <w:highlight w:val="none"/>
        </w:rPr>
        <w:t xml:space="preserve">签署本人姓名或印盖本人姓名章并加盖单位公章，</w:t>
      </w:r>
      <w:r>
        <w:rPr>
          <w:rFonts w:hint="eastAsia" w:ascii="宋体" w:hAnsi="宋体" w:cs="宋体"/>
          <w:color w:val="auto"/>
          <w:szCs w:val="21"/>
          <w:highlight w:val="none"/>
          <w:lang w:val="zh-CN"/>
        </w:rPr>
        <w:t xml:space="preserve">或</w:t>
      </w:r>
      <w:r>
        <w:rPr>
          <w:rFonts w:hint="eastAsia" w:ascii="宋体" w:hAnsi="宋体" w:cs="Trebuchet MS"/>
          <w:bCs/>
          <w:color w:val="auto"/>
          <w:szCs w:val="21"/>
          <w:highlight w:val="none"/>
          <w:shd w:val="clear" w:color="auto" w:fill="ffffff"/>
        </w:rPr>
        <w:t xml:space="preserve">法定代表人授权委托代理人加盖单位公章，并</w:t>
      </w:r>
      <w:r>
        <w:rPr>
          <w:rFonts w:hint="eastAsia" w:ascii="宋体" w:hAnsi="宋体" w:cs="宋体"/>
          <w:color w:val="auto"/>
          <w:szCs w:val="21"/>
          <w:highlight w:val="none"/>
        </w:rPr>
        <w:t xml:space="preserve">由参加采购项目的</w:t>
      </w:r>
      <w:r>
        <w:rPr>
          <w:rFonts w:hint="eastAsia" w:ascii="宋体" w:hAnsi="宋体" w:cs="宋体"/>
          <w:color w:val="auto"/>
          <w:szCs w:val="21"/>
          <w:highlight w:val="none"/>
          <w:lang w:val="zh-CN"/>
        </w:rPr>
        <w:t xml:space="preserve">授权委托代理人</w:t>
      </w:r>
      <w:r>
        <w:rPr>
          <w:rFonts w:hint="eastAsia" w:ascii="宋体" w:hAnsi="宋体" w:cs="宋体"/>
          <w:color w:val="auto"/>
          <w:szCs w:val="21"/>
          <w:highlight w:val="none"/>
        </w:rPr>
        <w:t xml:space="preserve">签署本人姓名或印盖本人姓名章</w:t>
      </w:r>
      <w:r>
        <w:rPr>
          <w:rFonts w:hint="eastAsia" w:ascii="宋体" w:hAnsi="宋体" w:cs="宋体"/>
          <w:color w:val="auto"/>
          <w:szCs w:val="21"/>
          <w:highlight w:val="none"/>
          <w:lang w:val="zh-CN"/>
        </w:rPr>
        <w:t xml:space="preserve">等。</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.4 </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不得虚假质疑和恶意质疑，并对质疑内容的真实性承担责任。</w:t>
      </w:r>
      <w:r>
        <w:rPr>
          <w:rFonts w:hint="eastAsia" w:ascii="宋体" w:hAnsi="宋体" w:cs="宋体"/>
          <w:color w:val="auto"/>
          <w:szCs w:val="21"/>
          <w:highlight w:val="none"/>
        </w:rPr>
        <w:t xml:space="preserve">投标人或者其他利害关系人通过捏造事实、伪造证明材料等方式提出异议或投诉，阻碍政府采购活动正常进行的，属于严重不良行为，招标代理机构机构将提请财政部门将其列入不良行为记录名单，并依法予以处罚。</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27.5</w:t>
      </w:r>
      <w:r>
        <w:rPr>
          <w:rFonts w:ascii="宋体" w:hAnsi="宋体" w:cs="宋体"/>
          <w:color w:val="auto"/>
          <w:szCs w:val="21"/>
          <w:highlight w:val="none"/>
        </w:rPr>
        <w:t xml:space="preserve"> </w:t>
      </w:r>
      <w:r>
        <w:rPr>
          <w:rFonts w:hint="eastAsia" w:ascii="宋体" w:hAnsi="宋体" w:cs="宋体"/>
          <w:color w:val="auto"/>
          <w:szCs w:val="21"/>
          <w:highlight w:val="none"/>
        </w:rPr>
        <w:t xml:space="preserve">招标代理机构机构在收到投标人的书面质疑后将及时组织调查核实，在</w:t>
      </w:r>
      <w:r>
        <w:rPr>
          <w:rFonts w:hint="eastAsia" w:ascii="宋体" w:hAnsi="宋体" w:cs="宋体"/>
          <w:b/>
          <w:bCs/>
          <w:color w:val="auto"/>
          <w:szCs w:val="21"/>
          <w:highlight w:val="none"/>
          <w:lang w:val="zh-CN"/>
        </w:rPr>
        <w:t xml:space="preserve">七个工作日内</w:t>
      </w:r>
      <w:r>
        <w:rPr>
          <w:rFonts w:hint="eastAsia" w:ascii="宋体" w:hAnsi="宋体" w:cs="宋体"/>
          <w:color w:val="auto"/>
          <w:szCs w:val="21"/>
          <w:highlight w:val="none"/>
          <w:lang w:val="zh-CN"/>
        </w:rPr>
        <w:t xml:space="preserve">作出答复，并以书面或在网站公告形式通知质疑</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和其他有关</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，答复的内容不涉及商业秘密。招标代理机构</w:t>
      </w:r>
      <w:r>
        <w:rPr>
          <w:rFonts w:hint="eastAsia" w:ascii="宋体" w:hAnsi="宋体" w:cs="宋体"/>
          <w:color w:val="auto"/>
          <w:szCs w:val="21"/>
          <w:highlight w:val="none"/>
        </w:rPr>
        <w:t xml:space="preserve">机构遵循“谁过错谁负担”的原则，有过错的一方承担调查论证费用。</w:t>
      </w:r>
      <w:r/>
    </w:p>
    <w:p>
      <w:pPr>
        <w:ind w:firstLine="420"/>
        <w:spacing w:line="360" w:lineRule="auto"/>
        <w:rPr>
          <w:rFonts w:hint="eastAsia" w:ascii="宋体" w:hAnsi="宋体" w:cs="宋体"/>
          <w:color w:val="auto"/>
          <w:szCs w:val="21"/>
          <w:highlight w:val="none"/>
          <w:lang w:val="zh-CN"/>
        </w:rPr>
      </w:pPr>
      <w:r>
        <w:rPr>
          <w:rFonts w:hint="eastAsia" w:ascii="宋体" w:hAnsi="宋体" w:cs="宋体"/>
          <w:b/>
          <w:bCs/>
          <w:color w:val="auto"/>
          <w:szCs w:val="21"/>
          <w:highlight w:val="none"/>
          <w:lang w:val="zh-CN"/>
        </w:rPr>
        <w:t xml:space="preserve">28、投诉</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28.1 质疑</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对招标人</w:t>
      </w:r>
      <w:r>
        <w:rPr>
          <w:rFonts w:hint="eastAsia" w:ascii="宋体" w:hAnsi="宋体" w:cs="Trebuchet MS"/>
          <w:bCs/>
          <w:color w:val="auto"/>
          <w:szCs w:val="21"/>
          <w:highlight w:val="none"/>
          <w:shd w:val="clear" w:color="auto" w:fill="ffffff"/>
        </w:rPr>
        <w:t xml:space="preserve">或招标代理机构机构</w:t>
      </w:r>
      <w:r>
        <w:rPr>
          <w:rFonts w:hint="eastAsia" w:ascii="宋体" w:hAnsi="宋体" w:cs="宋体"/>
          <w:color w:val="auto"/>
          <w:szCs w:val="21"/>
          <w:highlight w:val="none"/>
          <w:lang w:val="zh-CN"/>
        </w:rPr>
        <w:t xml:space="preserve">的答复不满意，或招标人</w:t>
      </w:r>
      <w:r>
        <w:rPr>
          <w:rFonts w:hint="eastAsia" w:ascii="宋体" w:hAnsi="宋体" w:cs="Trebuchet MS"/>
          <w:bCs/>
          <w:color w:val="auto"/>
          <w:szCs w:val="21"/>
          <w:highlight w:val="none"/>
          <w:shd w:val="clear" w:color="auto" w:fill="ffffff"/>
        </w:rPr>
        <w:t xml:space="preserve">或招标代理机构机构</w:t>
      </w:r>
      <w:r>
        <w:rPr>
          <w:rFonts w:hint="eastAsia" w:ascii="宋体" w:hAnsi="宋体" w:cs="宋体"/>
          <w:color w:val="auto"/>
          <w:szCs w:val="21"/>
          <w:highlight w:val="none"/>
          <w:lang w:val="zh-CN"/>
        </w:rPr>
        <w:t xml:space="preserve">未在规定的时间内作出答复的，可以在答复期满后</w:t>
      </w:r>
      <w:r>
        <w:rPr>
          <w:rFonts w:hint="eastAsia" w:ascii="宋体" w:hAnsi="宋体" w:cs="宋体"/>
          <w:b/>
          <w:bCs/>
          <w:color w:val="auto"/>
          <w:szCs w:val="21"/>
          <w:highlight w:val="none"/>
          <w:lang w:val="zh-CN"/>
        </w:rPr>
        <w:t xml:space="preserve">十五个工作日内</w:t>
      </w:r>
      <w:r>
        <w:rPr>
          <w:rFonts w:hint="eastAsia" w:ascii="宋体" w:hAnsi="宋体" w:cs="宋体"/>
          <w:color w:val="auto"/>
          <w:szCs w:val="21"/>
          <w:highlight w:val="none"/>
          <w:lang w:val="zh-CN"/>
        </w:rPr>
        <w:t xml:space="preserve">向采购项目同级政府采购监督管理部门投诉。</w:t>
      </w:r>
      <w:r/>
    </w:p>
    <w:p>
      <w:pPr>
        <w:ind w:firstLine="42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29、诚实信用</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29.1 </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之间不得相互串通投标报价，不得妨碍其他</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的公平竞争，不得损害招标人和其他</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的合法权益。</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29.2 </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不得以向招标代理机构工作人员、评标委员会成员行贿或者采取其他不正当手段谋取中标。经查实</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有此行为的，</w:t>
      </w:r>
      <w:r>
        <w:rPr>
          <w:rFonts w:hint="eastAsia" w:ascii="宋体" w:hAnsi="宋体" w:cs="宋体"/>
          <w:color w:val="auto"/>
          <w:highlight w:val="none"/>
        </w:rPr>
        <w:t xml:space="preserve">政府采购管理部门将投标人列入不良行为记录名单，按照《政府采购法》有关规定处理。</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29.3 </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提出书面质疑必须有理、有据，不得捏造事实、提供虚假材料进行恶意质疑。否则,一经查实，交易中心或招标人有权依据政府采购的有关规定，报请政府采购监管部门对该</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进行相应的行政处罚和记录该</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的失信信息。</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29.4 </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不得虚假承诺，否则，按照提供虚假材料谋取中标成交处理。</w:t>
      </w:r>
      <w:r/>
    </w:p>
    <w:p>
      <w:pPr>
        <w:ind w:firstLine="420"/>
        <w:spacing w:line="360" w:lineRule="auto"/>
        <w:rPr>
          <w:rFonts w:hint="eastAsia" w:ascii="宋体" w:hAnsi="宋体" w:cs="宋体"/>
          <w:b/>
          <w:bCs/>
          <w:color w:val="auto"/>
          <w:sz w:val="36"/>
          <w:szCs w:val="36"/>
          <w:highlight w:val="none"/>
          <w:lang w:val="zh-CN"/>
        </w:rPr>
      </w:pPr>
      <w:r>
        <w:rPr>
          <w:rFonts w:ascii="宋体" w:hAnsi="宋体" w:cs="宋体"/>
          <w:color w:val="auto"/>
          <w:sz w:val="36"/>
          <w:szCs w:val="36"/>
          <w:highlight w:val="none"/>
          <w:lang w:val="zh-CN"/>
        </w:rPr>
        <w:br w:type="page" w:clear="all"/>
      </w:r>
      <w:bookmarkStart w:id="25" w:name="_Toc6717"/>
      <w:r/>
      <w:bookmarkStart w:id="26" w:name="_Toc16769"/>
      <w:r/>
      <w:bookmarkStart w:id="27" w:name="_Toc16325"/>
      <w:r/>
      <w:r/>
    </w:p>
    <w:p>
      <w:pPr>
        <w:pStyle w:val="855"/>
        <w:rPr>
          <w:color w:val="auto"/>
          <w:highlight w:val="none"/>
          <w:lang w:val="zh-CN"/>
        </w:rPr>
      </w:pPr>
      <w:r>
        <w:rPr>
          <w:rFonts w:hint="eastAsia"/>
          <w:color w:val="auto"/>
          <w:highlight w:val="none"/>
          <w:lang w:val="zh-CN"/>
        </w:rPr>
        <w:t xml:space="preserve">第三章 评标标准</w:t>
      </w:r>
      <w:bookmarkEnd w:id="25"/>
      <w:r/>
      <w:bookmarkEnd w:id="26"/>
      <w:r/>
      <w:bookmarkEnd w:id="27"/>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一、采用综合评分法</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采用综合评分法。综合评分法是指电子投标文件满足采购文件全部实质性要求，且按照采购文件中规定评审因素量化指标评审得分最高的</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为中标候选人的评标方法。</w:t>
      </w:r>
      <w:bookmarkStart w:id="28" w:name="_Toc479586164"/>
      <w:r/>
      <w:bookmarkEnd w:id="28"/>
      <w:r/>
      <w:bookmarkStart w:id="29" w:name="_Toc25530"/>
      <w:r/>
      <w:bookmarkStart w:id="30" w:name="_Toc8691"/>
      <w:r/>
      <w:bookmarkStart w:id="31" w:name="_Toc8160"/>
      <w:r/>
      <w:r/>
    </w:p>
    <w:p>
      <w:p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二、</w:t>
      </w:r>
      <w:r>
        <w:rPr>
          <w:rFonts w:ascii="宋体" w:hAnsi="宋体" w:cs="宋体"/>
          <w:b/>
          <w:bCs/>
          <w:color w:val="auto"/>
          <w:szCs w:val="21"/>
          <w:highlight w:val="none"/>
        </w:rPr>
        <w:t xml:space="preserve">综合评分法评审细则</w:t>
      </w:r>
      <w:r/>
    </w:p>
    <w:p>
      <w:pPr>
        <w:pStyle w:val="860"/>
        <w:rPr>
          <w:rFonts w:hint="default"/>
          <w:color w:val="auto"/>
          <w:highlight w:val="none"/>
          <w:lang w:val="en-US" w:eastAsia="zh-CN"/>
        </w:rPr>
      </w:pPr>
      <w:r>
        <w:rPr>
          <w:rFonts w:hint="eastAsia"/>
          <w:color w:val="auto"/>
          <w:highlight w:val="none"/>
          <w:lang w:val="en-US" w:eastAsia="zh-CN"/>
        </w:rPr>
        <w:t xml:space="preserve">分包1、分包2、分包3、分包5、分包6</w:t>
      </w:r>
      <w:r/>
    </w:p>
    <w:tbl>
      <w:tblPr>
        <w:tblStyle w:val="865"/>
        <w:tblpPr w:horzAnchor="text" w:tblpXSpec="center" w:vertAnchor="text" w:tblpY="1" w:leftFromText="180" w:topFromText="0" w:rightFromText="180" w:bottomFromText="0"/>
        <w:tblW w:w="979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5"/>
        <w:gridCol w:w="1074"/>
        <w:gridCol w:w="7437"/>
        <w:gridCol w:w="766"/>
      </w:tblGrid>
      <w:tr>
        <w:trPr>
          <w:trHeight w:val="597"/>
        </w:trPr>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spacing w:line="360" w:lineRule="auto"/>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spacing w:line="360" w:lineRule="auto"/>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评分</w:t>
            </w:r>
            <w:r/>
          </w:p>
          <w:p>
            <w:pPr>
              <w:jc w:val="center"/>
              <w:spacing w:line="360" w:lineRule="auto"/>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因素</w:t>
            </w:r>
            <w:r/>
          </w:p>
        </w:tc>
        <w:tc>
          <w:tcPr>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jc w:val="center"/>
              <w:spacing w:line="360" w:lineRule="auto"/>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评分标准</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pacing w:line="360" w:lineRule="auto"/>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分值</w:t>
            </w:r>
            <w:r/>
          </w:p>
        </w:tc>
      </w:tr>
      <w:tr>
        <w:trPr>
          <w:trHeight w:val="90"/>
        </w:trPr>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价格</w:t>
            </w:r>
            <w:r/>
          </w:p>
        </w:tc>
        <w:tc>
          <w:tcPr>
            <w:tcBorders>
              <w:top w:val="single" w:color="000000" w:sz="4" w:space="0"/>
              <w:left w:val="single" w:color="000000" w:sz="4" w:space="0"/>
              <w:bottom w:val="single" w:color="000000" w:sz="4" w:space="0"/>
              <w:right w:val="single" w:color="000000" w:sz="4" w:space="0"/>
            </w:tcBorders>
            <w:tcW w:w="7437" w:type="dxa"/>
            <w:vAlign w:val="top"/>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采用低价优先法计算，即满足招标文件要求且投标价格最低的投标报价为评标基准价，其价格分为满分。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其他供应商的价格分统一按照下列公式计算（小数点保留两位）：</w:t>
            </w:r>
            <w:r/>
          </w:p>
          <w:p>
            <w:pP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投标报价得分=(评标基准价／投标报价)×30。</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rPr>
              <w:t xml:space="preserve">30</w:t>
            </w:r>
            <w:r>
              <w:rPr>
                <w:rFonts w:hint="eastAsia" w:ascii="宋体" w:hAnsi="宋体" w:cs="宋体"/>
                <w:color w:val="auto"/>
                <w:szCs w:val="21"/>
                <w:highlight w:val="none"/>
                <w:lang w:val="zh-CN"/>
              </w:rPr>
              <w:t xml:space="preserve">分</w:t>
            </w:r>
            <w:r/>
          </w:p>
        </w:tc>
      </w:tr>
      <w:tr>
        <w:trPr>
          <w:cantSplit/>
          <w:trHeight w:val="90"/>
        </w:trPr>
        <w:tc>
          <w:tcPr>
            <w:tcBorders>
              <w:top w:val="single" w:color="000000" w:sz="4" w:space="0"/>
              <w:left w:val="single" w:color="000000" w:sz="4" w:space="0"/>
              <w:right w:val="single" w:color="000000" w:sz="4" w:space="0"/>
            </w:tcBorders>
            <w:tcW w:w="515" w:type="dxa"/>
            <w:vAlign w:val="center"/>
            <w:vMerge w:val="restart"/>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t xml:space="preserve">2</w:t>
            </w:r>
            <w:r/>
          </w:p>
        </w:tc>
        <w:tc>
          <w:tcPr>
            <w:tcBorders>
              <w:top w:val="single" w:color="000000" w:sz="4" w:space="0"/>
              <w:left w:val="single" w:color="000000" w:sz="4" w:space="0"/>
              <w:right w:val="single" w:color="000000" w:sz="4" w:space="0"/>
            </w:tcBorders>
            <w:tcW w:w="1074" w:type="dxa"/>
            <w:vAlign w:val="center"/>
            <w:vMerge w:val="restart"/>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方案</w:t>
            </w:r>
            <w:r/>
          </w:p>
        </w:tc>
        <w:tc>
          <w:tcPr>
            <w:tcBorders>
              <w:top w:val="single" w:color="000000" w:sz="4" w:space="0"/>
              <w:left w:val="single" w:color="000000" w:sz="4" w:space="0"/>
              <w:bottom w:val="single" w:color="000000" w:sz="4" w:space="0"/>
              <w:right w:val="single" w:color="000000" w:sz="4" w:space="0"/>
            </w:tcBorders>
            <w:tcW w:w="7437" w:type="dxa"/>
            <w:vAlign w:val="top"/>
            <w:textDirection w:val="lrTb"/>
            <w:noWrap w:val="false"/>
          </w:tcPr>
          <w:p>
            <w:pPr>
              <w:jc w:val="left"/>
              <w:spacing w:line="360" w:lineRule="auto"/>
              <w:widowControl/>
              <w:rPr>
                <w:rFonts w:ascii="宋体" w:hAnsi="宋体" w:cs="宋体"/>
                <w:color w:val="auto"/>
                <w:szCs w:val="21"/>
                <w:highlight w:val="none"/>
              </w:rPr>
            </w:pPr>
            <w:r>
              <w:rPr>
                <w:color w:val="auto"/>
                <w:spacing w:val="6"/>
                <w:highlight w:val="none"/>
              </w:rPr>
              <w:t xml:space="preserve">投标人应根据</w:t>
            </w:r>
            <w:r>
              <w:rPr>
                <w:rFonts w:hint="eastAsia"/>
                <w:color w:val="auto"/>
                <w:spacing w:val="6"/>
                <w:highlight w:val="none"/>
              </w:rPr>
              <w:t xml:space="preserve">招标</w:t>
            </w:r>
            <w:r>
              <w:rPr>
                <w:color w:val="auto"/>
                <w:spacing w:val="6"/>
                <w:highlight w:val="none"/>
              </w:rPr>
              <w:t xml:space="preserve">文件要求及本项目特点，</w:t>
            </w:r>
            <w:r>
              <w:rPr>
                <w:color w:val="auto"/>
                <w:spacing w:val="-58"/>
                <w:highlight w:val="none"/>
              </w:rPr>
              <w:t xml:space="preserve"> </w:t>
            </w:r>
            <w:r>
              <w:rPr>
                <w:color w:val="auto"/>
                <w:spacing w:val="5"/>
                <w:highlight w:val="none"/>
              </w:rPr>
              <w:t xml:space="preserve">提供项目</w:t>
            </w:r>
            <w:r>
              <w:rPr>
                <w:rFonts w:hint="eastAsia"/>
                <w:color w:val="auto"/>
                <w:spacing w:val="5"/>
                <w:highlight w:val="none"/>
              </w:rPr>
              <w:t xml:space="preserve">总体实施方案</w:t>
            </w:r>
            <w:r>
              <w:rPr>
                <w:color w:val="auto"/>
                <w:spacing w:val="5"/>
                <w:highlight w:val="none"/>
              </w:rPr>
              <w:t xml:space="preserve">（包括</w:t>
            </w:r>
            <w:r>
              <w:rPr>
                <w:rFonts w:hint="eastAsia"/>
                <w:color w:val="auto"/>
                <w:spacing w:val="5"/>
                <w:highlight w:val="none"/>
              </w:rPr>
              <w:t xml:space="preserve">但不限于</w:t>
            </w:r>
            <w:r>
              <w:rPr>
                <w:color w:val="auto"/>
                <w:spacing w:val="5"/>
                <w:highlight w:val="none"/>
              </w:rPr>
              <w:t xml:space="preserve">组织机</w:t>
            </w:r>
            <w:r>
              <w:rPr>
                <w:color w:val="auto"/>
                <w:spacing w:val="1"/>
                <w:highlight w:val="none"/>
              </w:rPr>
              <w:t xml:space="preserve">构、产品运输、产</w:t>
            </w:r>
            <w:r>
              <w:rPr>
                <w:color w:val="auto"/>
                <w:highlight w:val="none"/>
              </w:rPr>
              <w:t xml:space="preserve">品质量控制、人员配置、时</w:t>
            </w:r>
            <w:r>
              <w:rPr>
                <w:color w:val="auto"/>
                <w:spacing w:val="1"/>
                <w:highlight w:val="none"/>
              </w:rPr>
              <w:t xml:space="preserve">间</w:t>
            </w:r>
            <w:r>
              <w:rPr>
                <w:rFonts w:hint="eastAsia"/>
                <w:color w:val="auto"/>
                <w:spacing w:val="1"/>
                <w:highlight w:val="none"/>
              </w:rPr>
              <w:t xml:space="preserve">。</w:t>
            </w:r>
            <w:r>
              <w:rPr>
                <w:color w:val="auto"/>
                <w:spacing w:val="1"/>
                <w:highlight w:val="none"/>
              </w:rPr>
              <w:t xml:space="preserve">进度安排、工作程序和步骤、关键步骤的思路和要</w:t>
            </w:r>
            <w:r>
              <w:rPr>
                <w:color w:val="auto"/>
                <w:highlight w:val="none"/>
              </w:rPr>
              <w:t xml:space="preserve">点等</w:t>
            </w:r>
            <w:r>
              <w:rPr>
                <w:color w:val="auto"/>
                <w:spacing w:val="-1"/>
                <w:highlight w:val="none"/>
              </w:rPr>
              <w:t xml:space="preserve">）</w:t>
            </w:r>
            <w:r>
              <w:rPr>
                <w:rFonts w:hint="eastAsia" w:ascii="宋体" w:hAnsi="宋体" w:cs="宋体"/>
                <w:color w:val="auto"/>
                <w:szCs w:val="21"/>
                <w:highlight w:val="none"/>
              </w:rPr>
              <w:t xml:space="preserve">进行综合评分：</w:t>
            </w:r>
            <w:r/>
          </w:p>
          <w:p>
            <w:pPr>
              <w:spacing w:line="360" w:lineRule="auto"/>
              <w:tabs>
                <w:tab w:val="left" w:pos="840" w:leader="none"/>
                <w:tab w:val="left" w:pos="1261" w:leader="none"/>
              </w:tabs>
              <w:rPr>
                <w:color w:val="auto"/>
                <w:highlight w:val="none"/>
              </w:rPr>
            </w:pPr>
            <w:r>
              <w:rPr>
                <w:color w:val="auto"/>
                <w:highlight w:val="none"/>
              </w:rPr>
              <w:t xml:space="preserve">方案科学合理全面、重点突出、针对性强、可操作性强，得</w:t>
            </w:r>
            <w:r>
              <w:rPr>
                <w:rFonts w:hint="eastAsia"/>
                <w:color w:val="auto"/>
                <w:highlight w:val="none"/>
              </w:rPr>
              <w:t xml:space="preserve">8</w:t>
            </w:r>
            <w:r>
              <w:rPr>
                <w:color w:val="auto"/>
                <w:highlight w:val="none"/>
              </w:rPr>
              <w:t xml:space="preserve">分</w:t>
            </w:r>
            <w:r>
              <w:rPr>
                <w:rFonts w:hint="eastAsia"/>
                <w:color w:val="auto"/>
                <w:highlight w:val="none"/>
              </w:rPr>
              <w:t xml:space="preserve">；</w:t>
            </w:r>
            <w:r/>
          </w:p>
          <w:p>
            <w:pPr>
              <w:spacing w:line="360" w:lineRule="auto"/>
              <w:tabs>
                <w:tab w:val="left" w:pos="840" w:leader="none"/>
                <w:tab w:val="left" w:pos="1261" w:leader="none"/>
              </w:tabs>
              <w:rPr>
                <w:color w:val="auto"/>
                <w:spacing w:val="-1"/>
                <w:highlight w:val="none"/>
              </w:rPr>
            </w:pPr>
            <w:r>
              <w:rPr>
                <w:color w:val="auto"/>
                <w:highlight w:val="none"/>
              </w:rPr>
              <w:t xml:space="preserve">方案</w:t>
            </w:r>
            <w:r>
              <w:rPr>
                <w:color w:val="auto"/>
                <w:spacing w:val="-1"/>
                <w:highlight w:val="none"/>
              </w:rPr>
              <w:t xml:space="preserve">较科学较合理全面、重点突出、可操作性强，得</w:t>
            </w:r>
            <w:r>
              <w:rPr>
                <w:rFonts w:hint="eastAsia"/>
                <w:color w:val="auto"/>
                <w:spacing w:val="-22"/>
                <w:highlight w:val="none"/>
                <w:lang w:val="en-US" w:eastAsia="zh-CN"/>
              </w:rPr>
              <w:t xml:space="preserve">6</w:t>
            </w:r>
            <w:r>
              <w:rPr>
                <w:color w:val="auto"/>
                <w:spacing w:val="-1"/>
                <w:highlight w:val="none"/>
              </w:rPr>
              <w:t xml:space="preserve">分；</w:t>
            </w:r>
            <w:r/>
          </w:p>
          <w:p>
            <w:pPr>
              <w:spacing w:line="360" w:lineRule="auto"/>
              <w:tabs>
                <w:tab w:val="left" w:pos="840" w:leader="none"/>
                <w:tab w:val="left" w:pos="1261" w:leader="none"/>
              </w:tabs>
              <w:rPr>
                <w:color w:val="auto"/>
                <w:spacing w:val="-2"/>
                <w:highlight w:val="none"/>
              </w:rPr>
            </w:pPr>
            <w:r>
              <w:rPr>
                <w:color w:val="auto"/>
                <w:spacing w:val="-1"/>
                <w:highlight w:val="none"/>
              </w:rPr>
              <w:t xml:space="preserve">方案一般、能重点突出、针对性一般，</w:t>
            </w:r>
            <w:r>
              <w:rPr>
                <w:rFonts w:hint="eastAsia"/>
                <w:color w:val="auto"/>
                <w:spacing w:val="-1"/>
                <w:highlight w:val="none"/>
                <w:lang w:val="en-US" w:eastAsia="zh-CN"/>
              </w:rPr>
              <w:t xml:space="preserve">具有一定</w:t>
            </w:r>
            <w:r>
              <w:rPr>
                <w:color w:val="auto"/>
                <w:spacing w:val="-2"/>
                <w:highlight w:val="none"/>
              </w:rPr>
              <w:t xml:space="preserve">可操作性的得</w:t>
            </w:r>
            <w:r>
              <w:rPr>
                <w:rFonts w:hint="eastAsia"/>
                <w:color w:val="auto"/>
                <w:spacing w:val="-34"/>
                <w:highlight w:val="none"/>
                <w:lang w:val="en-US" w:eastAsia="zh-CN"/>
              </w:rPr>
              <w:t xml:space="preserve">4</w:t>
            </w:r>
            <w:r>
              <w:rPr>
                <w:color w:val="auto"/>
                <w:spacing w:val="-2"/>
                <w:highlight w:val="none"/>
              </w:rPr>
              <w:t xml:space="preserve">分；</w:t>
            </w:r>
            <w:r/>
          </w:p>
          <w:p>
            <w:pPr>
              <w:pStyle w:val="898"/>
              <w:ind w:left="0" w:firstLine="0"/>
              <w:rPr>
                <w:rFonts w:hint="default" w:eastAsia="宋体"/>
                <w:color w:val="auto"/>
                <w:highlight w:val="none"/>
                <w:lang w:val="en-US" w:eastAsia="zh-CN"/>
              </w:rPr>
            </w:pPr>
            <w:r>
              <w:rPr>
                <w:color w:val="auto"/>
                <w:spacing w:val="-1"/>
                <w:highlight w:val="none"/>
              </w:rPr>
              <w:t xml:space="preserve">方案</w:t>
            </w:r>
            <w:r>
              <w:rPr>
                <w:rFonts w:hint="eastAsia"/>
                <w:color w:val="auto"/>
                <w:spacing w:val="-1"/>
                <w:highlight w:val="none"/>
                <w:lang w:val="en-US" w:eastAsia="zh-CN"/>
              </w:rPr>
              <w:t xml:space="preserve">基本满足项目需求的，得2分；</w:t>
            </w:r>
            <w:r/>
          </w:p>
          <w:p>
            <w:pPr>
              <w:widowControl/>
              <w:rPr>
                <w:rFonts w:ascii="宋体" w:hAnsi="宋体" w:cs="宋体"/>
                <w:color w:val="auto"/>
                <w:szCs w:val="21"/>
                <w:highlight w:val="none"/>
                <w:lang w:val="zh-CN"/>
              </w:rPr>
            </w:pPr>
            <w:r>
              <w:rPr>
                <w:color w:val="auto"/>
                <w:spacing w:val="-2"/>
                <w:highlight w:val="none"/>
              </w:rPr>
              <w:t xml:space="preserve">未提供相应方案的不</w:t>
            </w:r>
            <w:r>
              <w:rPr>
                <w:color w:val="auto"/>
                <w:spacing w:val="-9"/>
                <w:highlight w:val="none"/>
              </w:rPr>
              <w:t xml:space="preserve">得分。</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bCs/>
                <w:color w:val="auto"/>
                <w:szCs w:val="21"/>
                <w:highlight w:val="none"/>
              </w:rPr>
              <w:t xml:space="preserve">8分</w:t>
            </w:r>
            <w:r/>
          </w:p>
        </w:tc>
      </w:tr>
      <w:tr>
        <w:trPr>
          <w:cantSplit/>
          <w:trHeight w:val="769"/>
        </w:trPr>
        <w:tc>
          <w:tcPr>
            <w:tcBorders>
              <w:left w:val="single" w:color="000000" w:sz="4" w:space="0"/>
              <w:right w:val="single" w:color="000000" w:sz="4" w:space="0"/>
            </w:tcBorders>
            <w:tcW w:w="515" w:type="dxa"/>
            <w:vAlign w:val="center"/>
            <w:vMerge w:val="continue"/>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left w:val="single" w:color="000000" w:sz="4" w:space="0"/>
              <w:right w:val="single" w:color="000000" w:sz="4" w:space="0"/>
            </w:tcBorders>
            <w:tcW w:w="1074" w:type="dxa"/>
            <w:vAlign w:val="center"/>
            <w:vMerge w:val="continue"/>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7437" w:type="dxa"/>
            <w:vAlign w:val="top"/>
            <w:textDirection w:val="lrTb"/>
            <w:noWrap w:val="false"/>
          </w:tcPr>
          <w:p>
            <w:pPr>
              <w:spacing w:line="360" w:lineRule="auto"/>
              <w:tabs>
                <w:tab w:val="left" w:pos="840" w:leader="none"/>
                <w:tab w:val="left" w:pos="1261" w:leader="none"/>
              </w:tabs>
              <w:rPr>
                <w:color w:val="auto"/>
                <w:spacing w:val="6"/>
                <w:highlight w:val="none"/>
              </w:rPr>
            </w:pPr>
            <w:r>
              <w:rPr>
                <w:rFonts w:hint="eastAsia"/>
                <w:color w:val="auto"/>
                <w:spacing w:val="6"/>
                <w:highlight w:val="none"/>
              </w:rPr>
              <w:t xml:space="preserve">根据投标人提供的产品质量保障方案</w:t>
            </w:r>
            <w:r>
              <w:rPr>
                <w:rFonts w:hint="eastAsia" w:ascii="宋体" w:hAnsi="宋体" w:cs="宋体"/>
                <w:color w:val="auto"/>
                <w:szCs w:val="21"/>
                <w:highlight w:val="none"/>
              </w:rPr>
              <w:t xml:space="preserve">进行综合评分：</w:t>
            </w:r>
            <w:r/>
          </w:p>
          <w:p>
            <w:pPr>
              <w:spacing w:line="360" w:lineRule="auto"/>
              <w:tabs>
                <w:tab w:val="left" w:pos="840" w:leader="none"/>
                <w:tab w:val="left" w:pos="1261" w:leader="none"/>
              </w:tabs>
              <w:rPr>
                <w:color w:val="auto"/>
                <w:spacing w:val="6"/>
                <w:highlight w:val="none"/>
              </w:rPr>
            </w:pPr>
            <w:r>
              <w:rPr>
                <w:rFonts w:hint="eastAsia"/>
                <w:color w:val="auto"/>
                <w:spacing w:val="6"/>
                <w:highlight w:val="none"/>
              </w:rPr>
              <w:t xml:space="preserve">产品质量保障方案合理可行，针对性强的得8分；</w:t>
            </w:r>
            <w:r/>
          </w:p>
          <w:p>
            <w:pPr>
              <w:spacing w:line="360" w:lineRule="auto"/>
              <w:tabs>
                <w:tab w:val="left" w:pos="840" w:leader="none"/>
                <w:tab w:val="left" w:pos="1261" w:leader="none"/>
              </w:tabs>
              <w:rPr>
                <w:rFonts w:hint="eastAsia"/>
                <w:color w:val="auto"/>
                <w:spacing w:val="6"/>
                <w:highlight w:val="none"/>
              </w:rPr>
            </w:pPr>
            <w:r>
              <w:rPr>
                <w:rFonts w:hint="eastAsia"/>
                <w:color w:val="auto"/>
                <w:spacing w:val="6"/>
                <w:highlight w:val="none"/>
              </w:rPr>
              <w:t xml:space="preserve">产品质量保障方案较合理可行，针对性较强的得</w:t>
            </w:r>
            <w:r>
              <w:rPr>
                <w:rFonts w:hint="eastAsia"/>
                <w:color w:val="auto"/>
                <w:spacing w:val="6"/>
                <w:highlight w:val="none"/>
                <w:lang w:val="en-US" w:eastAsia="zh-CN"/>
              </w:rPr>
              <w:t xml:space="preserve">6</w:t>
            </w:r>
            <w:r>
              <w:rPr>
                <w:rFonts w:hint="eastAsia"/>
                <w:color w:val="auto"/>
                <w:spacing w:val="6"/>
                <w:highlight w:val="none"/>
              </w:rPr>
              <w:t xml:space="preserve">分；</w:t>
            </w:r>
            <w:r/>
          </w:p>
          <w:p>
            <w:pPr>
              <w:spacing w:line="360" w:lineRule="auto"/>
              <w:tabs>
                <w:tab w:val="left" w:pos="840" w:leader="none"/>
                <w:tab w:val="left" w:pos="1261" w:leader="none"/>
              </w:tabs>
              <w:rPr>
                <w:color w:val="auto"/>
                <w:highlight w:val="none"/>
              </w:rPr>
            </w:pPr>
            <w:r>
              <w:rPr>
                <w:rFonts w:hint="eastAsia"/>
                <w:color w:val="auto"/>
                <w:spacing w:val="6"/>
                <w:highlight w:val="none"/>
              </w:rPr>
              <w:t xml:space="preserve">产品质量保障方案</w:t>
            </w:r>
            <w:r>
              <w:rPr>
                <w:rFonts w:hint="eastAsia"/>
                <w:color w:val="auto"/>
                <w:spacing w:val="6"/>
                <w:highlight w:val="none"/>
                <w:lang w:val="en-US" w:eastAsia="zh-CN"/>
              </w:rPr>
              <w:t xml:space="preserve">基本</w:t>
            </w:r>
            <w:r>
              <w:rPr>
                <w:rFonts w:hint="eastAsia"/>
                <w:color w:val="auto"/>
                <w:spacing w:val="6"/>
                <w:highlight w:val="none"/>
              </w:rPr>
              <w:t xml:space="preserve">合理可行，</w:t>
            </w:r>
            <w:r>
              <w:rPr>
                <w:rFonts w:hint="eastAsia"/>
                <w:color w:val="auto"/>
                <w:spacing w:val="6"/>
                <w:highlight w:val="none"/>
                <w:lang w:val="en-US" w:eastAsia="zh-CN"/>
              </w:rPr>
              <w:t xml:space="preserve">具有一定</w:t>
            </w:r>
            <w:r>
              <w:rPr>
                <w:rFonts w:hint="eastAsia"/>
                <w:color w:val="auto"/>
                <w:spacing w:val="6"/>
                <w:highlight w:val="none"/>
              </w:rPr>
              <w:t xml:space="preserve">针对性的得</w:t>
            </w:r>
            <w:r>
              <w:rPr>
                <w:rFonts w:hint="eastAsia"/>
                <w:color w:val="auto"/>
                <w:spacing w:val="6"/>
                <w:highlight w:val="none"/>
                <w:lang w:val="en-US" w:eastAsia="zh-CN"/>
              </w:rPr>
              <w:t xml:space="preserve">4</w:t>
            </w:r>
            <w:r>
              <w:rPr>
                <w:rFonts w:hint="eastAsia"/>
                <w:color w:val="auto"/>
                <w:spacing w:val="6"/>
                <w:highlight w:val="none"/>
              </w:rPr>
              <w:t xml:space="preserve">分；</w:t>
            </w:r>
            <w:r/>
          </w:p>
          <w:p>
            <w:pPr>
              <w:spacing w:line="360" w:lineRule="auto"/>
              <w:tabs>
                <w:tab w:val="left" w:pos="840" w:leader="none"/>
                <w:tab w:val="left" w:pos="1261" w:leader="none"/>
              </w:tabs>
              <w:rPr>
                <w:color w:val="auto"/>
                <w:spacing w:val="6"/>
                <w:highlight w:val="none"/>
              </w:rPr>
            </w:pPr>
            <w:r>
              <w:rPr>
                <w:rFonts w:hint="eastAsia"/>
                <w:color w:val="auto"/>
                <w:spacing w:val="6"/>
                <w:highlight w:val="none"/>
              </w:rPr>
              <w:t xml:space="preserve">产品质量保障方案内容基本合理可行的得2分；</w:t>
            </w:r>
            <w:r/>
          </w:p>
          <w:p>
            <w:pPr>
              <w:spacing w:line="360" w:lineRule="auto"/>
              <w:tabs>
                <w:tab w:val="left" w:pos="840" w:leader="none"/>
                <w:tab w:val="left" w:pos="1261" w:leader="none"/>
              </w:tabs>
              <w:rPr>
                <w:rFonts w:ascii="宋体" w:hAnsi="宋体" w:cs="宋体"/>
                <w:color w:val="auto"/>
                <w:szCs w:val="21"/>
                <w:highlight w:val="none"/>
                <w:lang w:val="zh-CN"/>
              </w:rPr>
            </w:pPr>
            <w:r>
              <w:rPr>
                <w:color w:val="auto"/>
                <w:spacing w:val="-2"/>
                <w:highlight w:val="none"/>
              </w:rPr>
              <w:t xml:space="preserve">未提供相应方案的不</w:t>
            </w:r>
            <w:r>
              <w:rPr>
                <w:color w:val="auto"/>
                <w:spacing w:val="-9"/>
                <w:highlight w:val="none"/>
              </w:rPr>
              <w:t xml:space="preserve">得分。</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bCs/>
                <w:color w:val="auto"/>
                <w:szCs w:val="21"/>
                <w:highlight w:val="none"/>
              </w:rPr>
              <w:t xml:space="preserve">8分</w:t>
            </w:r>
            <w:r/>
          </w:p>
        </w:tc>
      </w:tr>
      <w:tr>
        <w:trPr>
          <w:cantSplit/>
          <w:trHeight w:val="1912"/>
        </w:trPr>
        <w:tc>
          <w:tcPr>
            <w:tcBorders>
              <w:left w:val="single" w:color="000000" w:sz="4" w:space="0"/>
              <w:right w:val="single" w:color="000000" w:sz="4" w:space="0"/>
            </w:tcBorders>
            <w:tcW w:w="515" w:type="dxa"/>
            <w:vAlign w:val="center"/>
            <w:vMerge w:val="continue"/>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left w:val="single" w:color="000000" w:sz="4" w:space="0"/>
              <w:right w:val="single" w:color="000000" w:sz="4" w:space="0"/>
            </w:tcBorders>
            <w:tcW w:w="1074" w:type="dxa"/>
            <w:vAlign w:val="center"/>
            <w:vMerge w:val="continue"/>
            <w:textDirection w:val="lrTb"/>
            <w:noWrap w:val="false"/>
          </w:tcPr>
          <w:p>
            <w:pPr>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7437" w:type="dxa"/>
            <w:vAlign w:val="top"/>
            <w:textDirection w:val="lrTb"/>
            <w:noWrap w:val="false"/>
          </w:tcPr>
          <w:p>
            <w:pPr>
              <w:spacing w:line="360" w:lineRule="auto"/>
              <w:tabs>
                <w:tab w:val="left" w:pos="840" w:leader="none"/>
                <w:tab w:val="left" w:pos="1261" w:leader="none"/>
              </w:tabs>
              <w:rPr>
                <w:color w:val="auto"/>
                <w:spacing w:val="6"/>
                <w:highlight w:val="none"/>
              </w:rPr>
            </w:pPr>
            <w:r>
              <w:rPr>
                <w:rFonts w:hint="eastAsia"/>
                <w:color w:val="auto"/>
                <w:spacing w:val="6"/>
                <w:highlight w:val="none"/>
              </w:rPr>
              <w:t xml:space="preserve"> 根据投标人提供的培训计划及方案，包括但不限于方案质量、培训方式、培训频次、培训时间、培训人员等进行综合评分：</w:t>
            </w:r>
            <w:r/>
          </w:p>
          <w:p>
            <w:pPr>
              <w:spacing w:line="360" w:lineRule="auto"/>
              <w:tabs>
                <w:tab w:val="left" w:pos="840" w:leader="none"/>
                <w:tab w:val="left" w:pos="1261" w:leader="none"/>
              </w:tabs>
              <w:rPr>
                <w:color w:val="auto"/>
                <w:spacing w:val="6"/>
                <w:highlight w:val="none"/>
              </w:rPr>
            </w:pPr>
            <w:r>
              <w:rPr>
                <w:rFonts w:hint="eastAsia"/>
                <w:color w:val="auto"/>
                <w:spacing w:val="6"/>
                <w:highlight w:val="none"/>
              </w:rPr>
              <w:t xml:space="preserve">方案针对性强，可行性强的得8分；</w:t>
            </w:r>
            <w:r/>
          </w:p>
          <w:p>
            <w:pPr>
              <w:spacing w:line="360" w:lineRule="auto"/>
              <w:tabs>
                <w:tab w:val="left" w:pos="840" w:leader="none"/>
                <w:tab w:val="left" w:pos="1261" w:leader="none"/>
              </w:tabs>
              <w:rPr>
                <w:color w:val="auto"/>
                <w:spacing w:val="6"/>
                <w:highlight w:val="none"/>
              </w:rPr>
            </w:pPr>
            <w:r>
              <w:rPr>
                <w:rFonts w:hint="eastAsia"/>
                <w:color w:val="auto"/>
                <w:spacing w:val="6"/>
                <w:highlight w:val="none"/>
              </w:rPr>
              <w:t xml:space="preserve">方案描述及可行性均较强的得</w:t>
            </w:r>
            <w:r>
              <w:rPr>
                <w:rFonts w:hint="eastAsia"/>
                <w:color w:val="auto"/>
                <w:spacing w:val="6"/>
                <w:highlight w:val="none"/>
                <w:lang w:val="en-US" w:eastAsia="zh-CN"/>
              </w:rPr>
              <w:t xml:space="preserve">6</w:t>
            </w:r>
            <w:r>
              <w:rPr>
                <w:rFonts w:hint="eastAsia"/>
                <w:color w:val="auto"/>
                <w:spacing w:val="6"/>
                <w:highlight w:val="none"/>
              </w:rPr>
              <w:t xml:space="preserve">分；</w:t>
            </w:r>
            <w:r/>
          </w:p>
          <w:p>
            <w:pPr>
              <w:spacing w:line="360" w:lineRule="auto"/>
              <w:tabs>
                <w:tab w:val="left" w:pos="840" w:leader="none"/>
                <w:tab w:val="left" w:pos="1261" w:leader="none"/>
              </w:tabs>
              <w:rPr>
                <w:rFonts w:hint="eastAsia"/>
                <w:color w:val="auto"/>
                <w:spacing w:val="6"/>
                <w:highlight w:val="none"/>
              </w:rPr>
            </w:pPr>
            <w:r>
              <w:rPr>
                <w:rFonts w:hint="eastAsia"/>
                <w:color w:val="auto"/>
                <w:spacing w:val="6"/>
                <w:highlight w:val="none"/>
              </w:rPr>
              <w:t xml:space="preserve">方案描述简单，</w:t>
            </w:r>
            <w:r>
              <w:rPr>
                <w:rFonts w:hint="eastAsia"/>
                <w:color w:val="auto"/>
                <w:spacing w:val="6"/>
                <w:highlight w:val="none"/>
                <w:lang w:val="en-US" w:eastAsia="zh-CN"/>
              </w:rPr>
              <w:t xml:space="preserve">具有一定</w:t>
            </w:r>
            <w:r>
              <w:rPr>
                <w:rFonts w:hint="eastAsia"/>
                <w:color w:val="auto"/>
                <w:spacing w:val="6"/>
                <w:highlight w:val="none"/>
              </w:rPr>
              <w:t xml:space="preserve">可行性的得</w:t>
            </w:r>
            <w:r>
              <w:rPr>
                <w:rFonts w:hint="eastAsia"/>
                <w:color w:val="auto"/>
                <w:spacing w:val="6"/>
                <w:highlight w:val="none"/>
                <w:lang w:val="en-US" w:eastAsia="zh-CN"/>
              </w:rPr>
              <w:t xml:space="preserve">4</w:t>
            </w:r>
            <w:r>
              <w:rPr>
                <w:rFonts w:hint="eastAsia"/>
                <w:color w:val="auto"/>
                <w:spacing w:val="6"/>
                <w:highlight w:val="none"/>
              </w:rPr>
              <w:t xml:space="preserve">分；</w:t>
            </w:r>
            <w:r/>
          </w:p>
          <w:p>
            <w:pPr>
              <w:pStyle w:val="898"/>
              <w:ind w:left="0" w:firstLine="0"/>
              <w:rPr>
                <w:color w:val="auto"/>
                <w:highlight w:val="none"/>
              </w:rPr>
            </w:pPr>
            <w:r>
              <w:rPr>
                <w:color w:val="auto"/>
                <w:spacing w:val="-1"/>
                <w:highlight w:val="none"/>
              </w:rPr>
              <w:t xml:space="preserve">方案</w:t>
            </w:r>
            <w:r>
              <w:rPr>
                <w:rFonts w:hint="eastAsia"/>
                <w:color w:val="auto"/>
                <w:spacing w:val="-1"/>
                <w:highlight w:val="none"/>
                <w:lang w:val="en-US" w:eastAsia="zh-CN"/>
              </w:rPr>
              <w:t xml:space="preserve">基本满足项目需求的，得2分；</w:t>
            </w:r>
            <w:r/>
          </w:p>
          <w:p>
            <w:pPr>
              <w:spacing w:line="360" w:lineRule="auto"/>
              <w:tabs>
                <w:tab w:val="left" w:pos="840" w:leader="none"/>
                <w:tab w:val="left" w:pos="1261" w:leader="none"/>
              </w:tabs>
              <w:rPr>
                <w:rFonts w:ascii="宋体" w:hAnsi="宋体" w:cs="宋体"/>
                <w:color w:val="auto"/>
                <w:szCs w:val="21"/>
                <w:highlight w:val="none"/>
                <w:lang w:val="zh-CN"/>
              </w:rPr>
            </w:pPr>
            <w:r>
              <w:rPr>
                <w:rFonts w:hint="eastAsia"/>
                <w:color w:val="auto"/>
                <w:spacing w:val="6"/>
                <w:highlight w:val="none"/>
              </w:rPr>
              <w:t xml:space="preserve">未提供相应方案的不得分。</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bCs/>
                <w:color w:val="auto"/>
                <w:szCs w:val="21"/>
                <w:highlight w:val="none"/>
              </w:rPr>
              <w:t xml:space="preserve">8分</w:t>
            </w:r>
            <w:r/>
          </w:p>
        </w:tc>
      </w:tr>
      <w:tr>
        <w:trPr>
          <w:cantSplit/>
          <w:trHeight w:val="1912"/>
        </w:trPr>
        <w:tc>
          <w:tcPr>
            <w:tcBorders>
              <w:left w:val="single" w:color="000000" w:sz="4" w:space="0"/>
              <w:right w:val="single" w:color="000000" w:sz="4" w:space="0"/>
            </w:tcBorders>
            <w:tcW w:w="515" w:type="dxa"/>
            <w:vAlign w:val="center"/>
            <w:vMerge w:val="continue"/>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left w:val="single" w:color="000000" w:sz="4" w:space="0"/>
              <w:right w:val="single" w:color="000000" w:sz="4" w:space="0"/>
            </w:tcBorders>
            <w:tcW w:w="1074" w:type="dxa"/>
            <w:vAlign w:val="center"/>
            <w:vMerge w:val="continue"/>
            <w:textDirection w:val="lrTb"/>
            <w:noWrap w:val="false"/>
          </w:tcPr>
          <w:p>
            <w:pPr>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7437" w:type="dxa"/>
            <w:vAlign w:val="top"/>
            <w:textDirection w:val="lrTb"/>
            <w:noWrap w:val="false"/>
          </w:tcPr>
          <w:p>
            <w:pPr>
              <w:spacing w:line="360" w:lineRule="auto"/>
              <w:tabs>
                <w:tab w:val="left" w:pos="840" w:leader="none"/>
                <w:tab w:val="left" w:pos="1261" w:leader="none"/>
              </w:tabs>
              <w:rPr>
                <w:color w:val="auto"/>
                <w:spacing w:val="6"/>
                <w:highlight w:val="none"/>
              </w:rPr>
            </w:pPr>
            <w:r>
              <w:rPr>
                <w:rFonts w:hint="eastAsia"/>
                <w:color w:val="auto"/>
                <w:spacing w:val="6"/>
                <w:highlight w:val="none"/>
              </w:rPr>
              <w:t xml:space="preserve">根据投标人提供的售后服务方案，包括但不限于服务范围以及故障解决方案、响应时间、应急处理方案、售后服务电话等及服务响应时间进行综合评分：</w:t>
            </w:r>
            <w:r/>
          </w:p>
          <w:p>
            <w:pPr>
              <w:spacing w:line="360" w:lineRule="auto"/>
              <w:tabs>
                <w:tab w:val="left" w:pos="840" w:leader="none"/>
                <w:tab w:val="left" w:pos="1261" w:leader="none"/>
              </w:tabs>
              <w:rPr>
                <w:color w:val="auto"/>
                <w:spacing w:val="6"/>
                <w:highlight w:val="none"/>
              </w:rPr>
            </w:pPr>
            <w:r>
              <w:rPr>
                <w:rFonts w:hint="eastAsia"/>
                <w:color w:val="auto"/>
                <w:spacing w:val="6"/>
                <w:highlight w:val="none"/>
              </w:rPr>
              <w:t xml:space="preserve">方案详细，可操作性强得8分；</w:t>
            </w:r>
            <w:r/>
          </w:p>
          <w:p>
            <w:pPr>
              <w:spacing w:line="360" w:lineRule="auto"/>
              <w:tabs>
                <w:tab w:val="left" w:pos="840" w:leader="none"/>
                <w:tab w:val="left" w:pos="1261" w:leader="none"/>
              </w:tabs>
              <w:rPr>
                <w:color w:val="auto"/>
                <w:spacing w:val="6"/>
                <w:highlight w:val="none"/>
              </w:rPr>
            </w:pPr>
            <w:r>
              <w:rPr>
                <w:rFonts w:hint="eastAsia"/>
                <w:color w:val="auto"/>
                <w:spacing w:val="6"/>
                <w:highlight w:val="none"/>
              </w:rPr>
              <w:t xml:space="preserve">方案较详细，可操作性较强得</w:t>
            </w:r>
            <w:r>
              <w:rPr>
                <w:rFonts w:hint="eastAsia"/>
                <w:color w:val="auto"/>
                <w:spacing w:val="6"/>
                <w:highlight w:val="none"/>
                <w:lang w:val="en-US" w:eastAsia="zh-CN"/>
              </w:rPr>
              <w:t xml:space="preserve">6</w:t>
            </w:r>
            <w:r>
              <w:rPr>
                <w:rFonts w:hint="eastAsia"/>
                <w:color w:val="auto"/>
                <w:spacing w:val="6"/>
                <w:highlight w:val="none"/>
              </w:rPr>
              <w:t xml:space="preserve">分；</w:t>
            </w:r>
            <w:r/>
          </w:p>
          <w:p>
            <w:pPr>
              <w:spacing w:line="360" w:lineRule="auto"/>
              <w:tabs>
                <w:tab w:val="left" w:pos="840" w:leader="none"/>
                <w:tab w:val="left" w:pos="1261" w:leader="none"/>
              </w:tabs>
              <w:rPr>
                <w:rFonts w:hint="eastAsia"/>
                <w:color w:val="auto"/>
                <w:spacing w:val="6"/>
                <w:highlight w:val="none"/>
              </w:rPr>
            </w:pPr>
            <w:r>
              <w:rPr>
                <w:rFonts w:hint="eastAsia"/>
                <w:color w:val="auto"/>
                <w:spacing w:val="6"/>
                <w:highlight w:val="none"/>
              </w:rPr>
              <w:t xml:space="preserve">方案</w:t>
            </w:r>
            <w:r>
              <w:rPr>
                <w:rFonts w:hint="eastAsia"/>
                <w:color w:val="auto"/>
                <w:spacing w:val="6"/>
                <w:highlight w:val="none"/>
                <w:lang w:val="en-US" w:eastAsia="zh-CN"/>
              </w:rPr>
              <w:t xml:space="preserve">基本完善</w:t>
            </w:r>
            <w:r>
              <w:rPr>
                <w:rFonts w:hint="eastAsia"/>
                <w:color w:val="auto"/>
                <w:spacing w:val="6"/>
                <w:highlight w:val="none"/>
              </w:rPr>
              <w:t xml:space="preserve">，</w:t>
            </w:r>
            <w:r>
              <w:rPr>
                <w:rFonts w:hint="eastAsia"/>
                <w:color w:val="auto"/>
                <w:spacing w:val="6"/>
                <w:highlight w:val="none"/>
                <w:lang w:val="en-US" w:eastAsia="zh-CN"/>
              </w:rPr>
              <w:t xml:space="preserve">具有一定</w:t>
            </w:r>
            <w:r>
              <w:rPr>
                <w:rFonts w:hint="eastAsia"/>
                <w:color w:val="auto"/>
                <w:spacing w:val="6"/>
                <w:highlight w:val="none"/>
              </w:rPr>
              <w:t xml:space="preserve">可操作性得</w:t>
            </w:r>
            <w:r>
              <w:rPr>
                <w:rFonts w:hint="eastAsia"/>
                <w:color w:val="auto"/>
                <w:spacing w:val="6"/>
                <w:highlight w:val="none"/>
                <w:lang w:val="en-US" w:eastAsia="zh-CN"/>
              </w:rPr>
              <w:t xml:space="preserve">4</w:t>
            </w:r>
            <w:r>
              <w:rPr>
                <w:rFonts w:hint="eastAsia"/>
                <w:color w:val="auto"/>
                <w:spacing w:val="6"/>
                <w:highlight w:val="none"/>
              </w:rPr>
              <w:t xml:space="preserve">分；</w:t>
            </w:r>
            <w:r/>
          </w:p>
          <w:p>
            <w:pPr>
              <w:pStyle w:val="898"/>
              <w:ind w:left="0" w:firstLine="0"/>
              <w:rPr>
                <w:color w:val="auto"/>
                <w:highlight w:val="none"/>
              </w:rPr>
            </w:pPr>
            <w:r>
              <w:rPr>
                <w:color w:val="auto"/>
                <w:spacing w:val="-1"/>
                <w:highlight w:val="none"/>
              </w:rPr>
              <w:t xml:space="preserve">方案</w:t>
            </w:r>
            <w:r>
              <w:rPr>
                <w:rFonts w:hint="eastAsia"/>
                <w:color w:val="auto"/>
                <w:spacing w:val="-1"/>
                <w:highlight w:val="none"/>
                <w:lang w:val="en-US" w:eastAsia="zh-CN"/>
              </w:rPr>
              <w:t xml:space="preserve">基本满足项目需求的，得2分；</w:t>
            </w:r>
            <w:r/>
          </w:p>
          <w:p>
            <w:pPr>
              <w:spacing w:line="360" w:lineRule="auto"/>
              <w:tabs>
                <w:tab w:val="left" w:pos="840" w:leader="none"/>
                <w:tab w:val="left" w:pos="1261" w:leader="none"/>
              </w:tabs>
              <w:rPr>
                <w:rFonts w:hint="eastAsia"/>
                <w:color w:val="auto"/>
                <w:spacing w:val="6"/>
                <w:highlight w:val="none"/>
              </w:rPr>
            </w:pPr>
            <w:r>
              <w:rPr>
                <w:rFonts w:hint="eastAsia"/>
                <w:color w:val="auto"/>
                <w:spacing w:val="6"/>
                <w:highlight w:val="none"/>
              </w:rPr>
              <w:t xml:space="preserve">未提供相应方案的不得分。</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8分</w:t>
            </w:r>
            <w:r/>
          </w:p>
        </w:tc>
      </w:tr>
      <w:tr>
        <w:trPr>
          <w:cantSplit/>
          <w:trHeight w:val="413"/>
        </w:trPr>
        <w:tc>
          <w:tcPr>
            <w:tcBorders>
              <w:left w:val="single" w:color="000000" w:sz="4" w:space="0"/>
              <w:right w:val="single" w:color="000000" w:sz="4" w:space="0"/>
            </w:tcBorders>
            <w:tcW w:w="515" w:type="dxa"/>
            <w:vAlign w:val="center"/>
            <w:vMerge w:val="continue"/>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left w:val="single" w:color="000000" w:sz="4" w:space="0"/>
              <w:right w:val="single" w:color="000000" w:sz="4" w:space="0"/>
            </w:tcBorders>
            <w:tcW w:w="1074" w:type="dxa"/>
            <w:vAlign w:val="center"/>
            <w:vMerge w:val="continue"/>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7437" w:type="dxa"/>
            <w:vAlign w:val="top"/>
            <w:textDirection w:val="lrTb"/>
            <w:noWrap w:val="false"/>
          </w:tcPr>
          <w:p>
            <w:pPr>
              <w:spacing w:line="360" w:lineRule="auto"/>
              <w:tabs>
                <w:tab w:val="left" w:pos="840" w:leader="none"/>
                <w:tab w:val="left" w:pos="1261" w:leader="none"/>
              </w:tabs>
              <w:rPr>
                <w:rFonts w:hint="eastAsia" w:ascii="宋体" w:hAnsi="宋体" w:cs="宋体"/>
                <w:color w:val="auto"/>
                <w:szCs w:val="21"/>
                <w:highlight w:val="none"/>
                <w:lang w:val="zh-CN"/>
              </w:rPr>
            </w:pPr>
            <w:r>
              <w:rPr>
                <w:rFonts w:hint="eastAsia"/>
                <w:color w:val="auto"/>
                <w:spacing w:val="6"/>
                <w:highlight w:val="none"/>
              </w:rPr>
              <w:t xml:space="preserve">根据</w:t>
            </w:r>
            <w:r>
              <w:rPr>
                <w:rFonts w:hint="eastAsia" w:ascii="宋体" w:hAnsi="宋体" w:cs="宋体"/>
                <w:color w:val="auto"/>
                <w:szCs w:val="21"/>
                <w:highlight w:val="none"/>
                <w:lang w:val="zh-CN"/>
              </w:rPr>
              <w:t xml:space="preserve">投标人提供“所投采购包对应设备”的演示视频</w:t>
            </w:r>
            <w:r>
              <w:rPr>
                <w:rFonts w:hint="eastAsia"/>
                <w:color w:val="auto"/>
                <w:spacing w:val="6"/>
                <w:highlight w:val="none"/>
              </w:rPr>
              <w:t xml:space="preserve">进行综合评分</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上</w:t>
            </w:r>
            <w:r>
              <w:rPr>
                <w:rFonts w:hint="eastAsia" w:ascii="宋体" w:hAnsi="宋体" w:cs="宋体"/>
                <w:color w:val="auto"/>
                <w:szCs w:val="21"/>
                <w:highlight w:val="none"/>
                <w:lang w:val="zh-CN"/>
              </w:rPr>
              <w:t xml:space="preserve">传录制好的视频，按照</w:t>
            </w:r>
            <w:r>
              <w:rPr>
                <w:rFonts w:hint="eastAsia" w:ascii="宋体" w:hAnsi="宋体" w:cs="宋体"/>
                <w:b/>
                <w:bCs/>
                <w:color w:val="auto"/>
                <w:szCs w:val="21"/>
                <w:highlight w:val="none"/>
                <w:lang w:val="zh-CN"/>
              </w:rPr>
              <w:t xml:space="preserve">第四章采购项目需求-设备要求设置</w:t>
            </w:r>
            <w:r>
              <w:rPr>
                <w:rFonts w:hint="eastAsia" w:ascii="宋体" w:hAnsi="宋体" w:cs="宋体"/>
                <w:color w:val="auto"/>
                <w:szCs w:val="21"/>
                <w:highlight w:val="none"/>
                <w:lang w:val="zh-CN"/>
              </w:rPr>
              <w:t xml:space="preserve">的相关参数及功能要求演示并配置解说词和字幕，视频总长度控制在5分钟之内，视频格式为MP4，720P以上分辨率，视频文件体积容量符合苏采云系统要求（具体以苏采云系统最新要求为准），</w:t>
            </w:r>
            <w:r>
              <w:rPr>
                <w:rFonts w:hint="eastAsia" w:ascii="宋体" w:hAnsi="宋体" w:cs="宋体"/>
                <w:color w:val="auto"/>
                <w:szCs w:val="21"/>
                <w:highlight w:val="none"/>
                <w:lang w:val="en-US" w:eastAsia="zh-CN"/>
              </w:rPr>
              <w:t xml:space="preserve">需</w:t>
            </w:r>
            <w:r>
              <w:rPr>
                <w:rFonts w:hint="eastAsia" w:ascii="宋体" w:hAnsi="宋体" w:cs="宋体"/>
                <w:color w:val="auto"/>
                <w:szCs w:val="21"/>
                <w:highlight w:val="none"/>
                <w:lang w:val="zh-CN"/>
              </w:rPr>
              <w:t xml:space="preserve">能看清操作步骤和操作界面。</w:t>
            </w:r>
            <w:r/>
          </w:p>
          <w:p>
            <w:pPr>
              <w:spacing w:line="360" w:lineRule="auto"/>
              <w:tabs>
                <w:tab w:val="left" w:pos="840" w:leader="none"/>
                <w:tab w:val="left" w:pos="1261"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功能演示完整；操作流程连贯，界面按钮、操作步骤展示清楚；解说词精准</w:t>
            </w:r>
            <w:r>
              <w:rPr>
                <w:rFonts w:hint="eastAsia" w:ascii="宋体" w:hAnsi="宋体" w:cs="宋体"/>
                <w:color w:val="auto"/>
                <w:szCs w:val="21"/>
                <w:highlight w:val="none"/>
                <w:lang w:val="en-US" w:eastAsia="zh-CN"/>
              </w:rPr>
              <w:t xml:space="preserve">能</w:t>
            </w:r>
            <w:r>
              <w:rPr>
                <w:rFonts w:hint="eastAsia" w:ascii="宋体" w:hAnsi="宋体" w:cs="宋体"/>
                <w:color w:val="auto"/>
                <w:szCs w:val="21"/>
                <w:highlight w:val="none"/>
                <w:lang w:val="zh-CN"/>
              </w:rPr>
              <w:t xml:space="preserve">对应各项功能参数，字幕齐全美观，能够全面印证设备性能匹配项目技术要求，得8分；</w:t>
            </w:r>
            <w:r/>
          </w:p>
          <w:p>
            <w:pPr>
              <w:spacing w:line="360" w:lineRule="auto"/>
              <w:tabs>
                <w:tab w:val="left" w:pos="840" w:leader="none"/>
                <w:tab w:val="left" w:pos="1261"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功能演示较完整；操作流程连贯，界面操作内容辨识度良好；配备解说词与完整字幕，内容贴合采购需求，设备整体性能可以满足项目使用需要，得6分； </w:t>
            </w:r>
            <w:r/>
          </w:p>
          <w:p>
            <w:pPr>
              <w:spacing w:line="360" w:lineRule="auto"/>
              <w:tabs>
                <w:tab w:val="left" w:pos="840" w:leader="none"/>
                <w:tab w:val="left" w:pos="1261"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能</w:t>
            </w:r>
            <w:r>
              <w:rPr>
                <w:rFonts w:hint="eastAsia" w:ascii="宋体" w:hAnsi="宋体" w:cs="宋体"/>
                <w:color w:val="auto"/>
                <w:szCs w:val="21"/>
                <w:highlight w:val="none"/>
                <w:lang w:val="zh-CN"/>
              </w:rPr>
              <w:t xml:space="preserve">展示</w:t>
            </w:r>
            <w:r>
              <w:rPr>
                <w:rFonts w:hint="eastAsia" w:ascii="宋体" w:hAnsi="宋体" w:cs="宋体"/>
                <w:color w:val="auto"/>
                <w:szCs w:val="21"/>
                <w:highlight w:val="none"/>
                <w:lang w:val="en-US" w:eastAsia="zh-CN"/>
              </w:rPr>
              <w:t xml:space="preserve">大</w:t>
            </w:r>
            <w:r>
              <w:rPr>
                <w:rFonts w:hint="eastAsia" w:ascii="宋体" w:hAnsi="宋体" w:cs="宋体"/>
                <w:color w:val="auto"/>
                <w:szCs w:val="21"/>
                <w:highlight w:val="none"/>
                <w:lang w:val="zh-CN"/>
              </w:rPr>
              <w:t xml:space="preserve">部分</w:t>
            </w:r>
            <w:r>
              <w:rPr>
                <w:rFonts w:hint="eastAsia" w:ascii="宋体" w:hAnsi="宋体" w:cs="宋体"/>
                <w:color w:val="auto"/>
                <w:szCs w:val="21"/>
                <w:highlight w:val="none"/>
                <w:lang w:val="en-US" w:eastAsia="zh-CN"/>
              </w:rPr>
              <w:t xml:space="preserve">设备</w:t>
            </w:r>
            <w:r>
              <w:rPr>
                <w:rFonts w:hint="eastAsia" w:ascii="宋体" w:hAnsi="宋体" w:cs="宋体"/>
                <w:color w:val="auto"/>
                <w:szCs w:val="21"/>
                <w:highlight w:val="none"/>
                <w:lang w:val="zh-CN"/>
              </w:rPr>
              <w:t xml:space="preserve">功能；操作展示较为简略，部分操作流程</w:t>
            </w:r>
            <w:r>
              <w:rPr>
                <w:rFonts w:hint="eastAsia" w:ascii="宋体" w:hAnsi="宋体" w:cs="宋体"/>
                <w:color w:val="auto"/>
                <w:szCs w:val="21"/>
                <w:highlight w:val="none"/>
                <w:lang w:val="en-US" w:eastAsia="zh-CN"/>
              </w:rPr>
              <w:t xml:space="preserve">展示</w:t>
            </w:r>
            <w:r>
              <w:rPr>
                <w:rFonts w:hint="eastAsia" w:ascii="宋体" w:hAnsi="宋体" w:cs="宋体"/>
                <w:color w:val="auto"/>
                <w:szCs w:val="21"/>
                <w:highlight w:val="none"/>
                <w:lang w:val="zh-CN"/>
              </w:rPr>
              <w:t xml:space="preserve">不够细致；解说词、字幕内容简略不够完善，体现设备基础使用能力，</w:t>
            </w:r>
            <w:r>
              <w:rPr>
                <w:rFonts w:hint="eastAsia" w:ascii="宋体" w:hAnsi="宋体" w:cs="宋体"/>
                <w:color w:val="auto"/>
                <w:szCs w:val="21"/>
                <w:highlight w:val="none"/>
                <w:lang w:val="en-US" w:eastAsia="zh-CN"/>
              </w:rPr>
              <w:t xml:space="preserve">基本</w:t>
            </w:r>
            <w:r>
              <w:rPr>
                <w:rFonts w:hint="eastAsia" w:ascii="宋体" w:hAnsi="宋体" w:cs="宋体"/>
                <w:color w:val="auto"/>
                <w:szCs w:val="21"/>
                <w:highlight w:val="none"/>
                <w:lang w:val="zh-CN"/>
              </w:rPr>
              <w:t xml:space="preserve">满足项目需求，得4分；</w:t>
            </w:r>
            <w:r/>
          </w:p>
          <w:p>
            <w:pPr>
              <w:spacing w:line="360" w:lineRule="auto"/>
              <w:tabs>
                <w:tab w:val="left" w:pos="840" w:leader="none"/>
                <w:tab w:val="left" w:pos="1261"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仅展示极少部分基础简易功能，采购需求中大部分参数、功能均未进行演示；操作过程碎片化、解说词或字幕残有缺少，无法佐证设备技术指标项目使用要求的适配的，得2分；</w:t>
            </w:r>
            <w:r/>
          </w:p>
          <w:p>
            <w:pPr>
              <w:spacing w:line="360" w:lineRule="auto"/>
              <w:tabs>
                <w:tab w:val="left" w:pos="840" w:leader="none"/>
                <w:tab w:val="left" w:pos="1261"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未提供相应视频的不得分。</w:t>
            </w:r>
            <w:r/>
          </w:p>
          <w:p>
            <w:pPr>
              <w:spacing w:line="360" w:lineRule="auto"/>
              <w:tabs>
                <w:tab w:val="left" w:pos="840" w:leader="none"/>
                <w:tab w:val="left" w:pos="1261"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注：视频须采用真实设备及系统演示，要求展示所投产品整机样貌，不接受PPT、WORD、FLASH或演示DEMO等，否则不得分。</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bCs/>
                <w:color w:val="auto"/>
                <w:szCs w:val="21"/>
                <w:highlight w:val="none"/>
              </w:rPr>
              <w:t xml:space="preserve">8</w:t>
            </w:r>
            <w:r>
              <w:rPr>
                <w:rFonts w:ascii="宋体" w:hAnsi="宋体" w:cs="宋体"/>
                <w:bCs/>
                <w:color w:val="auto"/>
                <w:szCs w:val="21"/>
                <w:highlight w:val="none"/>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914"/>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14"/>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业绩</w:t>
            </w:r>
            <w:r/>
          </w:p>
        </w:tc>
        <w:tc>
          <w:tcPr>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jc w:val="left"/>
              <w:spacing w:line="360" w:lineRule="auto"/>
              <w:widowControl/>
              <w:rPr>
                <w:color w:val="auto"/>
                <w:highlight w:val="none"/>
              </w:rPr>
            </w:pPr>
            <w:r>
              <w:rPr>
                <w:rFonts w:hint="eastAsia" w:ascii="宋体" w:hAnsi="宋体" w:cs="宋体"/>
                <w:color w:val="auto"/>
                <w:szCs w:val="21"/>
                <w:highlight w:val="none"/>
              </w:rPr>
              <w:t xml:space="preserve">投标人自202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年1月（含）以来（以合同签订日期为准）的</w:t>
            </w:r>
            <w:r>
              <w:rPr>
                <w:rFonts w:hint="eastAsia" w:ascii="宋体" w:hAnsi="宋体" w:cs="宋体"/>
                <w:b/>
                <w:bCs/>
                <w:color w:val="auto"/>
                <w:sz w:val="21"/>
                <w:szCs w:val="21"/>
                <w:highlight w:val="none"/>
                <w:lang w:val="en-US" w:eastAsia="zh-CN"/>
              </w:rPr>
              <w:t xml:space="preserve">所投</w:t>
            </w:r>
            <w:r>
              <w:rPr>
                <w:rFonts w:hint="eastAsia" w:ascii="宋体" w:hAnsi="宋体" w:eastAsia="宋体" w:cs="宋体"/>
                <w:b/>
                <w:bCs/>
                <w:color w:val="auto"/>
                <w:sz w:val="21"/>
                <w:szCs w:val="21"/>
                <w:highlight w:val="none"/>
                <w:lang w:val="zh-CN"/>
              </w:rPr>
              <w:t xml:space="preserve">采购包</w:t>
            </w:r>
            <w:r>
              <w:rPr>
                <w:rFonts w:hint="eastAsia" w:ascii="宋体" w:hAnsi="宋体" w:cs="宋体"/>
                <w:b/>
                <w:bCs/>
                <w:color w:val="auto"/>
                <w:sz w:val="21"/>
                <w:szCs w:val="21"/>
                <w:highlight w:val="none"/>
                <w:lang w:val="en-US" w:eastAsia="zh-CN"/>
              </w:rPr>
              <w:t xml:space="preserve">包号相类似的</w:t>
            </w:r>
            <w:r>
              <w:rPr>
                <w:rFonts w:hint="eastAsia" w:ascii="宋体" w:hAnsi="宋体" w:eastAsia="宋体" w:cs="宋体"/>
                <w:b/>
                <w:bCs/>
                <w:color w:val="auto"/>
                <w:sz w:val="21"/>
                <w:szCs w:val="21"/>
                <w:highlight w:val="none"/>
                <w:lang w:val="zh-CN"/>
              </w:rPr>
              <w:t xml:space="preserve">供应项目</w:t>
            </w:r>
            <w:r>
              <w:rPr>
                <w:rFonts w:hint="eastAsia" w:ascii="宋体" w:hAnsi="宋体" w:cs="宋体"/>
                <w:b/>
                <w:bCs/>
                <w:color w:val="auto"/>
                <w:sz w:val="21"/>
                <w:szCs w:val="21"/>
                <w:highlight w:val="none"/>
                <w:lang w:val="zh-CN"/>
              </w:rPr>
              <w:t xml:space="preserve">（</w:t>
            </w:r>
            <w:r>
              <w:rPr>
                <w:rFonts w:hint="eastAsia" w:ascii="宋体" w:hAnsi="宋体" w:cs="宋体"/>
                <w:b/>
                <w:bCs/>
                <w:color w:val="auto"/>
                <w:sz w:val="21"/>
                <w:szCs w:val="21"/>
                <w:highlight w:val="none"/>
                <w:lang w:val="en-US" w:eastAsia="zh-CN"/>
              </w:rPr>
              <w:t xml:space="preserve">采购包含多个货物的至少含核心产品</w:t>
            </w:r>
            <w:r>
              <w:rPr>
                <w:rFonts w:hint="eastAsia" w:ascii="宋体" w:hAnsi="宋体" w:cs="宋体"/>
                <w:b/>
                <w:bCs/>
                <w:color w:val="auto"/>
                <w:sz w:val="21"/>
                <w:szCs w:val="21"/>
                <w:highlight w:val="none"/>
                <w:lang w:val="zh-CN"/>
              </w:rPr>
              <w:t xml:space="preserve">）</w:t>
            </w:r>
            <w:r>
              <w:rPr>
                <w:rFonts w:hint="eastAsia" w:ascii="宋体" w:hAnsi="宋体" w:cs="宋体"/>
                <w:color w:val="auto"/>
                <w:szCs w:val="21"/>
                <w:highlight w:val="none"/>
              </w:rPr>
              <w:t xml:space="preserve">类似业绩。每提供一个得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分，最多得</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分。（提供合同复印件加盖投标单位公章，合同需能体现相关信息</w:t>
            </w:r>
            <w:r>
              <w:rPr>
                <w:rFonts w:hint="eastAsia" w:ascii="宋体" w:hAnsi="宋体" w:cs="宋体"/>
                <w:color w:val="auto"/>
                <w:szCs w:val="21"/>
                <w:highlight w:val="none"/>
                <w:lang w:val="en-US" w:eastAsia="zh-CN"/>
              </w:rPr>
              <w:t xml:space="preserve">(</w:t>
            </w:r>
            <w:r>
              <w:rPr>
                <w:rFonts w:hint="eastAsia" w:cs="Arial"/>
                <w:color w:val="auto"/>
                <w:highlight w:val="none"/>
                <w:lang w:val="en-US" w:eastAsia="zh-CN"/>
              </w:rPr>
              <w:t xml:space="preserve">合同应能体现双方签字盖章、签订时间、货物类型等</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9</w:t>
            </w:r>
            <w:r>
              <w:rPr>
                <w:rFonts w:ascii="宋体" w:hAnsi="宋体" w:cs="宋体"/>
                <w:color w:val="auto"/>
                <w:szCs w:val="21"/>
                <w:highlight w:val="none"/>
                <w:lang w:val="zh-CN"/>
              </w:rPr>
              <w:t xml:space="preserve">分</w:t>
            </w:r>
            <w:r/>
          </w:p>
        </w:tc>
      </w:tr>
      <w:tr>
        <w:trPr>
          <w:trHeight w:val="327"/>
        </w:trPr>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914"/>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14"/>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产品功能、性能、配置</w:t>
            </w:r>
            <w:r/>
          </w:p>
          <w:p>
            <w:pPr>
              <w:pStyle w:val="914"/>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要求</w:t>
            </w:r>
            <w:r/>
          </w:p>
          <w:p>
            <w:pPr>
              <w:pStyle w:val="914"/>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设备技术参数全部满足招标要求的得</w:t>
            </w:r>
            <w:r>
              <w:rPr>
                <w:rFonts w:hint="eastAsia" w:ascii="宋体" w:hAnsi="宋体" w:cs="宋体"/>
                <w:color w:val="auto"/>
                <w:szCs w:val="21"/>
                <w:highlight w:val="none"/>
                <w:lang w:val="en-US" w:eastAsia="zh-CN"/>
              </w:rPr>
              <w:t xml:space="preserve">17</w:t>
            </w:r>
            <w:r>
              <w:rPr>
                <w:rFonts w:hint="eastAsia" w:ascii="宋体" w:hAnsi="宋体" w:cs="宋体"/>
                <w:color w:val="auto"/>
                <w:szCs w:val="21"/>
                <w:highlight w:val="none"/>
              </w:rPr>
              <w:t xml:space="preserve">分，评标委员会根据技术参数的偏离情况按以下标准进行评审：</w:t>
            </w:r>
            <w:r/>
          </w:p>
          <w:p>
            <w:pPr>
              <w:pStyle w:val="903"/>
              <w:ind w:left="0"/>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（1）标记为“★”的指标是关键条款，正偏离不加分，如不满足将按无效投标处理；</w:t>
            </w:r>
            <w:r/>
          </w:p>
          <w:p>
            <w:pPr>
              <w:pStyle w:val="903"/>
              <w:ind w:left="0"/>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（2）技术参数条款，加“▲”项参数为主要参数，每出现一条负偏离的，扣</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pStyle w:val="903"/>
              <w:ind w:left="0"/>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（3）除加“▲”项外的技术参数为一般技术参数条款，每出现一条负偏离的，扣</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pStyle w:val="903"/>
              <w:ind w:left="0"/>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扣完为止。</w:t>
            </w:r>
            <w:r/>
          </w:p>
          <w:p>
            <w:pPr>
              <w:pStyle w:val="903"/>
              <w:ind w:left="0"/>
              <w:spacing w:line="340" w:lineRule="exact"/>
              <w:rPr>
                <w:rFonts w:ascii="宋体" w:hAnsi="宋体" w:cs="宋体"/>
                <w:color w:val="auto"/>
                <w:szCs w:val="21"/>
                <w:highlight w:val="none"/>
              </w:rPr>
            </w:pPr>
            <w:r>
              <w:rPr>
                <w:rFonts w:hint="eastAsia" w:ascii="宋体" w:hAnsi="宋体" w:cs="宋体"/>
                <w:b/>
                <w:bCs/>
                <w:color w:val="auto"/>
                <w:szCs w:val="21"/>
                <w:highlight w:val="none"/>
              </w:rPr>
              <w:t xml:space="preserve">注:投标人在第六章投标文件格式附件五技术条款偏离表中逐项填写进行响应。要求提供证明材料的应按照招标文件第四章采购项目需求“三、设备要求设置”中相关要求予以提供，为便于评审相关关键参数需标明页码或框选提示，未提供证明材料视为负偏离。其余未要求提供证明材料的条款，投标人在技术条款偏离表中填写即可。</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17</w:t>
            </w:r>
            <w:r>
              <w:rPr>
                <w:rFonts w:ascii="宋体" w:hAnsi="宋体" w:cs="宋体"/>
                <w:color w:val="auto"/>
                <w:szCs w:val="21"/>
                <w:highlight w:val="none"/>
                <w:lang w:val="zh-CN"/>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914"/>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spacing w:line="360" w:lineRule="auto"/>
              <w:rPr>
                <w:rFonts w:hint="eastAsia" w:ascii="宋体" w:hAnsi="宋体" w:eastAsia="宋体"/>
                <w:color w:val="auto"/>
                <w:szCs w:val="21"/>
                <w:highlight w:val="none"/>
                <w:lang w:val="en-US" w:eastAsia="zh-CN"/>
              </w:rPr>
            </w:pPr>
            <w:r>
              <w:rPr>
                <w:rFonts w:hint="eastAsia" w:ascii="宋体" w:hAnsi="宋体" w:cs="宋体"/>
                <w:bCs/>
                <w:color w:val="auto"/>
                <w:szCs w:val="21"/>
                <w:highlight w:val="none"/>
              </w:rPr>
              <w:t xml:space="preserve">履约能力</w:t>
            </w:r>
            <w:r>
              <w:rPr>
                <w:rFonts w:hint="eastAsia" w:ascii="宋体" w:hAnsi="宋体" w:cs="宋体"/>
                <w:bCs/>
                <w:color w:val="auto"/>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投标人提供承诺书，针对用户反馈的问题，承诺在2小时内做出响应并提供远程技术支撑。远程技术服务无法解决问题时，在一个工作日内能安排技术人员上门服务。提供承诺书，格式自拟，得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（注：须提供承诺书并加盖</w:t>
            </w:r>
            <w:r>
              <w:rPr>
                <w:rFonts w:hint="eastAsia" w:ascii="宋体" w:hAnsi="宋体" w:cs="宋体"/>
                <w:color w:val="auto"/>
                <w:szCs w:val="21"/>
                <w:highlight w:val="none"/>
                <w:lang w:val="en-US" w:eastAsia="zh-CN"/>
              </w:rPr>
              <w:t xml:space="preserve">投标人</w:t>
            </w:r>
            <w:r>
              <w:rPr>
                <w:rFonts w:hint="eastAsia" w:ascii="宋体" w:hAnsi="宋体" w:cs="宋体"/>
                <w:color w:val="auto"/>
                <w:szCs w:val="21"/>
                <w:highlight w:val="none"/>
              </w:rPr>
              <w:t xml:space="preserve">公章，格式自拟，未按要求提供不得分。）</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ascii="宋体" w:hAnsi="宋体" w:cs="宋体"/>
                <w:color w:val="auto"/>
                <w:szCs w:val="21"/>
                <w:highlight w:val="none"/>
                <w:lang w:val="zh-CN"/>
              </w:rPr>
              <w:t xml:space="preserve">分</w:t>
            </w:r>
            <w:r/>
          </w:p>
        </w:tc>
      </w:tr>
      <w:tr>
        <w:trPr>
          <w:trHeight w:val="327"/>
        </w:trPr>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914"/>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履约能力</w:t>
            </w:r>
            <w:r>
              <w:rPr>
                <w:rFonts w:hint="eastAsia" w:ascii="宋体" w:hAnsi="宋体" w:cs="宋体"/>
                <w:bCs/>
                <w:color w:val="auto"/>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jc w:val="left"/>
              <w:spacing w:line="360" w:lineRule="auto"/>
              <w:widowControl/>
              <w:rPr>
                <w:rFonts w:hint="eastAsia" w:ascii="宋体" w:hAnsi="宋体" w:eastAsia="宋体" w:cs="宋体"/>
                <w:b w:val="0"/>
                <w:bCs w:val="0"/>
                <w:color w:val="auto"/>
                <w:szCs w:val="21"/>
                <w:highlight w:val="none"/>
                <w:lang w:eastAsia="zh-CN"/>
              </w:rPr>
            </w:pPr>
            <w:r>
              <w:rPr>
                <w:rFonts w:hint="eastAsia" w:ascii="宋体" w:hAnsi="宋体" w:eastAsia="宋体" w:cs="宋体"/>
                <w:color w:val="auto"/>
                <w:szCs w:val="21"/>
                <w:highlight w:val="none"/>
              </w:rPr>
              <w:t xml:space="preserve">投标人提供承诺书</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在</w:t>
            </w:r>
            <w:r>
              <w:rPr>
                <w:rFonts w:hint="eastAsia" w:ascii="宋体" w:hAnsi="宋体" w:cs="宋体"/>
                <w:color w:val="auto"/>
                <w:szCs w:val="21"/>
                <w:highlight w:val="none"/>
                <w:lang w:val="en-US" w:eastAsia="zh-CN"/>
              </w:rPr>
              <w:t xml:space="preserve">采购项目需求质保</w:t>
            </w:r>
            <w:r>
              <w:rPr>
                <w:rFonts w:hint="eastAsia" w:ascii="宋体" w:hAnsi="宋体" w:eastAsia="宋体" w:cs="宋体"/>
                <w:color w:val="auto"/>
                <w:szCs w:val="21"/>
                <w:highlight w:val="none"/>
                <w:lang w:val="en-US" w:eastAsia="zh-CN"/>
              </w:rPr>
              <w:t xml:space="preserve">的基础上</w:t>
            </w:r>
            <w:r>
              <w:rPr>
                <w:rFonts w:hint="eastAsia" w:ascii="宋体" w:hAnsi="宋体" w:eastAsia="宋体" w:cs="宋体"/>
                <w:b/>
                <w:bCs/>
                <w:color w:val="auto"/>
                <w:szCs w:val="21"/>
                <w:highlight w:val="none"/>
                <w:lang w:val="en-US" w:eastAsia="zh-CN"/>
              </w:rPr>
              <w:t xml:space="preserve">（基本要求：反宣反制仪、便携侦测反制设备</w:t>
            </w:r>
            <w:r>
              <w:rPr>
                <w:rFonts w:hint="eastAsia" w:ascii="宋体" w:hAnsi="宋体" w:cs="宋体"/>
                <w:b/>
                <w:bCs/>
                <w:color w:val="auto"/>
                <w:szCs w:val="21"/>
                <w:highlight w:val="none"/>
                <w:lang w:val="en-US" w:eastAsia="zh-CN"/>
              </w:rPr>
              <w:t xml:space="preserve">、外骨骼AI助力装备</w:t>
            </w:r>
            <w:r>
              <w:rPr>
                <w:rFonts w:hint="eastAsia" w:ascii="宋体" w:hAnsi="宋体" w:eastAsia="宋体" w:cs="宋体"/>
                <w:b/>
                <w:bCs/>
                <w:color w:val="auto"/>
                <w:szCs w:val="21"/>
                <w:highlight w:val="none"/>
                <w:lang w:val="en-US" w:eastAsia="zh-CN"/>
              </w:rPr>
              <w:t xml:space="preserve">需提供3年质保，手持式热成像仪需提供2年质保，手持式网捕器需提供1年质保）</w:t>
            </w:r>
            <w:r>
              <w:rPr>
                <w:rFonts w:hint="eastAsia" w:ascii="宋体" w:hAnsi="宋体" w:eastAsia="宋体" w:cs="宋体"/>
                <w:color w:val="auto"/>
                <w:szCs w:val="21"/>
                <w:highlight w:val="none"/>
                <w:lang w:val="en-US" w:eastAsia="zh-CN"/>
              </w:rPr>
              <w:t xml:space="preserve">，每增加1年质保，加1分。</w:t>
            </w:r>
            <w:r>
              <w:rPr>
                <w:rFonts w:hint="eastAsia" w:ascii="宋体" w:hAnsi="宋体" w:eastAsia="宋体" w:cs="宋体"/>
                <w:color w:val="auto"/>
                <w:szCs w:val="21"/>
                <w:highlight w:val="none"/>
              </w:rPr>
              <w:t xml:space="preserve">质保期间内应免费负责维修</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（注：须提供承诺书并加盖</w:t>
            </w:r>
            <w:r>
              <w:rPr>
                <w:rFonts w:hint="eastAsia" w:ascii="宋体" w:hAnsi="宋体" w:eastAsia="宋体" w:cs="宋体"/>
                <w:color w:val="auto"/>
                <w:szCs w:val="21"/>
                <w:highlight w:val="none"/>
                <w:lang w:val="en-US" w:eastAsia="zh-CN"/>
              </w:rPr>
              <w:t xml:space="preserve">投标人</w:t>
            </w:r>
            <w:r>
              <w:rPr>
                <w:rFonts w:hint="eastAsia" w:ascii="宋体" w:hAnsi="宋体" w:eastAsia="宋体" w:cs="宋体"/>
                <w:color w:val="auto"/>
                <w:szCs w:val="21"/>
                <w:highlight w:val="none"/>
              </w:rPr>
              <w:t xml:space="preserve">公章，格式自拟，未按要求提供不得分。）</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pacing w:line="360"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rPr>
                <w:rFonts w:ascii="宋体" w:hAnsi="宋体" w:cs="宋体"/>
                <w:color w:val="auto"/>
                <w:szCs w:val="21"/>
                <w:highlight w:val="none"/>
                <w:lang w:val="zh-CN"/>
              </w:rPr>
              <w:t xml:space="preserve">分</w:t>
            </w:r>
            <w:r/>
          </w:p>
        </w:tc>
      </w:tr>
    </w:tbl>
    <w:p>
      <w:pPr>
        <w:rPr>
          <w:rFonts w:hint="eastAsia"/>
          <w:color w:val="auto"/>
          <w:highlight w:val="none"/>
          <w:lang w:val="en-US" w:eastAsia="zh-CN"/>
        </w:rPr>
        <w:sectPr>
          <w:footerReference w:type="default" r:id="rId9"/>
          <w:footnotePr/>
          <w:endnotePr/>
          <w:type w:val="nextPage"/>
          <w:pgSz w:w="11906" w:h="16838" w:orient="portrait"/>
          <w:pgMar w:top="1417" w:right="1134" w:bottom="1247" w:left="1304" w:header="851" w:footer="992" w:gutter="0"/>
          <w:pgNumType w:start="1"/>
          <w:cols w:num="1" w:sep="0" w:space="720" w:equalWidth="1"/>
          <w:docGrid w:linePitch="360"/>
        </w:sectPr>
      </w:pPr>
      <w:r>
        <w:rPr>
          <w:rFonts w:hint="eastAsia"/>
          <w:color w:val="auto"/>
          <w:highlight w:val="none"/>
          <w:lang w:val="en-US" w:eastAsia="zh-CN"/>
        </w:rPr>
      </w:r>
      <w:r/>
    </w:p>
    <w:p>
      <w:pPr>
        <w:pStyle w:val="860"/>
        <w:rPr>
          <w:rFonts w:hint="eastAsia"/>
          <w:color w:val="auto"/>
          <w:highlight w:val="none"/>
          <w:lang w:val="en-US" w:eastAsia="zh-CN"/>
        </w:rPr>
      </w:pPr>
      <w:r>
        <w:rPr>
          <w:rFonts w:hint="eastAsia"/>
          <w:color w:val="auto"/>
          <w:highlight w:val="none"/>
          <w:lang w:val="en-US" w:eastAsia="zh-CN"/>
        </w:rPr>
        <w:t xml:space="preserve">分包4</w:t>
      </w:r>
      <w:r/>
    </w:p>
    <w:tbl>
      <w:tblPr>
        <w:tblStyle w:val="865"/>
        <w:tblpPr w:horzAnchor="text" w:tblpXSpec="center" w:vertAnchor="text" w:tblpY="1" w:leftFromText="180" w:topFromText="0" w:rightFromText="180" w:bottomFromText="0"/>
        <w:tblW w:w="979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5"/>
        <w:gridCol w:w="1074"/>
        <w:gridCol w:w="7437"/>
        <w:gridCol w:w="766"/>
      </w:tblGrid>
      <w:tr>
        <w:trPr>
          <w:trHeight w:val="597"/>
        </w:trPr>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spacing w:line="360" w:lineRule="auto"/>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spacing w:line="360" w:lineRule="auto"/>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评分</w:t>
            </w:r>
            <w:r/>
          </w:p>
          <w:p>
            <w:pPr>
              <w:jc w:val="center"/>
              <w:spacing w:line="360" w:lineRule="auto"/>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因素</w:t>
            </w:r>
            <w:r/>
          </w:p>
        </w:tc>
        <w:tc>
          <w:tcPr>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jc w:val="center"/>
              <w:spacing w:line="360" w:lineRule="auto"/>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评分标准</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pacing w:line="360" w:lineRule="auto"/>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分值</w:t>
            </w:r>
            <w:r/>
          </w:p>
        </w:tc>
      </w:tr>
      <w:tr>
        <w:trPr>
          <w:trHeight w:val="90"/>
        </w:trPr>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价格</w:t>
            </w:r>
            <w:r/>
          </w:p>
        </w:tc>
        <w:tc>
          <w:tcPr>
            <w:tcBorders>
              <w:top w:val="single" w:color="000000" w:sz="4" w:space="0"/>
              <w:left w:val="single" w:color="000000" w:sz="4" w:space="0"/>
              <w:bottom w:val="single" w:color="000000" w:sz="4" w:space="0"/>
              <w:right w:val="single" w:color="000000" w:sz="4" w:space="0"/>
            </w:tcBorders>
            <w:tcW w:w="7437" w:type="dxa"/>
            <w:vAlign w:val="top"/>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采用低价优先法计算，即满足招标文件要求且投标价格最低的投标报价为评标基准价，其价格分为满分。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其他供应商的价格分统一按照下列公式计算（小数点保留两位）：</w:t>
            </w:r>
            <w:r/>
          </w:p>
          <w:p>
            <w:pP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投标报价得分=(评标基准价／投标报价)×30。</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rPr>
              <w:t xml:space="preserve">30</w:t>
            </w:r>
            <w:r>
              <w:rPr>
                <w:rFonts w:hint="eastAsia" w:ascii="宋体" w:hAnsi="宋体" w:cs="宋体"/>
                <w:color w:val="auto"/>
                <w:szCs w:val="21"/>
                <w:highlight w:val="none"/>
                <w:lang w:val="zh-CN"/>
              </w:rPr>
              <w:t xml:space="preserve">分</w:t>
            </w:r>
            <w:r/>
          </w:p>
        </w:tc>
      </w:tr>
      <w:tr>
        <w:trPr>
          <w:cantSplit/>
          <w:trHeight w:val="90"/>
        </w:trPr>
        <w:tc>
          <w:tcPr>
            <w:tcBorders>
              <w:top w:val="single" w:color="000000" w:sz="4" w:space="0"/>
              <w:left w:val="single" w:color="000000" w:sz="4" w:space="0"/>
              <w:right w:val="single" w:color="000000" w:sz="4" w:space="0"/>
            </w:tcBorders>
            <w:tcW w:w="515" w:type="dxa"/>
            <w:vAlign w:val="center"/>
            <w:vMerge w:val="restart"/>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t xml:space="preserve">2</w:t>
            </w:r>
            <w:r/>
          </w:p>
        </w:tc>
        <w:tc>
          <w:tcPr>
            <w:tcBorders>
              <w:top w:val="single" w:color="000000" w:sz="4" w:space="0"/>
              <w:left w:val="single" w:color="000000" w:sz="4" w:space="0"/>
              <w:right w:val="single" w:color="000000" w:sz="4" w:space="0"/>
            </w:tcBorders>
            <w:tcW w:w="1074" w:type="dxa"/>
            <w:vAlign w:val="center"/>
            <w:vMerge w:val="restart"/>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方案</w:t>
            </w:r>
            <w:r/>
          </w:p>
        </w:tc>
        <w:tc>
          <w:tcPr>
            <w:tcBorders>
              <w:top w:val="single" w:color="000000" w:sz="4" w:space="0"/>
              <w:left w:val="single" w:color="000000" w:sz="4" w:space="0"/>
              <w:bottom w:val="single" w:color="000000" w:sz="4" w:space="0"/>
              <w:right w:val="single" w:color="000000" w:sz="4" w:space="0"/>
            </w:tcBorders>
            <w:tcW w:w="7437" w:type="dxa"/>
            <w:vAlign w:val="top"/>
            <w:textDirection w:val="lrTb"/>
            <w:noWrap w:val="false"/>
          </w:tcPr>
          <w:p>
            <w:pPr>
              <w:jc w:val="left"/>
              <w:spacing w:line="360" w:lineRule="auto"/>
              <w:widowControl/>
              <w:rPr>
                <w:rFonts w:ascii="宋体" w:hAnsi="宋体" w:cs="宋体"/>
                <w:color w:val="auto"/>
                <w:szCs w:val="21"/>
                <w:highlight w:val="none"/>
              </w:rPr>
            </w:pPr>
            <w:r>
              <w:rPr>
                <w:color w:val="auto"/>
                <w:spacing w:val="6"/>
                <w:highlight w:val="none"/>
              </w:rPr>
              <w:t xml:space="preserve">投标人应根据</w:t>
            </w:r>
            <w:r>
              <w:rPr>
                <w:rFonts w:hint="eastAsia"/>
                <w:color w:val="auto"/>
                <w:spacing w:val="6"/>
                <w:highlight w:val="none"/>
              </w:rPr>
              <w:t xml:space="preserve">招标</w:t>
            </w:r>
            <w:r>
              <w:rPr>
                <w:color w:val="auto"/>
                <w:spacing w:val="6"/>
                <w:highlight w:val="none"/>
              </w:rPr>
              <w:t xml:space="preserve">文件要求及本项目特点，</w:t>
            </w:r>
            <w:r>
              <w:rPr>
                <w:color w:val="auto"/>
                <w:spacing w:val="-58"/>
                <w:highlight w:val="none"/>
              </w:rPr>
              <w:t xml:space="preserve"> </w:t>
            </w:r>
            <w:r>
              <w:rPr>
                <w:color w:val="auto"/>
                <w:spacing w:val="5"/>
                <w:highlight w:val="none"/>
              </w:rPr>
              <w:t xml:space="preserve">提供项目</w:t>
            </w:r>
            <w:r>
              <w:rPr>
                <w:rFonts w:hint="eastAsia"/>
                <w:color w:val="auto"/>
                <w:spacing w:val="5"/>
                <w:highlight w:val="none"/>
              </w:rPr>
              <w:t xml:space="preserve">总体实施方案</w:t>
            </w:r>
            <w:r>
              <w:rPr>
                <w:color w:val="auto"/>
                <w:spacing w:val="5"/>
                <w:highlight w:val="none"/>
              </w:rPr>
              <w:t xml:space="preserve">（包括</w:t>
            </w:r>
            <w:r>
              <w:rPr>
                <w:rFonts w:hint="eastAsia"/>
                <w:color w:val="auto"/>
                <w:spacing w:val="5"/>
                <w:highlight w:val="none"/>
              </w:rPr>
              <w:t xml:space="preserve">但不限于</w:t>
            </w:r>
            <w:r>
              <w:rPr>
                <w:color w:val="auto"/>
                <w:spacing w:val="5"/>
                <w:highlight w:val="none"/>
              </w:rPr>
              <w:t xml:space="preserve">组织机</w:t>
            </w:r>
            <w:r>
              <w:rPr>
                <w:color w:val="auto"/>
                <w:spacing w:val="1"/>
                <w:highlight w:val="none"/>
              </w:rPr>
              <w:t xml:space="preserve">构、产品运输、产</w:t>
            </w:r>
            <w:r>
              <w:rPr>
                <w:color w:val="auto"/>
                <w:highlight w:val="none"/>
              </w:rPr>
              <w:t xml:space="preserve">品质量控制、人员配置、时</w:t>
            </w:r>
            <w:r>
              <w:rPr>
                <w:color w:val="auto"/>
                <w:spacing w:val="1"/>
                <w:highlight w:val="none"/>
              </w:rPr>
              <w:t xml:space="preserve">间</w:t>
            </w:r>
            <w:r>
              <w:rPr>
                <w:rFonts w:hint="eastAsia"/>
                <w:color w:val="auto"/>
                <w:spacing w:val="1"/>
                <w:highlight w:val="none"/>
              </w:rPr>
              <w:t xml:space="preserve">。</w:t>
            </w:r>
            <w:r>
              <w:rPr>
                <w:color w:val="auto"/>
                <w:spacing w:val="1"/>
                <w:highlight w:val="none"/>
              </w:rPr>
              <w:t xml:space="preserve">进度安排、工作程序和步骤、关键步骤的思路和要</w:t>
            </w:r>
            <w:r>
              <w:rPr>
                <w:color w:val="auto"/>
                <w:highlight w:val="none"/>
              </w:rPr>
              <w:t xml:space="preserve">点等</w:t>
            </w:r>
            <w:r>
              <w:rPr>
                <w:color w:val="auto"/>
                <w:spacing w:val="-1"/>
                <w:highlight w:val="none"/>
              </w:rPr>
              <w:t xml:space="preserve">）</w:t>
            </w:r>
            <w:r>
              <w:rPr>
                <w:rFonts w:hint="eastAsia" w:ascii="宋体" w:hAnsi="宋体" w:cs="宋体"/>
                <w:color w:val="auto"/>
                <w:szCs w:val="21"/>
                <w:highlight w:val="none"/>
              </w:rPr>
              <w:t xml:space="preserve">进行综合评分：</w:t>
            </w:r>
            <w:r/>
          </w:p>
          <w:p>
            <w:pPr>
              <w:spacing w:line="360" w:lineRule="auto"/>
              <w:tabs>
                <w:tab w:val="left" w:pos="840" w:leader="none"/>
                <w:tab w:val="left" w:pos="1261" w:leader="none"/>
              </w:tabs>
              <w:rPr>
                <w:color w:val="auto"/>
                <w:highlight w:val="none"/>
              </w:rPr>
            </w:pPr>
            <w:r>
              <w:rPr>
                <w:color w:val="auto"/>
                <w:highlight w:val="none"/>
              </w:rPr>
              <w:t xml:space="preserve">方案科学合理全面、重点突出、针对性强、可操作性强，得</w:t>
            </w:r>
            <w:r>
              <w:rPr>
                <w:rFonts w:hint="eastAsia"/>
                <w:color w:val="auto"/>
                <w:highlight w:val="none"/>
              </w:rPr>
              <w:t xml:space="preserve">8</w:t>
            </w:r>
            <w:r>
              <w:rPr>
                <w:color w:val="auto"/>
                <w:highlight w:val="none"/>
              </w:rPr>
              <w:t xml:space="preserve">分</w:t>
            </w:r>
            <w:r>
              <w:rPr>
                <w:rFonts w:hint="eastAsia"/>
                <w:color w:val="auto"/>
                <w:highlight w:val="none"/>
              </w:rPr>
              <w:t xml:space="preserve">；</w:t>
            </w:r>
            <w:r/>
          </w:p>
          <w:p>
            <w:pPr>
              <w:spacing w:line="360" w:lineRule="auto"/>
              <w:tabs>
                <w:tab w:val="left" w:pos="840" w:leader="none"/>
                <w:tab w:val="left" w:pos="1261" w:leader="none"/>
              </w:tabs>
              <w:rPr>
                <w:color w:val="auto"/>
                <w:spacing w:val="-1"/>
                <w:highlight w:val="none"/>
              </w:rPr>
            </w:pPr>
            <w:r>
              <w:rPr>
                <w:color w:val="auto"/>
                <w:highlight w:val="none"/>
              </w:rPr>
              <w:t xml:space="preserve">方案</w:t>
            </w:r>
            <w:r>
              <w:rPr>
                <w:color w:val="auto"/>
                <w:spacing w:val="-1"/>
                <w:highlight w:val="none"/>
              </w:rPr>
              <w:t xml:space="preserve">较科学较合理全面、重点突出、可操作性强，得</w:t>
            </w:r>
            <w:r>
              <w:rPr>
                <w:rFonts w:hint="eastAsia"/>
                <w:color w:val="auto"/>
                <w:spacing w:val="-22"/>
                <w:highlight w:val="none"/>
                <w:lang w:val="en-US" w:eastAsia="zh-CN"/>
              </w:rPr>
              <w:t xml:space="preserve">6</w:t>
            </w:r>
            <w:r>
              <w:rPr>
                <w:color w:val="auto"/>
                <w:spacing w:val="-1"/>
                <w:highlight w:val="none"/>
              </w:rPr>
              <w:t xml:space="preserve">分；</w:t>
            </w:r>
            <w:r/>
          </w:p>
          <w:p>
            <w:pPr>
              <w:spacing w:line="360" w:lineRule="auto"/>
              <w:tabs>
                <w:tab w:val="left" w:pos="840" w:leader="none"/>
                <w:tab w:val="left" w:pos="1261" w:leader="none"/>
              </w:tabs>
              <w:rPr>
                <w:color w:val="auto"/>
                <w:spacing w:val="-2"/>
                <w:highlight w:val="none"/>
              </w:rPr>
            </w:pPr>
            <w:r>
              <w:rPr>
                <w:color w:val="auto"/>
                <w:spacing w:val="-1"/>
                <w:highlight w:val="none"/>
              </w:rPr>
              <w:t xml:space="preserve">方案一般、能重点突出、针对性一般，</w:t>
            </w:r>
            <w:r>
              <w:rPr>
                <w:rFonts w:hint="eastAsia"/>
                <w:color w:val="auto"/>
                <w:spacing w:val="-1"/>
                <w:highlight w:val="none"/>
                <w:lang w:val="en-US" w:eastAsia="zh-CN"/>
              </w:rPr>
              <w:t xml:space="preserve">具有一定</w:t>
            </w:r>
            <w:r>
              <w:rPr>
                <w:color w:val="auto"/>
                <w:spacing w:val="-2"/>
                <w:highlight w:val="none"/>
              </w:rPr>
              <w:t xml:space="preserve">可操作性的得</w:t>
            </w:r>
            <w:r>
              <w:rPr>
                <w:rFonts w:hint="eastAsia"/>
                <w:color w:val="auto"/>
                <w:spacing w:val="-34"/>
                <w:highlight w:val="none"/>
                <w:lang w:val="en-US" w:eastAsia="zh-CN"/>
              </w:rPr>
              <w:t xml:space="preserve">4</w:t>
            </w:r>
            <w:r>
              <w:rPr>
                <w:color w:val="auto"/>
                <w:spacing w:val="-2"/>
                <w:highlight w:val="none"/>
              </w:rPr>
              <w:t xml:space="preserve">分；</w:t>
            </w:r>
            <w:r/>
          </w:p>
          <w:p>
            <w:pPr>
              <w:pStyle w:val="898"/>
              <w:ind w:left="0" w:firstLine="0"/>
              <w:rPr>
                <w:rFonts w:hint="default" w:eastAsia="宋体"/>
                <w:color w:val="auto"/>
                <w:highlight w:val="none"/>
                <w:lang w:val="en-US" w:eastAsia="zh-CN"/>
              </w:rPr>
            </w:pPr>
            <w:r>
              <w:rPr>
                <w:color w:val="auto"/>
                <w:spacing w:val="-1"/>
                <w:highlight w:val="none"/>
              </w:rPr>
              <w:t xml:space="preserve">方案</w:t>
            </w:r>
            <w:r>
              <w:rPr>
                <w:rFonts w:hint="eastAsia"/>
                <w:color w:val="auto"/>
                <w:spacing w:val="-1"/>
                <w:highlight w:val="none"/>
                <w:lang w:val="en-US" w:eastAsia="zh-CN"/>
              </w:rPr>
              <w:t xml:space="preserve">基本满足项目需求的，得2分；</w:t>
            </w:r>
            <w:r/>
          </w:p>
          <w:p>
            <w:pPr>
              <w:widowControl/>
              <w:rPr>
                <w:rFonts w:ascii="宋体" w:hAnsi="宋体" w:cs="宋体"/>
                <w:color w:val="auto"/>
                <w:szCs w:val="21"/>
                <w:highlight w:val="none"/>
                <w:lang w:val="zh-CN"/>
              </w:rPr>
            </w:pPr>
            <w:r>
              <w:rPr>
                <w:color w:val="auto"/>
                <w:spacing w:val="-2"/>
                <w:highlight w:val="none"/>
              </w:rPr>
              <w:t xml:space="preserve">未提供相应方案的不</w:t>
            </w:r>
            <w:r>
              <w:rPr>
                <w:color w:val="auto"/>
                <w:spacing w:val="-9"/>
                <w:highlight w:val="none"/>
              </w:rPr>
              <w:t xml:space="preserve">得分。</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bCs/>
                <w:color w:val="auto"/>
                <w:szCs w:val="21"/>
                <w:highlight w:val="none"/>
              </w:rPr>
              <w:t xml:space="preserve">8分</w:t>
            </w:r>
            <w:r/>
          </w:p>
        </w:tc>
      </w:tr>
      <w:tr>
        <w:trPr>
          <w:cantSplit/>
          <w:trHeight w:val="769"/>
        </w:trPr>
        <w:tc>
          <w:tcPr>
            <w:tcBorders>
              <w:left w:val="single" w:color="000000" w:sz="4" w:space="0"/>
              <w:right w:val="single" w:color="000000" w:sz="4" w:space="0"/>
            </w:tcBorders>
            <w:tcW w:w="515" w:type="dxa"/>
            <w:vAlign w:val="center"/>
            <w:vMerge w:val="continue"/>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left w:val="single" w:color="000000" w:sz="4" w:space="0"/>
              <w:right w:val="single" w:color="000000" w:sz="4" w:space="0"/>
            </w:tcBorders>
            <w:tcW w:w="1074" w:type="dxa"/>
            <w:vAlign w:val="center"/>
            <w:vMerge w:val="continue"/>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7437" w:type="dxa"/>
            <w:vAlign w:val="top"/>
            <w:textDirection w:val="lrTb"/>
            <w:noWrap w:val="false"/>
          </w:tcPr>
          <w:p>
            <w:pPr>
              <w:jc w:val="left"/>
              <w:spacing w:line="360" w:lineRule="auto"/>
              <w:widowControl/>
              <w:rPr>
                <w:rFonts w:ascii="宋体" w:hAnsi="宋体" w:cs="宋体"/>
                <w:color w:val="auto"/>
                <w:szCs w:val="21"/>
                <w:highlight w:val="none"/>
              </w:rPr>
            </w:pPr>
            <w:r>
              <w:rPr>
                <w:rFonts w:hint="eastAsia"/>
                <w:color w:val="auto"/>
                <w:spacing w:val="6"/>
                <w:highlight w:val="none"/>
              </w:rPr>
              <w:t xml:space="preserve">根据投标人提供的</w:t>
            </w:r>
            <w:r>
              <w:rPr>
                <w:rFonts w:hint="eastAsia" w:ascii="宋体" w:hAnsi="宋体" w:cs="宋体"/>
                <w:color w:val="auto"/>
                <w:szCs w:val="21"/>
                <w:highlight w:val="none"/>
              </w:rPr>
              <w:t xml:space="preserve">对本项目的供货实施服务方案（包含但不限于：货物运输和送至指定地点后得交付、摆放等内容）进行综合评分：</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供货实施方案内容完善、科学，具有可行性得8分；</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供货实施方案较完善、科学，具有较好可行性得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 </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供货实施方案基本完善、科学，具有一定的可行性得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pStyle w:val="898"/>
              <w:ind w:left="0" w:firstLine="0"/>
              <w:rPr>
                <w:color w:val="auto"/>
                <w:highlight w:val="none"/>
              </w:rPr>
            </w:pPr>
            <w:r>
              <w:rPr>
                <w:color w:val="auto"/>
                <w:spacing w:val="-1"/>
                <w:highlight w:val="none"/>
              </w:rPr>
              <w:t xml:space="preserve">方案</w:t>
            </w:r>
            <w:r>
              <w:rPr>
                <w:rFonts w:hint="eastAsia"/>
                <w:color w:val="auto"/>
                <w:spacing w:val="-1"/>
                <w:highlight w:val="none"/>
                <w:lang w:val="en-US" w:eastAsia="zh-CN"/>
              </w:rPr>
              <w:t xml:space="preserve">基本满足项目需求的，得2分；</w:t>
            </w:r>
            <w:r/>
          </w:p>
          <w:p>
            <w:pPr>
              <w:pStyle w:val="876"/>
              <w:rPr>
                <w:color w:val="auto"/>
                <w:highlight w:val="none"/>
              </w:rPr>
            </w:pPr>
            <w:r>
              <w:rPr>
                <w:color w:val="auto"/>
                <w:spacing w:val="-2"/>
                <w:highlight w:val="none"/>
              </w:rPr>
              <w:t xml:space="preserve">未提供相应方案的不</w:t>
            </w:r>
            <w:r>
              <w:rPr>
                <w:color w:val="auto"/>
                <w:spacing w:val="-9"/>
                <w:highlight w:val="none"/>
              </w:rPr>
              <w:t xml:space="preserve">得分。</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8分</w:t>
            </w:r>
            <w:r/>
          </w:p>
        </w:tc>
      </w:tr>
      <w:tr>
        <w:trPr>
          <w:cantSplit/>
          <w:trHeight w:val="769"/>
        </w:trPr>
        <w:tc>
          <w:tcPr>
            <w:tcBorders>
              <w:left w:val="single" w:color="000000" w:sz="4" w:space="0"/>
              <w:right w:val="single" w:color="000000" w:sz="4" w:space="0"/>
            </w:tcBorders>
            <w:tcW w:w="515" w:type="dxa"/>
            <w:vAlign w:val="center"/>
            <w:vMerge w:val="continue"/>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left w:val="single" w:color="000000" w:sz="4" w:space="0"/>
              <w:right w:val="single" w:color="000000" w:sz="4" w:space="0"/>
            </w:tcBorders>
            <w:tcW w:w="1074" w:type="dxa"/>
            <w:vAlign w:val="center"/>
            <w:vMerge w:val="continue"/>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7437" w:type="dxa"/>
            <w:vAlign w:val="top"/>
            <w:textDirection w:val="lrTb"/>
            <w:noWrap w:val="false"/>
          </w:tcPr>
          <w:p>
            <w:pPr>
              <w:spacing w:line="360" w:lineRule="auto"/>
              <w:tabs>
                <w:tab w:val="left" w:pos="840" w:leader="none"/>
                <w:tab w:val="left" w:pos="1261" w:leader="none"/>
              </w:tabs>
              <w:rPr>
                <w:color w:val="auto"/>
                <w:spacing w:val="6"/>
                <w:highlight w:val="none"/>
              </w:rPr>
            </w:pPr>
            <w:r>
              <w:rPr>
                <w:rFonts w:hint="eastAsia"/>
                <w:color w:val="auto"/>
                <w:spacing w:val="6"/>
                <w:highlight w:val="none"/>
              </w:rPr>
              <w:t xml:space="preserve">根据投标人提供的产品质量保障方案</w:t>
            </w:r>
            <w:r>
              <w:rPr>
                <w:rFonts w:hint="eastAsia" w:ascii="宋体" w:hAnsi="宋体" w:cs="宋体"/>
                <w:color w:val="auto"/>
                <w:szCs w:val="21"/>
                <w:highlight w:val="none"/>
              </w:rPr>
              <w:t xml:space="preserve">进行综合评分：</w:t>
            </w:r>
            <w:r/>
          </w:p>
          <w:p>
            <w:pPr>
              <w:spacing w:line="360" w:lineRule="auto"/>
              <w:tabs>
                <w:tab w:val="left" w:pos="840" w:leader="none"/>
                <w:tab w:val="left" w:pos="1261" w:leader="none"/>
              </w:tabs>
              <w:rPr>
                <w:color w:val="auto"/>
                <w:spacing w:val="6"/>
                <w:highlight w:val="none"/>
              </w:rPr>
            </w:pPr>
            <w:r>
              <w:rPr>
                <w:rFonts w:hint="eastAsia"/>
                <w:color w:val="auto"/>
                <w:spacing w:val="6"/>
                <w:highlight w:val="none"/>
              </w:rPr>
              <w:t xml:space="preserve">产品质量保障方案合理可行，针对性强的得8分；</w:t>
            </w:r>
            <w:r/>
          </w:p>
          <w:p>
            <w:pPr>
              <w:spacing w:line="360" w:lineRule="auto"/>
              <w:tabs>
                <w:tab w:val="left" w:pos="840" w:leader="none"/>
                <w:tab w:val="left" w:pos="1261" w:leader="none"/>
              </w:tabs>
              <w:rPr>
                <w:rFonts w:hint="eastAsia"/>
                <w:color w:val="auto"/>
                <w:spacing w:val="6"/>
                <w:highlight w:val="none"/>
              </w:rPr>
            </w:pPr>
            <w:r>
              <w:rPr>
                <w:rFonts w:hint="eastAsia"/>
                <w:color w:val="auto"/>
                <w:spacing w:val="6"/>
                <w:highlight w:val="none"/>
              </w:rPr>
              <w:t xml:space="preserve">产品质量保障方案较合理可行，针对性较强的得</w:t>
            </w:r>
            <w:r>
              <w:rPr>
                <w:rFonts w:hint="eastAsia"/>
                <w:color w:val="auto"/>
                <w:spacing w:val="6"/>
                <w:highlight w:val="none"/>
                <w:lang w:val="en-US" w:eastAsia="zh-CN"/>
              </w:rPr>
              <w:t xml:space="preserve">6</w:t>
            </w:r>
            <w:r>
              <w:rPr>
                <w:rFonts w:hint="eastAsia"/>
                <w:color w:val="auto"/>
                <w:spacing w:val="6"/>
                <w:highlight w:val="none"/>
              </w:rPr>
              <w:t xml:space="preserve">分；</w:t>
            </w:r>
            <w:r/>
          </w:p>
          <w:p>
            <w:pPr>
              <w:spacing w:line="360" w:lineRule="auto"/>
              <w:tabs>
                <w:tab w:val="left" w:pos="840" w:leader="none"/>
                <w:tab w:val="left" w:pos="1261" w:leader="none"/>
              </w:tabs>
              <w:rPr>
                <w:color w:val="auto"/>
                <w:highlight w:val="none"/>
              </w:rPr>
            </w:pPr>
            <w:r>
              <w:rPr>
                <w:rFonts w:hint="eastAsia"/>
                <w:color w:val="auto"/>
                <w:spacing w:val="6"/>
                <w:highlight w:val="none"/>
              </w:rPr>
              <w:t xml:space="preserve">产品质量保障方案</w:t>
            </w:r>
            <w:r>
              <w:rPr>
                <w:rFonts w:hint="eastAsia"/>
                <w:color w:val="auto"/>
                <w:spacing w:val="6"/>
                <w:highlight w:val="none"/>
                <w:lang w:val="en-US" w:eastAsia="zh-CN"/>
              </w:rPr>
              <w:t xml:space="preserve">基本</w:t>
            </w:r>
            <w:r>
              <w:rPr>
                <w:rFonts w:hint="eastAsia"/>
                <w:color w:val="auto"/>
                <w:spacing w:val="6"/>
                <w:highlight w:val="none"/>
              </w:rPr>
              <w:t xml:space="preserve">合理可行，</w:t>
            </w:r>
            <w:r>
              <w:rPr>
                <w:rFonts w:hint="eastAsia"/>
                <w:color w:val="auto"/>
                <w:spacing w:val="6"/>
                <w:highlight w:val="none"/>
                <w:lang w:val="en-US" w:eastAsia="zh-CN"/>
              </w:rPr>
              <w:t xml:space="preserve">具有一定</w:t>
            </w:r>
            <w:r>
              <w:rPr>
                <w:rFonts w:hint="eastAsia"/>
                <w:color w:val="auto"/>
                <w:spacing w:val="6"/>
                <w:highlight w:val="none"/>
              </w:rPr>
              <w:t xml:space="preserve">针对性的得</w:t>
            </w:r>
            <w:r>
              <w:rPr>
                <w:rFonts w:hint="eastAsia"/>
                <w:color w:val="auto"/>
                <w:spacing w:val="6"/>
                <w:highlight w:val="none"/>
                <w:lang w:val="en-US" w:eastAsia="zh-CN"/>
              </w:rPr>
              <w:t xml:space="preserve">4</w:t>
            </w:r>
            <w:r>
              <w:rPr>
                <w:rFonts w:hint="eastAsia"/>
                <w:color w:val="auto"/>
                <w:spacing w:val="6"/>
                <w:highlight w:val="none"/>
              </w:rPr>
              <w:t xml:space="preserve">分；</w:t>
            </w:r>
            <w:r/>
          </w:p>
          <w:p>
            <w:pPr>
              <w:spacing w:line="360" w:lineRule="auto"/>
              <w:tabs>
                <w:tab w:val="left" w:pos="840" w:leader="none"/>
                <w:tab w:val="left" w:pos="1261" w:leader="none"/>
              </w:tabs>
              <w:rPr>
                <w:color w:val="auto"/>
                <w:spacing w:val="6"/>
                <w:highlight w:val="none"/>
              </w:rPr>
            </w:pPr>
            <w:r>
              <w:rPr>
                <w:rFonts w:hint="eastAsia"/>
                <w:color w:val="auto"/>
                <w:spacing w:val="6"/>
                <w:highlight w:val="none"/>
              </w:rPr>
              <w:t xml:space="preserve">产品质量保障方案内容基本合理可行的得2分；</w:t>
            </w:r>
            <w:r/>
          </w:p>
          <w:p>
            <w:pPr>
              <w:spacing w:line="360" w:lineRule="auto"/>
              <w:tabs>
                <w:tab w:val="left" w:pos="840" w:leader="none"/>
                <w:tab w:val="left" w:pos="1261" w:leader="none"/>
              </w:tabs>
              <w:rPr>
                <w:rFonts w:ascii="宋体" w:hAnsi="宋体" w:cs="宋体"/>
                <w:color w:val="auto"/>
                <w:szCs w:val="21"/>
                <w:highlight w:val="none"/>
                <w:lang w:val="zh-CN"/>
              </w:rPr>
            </w:pPr>
            <w:r>
              <w:rPr>
                <w:color w:val="auto"/>
                <w:spacing w:val="-2"/>
                <w:highlight w:val="none"/>
              </w:rPr>
              <w:t xml:space="preserve">未提供相应方案的不</w:t>
            </w:r>
            <w:r>
              <w:rPr>
                <w:color w:val="auto"/>
                <w:spacing w:val="-9"/>
                <w:highlight w:val="none"/>
              </w:rPr>
              <w:t xml:space="preserve">得分。</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bCs/>
                <w:color w:val="auto"/>
                <w:szCs w:val="21"/>
                <w:highlight w:val="none"/>
              </w:rPr>
              <w:t xml:space="preserve">8分</w:t>
            </w:r>
            <w:r/>
          </w:p>
        </w:tc>
      </w:tr>
      <w:tr>
        <w:trPr>
          <w:cantSplit/>
          <w:trHeight w:val="1912"/>
        </w:trPr>
        <w:tc>
          <w:tcPr>
            <w:tcBorders>
              <w:left w:val="single" w:color="000000" w:sz="4" w:space="0"/>
              <w:right w:val="single" w:color="000000" w:sz="4" w:space="0"/>
            </w:tcBorders>
            <w:tcW w:w="515" w:type="dxa"/>
            <w:vAlign w:val="center"/>
            <w:vMerge w:val="continue"/>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left w:val="single" w:color="000000" w:sz="4" w:space="0"/>
              <w:right w:val="single" w:color="000000" w:sz="4" w:space="0"/>
            </w:tcBorders>
            <w:tcW w:w="1074" w:type="dxa"/>
            <w:vAlign w:val="center"/>
            <w:vMerge w:val="continue"/>
            <w:textDirection w:val="lrTb"/>
            <w:noWrap w:val="false"/>
          </w:tcPr>
          <w:p>
            <w:pPr>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7437" w:type="dxa"/>
            <w:vAlign w:val="top"/>
            <w:textDirection w:val="lrTb"/>
            <w:noWrap w:val="false"/>
          </w:tcPr>
          <w:p>
            <w:pPr>
              <w:spacing w:line="360" w:lineRule="auto"/>
              <w:tabs>
                <w:tab w:val="left" w:pos="840" w:leader="none"/>
                <w:tab w:val="left" w:pos="1261" w:leader="none"/>
              </w:tabs>
              <w:rPr>
                <w:color w:val="auto"/>
                <w:spacing w:val="6"/>
                <w:highlight w:val="none"/>
              </w:rPr>
            </w:pPr>
            <w:r>
              <w:rPr>
                <w:rFonts w:hint="eastAsia"/>
                <w:color w:val="auto"/>
                <w:spacing w:val="6"/>
                <w:highlight w:val="none"/>
              </w:rPr>
              <w:t xml:space="preserve"> 根据投标人提供的培训计划及方案，包括但不限于方案质量、培训方式、培训频次、培训时间、培训人员等进行综合评分：</w:t>
            </w:r>
            <w:r/>
          </w:p>
          <w:p>
            <w:pPr>
              <w:spacing w:line="360" w:lineRule="auto"/>
              <w:tabs>
                <w:tab w:val="left" w:pos="840" w:leader="none"/>
                <w:tab w:val="left" w:pos="1261" w:leader="none"/>
              </w:tabs>
              <w:rPr>
                <w:color w:val="auto"/>
                <w:spacing w:val="6"/>
                <w:highlight w:val="none"/>
              </w:rPr>
            </w:pPr>
            <w:r>
              <w:rPr>
                <w:rFonts w:hint="eastAsia"/>
                <w:color w:val="auto"/>
                <w:spacing w:val="6"/>
                <w:highlight w:val="none"/>
              </w:rPr>
              <w:t xml:space="preserve">方案针对性强，可行性强的得8分；</w:t>
            </w:r>
            <w:r/>
          </w:p>
          <w:p>
            <w:pPr>
              <w:spacing w:line="360" w:lineRule="auto"/>
              <w:tabs>
                <w:tab w:val="left" w:pos="840" w:leader="none"/>
                <w:tab w:val="left" w:pos="1261" w:leader="none"/>
              </w:tabs>
              <w:rPr>
                <w:color w:val="auto"/>
                <w:spacing w:val="6"/>
                <w:highlight w:val="none"/>
              </w:rPr>
            </w:pPr>
            <w:r>
              <w:rPr>
                <w:rFonts w:hint="eastAsia"/>
                <w:color w:val="auto"/>
                <w:spacing w:val="6"/>
                <w:highlight w:val="none"/>
              </w:rPr>
              <w:t xml:space="preserve">方案描述及可行性均较强的得</w:t>
            </w:r>
            <w:r>
              <w:rPr>
                <w:rFonts w:hint="eastAsia"/>
                <w:color w:val="auto"/>
                <w:spacing w:val="6"/>
                <w:highlight w:val="none"/>
                <w:lang w:val="en-US" w:eastAsia="zh-CN"/>
              </w:rPr>
              <w:t xml:space="preserve">6</w:t>
            </w:r>
            <w:r>
              <w:rPr>
                <w:rFonts w:hint="eastAsia"/>
                <w:color w:val="auto"/>
                <w:spacing w:val="6"/>
                <w:highlight w:val="none"/>
              </w:rPr>
              <w:t xml:space="preserve">分；</w:t>
            </w:r>
            <w:r/>
          </w:p>
          <w:p>
            <w:pPr>
              <w:spacing w:line="360" w:lineRule="auto"/>
              <w:tabs>
                <w:tab w:val="left" w:pos="840" w:leader="none"/>
                <w:tab w:val="left" w:pos="1261" w:leader="none"/>
              </w:tabs>
              <w:rPr>
                <w:rFonts w:hint="eastAsia"/>
                <w:color w:val="auto"/>
                <w:spacing w:val="6"/>
                <w:highlight w:val="none"/>
              </w:rPr>
            </w:pPr>
            <w:r>
              <w:rPr>
                <w:rFonts w:hint="eastAsia"/>
                <w:color w:val="auto"/>
                <w:spacing w:val="6"/>
                <w:highlight w:val="none"/>
              </w:rPr>
              <w:t xml:space="preserve">方案描述简单，</w:t>
            </w:r>
            <w:r>
              <w:rPr>
                <w:rFonts w:hint="eastAsia"/>
                <w:color w:val="auto"/>
                <w:spacing w:val="6"/>
                <w:highlight w:val="none"/>
                <w:lang w:val="en-US" w:eastAsia="zh-CN"/>
              </w:rPr>
              <w:t xml:space="preserve">具有一定</w:t>
            </w:r>
            <w:r>
              <w:rPr>
                <w:rFonts w:hint="eastAsia"/>
                <w:color w:val="auto"/>
                <w:spacing w:val="6"/>
                <w:highlight w:val="none"/>
              </w:rPr>
              <w:t xml:space="preserve">可行性的得</w:t>
            </w:r>
            <w:r>
              <w:rPr>
                <w:rFonts w:hint="eastAsia"/>
                <w:color w:val="auto"/>
                <w:spacing w:val="6"/>
                <w:highlight w:val="none"/>
                <w:lang w:val="en-US" w:eastAsia="zh-CN"/>
              </w:rPr>
              <w:t xml:space="preserve">4</w:t>
            </w:r>
            <w:r>
              <w:rPr>
                <w:rFonts w:hint="eastAsia"/>
                <w:color w:val="auto"/>
                <w:spacing w:val="6"/>
                <w:highlight w:val="none"/>
              </w:rPr>
              <w:t xml:space="preserve">分；</w:t>
            </w:r>
            <w:r/>
          </w:p>
          <w:p>
            <w:pPr>
              <w:pStyle w:val="898"/>
              <w:ind w:left="0" w:firstLine="0"/>
              <w:rPr>
                <w:color w:val="auto"/>
                <w:highlight w:val="none"/>
              </w:rPr>
            </w:pPr>
            <w:r>
              <w:rPr>
                <w:color w:val="auto"/>
                <w:spacing w:val="-1"/>
                <w:highlight w:val="none"/>
              </w:rPr>
              <w:t xml:space="preserve">方案</w:t>
            </w:r>
            <w:r>
              <w:rPr>
                <w:rFonts w:hint="eastAsia"/>
                <w:color w:val="auto"/>
                <w:spacing w:val="-1"/>
                <w:highlight w:val="none"/>
                <w:lang w:val="en-US" w:eastAsia="zh-CN"/>
              </w:rPr>
              <w:t xml:space="preserve">基本满足项目需求的，得2分；</w:t>
            </w:r>
            <w:r/>
          </w:p>
          <w:p>
            <w:pPr>
              <w:spacing w:line="360" w:lineRule="auto"/>
              <w:tabs>
                <w:tab w:val="left" w:pos="840" w:leader="none"/>
                <w:tab w:val="left" w:pos="1261" w:leader="none"/>
              </w:tabs>
              <w:rPr>
                <w:rFonts w:ascii="宋体" w:hAnsi="宋体" w:cs="宋体"/>
                <w:color w:val="auto"/>
                <w:szCs w:val="21"/>
                <w:highlight w:val="none"/>
                <w:lang w:val="zh-CN"/>
              </w:rPr>
            </w:pPr>
            <w:r>
              <w:rPr>
                <w:rFonts w:hint="eastAsia"/>
                <w:color w:val="auto"/>
                <w:spacing w:val="6"/>
                <w:highlight w:val="none"/>
              </w:rPr>
              <w:t xml:space="preserve">未提供相应方案的不得分。</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bCs/>
                <w:color w:val="auto"/>
                <w:szCs w:val="21"/>
                <w:highlight w:val="none"/>
              </w:rPr>
              <w:t xml:space="preserve">8分</w:t>
            </w:r>
            <w:r/>
          </w:p>
        </w:tc>
      </w:tr>
      <w:tr>
        <w:trPr>
          <w:cantSplit/>
          <w:trHeight w:val="413"/>
        </w:trPr>
        <w:tc>
          <w:tcPr>
            <w:tcBorders>
              <w:left w:val="single" w:color="000000" w:sz="4" w:space="0"/>
              <w:right w:val="single" w:color="000000" w:sz="4" w:space="0"/>
            </w:tcBorders>
            <w:tcW w:w="515" w:type="dxa"/>
            <w:vAlign w:val="center"/>
            <w:vMerge w:val="continue"/>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left w:val="single" w:color="000000" w:sz="4" w:space="0"/>
              <w:right w:val="single" w:color="000000" w:sz="4" w:space="0"/>
            </w:tcBorders>
            <w:tcW w:w="1074" w:type="dxa"/>
            <w:vAlign w:val="center"/>
            <w:vMerge w:val="continue"/>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7437" w:type="dxa"/>
            <w:vAlign w:val="top"/>
            <w:textDirection w:val="lrTb"/>
            <w:noWrap w:val="false"/>
          </w:tcPr>
          <w:p>
            <w:pPr>
              <w:spacing w:line="360" w:lineRule="auto"/>
              <w:tabs>
                <w:tab w:val="left" w:pos="840" w:leader="none"/>
                <w:tab w:val="left" w:pos="1261" w:leader="none"/>
              </w:tabs>
              <w:rPr>
                <w:color w:val="auto"/>
                <w:spacing w:val="6"/>
                <w:highlight w:val="none"/>
              </w:rPr>
            </w:pPr>
            <w:r>
              <w:rPr>
                <w:rFonts w:hint="eastAsia"/>
                <w:color w:val="auto"/>
                <w:spacing w:val="6"/>
                <w:highlight w:val="none"/>
              </w:rPr>
              <w:t xml:space="preserve">根据投标人提供的售后服务方案，包括但不限于服务范围以及故障解决方案、响应时间、应急处理方案、售后服务电话等及服务响应时间进行综合评分：</w:t>
            </w:r>
            <w:r/>
          </w:p>
          <w:p>
            <w:pPr>
              <w:spacing w:line="360" w:lineRule="auto"/>
              <w:tabs>
                <w:tab w:val="left" w:pos="840" w:leader="none"/>
                <w:tab w:val="left" w:pos="1261" w:leader="none"/>
              </w:tabs>
              <w:rPr>
                <w:color w:val="auto"/>
                <w:spacing w:val="6"/>
                <w:highlight w:val="none"/>
              </w:rPr>
            </w:pPr>
            <w:r>
              <w:rPr>
                <w:rFonts w:hint="eastAsia"/>
                <w:color w:val="auto"/>
                <w:spacing w:val="6"/>
                <w:highlight w:val="none"/>
              </w:rPr>
              <w:t xml:space="preserve">方案详细，可操作性强得8分；</w:t>
            </w:r>
            <w:r/>
          </w:p>
          <w:p>
            <w:pPr>
              <w:spacing w:line="360" w:lineRule="auto"/>
              <w:tabs>
                <w:tab w:val="left" w:pos="840" w:leader="none"/>
                <w:tab w:val="left" w:pos="1261" w:leader="none"/>
              </w:tabs>
              <w:rPr>
                <w:color w:val="auto"/>
                <w:spacing w:val="6"/>
                <w:highlight w:val="none"/>
              </w:rPr>
            </w:pPr>
            <w:r>
              <w:rPr>
                <w:rFonts w:hint="eastAsia"/>
                <w:color w:val="auto"/>
                <w:spacing w:val="6"/>
                <w:highlight w:val="none"/>
              </w:rPr>
              <w:t xml:space="preserve">方案较详细，可操作性较强得</w:t>
            </w:r>
            <w:r>
              <w:rPr>
                <w:rFonts w:hint="eastAsia"/>
                <w:color w:val="auto"/>
                <w:spacing w:val="6"/>
                <w:highlight w:val="none"/>
                <w:lang w:val="en-US" w:eastAsia="zh-CN"/>
              </w:rPr>
              <w:t xml:space="preserve">6</w:t>
            </w:r>
            <w:r>
              <w:rPr>
                <w:rFonts w:hint="eastAsia"/>
                <w:color w:val="auto"/>
                <w:spacing w:val="6"/>
                <w:highlight w:val="none"/>
              </w:rPr>
              <w:t xml:space="preserve">分；</w:t>
            </w:r>
            <w:r/>
          </w:p>
          <w:p>
            <w:pPr>
              <w:spacing w:line="360" w:lineRule="auto"/>
              <w:tabs>
                <w:tab w:val="left" w:pos="840" w:leader="none"/>
                <w:tab w:val="left" w:pos="1261" w:leader="none"/>
              </w:tabs>
              <w:rPr>
                <w:rFonts w:hint="eastAsia"/>
                <w:color w:val="auto"/>
                <w:spacing w:val="6"/>
                <w:highlight w:val="none"/>
              </w:rPr>
            </w:pPr>
            <w:r>
              <w:rPr>
                <w:rFonts w:hint="eastAsia"/>
                <w:color w:val="auto"/>
                <w:spacing w:val="6"/>
                <w:highlight w:val="none"/>
              </w:rPr>
              <w:t xml:space="preserve">方案</w:t>
            </w:r>
            <w:r>
              <w:rPr>
                <w:rFonts w:hint="eastAsia"/>
                <w:color w:val="auto"/>
                <w:spacing w:val="6"/>
                <w:highlight w:val="none"/>
                <w:lang w:val="en-US" w:eastAsia="zh-CN"/>
              </w:rPr>
              <w:t xml:space="preserve">基本完善</w:t>
            </w:r>
            <w:r>
              <w:rPr>
                <w:rFonts w:hint="eastAsia"/>
                <w:color w:val="auto"/>
                <w:spacing w:val="6"/>
                <w:highlight w:val="none"/>
              </w:rPr>
              <w:t xml:space="preserve">，</w:t>
            </w:r>
            <w:r>
              <w:rPr>
                <w:rFonts w:hint="eastAsia"/>
                <w:color w:val="auto"/>
                <w:spacing w:val="6"/>
                <w:highlight w:val="none"/>
                <w:lang w:val="en-US" w:eastAsia="zh-CN"/>
              </w:rPr>
              <w:t xml:space="preserve">具有一定</w:t>
            </w:r>
            <w:r>
              <w:rPr>
                <w:rFonts w:hint="eastAsia"/>
                <w:color w:val="auto"/>
                <w:spacing w:val="6"/>
                <w:highlight w:val="none"/>
              </w:rPr>
              <w:t xml:space="preserve">可操作性得</w:t>
            </w:r>
            <w:r>
              <w:rPr>
                <w:rFonts w:hint="eastAsia"/>
                <w:color w:val="auto"/>
                <w:spacing w:val="6"/>
                <w:highlight w:val="none"/>
                <w:lang w:val="en-US" w:eastAsia="zh-CN"/>
              </w:rPr>
              <w:t xml:space="preserve">4</w:t>
            </w:r>
            <w:r>
              <w:rPr>
                <w:rFonts w:hint="eastAsia"/>
                <w:color w:val="auto"/>
                <w:spacing w:val="6"/>
                <w:highlight w:val="none"/>
              </w:rPr>
              <w:t xml:space="preserve">分；</w:t>
            </w:r>
            <w:r/>
          </w:p>
          <w:p>
            <w:pPr>
              <w:pStyle w:val="898"/>
              <w:ind w:left="0" w:firstLine="0"/>
              <w:rPr>
                <w:color w:val="auto"/>
                <w:highlight w:val="none"/>
              </w:rPr>
            </w:pPr>
            <w:r>
              <w:rPr>
                <w:color w:val="auto"/>
                <w:spacing w:val="-1"/>
                <w:highlight w:val="none"/>
              </w:rPr>
              <w:t xml:space="preserve">方案</w:t>
            </w:r>
            <w:r>
              <w:rPr>
                <w:rFonts w:hint="eastAsia"/>
                <w:color w:val="auto"/>
                <w:spacing w:val="-1"/>
                <w:highlight w:val="none"/>
                <w:lang w:val="en-US" w:eastAsia="zh-CN"/>
              </w:rPr>
              <w:t xml:space="preserve">基本满足项目需求的，得2分；</w:t>
            </w:r>
            <w:r/>
          </w:p>
          <w:p>
            <w:pPr>
              <w:spacing w:line="360" w:lineRule="auto"/>
              <w:tabs>
                <w:tab w:val="left" w:pos="840" w:leader="none"/>
                <w:tab w:val="left" w:pos="1261" w:leader="none"/>
              </w:tabs>
              <w:rPr>
                <w:rFonts w:ascii="宋体" w:hAnsi="宋体" w:cs="宋体"/>
                <w:color w:val="auto"/>
                <w:szCs w:val="21"/>
                <w:highlight w:val="none"/>
                <w:lang w:val="zh-CN"/>
              </w:rPr>
            </w:pPr>
            <w:r>
              <w:rPr>
                <w:rFonts w:hint="eastAsia"/>
                <w:color w:val="auto"/>
                <w:spacing w:val="6"/>
                <w:highlight w:val="none"/>
              </w:rPr>
              <w:t xml:space="preserve">未提供相应方案的不得分。</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bCs/>
                <w:color w:val="auto"/>
                <w:szCs w:val="21"/>
                <w:highlight w:val="none"/>
              </w:rPr>
              <w:t xml:space="preserve">8</w:t>
            </w:r>
            <w:r>
              <w:rPr>
                <w:rFonts w:ascii="宋体" w:hAnsi="宋体" w:cs="宋体"/>
                <w:bCs/>
                <w:color w:val="auto"/>
                <w:szCs w:val="21"/>
                <w:highlight w:val="none"/>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914"/>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14"/>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业绩</w:t>
            </w:r>
            <w:r/>
          </w:p>
        </w:tc>
        <w:tc>
          <w:tcPr>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jc w:val="left"/>
              <w:spacing w:line="360" w:lineRule="auto"/>
              <w:widowControl/>
              <w:rPr>
                <w:color w:val="auto"/>
                <w:highlight w:val="none"/>
              </w:rPr>
            </w:pPr>
            <w:r>
              <w:rPr>
                <w:rFonts w:hint="eastAsia" w:ascii="宋体" w:hAnsi="宋体" w:cs="宋体"/>
                <w:color w:val="auto"/>
                <w:szCs w:val="21"/>
                <w:highlight w:val="none"/>
              </w:rPr>
              <w:t xml:space="preserve">投标人自202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年1月（含）以来（以合同签订日期为准）的</w:t>
            </w:r>
            <w:r>
              <w:rPr>
                <w:rFonts w:hint="eastAsia" w:ascii="宋体" w:hAnsi="宋体" w:cs="宋体"/>
                <w:b/>
                <w:bCs/>
                <w:color w:val="auto"/>
                <w:sz w:val="21"/>
                <w:szCs w:val="21"/>
                <w:highlight w:val="none"/>
                <w:lang w:val="en-US" w:eastAsia="zh-CN"/>
              </w:rPr>
              <w:t xml:space="preserve">所投</w:t>
            </w:r>
            <w:r>
              <w:rPr>
                <w:rFonts w:hint="eastAsia" w:ascii="宋体" w:hAnsi="宋体" w:eastAsia="宋体" w:cs="宋体"/>
                <w:b/>
                <w:bCs/>
                <w:color w:val="auto"/>
                <w:sz w:val="21"/>
                <w:szCs w:val="21"/>
                <w:highlight w:val="none"/>
                <w:lang w:val="zh-CN"/>
              </w:rPr>
              <w:t xml:space="preserve">采购包</w:t>
            </w:r>
            <w:r>
              <w:rPr>
                <w:rFonts w:hint="eastAsia" w:ascii="宋体" w:hAnsi="宋体" w:cs="宋体"/>
                <w:b/>
                <w:bCs/>
                <w:color w:val="auto"/>
                <w:sz w:val="21"/>
                <w:szCs w:val="21"/>
                <w:highlight w:val="none"/>
                <w:lang w:val="en-US" w:eastAsia="zh-CN"/>
              </w:rPr>
              <w:t xml:space="preserve">包号相类似的</w:t>
            </w:r>
            <w:r>
              <w:rPr>
                <w:rFonts w:hint="eastAsia" w:ascii="宋体" w:hAnsi="宋体" w:eastAsia="宋体" w:cs="宋体"/>
                <w:b/>
                <w:bCs/>
                <w:color w:val="auto"/>
                <w:sz w:val="21"/>
                <w:szCs w:val="21"/>
                <w:highlight w:val="none"/>
                <w:lang w:val="zh-CN"/>
              </w:rPr>
              <w:t xml:space="preserve">供应项目</w:t>
            </w:r>
            <w:r>
              <w:rPr>
                <w:rFonts w:hint="eastAsia" w:ascii="宋体" w:hAnsi="宋体" w:cs="宋体"/>
                <w:b/>
                <w:bCs/>
                <w:color w:val="auto"/>
                <w:sz w:val="21"/>
                <w:szCs w:val="21"/>
                <w:highlight w:val="none"/>
                <w:lang w:val="zh-CN"/>
              </w:rPr>
              <w:t xml:space="preserve">（</w:t>
            </w:r>
            <w:r>
              <w:rPr>
                <w:rFonts w:hint="eastAsia" w:ascii="宋体" w:hAnsi="宋体" w:cs="宋体"/>
                <w:b/>
                <w:bCs/>
                <w:color w:val="auto"/>
                <w:sz w:val="21"/>
                <w:szCs w:val="21"/>
                <w:highlight w:val="none"/>
                <w:lang w:val="en-US" w:eastAsia="zh-CN"/>
              </w:rPr>
              <w:t xml:space="preserve">采购包含多个货物的至少含核心产品</w:t>
            </w:r>
            <w:r>
              <w:rPr>
                <w:rFonts w:hint="eastAsia" w:ascii="宋体" w:hAnsi="宋体" w:cs="宋体"/>
                <w:b/>
                <w:bCs/>
                <w:color w:val="auto"/>
                <w:sz w:val="21"/>
                <w:szCs w:val="21"/>
                <w:highlight w:val="none"/>
                <w:lang w:val="zh-CN"/>
              </w:rPr>
              <w:t xml:space="preserve">）</w:t>
            </w:r>
            <w:r>
              <w:rPr>
                <w:rFonts w:hint="eastAsia" w:ascii="宋体" w:hAnsi="宋体" w:cs="宋体"/>
                <w:color w:val="auto"/>
                <w:szCs w:val="21"/>
                <w:highlight w:val="none"/>
              </w:rPr>
              <w:t xml:space="preserve">类似业绩。每提供一个得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分，最多得</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分。（提供合同复印件加盖投标单位公章，合同需能体现相关信息</w:t>
            </w:r>
            <w:r>
              <w:rPr>
                <w:rFonts w:hint="eastAsia" w:ascii="宋体" w:hAnsi="宋体" w:cs="宋体"/>
                <w:color w:val="auto"/>
                <w:szCs w:val="21"/>
                <w:highlight w:val="none"/>
                <w:lang w:val="en-US" w:eastAsia="zh-CN"/>
              </w:rPr>
              <w:t xml:space="preserve">(</w:t>
            </w:r>
            <w:r>
              <w:rPr>
                <w:rFonts w:hint="eastAsia" w:cs="Arial"/>
                <w:color w:val="auto"/>
                <w:highlight w:val="none"/>
                <w:lang w:val="en-US" w:eastAsia="zh-CN"/>
              </w:rPr>
              <w:t xml:space="preserve">合同应能体现双方签字盖章、签订时间、货物类型等</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9</w:t>
            </w:r>
            <w:r>
              <w:rPr>
                <w:rFonts w:ascii="宋体" w:hAnsi="宋体" w:cs="宋体"/>
                <w:color w:val="auto"/>
                <w:szCs w:val="21"/>
                <w:highlight w:val="none"/>
                <w:lang w:val="zh-CN"/>
              </w:rPr>
              <w:t xml:space="preserve">分</w:t>
            </w:r>
            <w:r/>
          </w:p>
        </w:tc>
      </w:tr>
      <w:tr>
        <w:trPr>
          <w:trHeight w:val="327"/>
        </w:trPr>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914"/>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14"/>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产品功能、性能、配置</w:t>
            </w:r>
            <w:r/>
          </w:p>
          <w:p>
            <w:pPr>
              <w:pStyle w:val="914"/>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要求</w:t>
            </w:r>
            <w:r/>
          </w:p>
          <w:p>
            <w:pPr>
              <w:pStyle w:val="914"/>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设备技术参数全部满足招标要求的得</w:t>
            </w:r>
            <w:r>
              <w:rPr>
                <w:rFonts w:hint="eastAsia" w:ascii="宋体" w:hAnsi="宋体" w:cs="宋体"/>
                <w:color w:val="auto"/>
                <w:szCs w:val="21"/>
                <w:highlight w:val="none"/>
                <w:lang w:val="en-US" w:eastAsia="zh-CN"/>
              </w:rPr>
              <w:t xml:space="preserve">17</w:t>
            </w:r>
            <w:r>
              <w:rPr>
                <w:rFonts w:hint="eastAsia" w:ascii="宋体" w:hAnsi="宋体" w:cs="宋体"/>
                <w:color w:val="auto"/>
                <w:szCs w:val="21"/>
                <w:highlight w:val="none"/>
              </w:rPr>
              <w:t xml:space="preserve">分，评标委员会根据技术参数的偏离情况按以下标准进行评审：</w:t>
            </w:r>
            <w:r/>
          </w:p>
          <w:p>
            <w:pPr>
              <w:pStyle w:val="903"/>
              <w:ind w:left="0"/>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（1）标记为“★”的指标是关键条款，正偏离不加分，如不满足将按无效投标处理；</w:t>
            </w:r>
            <w:r/>
          </w:p>
          <w:p>
            <w:pPr>
              <w:pStyle w:val="903"/>
              <w:ind w:left="0"/>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（2）技术参数条款，加“▲”项参数为主要参数，每出现一条负偏离的，扣</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pStyle w:val="903"/>
              <w:ind w:left="0"/>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（3）除加“▲”项外的技术参数为一般技术参数条款，每出现一条负偏离的，扣</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pStyle w:val="903"/>
              <w:ind w:left="0"/>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扣完为止。</w:t>
            </w:r>
            <w:r/>
          </w:p>
          <w:p>
            <w:pPr>
              <w:pStyle w:val="903"/>
              <w:ind w:left="0"/>
              <w:spacing w:line="340" w:lineRule="exact"/>
              <w:rPr>
                <w:rFonts w:ascii="宋体" w:hAnsi="宋体" w:cs="宋体"/>
                <w:color w:val="auto"/>
                <w:szCs w:val="21"/>
                <w:highlight w:val="none"/>
              </w:rPr>
            </w:pPr>
            <w:r>
              <w:rPr>
                <w:rFonts w:hint="eastAsia" w:ascii="宋体" w:hAnsi="宋体" w:cs="宋体"/>
                <w:b/>
                <w:bCs/>
                <w:color w:val="auto"/>
                <w:szCs w:val="21"/>
                <w:highlight w:val="none"/>
              </w:rPr>
              <w:t xml:space="preserve">注:投标人在第六章投标文件格式附件五技术条款偏离表中逐项填写进行响应。要求提供证明材料的应按照招标文件第四章采购项目需求“三、设备要求设置”中相关要求予以提供，为便于评审相关关键参数需标明页码或框选提示，未提供证明材料视为负偏离。其余未要求提供证明材料的条款，投标人在技术条款偏离表中填写即可。</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17</w:t>
            </w:r>
            <w:r>
              <w:rPr>
                <w:rFonts w:ascii="宋体" w:hAnsi="宋体" w:cs="宋体"/>
                <w:color w:val="auto"/>
                <w:szCs w:val="21"/>
                <w:highlight w:val="none"/>
                <w:lang w:val="zh-CN"/>
              </w:rPr>
              <w:t xml:space="preserve">分</w:t>
            </w:r>
            <w:r/>
          </w:p>
        </w:tc>
      </w:tr>
      <w:tr>
        <w:trPr>
          <w:trHeight w:val="327"/>
        </w:trPr>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914"/>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spacing w:line="360" w:lineRule="auto"/>
              <w:rPr>
                <w:rFonts w:hint="eastAsia" w:ascii="宋体" w:hAnsi="宋体" w:eastAsia="宋体"/>
                <w:color w:val="auto"/>
                <w:szCs w:val="21"/>
                <w:highlight w:val="none"/>
                <w:lang w:val="en-US" w:eastAsia="zh-CN"/>
              </w:rPr>
            </w:pPr>
            <w:r>
              <w:rPr>
                <w:rFonts w:hint="eastAsia" w:ascii="宋体" w:hAnsi="宋体" w:cs="宋体"/>
                <w:bCs/>
                <w:color w:val="auto"/>
                <w:szCs w:val="21"/>
                <w:highlight w:val="none"/>
              </w:rPr>
              <w:t xml:space="preserve">履约能力</w:t>
            </w:r>
            <w:r>
              <w:rPr>
                <w:rFonts w:hint="eastAsia" w:ascii="宋体" w:hAnsi="宋体" w:cs="宋体"/>
                <w:bCs/>
                <w:color w:val="auto"/>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投标人提供承诺书，针对用户反馈的问题，承诺在2小时内做出响应并提供远程技术支撑。远程技术服务无法解决问题时，在一个工作日内能安排技术人员上门服务。提供承诺书，格式自拟，得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（注：须提供承诺书并加盖</w:t>
            </w:r>
            <w:r>
              <w:rPr>
                <w:rFonts w:hint="eastAsia" w:ascii="宋体" w:hAnsi="宋体" w:cs="宋体"/>
                <w:color w:val="auto"/>
                <w:szCs w:val="21"/>
                <w:highlight w:val="none"/>
                <w:lang w:val="en-US" w:eastAsia="zh-CN"/>
              </w:rPr>
              <w:t xml:space="preserve">投标人</w:t>
            </w:r>
            <w:r>
              <w:rPr>
                <w:rFonts w:hint="eastAsia" w:ascii="宋体" w:hAnsi="宋体" w:cs="宋体"/>
                <w:color w:val="auto"/>
                <w:szCs w:val="21"/>
                <w:highlight w:val="none"/>
              </w:rPr>
              <w:t xml:space="preserve">公章，格式自拟，未按要求提供不得分。）</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ascii="宋体" w:hAnsi="宋体" w:cs="宋体"/>
                <w:color w:val="auto"/>
                <w:szCs w:val="21"/>
                <w:highlight w:val="none"/>
                <w:lang w:val="zh-CN"/>
              </w:rPr>
              <w:t xml:space="preserve">分</w:t>
            </w:r>
            <w:r/>
          </w:p>
        </w:tc>
      </w:tr>
      <w:tr>
        <w:trPr>
          <w:trHeight w:val="327"/>
        </w:trPr>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914"/>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履约能力</w:t>
            </w:r>
            <w:r>
              <w:rPr>
                <w:rFonts w:hint="eastAsia" w:ascii="宋体" w:hAnsi="宋体" w:cs="宋体"/>
                <w:bCs/>
                <w:color w:val="auto"/>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spacing w:beforeAutospacing="0" w:afterAutospacing="0" w:line="360" w:lineRule="auto"/>
              <w:rPr>
                <w:rFonts w:hint="eastAsia" w:ascii="宋体" w:hAnsi="宋体" w:eastAsia="宋体" w:cs="宋体"/>
                <w:b w:val="0"/>
                <w:bCs w:val="0"/>
                <w:color w:val="auto"/>
                <w:szCs w:val="21"/>
                <w:highlight w:val="none"/>
                <w:lang w:eastAsia="zh-CN"/>
              </w:rPr>
            </w:pPr>
            <w:r>
              <w:rPr>
                <w:rFonts w:hint="eastAsia" w:ascii="宋体" w:hAnsi="宋体" w:eastAsia="宋体" w:cs="宋体"/>
                <w:color w:val="auto"/>
                <w:szCs w:val="21"/>
                <w:highlight w:val="none"/>
                <w:lang w:val="en-US" w:eastAsia="zh-CN"/>
              </w:rPr>
              <w:t xml:space="preserve">投标人提供承诺书，在采购项目需求质保的基础上（基本要求</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腰带和指挥棒需提1年质保。），每增加1年质保，加2分。质保期间内应免费负责维修。（注：须提供承诺书并加盖投标人公章，格式自拟，未按要求提供不得分。）</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pacing w:line="360"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rPr>
                <w:rFonts w:ascii="宋体" w:hAnsi="宋体" w:cs="宋体"/>
                <w:color w:val="auto"/>
                <w:szCs w:val="21"/>
                <w:highlight w:val="none"/>
                <w:lang w:val="zh-CN"/>
              </w:rPr>
              <w:t xml:space="preserve">分</w:t>
            </w:r>
            <w:r/>
          </w:p>
        </w:tc>
      </w:tr>
    </w:tbl>
    <w:p>
      <w:pPr>
        <w:rPr>
          <w:rFonts w:hint="default"/>
          <w:color w:val="auto"/>
          <w:highlight w:val="none"/>
          <w:lang w:val="en-US" w:eastAsia="zh-CN"/>
        </w:rPr>
      </w:pPr>
      <w:r>
        <w:rPr>
          <w:rFonts w:hint="default"/>
          <w:color w:val="auto"/>
          <w:highlight w:val="none"/>
          <w:lang w:val="en-US" w:eastAsia="zh-CN"/>
        </w:rPr>
      </w:r>
      <w:r/>
    </w:p>
    <w:p>
      <w:pPr>
        <w:spacing w:line="276" w:lineRule="auto"/>
        <w:rPr>
          <w:rFonts w:hint="eastAsia" w:ascii="宋体" w:hAnsi="宋体"/>
          <w:b/>
          <w:color w:val="auto"/>
          <w:szCs w:val="21"/>
          <w:highlight w:val="none"/>
        </w:rPr>
      </w:pPr>
      <w:r>
        <w:rPr>
          <w:rFonts w:hint="eastAsia" w:ascii="宋体" w:hAnsi="宋体"/>
          <w:b/>
          <w:color w:val="auto"/>
          <w:szCs w:val="21"/>
          <w:highlight w:val="none"/>
        </w:rPr>
        <w:t xml:space="preserve">三、政策功能说明</w:t>
      </w:r>
      <w:r/>
    </w:p>
    <w:p>
      <w:pPr>
        <w:ind w:firstLine="416"/>
        <w:spacing w:line="276" w:lineRule="auto"/>
        <w:rPr>
          <w:rFonts w:hint="eastAsia" w:ascii="宋体" w:hAnsi="宋体"/>
          <w:color w:val="auto"/>
          <w:szCs w:val="21"/>
          <w:highlight w:val="none"/>
        </w:rPr>
      </w:pPr>
      <w:r>
        <w:rPr>
          <w:rFonts w:hint="eastAsia" w:ascii="宋体" w:hAnsi="宋体"/>
          <w:color w:val="auto"/>
          <w:szCs w:val="21"/>
          <w:highlight w:val="none"/>
        </w:rPr>
        <w:t xml:space="preserve">1、评审评分标准涉及到的所有材料需按要求提供相应的证明材料在投标文件中，需提供原件核查的另需提供原件，未按要求提供的均不得分。提供的证明材料必须真实可靠，如发现弄虚作假者，将向政府采购管理部门汇报，将供应商列入不良行为记录名单，并依法予以处罚。</w:t>
      </w:r>
      <w:r/>
    </w:p>
    <w:p>
      <w:pPr>
        <w:ind w:firstLine="416"/>
        <w:spacing w:line="276" w:lineRule="auto"/>
        <w:rPr>
          <w:rFonts w:hint="eastAsia" w:ascii="宋体" w:hAnsi="宋体"/>
          <w:color w:val="auto"/>
          <w:szCs w:val="21"/>
          <w:highlight w:val="none"/>
        </w:rPr>
      </w:pPr>
      <w:r>
        <w:rPr>
          <w:rFonts w:hint="eastAsia" w:ascii="宋体" w:hAnsi="宋体"/>
          <w:color w:val="auto"/>
          <w:szCs w:val="21"/>
          <w:highlight w:val="none"/>
        </w:rPr>
        <w:t xml:space="preserve">2、政策功能：</w:t>
      </w:r>
      <w:r/>
    </w:p>
    <w:p>
      <w:pPr>
        <w:ind w:firstLine="416"/>
        <w:spacing w:line="276" w:lineRule="auto"/>
        <w:rPr>
          <w:rFonts w:hint="eastAsia" w:ascii="宋体" w:hAnsi="宋体"/>
          <w:color w:val="auto"/>
          <w:szCs w:val="21"/>
          <w:highlight w:val="none"/>
        </w:rPr>
      </w:pPr>
      <w:r>
        <w:rPr>
          <w:rFonts w:hint="eastAsia" w:ascii="宋体" w:hAnsi="宋体"/>
          <w:color w:val="auto"/>
          <w:szCs w:val="21"/>
          <w:highlight w:val="none"/>
        </w:rPr>
        <w:t xml:space="preserve">（1）对国家认定的节能产品和环保产品分别给予投标价的 5%价格扣除，用扣除后的价格参与评审。</w:t>
      </w:r>
      <w:r/>
    </w:p>
    <w:p>
      <w:pPr>
        <w:ind w:firstLine="416"/>
        <w:spacing w:line="276" w:lineRule="auto"/>
        <w:rPr>
          <w:rFonts w:hint="eastAsia" w:ascii="宋体" w:hAnsi="宋体"/>
          <w:color w:val="auto"/>
          <w:szCs w:val="21"/>
          <w:highlight w:val="none"/>
        </w:rPr>
      </w:pPr>
      <w:r>
        <w:rPr>
          <w:rFonts w:hint="eastAsia" w:ascii="宋体" w:hAnsi="宋体"/>
          <w:color w:val="auto"/>
          <w:szCs w:val="21"/>
          <w:highlight w:val="none"/>
        </w:rPr>
        <w:t xml:space="preserve">（2）小微企业的价格扣除</w:t>
      </w:r>
      <w:r/>
    </w:p>
    <w:p>
      <w:pPr>
        <w:ind w:firstLine="416"/>
        <w:spacing w:line="276" w:lineRule="auto"/>
        <w:rPr>
          <w:rFonts w:hint="eastAsia" w:ascii="宋体" w:hAnsi="宋体"/>
          <w:color w:val="auto"/>
          <w:szCs w:val="21"/>
          <w:highlight w:val="none"/>
        </w:rPr>
      </w:pPr>
      <w:r>
        <w:rPr>
          <w:rFonts w:hint="eastAsia" w:ascii="宋体" w:hAnsi="宋体"/>
          <w:color w:val="auto"/>
          <w:szCs w:val="21"/>
          <w:highlight w:val="none"/>
        </w:rPr>
        <w:t xml:space="preserve">2.1对于经主管预算单位统筹后未预留份额专门面向中小企业采购的采购项目，以及预留份额项目中的非预留部分采购包，招标人对小微企业报价给予10%（工程项目为5%）的扣除，用扣除后的价格参加评审。适用招标投标法的政府采购工程建设项目，采用综合评估法但未采用低价优先法计算价格分的，评标时应当在采用原报价进行评分的基础上增加其价格得分的5%作为其价格分。</w:t>
      </w:r>
      <w:r/>
    </w:p>
    <w:p>
      <w:pPr>
        <w:ind w:firstLine="416"/>
        <w:spacing w:line="276" w:lineRule="auto"/>
        <w:rPr>
          <w:rFonts w:hint="eastAsia" w:ascii="宋体" w:hAnsi="宋体"/>
          <w:color w:val="auto"/>
          <w:szCs w:val="21"/>
          <w:highlight w:val="none"/>
        </w:rPr>
      </w:pPr>
      <w:r>
        <w:rPr>
          <w:rFonts w:hint="eastAsia" w:ascii="宋体" w:hAnsi="宋体"/>
          <w:color w:val="auto"/>
          <w:szCs w:val="21"/>
          <w:highlight w:val="none"/>
        </w:rPr>
        <w:t xml:space="preserve">2.2 大中型企业</w:t>
      </w:r>
      <w:r>
        <w:rPr>
          <w:rFonts w:hint="eastAsia" w:ascii="宋体" w:hAnsi="宋体"/>
          <w:color w:val="auto"/>
          <w:szCs w:val="21"/>
          <w:highlight w:val="none"/>
        </w:rPr>
        <w:t xml:space="preserve">与小微企业组成联合体或者大中型企业向一家或者多家小微企业分包的采购项目，对于联合协议或者分包意向协议约定小微企业的合同份额占到合同总金额30%以上的，招标人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2%作为其价格分。组成联合体或者接受分包的小微企业与联合体内其他企业、分包企业之间存在直接控股、管理关系的，不享受价格扣除优惠政策。</w:t>
      </w:r>
      <w:r/>
    </w:p>
    <w:p>
      <w:pPr>
        <w:ind w:firstLine="416"/>
        <w:spacing w:line="276" w:lineRule="auto"/>
        <w:rPr>
          <w:rFonts w:hint="eastAsia" w:ascii="宋体" w:hAnsi="宋体"/>
          <w:color w:val="auto"/>
          <w:szCs w:val="21"/>
          <w:highlight w:val="none"/>
        </w:rPr>
      </w:pPr>
      <w:r>
        <w:rPr>
          <w:rFonts w:hint="eastAsia" w:ascii="宋体" w:hAnsi="宋体"/>
          <w:color w:val="auto"/>
          <w:szCs w:val="21"/>
          <w:highlight w:val="none"/>
        </w:rPr>
        <w:t xml:space="preserve">2.3中小企业（含小型、微型企业）应当同时符合以下条件：</w:t>
      </w:r>
      <w:r/>
    </w:p>
    <w:p>
      <w:pPr>
        <w:ind w:firstLine="416"/>
        <w:spacing w:line="276" w:lineRule="auto"/>
        <w:rPr>
          <w:rFonts w:hint="eastAsia" w:ascii="宋体" w:hAnsi="宋体"/>
          <w:color w:val="auto"/>
          <w:szCs w:val="21"/>
          <w:highlight w:val="none"/>
        </w:rPr>
      </w:pPr>
      <w:r>
        <w:rPr>
          <w:rFonts w:hint="eastAsia" w:ascii="宋体" w:hAnsi="宋体"/>
          <w:color w:val="auto"/>
          <w:szCs w:val="21"/>
          <w:highlight w:val="none"/>
        </w:rPr>
        <w:t xml:space="preserve">2.3.1供应商为中小企业，且符合中小企业划分标准；</w:t>
      </w:r>
      <w:r/>
    </w:p>
    <w:p>
      <w:pPr>
        <w:ind w:firstLine="416"/>
        <w:spacing w:line="276" w:lineRule="auto"/>
        <w:rPr>
          <w:rFonts w:hint="eastAsia" w:ascii="宋体" w:hAnsi="宋体"/>
          <w:color w:val="auto"/>
          <w:szCs w:val="21"/>
          <w:highlight w:val="none"/>
        </w:rPr>
      </w:pPr>
      <w:r>
        <w:rPr>
          <w:rFonts w:hint="eastAsia" w:ascii="宋体" w:hAnsi="宋体"/>
          <w:color w:val="auto"/>
          <w:szCs w:val="21"/>
          <w:highlight w:val="none"/>
        </w:rPr>
        <w:t xml:space="preserve">2.3.2提供本企业制造的货物、承担的工程或者服务，或者提供其他小企业制造的货物。如果提供的货物为大中型企业注册商标的货物，视同大中型企业。</w:t>
      </w:r>
      <w:r/>
    </w:p>
    <w:p>
      <w:pPr>
        <w:ind w:firstLine="416"/>
        <w:spacing w:line="276" w:lineRule="auto"/>
        <w:rPr>
          <w:rFonts w:hint="eastAsia" w:ascii="宋体" w:hAnsi="宋体"/>
          <w:color w:val="auto"/>
          <w:szCs w:val="21"/>
          <w:highlight w:val="none"/>
        </w:rPr>
      </w:pPr>
      <w:r>
        <w:rPr>
          <w:rFonts w:hint="eastAsia" w:ascii="宋体" w:hAnsi="宋体"/>
          <w:color w:val="auto"/>
          <w:szCs w:val="21"/>
          <w:highlight w:val="none"/>
        </w:rPr>
        <w:t xml:space="preserve">3、监狱和戒毒企业的价格扣除  </w:t>
      </w:r>
      <w:r/>
    </w:p>
    <w:p>
      <w:pPr>
        <w:ind w:firstLine="416"/>
        <w:spacing w:line="276" w:lineRule="auto"/>
        <w:rPr>
          <w:rFonts w:hint="eastAsia" w:ascii="宋体" w:hAnsi="宋体"/>
          <w:color w:val="auto"/>
          <w:szCs w:val="21"/>
          <w:highlight w:val="none"/>
        </w:rPr>
      </w:pPr>
      <w:r>
        <w:rPr>
          <w:rFonts w:hint="eastAsia" w:ascii="宋体" w:hAnsi="宋体"/>
          <w:color w:val="auto"/>
          <w:szCs w:val="21"/>
          <w:highlight w:val="none"/>
        </w:rPr>
        <w:t xml:space="preserve">3.1本项目对监狱和戒毒企业（简称监狱企业）视同小型、微型企业，给予 10%的价格扣除，用扣除后的价格参与评审。 </w:t>
      </w:r>
      <w:r/>
    </w:p>
    <w:p>
      <w:pPr>
        <w:ind w:firstLine="416"/>
        <w:spacing w:line="276" w:lineRule="auto"/>
        <w:rPr>
          <w:rFonts w:hint="eastAsia" w:ascii="宋体" w:hAnsi="宋体"/>
          <w:color w:val="auto"/>
          <w:szCs w:val="21"/>
          <w:highlight w:val="none"/>
        </w:rPr>
      </w:pPr>
      <w:r>
        <w:rPr>
          <w:rFonts w:hint="eastAsia" w:ascii="宋体" w:hAnsi="宋体"/>
          <w:color w:val="auto"/>
          <w:szCs w:val="21"/>
          <w:highlight w:val="none"/>
        </w:rPr>
        <w:t xml:space="preserve">3.2 监狱企业需提供由省级以上监狱管理局、戒毒管理局（含新疆生产建设兵团）出具的属于监狱企业的证明文件。 </w:t>
      </w:r>
      <w:r/>
    </w:p>
    <w:p>
      <w:pPr>
        <w:ind w:firstLine="416"/>
        <w:spacing w:line="276" w:lineRule="auto"/>
        <w:rPr>
          <w:rFonts w:hint="eastAsia" w:ascii="宋体" w:hAnsi="宋体"/>
          <w:color w:val="auto"/>
          <w:szCs w:val="21"/>
          <w:highlight w:val="none"/>
        </w:rPr>
      </w:pPr>
      <w:r>
        <w:rPr>
          <w:rFonts w:hint="eastAsia" w:ascii="宋体" w:hAnsi="宋体"/>
          <w:color w:val="auto"/>
          <w:szCs w:val="21"/>
          <w:highlight w:val="none"/>
        </w:rPr>
        <w:t xml:space="preserve">3.3 监狱企业标准请参照《关于政府采购支持监狱企业发展有关问题的通知》（财库[2014]68 号）。</w:t>
      </w:r>
      <w:r/>
    </w:p>
    <w:p>
      <w:pPr>
        <w:ind w:firstLine="416"/>
        <w:spacing w:line="276" w:lineRule="auto"/>
        <w:rPr>
          <w:rFonts w:hint="eastAsia" w:ascii="宋体" w:hAnsi="宋体"/>
          <w:color w:val="auto"/>
          <w:szCs w:val="21"/>
          <w:highlight w:val="none"/>
        </w:rPr>
      </w:pPr>
      <w:r>
        <w:rPr>
          <w:rFonts w:hint="eastAsia" w:ascii="宋体" w:hAnsi="宋体"/>
          <w:color w:val="auto"/>
          <w:szCs w:val="21"/>
          <w:highlight w:val="none"/>
        </w:rPr>
        <w:t xml:space="preserve">4、残疾人福利性单位的价格扣除 </w:t>
      </w:r>
      <w:r/>
    </w:p>
    <w:p>
      <w:pPr>
        <w:ind w:firstLine="416"/>
        <w:spacing w:line="276" w:lineRule="auto"/>
        <w:rPr>
          <w:rFonts w:hint="eastAsia" w:ascii="宋体" w:hAnsi="宋体"/>
          <w:color w:val="auto"/>
          <w:szCs w:val="21"/>
          <w:highlight w:val="none"/>
        </w:rPr>
      </w:pPr>
      <w:r>
        <w:rPr>
          <w:rFonts w:hint="eastAsia" w:ascii="宋体" w:hAnsi="宋体"/>
          <w:color w:val="auto"/>
          <w:szCs w:val="21"/>
          <w:highlight w:val="none"/>
        </w:rPr>
        <w:t xml:space="preserve">4.1本项目对残疾人福利性单位视同小型、微型企业，给予 10%的价格扣除，用扣除后的价格参与评审。 </w:t>
      </w:r>
      <w:r/>
    </w:p>
    <w:p>
      <w:pPr>
        <w:ind w:firstLine="416"/>
        <w:spacing w:line="276" w:lineRule="auto"/>
        <w:rPr>
          <w:rFonts w:hint="eastAsia" w:ascii="宋体" w:hAnsi="宋体"/>
          <w:color w:val="auto"/>
          <w:szCs w:val="21"/>
          <w:highlight w:val="none"/>
        </w:rPr>
      </w:pPr>
      <w:r>
        <w:rPr>
          <w:rFonts w:hint="eastAsia" w:ascii="宋体" w:hAnsi="宋体"/>
          <w:color w:val="auto"/>
          <w:szCs w:val="21"/>
          <w:highlight w:val="none"/>
        </w:rPr>
        <w:t xml:space="preserve">4.2残疾人福利单位需按照招标文件的要求提供《残疾人福利性单位声明函》。 </w:t>
      </w:r>
      <w:r/>
    </w:p>
    <w:p>
      <w:pPr>
        <w:ind w:firstLine="416"/>
        <w:spacing w:line="276" w:lineRule="auto"/>
        <w:rPr>
          <w:rFonts w:hint="eastAsia" w:ascii="宋体" w:hAnsi="宋体"/>
          <w:color w:val="auto"/>
          <w:szCs w:val="21"/>
          <w:highlight w:val="none"/>
        </w:rPr>
      </w:pPr>
      <w:r>
        <w:rPr>
          <w:rFonts w:hint="eastAsia" w:ascii="宋体" w:hAnsi="宋体"/>
          <w:color w:val="auto"/>
          <w:szCs w:val="21"/>
          <w:highlight w:val="none"/>
        </w:rPr>
        <w:t xml:space="preserve">4.3残疾人福利单位标准请参照《关于促进残疾人就业政府采购政策的通知》（财库〔2017〕141 号）。</w:t>
      </w:r>
      <w:r/>
    </w:p>
    <w:p>
      <w:pPr>
        <w:numPr>
          <w:ilvl w:val="0"/>
          <w:numId w:val="2"/>
        </w:numPr>
        <w:ind w:firstLine="416"/>
        <w:spacing w:line="276" w:lineRule="auto"/>
        <w:rPr>
          <w:rFonts w:hint="eastAsia" w:ascii="宋体" w:hAnsi="宋体"/>
          <w:color w:val="auto"/>
          <w:szCs w:val="21"/>
          <w:highlight w:val="none"/>
        </w:rPr>
      </w:pPr>
      <w:r>
        <w:rPr>
          <w:rFonts w:hint="eastAsia" w:ascii="宋体" w:hAnsi="宋体"/>
          <w:color w:val="auto"/>
          <w:szCs w:val="21"/>
          <w:highlight w:val="none"/>
        </w:rPr>
        <w:t xml:space="preserve">监狱企业、残疾人福利单位属于小型、微型企业的，不重复享受政策。</w:t>
      </w:r>
      <w:r/>
    </w:p>
    <w:p>
      <w:pPr>
        <w:ind w:firstLine="415"/>
        <w:spacing w:line="360" w:lineRule="auto"/>
        <w:rPr>
          <w:rFonts w:hint="eastAsia" w:ascii="宋体" w:hAnsi="宋体"/>
          <w:color w:val="auto"/>
          <w:szCs w:val="21"/>
          <w:highlight w:val="none"/>
        </w:rPr>
      </w:pPr>
      <w:r>
        <w:rPr>
          <w:rFonts w:hint="eastAsia" w:ascii="宋体" w:hAnsi="宋体"/>
          <w:color w:val="auto"/>
          <w:szCs w:val="21"/>
          <w:highlight w:val="none"/>
        </w:rPr>
        <w:t xml:space="preserve">6、采购本国产品的支持政策</w:t>
      </w:r>
      <w:r/>
    </w:p>
    <w:p>
      <w:pPr>
        <w:ind w:firstLine="415"/>
        <w:spacing w:line="360" w:lineRule="auto"/>
        <w:rPr>
          <w:rFonts w:hint="eastAsia" w:ascii="宋体" w:hAnsi="宋体"/>
          <w:color w:val="auto"/>
          <w:szCs w:val="21"/>
          <w:highlight w:val="none"/>
        </w:rPr>
      </w:pPr>
      <w:r>
        <w:rPr>
          <w:rFonts w:hint="eastAsia" w:ascii="宋体" w:hAnsi="宋体"/>
          <w:color w:val="auto"/>
          <w:szCs w:val="21"/>
          <w:highlight w:val="none"/>
        </w:rPr>
        <w:t xml:space="preserve">6.1 本项目政府采购活动中既有本国产品又有非本国产品参与竞争的，依法对本国产品给予价格评审优惠，对本国产品的报价给予 20%的价格扣除，用扣除后的价格参与评审。</w:t>
      </w:r>
      <w:r/>
    </w:p>
    <w:p>
      <w:pPr>
        <w:ind w:firstLine="415"/>
        <w:spacing w:line="360" w:lineRule="auto"/>
        <w:rPr>
          <w:rFonts w:hint="eastAsia" w:ascii="宋体" w:hAnsi="宋体"/>
          <w:color w:val="auto"/>
          <w:szCs w:val="21"/>
          <w:highlight w:val="none"/>
        </w:rPr>
      </w:pPr>
      <w:r>
        <w:rPr>
          <w:rFonts w:hint="eastAsia" w:ascii="宋体" w:hAnsi="宋体"/>
          <w:color w:val="auto"/>
          <w:szCs w:val="21"/>
          <w:highlight w:val="none"/>
        </w:rPr>
        <w:t xml:space="preserve">6.2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15"/>
        <w:spacing w:line="360" w:lineRule="auto"/>
        <w:rPr>
          <w:rFonts w:hint="eastAsia" w:ascii="宋体" w:hAnsi="宋体"/>
          <w:color w:val="auto"/>
          <w:szCs w:val="21"/>
          <w:highlight w:val="none"/>
        </w:rPr>
      </w:pPr>
      <w:r>
        <w:rPr>
          <w:rFonts w:hint="eastAsia" w:ascii="宋体" w:hAnsi="宋体"/>
          <w:color w:val="auto"/>
          <w:szCs w:val="21"/>
          <w:highlight w:val="none"/>
        </w:rPr>
        <w:t xml:space="preserve">6.3 供应商需按照招标文件的要求提供《关于符合本国产品标准的声明函》（以下简称《声明函》），如不提供将不享受本国产品价格评审优惠。</w:t>
      </w:r>
      <w:r/>
    </w:p>
    <w:p>
      <w:pPr>
        <w:ind w:firstLine="415"/>
        <w:spacing w:line="360" w:lineRule="auto"/>
        <w:rPr>
          <w:rFonts w:hint="eastAsia" w:ascii="宋体" w:hAnsi="宋体"/>
          <w:color w:val="auto"/>
          <w:szCs w:val="21"/>
          <w:highlight w:val="none"/>
        </w:rPr>
      </w:pPr>
      <w:r>
        <w:rPr>
          <w:rFonts w:hint="eastAsia" w:ascii="宋体" w:hAnsi="宋体"/>
          <w:color w:val="auto"/>
          <w:szCs w:val="21"/>
          <w:highlight w:val="none"/>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15"/>
        <w:spacing w:line="360" w:lineRule="auto"/>
        <w:rPr>
          <w:rFonts w:hint="eastAsia" w:ascii="宋体" w:hAnsi="宋体"/>
          <w:color w:val="auto"/>
          <w:szCs w:val="21"/>
          <w:highlight w:val="none"/>
        </w:rPr>
        <w:sectPr>
          <w:footnotePr/>
          <w:endnotePr/>
          <w:type w:val="nextPage"/>
          <w:pgSz w:w="11906" w:h="16838" w:orient="portrait"/>
          <w:pgMar w:top="1417" w:right="1134" w:bottom="1247" w:left="1304" w:header="851" w:footer="992" w:gutter="0"/>
          <w:pgNumType w:start="1"/>
          <w:cols w:num="1" w:sep="0" w:space="720" w:equalWidth="1"/>
          <w:docGrid w:linePitch="360"/>
        </w:sectPr>
      </w:pPr>
      <w:r>
        <w:rPr>
          <w:rFonts w:hint="eastAsia" w:ascii="宋体" w:hAnsi="宋体"/>
          <w:color w:val="auto"/>
          <w:szCs w:val="21"/>
          <w:highlight w:val="none"/>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55"/>
        <w:spacing w:line="240" w:lineRule="auto"/>
        <w:rPr>
          <w:color w:val="auto"/>
          <w:highlight w:val="none"/>
          <w:lang w:val="zh-CN"/>
        </w:rPr>
      </w:pPr>
      <w:r>
        <w:rPr>
          <w:rFonts w:hint="eastAsia"/>
          <w:color w:val="auto"/>
          <w:highlight w:val="none"/>
          <w:lang w:val="zh-CN"/>
        </w:rPr>
        <w:t xml:space="preserve">第四章 采购项目</w:t>
      </w:r>
      <w:bookmarkEnd w:id="29"/>
      <w:r/>
      <w:bookmarkEnd w:id="30"/>
      <w:r>
        <w:rPr>
          <w:rFonts w:hint="eastAsia"/>
          <w:color w:val="auto"/>
          <w:highlight w:val="none"/>
          <w:lang w:val="zh-CN"/>
        </w:rPr>
        <w:t xml:space="preserve">需求</w:t>
      </w:r>
      <w:bookmarkEnd w:id="31"/>
      <w:r/>
      <w:r/>
    </w:p>
    <w:p>
      <w:pPr>
        <w:pStyle w:val="856"/>
        <w:rPr>
          <w:color w:val="auto"/>
          <w:highlight w:val="none"/>
        </w:rPr>
      </w:pPr>
      <w:r>
        <w:rPr>
          <w:rFonts w:hint="eastAsia"/>
          <w:color w:val="auto"/>
          <w:highlight w:val="none"/>
        </w:rPr>
        <w:t xml:space="preserve">一、项目名称</w:t>
      </w:r>
      <w:r/>
    </w:p>
    <w:p>
      <w:pPr>
        <w:pStyle w:val="856"/>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南京市公安局2026年警用物资保障中心补充装备项目</w:t>
      </w:r>
      <w:r/>
    </w:p>
    <w:p>
      <w:pPr>
        <w:pStyle w:val="856"/>
        <w:rPr>
          <w:color w:val="auto"/>
          <w:highlight w:val="none"/>
        </w:rPr>
      </w:pPr>
      <w:r>
        <w:rPr>
          <w:rFonts w:hint="eastAsia"/>
          <w:color w:val="auto"/>
          <w:highlight w:val="none"/>
        </w:rPr>
        <w:t xml:space="preserve">二、项目概况</w:t>
      </w:r>
      <w:r/>
    </w:p>
    <w:p>
      <w:pPr>
        <w:pStyle w:val="926"/>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清单价格明细</w:t>
      </w:r>
      <w:r/>
    </w:p>
    <w:tbl>
      <w:tblPr>
        <w:tblStyle w:val="865"/>
        <w:tblW w:w="97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2"/>
        <w:gridCol w:w="2305"/>
        <w:gridCol w:w="1324"/>
        <w:gridCol w:w="2022"/>
        <w:gridCol w:w="1752"/>
        <w:gridCol w:w="1344"/>
      </w:tblGrid>
      <w:tr>
        <w:trPr/>
        <w:tc>
          <w:tcPr>
            <w:tcW w:w="1002" w:type="dxa"/>
            <w:vAlign w:val="top"/>
            <w:textDirection w:val="lrTb"/>
            <w:noWrap w:val="false"/>
          </w:tcPr>
          <w:p>
            <w:pPr>
              <w:pStyle w:val="926"/>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分包号</w:t>
            </w:r>
            <w:r/>
          </w:p>
        </w:tc>
        <w:tc>
          <w:tcPr>
            <w:tcW w:w="2305" w:type="dxa"/>
            <w:vAlign w:val="top"/>
            <w:textDirection w:val="lrTb"/>
            <w:noWrap w:val="false"/>
          </w:tcPr>
          <w:p>
            <w:pPr>
              <w:pStyle w:val="926"/>
              <w:jc w:val="center"/>
              <w:spacing w:line="360" w:lineRule="auto"/>
              <w:rPr>
                <w:rFonts w:hint="eastAsia" w:ascii="宋体" w:hAnsi="宋体" w:eastAsia="宋体" w:cs="宋体"/>
                <w:color w:val="auto"/>
                <w:sz w:val="21"/>
                <w:szCs w:val="21"/>
                <w:highlight w:val="none"/>
                <w:lang w:val="en-US" w:eastAsia="zh-CN"/>
              </w:rPr>
            </w:pPr>
            <w:r>
              <w:rPr>
                <w:rFonts w:ascii="Segoe UI" w:hAnsi="Segoe UI" w:eastAsia="Segoe UI" w:cs="Segoe UI"/>
                <w:b/>
                <w:bCs/>
                <w:i w:val="0"/>
                <w:iCs w:val="0"/>
                <w:caps w:val="0"/>
                <w:color w:val="auto"/>
                <w:spacing w:val="0"/>
                <w:sz w:val="21"/>
                <w:szCs w:val="21"/>
                <w:highlight w:val="none"/>
                <w:shd w:val="clear" w:color="auto" w:fill="fafafa"/>
              </w:rPr>
              <w:t xml:space="preserve">采购包名称</w:t>
            </w:r>
            <w:r/>
          </w:p>
        </w:tc>
        <w:tc>
          <w:tcPr>
            <w:tcW w:w="1324" w:type="dxa"/>
            <w:vAlign w:val="top"/>
            <w:textDirection w:val="lrTb"/>
            <w:noWrap w:val="false"/>
          </w:tcPr>
          <w:p>
            <w:pPr>
              <w:pStyle w:val="926"/>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采购设备</w:t>
            </w:r>
            <w:r/>
          </w:p>
        </w:tc>
        <w:tc>
          <w:tcPr>
            <w:tcW w:w="2022" w:type="dxa"/>
            <w:vAlign w:val="top"/>
            <w:textDirection w:val="lrTb"/>
            <w:noWrap w:val="false"/>
          </w:tcPr>
          <w:p>
            <w:pPr>
              <w:pStyle w:val="926"/>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数量</w:t>
            </w:r>
            <w:r/>
          </w:p>
        </w:tc>
        <w:tc>
          <w:tcPr>
            <w:tcW w:w="1752" w:type="dxa"/>
            <w:vAlign w:val="top"/>
            <w:textDirection w:val="lrTb"/>
            <w:noWrap w:val="false"/>
          </w:tcPr>
          <w:p>
            <w:pPr>
              <w:pStyle w:val="926"/>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单价限价</w:t>
            </w:r>
            <w:r/>
          </w:p>
          <w:p>
            <w:pPr>
              <w:pStyle w:val="926"/>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（万元）</w:t>
            </w:r>
            <w:r/>
          </w:p>
        </w:tc>
        <w:tc>
          <w:tcPr>
            <w:tcW w:w="1344" w:type="dxa"/>
            <w:vAlign w:val="top"/>
            <w:textDirection w:val="lrTb"/>
            <w:noWrap w:val="false"/>
          </w:tcPr>
          <w:p>
            <w:pPr>
              <w:pStyle w:val="926"/>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总价</w:t>
            </w:r>
            <w:r/>
          </w:p>
          <w:p>
            <w:pPr>
              <w:pStyle w:val="926"/>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（万元）</w:t>
            </w:r>
            <w:r/>
          </w:p>
        </w:tc>
      </w:tr>
      <w:tr>
        <w:trPr/>
        <w:tc>
          <w:tcPr>
            <w:tcW w:w="1002" w:type="dxa"/>
            <w:vAlign w:val="center"/>
            <w:vMerge w:val="restart"/>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分包1</w:t>
            </w:r>
            <w:r/>
          </w:p>
        </w:tc>
        <w:tc>
          <w:tcPr>
            <w:tcW w:w="23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ascii="Segoe UI" w:hAnsi="Segoe UI" w:eastAsia="Segoe UI" w:cs="Segoe UI"/>
                <w:i w:val="0"/>
                <w:iCs w:val="0"/>
                <w:caps w:val="0"/>
                <w:color w:val="auto"/>
                <w:spacing w:val="0"/>
                <w:sz w:val="21"/>
                <w:szCs w:val="21"/>
                <w:highlight w:val="none"/>
                <w:shd w:val="clear" w:color="auto" w:fill="fafafa"/>
              </w:rPr>
              <w:t xml:space="preserve">2026年警用装备购置更新专项市局保障中心补充装备反宣反制仪项目</w:t>
            </w:r>
            <w:r/>
          </w:p>
        </w:tc>
        <w:tc>
          <w:tcPr>
            <w:tcW w:w="1324" w:type="dxa"/>
            <w:vAlign w:val="center"/>
            <w:vMerge w:val="restart"/>
            <w:textDirection w:val="lrTb"/>
            <w:noWrap w:val="false"/>
          </w:tcPr>
          <w:p>
            <w:pPr>
              <w:jc w:val="center"/>
              <w:keepLines w:val="0"/>
              <w:keepNext w:val="0"/>
              <w:widowControl/>
              <w:rPr>
                <w:rFonts w:hint="eastAsia" w:ascii="Segoe UI" w:hAnsi="Segoe UI" w:eastAsia="Segoe UI" w:cs="Segoe UI"/>
                <w:i w:val="0"/>
                <w:iCs w:val="0"/>
                <w:caps w:val="0"/>
                <w:color w:val="auto"/>
                <w:spacing w:val="0"/>
                <w:sz w:val="21"/>
                <w:szCs w:val="21"/>
                <w:highlight w:val="none"/>
                <w:shd w:val="clear" w:color="auto" w:fill="fafafa"/>
              </w:rPr>
              <w:suppressLineNumbers w:val="0"/>
            </w:pPr>
            <w:r>
              <w:rPr>
                <w:rFonts w:hint="eastAsia" w:ascii="Segoe UI" w:hAnsi="Segoe UI" w:eastAsia="Segoe UI" w:cs="Segoe UI"/>
                <w:i w:val="0"/>
                <w:iCs w:val="0"/>
                <w:caps w:val="0"/>
                <w:color w:val="auto"/>
                <w:spacing w:val="0"/>
                <w:sz w:val="21"/>
                <w:szCs w:val="21"/>
                <w:highlight w:val="none"/>
                <w:shd w:val="clear" w:color="auto" w:fill="fafafa"/>
                <w:lang w:val="en-US" w:eastAsia="zh-CN"/>
              </w:rPr>
              <w:t xml:space="preserve">反宣反制仪</w:t>
            </w:r>
            <w:r/>
          </w:p>
        </w:tc>
        <w:tc>
          <w:tcPr>
            <w:shd w:val="clear" w:color="auto" w:fill="auto"/>
            <w:tcW w:w="2022" w:type="dxa"/>
            <w:vAlign w:val="top"/>
            <w:textDirection w:val="lrTb"/>
            <w:noWrap w:val="false"/>
          </w:tcPr>
          <w:p>
            <w:pPr>
              <w:jc w:val="center"/>
              <w:keepLines w:val="0"/>
              <w:keepNext w:val="0"/>
              <w:widowControl/>
              <w:rPr>
                <w:rFonts w:hint="eastAsia" w:ascii="Segoe UI" w:hAnsi="Segoe UI" w:eastAsia="Segoe UI" w:cs="Segoe UI"/>
                <w:i w:val="0"/>
                <w:iCs w:val="0"/>
                <w:caps w:val="0"/>
                <w:color w:val="auto"/>
                <w:spacing w:val="0"/>
                <w:sz w:val="21"/>
                <w:szCs w:val="21"/>
                <w:highlight w:val="none"/>
                <w:shd w:val="clear" w:color="auto" w:fill="fafafa"/>
                <w:lang w:val="en-US" w:eastAsia="zh-CN"/>
              </w:rPr>
              <w:suppressLineNumbers w:val="0"/>
            </w:pPr>
            <w:r>
              <w:rPr>
                <w:rFonts w:hint="eastAsia" w:ascii="Segoe UI" w:hAnsi="Segoe UI" w:eastAsia="Segoe UI" w:cs="Segoe UI"/>
                <w:i w:val="0"/>
                <w:iCs w:val="0"/>
                <w:caps w:val="0"/>
                <w:color w:val="auto"/>
                <w:spacing w:val="0"/>
                <w:sz w:val="21"/>
                <w:szCs w:val="21"/>
                <w:highlight w:val="none"/>
                <w:shd w:val="clear" w:color="auto" w:fill="fafafa"/>
                <w:lang w:val="en-US" w:eastAsia="zh-CN"/>
              </w:rPr>
              <w:t xml:space="preserve">高功率5套</w:t>
            </w:r>
            <w:r/>
          </w:p>
        </w:tc>
        <w:tc>
          <w:tcPr>
            <w:shd w:val="clear" w:color="auto" w:fill="auto"/>
            <w:tcW w:w="1752" w:type="dxa"/>
            <w:vAlign w:val="top"/>
            <w:textDirection w:val="lrTb"/>
            <w:noWrap w:val="false"/>
          </w:tcPr>
          <w:p>
            <w:pPr>
              <w:pStyle w:val="926"/>
              <w:jc w:val="center"/>
              <w:spacing w:line="360"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2.7</w:t>
            </w:r>
            <w:r/>
          </w:p>
        </w:tc>
        <w:tc>
          <w:tcPr>
            <w:shd w:val="clear" w:color="auto" w:fill="auto"/>
            <w:tcW w:w="1344" w:type="dxa"/>
            <w:vAlign w:val="top"/>
            <w:textDirection w:val="lrTb"/>
            <w:noWrap w:val="false"/>
          </w:tcPr>
          <w:p>
            <w:pPr>
              <w:pStyle w:val="926"/>
              <w:jc w:val="center"/>
              <w:spacing w:line="360"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13.5</w:t>
            </w:r>
            <w:r/>
          </w:p>
        </w:tc>
      </w:tr>
      <w:tr>
        <w:trPr/>
        <w:tc>
          <w:tcPr>
            <w:tcW w:w="100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2305" w:type="dxa"/>
            <w:vAlign w:val="center"/>
            <w:vMerge w:val="continue"/>
            <w:textDirection w:val="lrTb"/>
            <w:noWrap w:val="false"/>
          </w:tcPr>
          <w:p>
            <w:pPr>
              <w:jc w:val="center"/>
              <w:keepLines w:val="0"/>
              <w:keepNext w:val="0"/>
              <w:widowControl/>
              <w:rPr>
                <w:rFonts w:ascii="Segoe UI" w:hAnsi="Segoe UI" w:eastAsia="Segoe UI" w:cs="Segoe UI"/>
                <w:i w:val="0"/>
                <w:iCs w:val="0"/>
                <w:caps w:val="0"/>
                <w:color w:val="auto"/>
                <w:spacing w:val="0"/>
                <w:sz w:val="21"/>
                <w:szCs w:val="21"/>
                <w:highlight w:val="none"/>
                <w:shd w:val="clear" w:color="auto" w:fill="fafafa"/>
              </w:rPr>
              <w:suppressLineNumbers w:val="0"/>
            </w:pPr>
            <w:r>
              <w:rPr>
                <w:rFonts w:ascii="Segoe UI" w:hAnsi="Segoe UI" w:eastAsia="Segoe UI" w:cs="Segoe UI"/>
                <w:i w:val="0"/>
                <w:iCs w:val="0"/>
                <w:caps w:val="0"/>
                <w:color w:val="auto"/>
                <w:spacing w:val="0"/>
                <w:sz w:val="21"/>
                <w:szCs w:val="21"/>
                <w:highlight w:val="none"/>
                <w:shd w:val="clear" w:color="auto" w:fill="fafafa"/>
              </w:rPr>
            </w:r>
            <w:r/>
          </w:p>
        </w:tc>
        <w:tc>
          <w:tcPr>
            <w:tcW w:w="1324" w:type="dxa"/>
            <w:vAlign w:val="center"/>
            <w:vMerge w:val="continue"/>
            <w:textDirection w:val="lrTb"/>
            <w:noWrap w:val="false"/>
          </w:tcPr>
          <w:p>
            <w:pPr>
              <w:jc w:val="center"/>
              <w:keepLines w:val="0"/>
              <w:keepNext w:val="0"/>
              <w:widowControl/>
              <w:rPr>
                <w:rFonts w:hint="eastAsia" w:ascii="Segoe UI" w:hAnsi="Segoe UI" w:eastAsia="Segoe UI" w:cs="Segoe UI"/>
                <w:i w:val="0"/>
                <w:iCs w:val="0"/>
                <w:caps w:val="0"/>
                <w:color w:val="auto"/>
                <w:spacing w:val="0"/>
                <w:sz w:val="21"/>
                <w:szCs w:val="21"/>
                <w:highlight w:val="none"/>
                <w:shd w:val="clear" w:color="auto" w:fill="fafafa"/>
                <w:lang w:val="en-US" w:eastAsia="zh-CN"/>
              </w:rPr>
              <w:suppressLineNumbers w:val="0"/>
            </w:pPr>
            <w:r>
              <w:rPr>
                <w:rFonts w:hint="eastAsia" w:ascii="Segoe UI" w:hAnsi="Segoe UI" w:eastAsia="Segoe UI" w:cs="Segoe UI"/>
                <w:i w:val="0"/>
                <w:iCs w:val="0"/>
                <w:caps w:val="0"/>
                <w:color w:val="auto"/>
                <w:spacing w:val="0"/>
                <w:sz w:val="21"/>
                <w:szCs w:val="21"/>
                <w:highlight w:val="none"/>
                <w:shd w:val="clear" w:color="auto" w:fill="fafafa"/>
                <w:lang w:val="en-US" w:eastAsia="zh-CN"/>
              </w:rPr>
            </w:r>
            <w:r/>
          </w:p>
        </w:tc>
        <w:tc>
          <w:tcPr>
            <w:shd w:val="clear" w:color="auto" w:fill="auto"/>
            <w:tcW w:w="2022" w:type="dxa"/>
            <w:vAlign w:val="top"/>
            <w:textDirection w:val="lrTb"/>
            <w:noWrap w:val="false"/>
          </w:tcPr>
          <w:p>
            <w:pPr>
              <w:jc w:val="center"/>
              <w:keepLines w:val="0"/>
              <w:keepNext w:val="0"/>
              <w:widowControl/>
              <w:rPr>
                <w:rFonts w:hint="eastAsia" w:ascii="Segoe UI" w:hAnsi="Segoe UI" w:eastAsia="Segoe UI" w:cs="Segoe UI"/>
                <w:i w:val="0"/>
                <w:iCs w:val="0"/>
                <w:caps w:val="0"/>
                <w:color w:val="auto"/>
                <w:spacing w:val="0"/>
                <w:sz w:val="21"/>
                <w:szCs w:val="21"/>
                <w:highlight w:val="none"/>
                <w:shd w:val="clear" w:color="auto" w:fill="fafafa"/>
              </w:rPr>
              <w:suppressLineNumbers w:val="0"/>
            </w:pPr>
            <w:r>
              <w:rPr>
                <w:rFonts w:hint="eastAsia" w:ascii="Segoe UI" w:hAnsi="Segoe UI" w:eastAsia="Segoe UI" w:cs="Segoe UI"/>
                <w:i w:val="0"/>
                <w:iCs w:val="0"/>
                <w:caps w:val="0"/>
                <w:color w:val="auto"/>
                <w:spacing w:val="0"/>
                <w:sz w:val="21"/>
                <w:szCs w:val="21"/>
                <w:highlight w:val="none"/>
                <w:shd w:val="clear" w:color="auto" w:fill="fafafa"/>
                <w:lang w:val="en-US" w:eastAsia="zh-CN"/>
              </w:rPr>
              <w:t xml:space="preserve">低功率5套</w:t>
            </w:r>
            <w:r/>
          </w:p>
        </w:tc>
        <w:tc>
          <w:tcPr>
            <w:shd w:val="clear" w:color="auto" w:fill="auto"/>
            <w:tcW w:w="1752" w:type="dxa"/>
            <w:vAlign w:val="top"/>
            <w:textDirection w:val="lrTb"/>
            <w:noWrap w:val="false"/>
          </w:tcPr>
          <w:p>
            <w:pPr>
              <w:pStyle w:val="926"/>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w:t>
            </w:r>
            <w:r/>
          </w:p>
        </w:tc>
        <w:tc>
          <w:tcPr>
            <w:shd w:val="clear" w:color="auto" w:fill="auto"/>
            <w:tcW w:w="1344" w:type="dxa"/>
            <w:vAlign w:val="top"/>
            <w:textDirection w:val="lrTb"/>
            <w:noWrap w:val="false"/>
          </w:tcPr>
          <w:p>
            <w:pPr>
              <w:pStyle w:val="926"/>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r>
      <w:tr>
        <w:trPr/>
        <w:tc>
          <w:tcPr>
            <w:tcW w:w="100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分包2</w:t>
            </w:r>
            <w:r/>
          </w:p>
        </w:tc>
        <w:tc>
          <w:tcPr>
            <w:tcW w:w="23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ascii="Segoe UI" w:hAnsi="Segoe UI" w:eastAsia="Segoe UI" w:cs="Segoe UI"/>
                <w:i w:val="0"/>
                <w:iCs w:val="0"/>
                <w:caps w:val="0"/>
                <w:color w:val="auto"/>
                <w:spacing w:val="0"/>
                <w:sz w:val="21"/>
                <w:szCs w:val="21"/>
                <w:highlight w:val="none"/>
                <w:shd w:val="clear" w:color="auto" w:fill="ffffff"/>
              </w:rPr>
              <w:t xml:space="preserve">2026年警用装备购置更新专项市局保障中心补充装备便携侦测反制设备项目</w:t>
            </w:r>
            <w:r/>
          </w:p>
        </w:tc>
        <w:tc>
          <w:tcPr>
            <w:tcW w:w="132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便携侦测反制设备</w:t>
            </w:r>
            <w:r/>
          </w:p>
        </w:tc>
        <w:tc>
          <w:tcPr>
            <w:tcW w:w="2022" w:type="dxa"/>
            <w:vAlign w:val="top"/>
            <w:textDirection w:val="lrTb"/>
            <w:noWrap w:val="false"/>
          </w:tcPr>
          <w:p>
            <w:pPr>
              <w:pStyle w:val="926"/>
              <w:jc w:val="center"/>
              <w:spacing w:line="360" w:lineRule="auto"/>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套</w:t>
            </w:r>
            <w:r/>
          </w:p>
        </w:tc>
        <w:tc>
          <w:tcPr>
            <w:tcW w:w="1752" w:type="dxa"/>
            <w:vAlign w:val="top"/>
            <w:textDirection w:val="lrTb"/>
            <w:noWrap w:val="false"/>
          </w:tcPr>
          <w:p>
            <w:pPr>
              <w:pStyle w:val="926"/>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19</w:t>
            </w:r>
            <w:r/>
          </w:p>
        </w:tc>
        <w:tc>
          <w:tcPr>
            <w:tcW w:w="1344" w:type="dxa"/>
            <w:vAlign w:val="top"/>
            <w:textDirection w:val="lrTb"/>
            <w:noWrap w:val="false"/>
          </w:tcPr>
          <w:p>
            <w:pPr>
              <w:pStyle w:val="92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38</w:t>
            </w:r>
            <w:r/>
          </w:p>
        </w:tc>
      </w:tr>
      <w:tr>
        <w:trPr/>
        <w:tc>
          <w:tcPr>
            <w:tcW w:w="100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分包3</w:t>
            </w:r>
            <w:r/>
          </w:p>
        </w:tc>
        <w:tc>
          <w:tcPr>
            <w:tcW w:w="23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ascii="Segoe UI" w:hAnsi="Segoe UI" w:eastAsia="Segoe UI" w:cs="Segoe UI"/>
                <w:i w:val="0"/>
                <w:iCs w:val="0"/>
                <w:caps w:val="0"/>
                <w:color w:val="auto"/>
                <w:spacing w:val="0"/>
                <w:sz w:val="21"/>
                <w:szCs w:val="21"/>
                <w:highlight w:val="none"/>
                <w:shd w:val="clear" w:color="auto" w:fill="fafafa"/>
              </w:rPr>
              <w:t xml:space="preserve">2026年警用装备购置更新专项市局保障中心补充装备手持式网捕器项目</w:t>
            </w:r>
            <w:r/>
          </w:p>
        </w:tc>
        <w:tc>
          <w:tcPr>
            <w:tcW w:w="132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手持式网捕器</w:t>
            </w:r>
            <w:r/>
          </w:p>
        </w:tc>
        <w:tc>
          <w:tcPr>
            <w:shd w:val="clear" w:color="auto" w:fill="auto"/>
            <w:tcW w:w="2022" w:type="dxa"/>
            <w:vAlign w:val="top"/>
            <w:textDirection w:val="lrTb"/>
            <w:noWrap w:val="false"/>
          </w:tcPr>
          <w:p>
            <w:pPr>
              <w:pStyle w:val="926"/>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50</w:t>
            </w:r>
            <w:r>
              <w:rPr>
                <w:rFonts w:hint="eastAsia" w:ascii="宋体" w:hAnsi="宋体" w:eastAsia="宋体" w:cs="宋体"/>
                <w:color w:val="auto"/>
                <w:sz w:val="21"/>
                <w:szCs w:val="21"/>
                <w:highlight w:val="none"/>
                <w:lang w:val="en-US" w:eastAsia="zh-CN"/>
              </w:rPr>
              <w:t xml:space="preserve">套</w:t>
            </w:r>
            <w:r/>
          </w:p>
        </w:tc>
        <w:tc>
          <w:tcPr>
            <w:shd w:val="clear" w:color="auto" w:fill="auto"/>
            <w:tcW w:w="1752" w:type="dxa"/>
            <w:vAlign w:val="top"/>
            <w:textDirection w:val="lrTb"/>
            <w:noWrap w:val="false"/>
          </w:tcPr>
          <w:p>
            <w:pPr>
              <w:pStyle w:val="926"/>
              <w:jc w:val="center"/>
              <w:spacing w:line="360"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0.5</w:t>
            </w:r>
            <w:r/>
          </w:p>
        </w:tc>
        <w:tc>
          <w:tcPr>
            <w:shd w:val="clear" w:color="auto" w:fill="auto"/>
            <w:tcW w:w="1344" w:type="dxa"/>
            <w:vAlign w:val="top"/>
            <w:textDirection w:val="lrTb"/>
            <w:noWrap w:val="false"/>
          </w:tcPr>
          <w:p>
            <w:pPr>
              <w:pStyle w:val="926"/>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25</w:t>
            </w:r>
            <w:r/>
          </w:p>
        </w:tc>
      </w:tr>
      <w:tr>
        <w:trPr/>
        <w:tc>
          <w:tcPr>
            <w:tcW w:w="1002" w:type="dxa"/>
            <w:vAlign w:val="center"/>
            <w:vMerge w:val="restart"/>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分包4</w:t>
            </w:r>
            <w:r/>
          </w:p>
        </w:tc>
        <w:tc>
          <w:tcPr>
            <w:tcW w:w="23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ascii="Segoe UI" w:hAnsi="Segoe UI" w:eastAsia="Segoe UI" w:cs="Segoe UI"/>
                <w:i w:val="0"/>
                <w:iCs w:val="0"/>
                <w:caps w:val="0"/>
                <w:color w:val="auto"/>
                <w:spacing w:val="0"/>
                <w:sz w:val="21"/>
                <w:szCs w:val="21"/>
                <w:highlight w:val="none"/>
                <w:shd w:val="clear" w:color="auto" w:fill="fafafa"/>
              </w:rPr>
              <w:t xml:space="preserve">2026年警用装备购置更新专项市局保障中心补充装备腰带和指挥棒项目</w:t>
            </w:r>
            <w:r/>
          </w:p>
        </w:tc>
        <w:tc>
          <w:tcPr>
            <w:tcW w:w="132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交通指挥棒</w:t>
            </w:r>
            <w:r/>
          </w:p>
        </w:tc>
        <w:tc>
          <w:tcPr>
            <w:tcW w:w="2022" w:type="dxa"/>
            <w:vAlign w:val="top"/>
            <w:textDirection w:val="lrTb"/>
            <w:noWrap w:val="false"/>
          </w:tcPr>
          <w:p>
            <w:pPr>
              <w:pStyle w:val="926"/>
              <w:jc w:val="center"/>
              <w:spacing w:line="360" w:lineRule="auto"/>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color w:val="auto"/>
                <w:sz w:val="21"/>
                <w:szCs w:val="21"/>
                <w:highlight w:val="none"/>
              </w:rPr>
              <w:t xml:space="preserve">500</w:t>
            </w:r>
            <w:r>
              <w:rPr>
                <w:rFonts w:hint="eastAsia" w:ascii="宋体" w:hAnsi="宋体" w:eastAsia="宋体" w:cs="宋体"/>
                <w:color w:val="auto"/>
                <w:sz w:val="21"/>
                <w:szCs w:val="21"/>
                <w:highlight w:val="none"/>
                <w:lang w:val="en-US" w:eastAsia="zh-CN"/>
              </w:rPr>
              <w:t xml:space="preserve">套</w:t>
            </w:r>
            <w:r/>
          </w:p>
        </w:tc>
        <w:tc>
          <w:tcPr>
            <w:tcW w:w="1752" w:type="dxa"/>
            <w:vAlign w:val="top"/>
            <w:textDirection w:val="lrTb"/>
            <w:noWrap w:val="false"/>
          </w:tcPr>
          <w:p>
            <w:pPr>
              <w:pStyle w:val="926"/>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0.01</w:t>
            </w:r>
            <w:r/>
          </w:p>
        </w:tc>
        <w:tc>
          <w:tcPr>
            <w:shd w:val="clear" w:color="auto" w:fill="auto"/>
            <w:tcW w:w="1344" w:type="dxa"/>
            <w:vAlign w:val="top"/>
            <w:textDirection w:val="lrTb"/>
            <w:noWrap w:val="false"/>
          </w:tcPr>
          <w:p>
            <w:pPr>
              <w:pStyle w:val="926"/>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5</w:t>
            </w:r>
            <w:r/>
          </w:p>
        </w:tc>
      </w:tr>
      <w:tr>
        <w:trPr/>
        <w:tc>
          <w:tcPr>
            <w:tcW w:w="100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2305" w:type="dxa"/>
            <w:vAlign w:val="center"/>
            <w:vMerge w:val="continue"/>
            <w:textDirection w:val="lrTb"/>
            <w:noWrap w:val="false"/>
          </w:tcPr>
          <w:p>
            <w:pPr>
              <w:jc w:val="center"/>
              <w:keepLines w:val="0"/>
              <w:keepNext w:val="0"/>
              <w:widowControl/>
              <w:rPr>
                <w:rFonts w:ascii="Segoe UI" w:hAnsi="Segoe UI" w:eastAsia="Segoe UI" w:cs="Segoe UI"/>
                <w:i w:val="0"/>
                <w:iCs w:val="0"/>
                <w:caps w:val="0"/>
                <w:color w:val="auto"/>
                <w:spacing w:val="0"/>
                <w:sz w:val="21"/>
                <w:szCs w:val="21"/>
                <w:highlight w:val="none"/>
                <w:shd w:val="clear" w:color="auto" w:fill="fafafa"/>
              </w:rPr>
              <w:suppressLineNumbers w:val="0"/>
            </w:pPr>
            <w:r>
              <w:rPr>
                <w:rFonts w:ascii="Segoe UI" w:hAnsi="Segoe UI" w:eastAsia="Segoe UI" w:cs="Segoe UI"/>
                <w:i w:val="0"/>
                <w:iCs w:val="0"/>
                <w:caps w:val="0"/>
                <w:color w:val="auto"/>
                <w:spacing w:val="0"/>
                <w:sz w:val="21"/>
                <w:szCs w:val="21"/>
                <w:highlight w:val="none"/>
                <w:shd w:val="clear" w:color="auto" w:fill="fafafa"/>
              </w:rPr>
            </w:r>
            <w:r/>
          </w:p>
        </w:tc>
        <w:tc>
          <w:tcPr>
            <w:tcW w:w="13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多功能腰带</w:t>
            </w:r>
            <w:r>
              <w:rPr>
                <w:rFonts w:hint="eastAsia" w:ascii="宋体" w:hAnsi="宋体" w:eastAsia="宋体" w:cs="宋体"/>
                <w:b/>
                <w:bCs/>
                <w:i w:val="0"/>
                <w:iCs w:val="0"/>
                <w:color w:val="auto"/>
                <w:sz w:val="22"/>
                <w:szCs w:val="22"/>
                <w:highlight w:val="none"/>
                <w:u w:val="none"/>
                <w:lang w:val="en-US" w:eastAsia="zh-CN" w:bidi="ar"/>
              </w:rPr>
              <w:t xml:space="preserve">（核心产品）</w:t>
            </w:r>
            <w:r/>
          </w:p>
        </w:tc>
        <w:tc>
          <w:tcPr>
            <w:tcW w:w="2022" w:type="dxa"/>
            <w:vAlign w:val="top"/>
            <w:textDirection w:val="lrTb"/>
            <w:noWrap w:val="false"/>
          </w:tcPr>
          <w:p>
            <w:pPr>
              <w:pStyle w:val="926"/>
              <w:jc w:val="center"/>
              <w:spacing w:line="360" w:lineRule="auto"/>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color w:val="auto"/>
                <w:sz w:val="21"/>
                <w:szCs w:val="21"/>
                <w:highlight w:val="none"/>
              </w:rPr>
              <w:t xml:space="preserve">1000</w:t>
            </w:r>
            <w:r>
              <w:rPr>
                <w:rFonts w:hint="eastAsia" w:ascii="宋体" w:hAnsi="宋体" w:eastAsia="宋体" w:cs="宋体"/>
                <w:color w:val="auto"/>
                <w:sz w:val="21"/>
                <w:szCs w:val="21"/>
                <w:highlight w:val="none"/>
                <w:lang w:val="en-US" w:eastAsia="zh-CN"/>
              </w:rPr>
              <w:t xml:space="preserve">套</w:t>
            </w:r>
            <w:r/>
          </w:p>
        </w:tc>
        <w:tc>
          <w:tcPr>
            <w:tcW w:w="1752" w:type="dxa"/>
            <w:vAlign w:val="top"/>
            <w:textDirection w:val="lrTb"/>
            <w:noWrap w:val="false"/>
          </w:tcPr>
          <w:p>
            <w:pPr>
              <w:pStyle w:val="926"/>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0.018</w:t>
            </w:r>
            <w:r/>
          </w:p>
        </w:tc>
        <w:tc>
          <w:tcPr>
            <w:shd w:val="clear" w:color="auto" w:fill="auto"/>
            <w:tcW w:w="1344" w:type="dxa"/>
            <w:vAlign w:val="top"/>
            <w:textDirection w:val="lrTb"/>
            <w:noWrap w:val="false"/>
          </w:tcPr>
          <w:p>
            <w:pPr>
              <w:pStyle w:val="926"/>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18</w:t>
            </w:r>
            <w:r/>
          </w:p>
        </w:tc>
      </w:tr>
      <w:tr>
        <w:trPr/>
        <w:tc>
          <w:tcPr>
            <w:tcW w:w="100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分包5</w:t>
            </w:r>
            <w:r/>
          </w:p>
        </w:tc>
        <w:tc>
          <w:tcPr>
            <w:tcW w:w="23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ascii="Segoe UI" w:hAnsi="Segoe UI" w:eastAsia="Segoe UI" w:cs="Segoe UI"/>
                <w:i w:val="0"/>
                <w:iCs w:val="0"/>
                <w:caps w:val="0"/>
                <w:color w:val="auto"/>
                <w:spacing w:val="0"/>
                <w:sz w:val="21"/>
                <w:szCs w:val="21"/>
                <w:highlight w:val="none"/>
                <w:shd w:val="clear" w:color="auto" w:fill="fafafa"/>
              </w:rPr>
              <w:t xml:space="preserve">2026年警用装备购置更新专项市局保障中心补充装备手持式热成像仪项目</w:t>
            </w:r>
            <w:r/>
          </w:p>
        </w:tc>
        <w:tc>
          <w:tcPr>
            <w:tcW w:w="132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ascii="Segoe UI" w:hAnsi="Segoe UI" w:eastAsia="Segoe UI" w:cs="Segoe UI"/>
                <w:i w:val="0"/>
                <w:iCs w:val="0"/>
                <w:caps w:val="0"/>
                <w:color w:val="auto"/>
                <w:spacing w:val="0"/>
                <w:sz w:val="21"/>
                <w:szCs w:val="21"/>
                <w:highlight w:val="none"/>
                <w:shd w:val="clear" w:color="auto" w:fill="fafafa"/>
              </w:rPr>
              <w:t xml:space="preserve">手持式热成像仪</w:t>
            </w:r>
            <w:r/>
          </w:p>
        </w:tc>
        <w:tc>
          <w:tcPr>
            <w:tcW w:w="2022" w:type="dxa"/>
            <w:vAlign w:val="top"/>
            <w:textDirection w:val="lrTb"/>
            <w:noWrap w:val="false"/>
          </w:tcPr>
          <w:p>
            <w:pPr>
              <w:pStyle w:val="926"/>
              <w:jc w:val="center"/>
              <w:spacing w:line="360" w:lineRule="auto"/>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en-US" w:eastAsia="zh-CN"/>
              </w:rPr>
              <w:t xml:space="preserve">套</w:t>
            </w:r>
            <w:r/>
          </w:p>
        </w:tc>
        <w:tc>
          <w:tcPr>
            <w:tcW w:w="1752" w:type="dxa"/>
            <w:vAlign w:val="top"/>
            <w:textDirection w:val="lrTb"/>
            <w:noWrap w:val="false"/>
          </w:tcPr>
          <w:p>
            <w:pPr>
              <w:pStyle w:val="926"/>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shd w:val="clear" w:color="auto" w:fill="auto"/>
            <w:tcW w:w="1344" w:type="dxa"/>
            <w:vAlign w:val="top"/>
            <w:textDirection w:val="lrTb"/>
            <w:noWrap w:val="false"/>
          </w:tcPr>
          <w:p>
            <w:pPr>
              <w:pStyle w:val="926"/>
              <w:jc w:val="center"/>
              <w:spacing w:line="360"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20</w:t>
            </w:r>
            <w:r/>
          </w:p>
        </w:tc>
      </w:tr>
      <w:tr>
        <w:trPr/>
        <w:tc>
          <w:tcPr>
            <w:tcW w:w="100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分包6</w:t>
            </w:r>
            <w:r/>
          </w:p>
        </w:tc>
        <w:tc>
          <w:tcPr>
            <w:tcW w:w="23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ascii="Segoe UI" w:hAnsi="Segoe UI" w:eastAsia="Segoe UI" w:cs="Segoe UI"/>
                <w:i w:val="0"/>
                <w:iCs w:val="0"/>
                <w:caps w:val="0"/>
                <w:color w:val="auto"/>
                <w:spacing w:val="0"/>
                <w:sz w:val="21"/>
                <w:szCs w:val="21"/>
                <w:highlight w:val="none"/>
              </w:rPr>
              <w:t xml:space="preserve">2026年警用装备购置更新专项市局保障中心补充装备外骨骼AI助力装备项目</w:t>
            </w:r>
            <w:r/>
          </w:p>
        </w:tc>
        <w:tc>
          <w:tcPr>
            <w:tcW w:w="132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外骨骼AI助力装备</w:t>
            </w:r>
            <w:r/>
          </w:p>
        </w:tc>
        <w:tc>
          <w:tcPr>
            <w:shd w:val="clear" w:color="auto" w:fill="auto"/>
            <w:tcW w:w="2022" w:type="dxa"/>
            <w:vAlign w:val="top"/>
            <w:textDirection w:val="lrTb"/>
            <w:noWrap w:val="false"/>
          </w:tcPr>
          <w:p>
            <w:pPr>
              <w:pStyle w:val="926"/>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套</w:t>
            </w:r>
            <w:r/>
          </w:p>
        </w:tc>
        <w:tc>
          <w:tcPr>
            <w:shd w:val="clear" w:color="auto" w:fill="auto"/>
            <w:tcW w:w="1752" w:type="dxa"/>
            <w:vAlign w:val="top"/>
            <w:textDirection w:val="lrTb"/>
            <w:noWrap w:val="false"/>
          </w:tcPr>
          <w:p>
            <w:pPr>
              <w:pStyle w:val="926"/>
              <w:jc w:val="center"/>
              <w:spacing w:line="360"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w:t>
            </w:r>
            <w:r/>
          </w:p>
        </w:tc>
        <w:tc>
          <w:tcPr>
            <w:shd w:val="clear" w:color="auto" w:fill="auto"/>
            <w:tcW w:w="1344" w:type="dxa"/>
            <w:vAlign w:val="top"/>
            <w:textDirection w:val="lrTb"/>
            <w:noWrap w:val="false"/>
          </w:tcPr>
          <w:p>
            <w:pPr>
              <w:pStyle w:val="926"/>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20</w:t>
            </w:r>
            <w:r/>
          </w:p>
        </w:tc>
      </w:tr>
    </w:tbl>
    <w:p>
      <w:pPr>
        <w:pStyle w:val="926"/>
        <w:ind w:firstLine="420"/>
        <w:spacing w:line="360" w:lineRule="auto"/>
        <w:rPr>
          <w:rFonts w:hint="default" w:ascii="宋体" w:hAnsi="宋体" w:eastAsia="宋体" w:cs="宋体"/>
          <w:color w:val="auto"/>
          <w:sz w:val="21"/>
          <w:szCs w:val="21"/>
          <w:highlight w:val="none"/>
          <w:lang w:val="en-US" w:eastAsia="zh-CN"/>
        </w:rPr>
        <w:sectPr>
          <w:footerReference w:type="default" r:id="rId10"/>
          <w:footnotePr/>
          <w:endnotePr/>
          <w:type w:val="nextPage"/>
          <w:pgSz w:w="11906" w:h="16838" w:orient="portrait"/>
          <w:pgMar w:top="1304" w:right="1134" w:bottom="1247" w:left="1304" w:header="851" w:footer="992" w:gutter="0"/>
          <w:cols w:num="1" w:sep="0" w:space="720" w:equalWidth="1"/>
          <w:docGrid w:linePitch="360"/>
        </w:sectPr>
      </w:pPr>
      <w:r>
        <w:rPr>
          <w:rFonts w:hint="default" w:ascii="宋体" w:hAnsi="宋体" w:eastAsia="宋体" w:cs="宋体"/>
          <w:color w:val="auto"/>
          <w:sz w:val="21"/>
          <w:szCs w:val="21"/>
          <w:highlight w:val="none"/>
          <w:lang w:val="en-US" w:eastAsia="zh-CN"/>
        </w:rPr>
      </w:r>
      <w:r/>
    </w:p>
    <w:p>
      <w:pPr>
        <w:pStyle w:val="856"/>
        <w:rPr>
          <w:rFonts w:hint="eastAsia" w:eastAsia="宋体"/>
          <w:color w:val="auto"/>
          <w:highlight w:val="none"/>
          <w:lang w:eastAsia="zh-CN"/>
        </w:rPr>
      </w:pPr>
      <w:r>
        <w:rPr>
          <w:rFonts w:hint="eastAsia"/>
          <w:color w:val="auto"/>
          <w:highlight w:val="none"/>
        </w:rPr>
        <w:t xml:space="preserve">三、设备要求设置</w:t>
      </w:r>
      <w:r/>
    </w:p>
    <w:tbl>
      <w:tblPr>
        <w:tblStyle w:val="865"/>
        <w:tblW w:w="9493" w:type="dxa"/>
        <w:tblInd w:w="-29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6"/>
        <w:gridCol w:w="1357"/>
        <w:gridCol w:w="7390"/>
      </w:tblGrid>
      <w:tr>
        <w:trPr>
          <w:trHeight w:val="70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lang w:val="en-US" w:eastAsia="zh-CN"/>
              </w:rPr>
              <w:t xml:space="preserve">设备名称</w:t>
            </w:r>
            <w:r/>
          </w:p>
        </w:tc>
        <w:tc>
          <w:tcPr>
            <w:tcBorders>
              <w:top w:val="single" w:color="000000" w:sz="4" w:space="0"/>
              <w:left w:val="single" w:color="000000" w:sz="4" w:space="0"/>
              <w:bottom w:val="single" w:color="000000" w:sz="4" w:space="0"/>
              <w:right w:val="single" w:color="000000" w:sz="4" w:space="0"/>
            </w:tcBorders>
            <w:tcW w:w="7390" w:type="dxa"/>
            <w:vAlign w:val="center"/>
            <w:textDirection w:val="lrTb"/>
            <w:noWrap w:val="false"/>
          </w:tcPr>
          <w:p>
            <w:pPr>
              <w:jc w:val="center"/>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lang w:val="en-US" w:eastAsia="zh-CN"/>
              </w:rPr>
              <w:t xml:space="preserve">配置参数及质保</w:t>
            </w:r>
            <w:r/>
          </w:p>
        </w:tc>
      </w:tr>
      <w:tr>
        <w:trPr>
          <w:trHeight w:val="312"/>
        </w:trPr>
        <w:tc>
          <w:tcPr>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57" w:type="dxa"/>
            <w:vAlign w:val="center"/>
            <w:vMerge w:val="restart"/>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反宣反制仪</w:t>
            </w:r>
            <w:r/>
          </w:p>
        </w:tc>
        <w:tc>
          <w:tcPr>
            <w:tcBorders>
              <w:top w:val="single" w:color="000000" w:sz="4" w:space="0"/>
              <w:left w:val="single" w:color="000000" w:sz="4" w:space="0"/>
              <w:bottom w:val="single" w:color="000000" w:sz="4" w:space="0"/>
              <w:right w:val="single" w:color="000000" w:sz="4" w:space="0"/>
            </w:tcBorders>
            <w:tcW w:w="7390" w:type="dxa"/>
            <w:vAlign w:val="center"/>
            <w:vMerge w:val="restart"/>
            <w:textDirection w:val="lrTb"/>
            <w:noWrap w:val="false"/>
          </w:tcPr>
          <w:p>
            <w:pPr>
              <w:jc w:val="both"/>
              <w:widowControl/>
              <w:rPr>
                <w:rFonts w:hint="eastAsia" w:ascii="宋体" w:hAnsi="宋体" w:eastAsia="宋体" w:cs="宋体"/>
                <w:b/>
                <w:bCs/>
                <w:i w:val="0"/>
                <w:iCs w:val="0"/>
                <w:color w:val="auto"/>
                <w:sz w:val="21"/>
                <w:szCs w:val="21"/>
                <w:highlight w:val="none"/>
                <w:u w:val="none"/>
                <w:lang w:val="en-US" w:eastAsia="zh-CN"/>
              </w:rPr>
            </w:pPr>
            <w:r>
              <w:rPr>
                <w:rFonts w:hint="eastAsia" w:ascii="宋体" w:hAnsi="宋体" w:eastAsia="宋体" w:cs="宋体"/>
                <w:b/>
                <w:bCs/>
                <w:i w:val="0"/>
                <w:iCs w:val="0"/>
                <w:color w:val="auto"/>
                <w:sz w:val="21"/>
                <w:szCs w:val="21"/>
                <w:highlight w:val="none"/>
                <w:u w:val="none"/>
                <w:lang w:val="en-US" w:eastAsia="zh-CN"/>
              </w:rPr>
              <w:t xml:space="preserve">利用强光对反宣标语进行压制</w:t>
            </w:r>
            <w:r/>
          </w:p>
          <w:p>
            <w:pPr>
              <w:jc w:val="both"/>
              <w:widowControl/>
              <w:rPr>
                <w:rFonts w:hint="eastAsia" w:ascii="宋体" w:hAnsi="宋体" w:eastAsia="宋体" w:cs="宋体"/>
                <w:b/>
                <w:bCs/>
                <w:i w:val="0"/>
                <w:iCs w:val="0"/>
                <w:color w:val="auto"/>
                <w:sz w:val="21"/>
                <w:szCs w:val="21"/>
                <w:highlight w:val="none"/>
                <w:u w:val="none"/>
                <w:lang w:val="en-US" w:eastAsia="zh-CN"/>
              </w:rPr>
            </w:pPr>
            <w:r>
              <w:rPr>
                <w:rFonts w:hint="eastAsia" w:ascii="宋体" w:hAnsi="宋体" w:eastAsia="宋体" w:cs="宋体"/>
                <w:b/>
                <w:bCs/>
                <w:i w:val="0"/>
                <w:iCs w:val="0"/>
                <w:color w:val="auto"/>
                <w:sz w:val="21"/>
                <w:szCs w:val="21"/>
                <w:highlight w:val="none"/>
                <w:u w:val="none"/>
                <w:lang w:val="en-US" w:eastAsia="zh-CN"/>
              </w:rPr>
              <w:t xml:space="preserve">高功率≥600W:</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▲1、光通量≥40000LM, 色温≥8000K,显色指数≥70</w:t>
            </w:r>
            <w:r>
              <w:rPr>
                <w:rFonts w:hint="eastAsia" w:ascii="宋体" w:hAnsi="宋体" w:eastAsia="宋体" w:cs="宋体"/>
                <w:b/>
                <w:bCs/>
                <w:i w:val="0"/>
                <w:iCs w:val="0"/>
                <w:color w:val="auto"/>
                <w:sz w:val="21"/>
                <w:szCs w:val="21"/>
                <w:highlight w:val="none"/>
                <w:u w:val="none"/>
                <w:lang w:val="en-US" w:eastAsia="zh-CN"/>
              </w:rPr>
              <w:t xml:space="preserve">（提供第三方检测报告）</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▲2、工作电压：AC110V-220V,投射最大距离≥150m, 设备支持手动线性调焦功能：</w:t>
            </w:r>
            <w:r>
              <w:rPr>
                <w:rFonts w:hint="eastAsia" w:ascii="宋体" w:hAnsi="宋体" w:eastAsia="宋体" w:cs="宋体"/>
                <w:b/>
                <w:bCs/>
                <w:i w:val="0"/>
                <w:iCs w:val="0"/>
                <w:color w:val="auto"/>
                <w:sz w:val="21"/>
                <w:szCs w:val="21"/>
                <w:highlight w:val="none"/>
                <w:u w:val="none"/>
                <w:lang w:val="en-US" w:eastAsia="zh-CN"/>
              </w:rPr>
              <w:t xml:space="preserve">（提供第三方检测报告）</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▲3、具有铜管冷媒导热，设备支持多图(4图及以上)循环轮播，可自动调节每张图案变化时间。</w:t>
            </w:r>
            <w:r>
              <w:rPr>
                <w:rFonts w:hint="eastAsia" w:ascii="宋体" w:hAnsi="宋体" w:eastAsia="宋体" w:cs="宋体"/>
                <w:b/>
                <w:bCs/>
                <w:i w:val="0"/>
                <w:iCs w:val="0"/>
                <w:color w:val="auto"/>
                <w:sz w:val="21"/>
                <w:szCs w:val="21"/>
                <w:highlight w:val="none"/>
                <w:u w:val="none"/>
                <w:lang w:val="en-US" w:eastAsia="zh-CN"/>
              </w:rPr>
              <w:t xml:space="preserve">(提供第三方检测报告)</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4、设备重量：≤16kg</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5、设备配有储能电源和辅助工作灯</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5.1辅助灯</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（1）额定功率：≥17W</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（2）连续照明时间：符合书写亮光模式：≥3h ;警示灯：≥48h</w:t>
            </w:r>
            <w:r/>
          </w:p>
          <w:p>
            <w:pPr>
              <w:jc w:val="both"/>
              <w:widowControl/>
              <w:rPr>
                <w:rFonts w:hint="eastAsia" w:ascii="宋体" w:hAnsi="宋体" w:eastAsia="宋体" w:cs="宋体"/>
                <w:b/>
                <w:bCs/>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▲（3）符合书写亮光模式长按开关可10-100%无极调光</w:t>
            </w:r>
            <w:r>
              <w:rPr>
                <w:rFonts w:hint="eastAsia" w:ascii="宋体" w:hAnsi="宋体" w:eastAsia="宋体" w:cs="宋体"/>
                <w:b/>
                <w:bCs/>
                <w:i w:val="0"/>
                <w:iCs w:val="0"/>
                <w:color w:val="auto"/>
                <w:sz w:val="21"/>
                <w:szCs w:val="21"/>
                <w:highlight w:val="none"/>
                <w:u w:val="none"/>
                <w:lang w:val="en-US" w:eastAsia="zh-CN"/>
              </w:rPr>
              <w:t xml:space="preserve">（提供第三方检测报告）</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5.2储能电源：</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（1）设备支持市电和标配≥1°储能电源供电</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（2）储能电源配备状态显示屏、具有充放电时间、电池电量百分比、故障报警、工作状态指示、输入输出功率显示。</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设备可单手提行，且配备便携箱，方便携带和移动。</w:t>
            </w:r>
            <w:r/>
          </w:p>
          <w:p>
            <w:pPr>
              <w:jc w:val="both"/>
              <w:widowControl/>
              <w:rPr>
                <w:rFonts w:hint="eastAsia" w:ascii="宋体" w:hAnsi="宋体" w:eastAsia="宋体" w:cs="宋体"/>
                <w:b/>
                <w:bCs/>
                <w:i w:val="0"/>
                <w:iCs w:val="0"/>
                <w:color w:val="auto"/>
                <w:sz w:val="21"/>
                <w:szCs w:val="21"/>
                <w:highlight w:val="none"/>
                <w:u w:val="none"/>
                <w:lang w:val="en-US" w:eastAsia="zh-CN"/>
              </w:rPr>
            </w:pPr>
            <w:r>
              <w:rPr>
                <w:rFonts w:hint="eastAsia" w:ascii="宋体" w:hAnsi="宋体" w:eastAsia="宋体" w:cs="宋体"/>
                <w:b/>
                <w:bCs/>
                <w:i w:val="0"/>
                <w:iCs w:val="0"/>
                <w:color w:val="auto"/>
                <w:sz w:val="21"/>
                <w:szCs w:val="21"/>
                <w:highlight w:val="none"/>
                <w:u w:val="none"/>
                <w:lang w:val="en-US" w:eastAsia="zh-CN"/>
              </w:rPr>
              <w:t xml:space="preserve">300≤低功率&lt;600W:</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▲1、设备应为手持一体式，高清成像镜头、高清图案片、LED 光源模组、驱动、散热器、风扇、铝合金壳体、快拆式电池组组成</w:t>
            </w:r>
            <w:r>
              <w:rPr>
                <w:rFonts w:hint="eastAsia" w:ascii="宋体" w:hAnsi="宋体" w:eastAsia="宋体" w:cs="宋体"/>
                <w:b/>
                <w:bCs/>
                <w:i w:val="0"/>
                <w:iCs w:val="0"/>
                <w:color w:val="auto"/>
                <w:sz w:val="21"/>
                <w:szCs w:val="21"/>
                <w:highlight w:val="none"/>
                <w:u w:val="none"/>
                <w:lang w:val="en-US" w:eastAsia="zh-CN"/>
              </w:rPr>
              <w:t xml:space="preserve">（提供第三方检测报告）</w:t>
            </w:r>
            <w:r/>
          </w:p>
          <w:p>
            <w:pPr>
              <w:jc w:val="both"/>
              <w:widowControl/>
              <w:rPr>
                <w:rFonts w:hint="eastAsia" w:ascii="宋体" w:hAnsi="宋体" w:eastAsia="宋体" w:cs="宋体"/>
                <w:b/>
                <w:bCs/>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▲2、采用快拆式电池组供电，不少于4段式电量显示</w:t>
            </w:r>
            <w:r>
              <w:rPr>
                <w:rFonts w:hint="eastAsia" w:ascii="宋体" w:hAnsi="宋体" w:eastAsia="宋体" w:cs="宋体"/>
                <w:b/>
                <w:bCs/>
                <w:i w:val="0"/>
                <w:iCs w:val="0"/>
                <w:color w:val="auto"/>
                <w:sz w:val="21"/>
                <w:szCs w:val="21"/>
                <w:highlight w:val="none"/>
                <w:u w:val="none"/>
                <w:lang w:val="en-US" w:eastAsia="zh-CN"/>
              </w:rPr>
              <w:t xml:space="preserve">（提供第三方检测报告）</w:t>
            </w:r>
            <w:r/>
          </w:p>
          <w:p>
            <w:pPr>
              <w:jc w:val="both"/>
              <w:widowControl/>
              <w:rPr>
                <w:rFonts w:hint="eastAsia" w:ascii="宋体" w:hAnsi="宋体" w:eastAsia="宋体" w:cs="宋体"/>
                <w:b/>
                <w:bCs/>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▲3、具有铜管冷媒导热</w:t>
            </w:r>
            <w:r>
              <w:rPr>
                <w:rFonts w:hint="eastAsia" w:ascii="宋体" w:hAnsi="宋体" w:eastAsia="宋体" w:cs="宋体"/>
                <w:b/>
                <w:bCs/>
                <w:i w:val="0"/>
                <w:iCs w:val="0"/>
                <w:color w:val="auto"/>
                <w:sz w:val="21"/>
                <w:szCs w:val="21"/>
                <w:highlight w:val="none"/>
                <w:u w:val="none"/>
                <w:lang w:val="en-US" w:eastAsia="zh-CN"/>
              </w:rPr>
              <w:t xml:space="preserve">（提供第三方检测报告）</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▲4、设备(含电池)重量：≤8kg </w:t>
            </w:r>
            <w:r>
              <w:rPr>
                <w:rFonts w:hint="eastAsia" w:ascii="宋体" w:hAnsi="宋体" w:eastAsia="宋体" w:cs="宋体"/>
                <w:b/>
                <w:bCs/>
                <w:i w:val="0"/>
                <w:iCs w:val="0"/>
                <w:color w:val="auto"/>
                <w:sz w:val="21"/>
                <w:szCs w:val="21"/>
                <w:highlight w:val="none"/>
                <w:u w:val="none"/>
                <w:lang w:val="en-US" w:eastAsia="zh-CN"/>
              </w:rPr>
              <w:t xml:space="preserve">（提供第三方检测报告）</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提供3个镜头（镜头系数0.2、0.3、0.5），便于多种工作场景使用</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提供2块电池组</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5、辅助工作灯</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5.1工作灯功率≥3*5W</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▲5.2提供工作灯3C 认证证书</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5.3强光平均值照度≥4000LX,  弱光平均值≥2500LX</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5.4防爆等级：Ex db ia IICT6 Gb,IP66/IP68(1.5m,Ih).(防爆合格证上体现) </w:t>
            </w:r>
            <w:r>
              <w:rPr>
                <w:rFonts w:hint="eastAsia" w:ascii="宋体" w:hAnsi="宋体" w:eastAsia="宋体" w:cs="宋体"/>
                <w:b/>
                <w:bCs/>
                <w:i w:val="0"/>
                <w:iCs w:val="0"/>
                <w:color w:val="auto"/>
                <w:sz w:val="21"/>
                <w:szCs w:val="21"/>
                <w:highlight w:val="none"/>
                <w:u w:val="none"/>
                <w:lang w:val="en-US" w:eastAsia="zh-CN"/>
              </w:rPr>
              <w:t xml:space="preserve">（提供符合要求的检测报告）</w:t>
            </w:r>
            <w:r>
              <w:rPr>
                <w:rFonts w:hint="eastAsia" w:ascii="宋体" w:hAnsi="宋体" w:eastAsia="宋体" w:cs="宋体"/>
                <w:b w:val="0"/>
                <w:bCs w:val="0"/>
                <w:i w:val="0"/>
                <w:iCs w:val="0"/>
                <w:color w:val="auto"/>
                <w:sz w:val="21"/>
                <w:szCs w:val="21"/>
                <w:highlight w:val="none"/>
                <w:u w:val="none"/>
                <w:lang w:val="en-US" w:eastAsia="zh-CN"/>
              </w:rPr>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采用手拎便携箱，可以将设备、2块电池组、3个镜头、辅助灯放于箱内，便于携带。</w:t>
            </w:r>
            <w:r/>
          </w:p>
          <w:p>
            <w:pPr>
              <w:jc w:val="both"/>
              <w:widowControl/>
              <w:rPr>
                <w:rFonts w:hint="eastAsia" w:ascii="宋体" w:hAnsi="宋体" w:eastAsia="宋体" w:cs="宋体"/>
                <w:b/>
                <w:bCs/>
                <w:i w:val="0"/>
                <w:iCs w:val="0"/>
                <w:color w:val="auto"/>
                <w:sz w:val="21"/>
                <w:szCs w:val="21"/>
                <w:highlight w:val="none"/>
                <w:u w:val="none"/>
                <w:lang w:val="en-US" w:eastAsia="zh-CN"/>
              </w:rPr>
            </w:pPr>
            <w:r>
              <w:rPr>
                <w:rFonts w:hint="eastAsia" w:ascii="宋体" w:hAnsi="宋体" w:eastAsia="宋体" w:cs="宋体"/>
                <w:b/>
                <w:bCs/>
                <w:i w:val="0"/>
                <w:iCs w:val="0"/>
                <w:color w:val="auto"/>
                <w:sz w:val="21"/>
                <w:szCs w:val="21"/>
                <w:highlight w:val="none"/>
                <w:u w:val="none"/>
                <w:lang w:val="en-US" w:eastAsia="zh-CN"/>
              </w:rPr>
              <w:t xml:space="preserve">★高功率、低功率须为同一品牌。</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bCs/>
                <w:i w:val="0"/>
                <w:iCs w:val="0"/>
                <w:color w:val="auto"/>
                <w:sz w:val="21"/>
                <w:szCs w:val="21"/>
                <w:highlight w:val="none"/>
                <w:u w:val="none"/>
                <w:lang w:val="en-US" w:eastAsia="zh-CN"/>
              </w:rPr>
              <w:t xml:space="preserve">供演示视频：展示相应功能；中标后作为验货依据。</w:t>
            </w:r>
            <w:r/>
          </w:p>
        </w:tc>
      </w:tr>
      <w:tr>
        <w:trPr>
          <w:trHeight w:val="312"/>
        </w:trPr>
        <w:tc>
          <w:tcPr>
            <w:tcBorders>
              <w:top w:val="single" w:color="000000" w:sz="4" w:space="0"/>
              <w:left w:val="single" w:color="000000" w:sz="4" w:space="0"/>
              <w:bottom w:val="single" w:color="000000" w:sz="4" w:space="0"/>
              <w:right w:val="single" w:color="auto" w:sz="4" w:space="0"/>
            </w:tcBorders>
            <w:tcW w:w="74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000000" w:sz="4" w:space="0"/>
            </w:tcBorders>
            <w:tcW w:w="1357" w:type="dxa"/>
            <w:vAlign w:val="center"/>
            <w:vMerge w:val="restart"/>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便携侦测反制设备</w:t>
            </w:r>
            <w:r/>
          </w:p>
        </w:tc>
        <w:tc>
          <w:tcPr>
            <w:tcBorders>
              <w:top w:val="single" w:color="auto" w:sz="4" w:space="0"/>
              <w:left w:val="single" w:color="000000" w:sz="4" w:space="0"/>
              <w:bottom w:val="single" w:color="auto" w:sz="4" w:space="0"/>
              <w:right w:val="single" w:color="auto" w:sz="4" w:space="0"/>
            </w:tcBorders>
            <w:tcW w:w="7390" w:type="dxa"/>
            <w:vAlign w:val="center"/>
            <w:vMerge w:val="restart"/>
            <w:textDirection w:val="lrTb"/>
            <w:noWrap w:val="false"/>
          </w:tcPr>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1.频谱探测范围：绝大多数常规消费级无人机、部分非常规无人机、部分固定翼无人机、部分穿越机</w:t>
            </w:r>
            <w:r/>
          </w:p>
          <w:p>
            <w:pPr>
              <w:jc w:val="both"/>
              <w:widowControl/>
              <w:rPr>
                <w:rFonts w:hint="eastAsia" w:ascii="宋体" w:hAnsi="宋体" w:eastAsia="宋体" w:cs="宋体"/>
                <w:b/>
                <w:bCs/>
                <w:i w:val="0"/>
                <w:iCs w:val="0"/>
                <w:color w:val="auto"/>
                <w:sz w:val="21"/>
                <w:szCs w:val="21"/>
                <w:highlight w:val="none"/>
                <w:u w:val="none"/>
                <w:lang w:val="en-US" w:eastAsia="zh-CN"/>
              </w:rPr>
            </w:pPr>
            <w:r>
              <w:rPr>
                <w:rFonts w:hint="eastAsia" w:ascii="宋体" w:hAnsi="宋体" w:eastAsia="宋体" w:cs="宋体"/>
                <w:b/>
                <w:bCs/>
                <w:i w:val="0"/>
                <w:iCs w:val="0"/>
                <w:color w:val="auto"/>
                <w:sz w:val="21"/>
                <w:szCs w:val="21"/>
                <w:highlight w:val="none"/>
                <w:u w:val="none"/>
                <w:lang w:val="en-US" w:eastAsia="zh-CN"/>
              </w:rPr>
              <w:t xml:space="preserve">2.▲提供公安部检测报告</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3.侦测频段：400MHz～6GHz</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▲4.侦测距离：≥3km</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侦测时间：≤3s</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▲5.同时探测识别无人机数量：≥10架</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6.同时定位无人机数量及飞手(遥控器)数量：≥10个</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▲7.同时显示轨迹数量：≥10条</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8.跟踪能力：可探测并定位移动速度≥20m/s 的无人机</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▲探测灵敏度：≤-110dBm。</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▲9.精准识别：精准识别同品牌、同机型的不同架无人机，并标识无人机机身ID。</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10.干扰频段：400MHz～6GHz 全频段可软件自定义干扰通道</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11.干扰模式：干扰图传链路、干扰飞控链路、干扰导航信号</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▲12. 干扰距离：≥1km</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▲13.同时输出频段数：≥10个</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14.同时干扰无人机数量：≥10架</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15.干扰响应时间：≤3s</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▲16.发射带宽：≥120MHz</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▲17.诱骗功能：具有驱离模式，应能对作用范围内的无人机进行驱离</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18.诱骗信号：GPS-L1 、GLONASS-L1、其他可选配</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19.发射功率调节：应能调节诱骗信号发射功率</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20.诱骗干扰距离可≥1km,发射功率可调</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▲21.联网功能：应能与雷达、TDOA 、光电、频谱、反制设备实现组网，显示设备的实时位置及探测信息</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22.显示屏：≥3.5英寸</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23.跳频跟踪：设备应能识别无人机序列号。当目标无人机切换工作频点后，设备应仍能将其识别为同一架次无人机</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24.电子地图功能：具有电子地图功能，支持在线和离线地图</w:t>
            </w:r>
            <w:r>
              <w:rPr>
                <w:rFonts w:hint="eastAsia" w:ascii="宋体" w:hAnsi="宋体" w:eastAsia="宋体" w:cs="宋体"/>
                <w:b w:val="0"/>
                <w:bCs w:val="0"/>
                <w:i w:val="0"/>
                <w:iCs w:val="0"/>
                <w:color w:val="auto"/>
                <w:sz w:val="21"/>
                <w:szCs w:val="21"/>
                <w:highlight w:val="none"/>
                <w:u w:val="none"/>
                <w:lang w:val="en-US" w:eastAsia="zh-CN"/>
              </w:rPr>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▲25.记录与回放：应能记录探测到的无人机位置、时间等信息，并能对记录进行回放</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26.电源：锂电池供电，电池可拆卸，提供2块电池。</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▲27.待机时间：电池供电时≥6h (侦测模式开启)</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▲28.整机重量：≤7kg (含电池)</w:t>
            </w:r>
            <w:r/>
          </w:p>
          <w:p>
            <w:pPr>
              <w:jc w:val="both"/>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bCs/>
                <w:i w:val="0"/>
                <w:iCs w:val="0"/>
                <w:color w:val="auto"/>
                <w:sz w:val="21"/>
                <w:szCs w:val="21"/>
                <w:highlight w:val="none"/>
                <w:u w:val="none"/>
                <w:lang w:val="en-US" w:eastAsia="zh-CN"/>
              </w:rPr>
              <w:t xml:space="preserve">提供演示视频：展示相应功能；中标后作为验货依据。</w:t>
            </w:r>
            <w:r/>
          </w:p>
        </w:tc>
      </w:tr>
      <w:tr>
        <w:trPr>
          <w:trHeight w:val="312"/>
        </w:trPr>
        <w:tc>
          <w:tcPr>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000000" w:sz="4" w:space="0"/>
              <w:bottom w:val="single" w:color="auto" w:sz="4" w:space="0"/>
              <w:right w:val="single" w:color="000000" w:sz="4" w:space="0"/>
            </w:tcBorders>
            <w:tcW w:w="1357" w:type="dxa"/>
            <w:vAlign w:val="center"/>
            <w:vMerge w:val="restart"/>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手持式热成像仪</w:t>
            </w:r>
            <w:r/>
          </w:p>
        </w:tc>
        <w:tc>
          <w:tcPr>
            <w:tcBorders>
              <w:top w:val="single" w:color="auto" w:sz="4" w:space="0"/>
              <w:left w:val="single" w:color="000000" w:sz="4" w:space="0"/>
              <w:bottom w:val="single" w:color="auto" w:sz="4" w:space="0"/>
              <w:right w:val="single" w:color="000000" w:sz="4" w:space="0"/>
            </w:tcBorders>
            <w:tcW w:w="7390" w:type="dxa"/>
            <w:vAlign w:val="center"/>
            <w:vMerge w:val="restart"/>
            <w:textDirection w:val="lrTb"/>
            <w:noWrap w:val="false"/>
          </w:tcPr>
          <w:p>
            <w:pPr>
              <w:jc w:val="left"/>
              <w:widowControl/>
              <w:rPr>
                <w:rStyle w:val="1029"/>
                <w:rFonts w:hint="eastAsia"/>
                <w:color w:val="auto"/>
                <w:sz w:val="21"/>
                <w:szCs w:val="21"/>
                <w:highlight w:val="none"/>
                <w:lang w:val="en-US" w:eastAsia="zh-CN"/>
              </w:rPr>
            </w:pPr>
            <w:r>
              <w:rPr>
                <w:rStyle w:val="1029"/>
                <w:rFonts w:hint="eastAsia"/>
                <w:color w:val="auto"/>
                <w:sz w:val="21"/>
                <w:szCs w:val="21"/>
                <w:highlight w:val="none"/>
                <w:lang w:val="en-US" w:eastAsia="zh-CN"/>
              </w:rPr>
              <w:t xml:space="preserve">1、5种及以上图像模式；</w:t>
            </w:r>
            <w:r/>
          </w:p>
          <w:p>
            <w:pPr>
              <w:jc w:val="left"/>
              <w:widowControl/>
              <w:rPr>
                <w:rStyle w:val="1029"/>
                <w:rFonts w:hint="eastAsia"/>
                <w:color w:val="auto"/>
                <w:sz w:val="21"/>
                <w:szCs w:val="21"/>
                <w:highlight w:val="none"/>
                <w:lang w:val="en-US" w:eastAsia="zh-CN"/>
              </w:rPr>
            </w:pPr>
            <w:r>
              <w:rPr>
                <w:rStyle w:val="1029"/>
                <w:rFonts w:hint="eastAsia"/>
                <w:color w:val="auto"/>
                <w:sz w:val="21"/>
                <w:szCs w:val="21"/>
                <w:highlight w:val="none"/>
                <w:lang w:val="en-US" w:eastAsia="zh-CN"/>
              </w:rPr>
              <w:t xml:space="preserve">2、白天、夜间、全黑环境连续工作，</w:t>
            </w:r>
            <w:r/>
          </w:p>
          <w:p>
            <w:pPr>
              <w:jc w:val="left"/>
              <w:widowControl/>
              <w:rPr>
                <w:rStyle w:val="1029"/>
                <w:rFonts w:hint="eastAsia"/>
                <w:color w:val="auto"/>
                <w:sz w:val="21"/>
                <w:szCs w:val="21"/>
                <w:highlight w:val="none"/>
                <w:lang w:val="en-US" w:eastAsia="zh-CN"/>
              </w:rPr>
            </w:pPr>
            <w:r>
              <w:rPr>
                <w:rStyle w:val="1029"/>
                <w:rFonts w:hint="eastAsia"/>
                <w:color w:val="auto"/>
                <w:sz w:val="21"/>
                <w:szCs w:val="21"/>
                <w:highlight w:val="none"/>
                <w:lang w:val="en-US" w:eastAsia="zh-CN"/>
              </w:rPr>
              <w:t xml:space="preserve">3、非制冷探测器：≤14μm，分辨率≥640*512，镜头≥25mm；</w:t>
            </w:r>
            <w:r/>
          </w:p>
          <w:p>
            <w:pPr>
              <w:jc w:val="left"/>
              <w:widowControl/>
              <w:rPr>
                <w:rStyle w:val="1029"/>
                <w:rFonts w:hint="eastAsia"/>
                <w:color w:val="auto"/>
                <w:sz w:val="21"/>
                <w:szCs w:val="21"/>
                <w:highlight w:val="none"/>
                <w:lang w:val="en-US" w:eastAsia="zh-CN"/>
              </w:rPr>
            </w:pPr>
            <w:r>
              <w:rPr>
                <w:rStyle w:val="1029"/>
                <w:rFonts w:hint="eastAsia"/>
                <w:color w:val="auto"/>
                <w:sz w:val="21"/>
                <w:szCs w:val="21"/>
                <w:highlight w:val="none"/>
                <w:lang w:val="en-US" w:eastAsia="zh-CN"/>
              </w:rPr>
              <w:t xml:space="preserve">4、激光测距≥1000米；</w:t>
            </w:r>
            <w:r/>
          </w:p>
          <w:p>
            <w:pPr>
              <w:jc w:val="left"/>
              <w:widowControl/>
              <w:rPr>
                <w:rStyle w:val="1029"/>
                <w:rFonts w:hint="eastAsia"/>
                <w:color w:val="auto"/>
                <w:sz w:val="21"/>
                <w:szCs w:val="21"/>
                <w:highlight w:val="none"/>
                <w:lang w:val="en-US" w:eastAsia="zh-CN"/>
              </w:rPr>
            </w:pPr>
            <w:r>
              <w:rPr>
                <w:rStyle w:val="1029"/>
                <w:rFonts w:hint="eastAsia"/>
                <w:color w:val="auto"/>
                <w:sz w:val="21"/>
                <w:szCs w:val="21"/>
                <w:highlight w:val="none"/>
                <w:lang w:val="en-US" w:eastAsia="zh-CN"/>
              </w:rPr>
              <w:t xml:space="preserve">5、内置≥0.39英寸1024X768高分辨率OLED显示屏；</w:t>
            </w:r>
            <w:r/>
          </w:p>
          <w:p>
            <w:pPr>
              <w:jc w:val="left"/>
              <w:widowControl/>
              <w:rPr>
                <w:rStyle w:val="1029"/>
                <w:rFonts w:hint="eastAsia"/>
                <w:color w:val="auto"/>
                <w:sz w:val="21"/>
                <w:szCs w:val="21"/>
                <w:highlight w:val="none"/>
                <w:lang w:val="en-US" w:eastAsia="zh-CN"/>
              </w:rPr>
            </w:pPr>
            <w:r>
              <w:rPr>
                <w:rStyle w:val="1029"/>
                <w:rFonts w:hint="eastAsia"/>
                <w:color w:val="auto"/>
                <w:sz w:val="21"/>
                <w:szCs w:val="21"/>
                <w:highlight w:val="none"/>
                <w:lang w:val="en-US" w:eastAsia="zh-CN"/>
              </w:rPr>
              <w:t xml:space="preserve">6、具有≥8倍电子变倍 wifi无线观察；</w:t>
            </w:r>
            <w:r/>
          </w:p>
          <w:p>
            <w:pPr>
              <w:jc w:val="left"/>
              <w:widowControl/>
              <w:rPr>
                <w:rStyle w:val="1029"/>
                <w:rFonts w:hint="eastAsia"/>
                <w:color w:val="auto"/>
                <w:sz w:val="21"/>
                <w:szCs w:val="21"/>
                <w:highlight w:val="none"/>
                <w:lang w:val="en-US" w:eastAsia="zh-CN"/>
              </w:rPr>
            </w:pPr>
            <w:r>
              <w:rPr>
                <w:rStyle w:val="1029"/>
                <w:rFonts w:hint="eastAsia"/>
                <w:color w:val="auto"/>
                <w:sz w:val="21"/>
                <w:szCs w:val="21"/>
                <w:highlight w:val="none"/>
                <w:lang w:val="en-US" w:eastAsia="zh-CN"/>
              </w:rPr>
              <w:t xml:space="preserve">▲7、APP免费使用</w:t>
            </w:r>
            <w:r/>
          </w:p>
          <w:p>
            <w:pPr>
              <w:jc w:val="left"/>
              <w:widowControl/>
              <w:rPr>
                <w:rStyle w:val="1029"/>
                <w:rFonts w:hint="eastAsia"/>
                <w:color w:val="auto"/>
                <w:sz w:val="21"/>
                <w:szCs w:val="21"/>
                <w:highlight w:val="none"/>
                <w:lang w:val="en-US" w:eastAsia="zh-CN"/>
              </w:rPr>
            </w:pPr>
            <w:r>
              <w:rPr>
                <w:rStyle w:val="1029"/>
                <w:rFonts w:hint="eastAsia"/>
                <w:color w:val="auto"/>
                <w:sz w:val="21"/>
                <w:szCs w:val="21"/>
                <w:highlight w:val="none"/>
                <w:lang w:val="en-US" w:eastAsia="zh-CN"/>
              </w:rPr>
              <w:t xml:space="preserve">8、一键拍照录像录音，内置存储容量≥32G，防护等级不小于IP67；</w:t>
            </w:r>
            <w:r/>
          </w:p>
          <w:p>
            <w:pPr>
              <w:jc w:val="left"/>
              <w:widowControl/>
              <w:rPr>
                <w:rStyle w:val="1029"/>
                <w:rFonts w:hint="eastAsia"/>
                <w:color w:val="auto"/>
                <w:sz w:val="21"/>
                <w:szCs w:val="21"/>
                <w:highlight w:val="none"/>
                <w:lang w:val="en-US" w:eastAsia="zh-CN"/>
              </w:rPr>
            </w:pPr>
            <w:r>
              <w:rPr>
                <w:rStyle w:val="1029"/>
                <w:rFonts w:hint="eastAsia"/>
                <w:color w:val="auto"/>
                <w:sz w:val="21"/>
                <w:szCs w:val="21"/>
                <w:highlight w:val="none"/>
                <w:lang w:val="en-US" w:eastAsia="zh-CN"/>
              </w:rPr>
              <w:t xml:space="preserve">9、天气晴朗状态下识别人或动物形状距离≥600m，识别汽车形状距离≥1500m  </w:t>
            </w:r>
            <w:r/>
          </w:p>
          <w:p>
            <w:pPr>
              <w:jc w:val="left"/>
              <w:widowControl/>
              <w:rPr>
                <w:rStyle w:val="1029"/>
                <w:rFonts w:hint="eastAsia"/>
                <w:color w:val="auto"/>
                <w:sz w:val="21"/>
                <w:szCs w:val="21"/>
                <w:highlight w:val="none"/>
                <w:lang w:val="en-US" w:eastAsia="zh-CN"/>
              </w:rPr>
            </w:pPr>
            <w:r>
              <w:rPr>
                <w:rStyle w:val="1029"/>
                <w:rFonts w:hint="eastAsia"/>
                <w:color w:val="auto"/>
                <w:sz w:val="21"/>
                <w:szCs w:val="21"/>
                <w:highlight w:val="none"/>
                <w:lang w:val="en-US" w:eastAsia="zh-CN"/>
              </w:rPr>
              <w:t xml:space="preserve">10、连续工作≥8小时 </w:t>
            </w:r>
            <w:r/>
          </w:p>
          <w:p>
            <w:pPr>
              <w:jc w:val="left"/>
              <w:widowControl/>
              <w:rPr>
                <w:rStyle w:val="1029"/>
                <w:rFonts w:hint="eastAsia"/>
                <w:color w:val="auto"/>
                <w:sz w:val="21"/>
                <w:szCs w:val="21"/>
                <w:highlight w:val="none"/>
                <w:lang w:val="en-US" w:eastAsia="zh-CN"/>
              </w:rPr>
            </w:pPr>
            <w:r>
              <w:rPr>
                <w:rStyle w:val="1029"/>
                <w:rFonts w:hint="eastAsia"/>
                <w:color w:val="auto"/>
                <w:sz w:val="21"/>
                <w:szCs w:val="21"/>
                <w:highlight w:val="none"/>
                <w:lang w:val="en-US" w:eastAsia="zh-CN"/>
              </w:rPr>
              <w:t xml:space="preserve">11、视场角≥ 7.5°X5.7°工作温度：-20℃-50℃，重量≤500g（含电池），</w:t>
            </w:r>
            <w:r>
              <w:rPr>
                <w:rStyle w:val="1029"/>
                <w:rFonts w:hint="eastAsia"/>
                <w:color w:val="auto"/>
                <w:sz w:val="21"/>
                <w:szCs w:val="21"/>
                <w:highlight w:val="none"/>
                <w:lang w:val="en-US" w:eastAsia="zh-CN"/>
              </w:rPr>
            </w:r>
            <w:r/>
          </w:p>
          <w:p>
            <w:pPr>
              <w:jc w:val="left"/>
              <w:widowControl/>
              <w:rPr>
                <w:rStyle w:val="1029"/>
                <w:rFonts w:hint="eastAsia"/>
                <w:color w:val="auto"/>
                <w:sz w:val="21"/>
                <w:szCs w:val="21"/>
                <w:highlight w:val="none"/>
                <w:lang w:val="en-US" w:eastAsia="zh-CN"/>
              </w:rPr>
            </w:pPr>
            <w:r>
              <w:rPr>
                <w:rStyle w:val="1029"/>
                <w:rFonts w:hint="eastAsia"/>
                <w:color w:val="auto"/>
                <w:sz w:val="21"/>
                <w:szCs w:val="21"/>
                <w:highlight w:val="none"/>
                <w:lang w:val="en-US" w:eastAsia="zh-CN"/>
              </w:rPr>
              <w:t xml:space="preserve">尺寸：≤200*85*75（mm）</w:t>
            </w:r>
            <w:r/>
          </w:p>
          <w:p>
            <w:pPr>
              <w:jc w:val="left"/>
              <w:widowControl/>
              <w:rPr>
                <w:rStyle w:val="1029"/>
                <w:rFonts w:hint="eastAsia"/>
                <w:color w:val="auto"/>
                <w:sz w:val="21"/>
                <w:szCs w:val="21"/>
                <w:highlight w:val="none"/>
                <w:lang w:val="en-US" w:eastAsia="zh-CN"/>
              </w:rPr>
            </w:pPr>
            <w:r>
              <w:rPr>
                <w:rStyle w:val="1029"/>
                <w:rFonts w:hint="eastAsia"/>
                <w:b/>
                <w:bCs/>
                <w:color w:val="auto"/>
                <w:sz w:val="21"/>
                <w:szCs w:val="21"/>
                <w:highlight w:val="none"/>
                <w:lang w:val="en-US" w:eastAsia="zh-CN"/>
              </w:rPr>
              <w:t xml:space="preserve">提供演示视频：展示相应功能；中标后作为验货依据。</w:t>
            </w:r>
            <w:r/>
          </w:p>
        </w:tc>
      </w:tr>
      <w:tr>
        <w:trPr>
          <w:trHeight w:val="312"/>
        </w:trPr>
        <w:tc>
          <w:tcPr>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000000" w:sz="4" w:space="0"/>
              <w:bottom w:val="single" w:color="auto" w:sz="4" w:space="0"/>
              <w:right w:val="single" w:color="000000" w:sz="4" w:space="0"/>
            </w:tcBorders>
            <w:tcW w:w="1357" w:type="dxa"/>
            <w:vAlign w:val="center"/>
            <w:vMerge w:val="restart"/>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外骨骼AI助力装备</w:t>
            </w:r>
            <w:r/>
          </w:p>
        </w:tc>
        <w:tc>
          <w:tcPr>
            <w:tcBorders>
              <w:top w:val="single" w:color="auto" w:sz="4" w:space="0"/>
              <w:left w:val="single" w:color="000000" w:sz="4" w:space="0"/>
              <w:bottom w:val="single" w:color="auto" w:sz="4" w:space="0"/>
              <w:right w:val="single" w:color="000000" w:sz="4" w:space="0"/>
            </w:tcBorders>
            <w:tcW w:w="7390" w:type="dxa"/>
            <w:vAlign w:val="center"/>
            <w:vMerge w:val="restart"/>
            <w:textDirection w:val="lrTb"/>
            <w:noWrap w:val="false"/>
          </w:tcPr>
          <w:p>
            <w:pPr>
              <w:jc w:val="left"/>
              <w:widowControl/>
              <w:rPr>
                <w:rStyle w:val="1029"/>
                <w:rFonts w:hint="default"/>
                <w:color w:val="auto"/>
                <w:sz w:val="21"/>
                <w:szCs w:val="21"/>
                <w:highlight w:val="none"/>
                <w:lang w:val="en-US" w:eastAsia="zh-CN"/>
              </w:rPr>
            </w:pPr>
            <w:r>
              <w:rPr>
                <w:rStyle w:val="1029"/>
                <w:rFonts w:hint="default"/>
                <w:color w:val="auto"/>
                <w:sz w:val="21"/>
                <w:szCs w:val="21"/>
                <w:highlight w:val="none"/>
                <w:lang w:val="en-US" w:eastAsia="zh-CN"/>
              </w:rPr>
              <w:t xml:space="preserve">1、主体材料：采用轻量化高强度材料，包括但不限于碳纤维、合金等复合材料 </w:t>
            </w:r>
            <w:r/>
          </w:p>
          <w:p>
            <w:pPr>
              <w:jc w:val="left"/>
              <w:widowControl/>
              <w:rPr>
                <w:rStyle w:val="1029"/>
                <w:rFonts w:hint="default"/>
                <w:color w:val="auto"/>
                <w:sz w:val="21"/>
                <w:szCs w:val="21"/>
                <w:highlight w:val="none"/>
                <w:lang w:val="en-US" w:eastAsia="zh-CN"/>
              </w:rPr>
            </w:pPr>
            <w:r>
              <w:rPr>
                <w:rStyle w:val="1029"/>
                <w:rFonts w:hint="default"/>
                <w:color w:val="auto"/>
                <w:sz w:val="21"/>
                <w:szCs w:val="21"/>
                <w:highlight w:val="none"/>
                <w:lang w:val="en-US" w:eastAsia="zh-CN"/>
              </w:rPr>
              <w:t xml:space="preserve">2、具备智能助力、人体运动识别、负重辅助、运动状态检测、自适应调节等功能。</w:t>
            </w:r>
            <w:r/>
          </w:p>
          <w:p>
            <w:pPr>
              <w:jc w:val="left"/>
              <w:widowControl/>
              <w:rPr>
                <w:rStyle w:val="1029"/>
                <w:rFonts w:hint="default"/>
                <w:color w:val="auto"/>
                <w:sz w:val="21"/>
                <w:szCs w:val="21"/>
                <w:highlight w:val="none"/>
                <w:lang w:val="en-US" w:eastAsia="zh-CN"/>
              </w:rPr>
            </w:pPr>
            <w:r>
              <w:rPr>
                <w:rStyle w:val="1029"/>
                <w:rFonts w:hint="default"/>
                <w:color w:val="auto"/>
                <w:sz w:val="21"/>
                <w:szCs w:val="21"/>
                <w:highlight w:val="none"/>
                <w:lang w:val="en-US" w:eastAsia="zh-CN"/>
              </w:rPr>
              <w:t xml:space="preserve">▲3、续航：≥20Km（无负重、无爬升）</w:t>
            </w:r>
            <w:r/>
          </w:p>
          <w:p>
            <w:pPr>
              <w:jc w:val="left"/>
              <w:widowControl/>
              <w:rPr>
                <w:rStyle w:val="1029"/>
                <w:rFonts w:hint="default"/>
                <w:color w:val="auto"/>
                <w:sz w:val="21"/>
                <w:szCs w:val="21"/>
                <w:highlight w:val="none"/>
                <w:lang w:val="en-US" w:eastAsia="zh-CN"/>
              </w:rPr>
            </w:pPr>
            <w:r>
              <w:rPr>
                <w:rStyle w:val="1029"/>
                <w:rFonts w:hint="default"/>
                <w:color w:val="auto"/>
                <w:sz w:val="21"/>
                <w:szCs w:val="21"/>
                <w:highlight w:val="none"/>
                <w:lang w:val="en-US" w:eastAsia="zh-CN"/>
              </w:rPr>
              <w:t xml:space="preserve">4、工作温度：-20℃-60℃ </w:t>
            </w:r>
            <w:r/>
          </w:p>
          <w:p>
            <w:pPr>
              <w:jc w:val="left"/>
              <w:widowControl/>
              <w:rPr>
                <w:rStyle w:val="1029"/>
                <w:rFonts w:hint="default"/>
                <w:color w:val="auto"/>
                <w:sz w:val="21"/>
                <w:szCs w:val="21"/>
                <w:highlight w:val="none"/>
                <w:lang w:val="en-US" w:eastAsia="zh-CN"/>
              </w:rPr>
            </w:pPr>
            <w:r>
              <w:rPr>
                <w:rStyle w:val="1029"/>
                <w:rFonts w:hint="default"/>
                <w:color w:val="auto"/>
                <w:sz w:val="21"/>
                <w:szCs w:val="21"/>
                <w:highlight w:val="none"/>
                <w:lang w:val="en-US" w:eastAsia="zh-CN"/>
              </w:rPr>
              <w:t xml:space="preserve">▲5、净重：≤2.5kg（不含电池） </w:t>
            </w:r>
            <w:r/>
          </w:p>
          <w:p>
            <w:pPr>
              <w:jc w:val="left"/>
              <w:widowControl/>
              <w:rPr>
                <w:rStyle w:val="1029"/>
                <w:rFonts w:hint="default"/>
                <w:color w:val="auto"/>
                <w:sz w:val="21"/>
                <w:szCs w:val="21"/>
                <w:highlight w:val="none"/>
                <w:lang w:val="en-US" w:eastAsia="zh-CN"/>
              </w:rPr>
            </w:pPr>
            <w:r>
              <w:rPr>
                <w:rStyle w:val="1029"/>
                <w:rFonts w:hint="default"/>
                <w:color w:val="auto"/>
                <w:sz w:val="21"/>
                <w:szCs w:val="21"/>
                <w:highlight w:val="none"/>
                <w:lang w:val="en-US" w:eastAsia="zh-CN"/>
              </w:rPr>
              <w:t xml:space="preserve">▲6、双电机最大扭矩：≥32Nm </w:t>
            </w:r>
            <w:r/>
          </w:p>
          <w:p>
            <w:pPr>
              <w:jc w:val="left"/>
              <w:widowControl/>
              <w:rPr>
                <w:rStyle w:val="1029"/>
                <w:rFonts w:hint="default"/>
                <w:color w:val="auto"/>
                <w:sz w:val="21"/>
                <w:szCs w:val="21"/>
                <w:highlight w:val="none"/>
                <w:lang w:val="en-US" w:eastAsia="zh-CN"/>
              </w:rPr>
            </w:pPr>
            <w:r>
              <w:rPr>
                <w:rStyle w:val="1029"/>
                <w:rFonts w:hint="default"/>
                <w:color w:val="auto"/>
                <w:sz w:val="21"/>
                <w:szCs w:val="21"/>
                <w:highlight w:val="none"/>
                <w:lang w:val="en-US" w:eastAsia="zh-CN"/>
              </w:rPr>
              <w:t xml:space="preserve">7、折叠尺寸：≤500*400*300（mm） </w:t>
            </w:r>
            <w:r/>
          </w:p>
          <w:p>
            <w:pPr>
              <w:jc w:val="left"/>
              <w:widowControl/>
              <w:rPr>
                <w:rStyle w:val="1029"/>
                <w:rFonts w:hint="default"/>
                <w:color w:val="auto"/>
                <w:sz w:val="21"/>
                <w:szCs w:val="21"/>
                <w:highlight w:val="none"/>
                <w:lang w:val="en-US" w:eastAsia="zh-CN"/>
              </w:rPr>
            </w:pPr>
            <w:r>
              <w:rPr>
                <w:rStyle w:val="1029"/>
                <w:rFonts w:hint="default"/>
                <w:color w:val="auto"/>
                <w:sz w:val="21"/>
                <w:szCs w:val="21"/>
                <w:highlight w:val="none"/>
                <w:lang w:val="en-US" w:eastAsia="zh-CN"/>
              </w:rPr>
              <w:t xml:space="preserve">▲8、防护等级：不低于IP54 </w:t>
            </w:r>
            <w:r/>
          </w:p>
          <w:p>
            <w:pPr>
              <w:jc w:val="left"/>
              <w:widowControl/>
              <w:rPr>
                <w:rStyle w:val="1029"/>
                <w:rFonts w:hint="default"/>
                <w:color w:val="auto"/>
                <w:sz w:val="21"/>
                <w:szCs w:val="21"/>
                <w:highlight w:val="none"/>
                <w:lang w:val="en-US" w:eastAsia="zh-CN"/>
              </w:rPr>
            </w:pPr>
            <w:r>
              <w:rPr>
                <w:rStyle w:val="1029"/>
                <w:rFonts w:hint="default"/>
                <w:color w:val="auto"/>
                <w:sz w:val="21"/>
                <w:szCs w:val="21"/>
                <w:highlight w:val="none"/>
                <w:lang w:val="en-US" w:eastAsia="zh-CN"/>
              </w:rPr>
              <w:t xml:space="preserve">9、智能模式：支持不少于4种运动助力模式，包括但不限于跑步、爬坡、负重等模式。</w:t>
            </w:r>
            <w:r/>
          </w:p>
          <w:p>
            <w:pPr>
              <w:jc w:val="left"/>
              <w:widowControl/>
              <w:rPr>
                <w:rStyle w:val="1029"/>
                <w:rFonts w:hint="default"/>
                <w:color w:val="auto"/>
                <w:sz w:val="21"/>
                <w:szCs w:val="21"/>
                <w:highlight w:val="none"/>
                <w:lang w:val="en-US" w:eastAsia="zh-CN"/>
              </w:rPr>
            </w:pPr>
            <w:r>
              <w:rPr>
                <w:rStyle w:val="1029"/>
                <w:rFonts w:hint="default"/>
                <w:color w:val="auto"/>
                <w:sz w:val="21"/>
                <w:szCs w:val="21"/>
                <w:highlight w:val="none"/>
                <w:lang w:val="en-US" w:eastAsia="zh-CN"/>
              </w:rPr>
              <w:t xml:space="preserve">10、电池容量：≥5000mah </w:t>
            </w:r>
            <w:r/>
          </w:p>
          <w:p>
            <w:pPr>
              <w:jc w:val="left"/>
              <w:widowControl/>
              <w:rPr>
                <w:rStyle w:val="1029"/>
                <w:rFonts w:hint="default"/>
                <w:color w:val="auto"/>
                <w:sz w:val="21"/>
                <w:szCs w:val="21"/>
                <w:highlight w:val="none"/>
                <w:lang w:val="en-US" w:eastAsia="zh-CN"/>
              </w:rPr>
            </w:pPr>
            <w:r>
              <w:rPr>
                <w:rStyle w:val="1029"/>
                <w:rFonts w:hint="default"/>
                <w:color w:val="auto"/>
                <w:sz w:val="21"/>
                <w:szCs w:val="21"/>
                <w:highlight w:val="none"/>
                <w:lang w:val="en-US" w:eastAsia="zh-CN"/>
              </w:rPr>
              <w:t xml:space="preserve">▲11、峰值功率≥800W</w:t>
            </w:r>
            <w:r/>
          </w:p>
          <w:p>
            <w:pPr>
              <w:jc w:val="left"/>
              <w:widowControl/>
              <w:rPr>
                <w:rStyle w:val="1029"/>
                <w:rFonts w:hint="default"/>
                <w:color w:val="auto"/>
                <w:sz w:val="21"/>
                <w:szCs w:val="21"/>
                <w:highlight w:val="none"/>
                <w:lang w:val="en-US" w:eastAsia="zh-CN"/>
              </w:rPr>
            </w:pPr>
            <w:r>
              <w:rPr>
                <w:rStyle w:val="1029"/>
                <w:rFonts w:hint="default"/>
                <w:b/>
                <w:bCs/>
                <w:color w:val="auto"/>
                <w:sz w:val="21"/>
                <w:szCs w:val="21"/>
                <w:highlight w:val="none"/>
                <w:lang w:val="en-US" w:eastAsia="zh-CN"/>
              </w:rPr>
              <w:t xml:space="preserve">提供演示视频：展示相应功能；中标后作为验货依据。</w:t>
            </w:r>
            <w:r/>
          </w:p>
        </w:tc>
      </w:tr>
      <w:tr>
        <w:trPr>
          <w:trHeight w:val="312"/>
        </w:trPr>
        <w:tc>
          <w:tcPr>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000000" w:sz="4" w:space="0"/>
              <w:bottom w:val="single" w:color="auto" w:sz="4" w:space="0"/>
              <w:right w:val="single" w:color="000000" w:sz="4" w:space="0"/>
            </w:tcBorders>
            <w:tcW w:w="1357" w:type="dxa"/>
            <w:vAlign w:val="center"/>
            <w:vMerge w:val="restart"/>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交通指挥棒</w:t>
            </w:r>
            <w:r/>
          </w:p>
        </w:tc>
        <w:tc>
          <w:tcPr>
            <w:tcBorders>
              <w:top w:val="single" w:color="auto" w:sz="4" w:space="0"/>
              <w:left w:val="single" w:color="000000" w:sz="4" w:space="0"/>
              <w:bottom w:val="single" w:color="auto" w:sz="4" w:space="0"/>
              <w:right w:val="single" w:color="000000" w:sz="4" w:space="0"/>
            </w:tcBorders>
            <w:tcW w:w="7390" w:type="dxa"/>
            <w:vAlign w:val="center"/>
            <w:vMerge w:val="restart"/>
            <w:textDirection w:val="lrTb"/>
            <w:noWrap w:val="false"/>
          </w:tcPr>
          <w:p>
            <w:pPr>
              <w:jc w:val="lef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1.长度不超过25CM</w:t>
            </w:r>
            <w:r/>
          </w:p>
          <w:p>
            <w:pPr>
              <w:jc w:val="lef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2.工作温度:-20°C-55°C。</w:t>
            </w:r>
            <w:r/>
          </w:p>
          <w:p>
            <w:pPr>
              <w:jc w:val="lef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3.供电电源:锂电池。</w:t>
            </w:r>
            <w:r/>
          </w:p>
          <w:p>
            <w:pPr>
              <w:jc w:val="lef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4.开关耐久性:≥30000次</w:t>
            </w:r>
            <w:r/>
          </w:p>
          <w:p>
            <w:pPr>
              <w:jc w:val="lef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5.功能要求:具有白光照明、红蓝灯常亮、红蓝灯频闪功能。常亮+闪烁+哨音+照明+激光。</w:t>
            </w:r>
            <w:r/>
          </w:p>
          <w:p>
            <w:pPr>
              <w:jc w:val="lef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6.充电时间:≤4h。白光照明≥5小时</w:t>
            </w:r>
            <w:r/>
          </w:p>
          <w:p>
            <w:pPr>
              <w:jc w:val="lef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7.外壳防护等级不小于IP55。</w:t>
            </w:r>
            <w:r/>
          </w:p>
          <w:p>
            <w:pPr>
              <w:jc w:val="lef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8.防跌高度:不小于1m</w:t>
            </w:r>
            <w:r/>
          </w:p>
        </w:tc>
      </w:tr>
      <w:tr>
        <w:trPr>
          <w:trHeight w:val="312"/>
        </w:trPr>
        <w:tc>
          <w:tcPr>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000000" w:sz="4" w:space="0"/>
              <w:bottom w:val="single" w:color="auto" w:sz="4" w:space="0"/>
              <w:right w:val="single" w:color="000000" w:sz="4" w:space="0"/>
            </w:tcBorders>
            <w:tcW w:w="1357" w:type="dxa"/>
            <w:vAlign w:val="center"/>
            <w:vMerge w:val="restart"/>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多功能腰带</w:t>
            </w:r>
            <w:r/>
          </w:p>
        </w:tc>
        <w:tc>
          <w:tcPr>
            <w:tcBorders>
              <w:top w:val="single" w:color="auto" w:sz="4" w:space="0"/>
              <w:left w:val="single" w:color="000000" w:sz="4" w:space="0"/>
              <w:bottom w:val="single" w:color="auto" w:sz="4" w:space="0"/>
              <w:right w:val="single" w:color="000000" w:sz="4" w:space="0"/>
            </w:tcBorders>
            <w:tcW w:w="7390" w:type="dxa"/>
            <w:vAlign w:val="center"/>
            <w:vMerge w:val="restart"/>
            <w:textDirection w:val="lrTb"/>
            <w:noWrap w:val="false"/>
          </w:tcPr>
          <w:p>
            <w:pPr>
              <w:jc w:val="lef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1.执行标准：《2025式警服系列品种技术标准（草案）》；</w:t>
            </w:r>
            <w:r/>
          </w:p>
          <w:p>
            <w:pPr>
              <w:jc w:val="lef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t xml:space="preserve">★2.投标产品须为《人民警察服装生产企业目录（2025版）》中企业生产，提供证明材料扫描件加盖投标人公章。</w:t>
            </w:r>
            <w:r/>
          </w:p>
        </w:tc>
      </w:tr>
      <w:tr>
        <w:trPr>
          <w:trHeight w:val="312"/>
        </w:trPr>
        <w:tc>
          <w:tcPr>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000000" w:sz="4" w:space="0"/>
              <w:bottom w:val="single" w:color="auto" w:sz="4" w:space="0"/>
              <w:right w:val="single" w:color="000000" w:sz="4" w:space="0"/>
            </w:tcBorders>
            <w:tcW w:w="1357" w:type="dxa"/>
            <w:vAlign w:val="center"/>
            <w:vMerge w:val="restart"/>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手持式网捕器</w:t>
            </w:r>
            <w:r/>
          </w:p>
        </w:tc>
        <w:tc>
          <w:tcPr>
            <w:tcBorders>
              <w:top w:val="single" w:color="auto" w:sz="4" w:space="0"/>
              <w:left w:val="single" w:color="000000" w:sz="4" w:space="0"/>
              <w:bottom w:val="single" w:color="auto" w:sz="4" w:space="0"/>
              <w:right w:val="single" w:color="000000" w:sz="4" w:space="0"/>
            </w:tcBorders>
            <w:tcW w:w="7390" w:type="dxa"/>
            <w:vAlign w:val="center"/>
            <w:vMerge w:val="restart"/>
            <w:textDirection w:val="lrTb"/>
            <w:noWrap w:val="false"/>
          </w:tcPr>
          <w:p>
            <w:pPr>
              <w:jc w:val="left"/>
              <w:widowControl/>
              <w:rPr>
                <w:rFonts w:hint="eastAsia" w:ascii="宋体" w:hAnsi="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 xml:space="preserve">可重复使用的电动力网捕器，一线民警处置突发事件的高效装备。</w:t>
            </w:r>
            <w:r/>
          </w:p>
          <w:p>
            <w:pPr>
              <w:jc w:val="left"/>
              <w:widowControl/>
              <w:rPr>
                <w:rFonts w:hint="eastAsia" w:ascii="宋体" w:hAnsi="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 xml:space="preserve">1、执行标准：《GA510-2004警用抓捕网》</w:t>
            </w:r>
            <w:r>
              <w:rPr>
                <w:rFonts w:hint="eastAsia" w:ascii="宋体" w:hAnsi="宋体" w:cs="宋体"/>
                <w:b/>
                <w:bCs/>
                <w:i w:val="0"/>
                <w:iCs w:val="0"/>
                <w:color w:val="auto"/>
                <w:sz w:val="21"/>
                <w:szCs w:val="21"/>
                <w:highlight w:val="none"/>
                <w:u w:val="none"/>
                <w:lang w:val="en-US" w:eastAsia="zh-CN"/>
              </w:rPr>
              <w:t xml:space="preserve">（提供承诺书或第三方检测报告）</w:t>
            </w:r>
            <w:r/>
          </w:p>
          <w:p>
            <w:pPr>
              <w:jc w:val="left"/>
              <w:widowControl/>
              <w:rPr>
                <w:rFonts w:hint="eastAsia" w:ascii="宋体" w:hAnsi="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 xml:space="preserve">★2、采用动力技术：采用电磁发射技术，利用电磁能做功。不需要使用高压气瓶或火药等危险物品。</w:t>
            </w:r>
            <w:r>
              <w:rPr>
                <w:rFonts w:hint="eastAsia" w:ascii="宋体" w:hAnsi="宋体" w:cs="宋体"/>
                <w:b/>
                <w:bCs/>
                <w:i w:val="0"/>
                <w:iCs w:val="0"/>
                <w:color w:val="auto"/>
                <w:sz w:val="21"/>
                <w:szCs w:val="21"/>
                <w:highlight w:val="none"/>
                <w:u w:val="none"/>
                <w:lang w:val="en-US" w:eastAsia="zh-CN"/>
              </w:rPr>
              <w:t xml:space="preserve">（提供第三方检测报告）</w:t>
            </w:r>
            <w:r/>
          </w:p>
          <w:p>
            <w:pPr>
              <w:jc w:val="left"/>
              <w:widowControl/>
              <w:rPr>
                <w:rFonts w:hint="eastAsia" w:ascii="宋体" w:hAnsi="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 xml:space="preserve">3、网线断裂强力〉100N</w:t>
            </w:r>
            <w:r/>
          </w:p>
          <w:p>
            <w:pPr>
              <w:jc w:val="left"/>
              <w:widowControl/>
              <w:rPr>
                <w:rFonts w:hint="eastAsia" w:ascii="宋体" w:hAnsi="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 xml:space="preserve">4、设备主机重量≤2.0kg</w:t>
            </w:r>
            <w:r/>
          </w:p>
          <w:p>
            <w:pPr>
              <w:jc w:val="left"/>
              <w:widowControl/>
              <w:rPr>
                <w:rFonts w:hint="eastAsia" w:ascii="宋体" w:hAnsi="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 xml:space="preserve">▲5、牵引头前端硅胶缓冲层≥1.5mm。</w:t>
            </w:r>
            <w:r/>
          </w:p>
          <w:p>
            <w:pPr>
              <w:jc w:val="left"/>
              <w:widowControl/>
              <w:rPr>
                <w:rFonts w:hint="eastAsia" w:ascii="宋体" w:hAnsi="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 xml:space="preserve">▲6、网目长度≤300mm。</w:t>
            </w:r>
            <w:r/>
          </w:p>
          <w:p>
            <w:pPr>
              <w:jc w:val="left"/>
              <w:widowControl/>
              <w:rPr>
                <w:rFonts w:hint="eastAsia" w:ascii="宋体" w:hAnsi="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 xml:space="preserve">▲7、有效网捕最大距离：≥7米</w:t>
            </w:r>
            <w:r/>
          </w:p>
          <w:p>
            <w:pPr>
              <w:jc w:val="left"/>
              <w:widowControl/>
              <w:rPr>
                <w:rFonts w:hint="eastAsia" w:ascii="宋体" w:hAnsi="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 xml:space="preserve">8、安全性：发射器内置安全保险装置，确保在保险状态激活时，无法触发击发机制，有效防止误操作导致的意外发射，保障操作人员的安全及周围环境的稳定。</w:t>
            </w:r>
            <w:r/>
          </w:p>
          <w:p>
            <w:pPr>
              <w:jc w:val="left"/>
              <w:widowControl/>
              <w:rPr>
                <w:rFonts w:hint="eastAsia" w:ascii="宋体" w:hAnsi="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 xml:space="preserve">9、使用环境温度：-10℃至 50℃(关机状态，高低温环境2小时后取出，在室温环境下恢复不大于40min)</w:t>
            </w:r>
            <w:r/>
          </w:p>
          <w:p>
            <w:pPr>
              <w:jc w:val="left"/>
              <w:widowControl/>
              <w:rPr>
                <w:rFonts w:hint="eastAsia" w:ascii="宋体" w:hAnsi="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 xml:space="preserve">10、可更换网弹≥3</w:t>
            </w:r>
            <w:r/>
          </w:p>
          <w:p>
            <w:pPr>
              <w:jc w:val="left"/>
              <w:widowControl/>
              <w:rPr>
                <w:rFonts w:hint="eastAsia" w:ascii="宋体" w:hAnsi="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 xml:space="preserve">11、单次充满电可以连续抛射使用不低于30次</w:t>
            </w:r>
            <w:r/>
          </w:p>
          <w:p>
            <w:pPr>
              <w:jc w:val="left"/>
              <w:widowControl/>
              <w:rPr>
                <w:rFonts w:hint="eastAsia" w:ascii="宋体" w:hAnsi="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 xml:space="preserve">12、配备便携箱、单肩背带。</w:t>
            </w:r>
            <w:r/>
          </w:p>
          <w:p>
            <w:pPr>
              <w:jc w:val="left"/>
              <w:widowControl/>
              <w:rPr>
                <w:rFonts w:hint="eastAsia" w:ascii="宋体" w:hAnsi="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 xml:space="preserve">▲13、支持电量显示。</w:t>
            </w:r>
            <w:r/>
          </w:p>
          <w:p>
            <w:pPr>
              <w:jc w:val="left"/>
              <w:widowControl/>
              <w:rPr>
                <w:rFonts w:hint="eastAsia" w:ascii="宋体" w:hAnsi="宋体" w:cs="宋体"/>
                <w:i w:val="0"/>
                <w:iCs w:val="0"/>
                <w:color w:val="auto"/>
                <w:sz w:val="21"/>
                <w:szCs w:val="21"/>
                <w:highlight w:val="none"/>
                <w:u w:val="none"/>
                <w:lang w:val="en-US" w:eastAsia="zh-CN"/>
              </w:rPr>
            </w:pPr>
            <w:r>
              <w:rPr>
                <w:rFonts w:hint="eastAsia" w:ascii="宋体" w:hAnsi="宋体" w:cs="宋体"/>
                <w:b/>
                <w:bCs/>
                <w:i w:val="0"/>
                <w:iCs w:val="0"/>
                <w:color w:val="auto"/>
                <w:sz w:val="21"/>
                <w:szCs w:val="21"/>
                <w:highlight w:val="none"/>
                <w:u w:val="none"/>
                <w:lang w:val="en-US" w:eastAsia="zh-CN"/>
              </w:rPr>
              <w:t xml:space="preserve">提供演示视频：展示相应功能；中标后作为验货依据。</w:t>
            </w:r>
            <w:r/>
          </w:p>
        </w:tc>
      </w:tr>
    </w:tbl>
    <w:p>
      <w:pPr>
        <w:pStyle w:val="901"/>
        <w:ind w:firstLine="420"/>
        <w:rPr>
          <w:color w:val="auto"/>
          <w:highlight w:val="none"/>
          <w:lang w:val="en-US"/>
        </w:rPr>
      </w:pPr>
      <w:r>
        <w:rPr>
          <w:color w:val="auto"/>
          <w:highlight w:val="none"/>
          <w:lang w:val="en-US"/>
        </w:rPr>
      </w:r>
      <w:r/>
    </w:p>
    <w:p>
      <w:pPr>
        <w:pStyle w:val="901"/>
        <w:ind w:firstLine="420"/>
        <w:rPr>
          <w:color w:val="auto"/>
          <w:highlight w:val="none"/>
          <w:lang w:val="en-US"/>
        </w:rPr>
      </w:pPr>
      <w:r>
        <w:rPr>
          <w:color w:val="auto"/>
          <w:highlight w:val="none"/>
          <w:lang w:val="en-US"/>
        </w:rPr>
      </w:r>
      <w:r/>
    </w:p>
    <w:p>
      <w:pPr>
        <w:pStyle w:val="856"/>
        <w:keepLines/>
        <w:keepNext/>
        <w:spacing w:before="0" w:after="0"/>
        <w:widowControl w:val="off"/>
        <w:rPr>
          <w:color w:val="auto"/>
          <w:highlight w:val="none"/>
        </w:rPr>
      </w:pPr>
      <w:r/>
      <w:bookmarkStart w:id="32" w:name="_Toc14391"/>
      <w:r/>
      <w:bookmarkStart w:id="33" w:name="_Toc28215"/>
      <w:r>
        <w:rPr>
          <w:rFonts w:hint="eastAsia"/>
          <w:color w:val="auto"/>
          <w:highlight w:val="none"/>
        </w:rPr>
        <w:t xml:space="preserve">三、付款条件</w:t>
      </w:r>
      <w:r/>
    </w:p>
    <w:p>
      <w:pPr>
        <w:ind w:firstLine="420"/>
        <w:jc w:val="left"/>
        <w:spacing w:line="360"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1.项目签订合同且收到发票后，采购人向供应商支付合同金额的30%作为预付款；</w:t>
      </w:r>
      <w:r/>
    </w:p>
    <w:p>
      <w:pPr>
        <w:pStyle w:val="867"/>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2、项目最终验收合格并经审计后，支付至审定金额的100%；</w:t>
      </w:r>
      <w:r/>
    </w:p>
    <w:p>
      <w:pPr>
        <w:pStyle w:val="867"/>
        <w:rPr>
          <w:rFonts w:hint="eastAsia" w:hAnsi="宋体" w:cs="宋体"/>
          <w:color w:val="auto"/>
          <w:sz w:val="21"/>
          <w:szCs w:val="21"/>
          <w:highlight w:val="none"/>
        </w:rPr>
      </w:pPr>
      <w:r>
        <w:rPr>
          <w:rFonts w:hint="eastAsia" w:hAnsi="宋体" w:cs="宋体"/>
          <w:color w:val="auto"/>
          <w:sz w:val="21"/>
          <w:szCs w:val="21"/>
          <w:highlight w:val="none"/>
        </w:rPr>
        <w:t xml:space="preserve">注：1.结算审计核减率5%以下的，审计费用由采购人承担，核减率5%（含）以上的，审计费用由供应商承担</w:t>
      </w:r>
      <w:r>
        <w:rPr>
          <w:rFonts w:hint="eastAsia" w:hAnsi="宋体" w:cs="宋体"/>
          <w:color w:val="auto"/>
          <w:sz w:val="21"/>
          <w:szCs w:val="21"/>
          <w:highlight w:val="none"/>
          <w:lang w:eastAsia="zh-CN"/>
        </w:rPr>
        <w:t xml:space="preserve">，</w:t>
      </w:r>
      <w:r>
        <w:rPr>
          <w:rFonts w:hint="eastAsia" w:hAnsi="宋体" w:cs="宋体"/>
          <w:color w:val="auto"/>
          <w:sz w:val="21"/>
          <w:szCs w:val="21"/>
          <w:highlight w:val="none"/>
          <w:lang w:val="en-US" w:eastAsia="zh-CN"/>
        </w:rPr>
        <w:t xml:space="preserve">并在审定价中扣除</w:t>
      </w:r>
      <w:r>
        <w:rPr>
          <w:rFonts w:hint="eastAsia" w:hAnsi="宋体" w:cs="宋体"/>
          <w:color w:val="auto"/>
          <w:sz w:val="21"/>
          <w:szCs w:val="21"/>
          <w:highlight w:val="none"/>
        </w:rPr>
        <w:t xml:space="preserve">。2.本项目如需政府审计或备案，则最终结算价以审计机关结论为准，采购人将根据最终结算价调整付款基数，供应商应无条件配合。</w:t>
      </w:r>
      <w:r/>
    </w:p>
    <w:p>
      <w:pPr>
        <w:pStyle w:val="856"/>
        <w:keepLines/>
        <w:keepNext/>
        <w:spacing w:before="0" w:after="0" w:line="240" w:lineRule="auto"/>
        <w:widowControl w:val="off"/>
        <w:rPr>
          <w:rFonts w:hint="eastAsia"/>
          <w:color w:val="auto"/>
          <w:highlight w:val="none"/>
        </w:rPr>
      </w:pPr>
      <w:r>
        <w:rPr>
          <w:rFonts w:hint="eastAsia"/>
          <w:color w:val="auto"/>
          <w:highlight w:val="none"/>
        </w:rPr>
        <w:t xml:space="preserve">四、其他要求</w:t>
      </w:r>
      <w:r/>
    </w:p>
    <w:p>
      <w:pPr>
        <w:ind w:firstLine="480"/>
        <w:jc w:val="left"/>
        <w:spacing w:line="360" w:lineRule="auto"/>
        <w:widowControl/>
        <w:rPr>
          <w:color w:val="auto"/>
          <w:highlight w:val="none"/>
          <w:lang w:val="zh-CN"/>
        </w:rPr>
      </w:pPr>
      <w:r>
        <w:rPr>
          <w:rFonts w:hint="eastAsia" w:ascii="宋体" w:hAnsi="宋体" w:cs="宋体"/>
          <w:color w:val="auto"/>
          <w:sz w:val="24"/>
          <w:szCs w:val="24"/>
          <w:highlight w:val="none"/>
        </w:rPr>
        <w:t xml:space="preserve">★1、须加装RFID高频芯片，并在适当位置印刷二维码，RFID芯片及二维码应与装备贴合牢固，使用期内不脱落掉色，符合《公安机关警用装备射频识别标签及二维码标识规范》（江苏省地方标准DB32/T 4916-2024</w:t>
      </w:r>
      <w:r>
        <w:rPr>
          <w:rFonts w:hint="eastAsia" w:ascii="宋体" w:hAnsi="宋体" w:cs="宋体"/>
          <w:b/>
          <w:bCs/>
          <w:color w:val="auto"/>
          <w:sz w:val="24"/>
          <w:szCs w:val="24"/>
          <w:highlight w:val="none"/>
        </w:rPr>
        <w:t xml:space="preserve">）相关要求，供应商在中标后提供加装方案，经采购人确认后方可执行。（提供承诺函原件加盖公章）。</w:t>
      </w:r>
      <w:r/>
    </w:p>
    <w:p>
      <w:pPr>
        <w:ind w:firstLine="480"/>
        <w:spacing w:beforeAutospacing="0" w:afterAutospacing="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、反宣反制仪、便携侦测反制设备、</w:t>
      </w:r>
      <w:r>
        <w:rPr>
          <w:rFonts w:hint="eastAsia" w:ascii="宋体" w:hAnsi="宋体" w:eastAsia="宋体" w:cs="宋体"/>
          <w:color w:val="auto"/>
          <w:sz w:val="24"/>
          <w:szCs w:val="24"/>
          <w:highlight w:val="none"/>
          <w:lang w:val="en-US" w:eastAsia="zh-CN"/>
        </w:rPr>
        <w:t xml:space="preserve">外骨骼AI助力装备需提</w:t>
      </w:r>
      <w:r>
        <w:rPr>
          <w:rFonts w:hint="eastAsia" w:ascii="宋体" w:hAnsi="宋体" w:cs="宋体"/>
          <w:color w:val="auto"/>
          <w:sz w:val="24"/>
          <w:szCs w:val="24"/>
          <w:highlight w:val="none"/>
          <w:lang w:val="en-US" w:eastAsia="zh-CN"/>
        </w:rPr>
        <w:t xml:space="preserve">供</w:t>
      </w:r>
      <w:r>
        <w:rPr>
          <w:rFonts w:hint="eastAsia" w:ascii="宋体" w:hAnsi="宋体" w:eastAsia="宋体" w:cs="宋体"/>
          <w:color w:val="auto"/>
          <w:sz w:val="24"/>
          <w:szCs w:val="24"/>
          <w:highlight w:val="none"/>
        </w:rPr>
        <w:t xml:space="preserve">3年</w:t>
      </w:r>
      <w:r>
        <w:rPr>
          <w:rFonts w:hint="eastAsia" w:ascii="宋体" w:hAnsi="宋体" w:cs="宋体"/>
          <w:color w:val="auto"/>
          <w:sz w:val="24"/>
          <w:szCs w:val="24"/>
          <w:highlight w:val="none"/>
          <w:lang w:val="en-US" w:eastAsia="zh-CN"/>
        </w:rPr>
        <w:t xml:space="preserve">质保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手持式热成像仪</w:t>
      </w:r>
      <w:r>
        <w:rPr>
          <w:rFonts w:hint="eastAsia" w:ascii="宋体" w:hAnsi="宋体" w:cs="宋体"/>
          <w:color w:val="auto"/>
          <w:sz w:val="24"/>
          <w:szCs w:val="24"/>
          <w:highlight w:val="none"/>
          <w:lang w:val="en-US" w:eastAsia="zh-CN"/>
        </w:rPr>
        <w:t xml:space="preserve">需提供</w:t>
      </w:r>
      <w:r>
        <w:rPr>
          <w:rFonts w:hint="eastAsia" w:ascii="宋体" w:hAnsi="宋体" w:eastAsia="宋体" w:cs="宋体"/>
          <w:color w:val="auto"/>
          <w:sz w:val="24"/>
          <w:szCs w:val="24"/>
          <w:highlight w:val="none"/>
        </w:rPr>
        <w:t xml:space="preserve">2年</w:t>
      </w:r>
      <w:r>
        <w:rPr>
          <w:rFonts w:hint="eastAsia" w:ascii="宋体" w:hAnsi="宋体" w:cs="宋体"/>
          <w:color w:val="auto"/>
          <w:sz w:val="24"/>
          <w:szCs w:val="24"/>
          <w:highlight w:val="none"/>
          <w:lang w:val="en-US" w:eastAsia="zh-CN"/>
        </w:rPr>
        <w:t xml:space="preserve">质保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手持式网捕器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腰带和指挥棒</w:t>
      </w:r>
      <w:r>
        <w:rPr>
          <w:rFonts w:hint="eastAsia" w:ascii="宋体" w:hAnsi="宋体" w:cs="宋体"/>
          <w:color w:val="auto"/>
          <w:sz w:val="24"/>
          <w:szCs w:val="24"/>
          <w:highlight w:val="none"/>
          <w:lang w:val="en-US" w:eastAsia="zh-CN"/>
        </w:rPr>
        <w:t xml:space="preserve">需提供</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质保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质保期间内应免费负责维修。</w:t>
      </w:r>
      <w:r/>
    </w:p>
    <w:p>
      <w:pPr>
        <w:pStyle w:val="866"/>
        <w:rPr>
          <w:rFonts w:hint="default" w:eastAsia="宋体"/>
          <w:color w:val="auto"/>
          <w:highlight w:val="none"/>
          <w:lang w:val="en-US" w:eastAsia="zh-CN"/>
        </w:rPr>
      </w:pPr>
      <w:r>
        <w:rPr>
          <w:rFonts w:hint="eastAsia"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供应商在</w:t>
      </w:r>
      <w:r>
        <w:rPr>
          <w:rFonts w:hint="eastAsia" w:ascii="宋体" w:hAnsi="宋体" w:eastAsia="宋体" w:cs="宋体"/>
          <w:color w:val="auto"/>
          <w:sz w:val="24"/>
          <w:szCs w:val="24"/>
          <w:highlight w:val="none"/>
          <w:lang w:val="en-US" w:eastAsia="zh-CN"/>
        </w:rPr>
        <w:t xml:space="preserve">供货之前，应主动与采购人沟通供货相关事宜；并将投标时对产品相关内容进行承诺或响应的，须提供相关佐证材料。</w:t>
      </w:r>
      <w:r/>
    </w:p>
    <w:p>
      <w:pPr>
        <w:ind w:firstLine="480"/>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、供应商在验收前，</w:t>
      </w:r>
      <w:r>
        <w:rPr>
          <w:rFonts w:hint="eastAsia" w:ascii="宋体" w:hAnsi="宋体" w:eastAsia="宋体" w:cs="宋体"/>
          <w:color w:val="auto"/>
          <w:sz w:val="24"/>
          <w:szCs w:val="24"/>
          <w:highlight w:val="none"/>
          <w:lang w:val="en-US" w:eastAsia="zh-CN"/>
        </w:rPr>
        <w:t xml:space="preserve">需提</w:t>
      </w:r>
      <w:r>
        <w:rPr>
          <w:rFonts w:hint="eastAsia" w:ascii="宋体" w:hAnsi="宋体" w:cs="宋体"/>
          <w:color w:val="auto"/>
          <w:sz w:val="24"/>
          <w:szCs w:val="24"/>
          <w:highlight w:val="none"/>
          <w:lang w:val="en-US" w:eastAsia="zh-CN"/>
        </w:rPr>
        <w:t xml:space="preserve">供</w:t>
      </w:r>
      <w:r>
        <w:rPr>
          <w:rFonts w:hint="eastAsia" w:ascii="宋体" w:hAnsi="宋体" w:eastAsia="宋体" w:cs="宋体"/>
          <w:color w:val="auto"/>
          <w:sz w:val="24"/>
          <w:szCs w:val="24"/>
          <w:highlight w:val="none"/>
          <w:lang w:val="en-US" w:eastAsia="zh-CN"/>
        </w:rPr>
        <w:t xml:space="preserve">现场安装培训服务</w:t>
      </w:r>
      <w:r>
        <w:rPr>
          <w:rFonts w:hint="eastAsia" w:ascii="宋体" w:hAnsi="宋体" w:cs="宋体"/>
          <w:color w:val="auto"/>
          <w:sz w:val="24"/>
          <w:szCs w:val="24"/>
          <w:highlight w:val="none"/>
          <w:lang w:val="en-US" w:eastAsia="zh-CN"/>
        </w:rPr>
        <w:t xml:space="preserve">；供货后提供半年一次的巡检服务，对供货设备进行检修，需要设备使用单位签字盖章（</w:t>
      </w:r>
      <w:r>
        <w:rPr>
          <w:rFonts w:hint="eastAsia" w:ascii="宋体" w:hAnsi="宋体" w:eastAsia="宋体" w:cs="宋体"/>
          <w:i w:val="0"/>
          <w:iCs w:val="0"/>
          <w:color w:val="auto"/>
          <w:sz w:val="21"/>
          <w:szCs w:val="21"/>
          <w:highlight w:val="none"/>
          <w:u w:val="none"/>
          <w:lang w:val="en-US" w:eastAsia="zh-CN"/>
        </w:rPr>
        <w:t xml:space="preserve">多功能腰带</w:t>
      </w:r>
      <w:r>
        <w:rPr>
          <w:rFonts w:hint="eastAsia" w:ascii="宋体" w:hAnsi="宋体" w:cs="宋体"/>
          <w:i w:val="0"/>
          <w:iCs w:val="0"/>
          <w:color w:val="auto"/>
          <w:sz w:val="21"/>
          <w:szCs w:val="21"/>
          <w:highlight w:val="none"/>
          <w:u w:val="none"/>
          <w:lang w:val="en-US" w:eastAsia="zh-CN"/>
        </w:rPr>
        <w:t xml:space="preserve">、交通指挥棒</w:t>
      </w:r>
      <w:r>
        <w:rPr>
          <w:rFonts w:hint="eastAsia" w:ascii="宋体" w:hAnsi="宋体" w:eastAsia="宋体" w:cs="宋体"/>
          <w:i w:val="0"/>
          <w:iCs w:val="0"/>
          <w:color w:val="auto"/>
          <w:sz w:val="21"/>
          <w:szCs w:val="21"/>
          <w:highlight w:val="none"/>
          <w:u w:val="none"/>
          <w:lang w:val="en-US" w:eastAsia="zh-CN"/>
        </w:rPr>
        <w:t xml:space="preserve">不适用</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w:t>
      </w:r>
      <w:r/>
    </w:p>
    <w:p>
      <w:pPr>
        <w:pStyle w:val="866"/>
        <w:rPr>
          <w:rFonts w:hint="default"/>
          <w:color w:val="auto"/>
          <w:highlight w:val="none"/>
          <w:lang w:val="en-US" w:eastAsia="zh-CN"/>
        </w:rPr>
      </w:pPr>
      <w:r>
        <w:rPr>
          <w:rFonts w:hint="eastAsia" w:cs="宋体"/>
          <w:color w:val="auto"/>
          <w:sz w:val="24"/>
          <w:szCs w:val="24"/>
          <w:highlight w:val="none"/>
          <w:lang w:val="en-US" w:eastAsia="zh-CN"/>
        </w:rPr>
        <w:t xml:space="preserve">5、针对用户反馈的问题，承诺在3小时内做出响应并提供远程技术支撑。远程技术服务无法解决问题时，在2个工作日内能安排技术人员上门服务。</w:t>
      </w:r>
      <w:r/>
    </w:p>
    <w:p>
      <w:pPr>
        <w:pStyle w:val="866"/>
        <w:ind w:left="0" w:firstLine="480"/>
        <w:rPr>
          <w:rFonts w:hint="default"/>
          <w:color w:val="auto"/>
          <w:highlight w:val="none"/>
          <w:lang w:val="en-US" w:eastAsia="zh-CN"/>
        </w:rPr>
      </w:pPr>
      <w:r>
        <w:rPr>
          <w:rFonts w:hint="eastAsia" w:cs="宋体"/>
          <w:color w:val="auto"/>
          <w:sz w:val="24"/>
          <w:szCs w:val="24"/>
          <w:highlight w:val="none"/>
          <w:lang w:val="en-US" w:eastAsia="zh-CN"/>
        </w:rPr>
        <w:t xml:space="preserve">6、若货物故障在检修24小时后无法排除的，供应商应在48小时内免费提供不低于故障货物规格型号档次的备用货物供甲方使用，直至故障修复。</w:t>
      </w:r>
      <w:r/>
    </w:p>
    <w:p>
      <w:pPr>
        <w:pStyle w:val="856"/>
        <w:spacing w:line="240" w:lineRule="auto"/>
        <w:rPr>
          <w:color w:val="auto"/>
          <w:highlight w:val="none"/>
        </w:rPr>
      </w:pPr>
      <w:r>
        <w:rPr>
          <w:rFonts w:hint="eastAsia"/>
          <w:color w:val="auto"/>
          <w:highlight w:val="none"/>
        </w:rPr>
        <w:t xml:space="preserve">五、政府采购中实施本国产品标准及相关政策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1.本项目对采购本国产品给予政策支持，具体内容见招标文件“第三章  评标标准”。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2"/>
        <w:spacing w:line="560" w:lineRule="exact"/>
        <w:shd w:val="clear" w:color="auto" w:fill="ffffff"/>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注：如有疑问请及时与招标人、代理机构联系。</w:t>
      </w:r>
      <w:r/>
    </w:p>
    <w:p>
      <w:pPr>
        <w:pStyle w:val="858"/>
        <w:rPr>
          <w:rFonts w:hint="eastAsia" w:ascii="宋体" w:hAnsi="宋体" w:cs="宋体"/>
          <w:b/>
          <w:bCs/>
          <w:color w:val="auto"/>
          <w:sz w:val="28"/>
          <w:szCs w:val="28"/>
          <w:highlight w:val="none"/>
        </w:rPr>
        <w:sectPr>
          <w:footnotePr/>
          <w:endnotePr/>
          <w:type w:val="nextPage"/>
          <w:pgSz w:w="11906" w:h="16838" w:orient="portrait"/>
          <w:pgMar w:top="1304" w:right="1134" w:bottom="1247" w:left="1304" w:header="851" w:footer="992" w:gutter="0"/>
          <w:cols w:num="1" w:sep="0" w:space="720" w:equalWidth="1"/>
          <w:docGrid w:linePitch="360"/>
        </w:sectPr>
      </w:pPr>
      <w:r>
        <w:rPr>
          <w:rFonts w:hint="eastAsia" w:ascii="宋体" w:hAnsi="宋体" w:cs="宋体"/>
          <w:b/>
          <w:bCs/>
          <w:color w:val="auto"/>
          <w:sz w:val="28"/>
          <w:szCs w:val="28"/>
          <w:highlight w:val="none"/>
        </w:rPr>
      </w:r>
      <w:r/>
    </w:p>
    <w:p>
      <w:pPr>
        <w:rPr>
          <w:rFonts w:hint="eastAsia"/>
          <w:color w:val="auto"/>
          <w:highlight w:val="none"/>
        </w:rPr>
      </w:pPr>
      <w:r>
        <w:rPr>
          <w:rFonts w:hint="eastAsia"/>
          <w:color w:val="auto"/>
          <w:highlight w:val="none"/>
        </w:rPr>
      </w:r>
      <w:r/>
    </w:p>
    <w:p>
      <w:pPr>
        <w:pStyle w:val="855"/>
        <w:rPr>
          <w:rFonts w:hint="eastAsia" w:ascii="宋体" w:hAnsi="宋体" w:cs="宋体"/>
          <w:color w:val="auto"/>
          <w:szCs w:val="36"/>
          <w:highlight w:val="none"/>
          <w:lang w:val="zh-CN"/>
        </w:rPr>
      </w:pPr>
      <w:r/>
      <w:bookmarkStart w:id="34" w:name="_Toc7238"/>
      <w:r>
        <w:rPr>
          <w:rFonts w:hint="eastAsia"/>
          <w:color w:val="auto"/>
          <w:highlight w:val="none"/>
          <w:lang w:val="zh-CN"/>
        </w:rPr>
        <w:t xml:space="preserve">第五章</w:t>
      </w:r>
      <w:r>
        <w:rPr>
          <w:rFonts w:hint="eastAsia"/>
          <w:color w:val="auto"/>
          <w:highlight w:val="none"/>
        </w:rPr>
        <w:t xml:space="preserve"> </w:t>
      </w:r>
      <w:r>
        <w:rPr>
          <w:rFonts w:hint="eastAsia"/>
          <w:color w:val="auto"/>
          <w:highlight w:val="none"/>
          <w:lang w:val="zh-CN"/>
        </w:rPr>
        <w:t xml:space="preserve">合同主要条款及格式</w:t>
      </w:r>
      <w:bookmarkEnd w:id="32"/>
      <w:r/>
      <w:bookmarkEnd w:id="33"/>
      <w:r/>
      <w:bookmarkEnd w:id="34"/>
      <w:r/>
      <w:r/>
    </w:p>
    <w:p>
      <w:pPr>
        <w:jc w:val="center"/>
        <w:rPr>
          <w:rFonts w:hint="eastAsia" w:ascii="宋体" w:hAnsi="宋体"/>
          <w:b/>
          <w:color w:val="auto"/>
          <w:sz w:val="44"/>
          <w:szCs w:val="44"/>
          <w:highlight w:val="none"/>
        </w:rPr>
      </w:pPr>
      <w:r>
        <w:rPr>
          <w:rFonts w:hint="eastAsia" w:ascii="宋体" w:hAnsi="宋体" w:cs="宋体"/>
          <w:b/>
          <w:color w:val="auto"/>
          <w:sz w:val="44"/>
          <w:szCs w:val="44"/>
          <w:highlight w:val="none"/>
        </w:rPr>
        <w:t xml:space="preserve">项目合同</w:t>
      </w:r>
      <w:r/>
    </w:p>
    <w:p>
      <w:pPr>
        <w:pStyle w:val="960"/>
        <w:ind w:firstLine="560"/>
        <w:rPr>
          <w:color w:val="auto"/>
          <w:highlight w:val="none"/>
        </w:rPr>
      </w:pPr>
      <w:r>
        <w:rPr>
          <w:color w:val="auto"/>
          <w:highlight w:val="none"/>
        </w:rPr>
      </w:r>
      <w:r/>
    </w:p>
    <w:p>
      <w:pPr>
        <w:pStyle w:val="960"/>
        <w:ind w:firstLine="560"/>
        <w:rPr>
          <w:color w:val="auto"/>
          <w:highlight w:val="none"/>
        </w:rPr>
      </w:pPr>
      <w:r>
        <w:rPr>
          <w:color w:val="auto"/>
          <w:highlight w:val="none"/>
        </w:rPr>
      </w:r>
      <w:r/>
    </w:p>
    <w:p>
      <w:pPr>
        <w:pStyle w:val="960"/>
        <w:ind w:firstLine="218"/>
        <w:rPr>
          <w:color w:val="auto"/>
          <w:highlight w:val="none"/>
        </w:rPr>
      </w:pPr>
      <w:r>
        <w:rPr>
          <w:color w:val="auto"/>
          <w:highlight w:val="none"/>
        </w:rPr>
      </w:r>
      <w:r/>
    </w:p>
    <w:p>
      <w:pPr>
        <w:pStyle w:val="960"/>
        <w:ind w:firstLine="218"/>
        <w:rPr>
          <w:color w:val="auto"/>
          <w:highlight w:val="none"/>
        </w:rPr>
      </w:pPr>
      <w:r>
        <w:rPr>
          <w:color w:val="auto"/>
          <w:highlight w:val="none"/>
        </w:rPr>
      </w:r>
      <w:r/>
    </w:p>
    <w:p>
      <w:pPr>
        <w:pStyle w:val="960"/>
        <w:ind w:firstLine="218"/>
        <w:rPr>
          <w:color w:val="auto"/>
          <w:highlight w:val="none"/>
        </w:rPr>
      </w:pPr>
      <w:r>
        <w:rPr>
          <w:color w:val="auto"/>
          <w:highlight w:val="none"/>
        </w:rPr>
      </w:r>
      <w:r/>
    </w:p>
    <w:p>
      <w:pPr>
        <w:pStyle w:val="960"/>
        <w:ind w:firstLine="218"/>
        <w:rPr>
          <w:color w:val="auto"/>
          <w:highlight w:val="none"/>
        </w:rPr>
      </w:pPr>
      <w:r>
        <w:rPr>
          <w:color w:val="auto"/>
          <w:highlight w:val="none"/>
        </w:rPr>
      </w:r>
      <w:r/>
    </w:p>
    <w:p>
      <w:pPr>
        <w:ind w:firstLine="833"/>
        <w:spacing w:line="560" w:lineRule="exact"/>
        <w:rPr>
          <w:rFonts w:hint="eastAsia" w:ascii="宋体" w:hAnsi="宋体" w:cs="宋体"/>
          <w:color w:val="auto"/>
          <w:sz w:val="30"/>
          <w:szCs w:val="30"/>
          <w:highlight w:val="none"/>
          <w:u w:val="single"/>
        </w:rPr>
      </w:pPr>
      <w:r>
        <w:rPr>
          <w:rFonts w:hint="eastAsia" w:ascii="宋体" w:hAnsi="宋体" w:cs="宋体"/>
          <w:color w:val="auto"/>
          <w:sz w:val="30"/>
          <w:szCs w:val="30"/>
          <w:highlight w:val="none"/>
        </w:rPr>
        <w:t xml:space="preserve">合同编号 ：</w:t>
      </w:r>
      <w:r>
        <w:rPr>
          <w:rFonts w:hint="eastAsia" w:ascii="宋体" w:hAnsi="宋体" w:cs="宋体"/>
          <w:color w:val="auto"/>
          <w:sz w:val="30"/>
          <w:szCs w:val="30"/>
          <w:highlight w:val="none"/>
          <w:u w:val="single"/>
        </w:rPr>
        <w:t xml:space="preserve">                                  </w:t>
      </w:r>
      <w:r/>
    </w:p>
    <w:p>
      <w:pPr>
        <w:ind w:firstLine="833"/>
        <w:spacing w:line="560" w:lineRule="exact"/>
        <w:rPr>
          <w:rFonts w:hint="eastAsia" w:ascii="宋体" w:hAnsi="宋体" w:cs="宋体"/>
          <w:color w:val="auto"/>
          <w:sz w:val="30"/>
          <w:szCs w:val="30"/>
          <w:highlight w:val="none"/>
          <w:u w:val="single"/>
        </w:rPr>
      </w:pPr>
      <w:r>
        <w:rPr>
          <w:rFonts w:hint="eastAsia" w:ascii="宋体" w:hAnsi="宋体" w:cs="宋体"/>
          <w:color w:val="auto"/>
          <w:sz w:val="30"/>
          <w:szCs w:val="30"/>
          <w:highlight w:val="none"/>
        </w:rPr>
        <w:t xml:space="preserve">项目名称 ：</w:t>
      </w:r>
      <w:r>
        <w:rPr>
          <w:rFonts w:hint="eastAsia" w:ascii="宋体" w:hAnsi="宋体" w:cs="宋体"/>
          <w:color w:val="auto"/>
          <w:sz w:val="30"/>
          <w:szCs w:val="30"/>
          <w:highlight w:val="none"/>
          <w:u w:val="single"/>
        </w:rPr>
        <w:t xml:space="preserve">                                  </w:t>
      </w:r>
      <w:r/>
    </w:p>
    <w:p>
      <w:pPr>
        <w:ind w:firstLine="833"/>
        <w:spacing w:line="560" w:lineRule="exact"/>
        <w:rPr>
          <w:rFonts w:hint="eastAsia" w:ascii="宋体" w:hAnsi="宋体" w:cs="宋体"/>
          <w:color w:val="auto"/>
          <w:sz w:val="30"/>
          <w:szCs w:val="30"/>
          <w:highlight w:val="none"/>
          <w:u w:val="single"/>
        </w:rPr>
      </w:pPr>
      <w:r>
        <w:rPr>
          <w:rFonts w:hint="eastAsia" w:ascii="宋体" w:hAnsi="宋体" w:cs="宋体"/>
          <w:color w:val="auto"/>
          <w:sz w:val="30"/>
          <w:szCs w:val="30"/>
          <w:highlight w:val="none"/>
        </w:rPr>
        <w:t xml:space="preserve">招标单位 ：</w:t>
      </w:r>
      <w:r>
        <w:rPr>
          <w:rFonts w:hint="eastAsia" w:ascii="宋体" w:hAnsi="宋体" w:cs="宋体"/>
          <w:color w:val="auto"/>
          <w:sz w:val="30"/>
          <w:szCs w:val="30"/>
          <w:highlight w:val="none"/>
          <w:u w:val="single"/>
        </w:rPr>
        <w:t xml:space="preserve">                                  </w:t>
      </w:r>
      <w:r/>
    </w:p>
    <w:p>
      <w:pPr>
        <w:ind w:firstLine="833"/>
        <w:spacing w:line="560" w:lineRule="exact"/>
        <w:rPr>
          <w:rFonts w:hint="eastAsia" w:ascii="宋体" w:hAnsi="宋体" w:cs="宋体"/>
          <w:color w:val="auto"/>
          <w:sz w:val="30"/>
          <w:szCs w:val="30"/>
          <w:highlight w:val="none"/>
          <w:u w:val="single"/>
        </w:rPr>
      </w:pPr>
      <w:r>
        <w:rPr>
          <w:rFonts w:hint="eastAsia" w:ascii="宋体" w:hAnsi="宋体" w:cs="宋体"/>
          <w:color w:val="auto"/>
          <w:sz w:val="30"/>
          <w:szCs w:val="30"/>
          <w:highlight w:val="none"/>
        </w:rPr>
        <w:t xml:space="preserve">中标单位 ：</w:t>
      </w:r>
      <w:r>
        <w:rPr>
          <w:rFonts w:hint="eastAsia" w:ascii="宋体" w:hAnsi="宋体" w:cs="宋体"/>
          <w:color w:val="auto"/>
          <w:sz w:val="30"/>
          <w:szCs w:val="30"/>
          <w:highlight w:val="none"/>
          <w:u w:val="single"/>
        </w:rPr>
        <w:t xml:space="preserve">                                  </w:t>
      </w:r>
      <w:r/>
    </w:p>
    <w:p>
      <w:pPr>
        <w:spacing w:line="56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ind w:firstLine="1916"/>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签订日期 ：</w:t>
      </w:r>
      <w:r>
        <w:rPr>
          <w:rFonts w:hint="eastAsia" w:ascii="宋体" w:hAnsi="宋体" w:cs="宋体"/>
          <w:color w:val="auto"/>
          <w:sz w:val="30"/>
          <w:szCs w:val="30"/>
          <w:highlight w:val="none"/>
          <w:u w:val="single"/>
        </w:rPr>
        <w:t xml:space="preserve">    </w:t>
      </w:r>
      <w:r>
        <w:rPr>
          <w:rFonts w:hint="eastAsia" w:ascii="宋体" w:hAnsi="宋体" w:cs="宋体"/>
          <w:color w:val="auto"/>
          <w:sz w:val="30"/>
          <w:szCs w:val="30"/>
          <w:highlight w:val="none"/>
        </w:rPr>
        <w:t xml:space="preserve">年</w:t>
      </w:r>
      <w:r>
        <w:rPr>
          <w:rFonts w:hint="eastAsia" w:ascii="宋体" w:hAnsi="宋体" w:cs="宋体"/>
          <w:color w:val="auto"/>
          <w:sz w:val="30"/>
          <w:szCs w:val="30"/>
          <w:highlight w:val="none"/>
          <w:u w:val="single"/>
        </w:rPr>
        <w:t xml:space="preserve">    </w:t>
      </w:r>
      <w:r>
        <w:rPr>
          <w:rFonts w:hint="eastAsia" w:ascii="宋体" w:hAnsi="宋体" w:cs="宋体"/>
          <w:color w:val="auto"/>
          <w:sz w:val="30"/>
          <w:szCs w:val="30"/>
          <w:highlight w:val="none"/>
        </w:rPr>
        <w:t xml:space="preserve">月</w:t>
      </w:r>
      <w:r>
        <w:rPr>
          <w:rFonts w:hint="eastAsia" w:ascii="宋体" w:hAnsi="宋体" w:cs="宋体"/>
          <w:color w:val="auto"/>
          <w:sz w:val="30"/>
          <w:szCs w:val="30"/>
          <w:highlight w:val="none"/>
          <w:u w:val="single"/>
        </w:rPr>
        <w:t xml:space="preserve">    </w:t>
      </w:r>
      <w:r>
        <w:rPr>
          <w:rFonts w:hint="eastAsia" w:ascii="宋体" w:hAnsi="宋体" w:cs="宋体"/>
          <w:color w:val="auto"/>
          <w:sz w:val="30"/>
          <w:szCs w:val="30"/>
          <w:highlight w:val="none"/>
        </w:rPr>
        <w:t xml:space="preserve">日</w:t>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cs="宋体"/>
          <w:b/>
          <w:color w:val="auto"/>
          <w:sz w:val="44"/>
          <w:highlight w:val="none"/>
        </w:rPr>
      </w:pPr>
      <w:r>
        <w:rPr>
          <w:rFonts w:hint="eastAsia" w:ascii="宋体" w:hAnsi="宋体" w:cs="宋体"/>
          <w:b/>
          <w:color w:val="auto"/>
          <w:sz w:val="24"/>
          <w:highlight w:val="none"/>
        </w:rPr>
        <w:br w:type="page" w:clear="all"/>
      </w:r>
      <w:r/>
    </w:p>
    <w:p>
      <w:pPr>
        <w:rPr>
          <w:rFonts w:hint="eastAsia" w:ascii="宋体" w:hAnsi="宋体" w:cs="仿宋"/>
          <w:color w:val="auto"/>
          <w:sz w:val="24"/>
          <w:szCs w:val="24"/>
          <w:highlight w:val="none"/>
          <w:lang w:val="zh-CN"/>
        </w:rPr>
      </w:pPr>
      <w:r/>
      <w:bookmarkStart w:id="35" w:name="_Toc18137"/>
      <w:r/>
      <w:bookmarkStart w:id="36" w:name="_Toc29597"/>
      <w:r/>
      <w:bookmarkStart w:id="37" w:name="_Toc27946"/>
      <w:r>
        <w:rPr>
          <w:rFonts w:hint="eastAsia" w:ascii="宋体" w:hAnsi="宋体" w:cs="仿宋"/>
          <w:color w:val="auto"/>
          <w:sz w:val="24"/>
          <w:szCs w:val="24"/>
          <w:highlight w:val="none"/>
          <w:lang w:val="zh-CN"/>
        </w:rPr>
        <w:t xml:space="preserve">合同编号：</w:t>
      </w:r>
      <w:r/>
    </w:p>
    <w:p>
      <w:pPr>
        <w:rPr>
          <w:rFonts w:hint="eastAsia" w:ascii="宋体" w:hAnsi="宋体" w:cs="仿宋"/>
          <w:color w:val="auto"/>
          <w:sz w:val="24"/>
          <w:szCs w:val="24"/>
          <w:highlight w:val="none"/>
          <w:lang w:val="zh-CN"/>
        </w:rPr>
      </w:pPr>
      <w:r>
        <w:rPr>
          <w:rFonts w:hint="eastAsia" w:ascii="宋体" w:hAnsi="宋体" w:cs="仿宋"/>
          <w:color w:val="auto"/>
          <w:sz w:val="24"/>
          <w:szCs w:val="24"/>
          <w:highlight w:val="none"/>
        </w:rPr>
        <w:t xml:space="preserve">政府采购计划</w:t>
      </w:r>
      <w:r>
        <w:rPr>
          <w:rFonts w:hint="eastAsia" w:ascii="宋体" w:hAnsi="宋体" w:cs="仿宋"/>
          <w:color w:val="auto"/>
          <w:sz w:val="24"/>
          <w:szCs w:val="24"/>
          <w:highlight w:val="none"/>
          <w:lang w:val="zh-CN"/>
        </w:rPr>
        <w:t xml:space="preserve">号：</w:t>
      </w:r>
      <w:r/>
    </w:p>
    <w:tbl>
      <w:tblPr>
        <w:tblStyle w:val="865"/>
        <w:tblW w:w="928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W w:w="4643" w:type="dxa"/>
            <w:vAlign w:val="top"/>
            <w:textDirection w:val="lrTb"/>
            <w:noWrap w:val="false"/>
          </w:tcPr>
          <w:p>
            <w:pPr>
              <w:ind w:firstLine="120"/>
              <w:jc w:val="left"/>
              <w:rPr>
                <w:rFonts w:hint="eastAsia" w:ascii="宋体" w:hAnsi="宋体" w:cs="仿宋"/>
                <w:color w:val="auto"/>
                <w:sz w:val="24"/>
                <w:szCs w:val="24"/>
                <w:highlight w:val="none"/>
                <w:lang w:val="zh-CN"/>
              </w:rPr>
            </w:pPr>
            <w:r>
              <w:rPr>
                <w:rFonts w:hint="eastAsia" w:ascii="宋体" w:hAnsi="宋体" w:cs="仿宋"/>
                <w:color w:val="auto"/>
                <w:sz w:val="24"/>
                <w:szCs w:val="24"/>
                <w:highlight w:val="none"/>
                <w:lang w:val="zh-CN"/>
              </w:rPr>
              <w:t xml:space="preserve">采购人：（以下称甲方）</w:t>
            </w:r>
            <w:r/>
          </w:p>
        </w:tc>
        <w:tc>
          <w:tcPr>
            <w:tcW w:w="4643" w:type="dxa"/>
            <w:vAlign w:val="top"/>
            <w:textDirection w:val="lrTb"/>
            <w:noWrap w:val="false"/>
          </w:tcPr>
          <w:p>
            <w:pPr>
              <w:jc w:val="left"/>
              <w:rPr>
                <w:rFonts w:hint="eastAsia" w:ascii="宋体" w:hAnsi="宋体" w:cs="仿宋"/>
                <w:color w:val="auto"/>
                <w:sz w:val="24"/>
                <w:szCs w:val="24"/>
                <w:highlight w:val="none"/>
                <w:lang w:val="zh-CN"/>
              </w:rPr>
            </w:pPr>
            <w:r>
              <w:rPr>
                <w:rFonts w:hint="eastAsia" w:ascii="宋体" w:hAnsi="宋体" w:cs="仿宋"/>
                <w:color w:val="auto"/>
                <w:sz w:val="24"/>
                <w:szCs w:val="24"/>
                <w:highlight w:val="none"/>
                <w:lang w:val="zh-CN"/>
              </w:rPr>
              <w:t xml:space="preserve">供应商：（以下称乙方）</w:t>
            </w:r>
            <w:r/>
          </w:p>
        </w:tc>
      </w:tr>
      <w:tr>
        <w:trPr/>
        <w:tc>
          <w:tcPr>
            <w:tcW w:w="4643" w:type="dxa"/>
            <w:vAlign w:val="top"/>
            <w:textDirection w:val="lrTb"/>
            <w:noWrap w:val="false"/>
          </w:tcPr>
          <w:p>
            <w:pPr>
              <w:ind w:firstLine="120"/>
              <w:jc w:val="left"/>
              <w:rPr>
                <w:rFonts w:hint="eastAsia" w:ascii="宋体" w:hAnsi="宋体" w:cs="仿宋"/>
                <w:color w:val="auto"/>
                <w:sz w:val="24"/>
                <w:szCs w:val="24"/>
                <w:highlight w:val="none"/>
                <w:lang w:val="zh-CN"/>
              </w:rPr>
            </w:pPr>
            <w:r>
              <w:rPr>
                <w:rFonts w:hint="eastAsia" w:ascii="宋体" w:hAnsi="宋体" w:cs="仿宋"/>
                <w:color w:val="auto"/>
                <w:sz w:val="24"/>
                <w:szCs w:val="24"/>
                <w:highlight w:val="none"/>
                <w:lang w:val="zh-CN"/>
              </w:rPr>
              <w:t xml:space="preserve">住所地：</w:t>
            </w:r>
            <w:r/>
          </w:p>
        </w:tc>
        <w:tc>
          <w:tcPr>
            <w:tcW w:w="4643" w:type="dxa"/>
            <w:vAlign w:val="top"/>
            <w:textDirection w:val="lrTb"/>
            <w:noWrap w:val="false"/>
          </w:tcPr>
          <w:p>
            <w:pPr>
              <w:jc w:val="left"/>
              <w:rPr>
                <w:rFonts w:hint="eastAsia" w:ascii="宋体" w:hAnsi="宋体" w:cs="仿宋"/>
                <w:color w:val="auto"/>
                <w:sz w:val="24"/>
                <w:szCs w:val="24"/>
                <w:highlight w:val="none"/>
                <w:lang w:val="zh-CN"/>
              </w:rPr>
            </w:pPr>
            <w:r>
              <w:rPr>
                <w:rFonts w:hint="eastAsia" w:ascii="宋体" w:hAnsi="宋体" w:cs="仿宋"/>
                <w:color w:val="auto"/>
                <w:sz w:val="24"/>
                <w:szCs w:val="24"/>
                <w:highlight w:val="none"/>
                <w:lang w:val="zh-CN"/>
              </w:rPr>
              <w:t xml:space="preserve">住所地：</w:t>
            </w:r>
            <w:r/>
          </w:p>
        </w:tc>
      </w:tr>
    </w:tbl>
    <w:p>
      <w:pPr>
        <w:jc w:val="left"/>
        <w:rPr>
          <w:rFonts w:hint="eastAsia" w:ascii="宋体" w:hAnsi="宋体" w:cs="仿宋"/>
          <w:color w:val="auto"/>
          <w:sz w:val="24"/>
          <w:szCs w:val="24"/>
          <w:highlight w:val="none"/>
          <w:lang w:val="zh-CN"/>
        </w:rPr>
      </w:pPr>
      <w:r>
        <w:rPr>
          <w:rFonts w:hint="eastAsia" w:ascii="宋体" w:hAnsi="宋体" w:cs="仿宋"/>
          <w:color w:val="auto"/>
          <w:sz w:val="24"/>
          <w:szCs w:val="24"/>
          <w:highlight w:val="none"/>
          <w:lang w:val="zh-CN"/>
        </w:rPr>
      </w:r>
      <w:r/>
    </w:p>
    <w:p>
      <w:pPr>
        <w:ind w:firstLine="420"/>
        <w:jc w:val="left"/>
        <w:spacing w:line="360" w:lineRule="auto"/>
        <w:rPr>
          <w:rFonts w:hint="eastAsia" w:ascii="宋体" w:hAnsi="宋体" w:cs="仿宋"/>
          <w:color w:val="auto"/>
          <w:sz w:val="24"/>
          <w:szCs w:val="24"/>
          <w:highlight w:val="none"/>
          <w:lang w:val="zh-CN"/>
        </w:rPr>
      </w:pPr>
      <w:r>
        <w:rPr>
          <w:rFonts w:hint="eastAsia" w:ascii="宋体" w:hAnsi="宋体" w:cs="仿宋"/>
          <w:color w:val="auto"/>
          <w:sz w:val="24"/>
          <w:szCs w:val="24"/>
          <w:highlight w:val="none"/>
          <w:lang w:val="zh-CN"/>
        </w:rPr>
        <w:t xml:space="preserve">根据《中华人民共和国政府采购法》《中华人民共和国民法典》等法律法规规定，甲乙双方经协商签订本合同。</w:t>
      </w:r>
      <w:r/>
    </w:p>
    <w:p>
      <w:pPr>
        <w:keepLines/>
        <w:keepNext/>
        <w:spacing w:line="360" w:lineRule="auto"/>
        <w:rPr>
          <w:rFonts w:hint="eastAsia" w:ascii="宋体" w:hAnsi="宋体" w:cs="宋体"/>
          <w:b/>
          <w:bCs/>
          <w:color w:val="auto"/>
          <w:szCs w:val="21"/>
          <w:highlight w:val="none"/>
        </w:rPr>
        <w:outlineLvl w:val="2"/>
      </w:pPr>
      <w:r/>
      <w:bookmarkStart w:id="38" w:name="_Toc138662919"/>
      <w:r>
        <w:rPr>
          <w:rFonts w:hint="eastAsia" w:ascii="宋体" w:hAnsi="宋体" w:cs="宋体"/>
          <w:b/>
          <w:bCs/>
          <w:color w:val="auto"/>
          <w:szCs w:val="21"/>
          <w:highlight w:val="none"/>
        </w:rPr>
        <w:t xml:space="preserve">第一条 合同标的</w:t>
      </w:r>
      <w:bookmarkEnd w:id="38"/>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乙方提供下列货物：</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，货物名称、规格及数量详见乙方投标（响应）文件。</w:t>
      </w:r>
      <w:r/>
    </w:p>
    <w:p>
      <w:pPr>
        <w:keepLines/>
        <w:keepNext/>
        <w:spacing w:line="360" w:lineRule="auto"/>
        <w:rPr>
          <w:rFonts w:hint="eastAsia" w:ascii="宋体" w:hAnsi="宋体" w:cs="宋体"/>
          <w:b/>
          <w:bCs/>
          <w:color w:val="auto"/>
          <w:szCs w:val="21"/>
          <w:highlight w:val="none"/>
        </w:rPr>
        <w:outlineLvl w:val="2"/>
      </w:pPr>
      <w:r/>
      <w:bookmarkStart w:id="39" w:name="_Toc138662920"/>
      <w:r>
        <w:rPr>
          <w:rFonts w:hint="eastAsia" w:ascii="宋体" w:hAnsi="宋体" w:cs="宋体"/>
          <w:b/>
          <w:bCs/>
          <w:color w:val="auto"/>
          <w:szCs w:val="21"/>
          <w:highlight w:val="none"/>
        </w:rPr>
        <w:t xml:space="preserve">第二条 合同总价款</w:t>
      </w:r>
      <w:bookmarkEnd w:id="39"/>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本合同项下货物总价款为___________（大写）人民币，分项价款详见 《报价表》。</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本合同总价款包含以下内容：</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（1）货物设计、制造、包装、仓储、运输、装缷、保险、安装、调试及其材料；</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（2）验收合格之前保管及保修期内备品备件、专用工具、伴随服务、技术图纸资料、人员培训发生的所有含税费用；</w:t>
      </w:r>
      <w:r/>
    </w:p>
    <w:p>
      <w:pPr>
        <w:ind w:firstLine="420"/>
        <w:spacing w:line="360" w:lineRule="auto"/>
        <w:rPr>
          <w:rFonts w:hint="eastAsia" w:ascii="宋体" w:hAnsi="宋体" w:cs="宋体"/>
          <w:b/>
          <w:color w:val="auto"/>
          <w:szCs w:val="21"/>
          <w:highlight w:val="none"/>
          <w:lang w:val="zh-CN"/>
        </w:rPr>
      </w:pPr>
      <w:r>
        <w:rPr>
          <w:rFonts w:hint="eastAsia" w:ascii="宋体" w:hAnsi="宋体" w:cs="宋体"/>
          <w:color w:val="auto"/>
          <w:szCs w:val="21"/>
          <w:highlight w:val="none"/>
          <w:lang w:val="zh-CN"/>
        </w:rPr>
        <w:t xml:space="preserve">（3）支付给员工的工资和国家强制缴纳的各种社会保障资金</w:t>
      </w:r>
      <w:r>
        <w:rPr>
          <w:rFonts w:hint="eastAsia" w:ascii="宋体" w:hAnsi="宋体" w:cs="宋体"/>
          <w:bCs/>
          <w:color w:val="auto"/>
          <w:szCs w:val="21"/>
          <w:highlight w:val="none"/>
          <w:lang w:val="zh-CN"/>
        </w:rPr>
        <w:t xml:space="preserve">；</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（4）乙方应当提供的伴随服务/售后服务费用；</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（5）乙方认为需要的其他费用。</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本合同执行期间合同</w:t>
      </w:r>
      <w:r>
        <w:rPr>
          <w:rFonts w:hint="eastAsia" w:ascii="宋体" w:hAnsi="宋体" w:cs="宋体"/>
          <w:color w:val="auto"/>
          <w:szCs w:val="21"/>
          <w:highlight w:val="none"/>
        </w:rPr>
        <w:t xml:space="preserve">总价</w:t>
      </w:r>
      <w:r>
        <w:rPr>
          <w:rFonts w:hint="eastAsia" w:ascii="宋体" w:hAnsi="宋体" w:cs="宋体"/>
          <w:color w:val="auto"/>
          <w:szCs w:val="21"/>
          <w:highlight w:val="none"/>
          <w:lang w:val="zh-CN"/>
        </w:rPr>
        <w:t xml:space="preserve">不变。</w:t>
      </w:r>
      <w:r/>
    </w:p>
    <w:p>
      <w:pPr>
        <w:keepLines/>
        <w:keepNext/>
        <w:spacing w:line="360" w:lineRule="auto"/>
        <w:rPr>
          <w:rFonts w:hint="eastAsia" w:ascii="宋体" w:hAnsi="宋体" w:cs="宋体"/>
          <w:b/>
          <w:bCs/>
          <w:color w:val="auto"/>
          <w:szCs w:val="21"/>
          <w:highlight w:val="none"/>
        </w:rPr>
        <w:outlineLvl w:val="2"/>
      </w:pPr>
      <w:r/>
      <w:bookmarkStart w:id="40" w:name="_Toc138662921"/>
      <w:r>
        <w:rPr>
          <w:rFonts w:hint="eastAsia" w:ascii="宋体" w:hAnsi="宋体" w:cs="宋体"/>
          <w:b/>
          <w:bCs/>
          <w:color w:val="auto"/>
          <w:szCs w:val="21"/>
          <w:highlight w:val="none"/>
        </w:rPr>
        <w:t xml:space="preserve">第三条 组成本合同的有关文件</w:t>
      </w:r>
      <w:bookmarkEnd w:id="40"/>
      <w:r/>
      <w:r/>
    </w:p>
    <w:p>
      <w:pPr>
        <w:ind w:firstLine="411"/>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下列关于南京市政府采购</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号的招标（采购）文件、投标（响应）文件，以及与本次采购活动相关的文件及有关附件是本合同不可分割的组成部分，与本合同具有同等法律效力，这些文件包括但不限于：</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（1）投标（响应）文件和报价表；                （2）供货一览表；</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（3）交货一览表；                              （4）技术规格响应表；</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（5）投标（响应）承诺；                        （6）服务承诺；</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（7）中标（成交）通知书；                      （8）甲乙双方商定的其它文件。</w:t>
      </w:r>
      <w:r/>
    </w:p>
    <w:p>
      <w:pPr>
        <w:keepLines/>
        <w:keepNext/>
        <w:spacing w:line="360" w:lineRule="auto"/>
        <w:rPr>
          <w:rFonts w:hint="eastAsia" w:ascii="宋体" w:hAnsi="宋体" w:cs="宋体"/>
          <w:b/>
          <w:bCs/>
          <w:color w:val="auto"/>
          <w:szCs w:val="21"/>
          <w:highlight w:val="none"/>
        </w:rPr>
        <w:outlineLvl w:val="2"/>
      </w:pPr>
      <w:r/>
      <w:bookmarkStart w:id="41" w:name="_Toc138662922"/>
      <w:r>
        <w:rPr>
          <w:rFonts w:hint="eastAsia" w:ascii="宋体" w:hAnsi="宋体" w:cs="宋体"/>
          <w:b/>
          <w:bCs/>
          <w:color w:val="auto"/>
          <w:szCs w:val="21"/>
          <w:highlight w:val="none"/>
        </w:rPr>
        <w:t xml:space="preserve">第四条 权利保证</w:t>
      </w:r>
      <w:bookmarkEnd w:id="41"/>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乙方应保证甲方在使用该货物或其任何一部分时不受第三方提出侵犯其专利权、版权、商标权或其他权利的起诉。一旦出现侵权，乙方应承担全部责任。</w:t>
      </w:r>
      <w:r/>
    </w:p>
    <w:p>
      <w:pPr>
        <w:keepLines/>
        <w:keepNext/>
        <w:spacing w:line="360" w:lineRule="auto"/>
        <w:rPr>
          <w:rFonts w:hint="eastAsia" w:ascii="宋体" w:hAnsi="宋体" w:cs="宋体"/>
          <w:b/>
          <w:bCs/>
          <w:color w:val="auto"/>
          <w:szCs w:val="21"/>
          <w:highlight w:val="none"/>
        </w:rPr>
        <w:outlineLvl w:val="2"/>
      </w:pPr>
      <w:r/>
      <w:bookmarkStart w:id="42" w:name="_Toc138662923"/>
      <w:r>
        <w:rPr>
          <w:rFonts w:hint="eastAsia" w:ascii="宋体" w:hAnsi="宋体" w:cs="宋体"/>
          <w:b/>
          <w:bCs/>
          <w:color w:val="auto"/>
          <w:szCs w:val="21"/>
          <w:highlight w:val="none"/>
        </w:rPr>
        <w:t xml:space="preserve">第五条 质量保证</w:t>
      </w:r>
      <w:bookmarkEnd w:id="42"/>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1.乙方所提供的货物的技术规格应与招标（采购）文件规定的技术规格及所附的“技术规格响应表”相一致；若技术性能无特殊说明，则按国家有关部门最新颁布的标准及规范为准。</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乙方应保证货物是全新、未使用过的原装合格正品，并完全符合合同规定的质量、规格和性能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3.乙方应保证货物质保期为</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w:t>
      </w:r>
      <w:r/>
    </w:p>
    <w:p>
      <w:pPr>
        <w:keepLines/>
        <w:keepNext/>
        <w:spacing w:line="360" w:lineRule="auto"/>
        <w:rPr>
          <w:rFonts w:hint="eastAsia" w:ascii="宋体" w:hAnsi="宋体" w:cs="宋体"/>
          <w:b/>
          <w:bCs/>
          <w:color w:val="auto"/>
          <w:szCs w:val="21"/>
          <w:highlight w:val="none"/>
        </w:rPr>
        <w:outlineLvl w:val="2"/>
      </w:pPr>
      <w:r/>
      <w:bookmarkStart w:id="43" w:name="_Toc138662924"/>
      <w:r>
        <w:rPr>
          <w:rFonts w:hint="eastAsia" w:ascii="宋体" w:hAnsi="宋体" w:cs="宋体"/>
          <w:b/>
          <w:bCs/>
          <w:color w:val="auto"/>
          <w:szCs w:val="21"/>
          <w:highlight w:val="none"/>
        </w:rPr>
        <w:t xml:space="preserve">第六条 包装要求</w:t>
      </w:r>
      <w:bookmarkEnd w:id="43"/>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360" w:lineRule="auto"/>
        <w:rPr>
          <w:rFonts w:hint="eastAsia" w:ascii="宋体" w:hAnsi="宋体" w:cs="宋体"/>
          <w:color w:val="auto"/>
          <w:szCs w:val="21"/>
          <w:highlight w:val="none"/>
          <w:lang w:val="zh-CN"/>
        </w:rPr>
        <w:outlineLvl w:val="2"/>
      </w:pPr>
      <w:r>
        <w:rPr>
          <w:rFonts w:hint="eastAsia" w:ascii="宋体" w:hAnsi="宋体" w:cs="宋体"/>
          <w:color w:val="auto"/>
          <w:szCs w:val="21"/>
          <w:highlight w:val="none"/>
          <w:lang w:val="zh-CN"/>
        </w:rPr>
        <w:t xml:space="preserve">2.每一包装单元内应附详细的装箱单和质量合格凭证。</w:t>
      </w:r>
      <w:r/>
    </w:p>
    <w:p>
      <w:pPr>
        <w:keepLines/>
        <w:keepNext/>
        <w:spacing w:line="360" w:lineRule="auto"/>
        <w:rPr>
          <w:rFonts w:hint="eastAsia" w:ascii="宋体" w:hAnsi="宋体" w:cs="宋体"/>
          <w:b/>
          <w:bCs/>
          <w:color w:val="auto"/>
          <w:szCs w:val="21"/>
          <w:highlight w:val="none"/>
        </w:rPr>
        <w:outlineLvl w:val="2"/>
      </w:pPr>
      <w:r/>
      <w:bookmarkStart w:id="44" w:name="_Toc138662925"/>
      <w:r>
        <w:rPr>
          <w:rFonts w:hint="eastAsia" w:ascii="宋体" w:hAnsi="宋体" w:cs="宋体"/>
          <w:b/>
          <w:bCs/>
          <w:color w:val="auto"/>
          <w:szCs w:val="21"/>
          <w:highlight w:val="none"/>
        </w:rPr>
        <w:t xml:space="preserve">第七条 交货和验收</w:t>
      </w:r>
      <w:bookmarkEnd w:id="44"/>
      <w:r/>
      <w:r/>
    </w:p>
    <w:p>
      <w:pPr>
        <w:ind w:firstLine="420"/>
        <w:jc w:val="left"/>
        <w:spacing w:line="360" w:lineRule="auto"/>
        <w:rPr>
          <w:rFonts w:hint="eastAsia" w:ascii="宋体" w:hAnsi="宋体" w:cs="宋体"/>
          <w:color w:val="auto"/>
          <w:szCs w:val="21"/>
          <w:highlight w:val="none"/>
          <w:u w:val="single"/>
          <w:lang w:val="zh-CN"/>
        </w:rPr>
      </w:pPr>
      <w:r>
        <w:rPr>
          <w:rFonts w:hint="eastAsia" w:ascii="宋体" w:hAnsi="宋体" w:cs="宋体"/>
          <w:color w:val="auto"/>
          <w:szCs w:val="21"/>
          <w:highlight w:val="none"/>
          <w:lang w:val="zh-CN"/>
        </w:rPr>
        <w:t xml:space="preserve">1.乙方应当在合同签订后</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天内将货物安装调试完毕交付甲方正常使用，地点由甲方指定。招标（采购）文件有约定的，从其约定。</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乙方交付的货物应当完全符合本合同或者招标（采购）文件规定、投标（响应）文件所承诺的数量和规格要求。乙方提供的货物不符合招标（采购）文件、投标（响应）文件和合同规定的，甲方有权拒收货物，由此引起的风险，由乙方承担。</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3.货物的到货验收包括：型号、规格、数量、外观质量及货物包装是否完好。</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5.货物和系统调试验收的标准：按行业通行标准、厂方出厂标准和乙方投标（响应）文件的承诺（详见合同附件载明的标准，并不低于国家相关标准）。</w:t>
      </w:r>
      <w:r/>
    </w:p>
    <w:p>
      <w:pPr>
        <w:ind w:firstLine="420"/>
        <w:jc w:val="left"/>
        <w:spacing w:line="360" w:lineRule="auto"/>
        <w:rPr>
          <w:rFonts w:hint="eastAsia" w:ascii="宋体" w:hAnsi="宋体" w:cs="宋体"/>
          <w:color w:val="auto"/>
          <w:szCs w:val="21"/>
          <w:highlight w:val="none"/>
        </w:rPr>
        <w:outlineLvl w:val="2"/>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验收时乙方必须在现场，验收完毕后作出验收签收单。</w:t>
      </w:r>
      <w:r/>
    </w:p>
    <w:p>
      <w:pPr>
        <w:keepLines/>
        <w:keepNext/>
        <w:spacing w:line="360" w:lineRule="auto"/>
        <w:rPr>
          <w:rFonts w:hint="eastAsia" w:ascii="宋体" w:hAnsi="宋体" w:cs="宋体"/>
          <w:b/>
          <w:bCs/>
          <w:color w:val="auto"/>
          <w:szCs w:val="21"/>
          <w:highlight w:val="none"/>
        </w:rPr>
        <w:outlineLvl w:val="2"/>
      </w:pPr>
      <w:r/>
      <w:bookmarkStart w:id="45" w:name="_Toc138662926"/>
      <w:r>
        <w:rPr>
          <w:rFonts w:hint="eastAsia" w:ascii="宋体" w:hAnsi="宋体" w:cs="宋体"/>
          <w:b/>
          <w:bCs/>
          <w:color w:val="auto"/>
          <w:szCs w:val="21"/>
          <w:highlight w:val="none"/>
        </w:rPr>
        <w:t xml:space="preserve">第八条 伴随服务／售后服务</w:t>
      </w:r>
      <w:bookmarkEnd w:id="45"/>
      <w:r/>
      <w:r/>
    </w:p>
    <w:p>
      <w:pPr>
        <w:ind w:firstLine="420"/>
        <w:jc w:val="left"/>
        <w:spacing w:line="360" w:lineRule="auto"/>
        <w:tabs>
          <w:tab w:val="left" w:pos="1620"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1.乙方应按照国家有关法律法规规章和“三包”规定，以及合同所附的“服务承诺”提供服务。</w:t>
      </w:r>
      <w:r/>
    </w:p>
    <w:p>
      <w:pPr>
        <w:ind w:firstLine="420"/>
        <w:jc w:val="left"/>
        <w:spacing w:line="360" w:lineRule="auto"/>
        <w:rPr>
          <w:rFonts w:hint="eastAsia" w:ascii="宋体" w:hAnsi="宋体" w:cs="宋体"/>
          <w:color w:val="auto"/>
          <w:szCs w:val="21"/>
          <w:highlight w:val="none"/>
          <w:lang w:val="zh-CN"/>
        </w:rPr>
        <w:outlineLvl w:val="2"/>
      </w:pPr>
      <w:r>
        <w:rPr>
          <w:rFonts w:hint="eastAsia" w:ascii="宋体" w:hAnsi="宋体" w:cs="宋体"/>
          <w:color w:val="auto"/>
          <w:szCs w:val="21"/>
          <w:highlight w:val="none"/>
          <w:lang w:val="zh-CN"/>
        </w:rPr>
        <w:t xml:space="preserve">2.除前款规定外，乙方还应提供下列服务：</w:t>
      </w:r>
      <w:r/>
    </w:p>
    <w:p>
      <w:pPr>
        <w:ind w:firstLine="420"/>
        <w:jc w:val="left"/>
        <w:spacing w:line="360" w:lineRule="auto"/>
        <w:rPr>
          <w:rFonts w:hint="eastAsia" w:ascii="宋体" w:hAnsi="宋体" w:cs="宋体"/>
          <w:color w:val="auto"/>
          <w:szCs w:val="21"/>
          <w:highlight w:val="none"/>
          <w:lang w:val="zh-CN"/>
        </w:rPr>
        <w:outlineLvl w:val="3"/>
      </w:pPr>
      <w:r>
        <w:rPr>
          <w:rFonts w:hint="eastAsia" w:ascii="宋体" w:hAnsi="宋体" w:cs="宋体"/>
          <w:color w:val="auto"/>
          <w:szCs w:val="21"/>
          <w:highlight w:val="none"/>
          <w:lang w:val="zh-CN"/>
        </w:rPr>
        <w:t xml:space="preserve">（1）货物的现场安装、调试和/或启动监督；</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（2）就货物的安装、启动、运行及维护等对甲方人员进行免费培训。</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3.若招标（采购）文件中不包含有关伴随服务或售后服务的承诺，双方作如下约定：</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（2）所购货物按乙方投标（响应）承诺提供免费维护和质量保证，保修费用计入总价；</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（3）保修期内，乙方负责对其提供的货物整机进行维修和系统维护，不再收取任何费用，但不可抗力（如火灾、雷击等）造成的故障除外；</w:t>
      </w:r>
      <w:r/>
    </w:p>
    <w:p>
      <w:pPr>
        <w:ind w:firstLine="420"/>
        <w:jc w:val="left"/>
        <w:spacing w:line="360" w:lineRule="auto"/>
        <w:rPr>
          <w:rFonts w:hint="eastAsia" w:ascii="宋体" w:hAnsi="宋体" w:cs="宋体"/>
          <w:color w:val="auto"/>
          <w:szCs w:val="21"/>
          <w:highlight w:val="none"/>
          <w:lang w:val="zh-CN"/>
        </w:rPr>
        <w:outlineLvl w:val="3"/>
      </w:pPr>
      <w:r>
        <w:rPr>
          <w:rFonts w:hint="eastAsia" w:ascii="宋体" w:hAnsi="宋体" w:cs="宋体"/>
          <w:color w:val="auto"/>
          <w:szCs w:val="21"/>
          <w:highlight w:val="none"/>
          <w:lang w:val="zh-CN"/>
        </w:rPr>
        <w:t xml:space="preserve">（4）货物故障报修的响应时间按乙方投标（响应）承诺执行；</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（5）若货物故障在检修</w:t>
      </w:r>
      <w:r>
        <w:rPr>
          <w:rFonts w:hint="eastAsia" w:ascii="宋体" w:hAnsi="宋体" w:cs="宋体"/>
          <w:color w:val="auto"/>
          <w:szCs w:val="21"/>
          <w:highlight w:val="none"/>
        </w:rPr>
        <w:t xml:space="preserve">24</w:t>
      </w:r>
      <w:r>
        <w:rPr>
          <w:rFonts w:hint="eastAsia" w:ascii="宋体" w:hAnsi="宋体" w:cs="宋体"/>
          <w:color w:val="auto"/>
          <w:szCs w:val="21"/>
          <w:highlight w:val="none"/>
          <w:lang w:val="zh-CN"/>
        </w:rPr>
        <w:t xml:space="preserve">小时后仍无法排除，乙方应在48小时内免费提供不低于故障货物规格型号档次的备用货物供甲方使用，直至故障修复；</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（6）所有货物保修服务方式均为乙方上门保修，即由乙方派员到货物使用现场维修，由此产生的一切费用均由乙方承担；</w:t>
      </w:r>
      <w:r/>
    </w:p>
    <w:p>
      <w:pPr>
        <w:ind w:firstLine="420"/>
        <w:jc w:val="left"/>
        <w:spacing w:line="360" w:lineRule="auto"/>
        <w:rPr>
          <w:rFonts w:hint="eastAsia" w:ascii="宋体" w:hAnsi="宋体" w:cs="宋体"/>
          <w:color w:val="auto"/>
          <w:szCs w:val="21"/>
          <w:highlight w:val="none"/>
          <w:lang w:val="zh-CN"/>
        </w:rPr>
        <w:outlineLvl w:val="3"/>
      </w:pPr>
      <w:r>
        <w:rPr>
          <w:rFonts w:hint="eastAsia" w:ascii="宋体" w:hAnsi="宋体" w:cs="宋体"/>
          <w:color w:val="auto"/>
          <w:szCs w:val="21"/>
          <w:highlight w:val="none"/>
          <w:lang w:val="zh-CN"/>
        </w:rPr>
        <w:t xml:space="preserve">（7）保修期后的货物维护由双方商定。</w:t>
      </w:r>
      <w:r/>
    </w:p>
    <w:p>
      <w:pPr>
        <w:keepLines/>
        <w:keepNext/>
        <w:spacing w:line="360" w:lineRule="auto"/>
        <w:rPr>
          <w:rFonts w:hint="eastAsia" w:ascii="宋体" w:hAnsi="宋体" w:cs="宋体"/>
          <w:b/>
          <w:bCs/>
          <w:color w:val="auto"/>
          <w:szCs w:val="21"/>
          <w:highlight w:val="none"/>
        </w:rPr>
        <w:outlineLvl w:val="2"/>
      </w:pPr>
      <w:r/>
      <w:bookmarkStart w:id="46" w:name="_Toc138662927"/>
      <w:r>
        <w:rPr>
          <w:rFonts w:hint="eastAsia" w:ascii="宋体" w:hAnsi="宋体" w:cs="宋体"/>
          <w:b/>
          <w:bCs/>
          <w:color w:val="auto"/>
          <w:szCs w:val="21"/>
          <w:highlight w:val="none"/>
        </w:rPr>
        <w:t xml:space="preserve">第九条 合同款支付</w:t>
      </w:r>
      <w:bookmarkEnd w:id="46"/>
      <w:r/>
      <w:r/>
    </w:p>
    <w:p>
      <w:pPr>
        <w:ind w:firstLine="420"/>
        <w:jc w:val="left"/>
        <w:spacing w:line="360" w:lineRule="auto"/>
        <w:rPr>
          <w:rFonts w:hint="eastAsia" w:ascii="宋体" w:hAnsi="宋体" w:cs="宋体"/>
          <w:color w:val="auto"/>
          <w:szCs w:val="21"/>
          <w:highlight w:val="none"/>
          <w:lang w:val="zh-CN"/>
        </w:rPr>
        <w:outlineLvl w:val="2"/>
      </w:pPr>
      <w:r>
        <w:rPr>
          <w:rFonts w:hint="eastAsia" w:ascii="宋体" w:hAnsi="宋体" w:cs="宋体"/>
          <w:color w:val="auto"/>
          <w:szCs w:val="21"/>
          <w:highlight w:val="none"/>
          <w:lang w:val="zh-CN"/>
        </w:rPr>
        <w:t xml:space="preserve">1.本合同项下所有款项均以人民币支付。</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2.本合同项下的采购资金由乙方开具发票，甲方按照本条第3款的约定支付。</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3.付款条件：</w:t>
      </w:r>
      <w:bookmarkStart w:id="47" w:name="_Toc138662928"/>
      <w:r/>
      <w:r/>
    </w:p>
    <w:p>
      <w:pPr>
        <w:ind w:firstLine="420"/>
        <w:keepLines/>
        <w:keepNext/>
        <w:spacing w:line="360" w:lineRule="auto"/>
        <w:rPr>
          <w:rFonts w:hint="eastAsia" w:ascii="宋体" w:hAnsi="宋体" w:cs="宋体"/>
          <w:bCs/>
          <w:color w:val="auto"/>
          <w:szCs w:val="21"/>
          <w:highlight w:val="none"/>
        </w:rPr>
        <w:outlineLvl w:val="2"/>
      </w:pPr>
      <w:r>
        <w:rPr>
          <w:rFonts w:hint="default" w:ascii="Calibri" w:hAnsi="Calibri" w:cs="Calibri"/>
          <w:bCs/>
          <w:color w:val="auto"/>
          <w:szCs w:val="21"/>
          <w:highlight w:val="none"/>
        </w:rPr>
        <w:t xml:space="preserve">①</w:t>
      </w:r>
      <w:r>
        <w:rPr>
          <w:rFonts w:hint="eastAsia" w:ascii="宋体" w:hAnsi="宋体" w:cs="宋体"/>
          <w:bCs/>
          <w:color w:val="auto"/>
          <w:szCs w:val="21"/>
          <w:highlight w:val="none"/>
        </w:rPr>
        <w:t xml:space="preserve">项目签订合同且收到发票后，</w:t>
      </w:r>
      <w:r>
        <w:rPr>
          <w:rFonts w:hint="eastAsia" w:ascii="宋体" w:hAnsi="宋体" w:cs="宋体"/>
          <w:bCs/>
          <w:color w:val="auto"/>
          <w:szCs w:val="21"/>
          <w:highlight w:val="none"/>
          <w:lang w:val="en-US" w:eastAsia="zh-CN"/>
        </w:rPr>
        <w:t xml:space="preserve">甲方</w:t>
      </w:r>
      <w:r>
        <w:rPr>
          <w:rFonts w:hint="eastAsia" w:ascii="宋体" w:hAnsi="宋体" w:cs="宋体"/>
          <w:bCs/>
          <w:color w:val="auto"/>
          <w:szCs w:val="21"/>
          <w:highlight w:val="none"/>
        </w:rPr>
        <w:t xml:space="preserve">向</w:t>
      </w:r>
      <w:r>
        <w:rPr>
          <w:rFonts w:hint="eastAsia" w:ascii="宋体" w:hAnsi="宋体" w:cs="宋体"/>
          <w:bCs/>
          <w:color w:val="auto"/>
          <w:szCs w:val="21"/>
          <w:highlight w:val="none"/>
          <w:lang w:val="en-US" w:eastAsia="zh-CN"/>
        </w:rPr>
        <w:t xml:space="preserve">乙方</w:t>
      </w:r>
      <w:r>
        <w:rPr>
          <w:rFonts w:hint="eastAsia" w:ascii="宋体" w:hAnsi="宋体" w:cs="宋体"/>
          <w:bCs/>
          <w:color w:val="auto"/>
          <w:szCs w:val="21"/>
          <w:highlight w:val="none"/>
        </w:rPr>
        <w:t xml:space="preserve">支付合同金额的30%作为预付款；</w:t>
      </w:r>
      <w:r/>
    </w:p>
    <w:p>
      <w:pPr>
        <w:ind w:firstLine="420"/>
        <w:keepLines/>
        <w:keepNext/>
        <w:spacing w:line="360" w:lineRule="auto"/>
        <w:rPr>
          <w:rFonts w:hint="eastAsia" w:ascii="宋体" w:hAnsi="宋体" w:cs="宋体"/>
          <w:bCs/>
          <w:color w:val="auto"/>
          <w:szCs w:val="21"/>
          <w:highlight w:val="none"/>
        </w:rPr>
        <w:outlineLvl w:val="2"/>
      </w:pPr>
      <w:r>
        <w:rPr>
          <w:rFonts w:hint="default" w:ascii="Calibri" w:hAnsi="Calibri" w:cs="Calibri"/>
          <w:bCs/>
          <w:color w:val="auto"/>
          <w:szCs w:val="21"/>
          <w:highlight w:val="none"/>
        </w:rPr>
        <w:t xml:space="preserve">②</w:t>
      </w:r>
      <w:r>
        <w:rPr>
          <w:rFonts w:hint="eastAsia" w:ascii="宋体" w:hAnsi="宋体" w:cs="宋体"/>
          <w:bCs/>
          <w:color w:val="auto"/>
          <w:szCs w:val="21"/>
          <w:highlight w:val="none"/>
        </w:rPr>
        <w:t xml:space="preserve">项目最终验收合格并经审计后，支付至审定金额的100%；</w:t>
      </w:r>
      <w:r/>
    </w:p>
    <w:p>
      <w:pPr>
        <w:ind w:firstLine="420"/>
        <w:keepLines/>
        <w:keepNext/>
        <w:spacing w:line="360" w:lineRule="auto"/>
        <w:rPr>
          <w:rFonts w:hint="eastAsia" w:ascii="宋体" w:hAnsi="宋体" w:cs="宋体"/>
          <w:bCs/>
          <w:color w:val="auto"/>
          <w:szCs w:val="21"/>
          <w:highlight w:val="none"/>
        </w:rPr>
        <w:outlineLvl w:val="2"/>
      </w:pPr>
      <w:r>
        <w:rPr>
          <w:rFonts w:hint="eastAsia" w:ascii="宋体" w:hAnsi="宋体" w:cs="宋体"/>
          <w:bCs/>
          <w:color w:val="auto"/>
          <w:szCs w:val="21"/>
          <w:highlight w:val="none"/>
        </w:rPr>
        <w:t xml:space="preserve">注：1.结算审计核减率5%以下的，审计费用由</w:t>
      </w:r>
      <w:r>
        <w:rPr>
          <w:rFonts w:hint="eastAsia" w:ascii="宋体" w:hAnsi="宋体" w:cs="宋体"/>
          <w:bCs/>
          <w:color w:val="auto"/>
          <w:szCs w:val="21"/>
          <w:highlight w:val="none"/>
          <w:lang w:val="en-US" w:eastAsia="zh-CN"/>
        </w:rPr>
        <w:t xml:space="preserve">甲方</w:t>
      </w:r>
      <w:r>
        <w:rPr>
          <w:rFonts w:hint="eastAsia" w:ascii="宋体" w:hAnsi="宋体" w:cs="宋体"/>
          <w:bCs/>
          <w:color w:val="auto"/>
          <w:szCs w:val="21"/>
          <w:highlight w:val="none"/>
        </w:rPr>
        <w:t xml:space="preserve">承担，核减率5%（含）以上的，审计费用由</w:t>
      </w:r>
      <w:r>
        <w:rPr>
          <w:rFonts w:hint="eastAsia" w:ascii="宋体" w:hAnsi="宋体" w:cs="宋体"/>
          <w:bCs/>
          <w:color w:val="auto"/>
          <w:szCs w:val="21"/>
          <w:highlight w:val="none"/>
          <w:lang w:val="en-US" w:eastAsia="zh-CN"/>
        </w:rPr>
        <w:t xml:space="preserve">乙方</w:t>
      </w:r>
      <w:r>
        <w:rPr>
          <w:rFonts w:hint="eastAsia" w:ascii="宋体" w:hAnsi="宋体" w:cs="宋体"/>
          <w:bCs/>
          <w:color w:val="auto"/>
          <w:szCs w:val="21"/>
          <w:highlight w:val="none"/>
        </w:rPr>
        <w:t xml:space="preserve">承担</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在审定价中扣除</w:t>
      </w:r>
      <w:r>
        <w:rPr>
          <w:rFonts w:hint="eastAsia" w:ascii="宋体" w:hAnsi="宋体" w:cs="宋体"/>
          <w:bCs/>
          <w:color w:val="auto"/>
          <w:szCs w:val="21"/>
          <w:highlight w:val="none"/>
        </w:rPr>
        <w:t xml:space="preserve">。2.本项目如需政府审计或备案，则最终结算价以审计机关结论为准，</w:t>
      </w:r>
      <w:r>
        <w:rPr>
          <w:rFonts w:hint="eastAsia" w:ascii="宋体" w:hAnsi="宋体" w:cs="宋体"/>
          <w:bCs/>
          <w:color w:val="auto"/>
          <w:szCs w:val="21"/>
          <w:highlight w:val="none"/>
          <w:lang w:val="en-US" w:eastAsia="zh-CN"/>
        </w:rPr>
        <w:t xml:space="preserve">甲方</w:t>
      </w:r>
      <w:r>
        <w:rPr>
          <w:rFonts w:hint="eastAsia" w:ascii="宋体" w:hAnsi="宋体" w:cs="宋体"/>
          <w:bCs/>
          <w:color w:val="auto"/>
          <w:szCs w:val="21"/>
          <w:highlight w:val="none"/>
        </w:rPr>
        <w:t xml:space="preserve">将根据最终结算价调整付款基数，供应商应无条件配合。</w:t>
      </w:r>
      <w:r/>
    </w:p>
    <w:p>
      <w:pPr>
        <w:ind w:firstLine="422"/>
        <w:keepLines/>
        <w:keepNext/>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第十条 违约责任</w:t>
      </w:r>
      <w:bookmarkEnd w:id="47"/>
      <w:r/>
      <w:r/>
    </w:p>
    <w:p>
      <w:pPr>
        <w:ind w:firstLine="420"/>
        <w:jc w:val="left"/>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1.甲方无正当理由拒收货物、拒付货物款的，由甲方向乙方偿付合同总价的</w:t>
      </w:r>
      <w:r>
        <w:rPr>
          <w:rFonts w:hint="eastAsia" w:ascii="宋体" w:hAnsi="宋体" w:cs="宋体"/>
          <w:bCs/>
          <w:color w:val="auto"/>
          <w:szCs w:val="21"/>
          <w:highlight w:val="none"/>
        </w:rPr>
        <w:t xml:space="preserve">5</w:t>
      </w:r>
      <w:r>
        <w:rPr>
          <w:rFonts w:hint="eastAsia" w:ascii="宋体" w:hAnsi="宋体" w:cs="宋体"/>
          <w:bCs/>
          <w:color w:val="auto"/>
          <w:szCs w:val="21"/>
          <w:highlight w:val="none"/>
          <w:lang w:val="zh-CN"/>
        </w:rPr>
        <w:t xml:space="preserve">%违约金。</w:t>
      </w:r>
      <w:r/>
    </w:p>
    <w:p>
      <w:pPr>
        <w:ind w:firstLine="420"/>
        <w:jc w:val="left"/>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2.甲方未按合同规定的期限向乙方支付货款的，每逾期1天甲方向乙方偿付欠款总额的</w:t>
      </w:r>
      <w:r>
        <w:rPr>
          <w:rFonts w:hint="eastAsia" w:ascii="宋体" w:hAnsi="宋体" w:cs="宋体"/>
          <w:bCs/>
          <w:color w:val="auto"/>
          <w:szCs w:val="21"/>
          <w:highlight w:val="none"/>
        </w:rPr>
        <w:t xml:space="preserve">5</w:t>
      </w:r>
      <w:r>
        <w:rPr>
          <w:rFonts w:hint="eastAsia" w:ascii="宋体" w:hAnsi="宋体" w:cs="宋体"/>
          <w:bCs/>
          <w:color w:val="auto"/>
          <w:szCs w:val="21"/>
          <w:highlight w:val="none"/>
          <w:lang w:val="zh-CN"/>
        </w:rPr>
        <w:t xml:space="preserve"> ‰滞纳金，但累计滞纳金总额不超过欠款总额的</w:t>
      </w:r>
      <w:r>
        <w:rPr>
          <w:rFonts w:hint="eastAsia" w:ascii="宋体" w:hAnsi="宋体" w:cs="宋体"/>
          <w:bCs/>
          <w:color w:val="auto"/>
          <w:szCs w:val="21"/>
          <w:highlight w:val="none"/>
        </w:rPr>
        <w:t xml:space="preserve">5</w:t>
      </w:r>
      <w:r>
        <w:rPr>
          <w:rFonts w:hint="eastAsia" w:ascii="宋体" w:hAnsi="宋体" w:cs="宋体"/>
          <w:bCs/>
          <w:color w:val="auto"/>
          <w:szCs w:val="21"/>
          <w:highlight w:val="none"/>
          <w:lang w:val="zh-CN"/>
        </w:rPr>
        <w:t xml:space="preserve"> % 。</w:t>
      </w:r>
      <w:r/>
    </w:p>
    <w:p>
      <w:pPr>
        <w:ind w:firstLine="420"/>
        <w:jc w:val="left"/>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3.如乙方不能交付货物、完成安装调试的，甲方有权扣留全部履约保证金（</w:t>
      </w:r>
      <w:r>
        <w:rPr>
          <w:rFonts w:hint="eastAsia" w:ascii="宋体" w:hAnsi="宋体" w:cs="宋体"/>
          <w:bCs/>
          <w:color w:val="auto"/>
          <w:szCs w:val="21"/>
          <w:highlight w:val="none"/>
          <w:lang w:val="en-US" w:eastAsia="zh-CN"/>
        </w:rPr>
        <w:t xml:space="preserve">如有</w:t>
      </w:r>
      <w:r>
        <w:rPr>
          <w:rFonts w:hint="eastAsia" w:ascii="宋体" w:hAnsi="宋体" w:cs="宋体"/>
          <w:bCs/>
          <w:color w:val="auto"/>
          <w:szCs w:val="21"/>
          <w:highlight w:val="none"/>
          <w:lang w:val="zh-CN"/>
        </w:rPr>
        <w:t xml:space="preserve">）；同时乙方应向甲方支付合同总价5 %的违约金。</w:t>
      </w:r>
      <w:r/>
    </w:p>
    <w:p>
      <w:pPr>
        <w:ind w:firstLine="420"/>
        <w:jc w:val="left"/>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4.乙方逾期交付的，每逾期1天，乙方向甲方偿付合同总额的  </w:t>
      </w:r>
      <w:r>
        <w:rPr>
          <w:rFonts w:hint="eastAsia" w:ascii="宋体" w:hAnsi="宋体" w:cs="宋体"/>
          <w:bCs/>
          <w:color w:val="auto"/>
          <w:szCs w:val="21"/>
          <w:highlight w:val="none"/>
        </w:rPr>
        <w:t xml:space="preserve">5</w:t>
      </w:r>
      <w:r>
        <w:rPr>
          <w:rFonts w:hint="eastAsia" w:ascii="宋体" w:hAnsi="宋体" w:cs="宋体"/>
          <w:bCs/>
          <w:color w:val="auto"/>
          <w:szCs w:val="21"/>
          <w:highlight w:val="none"/>
          <w:lang w:val="zh-CN"/>
        </w:rPr>
        <w:t xml:space="preserve">  ‰的滞纳金。如乙方逾期交付达  </w:t>
      </w:r>
      <w:r>
        <w:rPr>
          <w:rFonts w:hint="eastAsia" w:ascii="宋体" w:hAnsi="宋体" w:cs="宋体"/>
          <w:bCs/>
          <w:color w:val="auto"/>
          <w:szCs w:val="21"/>
          <w:highlight w:val="none"/>
        </w:rPr>
        <w:t xml:space="preserve">10</w:t>
      </w:r>
      <w:r>
        <w:rPr>
          <w:rFonts w:hint="eastAsia" w:ascii="宋体" w:hAnsi="宋体" w:cs="宋体"/>
          <w:bCs/>
          <w:color w:val="auto"/>
          <w:szCs w:val="21"/>
          <w:highlight w:val="none"/>
          <w:lang w:val="zh-CN"/>
        </w:rPr>
        <w:t xml:space="preserve"> 天，甲方有权解除合同，解除合同的通知自到达乙方时生效。乙方</w:t>
      </w:r>
      <w:r>
        <w:rPr>
          <w:rFonts w:hint="eastAsia" w:ascii="宋体" w:hAnsi="宋体" w:cs="宋体"/>
          <w:bCs/>
          <w:color w:val="auto"/>
          <w:szCs w:val="21"/>
          <w:highlight w:val="none"/>
          <w:lang w:val="en-US" w:eastAsia="zh-CN"/>
        </w:rPr>
        <w:t xml:space="preserve">应向甲方支付合同总价5%的违约金</w:t>
      </w:r>
      <w:r>
        <w:rPr>
          <w:rFonts w:hint="eastAsia" w:ascii="宋体" w:hAnsi="宋体" w:cs="宋体"/>
          <w:bCs/>
          <w:color w:val="auto"/>
          <w:szCs w:val="21"/>
          <w:highlight w:val="none"/>
          <w:lang w:val="zh-CN"/>
        </w:rPr>
        <w:t xml:space="preserve">。</w:t>
      </w:r>
      <w:r/>
    </w:p>
    <w:p>
      <w:pPr>
        <w:ind w:firstLine="420"/>
        <w:jc w:val="left"/>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5.乙方所交付的货物品种、型号、规格不符合合同规定的，甲方有权拒收。甲方拒收的，乙方应向甲方支付货款总额</w:t>
      </w:r>
      <w:r>
        <w:rPr>
          <w:rFonts w:hint="eastAsia" w:ascii="宋体" w:hAnsi="宋体" w:cs="宋体"/>
          <w:bCs/>
          <w:color w:val="auto"/>
          <w:szCs w:val="21"/>
          <w:highlight w:val="none"/>
        </w:rPr>
        <w:t xml:space="preserve">5</w:t>
      </w:r>
      <w:r>
        <w:rPr>
          <w:rFonts w:hint="eastAsia" w:ascii="宋体" w:hAnsi="宋体" w:cs="宋体"/>
          <w:bCs/>
          <w:color w:val="auto"/>
          <w:szCs w:val="21"/>
          <w:highlight w:val="none"/>
          <w:lang w:val="zh-CN"/>
        </w:rPr>
        <w:t xml:space="preserve">%的违约金。</w:t>
      </w:r>
      <w:r/>
    </w:p>
    <w:p>
      <w:pPr>
        <w:ind w:firstLine="420"/>
        <w:jc w:val="left"/>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6.在乙方承诺的或国家规定的质量保证期内（取两者中最长的期限），如经乙方两次维修或更换，货物仍不能达到合同约定的质量标准，甲方有权退货，乙方应退回全部货款，并按本条第3款处理，同时，乙方还须赔偿甲方因此遭受的损失。</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bCs/>
          <w:color w:val="auto"/>
          <w:szCs w:val="21"/>
          <w:highlight w:val="none"/>
          <w:lang w:val="zh-CN"/>
        </w:rPr>
        <w:t xml:space="preserve">7.乙方未按本合同的规定和“服务承诺”提供伴随服务/售后服务的，应按合同总</w:t>
      </w:r>
      <w:r>
        <w:rPr>
          <w:rFonts w:hint="eastAsia" w:ascii="宋体" w:hAnsi="宋体" w:cs="宋体"/>
          <w:color w:val="auto"/>
          <w:szCs w:val="21"/>
          <w:highlight w:val="none"/>
          <w:lang w:val="zh-CN"/>
        </w:rPr>
        <w:t xml:space="preserve">价款的</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u w:val="single"/>
        </w:rPr>
        <w:t xml:space="preserve">5</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%向甲方承担违约责任。</w:t>
      </w:r>
      <w:r/>
    </w:p>
    <w:p>
      <w:pPr>
        <w:ind w:firstLine="420"/>
        <w:jc w:val="left"/>
        <w:spacing w:line="360" w:lineRule="auto"/>
        <w:rPr>
          <w:rFonts w:hint="eastAsia" w:ascii="宋体" w:hAnsi="宋体" w:eastAsia="宋体" w:cs="宋体"/>
          <w:bCs/>
          <w:color w:val="auto"/>
          <w:szCs w:val="21"/>
          <w:highlight w:val="none"/>
          <w:lang w:val="zh-CN"/>
        </w:rPr>
      </w:pPr>
      <w:r>
        <w:rPr>
          <w:rFonts w:hint="eastAsia" w:ascii="宋体" w:hAnsi="宋体" w:cs="宋体"/>
          <w:color w:val="auto"/>
          <w:szCs w:val="21"/>
          <w:highlight w:val="none"/>
          <w:lang w:val="zh-CN"/>
        </w:rPr>
        <w:t xml:space="preserve">8.乙方在承担上述4-7款一项或多项违约责任后，仍应继续履行合同规定的义务（甲方解除合同的除外）。甲方未能及时追究乙方的任何一项</w:t>
      </w:r>
      <w:r>
        <w:rPr>
          <w:rFonts w:hint="eastAsia" w:ascii="宋体" w:hAnsi="宋体" w:eastAsia="宋体" w:cs="宋体"/>
          <w:bCs/>
          <w:color w:val="auto"/>
          <w:szCs w:val="21"/>
          <w:highlight w:val="none"/>
          <w:lang w:val="zh-CN"/>
        </w:rPr>
        <w:t xml:space="preserve">违约责任并不表明甲方放弃追究乙方该项或其他违约责任。</w:t>
      </w:r>
      <w:r/>
    </w:p>
    <w:p>
      <w:pPr>
        <w:ind w:firstLine="420"/>
        <w:jc w:val="left"/>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9.乙方投标（响应）属虚假承诺，或经权威部门检测提供的货物不能满足投标（响应）文件要求，或是由于乙方的过错造成合同无法继续履行的，乙方履约保证金不予退还外（</w:t>
      </w:r>
      <w:r>
        <w:rPr>
          <w:rFonts w:hint="eastAsia" w:ascii="宋体" w:hAnsi="宋体" w:eastAsia="宋体" w:cs="宋体"/>
          <w:bCs/>
          <w:color w:val="auto"/>
          <w:szCs w:val="21"/>
          <w:highlight w:val="none"/>
          <w:lang w:val="en-US" w:eastAsia="zh-CN"/>
        </w:rPr>
        <w:t xml:space="preserve">如有</w:t>
      </w:r>
      <w:r>
        <w:rPr>
          <w:rFonts w:hint="eastAsia" w:ascii="宋体" w:hAnsi="宋体" w:eastAsia="宋体" w:cs="宋体"/>
          <w:bCs/>
          <w:color w:val="auto"/>
          <w:szCs w:val="21"/>
          <w:highlight w:val="none"/>
          <w:lang w:val="zh-CN"/>
        </w:rPr>
        <w:t xml:space="preserve">），还应向甲方支付 30 %赔偿金。</w:t>
      </w:r>
      <w:r/>
    </w:p>
    <w:p>
      <w:pPr>
        <w:keepLines/>
        <w:keepNext/>
        <w:spacing w:line="360" w:lineRule="auto"/>
        <w:rPr>
          <w:rFonts w:hint="eastAsia" w:ascii="宋体" w:hAnsi="宋体" w:eastAsia="宋体" w:cs="宋体"/>
          <w:b/>
          <w:bCs/>
          <w:color w:val="auto"/>
          <w:szCs w:val="21"/>
          <w:highlight w:val="none"/>
          <w:lang w:val="zh-CN"/>
        </w:rPr>
        <w:outlineLvl w:val="2"/>
      </w:pPr>
      <w:r/>
      <w:bookmarkStart w:id="48" w:name="_Toc138662929"/>
      <w:r>
        <w:rPr>
          <w:rFonts w:hint="eastAsia" w:ascii="宋体" w:hAnsi="宋体" w:eastAsia="宋体" w:cs="宋体"/>
          <w:b/>
          <w:bCs/>
          <w:color w:val="auto"/>
          <w:szCs w:val="21"/>
          <w:highlight w:val="none"/>
          <w:lang w:val="zh-CN"/>
        </w:rPr>
        <w:t xml:space="preserve">第十一条 合同的变更和终止</w:t>
      </w:r>
      <w:bookmarkEnd w:id="48"/>
      <w:r/>
      <w:r/>
    </w:p>
    <w:p>
      <w:pPr>
        <w:ind w:firstLine="420"/>
        <w:jc w:val="left"/>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1.除《政府采购法》第50条规定的情形外，本合同一经签订，甲乙双方不得擅自变更、中止或终止。</w:t>
      </w:r>
      <w:r/>
    </w:p>
    <w:p>
      <w:pPr>
        <w:ind w:firstLine="420"/>
        <w:jc w:val="left"/>
        <w:spacing w:line="360" w:lineRule="auto"/>
        <w:rPr>
          <w:rFonts w:hint="eastAsia" w:ascii="宋体" w:hAnsi="宋体" w:cs="宋体"/>
          <w:color w:val="auto"/>
          <w:szCs w:val="21"/>
          <w:highlight w:val="none"/>
          <w:lang w:val="zh-CN"/>
        </w:rPr>
      </w:pPr>
      <w:r>
        <w:rPr>
          <w:rFonts w:hint="eastAsia" w:ascii="宋体" w:hAnsi="宋体" w:eastAsia="宋体" w:cs="宋体"/>
          <w:bCs/>
          <w:color w:val="auto"/>
          <w:szCs w:val="21"/>
          <w:highlight w:val="none"/>
          <w:lang w:val="zh-CN"/>
        </w:rPr>
        <w:t xml:space="preserve">2.除发生法律规定的不能预见、不能避免并不能克服的客观情况外，甲乙双方不</w:t>
      </w:r>
      <w:r>
        <w:rPr>
          <w:rFonts w:hint="eastAsia" w:ascii="宋体" w:hAnsi="宋体" w:cs="宋体"/>
          <w:color w:val="auto"/>
          <w:szCs w:val="21"/>
          <w:highlight w:val="none"/>
          <w:lang w:val="zh-CN"/>
        </w:rPr>
        <w:t xml:space="preserve">得放弃或拒绝履行合同。乙方放弃或拒绝履行合同，履约保证金不予退还，并按规定接受相关部门的处罚。</w:t>
      </w:r>
      <w:r/>
    </w:p>
    <w:p>
      <w:pPr>
        <w:keepLines/>
        <w:keepNext/>
        <w:spacing w:line="360" w:lineRule="auto"/>
        <w:rPr>
          <w:rFonts w:hint="eastAsia" w:ascii="宋体" w:hAnsi="宋体" w:cs="宋体"/>
          <w:b/>
          <w:bCs/>
          <w:color w:val="auto"/>
          <w:szCs w:val="21"/>
          <w:highlight w:val="none"/>
        </w:rPr>
        <w:outlineLvl w:val="2"/>
      </w:pPr>
      <w:r/>
      <w:bookmarkStart w:id="49" w:name="_Toc138662930"/>
      <w:r>
        <w:rPr>
          <w:rFonts w:hint="eastAsia" w:ascii="宋体" w:hAnsi="宋体" w:cs="宋体"/>
          <w:b/>
          <w:bCs/>
          <w:color w:val="auto"/>
          <w:szCs w:val="21"/>
          <w:highlight w:val="none"/>
        </w:rPr>
        <w:t xml:space="preserve">第十二条 合同的转让</w:t>
      </w:r>
      <w:bookmarkEnd w:id="49"/>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乙方不得擅自部分或全部转让其应履行的合同义务。</w:t>
      </w:r>
      <w:r/>
    </w:p>
    <w:p>
      <w:pPr>
        <w:keepLines/>
        <w:keepNext/>
        <w:spacing w:line="360" w:lineRule="auto"/>
        <w:rPr>
          <w:rFonts w:hint="eastAsia" w:ascii="宋体" w:hAnsi="宋体" w:cs="宋体"/>
          <w:b/>
          <w:bCs/>
          <w:color w:val="auto"/>
          <w:szCs w:val="21"/>
          <w:highlight w:val="none"/>
        </w:rPr>
        <w:outlineLvl w:val="2"/>
      </w:pPr>
      <w:r/>
      <w:bookmarkStart w:id="50" w:name="_Toc138662931"/>
      <w:r>
        <w:rPr>
          <w:rFonts w:hint="eastAsia" w:ascii="宋体" w:hAnsi="宋体" w:cs="宋体"/>
          <w:b/>
          <w:bCs/>
          <w:color w:val="auto"/>
          <w:szCs w:val="21"/>
          <w:highlight w:val="none"/>
        </w:rPr>
        <w:t xml:space="preserve">第十三条 争议的解决</w:t>
      </w:r>
      <w:bookmarkEnd w:id="50"/>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1.因货物的质量问题发生争议的，应当邀请国家认可的质量检测机构对货物质量进行鉴定。货物符合质量标准的，鉴定费由甲方承担；货物不符合质量标准的，鉴定费由乙方承担。</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2.因履行本合同引起的或与本合同有关的争议，甲、乙双方应首先通过友好协商解决，如果协商不能解决争议，则采取以下第（</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）种方式解决争议：</w:t>
      </w:r>
      <w:r/>
    </w:p>
    <w:p>
      <w:pPr>
        <w:ind w:firstLine="56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（1）向甲方所在地有管辖权的人民法院提起诉讼；</w:t>
      </w:r>
      <w:r/>
    </w:p>
    <w:p>
      <w:pPr>
        <w:ind w:firstLine="56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（2）向南京仲裁委员会按其仲裁规则申请仲裁。</w:t>
      </w:r>
      <w:r/>
    </w:p>
    <w:p>
      <w:pPr>
        <w:ind w:firstLine="56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如没有约定，默认采取第2种方式解决争议。</w:t>
      </w:r>
      <w:r/>
    </w:p>
    <w:p>
      <w:pPr>
        <w:ind w:firstLine="420"/>
        <w:jc w:val="left"/>
        <w:spacing w:line="360" w:lineRule="auto"/>
        <w:widowControl/>
        <w:rPr>
          <w:rFonts w:hint="eastAsia" w:ascii="宋体" w:hAnsi="宋体" w:cs="宋体"/>
          <w:color w:val="auto"/>
          <w:szCs w:val="21"/>
          <w:highlight w:val="none"/>
          <w:lang w:val="zh-CN"/>
        </w:rPr>
        <w:outlineLvl w:val="2"/>
      </w:pPr>
      <w:r>
        <w:rPr>
          <w:rFonts w:hint="eastAsia" w:ascii="宋体" w:hAnsi="宋体" w:cs="宋体"/>
          <w:color w:val="auto"/>
          <w:szCs w:val="21"/>
          <w:highlight w:val="none"/>
          <w:lang w:val="zh-CN"/>
        </w:rPr>
        <w:t xml:space="preserve">3.仲裁期间本合同应继续履行。</w:t>
      </w:r>
      <w:r/>
    </w:p>
    <w:p>
      <w:pPr>
        <w:keepLines/>
        <w:keepNext/>
        <w:spacing w:line="360" w:lineRule="auto"/>
        <w:rPr>
          <w:rFonts w:hint="eastAsia" w:ascii="宋体" w:hAnsi="宋体" w:cs="宋体"/>
          <w:b/>
          <w:bCs/>
          <w:color w:val="auto"/>
          <w:szCs w:val="21"/>
          <w:highlight w:val="none"/>
          <w:lang w:val="zh-CN"/>
        </w:rPr>
        <w:outlineLvl w:val="2"/>
      </w:pPr>
      <w:r/>
      <w:bookmarkStart w:id="51" w:name="_Toc138662932"/>
      <w:r>
        <w:rPr>
          <w:rFonts w:hint="eastAsia" w:ascii="宋体" w:hAnsi="宋体" w:cs="宋体"/>
          <w:b/>
          <w:bCs/>
          <w:color w:val="auto"/>
          <w:szCs w:val="21"/>
          <w:highlight w:val="none"/>
        </w:rPr>
        <w:t xml:space="preserve">第十四条 诚实信用</w:t>
      </w:r>
      <w:bookmarkEnd w:id="51"/>
      <w:r>
        <w:rPr>
          <w:rFonts w:hint="eastAsia" w:ascii="宋体" w:hAnsi="宋体" w:cs="宋体"/>
          <w:b/>
          <w:bCs/>
          <w:color w:val="auto"/>
          <w:szCs w:val="21"/>
          <w:highlight w:val="none"/>
          <w:lang w:val="zh-CN"/>
        </w:rPr>
        <w:t xml:space="preserve"> </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乙方应诚实信用，严格按照招标（采购）文件要求和投标（响应）承诺履行合同，不向甲方进行商业贿赂或者提供不正当利益。</w:t>
      </w:r>
      <w:r/>
    </w:p>
    <w:p>
      <w:pPr>
        <w:keepLines/>
        <w:keepNext/>
        <w:spacing w:line="360" w:lineRule="auto"/>
        <w:rPr>
          <w:rFonts w:hint="eastAsia" w:ascii="宋体" w:hAnsi="宋体" w:cs="宋体"/>
          <w:b/>
          <w:bCs/>
          <w:color w:val="auto"/>
          <w:szCs w:val="21"/>
          <w:highlight w:val="none"/>
        </w:rPr>
        <w:outlineLvl w:val="2"/>
      </w:pPr>
      <w:r/>
      <w:bookmarkStart w:id="52" w:name="_Toc138662933"/>
      <w:r>
        <w:rPr>
          <w:rFonts w:hint="eastAsia" w:ascii="宋体" w:hAnsi="宋体" w:cs="宋体"/>
          <w:b/>
          <w:bCs/>
          <w:color w:val="auto"/>
          <w:szCs w:val="21"/>
          <w:highlight w:val="none"/>
        </w:rPr>
        <w:t xml:space="preserve">第十五条 合同生效及其他</w:t>
      </w:r>
      <w:bookmarkEnd w:id="52"/>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1.本合同自签订之日起生效。</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2.本合同一式四份，甲乙双方各执</w:t>
      </w:r>
      <w:r>
        <w:rPr>
          <w:rFonts w:hint="eastAsia" w:ascii="宋体" w:hAnsi="宋体" w:cs="宋体"/>
          <w:color w:val="auto"/>
          <w:szCs w:val="21"/>
          <w:highlight w:val="none"/>
        </w:rPr>
        <w:t xml:space="preserve">两</w:t>
      </w:r>
      <w:r>
        <w:rPr>
          <w:rFonts w:hint="eastAsia" w:ascii="宋体" w:hAnsi="宋体" w:cs="宋体"/>
          <w:color w:val="auto"/>
          <w:szCs w:val="21"/>
          <w:highlight w:val="none"/>
          <w:lang w:val="zh-CN"/>
        </w:rPr>
        <w:t xml:space="preserve">份。</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3.本合同按照中华人民共和国的现行法律进行解释。</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4.其他：</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w:t>
      </w:r>
      <w:r/>
    </w:p>
    <w:p>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bl>
      <w:tblPr>
        <w:tblStyle w:val="865"/>
        <w:tblpPr w:horzAnchor="page" w:tblpX="1679" w:vertAnchor="text" w:tblpY="464" w:leftFromText="180" w:topFromText="0" w:rightFromText="180" w:bottomFromText="0"/>
        <w:tblW w:w="928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W w:w="4643" w:type="dxa"/>
            <w:vAlign w:val="top"/>
            <w:textDirection w:val="lrTb"/>
            <w:noWrap w:val="false"/>
          </w:tcPr>
          <w:p>
            <w:pPr>
              <w:jc w:val="left"/>
              <w:widowControl/>
              <w:rPr>
                <w:rFonts w:hint="eastAsia" w:ascii="宋体" w:hAnsi="宋体" w:eastAsia="宋体" w:cs="仿宋"/>
                <w:color w:val="auto"/>
                <w:sz w:val="24"/>
                <w:szCs w:val="24"/>
                <w:highlight w:val="none"/>
                <w:lang w:val="zh-CN"/>
              </w:rPr>
            </w:pPr>
            <w:r>
              <w:rPr>
                <w:rFonts w:hint="eastAsia" w:ascii="宋体" w:hAnsi="宋体" w:eastAsia="宋体" w:cs="仿宋"/>
                <w:color w:val="auto"/>
                <w:sz w:val="24"/>
                <w:szCs w:val="24"/>
                <w:highlight w:val="none"/>
                <w:lang w:val="zh-CN"/>
              </w:rPr>
              <w:t xml:space="preserve">甲  方（采购人）：（盖章）</w:t>
            </w:r>
            <w:r/>
          </w:p>
        </w:tc>
        <w:tc>
          <w:tcPr>
            <w:tcW w:w="4643" w:type="dxa"/>
            <w:vAlign w:val="top"/>
            <w:textDirection w:val="lrTb"/>
            <w:noWrap w:val="false"/>
          </w:tcPr>
          <w:p>
            <w:pPr>
              <w:jc w:val="left"/>
              <w:widowControl/>
              <w:rPr>
                <w:rFonts w:hint="eastAsia" w:ascii="宋体" w:hAnsi="宋体" w:eastAsia="宋体" w:cs="仿宋"/>
                <w:color w:val="auto"/>
                <w:sz w:val="24"/>
                <w:szCs w:val="24"/>
                <w:highlight w:val="none"/>
                <w:lang w:val="zh-CN"/>
              </w:rPr>
            </w:pPr>
            <w:r>
              <w:rPr>
                <w:rFonts w:hint="eastAsia" w:ascii="宋体" w:hAnsi="宋体" w:eastAsia="宋体" w:cs="仿宋"/>
                <w:color w:val="auto"/>
                <w:sz w:val="24"/>
                <w:szCs w:val="24"/>
                <w:highlight w:val="none"/>
                <w:lang w:val="zh-CN"/>
              </w:rPr>
              <w:t xml:space="preserve">乙  方（供应商）：（盖章）</w:t>
            </w:r>
            <w:r/>
          </w:p>
        </w:tc>
      </w:tr>
      <w:tr>
        <w:trPr/>
        <w:tc>
          <w:tcPr>
            <w:tcW w:w="4643" w:type="dxa"/>
            <w:vAlign w:val="top"/>
            <w:textDirection w:val="lrTb"/>
            <w:noWrap w:val="false"/>
          </w:tcPr>
          <w:p>
            <w:pPr>
              <w:jc w:val="left"/>
              <w:widowControl/>
              <w:rPr>
                <w:rFonts w:hint="eastAsia" w:ascii="宋体" w:hAnsi="宋体" w:eastAsia="宋体" w:cs="仿宋"/>
                <w:color w:val="auto"/>
                <w:sz w:val="24"/>
                <w:szCs w:val="24"/>
                <w:highlight w:val="none"/>
                <w:lang w:val="zh-CN"/>
              </w:rPr>
            </w:pPr>
            <w:r>
              <w:rPr>
                <w:rFonts w:hint="eastAsia" w:ascii="宋体" w:hAnsi="宋体" w:eastAsia="宋体" w:cs="仿宋"/>
                <w:color w:val="auto"/>
                <w:sz w:val="24"/>
                <w:szCs w:val="24"/>
                <w:highlight w:val="none"/>
                <w:lang w:val="zh-CN"/>
              </w:rPr>
              <w:t xml:space="preserve">代表人：</w:t>
            </w:r>
            <w:r/>
          </w:p>
        </w:tc>
        <w:tc>
          <w:tcPr>
            <w:tcW w:w="4643" w:type="dxa"/>
            <w:vAlign w:val="top"/>
            <w:textDirection w:val="lrTb"/>
            <w:noWrap w:val="false"/>
          </w:tcPr>
          <w:p>
            <w:pPr>
              <w:jc w:val="left"/>
              <w:widowControl/>
              <w:rPr>
                <w:rFonts w:hint="eastAsia" w:ascii="宋体" w:hAnsi="宋体" w:eastAsia="宋体" w:cs="仿宋"/>
                <w:color w:val="auto"/>
                <w:sz w:val="24"/>
                <w:szCs w:val="24"/>
                <w:highlight w:val="none"/>
                <w:lang w:val="zh-CN"/>
              </w:rPr>
            </w:pPr>
            <w:r>
              <w:rPr>
                <w:rFonts w:hint="eastAsia" w:ascii="宋体" w:hAnsi="宋体" w:eastAsia="宋体" w:cs="仿宋"/>
                <w:color w:val="auto"/>
                <w:sz w:val="24"/>
                <w:szCs w:val="24"/>
                <w:highlight w:val="none"/>
                <w:lang w:val="zh-CN"/>
              </w:rPr>
              <w:t xml:space="preserve">代表人：</w:t>
            </w:r>
            <w:r/>
          </w:p>
        </w:tc>
      </w:tr>
      <w:tr>
        <w:trPr/>
        <w:tc>
          <w:tcPr>
            <w:tcW w:w="4643" w:type="dxa"/>
            <w:vAlign w:val="top"/>
            <w:textDirection w:val="lrTb"/>
            <w:noWrap w:val="false"/>
          </w:tcPr>
          <w:p>
            <w:pPr>
              <w:jc w:val="left"/>
              <w:widowControl/>
              <w:rPr>
                <w:rFonts w:hint="eastAsia" w:ascii="宋体" w:hAnsi="宋体" w:eastAsia="宋体" w:cs="仿宋"/>
                <w:color w:val="auto"/>
                <w:sz w:val="24"/>
                <w:szCs w:val="24"/>
                <w:highlight w:val="none"/>
                <w:lang w:val="zh-CN"/>
              </w:rPr>
            </w:pPr>
            <w:r>
              <w:rPr>
                <w:rFonts w:hint="eastAsia" w:ascii="宋体" w:hAnsi="宋体" w:eastAsia="宋体" w:cs="仿宋"/>
                <w:color w:val="auto"/>
                <w:sz w:val="24"/>
                <w:szCs w:val="24"/>
                <w:highlight w:val="none"/>
                <w:lang w:val="zh-CN"/>
              </w:rPr>
              <w:t xml:space="preserve">电  话：</w:t>
            </w:r>
            <w:r/>
          </w:p>
        </w:tc>
        <w:tc>
          <w:tcPr>
            <w:tcW w:w="4643" w:type="dxa"/>
            <w:vAlign w:val="top"/>
            <w:textDirection w:val="lrTb"/>
            <w:noWrap w:val="false"/>
          </w:tcPr>
          <w:p>
            <w:pPr>
              <w:jc w:val="left"/>
              <w:widowControl/>
              <w:rPr>
                <w:rFonts w:hint="eastAsia" w:ascii="宋体" w:hAnsi="宋体" w:eastAsia="宋体" w:cs="仿宋"/>
                <w:color w:val="auto"/>
                <w:sz w:val="24"/>
                <w:szCs w:val="24"/>
                <w:highlight w:val="none"/>
                <w:lang w:val="zh-CN"/>
              </w:rPr>
            </w:pPr>
            <w:r>
              <w:rPr>
                <w:rFonts w:hint="eastAsia" w:ascii="宋体" w:hAnsi="宋体" w:eastAsia="宋体" w:cs="仿宋"/>
                <w:color w:val="auto"/>
                <w:sz w:val="24"/>
                <w:szCs w:val="24"/>
                <w:highlight w:val="none"/>
                <w:lang w:val="zh-CN"/>
              </w:rPr>
              <w:t xml:space="preserve">电  话：</w:t>
            </w:r>
            <w:r/>
          </w:p>
        </w:tc>
      </w:tr>
      <w:tr>
        <w:trPr/>
        <w:tc>
          <w:tcPr>
            <w:tcW w:w="4643" w:type="dxa"/>
            <w:vAlign w:val="top"/>
            <w:textDirection w:val="lrTb"/>
            <w:noWrap w:val="false"/>
          </w:tcPr>
          <w:p>
            <w:pPr>
              <w:jc w:val="left"/>
              <w:widowControl/>
              <w:rPr>
                <w:rFonts w:hint="eastAsia" w:ascii="宋体" w:hAnsi="宋体" w:eastAsia="宋体" w:cs="仿宋"/>
                <w:color w:val="auto"/>
                <w:sz w:val="24"/>
                <w:szCs w:val="24"/>
                <w:highlight w:val="none"/>
                <w:lang w:val="zh-CN"/>
              </w:rPr>
            </w:pPr>
            <w:r>
              <w:rPr>
                <w:rFonts w:hint="eastAsia" w:ascii="宋体" w:hAnsi="宋体" w:eastAsia="宋体" w:cs="仿宋"/>
                <w:color w:val="auto"/>
                <w:sz w:val="24"/>
                <w:szCs w:val="24"/>
                <w:highlight w:val="none"/>
                <w:lang w:val="zh-CN"/>
              </w:rPr>
              <w:t xml:space="preserve">开户银行：</w:t>
            </w:r>
            <w:r/>
          </w:p>
        </w:tc>
        <w:tc>
          <w:tcPr>
            <w:tcW w:w="4643" w:type="dxa"/>
            <w:vAlign w:val="top"/>
            <w:textDirection w:val="lrTb"/>
            <w:noWrap w:val="false"/>
          </w:tcPr>
          <w:p>
            <w:pPr>
              <w:jc w:val="left"/>
              <w:widowControl/>
              <w:rPr>
                <w:rFonts w:hint="eastAsia" w:ascii="宋体" w:hAnsi="宋体" w:eastAsia="宋体" w:cs="仿宋"/>
                <w:color w:val="auto"/>
                <w:sz w:val="24"/>
                <w:szCs w:val="24"/>
                <w:highlight w:val="none"/>
                <w:lang w:val="zh-CN"/>
              </w:rPr>
            </w:pPr>
            <w:r>
              <w:rPr>
                <w:rFonts w:hint="eastAsia" w:ascii="宋体" w:hAnsi="宋体" w:eastAsia="宋体" w:cs="仿宋"/>
                <w:color w:val="auto"/>
                <w:sz w:val="24"/>
                <w:szCs w:val="24"/>
                <w:highlight w:val="none"/>
                <w:lang w:val="zh-CN"/>
              </w:rPr>
              <w:t xml:space="preserve">开户银行：</w:t>
            </w:r>
            <w:r/>
          </w:p>
        </w:tc>
      </w:tr>
      <w:tr>
        <w:trPr/>
        <w:tc>
          <w:tcPr>
            <w:tcW w:w="4643" w:type="dxa"/>
            <w:vAlign w:val="top"/>
            <w:textDirection w:val="lrTb"/>
            <w:noWrap w:val="false"/>
          </w:tcPr>
          <w:p>
            <w:pPr>
              <w:jc w:val="left"/>
              <w:widowControl/>
              <w:rPr>
                <w:rFonts w:hint="eastAsia" w:ascii="宋体" w:hAnsi="宋体" w:eastAsia="宋体" w:cs="仿宋"/>
                <w:color w:val="auto"/>
                <w:sz w:val="24"/>
                <w:szCs w:val="24"/>
                <w:highlight w:val="none"/>
                <w:lang w:val="zh-CN"/>
              </w:rPr>
            </w:pPr>
            <w:r>
              <w:rPr>
                <w:rFonts w:hint="eastAsia" w:ascii="宋体" w:hAnsi="宋体" w:eastAsia="宋体" w:cs="仿宋"/>
                <w:color w:val="auto"/>
                <w:sz w:val="24"/>
                <w:szCs w:val="24"/>
                <w:highlight w:val="none"/>
                <w:lang w:val="zh-CN"/>
              </w:rPr>
              <w:t xml:space="preserve">帐  号：     </w:t>
            </w:r>
            <w:r/>
          </w:p>
        </w:tc>
        <w:tc>
          <w:tcPr>
            <w:tcW w:w="4643" w:type="dxa"/>
            <w:vAlign w:val="top"/>
            <w:textDirection w:val="lrTb"/>
            <w:noWrap w:val="false"/>
          </w:tcPr>
          <w:p>
            <w:pPr>
              <w:jc w:val="left"/>
              <w:widowControl/>
              <w:rPr>
                <w:rFonts w:hint="eastAsia" w:ascii="宋体" w:hAnsi="宋体" w:eastAsia="宋体" w:cs="仿宋"/>
                <w:color w:val="auto"/>
                <w:sz w:val="24"/>
                <w:szCs w:val="24"/>
                <w:highlight w:val="none"/>
                <w:lang w:val="zh-CN"/>
              </w:rPr>
            </w:pPr>
            <w:r>
              <w:rPr>
                <w:rFonts w:hint="eastAsia" w:ascii="宋体" w:hAnsi="宋体" w:eastAsia="宋体" w:cs="仿宋"/>
                <w:color w:val="auto"/>
                <w:sz w:val="24"/>
                <w:szCs w:val="24"/>
                <w:highlight w:val="none"/>
                <w:lang w:val="zh-CN"/>
              </w:rPr>
              <w:t xml:space="preserve">帐  号：</w:t>
            </w:r>
            <w:r/>
          </w:p>
        </w:tc>
      </w:tr>
    </w:tbl>
    <w:p>
      <w:pPr>
        <w:pStyle w:val="855"/>
        <w:rPr>
          <w:rFonts w:hint="eastAsia" w:ascii="宋体" w:hAnsi="宋体" w:cs="宋体"/>
          <w:color w:val="auto"/>
          <w:szCs w:val="36"/>
          <w:highlight w:val="none"/>
          <w:lang w:val="zh-CN"/>
        </w:rPr>
      </w:pPr>
      <w:r>
        <w:rPr>
          <w:rFonts w:ascii="宋体" w:hAnsi="宋体" w:cs="宋体"/>
          <w:color w:val="auto"/>
          <w:szCs w:val="36"/>
          <w:highlight w:val="none"/>
          <w:lang w:val="zh-CN"/>
        </w:rPr>
        <w:br w:type="page" w:clear="all"/>
      </w:r>
      <w:r>
        <w:rPr>
          <w:rFonts w:hint="eastAsia"/>
          <w:color w:val="auto"/>
          <w:highlight w:val="none"/>
          <w:lang w:val="zh-CN"/>
        </w:rPr>
        <w:t xml:space="preserve">第六章</w:t>
      </w:r>
      <w:r>
        <w:rPr>
          <w:rFonts w:hint="eastAsia"/>
          <w:color w:val="auto"/>
          <w:highlight w:val="none"/>
        </w:rPr>
        <w:t xml:space="preserve"> </w:t>
      </w:r>
      <w:r>
        <w:rPr>
          <w:rFonts w:hint="eastAsia"/>
          <w:color w:val="auto"/>
          <w:highlight w:val="none"/>
          <w:lang w:val="zh-CN"/>
        </w:rPr>
        <w:t xml:space="preserve">投标文件格式</w:t>
      </w:r>
      <w:bookmarkEnd w:id="35"/>
      <w:r/>
      <w:bookmarkEnd w:id="36"/>
      <w:r/>
      <w:bookmarkEnd w:id="37"/>
      <w:r/>
      <w:r/>
    </w:p>
    <w:p>
      <w:pPr>
        <w:jc w:val="center"/>
        <w:spacing w:line="360" w:lineRule="auto"/>
        <w:rPr>
          <w:rFonts w:hint="eastAsia" w:ascii="宋体" w:hAnsi="宋体" w:cs="宋体"/>
          <w:b/>
          <w:color w:val="auto"/>
          <w:sz w:val="72"/>
          <w:highlight w:val="none"/>
        </w:rPr>
      </w:pPr>
      <w:r>
        <w:rPr>
          <w:rFonts w:hint="eastAsia" w:ascii="宋体" w:hAnsi="宋体" w:cs="宋体"/>
          <w:b/>
          <w:color w:val="auto"/>
          <w:sz w:val="72"/>
          <w:highlight w:val="none"/>
        </w:rPr>
      </w:r>
      <w:r/>
    </w:p>
    <w:p>
      <w:pPr>
        <w:jc w:val="center"/>
        <w:spacing w:line="360" w:lineRule="auto"/>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spacing w:line="360" w:lineRule="auto"/>
        <w:rPr>
          <w:rFonts w:hint="eastAsia" w:ascii="宋体" w:hAnsi="宋体" w:cs="宋体"/>
          <w:b/>
          <w:color w:val="auto"/>
          <w:sz w:val="72"/>
          <w:highlight w:val="none"/>
        </w:rPr>
      </w:pPr>
      <w:r>
        <w:rPr>
          <w:rFonts w:hint="eastAsia" w:ascii="宋体" w:hAnsi="宋体" w:cs="宋体"/>
          <w:b/>
          <w:color w:val="auto"/>
          <w:sz w:val="72"/>
          <w:highlight w:val="none"/>
        </w:rPr>
      </w:r>
      <w:r/>
    </w:p>
    <w:p>
      <w:pPr>
        <w:jc w:val="center"/>
        <w:spacing w:line="360" w:lineRule="auto"/>
        <w:rPr>
          <w:rFonts w:hint="eastAsia" w:ascii="宋体" w:hAnsi="宋体" w:cs="Arial"/>
          <w:color w:val="auto"/>
          <w:sz w:val="44"/>
          <w:szCs w:val="44"/>
          <w:highlight w:val="none"/>
        </w:rPr>
      </w:pPr>
      <w:r>
        <w:rPr>
          <w:rFonts w:hint="eastAsia" w:ascii="宋体" w:hAnsi="宋体" w:cs="Arial"/>
          <w:color w:val="auto"/>
          <w:sz w:val="44"/>
          <w:szCs w:val="44"/>
          <w:highlight w:val="none"/>
        </w:rPr>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编号： </w:t>
      </w:r>
      <w:r/>
    </w:p>
    <w:p>
      <w:pPr>
        <w:ind w:firstLine="1084"/>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名称： </w:t>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供应商名称 ：</w:t>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       日      期 ：</w:t>
      </w:r>
      <w:r/>
    </w:p>
    <w:p>
      <w:pPr>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856"/>
        <w:rPr>
          <w:color w:val="auto"/>
          <w:highlight w:val="none"/>
          <w:lang w:val="zh-CN"/>
        </w:rPr>
      </w:pPr>
      <w:r>
        <w:rPr>
          <w:rFonts w:hint="eastAsia"/>
          <w:color w:val="auto"/>
          <w:highlight w:val="none"/>
          <w:lang w:val="zh-CN"/>
        </w:rPr>
        <w:t xml:space="preserve">附件一、投标申请及声明格式</w:t>
      </w:r>
      <w:r/>
    </w:p>
    <w:p>
      <w:pPr>
        <w:jc w:val="center"/>
        <w:spacing w:line="360" w:lineRule="auto"/>
        <w:rPr>
          <w:color w:val="auto"/>
          <w:sz w:val="32"/>
          <w:szCs w:val="32"/>
          <w:highlight w:val="none"/>
          <w:lang w:val="zh-CN"/>
        </w:rPr>
      </w:pPr>
      <w:r/>
      <w:bookmarkStart w:id="53" w:name="_Toc32604"/>
      <w:r/>
      <w:bookmarkStart w:id="54" w:name="_Toc4379"/>
      <w:r>
        <w:rPr>
          <w:rFonts w:hint="eastAsia"/>
          <w:color w:val="auto"/>
          <w:sz w:val="32"/>
          <w:szCs w:val="32"/>
          <w:highlight w:val="none"/>
          <w:lang w:val="zh-CN"/>
        </w:rPr>
        <w:t xml:space="preserve">投标申请及声明</w:t>
      </w:r>
      <w:bookmarkEnd w:id="53"/>
      <w:r/>
      <w:bookmarkEnd w:id="54"/>
      <w:r/>
      <w:r/>
    </w:p>
    <w:p>
      <w:pPr>
        <w:pStyle w:val="916"/>
        <w:spacing w:line="360" w:lineRule="auto"/>
        <w:rPr>
          <w:color w:val="auto"/>
          <w:highlight w:val="none"/>
          <w:lang w:val="zh-CN"/>
        </w:rPr>
      </w:pPr>
      <w:r/>
      <w:bookmarkStart w:id="55" w:name="_Toc18647"/>
      <w:r/>
      <w:bookmarkStart w:id="56" w:name="_Toc27899"/>
      <w:r>
        <w:rPr>
          <w:rFonts w:hint="eastAsia"/>
          <w:color w:val="auto"/>
          <w:highlight w:val="none"/>
          <w:lang w:val="zh-CN"/>
        </w:rPr>
        <w:t xml:space="preserve">致：</w:t>
      </w:r>
      <w:bookmarkEnd w:id="55"/>
      <w:r/>
      <w:bookmarkEnd w:id="56"/>
      <w:r>
        <w:rPr>
          <w:rFonts w:hint="eastAsia"/>
          <w:color w:val="auto"/>
          <w:highlight w:val="none"/>
          <w:lang w:val="zh-CN"/>
        </w:rPr>
        <w:t xml:space="preserve">南京市公安局</w:t>
      </w:r>
      <w:r/>
    </w:p>
    <w:p>
      <w:pPr>
        <w:pStyle w:val="916"/>
        <w:spacing w:line="360" w:lineRule="auto"/>
        <w:rPr>
          <w:color w:val="auto"/>
          <w:highlight w:val="none"/>
          <w:lang w:val="zh-CN"/>
        </w:rPr>
      </w:pPr>
      <w:r>
        <w:rPr>
          <w:rFonts w:hint="eastAsia"/>
          <w:color w:val="auto"/>
          <w:highlight w:val="none"/>
          <w:lang w:val="zh-CN"/>
        </w:rPr>
        <w:t xml:space="preserve">   </w:t>
      </w:r>
      <w:bookmarkStart w:id="57" w:name="_Toc9373"/>
      <w:r/>
      <w:bookmarkStart w:id="58" w:name="_Toc4607"/>
      <w:r>
        <w:rPr>
          <w:rFonts w:hint="eastAsia"/>
          <w:color w:val="auto"/>
          <w:highlight w:val="none"/>
          <w:lang w:val="zh-CN"/>
        </w:rPr>
        <w:t xml:space="preserve">根据贵方</w:t>
      </w:r>
      <w:r>
        <w:rPr>
          <w:rFonts w:hint="eastAsia"/>
          <w:color w:val="auto"/>
          <w:highlight w:val="none"/>
          <w:u w:val="single"/>
        </w:rPr>
        <w:t xml:space="preserve">      </w:t>
      </w:r>
      <w:r>
        <w:rPr>
          <w:rFonts w:hint="eastAsia"/>
          <w:color w:val="auto"/>
          <w:highlight w:val="none"/>
          <w:u w:val="single"/>
          <w:lang w:val="zh-CN"/>
        </w:rPr>
        <w:t xml:space="preserve">（项目名称）</w:t>
      </w:r>
      <w:r>
        <w:rPr>
          <w:rFonts w:hint="eastAsia"/>
          <w:color w:val="auto"/>
          <w:highlight w:val="none"/>
          <w:u w:val="single"/>
        </w:rPr>
        <w:t xml:space="preserve">      </w:t>
      </w:r>
      <w:r>
        <w:rPr>
          <w:rFonts w:hint="eastAsia"/>
          <w:color w:val="auto"/>
          <w:highlight w:val="none"/>
          <w:u w:val="single"/>
          <w:lang w:val="zh-CN"/>
        </w:rPr>
        <w:t xml:space="preserve">（项目编号）</w:t>
      </w:r>
      <w:r>
        <w:rPr>
          <w:rFonts w:hint="eastAsia"/>
          <w:color w:val="auto"/>
          <w:highlight w:val="none"/>
          <w:u w:val="single"/>
        </w:rPr>
        <w:t xml:space="preserve">   </w:t>
      </w:r>
      <w:r>
        <w:rPr>
          <w:rFonts w:hint="eastAsia"/>
          <w:color w:val="auto"/>
          <w:highlight w:val="none"/>
          <w:lang w:val="zh-CN"/>
        </w:rPr>
        <w:t xml:space="preserve">招标公告，正式授权下述签字人</w:t>
      </w:r>
      <w:r>
        <w:rPr>
          <w:rFonts w:hint="eastAsia"/>
          <w:color w:val="auto"/>
          <w:highlight w:val="none"/>
          <w:u w:val="single"/>
        </w:rPr>
        <w:t xml:space="preserve">        </w:t>
      </w:r>
      <w:r>
        <w:rPr>
          <w:rFonts w:hint="eastAsia"/>
          <w:color w:val="auto"/>
          <w:highlight w:val="none"/>
          <w:lang w:val="zh-CN"/>
        </w:rPr>
        <w:t xml:space="preserve">(姓名和职务)代表供应商</w:t>
      </w:r>
      <w:r>
        <w:rPr>
          <w:rFonts w:hint="eastAsia"/>
          <w:color w:val="auto"/>
          <w:highlight w:val="none"/>
          <w:u w:val="single"/>
        </w:rPr>
        <w:t xml:space="preserve">                 </w:t>
      </w:r>
      <w:r>
        <w:rPr>
          <w:rFonts w:hint="eastAsia"/>
          <w:color w:val="auto"/>
          <w:highlight w:val="none"/>
          <w:lang w:val="zh-CN"/>
        </w:rPr>
        <w:t xml:space="preserve">（供应商名称），提交电子投标文件。</w:t>
      </w:r>
      <w:bookmarkEnd w:id="57"/>
      <w:r/>
      <w:bookmarkEnd w:id="58"/>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据此函，签字人兹宣布声明和承诺如下：</w:t>
      </w:r>
      <w:r/>
    </w:p>
    <w:p>
      <w:pPr>
        <w:ind w:firstLine="420"/>
        <w:spacing w:line="360" w:lineRule="auto"/>
        <w:rPr>
          <w:rFonts w:hint="eastAsia" w:ascii="宋体" w:hAnsi="宋体" w:cs="宋体"/>
          <w:color w:val="auto"/>
          <w:highlight w:val="none"/>
        </w:rPr>
      </w:pPr>
      <w:r>
        <w:rPr>
          <w:rFonts w:hint="eastAsia" w:ascii="宋体" w:hAnsi="宋体" w:cs="宋体"/>
          <w:color w:val="auto"/>
          <w:szCs w:val="21"/>
          <w:highlight w:val="none"/>
          <w:lang w:val="zh-CN"/>
        </w:rPr>
        <w:t xml:space="preserve">1、</w:t>
      </w:r>
      <w:r>
        <w:rPr>
          <w:rFonts w:hint="eastAsia" w:ascii="宋体" w:hAnsi="宋体" w:cs="宋体"/>
          <w:b/>
          <w:color w:val="auto"/>
          <w:szCs w:val="21"/>
          <w:highlight w:val="none"/>
          <w:lang w:val="zh-CN"/>
        </w:rPr>
        <w:t xml:space="preserve">我们的资格条件完全符合政府采购法和本次采购要求</w:t>
      </w:r>
      <w:r>
        <w:rPr>
          <w:rFonts w:hint="eastAsia" w:ascii="宋体" w:hAnsi="宋体" w:cs="宋体"/>
          <w:color w:val="auto"/>
          <w:szCs w:val="21"/>
          <w:highlight w:val="none"/>
          <w:lang w:val="zh-CN"/>
        </w:rPr>
        <w:t xml:space="preserve">，</w:t>
      </w:r>
      <w:r>
        <w:rPr>
          <w:rFonts w:hint="eastAsia" w:ascii="宋体" w:hAnsi="宋体" w:cs="宋体"/>
          <w:color w:val="auto"/>
          <w:highlight w:val="none"/>
        </w:rPr>
        <w:t xml:space="preserve">我们</w:t>
      </w:r>
      <w:r>
        <w:rPr>
          <w:rFonts w:hint="eastAsia" w:ascii="宋体" w:hAnsi="宋体" w:cs="宋体"/>
          <w:color w:val="auto"/>
          <w:szCs w:val="21"/>
          <w:highlight w:val="none"/>
          <w:lang w:val="zh-CN"/>
        </w:rPr>
        <w:t xml:space="preserve">同意并向贵方提供了与投标有关的所有证据和资料。</w:t>
      </w:r>
      <w:r/>
    </w:p>
    <w:p>
      <w:pPr>
        <w:ind w:firstLine="420"/>
        <w:spacing w:line="360" w:lineRule="auto"/>
        <w:rPr>
          <w:rFonts w:ascii="宋体"/>
          <w:color w:val="auto"/>
          <w:szCs w:val="21"/>
          <w:highlight w:val="none"/>
        </w:rPr>
      </w:pPr>
      <w:r>
        <w:rPr>
          <w:rFonts w:hint="eastAsia" w:ascii="宋体" w:hAnsi="宋体" w:cs="宋体"/>
          <w:color w:val="auto"/>
          <w:highlight w:val="none"/>
        </w:rPr>
        <w:t xml:space="preserve">2、</w:t>
      </w:r>
      <w:r>
        <w:rPr>
          <w:rFonts w:hint="eastAsia" w:ascii="宋体" w:hAnsi="宋体" w:cs="宋体"/>
          <w:color w:val="auto"/>
          <w:szCs w:val="21"/>
          <w:highlight w:val="none"/>
          <w:lang w:val="zh-CN"/>
        </w:rPr>
        <w:t xml:space="preserve">投标</w:t>
      </w:r>
      <w:r>
        <w:rPr>
          <w:rFonts w:hint="eastAsia" w:ascii="宋体" w:hAnsi="宋体" w:cs="宋体"/>
          <w:color w:val="auto"/>
          <w:szCs w:val="21"/>
          <w:highlight w:val="none"/>
        </w:rPr>
        <w:t xml:space="preserve">报价</w:t>
      </w:r>
      <w:r>
        <w:rPr>
          <w:rFonts w:hint="eastAsia" w:ascii="宋体" w:hAnsi="宋体" w:cs="宋体"/>
          <w:color w:val="auto"/>
          <w:szCs w:val="21"/>
          <w:highlight w:val="none"/>
          <w:lang w:val="zh-CN"/>
        </w:rPr>
        <w:t xml:space="preserve">：我方愿</w:t>
      </w:r>
      <w:r>
        <w:rPr>
          <w:rFonts w:hint="eastAsia" w:ascii="宋体"/>
          <w:color w:val="auto"/>
          <w:szCs w:val="21"/>
          <w:highlight w:val="none"/>
        </w:rPr>
        <w:t xml:space="preserve">以</w:t>
      </w:r>
      <w:r>
        <w:rPr>
          <w:rFonts w:hint="eastAsia" w:ascii="宋体"/>
          <w:color w:val="auto"/>
          <w:szCs w:val="21"/>
          <w:highlight w:val="none"/>
          <w:u w:val="single"/>
        </w:rPr>
        <w:t xml:space="preserve">       元（大写：）</w:t>
      </w:r>
      <w:r>
        <w:rPr>
          <w:rFonts w:hint="eastAsia" w:ascii="宋体"/>
          <w:color w:val="auto"/>
          <w:szCs w:val="21"/>
          <w:highlight w:val="none"/>
        </w:rPr>
        <w:t xml:space="preserve">作为投标报价，承接上述项目的供货及服务，并承担任何质量缺陷保修责任。</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3、我们已详细审核全部采购文件及其有效补充文件，我们放弃对采购文件任何误解的权利，提交投标文件后，</w:t>
      </w:r>
      <w:r>
        <w:rPr>
          <w:rFonts w:hint="eastAsia" w:ascii="宋体" w:hAnsi="宋体" w:cs="宋体"/>
          <w:b/>
          <w:color w:val="auto"/>
          <w:szCs w:val="21"/>
          <w:highlight w:val="none"/>
          <w:lang w:val="zh-CN"/>
        </w:rPr>
        <w:t xml:space="preserve">不对采购文件本身提出质疑</w:t>
      </w:r>
      <w:r>
        <w:rPr>
          <w:rFonts w:hint="eastAsia" w:ascii="宋体" w:hAnsi="宋体" w:cs="宋体"/>
          <w:color w:val="auto"/>
          <w:szCs w:val="21"/>
          <w:highlight w:val="none"/>
          <w:lang w:val="zh-CN"/>
        </w:rPr>
        <w:t xml:space="preserve">。否则，属于不诚信和故意扰乱政府采购活动行为，我们将无条件接受处罚。</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4、我们同意从规定的开标日期起遵循本投标文件，并在规定的投标有效期期满之前均具有约束力。</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5、一旦我方中标，我方将根据采购文件的规定严格履行合同，并保证于承诺的时间完成服务的启动/集成、调试等服务，交付招标人验收、使用。</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我方决不提供虚假材料谋取中标、决不采取不正当手段诋毁、排挤其他供应商、决不与招标人、其它供应商或者招标代理机构恶意串通、决不向招标人、招标代理机构工作人员和评委进行商业贿赂、决不在采购过程中与招标人进行协商谈判、决不拒绝有关部门监督检查或提供虚假情况，如有违反，无条件接受贵方及相关管理部门的处罚。</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8、与本投标有关的正式联系方式为：</w:t>
      </w:r>
      <w:r/>
    </w:p>
    <w:p>
      <w:pPr>
        <w:ind w:firstLine="420"/>
        <w:spacing w:line="360" w:lineRule="auto"/>
        <w:rPr>
          <w:rFonts w:hint="eastAsia" w:ascii="宋体" w:hAnsi="宋体" w:cs="宋体"/>
          <w:color w:val="auto"/>
          <w:szCs w:val="21"/>
          <w:highlight w:val="none"/>
          <w:u w:val="single"/>
          <w:lang w:val="zh-CN"/>
        </w:rPr>
      </w:pPr>
      <w:r>
        <w:rPr>
          <w:rFonts w:hint="eastAsia" w:ascii="宋体" w:hAnsi="宋体" w:cs="宋体"/>
          <w:color w:val="auto"/>
          <w:szCs w:val="21"/>
          <w:highlight w:val="none"/>
          <w:lang w:val="zh-CN"/>
        </w:rPr>
        <w:t xml:space="preserve">地址：</w:t>
      </w:r>
      <w:r/>
    </w:p>
    <w:p>
      <w:pPr>
        <w:ind w:firstLine="420"/>
        <w:spacing w:line="360" w:lineRule="auto"/>
        <w:rPr>
          <w:rFonts w:hint="eastAsia" w:ascii="宋体" w:hAnsi="宋体" w:cs="宋体"/>
          <w:color w:val="auto"/>
          <w:szCs w:val="21"/>
          <w:highlight w:val="none"/>
          <w:u w:val="single"/>
          <w:lang w:val="zh-CN"/>
        </w:rPr>
      </w:pPr>
      <w:r>
        <w:rPr>
          <w:rFonts w:hint="eastAsia" w:ascii="宋体" w:hAnsi="宋体" w:cs="宋体"/>
          <w:color w:val="auto"/>
          <w:szCs w:val="21"/>
          <w:highlight w:val="none"/>
          <w:lang w:val="zh-CN"/>
        </w:rPr>
        <w:t xml:space="preserve">电话：</w:t>
      </w:r>
      <w:r/>
    </w:p>
    <w:p>
      <w:pPr>
        <w:ind w:firstLine="420"/>
        <w:spacing w:line="360" w:lineRule="auto"/>
        <w:rPr>
          <w:rFonts w:hint="eastAsia" w:ascii="宋体" w:hAnsi="宋体" w:cs="宋体"/>
          <w:color w:val="auto"/>
          <w:szCs w:val="21"/>
          <w:highlight w:val="none"/>
          <w:u w:val="single"/>
          <w:lang w:val="zh-CN"/>
        </w:rPr>
      </w:pPr>
      <w:r>
        <w:rPr>
          <w:rFonts w:hint="eastAsia" w:ascii="宋体" w:hAnsi="宋体" w:cs="宋体"/>
          <w:color w:val="auto"/>
          <w:szCs w:val="21"/>
          <w:highlight w:val="none"/>
          <w:lang w:val="zh-CN"/>
        </w:rPr>
        <w:t xml:space="preserve">传真：</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开户银行：</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银行账号：</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p>
    <w:p>
      <w:pPr>
        <w:pStyle w:val="898"/>
        <w:rPr>
          <w:rFonts w:hint="eastAsia" w:cs="宋体"/>
          <w:color w:val="auto"/>
          <w:szCs w:val="21"/>
          <w:highlight w:val="none"/>
          <w:lang w:val="zh-CN"/>
        </w:rPr>
      </w:pPr>
      <w:r>
        <w:rPr>
          <w:rFonts w:hint="eastAsia" w:cs="宋体"/>
          <w:color w:val="auto"/>
          <w:szCs w:val="21"/>
          <w:highlight w:val="none"/>
          <w:lang w:val="zh-CN"/>
        </w:rPr>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pStyle w:val="898"/>
        <w:rPr>
          <w:rFonts w:hint="eastAsia" w:cs="宋体"/>
          <w:color w:val="auto"/>
          <w:szCs w:val="21"/>
          <w:highlight w:val="none"/>
          <w:lang w:val="zh-CN"/>
        </w:rPr>
      </w:pPr>
      <w:r>
        <w:rPr>
          <w:rFonts w:hint="eastAsia" w:cs="宋体"/>
          <w:color w:val="auto"/>
          <w:szCs w:val="21"/>
          <w:highlight w:val="none"/>
          <w:lang w:val="zh-CN"/>
        </w:rPr>
      </w:r>
      <w:r/>
    </w:p>
    <w:p>
      <w:pPr>
        <w:rPr>
          <w:color w:val="auto"/>
          <w:highlight w:val="none"/>
          <w:lang w:val="zh-CN"/>
        </w:rPr>
      </w:pPr>
      <w:r>
        <w:rPr>
          <w:color w:val="auto"/>
          <w:highlight w:val="none"/>
          <w:lang w:val="zh-CN"/>
        </w:rPr>
      </w:r>
      <w:r/>
    </w:p>
    <w:p>
      <w:pPr>
        <w:pStyle w:val="856"/>
        <w:rPr>
          <w:color w:val="auto"/>
          <w:highlight w:val="none"/>
          <w:lang w:val="zh-CN"/>
        </w:rPr>
      </w:pPr>
      <w:r>
        <w:rPr>
          <w:rFonts w:hint="eastAsia"/>
          <w:color w:val="auto"/>
          <w:highlight w:val="none"/>
          <w:lang w:val="zh-CN"/>
        </w:rPr>
        <w:t xml:space="preserve">附件二、法定代表人授权书格式</w:t>
      </w:r>
      <w:r/>
    </w:p>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法定代表人授权委托书</w:t>
      </w:r>
      <w:r/>
    </w:p>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南京市公安局：</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本授权书声明：注册于</w:t>
      </w:r>
      <w:r>
        <w:rPr>
          <w:rFonts w:hint="eastAsia" w:ascii="宋体" w:hAnsi="宋体" w:cs="宋体"/>
          <w:color w:val="auto"/>
          <w:szCs w:val="21"/>
          <w:highlight w:val="none"/>
          <w:u w:val="single"/>
          <w:lang w:val="zh-CN"/>
        </w:rPr>
        <w:t xml:space="preserve">                         （供应商住址）</w:t>
      </w:r>
      <w:r>
        <w:rPr>
          <w:rFonts w:hint="eastAsia" w:ascii="宋体" w:hAnsi="宋体" w:cs="宋体"/>
          <w:color w:val="auto"/>
          <w:szCs w:val="21"/>
          <w:highlight w:val="none"/>
          <w:lang w:val="zh-CN"/>
        </w:rPr>
        <w:t xml:space="preserve">的 </w:t>
      </w:r>
      <w:r>
        <w:rPr>
          <w:rFonts w:hint="eastAsia" w:ascii="宋体" w:hAnsi="宋体" w:cs="宋体"/>
          <w:color w:val="auto"/>
          <w:szCs w:val="21"/>
          <w:highlight w:val="none"/>
          <w:u w:val="single"/>
          <w:lang w:val="zh-CN"/>
        </w:rPr>
        <w:t xml:space="preserve">  （供应商名称）</w:t>
      </w:r>
      <w:r>
        <w:rPr>
          <w:rFonts w:hint="eastAsia" w:ascii="宋体" w:hAnsi="宋体" w:cs="宋体"/>
          <w:color w:val="auto"/>
          <w:szCs w:val="21"/>
          <w:highlight w:val="none"/>
          <w:lang w:val="zh-CN"/>
        </w:rPr>
        <w:t xml:space="preserve">法定代表人 </w:t>
      </w:r>
      <w:r>
        <w:rPr>
          <w:rFonts w:hint="eastAsia" w:ascii="宋体" w:hAnsi="宋体" w:cs="宋体"/>
          <w:color w:val="auto"/>
          <w:szCs w:val="21"/>
          <w:highlight w:val="none"/>
          <w:u w:val="single"/>
          <w:lang w:val="zh-CN"/>
        </w:rPr>
        <w:t xml:space="preserve">                     （法定代表人姓名、职务）</w:t>
      </w:r>
      <w:r>
        <w:rPr>
          <w:rFonts w:hint="eastAsia" w:ascii="宋体" w:hAnsi="宋体" w:cs="宋体"/>
          <w:color w:val="auto"/>
          <w:szCs w:val="21"/>
          <w:highlight w:val="none"/>
          <w:lang w:val="zh-CN"/>
        </w:rPr>
        <w:t xml:space="preserve">代表本公司授权在下面签字的 </w:t>
      </w:r>
      <w:r>
        <w:rPr>
          <w:rFonts w:hint="eastAsia" w:ascii="宋体" w:hAnsi="宋体" w:cs="宋体"/>
          <w:color w:val="auto"/>
          <w:szCs w:val="21"/>
          <w:highlight w:val="none"/>
          <w:u w:val="single"/>
          <w:lang w:val="zh-CN"/>
        </w:rPr>
        <w:t xml:space="preserve">           （供应商代表姓名、职务）</w:t>
      </w:r>
      <w:r>
        <w:rPr>
          <w:rFonts w:hint="eastAsia" w:ascii="宋体" w:hAnsi="宋体" w:cs="宋体"/>
          <w:color w:val="auto"/>
          <w:szCs w:val="21"/>
          <w:highlight w:val="none"/>
          <w:lang w:val="zh-CN"/>
        </w:rPr>
        <w:t xml:space="preserve">为本公司的合法代理人，就贵方组织的</w:t>
      </w:r>
      <w:r>
        <w:rPr>
          <w:rFonts w:hint="eastAsia" w:ascii="宋体" w:hAnsi="宋体" w:cs="宋体"/>
          <w:color w:val="auto"/>
          <w:szCs w:val="21"/>
          <w:highlight w:val="none"/>
          <w:u w:val="single"/>
          <w:lang w:val="zh-CN"/>
        </w:rPr>
        <w:t xml:space="preserve">                            （项目名称）</w:t>
      </w:r>
      <w:r>
        <w:rPr>
          <w:rFonts w:hint="eastAsia" w:ascii="宋体" w:hAnsi="宋体" w:cs="宋体"/>
          <w:color w:val="auto"/>
          <w:szCs w:val="21"/>
          <w:highlight w:val="none"/>
          <w:lang w:val="zh-CN"/>
        </w:rPr>
        <w:t xml:space="preserve">投标，以本公司名义处理一切与之有关的事务。</w:t>
      </w:r>
      <w:r/>
    </w:p>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本授权书于    年  月  日签字生效，特此声明。</w:t>
      </w:r>
      <w:r/>
    </w:p>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法定代表人签字或盖章：</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日        期：        年    月    日</w:t>
      </w:r>
      <w:r/>
    </w:p>
    <w:p>
      <w:pPr>
        <w:jc w:val="left"/>
        <w:spacing w:line="360" w:lineRule="auto"/>
        <w:shd w:val="clear" w:color="auto" w:fill="ffffff"/>
        <w:widowControl/>
        <w:rPr>
          <w:rFonts w:hint="eastAsia" w:ascii="宋体" w:hAnsi="宋体" w:cs="宋体"/>
          <w:b/>
          <w:color w:val="auto"/>
          <w:szCs w:val="21"/>
          <w:highlight w:val="none"/>
          <w:lang w:val="zh-CN"/>
        </w:rPr>
      </w:pPr>
      <w:r>
        <w:rPr>
          <w:rFonts w:hint="eastAsia" w:ascii="宋体" w:hAnsi="宋体" w:cs="Arial"/>
          <w:color w:val="auto"/>
          <w:sz w:val="24"/>
          <w:highlight w:val="none"/>
        </w:rPr>
        <w:t xml:space="preserve">法定代表的身份证的复印件</w:t>
      </w:r>
      <w:r>
        <w:rPr>
          <w:rFonts w:ascii="宋体" w:hAnsi="宋体" w:cs="Arial"/>
          <w:color w:val="auto"/>
          <w:sz w:val="24"/>
          <w:highlight w:val="none"/>
        </w:rPr>
        <w:t xml:space="preserve">:</w:t>
      </w:r>
      <w:r/>
    </w:p>
    <w:p>
      <w:pPr>
        <w:jc w:val="left"/>
        <w:spacing w:line="360" w:lineRule="auto"/>
        <w:shd w:val="clear" w:color="auto" w:fill="ffffff"/>
        <w:widowControl/>
        <w:rPr>
          <w:rFonts w:hint="eastAsia" w:ascii="宋体" w:hAnsi="宋体" w:cs="Arial"/>
          <w:color w:val="auto"/>
          <w:sz w:val="24"/>
          <w:highlight w:val="none"/>
        </w:rPr>
      </w:pPr>
      <w:r>
        <w:rPr>
          <w:rFonts w:hint="eastAsia" w:ascii="宋体" w:hAnsi="宋体" w:cs="Arial"/>
          <w:color w:val="auto"/>
          <w:sz w:val="24"/>
          <w:highlight w:val="none"/>
        </w:rPr>
        <w:t xml:space="preserve">委托代理人的身份证的复印件</w:t>
      </w:r>
      <w:r>
        <w:rPr>
          <w:rFonts w:ascii="宋体" w:hAnsi="宋体" w:cs="Arial"/>
          <w:color w:val="auto"/>
          <w:sz w:val="24"/>
          <w:highlight w:val="none"/>
        </w:rPr>
        <w:t xml:space="preserve">:</w:t>
      </w:r>
      <w:r/>
    </w:p>
    <w:p>
      <w:pPr>
        <w:pStyle w:val="856"/>
        <w:rPr>
          <w:rFonts w:hint="eastAsia"/>
          <w:color w:val="auto"/>
          <w:highlight w:val="none"/>
          <w:lang w:val="zh-CN"/>
        </w:rPr>
      </w:pPr>
      <w:r>
        <w:rPr>
          <w:rFonts w:hint="eastAsia" w:ascii="宋体" w:hAnsi="宋体" w:cs="宋体"/>
          <w:color w:val="auto"/>
          <w:szCs w:val="21"/>
          <w:highlight w:val="none"/>
          <w:lang w:val="zh-CN"/>
        </w:rPr>
        <w:br w:type="page" w:clear="all"/>
      </w:r>
      <w:r>
        <w:rPr>
          <w:rFonts w:hint="eastAsia"/>
          <w:color w:val="auto"/>
          <w:highlight w:val="none"/>
          <w:lang w:val="zh-CN"/>
        </w:rPr>
        <w:t xml:space="preserve">附件三、开标一览表</w:t>
      </w:r>
      <w:r>
        <w:rPr>
          <w:rFonts w:hint="eastAsia"/>
          <w:color w:val="auto"/>
          <w:highlight w:val="none"/>
        </w:rPr>
        <w:t xml:space="preserve">及分项报价表</w:t>
      </w:r>
      <w:r>
        <w:rPr>
          <w:rFonts w:hint="eastAsia"/>
          <w:color w:val="auto"/>
          <w:highlight w:val="none"/>
          <w:lang w:val="zh-CN"/>
        </w:rPr>
        <w:t xml:space="preserve">格式</w:t>
      </w:r>
      <w:r/>
    </w:p>
    <w:p>
      <w:pPr>
        <w:jc w:val="center"/>
        <w:spacing w:line="360" w:lineRule="auto"/>
        <w:widowControl/>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t xml:space="preserve">开标一览表</w:t>
      </w:r>
      <w:r>
        <w:rPr>
          <w:rFonts w:hint="eastAsia" w:ascii="宋体" w:hAnsi="宋体" w:cs="宋体"/>
          <w:color w:val="auto"/>
          <w:sz w:val="36"/>
          <w:szCs w:val="36"/>
          <w:highlight w:val="none"/>
        </w:rPr>
        <w:t xml:space="preserve"> </w:t>
      </w:r>
      <w:r/>
    </w:p>
    <w:p>
      <w:pPr>
        <w:rPr>
          <w:rFonts w:hint="eastAsia"/>
          <w:color w:val="auto"/>
          <w:highlight w:val="none"/>
          <w:lang w:val="zh-CN"/>
        </w:rPr>
      </w:pPr>
      <w:r>
        <w:rPr>
          <w:rFonts w:hint="eastAsia"/>
          <w:color w:val="auto"/>
          <w:highlight w:val="none"/>
          <w:lang w:val="zh-CN"/>
        </w:rPr>
      </w:r>
      <w:r/>
    </w:p>
    <w:tbl>
      <w:tblPr>
        <w:tblStyle w:val="865"/>
        <w:tblpPr w:horzAnchor="page" w:tblpX="1262" w:vertAnchor="text" w:tblpY="700" w:leftFromText="180" w:topFromText="0" w:rightFromText="180" w:bottomFromText="0"/>
        <w:tblW w:w="9385"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Borders>
              <w:top w:val="none" w:color="000000" w:sz="4" w:space="0"/>
              <w:left w:val="none" w:color="000000" w:sz="4" w:space="0"/>
              <w:right w:val="none" w:color="000000" w:sz="4" w:space="0"/>
            </w:tcBorders>
            <w:tcW w:w="6038" w:type="dxa"/>
            <w:vAlign w:val="center"/>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项目名称： </w:t>
            </w:r>
            <w:r/>
          </w:p>
        </w:tc>
        <w:tc>
          <w:tcPr>
            <w:gridSpan w:val="2"/>
            <w:tcBorders>
              <w:top w:val="none" w:color="000000" w:sz="4" w:space="0"/>
              <w:left w:val="none" w:color="000000" w:sz="4" w:space="0"/>
              <w:right w:val="none" w:color="000000" w:sz="4" w:space="0"/>
            </w:tcBorders>
            <w:tcW w:w="3347" w:type="dxa"/>
            <w:vAlign w:val="center"/>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项目编号：</w:t>
            </w:r>
            <w:r/>
          </w:p>
        </w:tc>
      </w:tr>
      <w:tr>
        <w:trPr>
          <w:trHeight w:val="284"/>
        </w:trPr>
        <w:tc>
          <w:tcPr>
            <w:tcW w:w="734"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gridSpan w:val="2"/>
            <w:tcW w:w="3522"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名               称</w:t>
            </w:r>
            <w:r/>
          </w:p>
        </w:tc>
        <w:tc>
          <w:tcPr>
            <w:tcBorders>
              <w:right w:val="single" w:color="000000" w:sz="4" w:space="0"/>
            </w:tcBorders>
            <w:tcW w:w="872"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单位</w:t>
            </w:r>
            <w:r/>
          </w:p>
        </w:tc>
        <w:tc>
          <w:tcPr>
            <w:gridSpan w:val="2"/>
            <w:tcBorders>
              <w:left w:val="single" w:color="000000" w:sz="4" w:space="0"/>
            </w:tcBorders>
            <w:tcW w:w="1418"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w:t>
            </w:r>
            <w:r>
              <w:rPr>
                <w:rFonts w:hint="eastAsia" w:ascii="宋体" w:hAnsi="宋体" w:cs="宋体"/>
                <w:color w:val="auto"/>
                <w:szCs w:val="21"/>
                <w:highlight w:val="none"/>
              </w:rPr>
              <w:t xml:space="preserve">报价</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元</w:t>
            </w:r>
            <w:r>
              <w:rPr>
                <w:rFonts w:hint="eastAsia" w:ascii="宋体" w:hAnsi="宋体" w:cs="宋体"/>
                <w:color w:val="auto"/>
                <w:szCs w:val="21"/>
                <w:highlight w:val="none"/>
                <w:lang w:val="zh-CN"/>
              </w:rPr>
              <w:t xml:space="preserve">）</w:t>
            </w:r>
            <w:r/>
          </w:p>
        </w:tc>
        <w:tc>
          <w:tcPr>
            <w:tcW w:w="28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trHeight w:val="284"/>
        </w:trPr>
        <w:tc>
          <w:tcPr>
            <w:tcW w:w="734" w:type="dxa"/>
            <w:vAlign w:val="center"/>
            <w:textDirection w:val="lrTb"/>
            <w:noWrap w:val="false"/>
          </w:tcPr>
          <w:p>
            <w:pPr>
              <w:jc w:val="center"/>
              <w:spacing w:line="360" w:lineRule="auto"/>
              <w:rPr>
                <w:rFonts w:hint="eastAsia" w:ascii="宋体" w:hAnsi="宋体" w:cs="宋体"/>
                <w:color w:val="auto"/>
                <w:spacing w:val="-2"/>
                <w:szCs w:val="21"/>
                <w:highlight w:val="none"/>
              </w:rPr>
            </w:pPr>
            <w:r>
              <w:rPr>
                <w:rFonts w:hint="eastAsia" w:ascii="宋体" w:hAnsi="宋体" w:cs="宋体"/>
                <w:color w:val="auto"/>
                <w:spacing w:val="-2"/>
                <w:szCs w:val="21"/>
                <w:highlight w:val="none"/>
              </w:rPr>
            </w:r>
            <w:r/>
          </w:p>
        </w:tc>
        <w:tc>
          <w:tcPr>
            <w:gridSpan w:val="2"/>
            <w:tcW w:w="3522" w:type="dxa"/>
            <w:vAlign w:val="center"/>
            <w:textDirection w:val="lrTb"/>
            <w:noWrap w:val="false"/>
          </w:tcPr>
          <w:p>
            <w:pPr>
              <w:spacing w:line="360" w:lineRule="auto"/>
              <w:rPr>
                <w:rFonts w:hint="eastAsia" w:ascii="宋体" w:hAnsi="宋体" w:cs="宋体"/>
                <w:color w:val="auto"/>
                <w:spacing w:val="-2"/>
                <w:szCs w:val="21"/>
                <w:highlight w:val="none"/>
              </w:rPr>
            </w:pPr>
            <w:r>
              <w:rPr>
                <w:rFonts w:hint="eastAsia" w:ascii="宋体" w:hAnsi="宋体" w:cs="宋体"/>
                <w:color w:val="auto"/>
                <w:spacing w:val="-2"/>
                <w:szCs w:val="21"/>
                <w:highlight w:val="none"/>
              </w:rPr>
            </w:r>
            <w:r/>
          </w:p>
        </w:tc>
        <w:tc>
          <w:tcPr>
            <w:tcBorders>
              <w:right w:val="single" w:color="000000" w:sz="4" w:space="0"/>
            </w:tcBorders>
            <w:tcW w:w="872" w:type="dxa"/>
            <w:vAlign w:val="center"/>
            <w:textDirection w:val="lrTb"/>
            <w:noWrap w:val="false"/>
          </w:tcPr>
          <w:p>
            <w:pPr>
              <w:jc w:val="center"/>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tc>
        <w:tc>
          <w:tcPr>
            <w:gridSpan w:val="2"/>
            <w:tcBorders>
              <w:left w:val="single" w:color="000000" w:sz="4" w:space="0"/>
            </w:tcBorders>
            <w:tcW w:w="1418"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839"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trHeight w:val="284"/>
        </w:trPr>
        <w:tc>
          <w:tcPr>
            <w:tcW w:w="734" w:type="dxa"/>
            <w:vAlign w:val="center"/>
            <w:textDirection w:val="lrTb"/>
            <w:noWrap w:val="false"/>
          </w:tcPr>
          <w:p>
            <w:pPr>
              <w:jc w:val="center"/>
              <w:spacing w:line="360" w:lineRule="auto"/>
              <w:rPr>
                <w:rFonts w:hint="eastAsia" w:ascii="宋体" w:hAnsi="宋体" w:cs="宋体"/>
                <w:color w:val="auto"/>
                <w:spacing w:val="-2"/>
                <w:szCs w:val="21"/>
                <w:highlight w:val="none"/>
              </w:rPr>
            </w:pPr>
            <w:r>
              <w:rPr>
                <w:rFonts w:hint="eastAsia" w:ascii="宋体" w:hAnsi="宋体" w:cs="宋体"/>
                <w:color w:val="auto"/>
                <w:spacing w:val="-2"/>
                <w:szCs w:val="21"/>
                <w:highlight w:val="none"/>
              </w:rPr>
            </w:r>
            <w:r/>
          </w:p>
        </w:tc>
        <w:tc>
          <w:tcPr>
            <w:gridSpan w:val="2"/>
            <w:tcW w:w="3522" w:type="dxa"/>
            <w:vAlign w:val="center"/>
            <w:textDirection w:val="lrTb"/>
            <w:noWrap w:val="false"/>
          </w:tcPr>
          <w:p>
            <w:pPr>
              <w:spacing w:line="360" w:lineRule="auto"/>
              <w:rPr>
                <w:rFonts w:hint="eastAsia" w:ascii="宋体" w:hAnsi="宋体" w:cs="宋体"/>
                <w:color w:val="auto"/>
                <w:spacing w:val="-2"/>
                <w:szCs w:val="21"/>
                <w:highlight w:val="none"/>
              </w:rPr>
            </w:pPr>
            <w:r>
              <w:rPr>
                <w:rFonts w:hint="eastAsia" w:ascii="宋体" w:hAnsi="宋体" w:cs="宋体"/>
                <w:color w:val="auto"/>
                <w:spacing w:val="-2"/>
                <w:szCs w:val="21"/>
                <w:highlight w:val="none"/>
              </w:rPr>
            </w:r>
            <w:r/>
          </w:p>
        </w:tc>
        <w:tc>
          <w:tcPr>
            <w:tcBorders>
              <w:right w:val="single" w:color="000000" w:sz="4" w:space="0"/>
            </w:tcBorders>
            <w:tcW w:w="872"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left w:val="single" w:color="000000" w:sz="4" w:space="0"/>
            </w:tcBorders>
            <w:tcW w:w="1418"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839"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trHeight w:val="284"/>
        </w:trPr>
        <w:tc>
          <w:tcPr>
            <w:tcW w:w="734" w:type="dxa"/>
            <w:vAlign w:val="center"/>
            <w:textDirection w:val="lrTb"/>
            <w:noWrap w:val="false"/>
          </w:tcPr>
          <w:p>
            <w:pPr>
              <w:jc w:val="center"/>
              <w:spacing w:line="360" w:lineRule="auto"/>
              <w:rPr>
                <w:rFonts w:hint="eastAsia" w:ascii="宋体" w:hAnsi="宋体" w:cs="宋体"/>
                <w:color w:val="auto"/>
                <w:spacing w:val="-2"/>
                <w:szCs w:val="21"/>
                <w:highlight w:val="none"/>
              </w:rPr>
            </w:pPr>
            <w:r>
              <w:rPr>
                <w:rFonts w:hint="eastAsia" w:ascii="宋体" w:hAnsi="宋体" w:cs="宋体"/>
                <w:color w:val="auto"/>
                <w:spacing w:val="-2"/>
                <w:szCs w:val="21"/>
                <w:highlight w:val="none"/>
              </w:rPr>
            </w:r>
            <w:r/>
          </w:p>
        </w:tc>
        <w:tc>
          <w:tcPr>
            <w:gridSpan w:val="2"/>
            <w:tcW w:w="3522" w:type="dxa"/>
            <w:vAlign w:val="center"/>
            <w:textDirection w:val="lrTb"/>
            <w:noWrap w:val="false"/>
          </w:tcPr>
          <w:p>
            <w:pPr>
              <w:spacing w:line="360" w:lineRule="auto"/>
              <w:rPr>
                <w:rFonts w:hint="eastAsia" w:ascii="宋体" w:hAnsi="宋体" w:cs="宋体"/>
                <w:color w:val="auto"/>
                <w:spacing w:val="-2"/>
                <w:szCs w:val="21"/>
                <w:highlight w:val="none"/>
              </w:rPr>
            </w:pPr>
            <w:r>
              <w:rPr>
                <w:rFonts w:hint="eastAsia" w:ascii="宋体" w:hAnsi="宋体" w:cs="宋体"/>
                <w:color w:val="auto"/>
                <w:spacing w:val="-2"/>
                <w:szCs w:val="21"/>
                <w:highlight w:val="none"/>
              </w:rPr>
            </w:r>
            <w:r/>
          </w:p>
        </w:tc>
        <w:tc>
          <w:tcPr>
            <w:tcBorders>
              <w:right w:val="single" w:color="000000" w:sz="4" w:space="0"/>
            </w:tcBorders>
            <w:tcW w:w="872"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left w:val="single" w:color="000000" w:sz="4" w:space="0"/>
            </w:tcBorders>
            <w:tcW w:w="1418"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839"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投标货物中有无进口产品</w:t>
            </w:r>
            <w:r/>
          </w:p>
        </w:tc>
        <w:tc>
          <w:tcPr>
            <w:gridSpan w:val="5"/>
            <w:tcW w:w="6120" w:type="dxa"/>
            <w:vAlign w:val="center"/>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有       无</w:t>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供应商是否属于小微型企业</w:t>
            </w:r>
            <w:r/>
          </w:p>
        </w:tc>
        <w:tc>
          <w:tcPr>
            <w:gridSpan w:val="5"/>
            <w:tcW w:w="6120" w:type="dxa"/>
            <w:vAlign w:val="center"/>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       否</w:t>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人民币与美元汇率</w:t>
            </w:r>
            <w:r/>
          </w:p>
        </w:tc>
        <w:tc>
          <w:tcPr>
            <w:gridSpan w:val="5"/>
            <w:tcW w:w="6120" w:type="dxa"/>
            <w:vAlign w:val="center"/>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10：X</w:t>
            </w:r>
            <w:r/>
          </w:p>
        </w:tc>
      </w:tr>
    </w:tbl>
    <w:p>
      <w:pPr>
        <w:jc w:val="center"/>
        <w:spacing w:line="360" w:lineRule="auto"/>
        <w:widowControl/>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日        期：        年    月    日</w:t>
      </w:r>
      <w:r/>
    </w:p>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说明：</w:t>
      </w:r>
      <w:r/>
    </w:p>
    <w:p>
      <w:pPr>
        <w:ind w:firstLine="420"/>
        <w:jc w:val="left"/>
        <w:spacing w:line="360" w:lineRule="auto"/>
        <w:widowControl/>
        <w:rPr>
          <w:rFonts w:hint="eastAsia" w:ascii="宋体" w:hAnsi="宋体" w:cs="宋体"/>
          <w:b/>
          <w:color w:val="auto"/>
          <w:szCs w:val="21"/>
          <w:highlight w:val="none"/>
          <w:lang w:val="zh-CN"/>
        </w:rPr>
      </w:pPr>
      <w:r>
        <w:rPr>
          <w:rFonts w:hint="eastAsia" w:ascii="宋体" w:hAnsi="宋体" w:cs="宋体"/>
          <w:color w:val="auto"/>
          <w:szCs w:val="21"/>
          <w:highlight w:val="none"/>
          <w:lang w:val="zh-CN"/>
        </w:rPr>
        <w:t xml:space="preserve">1、在“投标货物中有无进口产品”栏后“有”或“无”上打“√”。</w:t>
      </w:r>
      <w:r/>
    </w:p>
    <w:p>
      <w:pPr>
        <w:ind w:firstLine="420"/>
        <w:jc w:val="left"/>
        <w:spacing w:line="360" w:lineRule="auto"/>
        <w:widowControl/>
        <w:rPr>
          <w:rFonts w:hint="eastAsia" w:ascii="宋体" w:hAnsi="宋体" w:cs="宋体"/>
          <w:color w:val="auto"/>
          <w:szCs w:val="21"/>
          <w:highlight w:val="none"/>
          <w:lang w:val="zh-CN"/>
        </w:rPr>
      </w:pPr>
      <w:r>
        <w:rPr>
          <w:rFonts w:ascii="宋体" w:hAnsi="宋体" w:cs="宋体"/>
          <w:color w:val="auto"/>
          <w:szCs w:val="21"/>
          <w:highlight w:val="none"/>
          <w:lang w:val="zh-CN"/>
        </w:rPr>
        <w:t xml:space="preserve">2</w:t>
      </w:r>
      <w:r>
        <w:rPr>
          <w:rFonts w:hint="eastAsia" w:ascii="宋体" w:hAnsi="宋体" w:cs="宋体"/>
          <w:color w:val="auto"/>
          <w:szCs w:val="21"/>
          <w:highlight w:val="none"/>
          <w:lang w:val="zh-CN"/>
        </w:rPr>
        <w:t xml:space="preserve">、在“供应商是否属于小和微型企业”栏后“是”或“否”上打“√”。</w:t>
      </w:r>
      <w:r/>
    </w:p>
    <w:p>
      <w:pPr>
        <w:pStyle w:val="866"/>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pStyle w:val="866"/>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pStyle w:val="866"/>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pStyle w:val="866"/>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pStyle w:val="866"/>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pStyle w:val="866"/>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pStyle w:val="866"/>
        <w:rPr>
          <w:rFonts w:hint="eastAsia"/>
          <w:color w:val="auto"/>
          <w:highlight w:val="none"/>
          <w:lang w:val="zh-CN"/>
        </w:rPr>
      </w:pPr>
      <w:r>
        <w:rPr>
          <w:rFonts w:hint="eastAsia"/>
          <w:color w:val="auto"/>
          <w:highlight w:val="none"/>
          <w:lang w:val="zh-CN"/>
        </w:rPr>
      </w:r>
      <w:r/>
    </w:p>
    <w:p>
      <w:pPr>
        <w:jc w:val="left"/>
        <w:spacing w:line="360" w:lineRule="auto"/>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分项报价表格式</w:t>
      </w:r>
      <w:r/>
    </w:p>
    <w:p>
      <w:pPr>
        <w:jc w:val="center"/>
        <w:spacing w:line="360" w:lineRule="auto"/>
        <w:widowControl/>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t xml:space="preserve">分项报价表（</w:t>
      </w:r>
      <w:r>
        <w:rPr>
          <w:rFonts w:hint="eastAsia" w:ascii="宋体" w:hAnsi="宋体" w:cs="宋体"/>
          <w:color w:val="auto"/>
          <w:sz w:val="36"/>
          <w:szCs w:val="36"/>
          <w:highlight w:val="none"/>
          <w:lang w:val="en-US" w:eastAsia="zh-CN"/>
        </w:rPr>
        <w:t xml:space="preserve">分包号：1..</w:t>
      </w:r>
      <w:r>
        <w:rPr>
          <w:rFonts w:hint="eastAsia" w:ascii="宋体" w:hAnsi="宋体" w:cs="宋体"/>
          <w:color w:val="auto"/>
          <w:sz w:val="36"/>
          <w:szCs w:val="36"/>
          <w:highlight w:val="none"/>
          <w:lang w:val="zh-CN"/>
        </w:rPr>
        <w:t xml:space="preserve">）</w:t>
      </w:r>
      <w:r/>
    </w:p>
    <w:tbl>
      <w:tblPr>
        <w:tblStyle w:val="865"/>
        <w:tblW w:w="10110" w:type="dxa"/>
        <w:tblInd w:w="-14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85"/>
        <w:gridCol w:w="2670"/>
        <w:gridCol w:w="1277"/>
        <w:gridCol w:w="1873"/>
        <w:gridCol w:w="1137"/>
        <w:gridCol w:w="1022"/>
        <w:gridCol w:w="856"/>
        <w:gridCol w:w="690"/>
      </w:tblGrid>
      <w:tr>
        <w:trPr>
          <w:trHeight w:val="589"/>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670"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设备名称</w:t>
            </w:r>
            <w:r/>
          </w:p>
        </w:tc>
        <w:tc>
          <w:tcPr>
            <w:tcBorders>
              <w:top w:val="single" w:color="auto" w:sz="4" w:space="0"/>
              <w:left w:val="none" w:color="000000" w:sz="4" w:space="0"/>
              <w:bottom w:val="single" w:color="auto" w:sz="4" w:space="0"/>
              <w:right w:val="single" w:color="auto" w:sz="4" w:space="0"/>
            </w:tcBorders>
            <w:tcW w:w="1277"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数量</w:t>
            </w:r>
            <w:r/>
          </w:p>
        </w:tc>
        <w:tc>
          <w:tcPr>
            <w:tcBorders>
              <w:top w:val="single" w:color="auto" w:sz="4" w:space="0"/>
              <w:left w:val="none" w:color="000000" w:sz="4" w:space="0"/>
              <w:bottom w:val="single" w:color="auto" w:sz="4" w:space="0"/>
              <w:right w:val="single" w:color="auto" w:sz="4" w:space="0"/>
            </w:tcBorders>
            <w:tcW w:w="1873"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单位</w:t>
            </w:r>
            <w:r/>
          </w:p>
          <w:p>
            <w:pPr>
              <w:jc w:val="center"/>
              <w:widowControl/>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 </w:t>
            </w:r>
            <w:r/>
          </w:p>
        </w:tc>
        <w:tc>
          <w:tcPr>
            <w:tcBorders>
              <w:top w:val="single" w:color="auto" w:sz="4" w:space="0"/>
              <w:left w:val="none" w:color="000000" w:sz="4" w:space="0"/>
              <w:bottom w:val="single" w:color="auto" w:sz="4" w:space="0"/>
              <w:right w:val="single" w:color="auto" w:sz="4" w:space="0"/>
            </w:tcBorders>
            <w:tcW w:w="1137"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投标单价（元）</w:t>
            </w:r>
            <w:r/>
          </w:p>
        </w:tc>
        <w:tc>
          <w:tcPr>
            <w:tcBorders>
              <w:top w:val="single" w:color="auto" w:sz="4" w:space="0"/>
              <w:left w:val="none" w:color="000000" w:sz="4" w:space="0"/>
              <w:bottom w:val="single" w:color="auto" w:sz="4" w:space="0"/>
              <w:right w:val="single" w:color="auto" w:sz="4" w:space="0"/>
            </w:tcBorders>
            <w:tcW w:w="1022" w:type="dxa"/>
            <w:vAlign w:val="center"/>
            <w:textDirection w:val="lrTb"/>
            <w:noWrap w:val="false"/>
          </w:tcPr>
          <w:p>
            <w:pPr>
              <w:jc w:val="center"/>
              <w:widowControl/>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合计</w:t>
            </w:r>
            <w:r/>
          </w:p>
          <w:p>
            <w:pPr>
              <w:jc w:val="center"/>
              <w:widowControl/>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（元）</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品牌</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备注</w:t>
            </w:r>
            <w:r/>
          </w:p>
        </w:tc>
      </w:tr>
      <w:tr>
        <w:trPr>
          <w:trHeight w:val="554"/>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670" w:type="dxa"/>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27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87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13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1"/>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267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27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87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13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53"/>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267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27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87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13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4"/>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267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27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87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13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4"/>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267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27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87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13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4"/>
        </w:trPr>
        <w:tc>
          <w:tcPr>
            <w:gridSpan w:val="4"/>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合计（含税）</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元</w:t>
            </w:r>
            <w:r/>
          </w:p>
        </w:tc>
        <w:tc>
          <w:tcPr>
            <w:tcBorders>
              <w:top w:val="single" w:color="auto" w:sz="4" w:space="0"/>
              <w:left w:val="none" w:color="000000" w:sz="4" w:space="0"/>
              <w:bottom w:val="single" w:color="auto" w:sz="4" w:space="0"/>
              <w:right w:val="single" w:color="auto" w:sz="4" w:space="0"/>
            </w:tcBorders>
            <w:tcW w:w="113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2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4"/>
        </w:trPr>
        <w:tc>
          <w:tcPr>
            <w:gridSpan w:val="7"/>
            <w:tcBorders>
              <w:top w:val="single" w:color="auto" w:sz="4" w:space="0"/>
              <w:left w:val="single" w:color="auto" w:sz="4" w:space="0"/>
              <w:bottom w:val="single" w:color="auto" w:sz="4" w:space="0"/>
              <w:right w:val="single" w:color="auto" w:sz="4" w:space="0"/>
            </w:tcBorders>
            <w:tcW w:w="9420" w:type="dxa"/>
            <w:vAlign w:val="center"/>
            <w:textDirection w:val="lrTb"/>
            <w:noWrap w:val="false"/>
          </w:tcPr>
          <w:p>
            <w:pPr>
              <w:jc w:val="center"/>
              <w:widowControl/>
              <w:rPr>
                <w:rFonts w:hint="eastAsia" w:ascii="宋体" w:hAnsi="宋体" w:cs="宋体"/>
                <w:color w:val="auto"/>
                <w:szCs w:val="21"/>
                <w:highlight w:val="none"/>
              </w:rPr>
            </w:pPr>
            <w:r>
              <w:rPr>
                <w:rFonts w:hint="eastAsia" w:ascii="方正魏碑_GBK" w:hAnsi="方正魏碑_GBK" w:eastAsia="方正魏碑_GBK" w:cs="方正魏碑_GBK"/>
                <w:color w:val="auto"/>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auto"/>
                <w:sz w:val="28"/>
                <w:szCs w:val="28"/>
                <w:highlight w:val="none"/>
                <w:u w:val="single"/>
              </w:rPr>
              <w:t xml:space="preserve">     </w:t>
            </w:r>
            <w:r>
              <w:rPr>
                <w:rFonts w:hint="eastAsia" w:ascii="方正魏碑_GBK" w:hAnsi="方正魏碑_GBK" w:eastAsia="方正魏碑_GBK" w:cs="方正魏碑_GBK"/>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widowControl/>
              <w:rPr>
                <w:rFonts w:hint="eastAsia" w:ascii="方正魏碑_GBK" w:hAnsi="方正魏碑_GBK" w:eastAsia="方正魏碑_GBK" w:cs="方正魏碑_GBK"/>
                <w:color w:val="auto"/>
                <w:sz w:val="28"/>
                <w:szCs w:val="28"/>
                <w:highlight w:val="none"/>
              </w:rPr>
            </w:pPr>
            <w:r>
              <w:rPr>
                <w:rFonts w:hint="eastAsia" w:ascii="方正魏碑_GBK" w:hAnsi="方正魏碑_GBK" w:eastAsia="方正魏碑_GBK" w:cs="方正魏碑_GBK"/>
                <w:color w:val="auto"/>
                <w:sz w:val="28"/>
                <w:szCs w:val="28"/>
                <w:highlight w:val="none"/>
              </w:rPr>
            </w:r>
            <w:r/>
          </w:p>
        </w:tc>
      </w:tr>
    </w:tbl>
    <w:p>
      <w:pPr>
        <w:jc w:val="left"/>
        <w:spacing w:line="360" w:lineRule="auto"/>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注：</w:t>
      </w:r>
      <w:r>
        <w:rPr>
          <w:rFonts w:hint="eastAsia" w:ascii="宋体" w:hAnsi="宋体" w:cs="宋体"/>
          <w:b/>
          <w:bCs/>
          <w:color w:val="auto"/>
          <w:sz w:val="28"/>
          <w:szCs w:val="28"/>
          <w:highlight w:val="none"/>
          <w:lang w:val="en-US" w:eastAsia="zh-CN"/>
        </w:rPr>
        <w:t xml:space="preserve">1、</w:t>
      </w:r>
      <w:r>
        <w:rPr>
          <w:rFonts w:hint="eastAsia" w:ascii="宋体" w:hAnsi="宋体" w:cs="宋体"/>
          <w:b/>
          <w:bCs/>
          <w:color w:val="auto"/>
          <w:sz w:val="28"/>
          <w:szCs w:val="28"/>
          <w:highlight w:val="none"/>
        </w:rPr>
        <w:t xml:space="preserve">投标单价</w:t>
      </w:r>
      <w:r>
        <w:rPr>
          <w:rFonts w:hint="eastAsia" w:ascii="宋体" w:hAnsi="宋体" w:cs="宋体"/>
          <w:b/>
          <w:bCs/>
          <w:color w:val="auto"/>
          <w:sz w:val="28"/>
          <w:szCs w:val="28"/>
          <w:highlight w:val="none"/>
        </w:rPr>
        <w:t xml:space="preserve">超过最高投标单价限价的将被作为无效标处理。</w:t>
      </w:r>
      <w:r/>
    </w:p>
    <w:p>
      <w:pPr>
        <w:pStyle w:val="866"/>
        <w:rPr>
          <w:rFonts w:hint="eastAsia" w:eastAsia="宋体"/>
          <w:color w:val="auto"/>
          <w:highlight w:val="none"/>
          <w:lang w:val="en-US" w:eastAsia="zh-CN"/>
        </w:rPr>
      </w:pPr>
      <w:r>
        <w:rPr>
          <w:rFonts w:hint="eastAsia" w:cs="宋体"/>
          <w:b/>
          <w:bCs/>
          <w:color w:val="auto"/>
          <w:sz w:val="28"/>
          <w:szCs w:val="28"/>
          <w:highlight w:val="none"/>
          <w:lang w:val="en-US" w:eastAsia="zh-CN"/>
        </w:rPr>
        <w:t xml:space="preserve">2、供应商须按照表格要求明确填写所投产品的品牌（如已明确核心产品，可只填写核心产品的品牌），不得填报“/”“无”等内容，否则视为无效投标。</w:t>
      </w:r>
      <w:r/>
    </w:p>
    <w:p>
      <w:pPr>
        <w:jc w:val="center"/>
        <w:spacing w:line="360" w:lineRule="auto"/>
        <w:widowControl/>
        <w:rPr>
          <w:rFonts w:hint="eastAsia" w:ascii="宋体" w:hAnsi="宋体" w:cs="宋体"/>
          <w:color w:val="auto"/>
          <w:sz w:val="22"/>
          <w:highlight w:val="none"/>
          <w:lang w:val="zh-CN"/>
        </w:rPr>
      </w:pPr>
      <w:r>
        <w:rPr>
          <w:rFonts w:hint="eastAsia" w:ascii="宋体" w:hAnsi="宋体" w:cs="宋体"/>
          <w:color w:val="auto"/>
          <w:sz w:val="22"/>
          <w:highlight w:val="none"/>
          <w:lang w:val="zh-CN"/>
        </w:rPr>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日        期：        年    月    日</w:t>
      </w:r>
      <w:r/>
    </w:p>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说明：1、如果行数不够，请自行增加。</w:t>
      </w:r>
      <w:r/>
    </w:p>
    <w:p>
      <w:pPr>
        <w:ind w:firstLine="420"/>
        <w:jc w:val="left"/>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zh-CN"/>
        </w:rPr>
        <w:t xml:space="preserve"> </w:t>
      </w:r>
      <w:r/>
    </w:p>
    <w:p>
      <w:pPr>
        <w:pStyle w:val="856"/>
        <w:rPr>
          <w:rFonts w:hint="eastAsia" w:ascii="宋体" w:hAnsi="宋体" w:cs="宋体"/>
          <w:color w:val="auto"/>
          <w:szCs w:val="21"/>
          <w:highlight w:val="none"/>
          <w:lang w:val="zh-CN"/>
        </w:rPr>
      </w:pPr>
      <w:r>
        <w:rPr>
          <w:rFonts w:hint="eastAsia" w:ascii="宋体" w:hAnsi="宋体" w:cs="宋体"/>
          <w:color w:val="auto"/>
          <w:szCs w:val="21"/>
          <w:highlight w:val="none"/>
          <w:lang w:val="zh-CN"/>
        </w:rPr>
        <w:br w:type="page" w:clear="all"/>
      </w:r>
      <w:r>
        <w:rPr>
          <w:rFonts w:hint="eastAsia" w:ascii="宋体" w:hAnsi="宋体" w:cs="宋体"/>
          <w:color w:val="auto"/>
          <w:szCs w:val="21"/>
          <w:highlight w:val="none"/>
          <w:lang w:val="zh-CN"/>
        </w:rPr>
        <w:t xml:space="preserve">附件四、投标项目</w:t>
      </w:r>
      <w:r>
        <w:rPr>
          <w:rFonts w:hint="eastAsia" w:ascii="宋体" w:hAnsi="宋体" w:cs="宋体"/>
          <w:color w:val="auto"/>
          <w:szCs w:val="21"/>
          <w:highlight w:val="none"/>
        </w:rPr>
        <w:t xml:space="preserve">拟</w:t>
      </w:r>
      <w:r>
        <w:rPr>
          <w:rFonts w:hint="eastAsia" w:ascii="宋体" w:hAnsi="宋体" w:cs="宋体"/>
          <w:color w:val="auto"/>
          <w:szCs w:val="21"/>
          <w:highlight w:val="none"/>
          <w:lang w:val="zh-CN"/>
        </w:rPr>
        <w:t xml:space="preserve">供货一览表格式</w:t>
      </w:r>
      <w:r/>
    </w:p>
    <w:tbl>
      <w:tblPr>
        <w:tblStyle w:val="86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69"/>
        <w:gridCol w:w="1269"/>
        <w:gridCol w:w="1525"/>
        <w:gridCol w:w="1013"/>
        <w:gridCol w:w="1269"/>
        <w:gridCol w:w="1269"/>
        <w:gridCol w:w="1269"/>
      </w:tblGrid>
      <w:tr>
        <w:trPr>
          <w:cantSplit/>
          <w:trHeight w:val="603"/>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126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产品名称</w:t>
            </w:r>
            <w:r/>
          </w:p>
        </w:tc>
        <w:tc>
          <w:tcPr>
            <w:tcW w:w="126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品牌</w:t>
            </w:r>
            <w:r/>
          </w:p>
        </w:tc>
        <w:tc>
          <w:tcPr>
            <w:tcW w:w="152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规格或型号</w:t>
            </w:r>
            <w:r/>
          </w:p>
        </w:tc>
        <w:tc>
          <w:tcPr>
            <w:tcW w:w="101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126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单位</w:t>
            </w:r>
            <w:r/>
          </w:p>
        </w:tc>
        <w:tc>
          <w:tcPr>
            <w:tcW w:w="126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单价（元）</w:t>
            </w:r>
            <w:r/>
          </w:p>
        </w:tc>
        <w:tc>
          <w:tcPr>
            <w:tcW w:w="126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26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6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52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1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6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6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6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26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6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52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1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6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6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6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26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6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52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1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6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6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6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126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6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52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1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6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6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6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126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6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52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1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6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6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6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bl>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说明：</w:t>
      </w:r>
      <w:r/>
    </w:p>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1、如果行数不够，请自行增加。</w:t>
      </w:r>
      <w:r/>
    </w:p>
    <w:p>
      <w:pPr>
        <w:jc w:val="left"/>
        <w:spacing w:line="360" w:lineRule="auto"/>
        <w:widowControl/>
        <w:rPr>
          <w:rFonts w:hint="eastAsia" w:ascii="宋体" w:hAnsi="宋体" w:cs="宋体"/>
          <w:color w:val="auto"/>
          <w:szCs w:val="21"/>
          <w:highlight w:val="none"/>
          <w:lang w:val="zh-CN"/>
        </w:rPr>
      </w:pPr>
      <w:r>
        <w:rPr>
          <w:rFonts w:hint="eastAsia" w:ascii="宋体" w:hAnsi="宋体" w:cs="宋体"/>
          <w:b/>
          <w:color w:val="auto"/>
          <w:szCs w:val="21"/>
          <w:highlight w:val="none"/>
          <w:lang w:val="zh-CN"/>
        </w:rPr>
        <w:t xml:space="preserve">2、供应商应根据上表要求逐一说明投标货物名称、品牌、规格型号、</w:t>
      </w:r>
      <w:r>
        <w:rPr>
          <w:rFonts w:hint="eastAsia" w:ascii="宋体" w:hAnsi="宋体" w:cs="宋体"/>
          <w:b/>
          <w:color w:val="auto"/>
          <w:szCs w:val="21"/>
          <w:highlight w:val="none"/>
        </w:rPr>
        <w:t xml:space="preserve">单价</w:t>
      </w:r>
      <w:r>
        <w:rPr>
          <w:rFonts w:hint="eastAsia" w:ascii="宋体" w:hAnsi="宋体" w:cs="宋体"/>
          <w:b/>
          <w:color w:val="auto"/>
          <w:szCs w:val="21"/>
          <w:highlight w:val="none"/>
          <w:lang w:val="zh-CN"/>
        </w:rPr>
        <w:t xml:space="preserve">等；</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日        期：        年    月    日</w:t>
      </w:r>
      <w:r/>
    </w:p>
    <w:p>
      <w:pPr>
        <w:jc w:val="left"/>
        <w:spacing w:line="360" w:lineRule="auto"/>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jc w:val="left"/>
        <w:spacing w:line="360" w:lineRule="auto"/>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jc w:val="left"/>
        <w:spacing w:line="360" w:lineRule="auto"/>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jc w:val="left"/>
        <w:spacing w:line="360" w:lineRule="auto"/>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jc w:val="left"/>
        <w:spacing w:line="360" w:lineRule="auto"/>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jc w:val="left"/>
        <w:spacing w:line="360" w:lineRule="auto"/>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jc w:val="left"/>
        <w:spacing w:line="360" w:lineRule="auto"/>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jc w:val="left"/>
        <w:spacing w:line="360" w:lineRule="auto"/>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856"/>
        <w:rPr>
          <w:rFonts w:hint="eastAsia" w:ascii="宋体" w:hAnsi="宋体" w:cs="宋体"/>
          <w:color w:val="auto"/>
          <w:szCs w:val="21"/>
          <w:highlight w:val="none"/>
          <w:lang w:val="zh-CN"/>
        </w:rPr>
      </w:pPr>
      <w:r>
        <w:rPr>
          <w:rFonts w:ascii="宋体" w:hAnsi="宋体" w:cs="宋体"/>
          <w:color w:val="auto"/>
          <w:szCs w:val="21"/>
          <w:highlight w:val="none"/>
          <w:lang w:val="zh-CN"/>
        </w:rPr>
        <w:br w:type="page" w:clear="all"/>
      </w:r>
      <w:r>
        <w:rPr>
          <w:rFonts w:hint="eastAsia" w:ascii="宋体" w:hAnsi="宋体" w:cs="宋体"/>
          <w:color w:val="auto"/>
          <w:szCs w:val="21"/>
          <w:highlight w:val="none"/>
          <w:lang w:val="zh-CN"/>
        </w:rPr>
        <w:t xml:space="preserve">附件五、技术条款偏离表格式</w:t>
      </w:r>
      <w:r/>
    </w:p>
    <w:p>
      <w:pPr>
        <w:jc w:val="center"/>
        <w:rPr>
          <w:color w:val="auto"/>
          <w:sz w:val="32"/>
          <w:szCs w:val="32"/>
          <w:highlight w:val="none"/>
          <w:lang w:val="zh-CN"/>
        </w:rPr>
      </w:pPr>
      <w:r/>
      <w:bookmarkStart w:id="59" w:name="_Toc14329"/>
      <w:r/>
      <w:bookmarkStart w:id="60" w:name="_Toc32603"/>
      <w:r>
        <w:rPr>
          <w:rFonts w:hint="eastAsia"/>
          <w:color w:val="auto"/>
          <w:sz w:val="32"/>
          <w:szCs w:val="32"/>
          <w:highlight w:val="none"/>
          <w:lang w:val="zh-CN"/>
        </w:rPr>
        <w:t xml:space="preserve">技术条款偏离表</w:t>
      </w:r>
      <w:bookmarkEnd w:id="59"/>
      <w:r/>
      <w:bookmarkEnd w:id="60"/>
      <w:r/>
      <w:r/>
    </w:p>
    <w:tbl>
      <w:tblPr>
        <w:tblStyle w:val="865"/>
        <w:tblW w:w="106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707"/>
        <w:gridCol w:w="1141"/>
        <w:gridCol w:w="3950"/>
        <w:gridCol w:w="203"/>
        <w:gridCol w:w="987"/>
        <w:gridCol w:w="640"/>
        <w:gridCol w:w="1530"/>
        <w:gridCol w:w="1530"/>
      </w:tblGrid>
      <w:tr>
        <w:trPr>
          <w:jc w:val="cente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1627" w:type="dxa"/>
            <w:vAlign w:val="center"/>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项目编号：</w:t>
            </w:r>
            <w:r/>
          </w:p>
        </w:tc>
        <w:tc>
          <w:tcPr>
            <w:tcBorders>
              <w:top w:val="none" w:color="000000" w:sz="4" w:space="0"/>
              <w:left w:val="none" w:color="000000" w:sz="4" w:space="0"/>
              <w:bottom w:val="single" w:color="000000" w:sz="6" w:space="0"/>
              <w:right w:val="none" w:color="000000" w:sz="4" w:space="0"/>
            </w:tcBorders>
            <w:tcW w:w="1530" w:type="dxa"/>
            <w:vAlign w:val="top"/>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none" w:color="000000" w:sz="4" w:space="0"/>
              <w:left w:val="none" w:color="000000" w:sz="4" w:space="0"/>
              <w:bottom w:val="single" w:color="000000" w:sz="6" w:space="0"/>
              <w:right w:val="none" w:color="000000" w:sz="4" w:space="0"/>
            </w:tcBorders>
            <w:tcW w:w="1530" w:type="dxa"/>
            <w:vAlign w:val="top"/>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14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公开招标文件条目号</w:t>
            </w:r>
            <w:r/>
          </w:p>
        </w:tc>
        <w:tc>
          <w:tcPr>
            <w:tcBorders>
              <w:top w:val="single" w:color="000000" w:sz="6" w:space="0"/>
              <w:left w:val="single" w:color="000000" w:sz="6" w:space="0"/>
              <w:bottom w:val="single" w:color="000000" w:sz="6" w:space="0"/>
              <w:right w:val="single" w:color="000000" w:sz="6" w:space="0"/>
            </w:tcBorders>
            <w:tcW w:w="395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公开招标文件要求的</w:t>
            </w:r>
            <w:r>
              <w:rPr>
                <w:rFonts w:hint="eastAsia" w:ascii="宋体" w:hAnsi="宋体" w:cs="宋体"/>
                <w:color w:val="auto"/>
                <w:szCs w:val="21"/>
                <w:highlight w:val="none"/>
              </w:rPr>
              <w:t xml:space="preserve">技术条款</w:t>
            </w:r>
            <w:r/>
          </w:p>
        </w:tc>
        <w:tc>
          <w:tcPr>
            <w:gridSpan w:val="2"/>
            <w:tcBorders>
              <w:top w:val="single" w:color="000000" w:sz="6" w:space="0"/>
              <w:left w:val="single" w:color="000000" w:sz="6" w:space="0"/>
              <w:bottom w:val="single" w:color="000000" w:sz="6" w:space="0"/>
              <w:right w:val="single" w:color="000000" w:sz="6" w:space="0"/>
            </w:tcBorders>
            <w:tcW w:w="119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参与投标的技术响应</w:t>
            </w:r>
            <w:r/>
          </w:p>
        </w:tc>
        <w:tc>
          <w:tcPr>
            <w:tcBorders>
              <w:top w:val="single" w:color="000000" w:sz="6" w:space="0"/>
              <w:left w:val="single" w:color="000000" w:sz="6" w:space="0"/>
              <w:bottom w:val="single" w:color="000000" w:sz="6" w:space="0"/>
              <w:right w:val="single" w:color="000000" w:sz="6" w:space="0"/>
            </w:tcBorders>
            <w:tcW w:w="64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53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偏离内容及原因</w:t>
            </w:r>
            <w:r/>
          </w:p>
        </w:tc>
        <w:tc>
          <w:tcPr>
            <w:tcBorders>
              <w:top w:val="single" w:color="000000" w:sz="6" w:space="0"/>
              <w:left w:val="single" w:color="000000" w:sz="6" w:space="0"/>
              <w:bottom w:val="single" w:color="000000" w:sz="6" w:space="0"/>
              <w:right w:val="single" w:color="000000" w:sz="6" w:space="0"/>
            </w:tcBorders>
            <w:tcW w:w="153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502"/>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 </w:t>
            </w:r>
            <w:r/>
          </w:p>
        </w:tc>
        <w:tc>
          <w:tcPr>
            <w:tcBorders>
              <w:top w:val="single" w:color="000000" w:sz="6" w:space="0"/>
              <w:left w:val="single" w:color="000000" w:sz="6" w:space="0"/>
              <w:bottom w:val="single" w:color="000000" w:sz="6" w:space="0"/>
              <w:right w:val="single" w:color="000000" w:sz="6" w:space="0"/>
            </w:tcBorders>
            <w:tcW w:w="1141" w:type="dxa"/>
            <w:vAlign w:val="center"/>
            <w:textDirection w:val="lrTb"/>
            <w:noWrap w:val="false"/>
          </w:tcPr>
          <w:p>
            <w:pPr>
              <w:jc w:val="center"/>
              <w:spacing w:line="360" w:lineRule="auto"/>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 </w:t>
            </w:r>
            <w:r/>
          </w:p>
        </w:tc>
        <w:tc>
          <w:tcPr>
            <w:tcBorders>
              <w:top w:val="single" w:color="000000" w:sz="6" w:space="0"/>
              <w:left w:val="single" w:color="000000" w:sz="6" w:space="0"/>
              <w:bottom w:val="single" w:color="000000" w:sz="6" w:space="0"/>
              <w:right w:val="single" w:color="000000" w:sz="6" w:space="0"/>
            </w:tcBorders>
            <w:tcW w:w="3950" w:type="dxa"/>
            <w:vAlign w:val="center"/>
            <w:textDirection w:val="lrTb"/>
            <w:noWrap w:val="false"/>
          </w:tcPr>
          <w:p>
            <w:pPr>
              <w:pStyle w:val="856"/>
              <w:rPr>
                <w:rFonts w:hint="eastAsia" w:ascii="宋体" w:hAnsi="宋体" w:cs="宋体"/>
                <w:b w:val="0"/>
                <w:bCs/>
                <w:color w:val="auto"/>
                <w:sz w:val="18"/>
                <w:szCs w:val="18"/>
                <w:highlight w:val="none"/>
              </w:rPr>
            </w:pPr>
            <w:r>
              <w:rPr>
                <w:rFonts w:hint="eastAsia" w:ascii="宋体" w:hAnsi="宋体" w:cs="宋体"/>
                <w:b w:val="0"/>
                <w:bCs/>
                <w:color w:val="auto"/>
                <w:sz w:val="18"/>
                <w:szCs w:val="18"/>
                <w:highlight w:val="none"/>
              </w:rPr>
            </w:r>
            <w:r/>
          </w:p>
        </w:tc>
        <w:tc>
          <w:tcPr>
            <w:gridSpan w:val="2"/>
            <w:tcBorders>
              <w:top w:val="single" w:color="000000" w:sz="6" w:space="0"/>
              <w:left w:val="single" w:color="000000" w:sz="6" w:space="0"/>
              <w:bottom w:val="single" w:color="000000" w:sz="6" w:space="0"/>
              <w:right w:val="single" w:color="000000" w:sz="6" w:space="0"/>
            </w:tcBorders>
            <w:tcW w:w="1190" w:type="dxa"/>
            <w:vAlign w:val="center"/>
            <w:textDirection w:val="lrTb"/>
            <w:noWrap w:val="false"/>
          </w:tcPr>
          <w:p>
            <w:pPr>
              <w:jc w:val="center"/>
              <w:spacing w:line="360" w:lineRule="auto"/>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6" w:space="0"/>
              <w:left w:val="single" w:color="000000" w:sz="6" w:space="0"/>
              <w:bottom w:val="single" w:color="000000" w:sz="6" w:space="0"/>
              <w:right w:val="single" w:color="000000" w:sz="6" w:space="0"/>
            </w:tcBorders>
            <w:tcW w:w="640" w:type="dxa"/>
            <w:vAlign w:val="center"/>
            <w:textDirection w:val="lrTb"/>
            <w:noWrap w:val="false"/>
          </w:tcPr>
          <w:p>
            <w:pPr>
              <w:jc w:val="center"/>
              <w:spacing w:line="360" w:lineRule="auto"/>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6" w:space="0"/>
              <w:left w:val="single" w:color="000000" w:sz="6" w:space="0"/>
              <w:bottom w:val="single" w:color="000000" w:sz="6" w:space="0"/>
              <w:right w:val="single" w:color="000000" w:sz="6" w:space="0"/>
            </w:tcBorders>
            <w:tcW w:w="1530" w:type="dxa"/>
            <w:vAlign w:val="top"/>
            <w:textDirection w:val="lrTb"/>
            <w:noWrap w:val="false"/>
          </w:tcPr>
          <w:p>
            <w:pPr>
              <w:jc w:val="center"/>
              <w:spacing w:line="360" w:lineRule="auto"/>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6" w:space="0"/>
              <w:left w:val="single" w:color="000000" w:sz="6" w:space="0"/>
              <w:bottom w:val="single" w:color="000000" w:sz="6" w:space="0"/>
              <w:right w:val="single" w:color="000000" w:sz="6" w:space="0"/>
            </w:tcBorders>
            <w:tcW w:w="1530" w:type="dxa"/>
            <w:vAlign w:val="top"/>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2</w:t>
            </w:r>
            <w:r/>
          </w:p>
        </w:tc>
        <w:tc>
          <w:tcPr>
            <w:tcBorders>
              <w:top w:val="single" w:color="000000" w:sz="6" w:space="0"/>
              <w:left w:val="single" w:color="000000" w:sz="6" w:space="0"/>
              <w:bottom w:val="single" w:color="000000" w:sz="6" w:space="0"/>
              <w:right w:val="single" w:color="000000" w:sz="6" w:space="0"/>
            </w:tcBorders>
            <w:tcW w:w="1141" w:type="dxa"/>
            <w:vAlign w:val="center"/>
            <w:textDirection w:val="lrTb"/>
            <w:noWrap w:val="false"/>
          </w:tcPr>
          <w:p>
            <w:pPr>
              <w:jc w:val="center"/>
              <w:spacing w:line="360" w:lineRule="auto"/>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 </w:t>
            </w:r>
            <w:r/>
          </w:p>
        </w:tc>
        <w:tc>
          <w:tcPr>
            <w:tcBorders>
              <w:top w:val="single" w:color="000000" w:sz="6" w:space="0"/>
              <w:left w:val="single" w:color="000000" w:sz="6" w:space="0"/>
              <w:bottom w:val="single" w:color="000000" w:sz="6" w:space="0"/>
              <w:right w:val="single" w:color="000000" w:sz="6" w:space="0"/>
            </w:tcBorders>
            <w:tcW w:w="3950" w:type="dxa"/>
            <w:vAlign w:val="center"/>
            <w:textDirection w:val="lrTb"/>
            <w:noWrap w:val="false"/>
          </w:tcPr>
          <w:p>
            <w:pPr>
              <w:jc w:val="center"/>
              <w:spacing w:line="360" w:lineRule="auto"/>
              <w:widowControl/>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gridSpan w:val="2"/>
            <w:tcBorders>
              <w:top w:val="single" w:color="000000" w:sz="6" w:space="0"/>
              <w:left w:val="single" w:color="000000" w:sz="6" w:space="0"/>
              <w:bottom w:val="single" w:color="000000" w:sz="6" w:space="0"/>
              <w:right w:val="single" w:color="000000" w:sz="6" w:space="0"/>
            </w:tcBorders>
            <w:tcW w:w="1190" w:type="dxa"/>
            <w:vAlign w:val="center"/>
            <w:textDirection w:val="lrTb"/>
            <w:noWrap w:val="false"/>
          </w:tcPr>
          <w:p>
            <w:pPr>
              <w:jc w:val="center"/>
              <w:spacing w:line="360" w:lineRule="auto"/>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6" w:space="0"/>
              <w:left w:val="single" w:color="000000" w:sz="6" w:space="0"/>
              <w:bottom w:val="single" w:color="000000" w:sz="6" w:space="0"/>
              <w:right w:val="single" w:color="000000" w:sz="6" w:space="0"/>
            </w:tcBorders>
            <w:tcW w:w="640" w:type="dxa"/>
            <w:vAlign w:val="center"/>
            <w:textDirection w:val="lrTb"/>
            <w:noWrap w:val="false"/>
          </w:tcPr>
          <w:p>
            <w:pPr>
              <w:jc w:val="center"/>
              <w:spacing w:line="360" w:lineRule="auto"/>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6" w:space="0"/>
              <w:left w:val="single" w:color="000000" w:sz="6" w:space="0"/>
              <w:bottom w:val="single" w:color="000000" w:sz="6" w:space="0"/>
              <w:right w:val="single" w:color="000000" w:sz="6" w:space="0"/>
            </w:tcBorders>
            <w:tcW w:w="1530" w:type="dxa"/>
            <w:vAlign w:val="top"/>
            <w:textDirection w:val="lrTb"/>
            <w:noWrap w:val="false"/>
          </w:tcPr>
          <w:p>
            <w:pPr>
              <w:jc w:val="center"/>
              <w:spacing w:line="360" w:lineRule="auto"/>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6" w:space="0"/>
              <w:left w:val="single" w:color="000000" w:sz="6" w:space="0"/>
              <w:bottom w:val="single" w:color="000000" w:sz="6" w:space="0"/>
              <w:right w:val="single" w:color="000000" w:sz="6" w:space="0"/>
            </w:tcBorders>
            <w:tcW w:w="1530" w:type="dxa"/>
            <w:vAlign w:val="top"/>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790"/>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141"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000000" w:sz="6" w:space="0"/>
              <w:left w:val="single" w:color="000000" w:sz="6" w:space="0"/>
              <w:bottom w:val="single" w:color="000000" w:sz="6" w:space="0"/>
              <w:right w:val="single" w:color="000000" w:sz="6" w:space="0"/>
            </w:tcBorders>
            <w:tcW w:w="3950" w:type="dxa"/>
            <w:vAlign w:val="center"/>
            <w:textDirection w:val="lrTb"/>
            <w:noWrap w:val="false"/>
          </w:tcPr>
          <w:p>
            <w:pPr>
              <w:pStyle w:val="856"/>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119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64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530" w:type="dxa"/>
            <w:vAlign w:val="top"/>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530" w:type="dxa"/>
            <w:vAlign w:val="top"/>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W w:w="114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W w:w="395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rPr>
              <w:t xml:space="preserve">...</w:t>
            </w:r>
            <w:r/>
          </w:p>
        </w:tc>
        <w:tc>
          <w:tcPr>
            <w:gridSpan w:val="2"/>
            <w:tcBorders>
              <w:top w:val="single" w:color="000000" w:sz="6" w:space="0"/>
              <w:left w:val="single" w:color="000000" w:sz="6" w:space="0"/>
              <w:bottom w:val="single" w:color="000000" w:sz="6" w:space="0"/>
              <w:right w:val="single" w:color="000000" w:sz="6" w:space="0"/>
            </w:tcBorders>
            <w:tcW w:w="119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W w:w="64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W w:w="1530" w:type="dxa"/>
            <w:vAlign w:val="top"/>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W w:w="1530" w:type="dxa"/>
            <w:vAlign w:val="top"/>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日        期：        年    月    日</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说明：</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、如果行数不够，请自行增加。</w:t>
      </w:r>
      <w:r/>
    </w:p>
    <w:p>
      <w:pPr>
        <w:pStyle w:val="901"/>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pStyle w:val="901"/>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pStyle w:val="901"/>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pStyle w:val="901"/>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pStyle w:val="901"/>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pStyle w:val="901"/>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pStyle w:val="901"/>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pStyle w:val="901"/>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pStyle w:val="901"/>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pStyle w:val="901"/>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pStyle w:val="901"/>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pStyle w:val="901"/>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pStyle w:val="901"/>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pStyle w:val="901"/>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pStyle w:val="901"/>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pStyle w:val="901"/>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pStyle w:val="901"/>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pStyle w:val="901"/>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pStyle w:val="901"/>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pStyle w:val="901"/>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pStyle w:val="856"/>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附件六、商务条款偏离表格式</w:t>
      </w:r>
      <w:r/>
    </w:p>
    <w:p>
      <w:pPr>
        <w:jc w:val="center"/>
        <w:rPr>
          <w:color w:val="auto"/>
          <w:sz w:val="36"/>
          <w:szCs w:val="36"/>
          <w:highlight w:val="none"/>
          <w:lang w:val="zh-CN"/>
        </w:rPr>
      </w:pPr>
      <w:r/>
      <w:bookmarkStart w:id="61" w:name="_Toc8421"/>
      <w:r/>
      <w:bookmarkStart w:id="62" w:name="_Toc2600"/>
      <w:r>
        <w:rPr>
          <w:rFonts w:hint="eastAsia"/>
          <w:color w:val="auto"/>
          <w:sz w:val="36"/>
          <w:szCs w:val="36"/>
          <w:highlight w:val="none"/>
          <w:lang w:val="zh-CN"/>
        </w:rPr>
        <w:t xml:space="preserve">商务条款偏离表</w:t>
      </w:r>
      <w:bookmarkEnd w:id="61"/>
      <w:r/>
      <w:bookmarkEnd w:id="62"/>
      <w:r/>
      <w:r/>
    </w:p>
    <w:tbl>
      <w:tblPr>
        <w:tblStyle w:val="865"/>
        <w:tblW w:w="974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jc w:val="cente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076" w:type="dxa"/>
            <w:vAlign w:val="center"/>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项目编号：</w:t>
            </w:r>
            <w:r/>
          </w:p>
        </w:tc>
        <w:tc>
          <w:tcPr>
            <w:tcBorders>
              <w:top w:val="none" w:color="000000" w:sz="4" w:space="0"/>
              <w:left w:val="none" w:color="000000" w:sz="4" w:space="0"/>
              <w:bottom w:val="single" w:color="000000" w:sz="6" w:space="0"/>
              <w:right w:val="none" w:color="000000" w:sz="4" w:space="0"/>
            </w:tcBorders>
            <w:tcW w:w="1668" w:type="dxa"/>
            <w:vAlign w:val="top"/>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公开招标文件条目号</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公开招标文件要求的商务条款</w:t>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参与投标的商务响应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供应商的承诺或说明</w:t>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bl>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日        期：        年    月    日</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说明：如果行数不够，请自行增加。</w:t>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pStyle w:val="856"/>
        <w:rPr>
          <w:color w:val="auto"/>
          <w:highlight w:val="none"/>
        </w:rPr>
      </w:pPr>
      <w:r>
        <w:rPr>
          <w:rFonts w:hint="eastAsia"/>
          <w:color w:val="auto"/>
          <w:highlight w:val="none"/>
        </w:rPr>
        <w:t xml:space="preserve">附件七、实施方案（格式自拟）</w:t>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pStyle w:val="856"/>
        <w:rPr>
          <w:rFonts w:hint="eastAsia" w:ascii="宋体" w:hAnsi="宋体" w:cs="宋体"/>
          <w:color w:val="auto"/>
          <w:highlight w:val="none"/>
        </w:rPr>
      </w:pPr>
      <w:r>
        <w:rPr>
          <w:rFonts w:ascii="宋体" w:hAnsi="宋体" w:cs="宋体"/>
          <w:color w:val="auto"/>
          <w:highlight w:val="none"/>
        </w:rPr>
        <w:br w:type="page" w:clear="all"/>
      </w:r>
      <w:r>
        <w:rPr>
          <w:rFonts w:hint="eastAsia" w:ascii="宋体" w:hAnsi="宋体" w:cs="宋体"/>
          <w:color w:val="auto"/>
          <w:highlight w:val="none"/>
        </w:rPr>
        <w:t xml:space="preserve">附件八、中小企业声明函格式</w:t>
      </w:r>
      <w:r/>
    </w:p>
    <w:p>
      <w:pPr>
        <w:jc w:val="center"/>
        <w:spacing w:line="360" w:lineRule="auto"/>
        <w:rPr>
          <w:rFonts w:hint="eastAsia" w:ascii="宋体" w:hAnsi="宋体" w:cs="宋体"/>
          <w:color w:val="auto"/>
          <w:spacing w:val="15"/>
          <w:szCs w:val="21"/>
          <w:highlight w:val="none"/>
        </w:rPr>
      </w:pPr>
      <w:r>
        <w:rPr>
          <w:rFonts w:ascii="宋体" w:hAnsi="宋体" w:cs="宋体"/>
          <w:color w:val="auto"/>
          <w:spacing w:val="15"/>
          <w:szCs w:val="21"/>
          <w:highlight w:val="none"/>
        </w:rPr>
        <w:t xml:space="preserve">中小企业声明函</w:t>
      </w:r>
      <w:r/>
    </w:p>
    <w:p>
      <w:pPr>
        <w:spacing w:line="360" w:lineRule="auto"/>
        <w:rPr>
          <w:rFonts w:hint="eastAsia" w:ascii="宋体" w:hAnsi="宋体" w:cs="宋体"/>
          <w:color w:val="auto"/>
          <w:spacing w:val="15"/>
          <w:szCs w:val="21"/>
          <w:highlight w:val="none"/>
        </w:rPr>
      </w:pPr>
      <w:r>
        <w:rPr>
          <w:rFonts w:hint="eastAsia" w:ascii="宋体" w:hAnsi="宋体" w:cs="宋体"/>
          <w:color w:val="auto"/>
          <w:spacing w:val="15"/>
          <w:szCs w:val="21"/>
          <w:highlight w:val="none"/>
        </w:rPr>
      </w:r>
      <w:r/>
    </w:p>
    <w:p>
      <w:pPr>
        <w:ind w:firstLine="480"/>
        <w:spacing w:line="360" w:lineRule="auto"/>
        <w:rPr>
          <w:rFonts w:hint="eastAsia" w:ascii="宋体" w:hAnsi="宋体" w:cs="宋体"/>
          <w:color w:val="auto"/>
          <w:spacing w:val="15"/>
          <w:szCs w:val="21"/>
          <w:highlight w:val="none"/>
        </w:rPr>
      </w:pPr>
      <w:r>
        <w:rPr>
          <w:rFonts w:ascii="宋体" w:hAnsi="宋体" w:cs="宋体"/>
          <w:color w:val="auto"/>
          <w:spacing w:val="15"/>
          <w:szCs w:val="21"/>
          <w:highlight w:val="none"/>
        </w:rPr>
        <w:t xml:space="preserve">本公司（联合体）郑重声明，根据《政府采购促进中小企业发展管理办法》（财库﹝2020﹞46号）的规定，本公司（联合体）参加</w:t>
      </w:r>
      <w:r>
        <w:rPr>
          <w:rFonts w:ascii="宋体" w:hAnsi="宋体" w:cs="宋体"/>
          <w:color w:val="auto"/>
          <w:spacing w:val="15"/>
          <w:szCs w:val="21"/>
          <w:highlight w:val="none"/>
          <w:u w:val="single"/>
        </w:rPr>
        <w:t xml:space="preserve">（单位名称）</w:t>
      </w:r>
      <w:r>
        <w:rPr>
          <w:rFonts w:ascii="宋体" w:hAnsi="宋体" w:cs="宋体"/>
          <w:color w:val="auto"/>
          <w:spacing w:val="15"/>
          <w:szCs w:val="21"/>
          <w:highlight w:val="none"/>
        </w:rPr>
        <w:t xml:space="preserve">的</w:t>
      </w:r>
      <w:r>
        <w:rPr>
          <w:rFonts w:ascii="宋体" w:hAnsi="宋体" w:cs="宋体"/>
          <w:color w:val="auto"/>
          <w:spacing w:val="15"/>
          <w:szCs w:val="21"/>
          <w:highlight w:val="none"/>
          <w:u w:val="single"/>
        </w:rPr>
        <w:t xml:space="preserve">（项目名称）</w:t>
      </w:r>
      <w:r>
        <w:rPr>
          <w:rFonts w:ascii="宋体" w:hAnsi="宋体" w:cs="宋体"/>
          <w:color w:val="auto"/>
          <w:spacing w:val="15"/>
          <w:szCs w:val="21"/>
          <w:highlight w:val="none"/>
        </w:rPr>
        <w:t xml:space="preserve">采购活动，</w:t>
      </w:r>
      <w:r>
        <w:rPr>
          <w:rFonts w:hint="eastAsia" w:ascii="宋体" w:hAnsi="宋体" w:cs="宋体"/>
          <w:color w:val="auto"/>
          <w:spacing w:val="15"/>
          <w:szCs w:val="21"/>
          <w:highlight w:val="none"/>
        </w:rPr>
        <w:t xml:space="preserve">提供的货物全部由符合政策要求的中小企业制造。</w:t>
      </w:r>
      <w:r>
        <w:rPr>
          <w:rFonts w:ascii="宋体" w:hAnsi="宋体" w:cs="宋体"/>
          <w:color w:val="auto"/>
          <w:spacing w:val="15"/>
          <w:szCs w:val="21"/>
          <w:highlight w:val="none"/>
        </w:rPr>
        <w:t xml:space="preserve">相关企业（含联合体中的中小企业、签订分包意向协议的中小企业）的具体情 况如下： </w:t>
      </w:r>
      <w:r/>
    </w:p>
    <w:p>
      <w:pPr>
        <w:ind w:firstLine="480"/>
        <w:spacing w:line="360" w:lineRule="auto"/>
        <w:rPr>
          <w:rFonts w:hint="eastAsia" w:ascii="宋体" w:hAnsi="宋体" w:cs="宋体"/>
          <w:color w:val="auto"/>
          <w:spacing w:val="15"/>
          <w:szCs w:val="21"/>
          <w:highlight w:val="none"/>
        </w:rPr>
      </w:pPr>
      <w:r>
        <w:rPr>
          <w:rFonts w:ascii="宋体" w:hAnsi="宋体" w:cs="宋体"/>
          <w:color w:val="auto"/>
          <w:spacing w:val="15"/>
          <w:szCs w:val="21"/>
          <w:highlight w:val="none"/>
        </w:rPr>
        <w:t xml:space="preserve">1.</w:t>
      </w:r>
      <w:r>
        <w:rPr>
          <w:rFonts w:ascii="宋体" w:hAnsi="宋体" w:cs="宋体"/>
          <w:color w:val="auto"/>
          <w:spacing w:val="15"/>
          <w:szCs w:val="21"/>
          <w:highlight w:val="none"/>
          <w:u w:val="single"/>
        </w:rPr>
        <w:t xml:space="preserve"> （标的名称） </w:t>
      </w:r>
      <w:r>
        <w:rPr>
          <w:rFonts w:ascii="宋体" w:hAnsi="宋体" w:cs="宋体"/>
          <w:color w:val="auto"/>
          <w:spacing w:val="15"/>
          <w:szCs w:val="21"/>
          <w:highlight w:val="none"/>
        </w:rPr>
        <w:t xml:space="preserve">，属于</w:t>
      </w:r>
      <w:r>
        <w:rPr>
          <w:rFonts w:ascii="宋体" w:hAnsi="宋体" w:cs="宋体"/>
          <w:color w:val="auto"/>
          <w:spacing w:val="15"/>
          <w:szCs w:val="21"/>
          <w:highlight w:val="none"/>
          <w:u w:val="single"/>
        </w:rPr>
        <w:t xml:space="preserve">（采购文件中明确的所属行业）</w:t>
      </w:r>
      <w:r>
        <w:rPr>
          <w:rFonts w:ascii="宋体" w:hAnsi="宋体" w:cs="宋体"/>
          <w:color w:val="auto"/>
          <w:spacing w:val="15"/>
          <w:szCs w:val="21"/>
          <w:highlight w:val="none"/>
        </w:rPr>
        <w:t xml:space="preserve">；</w:t>
      </w:r>
      <w:r>
        <w:rPr>
          <w:rFonts w:hint="eastAsia" w:ascii="宋体" w:hAnsi="宋体" w:cs="宋体"/>
          <w:color w:val="auto"/>
          <w:spacing w:val="15"/>
          <w:szCs w:val="21"/>
          <w:highlight w:val="none"/>
        </w:rPr>
        <w:t xml:space="preserve">制造商为</w:t>
      </w:r>
      <w:r>
        <w:rPr>
          <w:rFonts w:ascii="宋体" w:hAnsi="宋体" w:cs="宋体"/>
          <w:color w:val="auto"/>
          <w:spacing w:val="15"/>
          <w:szCs w:val="21"/>
          <w:highlight w:val="none"/>
          <w:u w:val="single"/>
        </w:rPr>
        <w:t xml:space="preserve">（企业名称）</w:t>
      </w:r>
      <w:r>
        <w:rPr>
          <w:rFonts w:ascii="宋体" w:hAnsi="宋体" w:cs="宋体"/>
          <w:color w:val="auto"/>
          <w:spacing w:val="15"/>
          <w:szCs w:val="21"/>
          <w:highlight w:val="none"/>
        </w:rPr>
        <w:t xml:space="preserve">，从业人员</w:t>
      </w:r>
      <w:r>
        <w:rPr>
          <w:rFonts w:hint="eastAsia" w:ascii="宋体" w:hAnsi="宋体" w:cs="宋体"/>
          <w:color w:val="auto"/>
          <w:spacing w:val="15"/>
          <w:szCs w:val="21"/>
          <w:highlight w:val="none"/>
          <w:u w:val="single"/>
        </w:rPr>
        <w:t xml:space="preserve"> </w:t>
      </w:r>
      <w:r>
        <w:rPr>
          <w:rFonts w:ascii="宋体" w:hAnsi="宋体" w:cs="宋体"/>
          <w:color w:val="auto"/>
          <w:spacing w:val="15"/>
          <w:szCs w:val="21"/>
          <w:highlight w:val="none"/>
        </w:rPr>
        <w:t xml:space="preserve">人，营业收入为</w:t>
      </w:r>
      <w:r>
        <w:rPr>
          <w:rFonts w:ascii="宋体" w:hAnsi="宋体" w:cs="宋体"/>
          <w:color w:val="auto"/>
          <w:spacing w:val="15"/>
          <w:szCs w:val="21"/>
          <w:highlight w:val="none"/>
          <w:u w:val="single"/>
        </w:rPr>
        <w:t xml:space="preserve"> </w:t>
      </w:r>
      <w:r>
        <w:rPr>
          <w:rFonts w:ascii="宋体" w:hAnsi="宋体" w:cs="宋体"/>
          <w:color w:val="auto"/>
          <w:spacing w:val="15"/>
          <w:szCs w:val="21"/>
          <w:highlight w:val="none"/>
        </w:rPr>
        <w:t xml:space="preserve">万元，资产总额为</w:t>
      </w:r>
      <w:r>
        <w:rPr>
          <w:rFonts w:ascii="宋体" w:hAnsi="宋体" w:cs="宋体"/>
          <w:color w:val="auto"/>
          <w:spacing w:val="15"/>
          <w:szCs w:val="21"/>
          <w:highlight w:val="none"/>
          <w:u w:val="single"/>
        </w:rPr>
        <w:t xml:space="preserve"> </w:t>
      </w:r>
      <w:r>
        <w:rPr>
          <w:rFonts w:ascii="宋体" w:hAnsi="宋体" w:cs="宋体"/>
          <w:color w:val="auto"/>
          <w:spacing w:val="15"/>
          <w:szCs w:val="21"/>
          <w:highlight w:val="none"/>
        </w:rPr>
        <w:t xml:space="preserve">万元，属于</w:t>
      </w:r>
      <w:r>
        <w:rPr>
          <w:rFonts w:ascii="宋体" w:hAnsi="宋体" w:cs="宋体"/>
          <w:color w:val="auto"/>
          <w:spacing w:val="15"/>
          <w:szCs w:val="21"/>
          <w:highlight w:val="none"/>
          <w:u w:val="single"/>
        </w:rPr>
        <w:t xml:space="preserve">（中型企业、小型企业、微型企业）</w:t>
      </w:r>
      <w:r>
        <w:rPr>
          <w:rFonts w:ascii="宋体" w:hAnsi="宋体" w:cs="宋体"/>
          <w:color w:val="auto"/>
          <w:spacing w:val="15"/>
          <w:szCs w:val="21"/>
          <w:highlight w:val="none"/>
        </w:rPr>
        <w:t xml:space="preserve">； </w:t>
      </w:r>
      <w:r/>
    </w:p>
    <w:p>
      <w:pPr>
        <w:ind w:firstLine="480"/>
        <w:spacing w:line="360" w:lineRule="auto"/>
        <w:rPr>
          <w:rFonts w:hint="eastAsia" w:ascii="宋体" w:hAnsi="宋体" w:cs="宋体"/>
          <w:color w:val="auto"/>
          <w:spacing w:val="15"/>
          <w:szCs w:val="21"/>
          <w:highlight w:val="none"/>
        </w:rPr>
      </w:pPr>
      <w:r>
        <w:rPr>
          <w:rFonts w:ascii="宋体" w:hAnsi="宋体" w:cs="宋体"/>
          <w:color w:val="auto"/>
          <w:spacing w:val="15"/>
          <w:szCs w:val="21"/>
          <w:highlight w:val="none"/>
        </w:rPr>
        <w:t xml:space="preserve">2.</w:t>
      </w:r>
      <w:r>
        <w:rPr>
          <w:rFonts w:ascii="宋体" w:hAnsi="宋体" w:cs="宋体"/>
          <w:color w:val="auto"/>
          <w:spacing w:val="15"/>
          <w:szCs w:val="21"/>
          <w:highlight w:val="none"/>
          <w:u w:val="single"/>
        </w:rPr>
        <w:t xml:space="preserve"> （标的名称） </w:t>
      </w:r>
      <w:r>
        <w:rPr>
          <w:rFonts w:ascii="宋体" w:hAnsi="宋体" w:cs="宋体"/>
          <w:color w:val="auto"/>
          <w:spacing w:val="15"/>
          <w:szCs w:val="21"/>
          <w:highlight w:val="none"/>
        </w:rPr>
        <w:t xml:space="preserve">，属于</w:t>
      </w:r>
      <w:r>
        <w:rPr>
          <w:rFonts w:ascii="宋体" w:hAnsi="宋体" w:cs="宋体"/>
          <w:color w:val="auto"/>
          <w:spacing w:val="15"/>
          <w:szCs w:val="21"/>
          <w:highlight w:val="none"/>
          <w:u w:val="single"/>
        </w:rPr>
        <w:t xml:space="preserve">（采购文件中明确的所属行业）</w:t>
      </w:r>
      <w:r>
        <w:rPr>
          <w:rFonts w:ascii="宋体" w:hAnsi="宋体" w:cs="宋体"/>
          <w:color w:val="auto"/>
          <w:spacing w:val="15"/>
          <w:szCs w:val="21"/>
          <w:highlight w:val="none"/>
        </w:rPr>
        <w:t xml:space="preserve">；</w:t>
      </w:r>
      <w:r>
        <w:rPr>
          <w:rFonts w:hint="eastAsia" w:ascii="宋体" w:hAnsi="宋体" w:cs="宋体"/>
          <w:color w:val="auto"/>
          <w:spacing w:val="15"/>
          <w:szCs w:val="21"/>
          <w:highlight w:val="none"/>
        </w:rPr>
        <w:t xml:space="preserve">制造商为</w:t>
      </w:r>
      <w:r>
        <w:rPr>
          <w:rFonts w:ascii="宋体" w:hAnsi="宋体" w:cs="宋体"/>
          <w:color w:val="auto"/>
          <w:spacing w:val="15"/>
          <w:szCs w:val="21"/>
          <w:highlight w:val="none"/>
          <w:u w:val="single"/>
        </w:rPr>
        <w:t xml:space="preserve">（企业名称）</w:t>
      </w:r>
      <w:r>
        <w:rPr>
          <w:rFonts w:ascii="宋体" w:hAnsi="宋体" w:cs="宋体"/>
          <w:color w:val="auto"/>
          <w:spacing w:val="15"/>
          <w:szCs w:val="21"/>
          <w:highlight w:val="none"/>
        </w:rPr>
        <w:t xml:space="preserve">，从业人员</w:t>
      </w:r>
      <w:r>
        <w:rPr>
          <w:rFonts w:ascii="宋体" w:hAnsi="宋体" w:cs="宋体"/>
          <w:color w:val="auto"/>
          <w:spacing w:val="15"/>
          <w:szCs w:val="21"/>
          <w:highlight w:val="none"/>
          <w:u w:val="single"/>
        </w:rPr>
        <w:t xml:space="preserve"> </w:t>
      </w:r>
      <w:r>
        <w:rPr>
          <w:rFonts w:ascii="宋体" w:hAnsi="宋体" w:cs="宋体"/>
          <w:color w:val="auto"/>
          <w:spacing w:val="15"/>
          <w:szCs w:val="21"/>
          <w:highlight w:val="none"/>
        </w:rPr>
        <w:t xml:space="preserve">人，营业收入为</w:t>
      </w:r>
      <w:r>
        <w:rPr>
          <w:rFonts w:ascii="宋体" w:hAnsi="宋体" w:cs="宋体"/>
          <w:color w:val="auto"/>
          <w:spacing w:val="15"/>
          <w:szCs w:val="21"/>
          <w:highlight w:val="none"/>
          <w:u w:val="single"/>
        </w:rPr>
        <w:t xml:space="preserve"> </w:t>
      </w:r>
      <w:r>
        <w:rPr>
          <w:rFonts w:ascii="宋体" w:hAnsi="宋体" w:cs="宋体"/>
          <w:color w:val="auto"/>
          <w:spacing w:val="15"/>
          <w:szCs w:val="21"/>
          <w:highlight w:val="none"/>
        </w:rPr>
        <w:t xml:space="preserve">万元，资产总额为</w:t>
      </w:r>
      <w:r>
        <w:rPr>
          <w:rFonts w:ascii="宋体" w:hAnsi="宋体" w:cs="宋体"/>
          <w:color w:val="auto"/>
          <w:spacing w:val="15"/>
          <w:szCs w:val="21"/>
          <w:highlight w:val="none"/>
          <w:u w:val="single"/>
        </w:rPr>
        <w:t xml:space="preserve"> </w:t>
      </w:r>
      <w:r>
        <w:rPr>
          <w:rFonts w:ascii="宋体" w:hAnsi="宋体" w:cs="宋体"/>
          <w:color w:val="auto"/>
          <w:spacing w:val="15"/>
          <w:szCs w:val="21"/>
          <w:highlight w:val="none"/>
        </w:rPr>
        <w:t xml:space="preserve">万元，属于</w:t>
      </w:r>
      <w:r>
        <w:rPr>
          <w:rFonts w:ascii="宋体" w:hAnsi="宋体" w:cs="宋体"/>
          <w:color w:val="auto"/>
          <w:spacing w:val="15"/>
          <w:szCs w:val="21"/>
          <w:highlight w:val="none"/>
          <w:u w:val="single"/>
        </w:rPr>
        <w:t xml:space="preserve">（中型企业、小型企业、微型企业）</w:t>
      </w:r>
      <w:r>
        <w:rPr>
          <w:rFonts w:ascii="宋体" w:hAnsi="宋体" w:cs="宋体"/>
          <w:color w:val="auto"/>
          <w:spacing w:val="15"/>
          <w:szCs w:val="21"/>
          <w:highlight w:val="none"/>
        </w:rPr>
        <w:t xml:space="preserve">； </w:t>
      </w:r>
      <w:r/>
    </w:p>
    <w:p>
      <w:pPr>
        <w:ind w:firstLine="480"/>
        <w:spacing w:line="360" w:lineRule="auto"/>
        <w:rPr>
          <w:rFonts w:hint="eastAsia" w:ascii="宋体" w:hAnsi="宋体" w:cs="宋体"/>
          <w:color w:val="auto"/>
          <w:spacing w:val="15"/>
          <w:szCs w:val="21"/>
          <w:highlight w:val="none"/>
        </w:rPr>
      </w:pPr>
      <w:r>
        <w:rPr>
          <w:rFonts w:ascii="宋体" w:hAnsi="宋体" w:cs="宋体"/>
          <w:color w:val="auto"/>
          <w:spacing w:val="15"/>
          <w:szCs w:val="21"/>
          <w:highlight w:val="none"/>
        </w:rPr>
        <w:t xml:space="preserve">…… </w:t>
      </w:r>
      <w:r/>
    </w:p>
    <w:p>
      <w:pPr>
        <w:ind w:firstLine="480"/>
        <w:spacing w:line="360" w:lineRule="auto"/>
        <w:rPr>
          <w:rFonts w:hint="eastAsia" w:ascii="宋体" w:hAnsi="宋体" w:cs="宋体"/>
          <w:color w:val="auto"/>
          <w:spacing w:val="15"/>
          <w:szCs w:val="21"/>
          <w:highlight w:val="none"/>
        </w:rPr>
      </w:pPr>
      <w:r>
        <w:rPr>
          <w:rFonts w:ascii="宋体" w:hAnsi="宋体" w:cs="宋体"/>
          <w:color w:val="auto"/>
          <w:spacing w:val="15"/>
          <w:szCs w:val="21"/>
          <w:highlight w:val="none"/>
        </w:rPr>
        <w:t xml:space="preserve">以上企业，不属于大企业的分支机构，不存在控股股东为大企业的情形，也不存在与大企业的负责人为同一人的情 形。 </w:t>
      </w:r>
      <w:r/>
    </w:p>
    <w:p>
      <w:pPr>
        <w:ind w:firstLine="480"/>
        <w:spacing w:line="360" w:lineRule="auto"/>
        <w:rPr>
          <w:rFonts w:hint="eastAsia" w:ascii="宋体" w:hAnsi="宋体" w:cs="宋体"/>
          <w:color w:val="auto"/>
          <w:spacing w:val="15"/>
          <w:szCs w:val="21"/>
          <w:highlight w:val="none"/>
        </w:rPr>
      </w:pPr>
      <w:r>
        <w:rPr>
          <w:rFonts w:ascii="宋体" w:hAnsi="宋体" w:cs="宋体"/>
          <w:color w:val="auto"/>
          <w:spacing w:val="15"/>
          <w:szCs w:val="21"/>
          <w:highlight w:val="none"/>
        </w:rPr>
        <w:t xml:space="preserve">本企业对上述声明内容的真实性负责。如有虚假，将依法承担相应责任。</w:t>
      </w:r>
      <w:r/>
    </w:p>
    <w:p>
      <w:pPr>
        <w:ind w:firstLine="480"/>
        <w:spacing w:line="360" w:lineRule="auto"/>
        <w:rPr>
          <w:rFonts w:hint="eastAsia" w:ascii="宋体" w:hAnsi="宋体" w:cs="宋体"/>
          <w:color w:val="auto"/>
          <w:spacing w:val="15"/>
          <w:szCs w:val="21"/>
          <w:highlight w:val="none"/>
        </w:rPr>
      </w:pPr>
      <w:r>
        <w:rPr>
          <w:rFonts w:hint="eastAsia" w:ascii="宋体" w:hAnsi="宋体" w:cs="宋体"/>
          <w:color w:val="auto"/>
          <w:spacing w:val="15"/>
          <w:szCs w:val="21"/>
          <w:highlight w:val="none"/>
        </w:rPr>
      </w:r>
      <w:r/>
    </w:p>
    <w:p>
      <w:pPr>
        <w:ind w:firstLine="480"/>
        <w:spacing w:line="360" w:lineRule="auto"/>
        <w:rPr>
          <w:rFonts w:hint="eastAsia" w:ascii="宋体" w:hAnsi="宋体" w:cs="宋体"/>
          <w:color w:val="auto"/>
          <w:spacing w:val="15"/>
          <w:szCs w:val="21"/>
          <w:highlight w:val="none"/>
        </w:rPr>
      </w:pPr>
      <w:r>
        <w:rPr>
          <w:rFonts w:ascii="宋体" w:hAnsi="宋体" w:cs="宋体"/>
          <w:color w:val="auto"/>
          <w:spacing w:val="15"/>
          <w:szCs w:val="21"/>
          <w:highlight w:val="none"/>
        </w:rPr>
        <w:t xml:space="preserve"> </w:t>
      </w:r>
      <w:r/>
    </w:p>
    <w:p>
      <w:pPr>
        <w:ind w:firstLine="4560"/>
        <w:spacing w:line="360" w:lineRule="auto"/>
        <w:rPr>
          <w:rFonts w:hint="eastAsia" w:ascii="宋体" w:hAnsi="宋体" w:cs="宋体"/>
          <w:color w:val="auto"/>
          <w:spacing w:val="15"/>
          <w:szCs w:val="21"/>
          <w:highlight w:val="none"/>
        </w:rPr>
      </w:pPr>
      <w:r>
        <w:rPr>
          <w:rFonts w:ascii="宋体" w:hAnsi="宋体" w:cs="宋体"/>
          <w:color w:val="auto"/>
          <w:spacing w:val="15"/>
          <w:szCs w:val="21"/>
          <w:highlight w:val="none"/>
        </w:rPr>
        <w:t xml:space="preserve">企业名称（加盖电子公章）：</w:t>
      </w:r>
      <w:r/>
    </w:p>
    <w:p>
      <w:pPr>
        <w:ind w:firstLine="4560"/>
        <w:spacing w:line="360" w:lineRule="auto"/>
        <w:rPr>
          <w:rFonts w:hint="eastAsia" w:ascii="宋体" w:hAnsi="宋体" w:cs="宋体"/>
          <w:color w:val="auto"/>
          <w:spacing w:val="15"/>
          <w:szCs w:val="21"/>
          <w:highlight w:val="none"/>
        </w:rPr>
      </w:pPr>
      <w:r>
        <w:rPr>
          <w:rFonts w:ascii="宋体" w:hAnsi="宋体" w:cs="宋体"/>
          <w:color w:val="auto"/>
          <w:spacing w:val="15"/>
          <w:szCs w:val="21"/>
          <w:highlight w:val="none"/>
        </w:rPr>
        <w:t xml:space="preserve">日 期：</w:t>
      </w:r>
      <w:r/>
    </w:p>
    <w:p>
      <w:pPr>
        <w:ind w:firstLine="4200"/>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200"/>
        <w:spacing w:line="360" w:lineRule="auto"/>
        <w:rPr>
          <w:rFonts w:hint="eastAsia" w:ascii="宋体" w:hAnsi="宋体" w:cs="宋体"/>
          <w:color w:val="auto"/>
          <w:highlight w:val="none"/>
        </w:rPr>
      </w:pPr>
      <w:r>
        <w:rPr>
          <w:rFonts w:hint="eastAsia" w:ascii="宋体" w:hAnsi="宋体" w:cs="宋体"/>
          <w:color w:val="auto"/>
          <w:highlight w:val="none"/>
        </w:rPr>
      </w:r>
      <w:r/>
    </w:p>
    <w:p>
      <w:pPr>
        <w:pStyle w:val="856"/>
        <w:rPr>
          <w:rFonts w:hint="eastAsia" w:ascii="宋体" w:hAnsi="宋体" w:cs="宋体"/>
          <w:color w:val="auto"/>
          <w:highlight w:val="none"/>
        </w:rPr>
      </w:pPr>
      <w:r>
        <w:rPr>
          <w:rFonts w:ascii="宋体" w:hAnsi="宋体" w:cs="宋体"/>
          <w:color w:val="auto"/>
          <w:highlight w:val="none"/>
        </w:rPr>
        <w:br w:type="page" w:clear="all"/>
      </w:r>
      <w:r>
        <w:rPr>
          <w:rFonts w:hint="eastAsia" w:ascii="宋体" w:hAnsi="宋体" w:cs="宋体"/>
          <w:color w:val="auto"/>
          <w:highlight w:val="none"/>
        </w:rPr>
        <w:t xml:space="preserve">附件九、无重大违法记录声明格式</w:t>
      </w:r>
      <w:r/>
    </w:p>
    <w:p>
      <w:pPr>
        <w:jc w:val="cente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无重大违法记录声明</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szCs w:val="21"/>
          <w:highlight w:val="none"/>
          <w:lang w:val="zh-CN"/>
        </w:rPr>
        <w:t xml:space="preserve">南京市公安局</w:t>
      </w:r>
      <w:r>
        <w:rPr>
          <w:rFonts w:hint="eastAsia" w:ascii="宋体" w:hAnsi="宋体" w:cs="宋体"/>
          <w:color w:val="auto"/>
          <w:highlight w:val="none"/>
        </w:rPr>
        <w:t xml:space="preserve">：</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    我单位</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（供应商名称）郑重声明：</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    参加政府采购活动前3年内在经营活动中</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（在下划线上如实填写：有或没有）重大违法记录。</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right"/>
        <w:spacing w:line="360" w:lineRule="auto"/>
        <w:rPr>
          <w:rFonts w:hint="eastAsia" w:ascii="宋体" w:hAnsi="宋体" w:cs="宋体"/>
          <w:color w:val="auto"/>
          <w:sz w:val="30"/>
          <w:szCs w:val="30"/>
          <w:highlight w:val="none"/>
        </w:rPr>
      </w:pPr>
      <w:r>
        <w:rPr>
          <w:rFonts w:hint="eastAsia" w:ascii="宋体" w:hAnsi="宋体" w:cs="宋体"/>
          <w:color w:val="auto"/>
          <w:highlight w:val="none"/>
        </w:rPr>
        <w:t xml:space="preserve">                                                      声明人：（加盖电子公章）</w:t>
      </w:r>
      <w:r/>
    </w:p>
    <w:p>
      <w:pPr>
        <w:jc w:val="righ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日        期：        年    月    日</w:t>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pStyle w:val="856"/>
        <w:rPr>
          <w:color w:val="auto"/>
          <w:highlight w:val="none"/>
        </w:rPr>
      </w:pPr>
      <w:r>
        <w:rPr>
          <w:rFonts w:hint="eastAsia"/>
          <w:color w:val="auto"/>
          <w:highlight w:val="none"/>
        </w:rPr>
        <w:t xml:space="preserve">附件十、具备履行合同所必需的设备和专业技术能力的声明格式及证明材料</w:t>
      </w:r>
      <w:r/>
    </w:p>
    <w:p>
      <w:pP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  具备履行合同所必需的设备和专业技术能力的声明格式</w:t>
      </w:r>
      <w:r/>
    </w:p>
    <w:p>
      <w:pPr>
        <w:spacing w:line="360" w:lineRule="auto"/>
        <w:rPr>
          <w:rFonts w:hint="eastAsia" w:ascii="宋体" w:hAnsi="宋体" w:cs="宋体"/>
          <w:color w:val="auto"/>
          <w:highlight w:val="none"/>
        </w:rPr>
      </w:pPr>
      <w:r>
        <w:rPr>
          <w:rFonts w:hint="eastAsia" w:ascii="宋体" w:hAnsi="宋体" w:cs="宋体"/>
          <w:color w:val="auto"/>
          <w:szCs w:val="21"/>
          <w:highlight w:val="none"/>
          <w:lang w:val="zh-CN"/>
        </w:rPr>
        <w:t xml:space="preserve">南京市公安局</w:t>
      </w:r>
      <w:r>
        <w:rPr>
          <w:rFonts w:hint="eastAsia" w:ascii="宋体" w:hAnsi="宋体" w:cs="宋体"/>
          <w:color w:val="auto"/>
          <w:highlight w:val="none"/>
        </w:rPr>
        <w:t xml:space="preserve">：</w:t>
      </w:r>
      <w:r/>
    </w:p>
    <w:p>
      <w:pPr>
        <w:ind w:firstLine="492"/>
        <w:spacing w:line="360" w:lineRule="auto"/>
        <w:rPr>
          <w:rFonts w:hint="eastAsia" w:ascii="宋体" w:hAnsi="宋体" w:cs="宋体"/>
          <w:color w:val="auto"/>
          <w:highlight w:val="none"/>
        </w:rPr>
      </w:pPr>
      <w:r>
        <w:rPr>
          <w:rFonts w:hint="eastAsia" w:ascii="宋体" w:hAnsi="宋体" w:cs="宋体"/>
          <w:color w:val="auto"/>
          <w:highlight w:val="none"/>
        </w:rPr>
        <w:t xml:space="preserve">我单位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（供应商名称）郑重声明：我公司具备履行本项采购合同所必需的设备和专业技术能力，为履行本项采购合同我单位具备如下主要设备和主要专业技术能力：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cs="宋体"/>
          <w:color w:val="auto"/>
          <w:highlight w:val="none"/>
        </w:rPr>
      </w:pPr>
      <w:r>
        <w:rPr>
          <w:rFonts w:hint="eastAsia" w:ascii="宋体" w:hAnsi="宋体" w:cs="宋体"/>
          <w:color w:val="auto"/>
          <w:highlight w:val="none"/>
        </w:rPr>
        <w:t xml:space="preserve">主要设备有：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若有 )</w:t>
      </w:r>
      <w:r/>
    </w:p>
    <w:p>
      <w:pPr>
        <w:ind w:firstLine="492"/>
        <w:spacing w:line="360" w:lineRule="auto"/>
        <w:rPr>
          <w:rFonts w:hint="eastAsia" w:ascii="宋体" w:hAnsi="宋体" w:cs="宋体"/>
          <w:color w:val="auto"/>
          <w:highlight w:val="none"/>
        </w:rPr>
      </w:pPr>
      <w:r>
        <w:rPr>
          <w:rFonts w:hint="eastAsia" w:ascii="宋体" w:hAnsi="宋体" w:cs="宋体"/>
          <w:color w:val="auto"/>
          <w:highlight w:val="none"/>
        </w:rPr>
        <w:t xml:space="preserve">主要专业技术能力有：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 若有 )</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right"/>
        <w:spacing w:line="360" w:lineRule="auto"/>
        <w:rPr>
          <w:rFonts w:hint="eastAsia" w:ascii="宋体" w:hAnsi="宋体" w:cs="宋体"/>
          <w:color w:val="auto"/>
          <w:highlight w:val="none"/>
        </w:rPr>
      </w:pPr>
      <w:r>
        <w:rPr>
          <w:rFonts w:hint="eastAsia" w:ascii="宋体" w:hAnsi="宋体" w:cs="宋体"/>
          <w:color w:val="auto"/>
          <w:highlight w:val="none"/>
        </w:rPr>
        <w:t xml:space="preserve">                                           声明人：（加盖电子公章）</w:t>
      </w:r>
      <w:r/>
    </w:p>
    <w:p>
      <w:pPr>
        <w:jc w:val="right"/>
        <w:spacing w:line="360" w:lineRule="auto"/>
        <w:rPr>
          <w:rFonts w:hint="eastAsia" w:ascii="宋体" w:hAnsi="宋体" w:cs="宋体"/>
          <w:color w:val="auto"/>
          <w:highlight w:val="none"/>
        </w:rPr>
      </w:pPr>
      <w:r>
        <w:rPr>
          <w:rFonts w:hint="eastAsia" w:ascii="宋体" w:hAnsi="宋体" w:cs="宋体"/>
          <w:color w:val="auto"/>
          <w:highlight w:val="none"/>
        </w:rPr>
        <w:t xml:space="preserve">日期：          年    月    日</w:t>
      </w:r>
      <w:r/>
    </w:p>
    <w:p>
      <w:pPr>
        <w:jc w:val="right"/>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pStyle w:val="856"/>
        <w:rPr>
          <w:rFonts w:hint="eastAsia" w:ascii="宋体" w:hAnsi="宋体" w:cs="宋体"/>
          <w:color w:val="auto"/>
          <w:szCs w:val="21"/>
          <w:highlight w:val="none"/>
        </w:rPr>
      </w:pPr>
      <w:r/>
      <w:bookmarkStart w:id="63" w:name="_Hlk40203486"/>
      <w:r>
        <w:rPr>
          <w:rFonts w:ascii="宋体" w:hAnsi="宋体" w:cs="宋体"/>
          <w:color w:val="auto"/>
          <w:highlight w:val="none"/>
        </w:rPr>
        <w:br w:type="page" w:clear="all"/>
      </w:r>
      <w:r>
        <w:rPr>
          <w:rFonts w:hint="eastAsia" w:ascii="宋体" w:hAnsi="宋体" w:cs="宋体"/>
          <w:color w:val="auto"/>
          <w:highlight w:val="none"/>
        </w:rPr>
        <w:t xml:space="preserve">附件十一、</w:t>
      </w:r>
      <w:r>
        <w:rPr>
          <w:rFonts w:hint="eastAsia" w:ascii="宋体" w:hAnsi="宋体" w:cs="宋体"/>
          <w:color w:val="auto"/>
          <w:szCs w:val="21"/>
          <w:highlight w:val="none"/>
        </w:rPr>
        <w:t xml:space="preserve">信用承诺函</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信用承诺函</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我公司（单位）</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（投标人名称）郑重承诺，我公司（单位）符合下列要求：</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（一）具有独立承担民事责任的能力；</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（二）具有良好的商业信誉和健全的财务会计制度；</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（三）具有履行合同所必需的设备和专业技术能力；</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（四）有依法缴纳税收和社会保障资金的良好记录；</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（五）参加政府采购活动前三年内，在经营活动中没有重大违法记录；</w:t>
      </w:r>
      <w:r/>
    </w:p>
    <w:p>
      <w:pPr>
        <w:ind w:firstLine="492"/>
        <w:spacing w:line="4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（六）我公司（单位）已知晓：单位负责人为同一人或者存在直接控股、管理关系的不同投标人，不得参加同一合同项下的政府采购活动；</w:t>
      </w:r>
      <w:r/>
    </w:p>
    <w:p>
      <w:pPr>
        <w:ind w:firstLine="492"/>
        <w:spacing w:line="4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（七）未参加此项目的整体设计、规范编制或者项目管理、监理、检测等服务。</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如果我公司（单位）中标，将在中标结果公示后七个工作日内向采购人提供下列材料核验：</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1.营业执照副本或事业单位法人登记证书或其他证明材料；</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3.履行合同所必需的设备和专业技术能力证明材料；</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4.参加本次政府采购活动前半年内至少一个月缴纳增值税，或营业税，或企业所得税的凭据；并提供缴纳社会保险的凭据（专用收据或社会保险缴纳清单）。</w:t>
      </w:r>
      <w:r/>
    </w:p>
    <w:p>
      <w:pPr>
        <w:ind w:firstLine="492"/>
        <w:spacing w:line="460" w:lineRule="exact"/>
        <w:rPr>
          <w:color w:val="auto"/>
          <w:sz w:val="24"/>
          <w:szCs w:val="24"/>
          <w:highlight w:val="none"/>
        </w:rPr>
      </w:pPr>
      <w:r>
        <w:rPr>
          <w:rFonts w:hint="eastAsia"/>
          <w:color w:val="auto"/>
          <w:sz w:val="24"/>
          <w:szCs w:val="24"/>
          <w:highlight w:val="none"/>
        </w:rPr>
        <w:t xml:space="preserve">我公司（单位）对上述承诺内容的真实性、合法性、有效性负责，如有虚假，将依法承担相应责任。</w:t>
      </w:r>
      <w:r/>
    </w:p>
    <w:p>
      <w:pPr>
        <w:ind w:firstLine="492"/>
        <w:spacing w:line="460" w:lineRule="exact"/>
        <w:rPr>
          <w:color w:val="auto"/>
          <w:sz w:val="24"/>
          <w:szCs w:val="24"/>
          <w:highlight w:val="none"/>
        </w:rPr>
      </w:pPr>
      <w:r>
        <w:rPr>
          <w:color w:val="auto"/>
          <w:sz w:val="24"/>
          <w:szCs w:val="24"/>
          <w:highlight w:val="none"/>
        </w:rPr>
      </w:r>
      <w:r/>
    </w:p>
    <w:p>
      <w:pPr>
        <w:pStyle w:val="1030"/>
        <w:rPr>
          <w:color w:val="auto"/>
          <w:sz w:val="24"/>
          <w:szCs w:val="24"/>
          <w:highlight w:val="none"/>
        </w:rPr>
      </w:pPr>
      <w:r>
        <w:rPr>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ind w:firstLine="6240"/>
        <w:spacing w:line="560" w:lineRule="exact"/>
        <w:rPr>
          <w:rFonts w:hint="eastAsia" w:ascii="宋体" w:hAnsi="宋体"/>
          <w:color w:val="auto"/>
          <w:sz w:val="24"/>
          <w:szCs w:val="24"/>
          <w:highlight w:val="none"/>
        </w:rPr>
      </w:pPr>
      <w:r>
        <w:rPr>
          <w:rFonts w:hint="eastAsia"/>
          <w:color w:val="auto"/>
          <w:sz w:val="24"/>
          <w:szCs w:val="24"/>
          <w:highlight w:val="none"/>
        </w:rPr>
        <w:t xml:space="preserve">日  期：</w:t>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ind w:right="480" w:firstLine="4457"/>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856"/>
        <w:rPr>
          <w:rFonts w:hint="eastAsia" w:ascii="宋体" w:hAnsi="宋体" w:cs="宋体"/>
          <w:color w:val="auto"/>
          <w:spacing w:val="15"/>
          <w:szCs w:val="21"/>
          <w:highlight w:val="none"/>
        </w:rPr>
      </w:pPr>
      <w:r>
        <w:rPr>
          <w:rFonts w:hint="eastAsia" w:ascii="宋体" w:hAnsi="宋体" w:cs="宋体"/>
          <w:color w:val="auto"/>
          <w:spacing w:val="15"/>
          <w:szCs w:val="21"/>
          <w:highlight w:val="none"/>
        </w:rPr>
        <w:t xml:space="preserve">附件十二、</w:t>
      </w:r>
      <w:r>
        <w:rPr>
          <w:rFonts w:hint="eastAsia" w:ascii="宋体" w:hAnsi="宋体" w:cs="宋体"/>
          <w:bCs/>
          <w:color w:val="auto"/>
          <w:spacing w:val="15"/>
          <w:szCs w:val="21"/>
          <w:highlight w:val="none"/>
        </w:rPr>
        <w:t xml:space="preserve">安全生产责任承诺书</w:t>
      </w:r>
      <w:r/>
    </w:p>
    <w:p>
      <w:pPr>
        <w:jc w:val="center"/>
        <w:spacing w:line="360" w:lineRule="auto"/>
        <w:rPr>
          <w:rFonts w:hint="eastAsia" w:ascii="宋体" w:hAnsi="宋体" w:cs="宋体"/>
          <w:b/>
          <w:bCs/>
          <w:color w:val="auto"/>
          <w:spacing w:val="15"/>
          <w:szCs w:val="21"/>
          <w:highlight w:val="none"/>
        </w:rPr>
      </w:pPr>
      <w:r>
        <w:rPr>
          <w:rFonts w:hint="eastAsia" w:ascii="宋体" w:hAnsi="宋体" w:cs="宋体"/>
          <w:b/>
          <w:bCs/>
          <w:color w:val="auto"/>
          <w:spacing w:val="15"/>
          <w:szCs w:val="21"/>
          <w:highlight w:val="none"/>
        </w:rPr>
        <w:t xml:space="preserve">安全生产责任承诺书</w:t>
      </w:r>
      <w:r/>
    </w:p>
    <w:p>
      <w:pPr>
        <w:jc w:val="center"/>
        <w:spacing w:line="360" w:lineRule="auto"/>
        <w:rPr>
          <w:rFonts w:hint="eastAsia" w:ascii="宋体" w:hAnsi="宋体" w:cs="宋体"/>
          <w:b/>
          <w:bCs/>
          <w:color w:val="auto"/>
          <w:spacing w:val="15"/>
          <w:szCs w:val="21"/>
          <w:highlight w:val="none"/>
        </w:rPr>
      </w:pPr>
      <w:r>
        <w:rPr>
          <w:rFonts w:hint="eastAsia" w:ascii="宋体" w:hAnsi="宋体" w:cs="宋体"/>
          <w:b/>
          <w:bCs/>
          <w:color w:val="auto"/>
          <w:spacing w:val="15"/>
          <w:szCs w:val="21"/>
          <w:highlight w:val="none"/>
        </w:rPr>
      </w:r>
      <w:r/>
    </w:p>
    <w:p>
      <w:pPr>
        <w:jc w:val="left"/>
        <w:spacing w:line="360" w:lineRule="auto"/>
        <w:rPr>
          <w:rFonts w:hint="eastAsia" w:ascii="宋体" w:hAnsi="宋体" w:cs="宋体"/>
          <w:color w:val="auto"/>
          <w:spacing w:val="15"/>
          <w:szCs w:val="21"/>
          <w:highlight w:val="none"/>
          <w:u w:val="single"/>
        </w:rPr>
      </w:pPr>
      <w:r>
        <w:rPr>
          <w:rFonts w:hint="eastAsia" w:ascii="宋体" w:hAnsi="宋体" w:cs="宋体"/>
          <w:b/>
          <w:bCs/>
          <w:color w:val="auto"/>
          <w:szCs w:val="21"/>
          <w:highlight w:val="none"/>
          <w:u w:val="single"/>
        </w:rPr>
        <w:t xml:space="preserve">                  </w:t>
      </w:r>
      <w:r/>
    </w:p>
    <w:p>
      <w:pPr>
        <w:ind w:firstLine="480"/>
        <w:jc w:val="left"/>
        <w:spacing w:line="360" w:lineRule="auto"/>
        <w:rPr>
          <w:rFonts w:hint="eastAsia" w:ascii="宋体" w:hAnsi="宋体" w:cs="宋体"/>
          <w:color w:val="auto"/>
          <w:spacing w:val="15"/>
          <w:szCs w:val="21"/>
          <w:highlight w:val="none"/>
        </w:rPr>
      </w:pPr>
      <w:r>
        <w:rPr>
          <w:rFonts w:hint="eastAsia" w:ascii="宋体" w:hAnsi="宋体" w:cs="宋体"/>
          <w:color w:val="auto"/>
          <w:spacing w:val="15"/>
          <w:szCs w:val="21"/>
          <w:highlight w:val="none"/>
        </w:rPr>
        <w:t xml:space="preserve">我公司现向贵单位承诺，我公司在</w:t>
      </w:r>
      <w:r>
        <w:rPr>
          <w:rFonts w:hint="eastAsia" w:ascii="宋体" w:hAnsi="宋体" w:cs="宋体"/>
          <w:b/>
          <w:color w:val="auto"/>
          <w:szCs w:val="21"/>
          <w:highlight w:val="none"/>
        </w:rPr>
        <w:t xml:space="preserve">项目名称：</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 xml:space="preserve">实施</w:t>
      </w:r>
      <w:r>
        <w:rPr>
          <w:rFonts w:hint="eastAsia" w:ascii="宋体" w:hAnsi="宋体" w:cs="宋体"/>
          <w:color w:val="auto"/>
          <w:spacing w:val="15"/>
          <w:szCs w:val="21"/>
          <w:highlight w:val="none"/>
        </w:rPr>
        <w:t xml:space="preserve">过程中，保证不发生重大人员伤亡事故，在此服务过程中所发生的一切工伤事故，或安全事故，均由我公司承担一切责任。</w:t>
      </w:r>
      <w:r/>
    </w:p>
    <w:p>
      <w:pPr>
        <w:jc w:val="left"/>
        <w:spacing w:line="360" w:lineRule="auto"/>
        <w:rPr>
          <w:rFonts w:hint="eastAsia" w:ascii="宋体" w:hAnsi="宋体" w:cs="宋体"/>
          <w:color w:val="auto"/>
          <w:spacing w:val="15"/>
          <w:szCs w:val="21"/>
          <w:highlight w:val="none"/>
        </w:rPr>
      </w:pPr>
      <w:r>
        <w:rPr>
          <w:rFonts w:hint="eastAsia" w:ascii="宋体" w:hAnsi="宋体" w:cs="宋体"/>
          <w:color w:val="auto"/>
          <w:spacing w:val="15"/>
          <w:szCs w:val="21"/>
          <w:highlight w:val="none"/>
        </w:rPr>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360" w:lineRule="auto"/>
        <w:rPr>
          <w:rFonts w:hint="eastAsia" w:ascii="宋体" w:hAnsi="宋体" w:cs="宋体"/>
          <w:color w:val="auto"/>
          <w:spacing w:val="15"/>
          <w:szCs w:val="21"/>
          <w:highlight w:val="none"/>
        </w:rPr>
      </w:pPr>
      <w:r>
        <w:rPr>
          <w:rFonts w:hint="eastAsia" w:ascii="宋体" w:hAnsi="宋体" w:cs="宋体"/>
          <w:color w:val="auto"/>
          <w:spacing w:val="15"/>
          <w:szCs w:val="21"/>
          <w:highlight w:val="none"/>
        </w:rPr>
      </w:r>
      <w:r/>
    </w:p>
    <w:p>
      <w:pPr>
        <w:jc w:val="left"/>
        <w:spacing w:line="360" w:lineRule="auto"/>
        <w:rPr>
          <w:rFonts w:hint="eastAsia" w:ascii="宋体" w:hAnsi="宋体" w:cs="宋体"/>
          <w:color w:val="auto"/>
          <w:spacing w:val="15"/>
          <w:szCs w:val="21"/>
          <w:highlight w:val="none"/>
          <w:u w:val="single"/>
        </w:rPr>
      </w:pPr>
      <w:r>
        <w:rPr>
          <w:rFonts w:hint="eastAsia" w:ascii="宋体" w:hAnsi="宋体" w:cs="宋体"/>
          <w:color w:val="auto"/>
          <w:spacing w:val="15"/>
          <w:szCs w:val="21"/>
          <w:highlight w:val="none"/>
        </w:rPr>
        <w:t xml:space="preserve">法定代表人（签字或盖章）：</w:t>
      </w:r>
      <w:r/>
    </w:p>
    <w:p>
      <w:pPr>
        <w:jc w:val="left"/>
        <w:spacing w:line="360" w:lineRule="auto"/>
        <w:rPr>
          <w:rFonts w:hint="eastAsia" w:ascii="宋体" w:hAnsi="宋体" w:cs="宋体"/>
          <w:color w:val="auto"/>
          <w:spacing w:val="15"/>
          <w:szCs w:val="21"/>
          <w:highlight w:val="none"/>
        </w:rPr>
      </w:pPr>
      <w:r>
        <w:rPr>
          <w:rFonts w:hint="eastAsia" w:ascii="宋体" w:hAnsi="宋体" w:cs="宋体"/>
          <w:color w:val="auto"/>
          <w:spacing w:val="15"/>
          <w:szCs w:val="21"/>
          <w:highlight w:val="none"/>
        </w:rPr>
      </w:r>
      <w:r/>
    </w:p>
    <w:p>
      <w:pPr>
        <w:jc w:val="left"/>
        <w:spacing w:line="360" w:lineRule="auto"/>
        <w:rPr>
          <w:rFonts w:hint="eastAsia" w:ascii="宋体" w:hAnsi="宋体" w:cs="宋体"/>
          <w:color w:val="auto"/>
          <w:spacing w:val="15"/>
          <w:szCs w:val="21"/>
          <w:highlight w:val="none"/>
          <w:u w:val="single"/>
        </w:rPr>
      </w:pPr>
      <w:r>
        <w:rPr>
          <w:rFonts w:hint="eastAsia" w:ascii="宋体" w:hAnsi="宋体" w:cs="宋体"/>
          <w:color w:val="auto"/>
          <w:spacing w:val="15"/>
          <w:szCs w:val="21"/>
          <w:highlight w:val="none"/>
        </w:rPr>
        <w:t xml:space="preserve">日期：</w:t>
      </w:r>
      <w:bookmarkEnd w:id="63"/>
      <w:r/>
      <w:r/>
    </w:p>
    <w:p>
      <w:pPr>
        <w:spacing w:line="360" w:lineRule="auto"/>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pStyle w:val="856"/>
        <w:rPr>
          <w:rFonts w:hint="eastAsia" w:ascii="宋体" w:hAnsi="宋体" w:cs="Trebuchet MS"/>
          <w:color w:val="auto"/>
          <w:szCs w:val="21"/>
          <w:highlight w:val="none"/>
          <w:lang w:val="zh-CN"/>
        </w:rPr>
      </w:pPr>
      <w:r/>
      <w:bookmarkStart w:id="64" w:name="_Toc190329549"/>
      <w:r>
        <w:rPr>
          <w:rFonts w:hint="eastAsia" w:ascii="宋体" w:hAnsi="宋体"/>
          <w:bCs/>
          <w:color w:val="auto"/>
          <w:szCs w:val="21"/>
          <w:highlight w:val="none"/>
        </w:rPr>
        <w:t xml:space="preserve">附件十三、供应商项目业绩</w:t>
      </w:r>
      <w:bookmarkEnd w:id="64"/>
      <w:r/>
      <w:r/>
    </w:p>
    <w:p>
      <w:pPr>
        <w:jc w:val="center"/>
        <w:spacing w:line="360" w:lineRule="auto"/>
        <w:rPr>
          <w:rFonts w:hint="eastAsia" w:ascii="宋体" w:hAnsi="宋体" w:cs="ˎ̥"/>
          <w:b/>
          <w:bCs/>
          <w:color w:val="auto"/>
          <w:szCs w:val="21"/>
          <w:highlight w:val="none"/>
          <w:lang w:val="zh-CN"/>
        </w:rPr>
      </w:pPr>
      <w:r>
        <w:rPr>
          <w:rFonts w:hint="eastAsia" w:ascii="宋体" w:hAnsi="宋体"/>
          <w:b/>
          <w:bCs/>
          <w:color w:val="auto"/>
          <w:szCs w:val="21"/>
          <w:highlight w:val="none"/>
        </w:rPr>
        <w:t xml:space="preserve">供应商项目业绩情况</w:t>
      </w:r>
      <w:r>
        <w:rPr>
          <w:rFonts w:hint="eastAsia" w:ascii="宋体" w:hAnsi="宋体" w:cs="ˎ̥"/>
          <w:b/>
          <w:bCs/>
          <w:color w:val="auto"/>
          <w:szCs w:val="21"/>
          <w:highlight w:val="none"/>
          <w:lang w:val="zh-CN"/>
        </w:rPr>
        <w:t xml:space="preserve">表（合同）</w:t>
      </w:r>
      <w:r/>
    </w:p>
    <w:tbl>
      <w:tblPr>
        <w:tblStyle w:val="865"/>
        <w:tblW w:w="87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5"/>
        <w:gridCol w:w="1677"/>
        <w:gridCol w:w="1985"/>
        <w:gridCol w:w="1984"/>
        <w:gridCol w:w="1276"/>
      </w:tblGrid>
      <w:tr>
        <w:trPr>
          <w:jc w:val="center"/>
          <w:trHeight w:val="500"/>
          <w:tblHeader/>
        </w:trPr>
        <w:tc>
          <w:tcPr>
            <w:tcW w:w="1835" w:type="dxa"/>
            <w:vAlign w:val="center"/>
            <w:textDirection w:val="lrTb"/>
            <w:noWrap w:val="false"/>
          </w:tcPr>
          <w:p>
            <w:pPr>
              <w:jc w:val="center"/>
              <w:spacing w:line="360" w:lineRule="auto"/>
              <w:rPr>
                <w:rFonts w:hint="eastAsia" w:ascii="宋体" w:hAnsi="宋体"/>
                <w:b/>
                <w:color w:val="auto"/>
                <w:sz w:val="22"/>
                <w:highlight w:val="none"/>
              </w:rPr>
            </w:pPr>
            <w:r>
              <w:rPr>
                <w:rFonts w:hint="eastAsia" w:ascii="宋体" w:hAnsi="宋体"/>
                <w:b/>
                <w:color w:val="auto"/>
                <w:sz w:val="22"/>
                <w:highlight w:val="none"/>
              </w:rPr>
              <w:t xml:space="preserve">序号</w:t>
            </w:r>
            <w:r/>
          </w:p>
        </w:tc>
        <w:tc>
          <w:tcPr>
            <w:tcW w:w="1677" w:type="dxa"/>
            <w:vAlign w:val="center"/>
            <w:textDirection w:val="lrTb"/>
            <w:noWrap w:val="false"/>
          </w:tcPr>
          <w:p>
            <w:pPr>
              <w:jc w:val="center"/>
              <w:spacing w:line="360" w:lineRule="auto"/>
              <w:rPr>
                <w:rFonts w:hint="eastAsia" w:ascii="宋体" w:hAnsi="宋体"/>
                <w:b/>
                <w:color w:val="auto"/>
                <w:sz w:val="22"/>
                <w:highlight w:val="none"/>
              </w:rPr>
            </w:pPr>
            <w:r>
              <w:rPr>
                <w:rFonts w:hint="eastAsia" w:ascii="宋体" w:hAnsi="宋体"/>
                <w:b/>
                <w:color w:val="auto"/>
                <w:sz w:val="22"/>
                <w:highlight w:val="none"/>
              </w:rPr>
              <w:t xml:space="preserve">项目名称</w:t>
            </w:r>
            <w:r/>
          </w:p>
        </w:tc>
        <w:tc>
          <w:tcPr>
            <w:tcW w:w="1985" w:type="dxa"/>
            <w:vAlign w:val="center"/>
            <w:textDirection w:val="lrTb"/>
            <w:noWrap w:val="false"/>
          </w:tcPr>
          <w:p>
            <w:pPr>
              <w:jc w:val="center"/>
              <w:spacing w:line="360" w:lineRule="auto"/>
              <w:rPr>
                <w:rFonts w:hint="eastAsia" w:ascii="宋体" w:hAnsi="宋体"/>
                <w:b/>
                <w:color w:val="auto"/>
                <w:sz w:val="22"/>
                <w:highlight w:val="none"/>
              </w:rPr>
            </w:pPr>
            <w:r>
              <w:rPr>
                <w:rFonts w:hint="eastAsia" w:ascii="宋体" w:hAnsi="宋体"/>
                <w:b/>
                <w:color w:val="auto"/>
                <w:sz w:val="22"/>
                <w:highlight w:val="none"/>
              </w:rPr>
              <w:t xml:space="preserve">委托人</w:t>
            </w:r>
            <w:r/>
          </w:p>
        </w:tc>
        <w:tc>
          <w:tcPr>
            <w:tcW w:w="1984" w:type="dxa"/>
            <w:vAlign w:val="center"/>
            <w:textDirection w:val="lrTb"/>
            <w:noWrap w:val="false"/>
          </w:tcPr>
          <w:p>
            <w:pPr>
              <w:jc w:val="center"/>
              <w:spacing w:line="360" w:lineRule="auto"/>
              <w:rPr>
                <w:rFonts w:hint="eastAsia" w:ascii="宋体" w:hAnsi="宋体"/>
                <w:b/>
                <w:color w:val="auto"/>
                <w:sz w:val="22"/>
                <w:highlight w:val="none"/>
              </w:rPr>
            </w:pPr>
            <w:r>
              <w:rPr>
                <w:rFonts w:hint="eastAsia" w:ascii="宋体" w:hAnsi="宋体"/>
                <w:b/>
                <w:color w:val="auto"/>
                <w:sz w:val="22"/>
                <w:highlight w:val="none"/>
              </w:rPr>
              <w:t xml:space="preserve">合同约定主要工作内容</w:t>
            </w:r>
            <w:r/>
          </w:p>
        </w:tc>
        <w:tc>
          <w:tcPr>
            <w:tcW w:w="1276" w:type="dxa"/>
            <w:vAlign w:val="center"/>
            <w:textDirection w:val="lrTb"/>
            <w:noWrap w:val="false"/>
          </w:tcPr>
          <w:p>
            <w:pPr>
              <w:jc w:val="center"/>
              <w:spacing w:line="360" w:lineRule="auto"/>
              <w:rPr>
                <w:rFonts w:hint="eastAsia" w:ascii="宋体" w:hAnsi="宋体"/>
                <w:b/>
                <w:color w:val="auto"/>
                <w:sz w:val="22"/>
                <w:highlight w:val="none"/>
              </w:rPr>
            </w:pPr>
            <w:r>
              <w:rPr>
                <w:rFonts w:hint="eastAsia" w:ascii="宋体" w:hAnsi="宋体"/>
                <w:b/>
                <w:color w:val="auto"/>
                <w:sz w:val="22"/>
                <w:highlight w:val="none"/>
              </w:rPr>
              <w:t xml:space="preserve">备注</w:t>
            </w:r>
            <w:r/>
          </w:p>
        </w:tc>
      </w:tr>
      <w:tr>
        <w:trPr>
          <w:jc w:val="center"/>
        </w:trPr>
        <w:tc>
          <w:tcPr>
            <w:tcW w:w="1835" w:type="dxa"/>
            <w:vAlign w:val="center"/>
            <w:textDirection w:val="lrTb"/>
            <w:noWrap w:val="false"/>
          </w:tcPr>
          <w:p>
            <w:pPr>
              <w:spacing w:line="360" w:lineRule="auto"/>
              <w:rPr>
                <w:rFonts w:hint="eastAsia" w:ascii="宋体" w:hAnsi="宋体"/>
                <w:color w:val="auto"/>
                <w:sz w:val="22"/>
                <w:highlight w:val="none"/>
              </w:rPr>
            </w:pPr>
            <w:r>
              <w:rPr>
                <w:rFonts w:hint="eastAsia" w:ascii="宋体" w:hAnsi="宋体"/>
                <w:color w:val="auto"/>
                <w:sz w:val="22"/>
                <w:highlight w:val="none"/>
              </w:rPr>
            </w:r>
            <w:r/>
          </w:p>
        </w:tc>
        <w:tc>
          <w:tcPr>
            <w:tcW w:w="1677" w:type="dxa"/>
            <w:vAlign w:val="center"/>
            <w:textDirection w:val="lrTb"/>
            <w:noWrap w:val="false"/>
          </w:tcPr>
          <w:p>
            <w:pPr>
              <w:spacing w:line="360" w:lineRule="auto"/>
              <w:rPr>
                <w:rFonts w:hint="eastAsia" w:ascii="宋体" w:hAnsi="宋体"/>
                <w:color w:val="auto"/>
                <w:sz w:val="22"/>
                <w:highlight w:val="none"/>
              </w:rPr>
            </w:pPr>
            <w:r>
              <w:rPr>
                <w:rFonts w:hint="eastAsia" w:ascii="宋体" w:hAnsi="宋体"/>
                <w:color w:val="auto"/>
                <w:sz w:val="22"/>
                <w:highlight w:val="none"/>
              </w:rPr>
            </w:r>
            <w:r/>
          </w:p>
        </w:tc>
        <w:tc>
          <w:tcPr>
            <w:tcW w:w="1985" w:type="dxa"/>
            <w:vAlign w:val="center"/>
            <w:textDirection w:val="lrTb"/>
            <w:noWrap w:val="false"/>
          </w:tcPr>
          <w:p>
            <w:pPr>
              <w:spacing w:line="360" w:lineRule="auto"/>
              <w:rPr>
                <w:rFonts w:hint="eastAsia" w:ascii="宋体" w:hAnsi="宋体"/>
                <w:color w:val="auto"/>
                <w:sz w:val="22"/>
                <w:highlight w:val="none"/>
              </w:rPr>
            </w:pPr>
            <w:r>
              <w:rPr>
                <w:rFonts w:hint="eastAsia" w:ascii="宋体" w:hAnsi="宋体"/>
                <w:color w:val="auto"/>
                <w:sz w:val="22"/>
                <w:highlight w:val="none"/>
              </w:rPr>
            </w:r>
            <w:r/>
          </w:p>
        </w:tc>
        <w:tc>
          <w:tcPr>
            <w:tcW w:w="1984" w:type="dxa"/>
            <w:vAlign w:val="center"/>
            <w:textDirection w:val="lrTb"/>
            <w:noWrap w:val="false"/>
          </w:tcPr>
          <w:p>
            <w:pPr>
              <w:spacing w:line="360" w:lineRule="auto"/>
              <w:rPr>
                <w:rFonts w:hint="eastAsia" w:ascii="宋体" w:hAnsi="宋体"/>
                <w:color w:val="auto"/>
                <w:sz w:val="22"/>
                <w:highlight w:val="none"/>
              </w:rPr>
            </w:pPr>
            <w:r>
              <w:rPr>
                <w:rFonts w:hint="eastAsia" w:ascii="宋体" w:hAnsi="宋体"/>
                <w:color w:val="auto"/>
                <w:sz w:val="22"/>
                <w:highlight w:val="none"/>
              </w:rPr>
            </w:r>
            <w:r/>
          </w:p>
        </w:tc>
        <w:tc>
          <w:tcPr>
            <w:tcW w:w="1276" w:type="dxa"/>
            <w:vAlign w:val="center"/>
            <w:textDirection w:val="lrTb"/>
            <w:noWrap w:val="false"/>
          </w:tcPr>
          <w:p>
            <w:pPr>
              <w:spacing w:line="360" w:lineRule="auto"/>
              <w:rPr>
                <w:rFonts w:hint="eastAsia" w:ascii="宋体" w:hAnsi="宋体"/>
                <w:color w:val="auto"/>
                <w:sz w:val="22"/>
                <w:highlight w:val="none"/>
              </w:rPr>
            </w:pPr>
            <w:r>
              <w:rPr>
                <w:rFonts w:hint="eastAsia" w:ascii="宋体" w:hAnsi="宋体"/>
                <w:color w:val="auto"/>
                <w:sz w:val="22"/>
                <w:highlight w:val="none"/>
              </w:rPr>
            </w:r>
            <w:r/>
          </w:p>
        </w:tc>
      </w:tr>
      <w:tr>
        <w:trPr>
          <w:jc w:val="center"/>
        </w:trPr>
        <w:tc>
          <w:tcPr>
            <w:tcW w:w="1835" w:type="dxa"/>
            <w:vAlign w:val="center"/>
            <w:textDirection w:val="lrTb"/>
            <w:noWrap w:val="false"/>
          </w:tcPr>
          <w:p>
            <w:pPr>
              <w:spacing w:line="360" w:lineRule="auto"/>
              <w:rPr>
                <w:rFonts w:hint="eastAsia" w:ascii="宋体" w:hAnsi="宋体"/>
                <w:color w:val="auto"/>
                <w:sz w:val="22"/>
                <w:highlight w:val="none"/>
              </w:rPr>
            </w:pPr>
            <w:r>
              <w:rPr>
                <w:rFonts w:hint="eastAsia" w:ascii="宋体" w:hAnsi="宋体"/>
                <w:color w:val="auto"/>
                <w:sz w:val="22"/>
                <w:highlight w:val="none"/>
              </w:rPr>
            </w:r>
            <w:r/>
          </w:p>
        </w:tc>
        <w:tc>
          <w:tcPr>
            <w:tcW w:w="1677" w:type="dxa"/>
            <w:vAlign w:val="center"/>
            <w:textDirection w:val="lrTb"/>
            <w:noWrap w:val="false"/>
          </w:tcPr>
          <w:p>
            <w:pPr>
              <w:spacing w:line="360" w:lineRule="auto"/>
              <w:rPr>
                <w:rFonts w:hint="eastAsia" w:ascii="宋体" w:hAnsi="宋体"/>
                <w:color w:val="auto"/>
                <w:sz w:val="22"/>
                <w:highlight w:val="none"/>
              </w:rPr>
            </w:pPr>
            <w:r>
              <w:rPr>
                <w:rFonts w:hint="eastAsia" w:ascii="宋体" w:hAnsi="宋体"/>
                <w:color w:val="auto"/>
                <w:sz w:val="22"/>
                <w:highlight w:val="none"/>
              </w:rPr>
            </w:r>
            <w:r/>
          </w:p>
        </w:tc>
        <w:tc>
          <w:tcPr>
            <w:tcW w:w="1985" w:type="dxa"/>
            <w:vAlign w:val="center"/>
            <w:textDirection w:val="lrTb"/>
            <w:noWrap w:val="false"/>
          </w:tcPr>
          <w:p>
            <w:pPr>
              <w:spacing w:line="360" w:lineRule="auto"/>
              <w:rPr>
                <w:rFonts w:hint="eastAsia" w:ascii="宋体" w:hAnsi="宋体"/>
                <w:color w:val="auto"/>
                <w:sz w:val="22"/>
                <w:highlight w:val="none"/>
              </w:rPr>
            </w:pPr>
            <w:r>
              <w:rPr>
                <w:rFonts w:hint="eastAsia" w:ascii="宋体" w:hAnsi="宋体"/>
                <w:color w:val="auto"/>
                <w:sz w:val="22"/>
                <w:highlight w:val="none"/>
              </w:rPr>
            </w:r>
            <w:r/>
          </w:p>
        </w:tc>
        <w:tc>
          <w:tcPr>
            <w:tcW w:w="1984" w:type="dxa"/>
            <w:vAlign w:val="center"/>
            <w:textDirection w:val="lrTb"/>
            <w:noWrap w:val="false"/>
          </w:tcPr>
          <w:p>
            <w:pPr>
              <w:spacing w:line="360" w:lineRule="auto"/>
              <w:rPr>
                <w:rFonts w:hint="eastAsia" w:ascii="宋体" w:hAnsi="宋体"/>
                <w:color w:val="auto"/>
                <w:sz w:val="22"/>
                <w:highlight w:val="none"/>
              </w:rPr>
            </w:pPr>
            <w:r>
              <w:rPr>
                <w:rFonts w:hint="eastAsia" w:ascii="宋体" w:hAnsi="宋体"/>
                <w:color w:val="auto"/>
                <w:sz w:val="22"/>
                <w:highlight w:val="none"/>
              </w:rPr>
            </w:r>
            <w:r/>
          </w:p>
        </w:tc>
        <w:tc>
          <w:tcPr>
            <w:tcW w:w="1276" w:type="dxa"/>
            <w:vAlign w:val="center"/>
            <w:textDirection w:val="lrTb"/>
            <w:noWrap w:val="false"/>
          </w:tcPr>
          <w:p>
            <w:pPr>
              <w:spacing w:line="360" w:lineRule="auto"/>
              <w:rPr>
                <w:rFonts w:hint="eastAsia" w:ascii="宋体" w:hAnsi="宋体"/>
                <w:color w:val="auto"/>
                <w:sz w:val="22"/>
                <w:highlight w:val="none"/>
              </w:rPr>
            </w:pPr>
            <w:r>
              <w:rPr>
                <w:rFonts w:hint="eastAsia" w:ascii="宋体" w:hAnsi="宋体"/>
                <w:color w:val="auto"/>
                <w:sz w:val="22"/>
                <w:highlight w:val="none"/>
              </w:rPr>
            </w:r>
            <w:r/>
          </w:p>
        </w:tc>
      </w:tr>
      <w:tr>
        <w:trPr>
          <w:jc w:val="center"/>
        </w:trPr>
        <w:tc>
          <w:tcPr>
            <w:tcW w:w="1835" w:type="dxa"/>
            <w:vAlign w:val="center"/>
            <w:textDirection w:val="lrTb"/>
            <w:noWrap w:val="false"/>
          </w:tcPr>
          <w:p>
            <w:pPr>
              <w:spacing w:line="360" w:lineRule="auto"/>
              <w:rPr>
                <w:rFonts w:hint="eastAsia" w:ascii="宋体" w:hAnsi="宋体"/>
                <w:color w:val="auto"/>
                <w:sz w:val="22"/>
                <w:highlight w:val="none"/>
              </w:rPr>
            </w:pPr>
            <w:r>
              <w:rPr>
                <w:rFonts w:hint="eastAsia" w:ascii="宋体" w:hAnsi="宋体"/>
                <w:color w:val="auto"/>
                <w:sz w:val="22"/>
                <w:highlight w:val="none"/>
              </w:rPr>
            </w:r>
            <w:r/>
          </w:p>
        </w:tc>
        <w:tc>
          <w:tcPr>
            <w:tcW w:w="1677" w:type="dxa"/>
            <w:vAlign w:val="center"/>
            <w:textDirection w:val="lrTb"/>
            <w:noWrap w:val="false"/>
          </w:tcPr>
          <w:p>
            <w:pPr>
              <w:spacing w:line="360" w:lineRule="auto"/>
              <w:rPr>
                <w:rFonts w:hint="eastAsia" w:ascii="宋体" w:hAnsi="宋体"/>
                <w:color w:val="auto"/>
                <w:sz w:val="22"/>
                <w:highlight w:val="none"/>
              </w:rPr>
            </w:pPr>
            <w:r>
              <w:rPr>
                <w:rFonts w:hint="eastAsia" w:ascii="宋体" w:hAnsi="宋体"/>
                <w:color w:val="auto"/>
                <w:sz w:val="22"/>
                <w:highlight w:val="none"/>
              </w:rPr>
            </w:r>
            <w:r/>
          </w:p>
        </w:tc>
        <w:tc>
          <w:tcPr>
            <w:tcW w:w="1985" w:type="dxa"/>
            <w:vAlign w:val="center"/>
            <w:textDirection w:val="lrTb"/>
            <w:noWrap w:val="false"/>
          </w:tcPr>
          <w:p>
            <w:pPr>
              <w:spacing w:line="360" w:lineRule="auto"/>
              <w:rPr>
                <w:rFonts w:hint="eastAsia" w:ascii="宋体" w:hAnsi="宋体"/>
                <w:color w:val="auto"/>
                <w:sz w:val="22"/>
                <w:highlight w:val="none"/>
              </w:rPr>
            </w:pPr>
            <w:r>
              <w:rPr>
                <w:rFonts w:hint="eastAsia" w:ascii="宋体" w:hAnsi="宋体"/>
                <w:color w:val="auto"/>
                <w:sz w:val="22"/>
                <w:highlight w:val="none"/>
              </w:rPr>
            </w:r>
            <w:r/>
          </w:p>
        </w:tc>
        <w:tc>
          <w:tcPr>
            <w:tcW w:w="1984" w:type="dxa"/>
            <w:vAlign w:val="center"/>
            <w:textDirection w:val="lrTb"/>
            <w:noWrap w:val="false"/>
          </w:tcPr>
          <w:p>
            <w:pPr>
              <w:spacing w:line="360" w:lineRule="auto"/>
              <w:rPr>
                <w:rFonts w:hint="eastAsia" w:ascii="宋体" w:hAnsi="宋体"/>
                <w:color w:val="auto"/>
                <w:sz w:val="22"/>
                <w:highlight w:val="none"/>
              </w:rPr>
            </w:pPr>
            <w:r>
              <w:rPr>
                <w:rFonts w:hint="eastAsia" w:ascii="宋体" w:hAnsi="宋体"/>
                <w:color w:val="auto"/>
                <w:sz w:val="22"/>
                <w:highlight w:val="none"/>
              </w:rPr>
            </w:r>
            <w:r/>
          </w:p>
        </w:tc>
        <w:tc>
          <w:tcPr>
            <w:tcW w:w="1276" w:type="dxa"/>
            <w:vAlign w:val="center"/>
            <w:textDirection w:val="lrTb"/>
            <w:noWrap w:val="false"/>
          </w:tcPr>
          <w:p>
            <w:pPr>
              <w:spacing w:line="360" w:lineRule="auto"/>
              <w:rPr>
                <w:rFonts w:hint="eastAsia" w:ascii="宋体" w:hAnsi="宋体"/>
                <w:color w:val="auto"/>
                <w:sz w:val="22"/>
                <w:highlight w:val="none"/>
              </w:rPr>
            </w:pPr>
            <w:r>
              <w:rPr>
                <w:rFonts w:hint="eastAsia" w:ascii="宋体" w:hAnsi="宋体"/>
                <w:color w:val="auto"/>
                <w:sz w:val="22"/>
                <w:highlight w:val="none"/>
              </w:rPr>
            </w:r>
            <w:r/>
          </w:p>
        </w:tc>
      </w:tr>
    </w:tbl>
    <w:p>
      <w:pPr>
        <w:ind w:firstLine="105"/>
        <w:jc w:val="left"/>
        <w:spacing w:line="360" w:lineRule="auto"/>
        <w:widowControl/>
        <w:rPr>
          <w:rFonts w:hint="eastAsia" w:ascii="宋体" w:hAnsi="宋体" w:cs="Trebuchet MS"/>
          <w:color w:val="auto"/>
          <w:szCs w:val="21"/>
          <w:highlight w:val="none"/>
          <w:lang w:val="zh-CN"/>
        </w:rPr>
      </w:pPr>
      <w:r>
        <w:rPr>
          <w:rFonts w:hint="eastAsia" w:ascii="宋体" w:hAnsi="宋体" w:cs="Trebuchet MS"/>
          <w:color w:val="auto"/>
          <w:szCs w:val="21"/>
          <w:highlight w:val="none"/>
          <w:lang w:val="zh-CN"/>
        </w:rPr>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法定代表人（签字或盖章）：</w:t>
      </w:r>
      <w:r/>
    </w:p>
    <w:p>
      <w:pPr>
        <w:ind w:firstLine="105"/>
        <w:jc w:val="left"/>
        <w:spacing w:line="360" w:lineRule="auto"/>
        <w:widowControl/>
        <w:rPr>
          <w:rFonts w:hint="eastAsia" w:ascii="宋体" w:hAnsi="宋体" w:cs="Trebuchet MS"/>
          <w:color w:val="auto"/>
          <w:szCs w:val="21"/>
          <w:highlight w:val="none"/>
          <w:lang w:val="zh-CN"/>
        </w:rPr>
      </w:pPr>
      <w:r>
        <w:rPr>
          <w:rFonts w:hint="eastAsia" w:ascii="宋体" w:hAnsi="宋体"/>
          <w:color w:val="auto"/>
          <w:szCs w:val="21"/>
          <w:highlight w:val="none"/>
        </w:rPr>
        <w:t xml:space="preserve">日期：    年    月    日</w:t>
      </w:r>
      <w:r/>
    </w:p>
    <w:p>
      <w:pPr>
        <w:jc w:val="left"/>
        <w:spacing w:line="360" w:lineRule="auto"/>
        <w:widowControl/>
        <w:rPr>
          <w:rFonts w:hint="eastAsia" w:ascii="宋体" w:hAnsi="宋体" w:cs="Trebuchet MS"/>
          <w:color w:val="auto"/>
          <w:szCs w:val="21"/>
          <w:highlight w:val="none"/>
          <w:lang w:val="zh-CN"/>
        </w:rPr>
      </w:pPr>
      <w:r>
        <w:rPr>
          <w:rFonts w:hint="eastAsia" w:ascii="宋体" w:hAnsi="宋体" w:cs="Trebuchet MS"/>
          <w:color w:val="auto"/>
          <w:szCs w:val="21"/>
          <w:highlight w:val="none"/>
          <w:lang w:val="zh-CN"/>
        </w:rPr>
        <w:t xml:space="preserve">说明：</w:t>
      </w:r>
      <w:r/>
    </w:p>
    <w:p>
      <w:pPr>
        <w:spacing w:line="360" w:lineRule="auto"/>
        <w:rPr>
          <w:rFonts w:hint="eastAsia" w:ascii="宋体" w:hAnsi="宋体"/>
          <w:b/>
          <w:color w:val="auto"/>
          <w:szCs w:val="21"/>
          <w:highlight w:val="none"/>
          <w:lang w:val="zh-CN"/>
        </w:rPr>
      </w:pPr>
      <w:r>
        <w:rPr>
          <w:rFonts w:hint="eastAsia" w:ascii="宋体" w:hAnsi="宋体" w:cs="Trebuchet MS"/>
          <w:color w:val="auto"/>
          <w:szCs w:val="21"/>
          <w:highlight w:val="none"/>
          <w:lang w:val="zh-CN"/>
        </w:rPr>
        <w:t xml:space="preserve">1、如果行、列数不够，请自行增加。</w:t>
      </w:r>
      <w:r/>
    </w:p>
    <w:p>
      <w:pPr>
        <w:jc w:val="left"/>
        <w:spacing w:line="360" w:lineRule="auto"/>
        <w:rPr>
          <w:rFonts w:hint="eastAsia" w:ascii="宋体" w:hAnsi="宋体" w:cs="Trebuchet MS"/>
          <w:b/>
          <w:bCs/>
          <w:color w:val="auto"/>
          <w:spacing w:val="15"/>
          <w:szCs w:val="21"/>
          <w:highlight w:val="none"/>
        </w:rPr>
      </w:pPr>
      <w:r>
        <w:rPr>
          <w:rFonts w:hint="eastAsia" w:ascii="宋体" w:hAnsi="宋体" w:cs="Trebuchet MS"/>
          <w:b/>
          <w:bCs/>
          <w:color w:val="auto"/>
          <w:szCs w:val="21"/>
          <w:highlight w:val="none"/>
          <w:lang w:val="zh-CN"/>
        </w:rPr>
        <w:t xml:space="preserve">2、请同时提供以上业绩的合同等文件证明材料复印件并加盖公章扫描上传。</w:t>
      </w:r>
      <w:r/>
    </w:p>
    <w:p>
      <w:pPr>
        <w:spacing w:line="360" w:lineRule="auto"/>
        <w:rPr>
          <w:rFonts w:hint="eastAsia" w:ascii="宋体" w:hAnsi="宋体"/>
          <w:b/>
          <w:color w:val="auto"/>
          <w:szCs w:val="21"/>
          <w:highlight w:val="none"/>
          <w:lang w:val="zh-CN"/>
        </w:rPr>
      </w:pPr>
      <w:r/>
      <w:bookmarkStart w:id="65" w:name="_Toc341184788"/>
      <w:r>
        <w:rPr>
          <w:rFonts w:ascii="宋体" w:hAnsi="宋体"/>
          <w:b/>
          <w:bCs/>
          <w:color w:val="auto"/>
          <w:szCs w:val="21"/>
          <w:highlight w:val="none"/>
        </w:rPr>
        <w:br w:type="page" w:clear="all"/>
      </w:r>
      <w:bookmarkEnd w:id="65"/>
      <w:r/>
      <w:r/>
    </w:p>
    <w:p>
      <w:pPr>
        <w:pStyle w:val="856"/>
        <w:rPr>
          <w:rFonts w:hint="eastAsia" w:ascii="宋体" w:hAnsi="宋体" w:cs="宋体"/>
          <w:color w:val="auto"/>
          <w:spacing w:val="15"/>
          <w:szCs w:val="21"/>
          <w:highlight w:val="none"/>
        </w:rPr>
      </w:pPr>
      <w:r>
        <w:rPr>
          <w:rFonts w:hint="eastAsia" w:ascii="宋体" w:hAnsi="宋体" w:cs="宋体"/>
          <w:color w:val="auto"/>
          <w:spacing w:val="15"/>
          <w:szCs w:val="21"/>
          <w:highlight w:val="none"/>
        </w:rPr>
        <w:t xml:space="preserve">附件十四、供应商认为需提供的其他资料</w:t>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pStyle w:val="856"/>
        <w:rPr>
          <w:color w:val="auto"/>
          <w:highlight w:val="none"/>
        </w:rPr>
      </w:pPr>
      <w:r>
        <w:rPr>
          <w:rFonts w:hint="eastAsia"/>
          <w:color w:val="auto"/>
          <w:highlight w:val="none"/>
        </w:rPr>
        <w:t xml:space="preserve">附件十五：《关于符合本国产品标准的声明函》</w:t>
      </w:r>
      <w:r/>
    </w:p>
    <w:p>
      <w:pPr>
        <w:jc w:val="left"/>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color w:val="auto"/>
          <w:highlight w:val="none"/>
        </w:rPr>
      </w:pPr>
      <w:r>
        <w:rPr>
          <w:color w:val="auto"/>
          <w:highlight w:val="none"/>
        </w:rPr>
      </w:r>
      <w:r/>
    </w:p>
    <w:p>
      <w:pPr>
        <w:jc w:val="center"/>
        <w:spacing w:line="360" w:lineRule="auto"/>
        <w:rPr>
          <w:rFonts w:hint="eastAsia" w:ascii="宋体" w:hAnsi="宋体" w:cs="方正魏碑_GBK"/>
          <w:color w:val="auto"/>
          <w:sz w:val="24"/>
          <w:szCs w:val="24"/>
          <w:highlight w:val="none"/>
        </w:rPr>
      </w:pPr>
      <w:r>
        <w:rPr>
          <w:rFonts w:hint="eastAsia" w:ascii="宋体" w:hAnsi="宋体"/>
          <w:color w:val="auto"/>
          <w:sz w:val="24"/>
          <w:szCs w:val="24"/>
          <w:highlight w:val="none"/>
        </w:rPr>
        <w:tab/>
      </w:r>
      <w:r>
        <w:rPr>
          <w:rFonts w:hint="eastAsia" w:ascii="宋体" w:hAnsi="宋体" w:cs="方正魏碑_GBK"/>
          <w:b/>
          <w:color w:val="auto"/>
          <w:sz w:val="24"/>
          <w:szCs w:val="24"/>
          <w:highlight w:val="none"/>
        </w:rPr>
        <w:t xml:space="preserve">关于符合本国产品标准的声明函 </w:t>
      </w:r>
      <w:r/>
    </w:p>
    <w:p>
      <w:pPr>
        <w:pStyle w:val="889"/>
        <w:ind w:firstLine="420"/>
        <w:spacing w:line="360" w:lineRule="auto"/>
        <w:rPr>
          <w:rFonts w:hint="eastAsia" w:ascii="宋体" w:hAnsi="宋体" w:eastAsia="宋体" w:cs="方正魏碑_GBK"/>
          <w:color w:val="auto"/>
          <w:szCs w:val="24"/>
          <w:highlight w:val="none"/>
        </w:rPr>
      </w:pPr>
      <w:r>
        <w:rPr>
          <w:rFonts w:hint="eastAsia" w:ascii="宋体" w:hAnsi="宋体" w:eastAsia="宋体" w:cs="方正魏碑_GBK"/>
          <w:color w:val="auto"/>
          <w:szCs w:val="24"/>
          <w:highlight w:val="none"/>
        </w:rPr>
      </w:r>
      <w:r/>
    </w:p>
    <w:p>
      <w:pPr>
        <w:pStyle w:val="889"/>
        <w:ind w:firstLine="420"/>
        <w:spacing w:line="360" w:lineRule="auto"/>
        <w:rPr>
          <w:rFonts w:hint="eastAsia" w:ascii="宋体" w:hAnsi="宋体" w:eastAsia="宋体" w:cs="方正魏碑_GBK"/>
          <w:color w:val="auto"/>
          <w:szCs w:val="24"/>
          <w:highlight w:val="none"/>
        </w:rPr>
      </w:pPr>
      <w:r>
        <w:rPr>
          <w:rFonts w:hint="eastAsia" w:ascii="宋体" w:hAnsi="宋体" w:eastAsia="宋体" w:cs="方正魏碑_GBK"/>
          <w:color w:val="auto"/>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9"/>
        <w:ind w:firstLine="420"/>
        <w:spacing w:before="30" w:after="30" w:line="360" w:lineRule="auto"/>
        <w:rPr>
          <w:rFonts w:hint="eastAsia"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 xml:space="preserve">1.</w:t>
      </w:r>
      <w:r>
        <w:rPr>
          <w:rStyle w:val="894"/>
          <w:rFonts w:hint="eastAsia" w:ascii="宋体" w:hAnsi="宋体" w:eastAsia="宋体" w:cs="方正魏碑_GBK"/>
          <w:i w:val="0"/>
          <w:color w:val="auto"/>
          <w:szCs w:val="24"/>
          <w:highlight w:val="none"/>
          <w:u w:val="single"/>
          <w:shd w:val="clear" w:color="auto" w:fill="ffffff"/>
        </w:rPr>
        <w:t xml:space="preserve">（产品名称1）</w:t>
      </w:r>
      <w:r>
        <w:rPr>
          <w:rStyle w:val="894"/>
          <w:rFonts w:hint="eastAsia" w:ascii="宋体" w:hAnsi="宋体" w:eastAsia="宋体" w:cs="方正魏碑_GBK"/>
          <w:i w:val="0"/>
          <w:color w:val="auto"/>
          <w:szCs w:val="24"/>
          <w:highlight w:val="none"/>
          <w:shd w:val="clear" w:color="auto" w:fill="ffffff"/>
          <w:vertAlign w:val="superscript"/>
        </w:rPr>
        <w:t xml:space="preserve">1</w:t>
      </w:r>
      <w:r>
        <w:rPr>
          <w:rFonts w:hint="eastAsia" w:ascii="宋体" w:hAnsi="宋体" w:eastAsia="宋体" w:cs="方正魏碑_GBK"/>
          <w:color w:val="auto"/>
          <w:szCs w:val="24"/>
          <w:highlight w:val="none"/>
          <w:shd w:val="clear" w:color="auto" w:fill="ffffff"/>
        </w:rPr>
        <w:t xml:space="preserve">，生产厂为</w:t>
      </w:r>
      <w:r>
        <w:rPr>
          <w:rStyle w:val="894"/>
          <w:rFonts w:hint="eastAsia" w:ascii="宋体" w:hAnsi="宋体" w:eastAsia="宋体" w:cs="方正魏碑_GBK"/>
          <w:i w:val="0"/>
          <w:color w:val="auto"/>
          <w:szCs w:val="24"/>
          <w:highlight w:val="none"/>
          <w:u w:val="single"/>
          <w:shd w:val="clear" w:color="auto" w:fill="ffffff"/>
        </w:rPr>
        <w:t xml:space="preserve">（厂名）</w:t>
      </w:r>
      <w:r>
        <w:rPr>
          <w:rStyle w:val="894"/>
          <w:rFonts w:hint="eastAsia" w:ascii="宋体" w:hAnsi="宋体" w:eastAsia="宋体" w:cs="方正魏碑_GBK"/>
          <w:i w:val="0"/>
          <w:color w:val="auto"/>
          <w:szCs w:val="24"/>
          <w:highlight w:val="none"/>
          <w:shd w:val="clear" w:color="auto" w:fill="ffffff"/>
          <w:vertAlign w:val="superscript"/>
        </w:rPr>
        <w:t xml:space="preserve">2</w:t>
      </w:r>
      <w:r>
        <w:rPr>
          <w:rFonts w:hint="eastAsia" w:ascii="宋体" w:hAnsi="宋体" w:eastAsia="宋体" w:cs="方正魏碑_GBK"/>
          <w:color w:val="auto"/>
          <w:szCs w:val="24"/>
          <w:highlight w:val="none"/>
          <w:shd w:val="clear" w:color="auto" w:fill="ffffff"/>
        </w:rPr>
        <w:t xml:space="preserve">，厂址为</w:t>
      </w:r>
      <w:r>
        <w:rPr>
          <w:rStyle w:val="894"/>
          <w:rFonts w:hint="eastAsia" w:ascii="宋体" w:hAnsi="宋体" w:eastAsia="宋体" w:cs="方正魏碑_GBK"/>
          <w:i w:val="0"/>
          <w:color w:val="auto"/>
          <w:szCs w:val="24"/>
          <w:highlight w:val="none"/>
          <w:u w:val="single"/>
          <w:shd w:val="clear" w:color="auto" w:fill="ffffff"/>
        </w:rPr>
        <w:t xml:space="preserve">（生产厂址）</w:t>
      </w:r>
      <w:r>
        <w:rPr>
          <w:rFonts w:hint="eastAsia" w:ascii="宋体" w:hAnsi="宋体" w:eastAsia="宋体" w:cs="方正魏碑_GBK"/>
          <w:color w:val="auto"/>
          <w:szCs w:val="24"/>
          <w:highlight w:val="none"/>
          <w:shd w:val="clear" w:color="auto" w:fill="ffffff"/>
        </w:rPr>
        <w:t xml:space="preserve">。</w:t>
      </w:r>
      <w:r>
        <w:rPr>
          <w:rFonts w:hint="eastAsia" w:ascii="宋体" w:hAnsi="宋体" w:eastAsia="宋体" w:cs="方正魏碑_GBK"/>
          <w:color w:val="auto"/>
          <w:szCs w:val="24"/>
          <w:highlight w:val="none"/>
          <w:u w:val="single"/>
          <w:shd w:val="clear" w:color="auto" w:fill="ffffff"/>
        </w:rPr>
        <w:t xml:space="preserve"> </w:t>
      </w:r>
      <w:r>
        <w:rPr>
          <w:rStyle w:val="894"/>
          <w:rFonts w:hint="eastAsia" w:ascii="宋体" w:hAnsi="宋体" w:eastAsia="宋体" w:cs="方正魏碑_GBK"/>
          <w:i w:val="0"/>
          <w:color w:val="auto"/>
          <w:szCs w:val="24"/>
          <w:highlight w:val="none"/>
          <w:u w:val="single"/>
          <w:shd w:val="clear" w:color="auto" w:fill="ffffff"/>
        </w:rPr>
        <w:t xml:space="preserve">（产品名称1） </w:t>
      </w:r>
      <w:r>
        <w:rPr>
          <w:rFonts w:hint="eastAsia" w:ascii="宋体" w:hAnsi="宋体" w:eastAsia="宋体" w:cs="方正魏碑_GBK"/>
          <w:color w:val="auto"/>
          <w:szCs w:val="24"/>
          <w:highlight w:val="none"/>
          <w:shd w:val="clear" w:color="auto" w:fill="ffffff"/>
        </w:rPr>
        <w:t xml:space="preserve">的中国境内生产的组件成本占比≥</w:t>
      </w:r>
      <w:r>
        <w:rPr>
          <w:rStyle w:val="894"/>
          <w:rFonts w:hint="eastAsia" w:ascii="宋体" w:hAnsi="宋体" w:eastAsia="宋体" w:cs="方正魏碑_GBK"/>
          <w:i w:val="0"/>
          <w:color w:val="auto"/>
          <w:szCs w:val="24"/>
          <w:highlight w:val="none"/>
          <w:u w:val="single"/>
          <w:shd w:val="clear" w:color="auto" w:fill="ffffff"/>
        </w:rPr>
        <w:t xml:space="preserve">（规定</w:t>
      </w:r>
      <w:r>
        <w:rPr>
          <w:rStyle w:val="894"/>
          <w:rFonts w:ascii="宋体" w:hAnsi="宋体" w:eastAsia="宋体" w:cs="方正魏碑_GBK"/>
          <w:i w:val="0"/>
          <w:color w:val="auto"/>
          <w:szCs w:val="24"/>
          <w:highlight w:val="none"/>
          <w:u w:val="single"/>
          <w:shd w:val="clear" w:color="auto" w:fill="ffffff"/>
        </w:rPr>
        <w:t xml:space="preserve">比例</w:t>
      </w:r>
      <w:r>
        <w:rPr>
          <w:rStyle w:val="894"/>
          <w:rFonts w:hint="eastAsia" w:ascii="宋体" w:hAnsi="宋体" w:eastAsia="宋体" w:cs="方正魏碑_GBK"/>
          <w:i w:val="0"/>
          <w:color w:val="auto"/>
          <w:szCs w:val="24"/>
          <w:highlight w:val="none"/>
          <w:u w:val="single"/>
          <w:shd w:val="clear" w:color="auto" w:fill="ffffff"/>
        </w:rPr>
        <w:t xml:space="preserve">）</w:t>
      </w:r>
      <w:r>
        <w:rPr>
          <w:rStyle w:val="894"/>
          <w:rFonts w:hint="eastAsia" w:ascii="宋体" w:hAnsi="宋体" w:eastAsia="宋体" w:cs="方正魏碑_GBK"/>
          <w:i w:val="0"/>
          <w:color w:val="auto"/>
          <w:szCs w:val="24"/>
          <w:highlight w:val="none"/>
          <w:shd w:val="clear" w:color="auto" w:fill="ffffff"/>
          <w:vertAlign w:val="superscript"/>
        </w:rPr>
        <w:t xml:space="preserve">3</w:t>
      </w:r>
      <w:r>
        <w:rPr>
          <w:rFonts w:hint="eastAsia" w:ascii="宋体" w:hAnsi="宋体" w:eastAsia="宋体" w:cs="方正魏碑_GBK"/>
          <w:color w:val="auto"/>
          <w:szCs w:val="24"/>
          <w:highlight w:val="none"/>
          <w:shd w:val="clear" w:color="auto" w:fill="ffffff"/>
        </w:rPr>
        <w:t xml:space="preserve">。</w:t>
      </w:r>
      <w:r>
        <w:rPr>
          <w:rStyle w:val="894"/>
          <w:rFonts w:hint="eastAsia" w:ascii="宋体" w:hAnsi="宋体" w:eastAsia="宋体" w:cs="方正魏碑_GBK"/>
          <w:i w:val="0"/>
          <w:color w:val="auto"/>
          <w:szCs w:val="24"/>
          <w:highlight w:val="none"/>
          <w:u w:val="single"/>
          <w:shd w:val="clear" w:color="auto" w:fill="ffffff"/>
        </w:rPr>
        <w:t xml:space="preserve">（产品名称1）</w:t>
      </w:r>
      <w:r>
        <w:rPr>
          <w:rFonts w:hint="eastAsia" w:ascii="宋体" w:hAnsi="宋体" w:eastAsia="宋体" w:cs="方正魏碑_GBK"/>
          <w:color w:val="auto"/>
          <w:szCs w:val="24"/>
          <w:highlight w:val="none"/>
          <w:shd w:val="clear" w:color="auto" w:fill="ffffff"/>
        </w:rPr>
        <w:t xml:space="preserve">的</w:t>
      </w:r>
      <w:r>
        <w:rPr>
          <w:rStyle w:val="894"/>
          <w:rFonts w:hint="eastAsia" w:ascii="宋体" w:hAnsi="宋体" w:eastAsia="宋体" w:cs="方正魏碑_GBK"/>
          <w:i w:val="0"/>
          <w:color w:val="auto"/>
          <w:szCs w:val="24"/>
          <w:highlight w:val="none"/>
          <w:u w:val="single"/>
          <w:shd w:val="clear" w:color="auto" w:fill="ffffff"/>
        </w:rPr>
        <w:t xml:space="preserve">（关键</w:t>
      </w:r>
      <w:r>
        <w:rPr>
          <w:rStyle w:val="894"/>
          <w:rFonts w:ascii="宋体" w:hAnsi="宋体" w:eastAsia="宋体" w:cs="方正魏碑_GBK"/>
          <w:i w:val="0"/>
          <w:color w:val="auto"/>
          <w:szCs w:val="24"/>
          <w:highlight w:val="none"/>
          <w:u w:val="single"/>
          <w:shd w:val="clear" w:color="auto" w:fill="ffffff"/>
        </w:rPr>
        <w:t xml:space="preserve">组件</w:t>
      </w:r>
      <w:r>
        <w:rPr>
          <w:rStyle w:val="894"/>
          <w:rFonts w:hint="eastAsia" w:ascii="宋体" w:hAnsi="宋体" w:eastAsia="宋体" w:cs="方正魏碑_GBK"/>
          <w:i w:val="0"/>
          <w:color w:val="auto"/>
          <w:szCs w:val="24"/>
          <w:highlight w:val="none"/>
          <w:u w:val="single"/>
          <w:shd w:val="clear" w:color="auto" w:fill="ffffff"/>
        </w:rPr>
        <w:t xml:space="preserve">）</w:t>
      </w:r>
      <w:r>
        <w:rPr>
          <w:rStyle w:val="894"/>
          <w:rFonts w:hint="eastAsia" w:ascii="宋体" w:hAnsi="宋体" w:eastAsia="宋体" w:cs="方正魏碑_GBK"/>
          <w:i w:val="0"/>
          <w:color w:val="auto"/>
          <w:szCs w:val="24"/>
          <w:highlight w:val="none"/>
          <w:shd w:val="clear" w:color="auto" w:fill="ffffff"/>
          <w:vertAlign w:val="superscript"/>
        </w:rPr>
        <w:t xml:space="preserve">4</w:t>
      </w:r>
      <w:r>
        <w:rPr>
          <w:rFonts w:hint="eastAsia" w:ascii="宋体" w:hAnsi="宋体" w:eastAsia="宋体" w:cs="方正魏碑_GBK"/>
          <w:color w:val="auto"/>
          <w:szCs w:val="24"/>
          <w:highlight w:val="none"/>
          <w:shd w:val="clear" w:color="auto" w:fill="ffffff"/>
        </w:rPr>
        <w:t xml:space="preserve">在中国境内生产。</w:t>
      </w:r>
      <w:r>
        <w:rPr>
          <w:rStyle w:val="894"/>
          <w:rFonts w:hint="eastAsia" w:ascii="宋体" w:hAnsi="宋体" w:eastAsia="宋体" w:cs="方正魏碑_GBK"/>
          <w:i w:val="0"/>
          <w:color w:val="auto"/>
          <w:szCs w:val="24"/>
          <w:highlight w:val="none"/>
          <w:u w:val="single"/>
          <w:shd w:val="clear" w:color="auto" w:fill="ffffff"/>
        </w:rPr>
        <w:t xml:space="preserve">（产品名称1）</w:t>
      </w:r>
      <w:r>
        <w:rPr>
          <w:rFonts w:hint="eastAsia" w:ascii="宋体" w:hAnsi="宋体" w:eastAsia="宋体" w:cs="方正魏碑_GBK"/>
          <w:color w:val="auto"/>
          <w:szCs w:val="24"/>
          <w:highlight w:val="none"/>
          <w:shd w:val="clear" w:color="auto" w:fill="ffffff"/>
        </w:rPr>
        <w:t xml:space="preserve">的</w:t>
      </w:r>
      <w:r>
        <w:rPr>
          <w:rStyle w:val="894"/>
          <w:rFonts w:hint="eastAsia" w:ascii="宋体" w:hAnsi="宋体" w:eastAsia="宋体" w:cs="方正魏碑_GBK"/>
          <w:i w:val="0"/>
          <w:color w:val="auto"/>
          <w:szCs w:val="24"/>
          <w:highlight w:val="none"/>
          <w:u w:val="single"/>
          <w:shd w:val="clear" w:color="auto" w:fill="ffffff"/>
        </w:rPr>
        <w:t xml:space="preserve">（关键工序）</w:t>
      </w:r>
      <w:r>
        <w:rPr>
          <w:rStyle w:val="894"/>
          <w:rFonts w:hint="eastAsia" w:ascii="宋体" w:hAnsi="宋体" w:eastAsia="宋体" w:cs="方正魏碑_GBK"/>
          <w:i w:val="0"/>
          <w:color w:val="auto"/>
          <w:szCs w:val="24"/>
          <w:highlight w:val="none"/>
          <w:shd w:val="clear" w:color="auto" w:fill="ffffff"/>
          <w:vertAlign w:val="superscript"/>
        </w:rPr>
        <w:t xml:space="preserve">5</w:t>
      </w:r>
      <w:r>
        <w:rPr>
          <w:rFonts w:hint="eastAsia" w:ascii="宋体" w:hAnsi="宋体" w:eastAsia="宋体" w:cs="方正魏碑_GBK"/>
          <w:color w:val="auto"/>
          <w:szCs w:val="24"/>
          <w:highlight w:val="none"/>
          <w:shd w:val="clear" w:color="auto" w:fill="ffffff"/>
        </w:rPr>
        <w:t xml:space="preserve">在中国境内完成。</w:t>
      </w:r>
      <w:r/>
    </w:p>
    <w:p>
      <w:pPr>
        <w:pStyle w:val="889"/>
        <w:ind w:firstLine="420"/>
        <w:spacing w:before="30" w:after="30" w:line="360" w:lineRule="auto"/>
        <w:rPr>
          <w:rFonts w:hint="eastAsia"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 xml:space="preserve">2.</w:t>
      </w:r>
      <w:r>
        <w:rPr>
          <w:rStyle w:val="894"/>
          <w:rFonts w:hint="eastAsia" w:ascii="宋体" w:hAnsi="宋体" w:eastAsia="宋体" w:cs="方正魏碑_GBK"/>
          <w:i w:val="0"/>
          <w:color w:val="auto"/>
          <w:szCs w:val="24"/>
          <w:highlight w:val="none"/>
          <w:u w:val="single"/>
          <w:shd w:val="clear" w:color="auto" w:fill="ffffff"/>
        </w:rPr>
        <w:t xml:space="preserve">（产品名称2）</w:t>
      </w:r>
      <w:r>
        <w:rPr>
          <w:rFonts w:hint="eastAsia" w:ascii="宋体" w:hAnsi="宋体" w:eastAsia="宋体" w:cs="方正魏碑_GBK"/>
          <w:color w:val="auto"/>
          <w:szCs w:val="24"/>
          <w:highlight w:val="none"/>
          <w:shd w:val="clear" w:color="auto" w:fill="ffffff"/>
        </w:rPr>
        <w:t xml:space="preserve">，生产厂为</w:t>
      </w:r>
      <w:r>
        <w:rPr>
          <w:rStyle w:val="894"/>
          <w:rFonts w:hint="eastAsia" w:ascii="宋体" w:hAnsi="宋体" w:eastAsia="宋体" w:cs="方正魏碑_GBK"/>
          <w:i w:val="0"/>
          <w:color w:val="auto"/>
          <w:szCs w:val="24"/>
          <w:highlight w:val="none"/>
          <w:u w:val="single"/>
          <w:shd w:val="clear" w:color="auto" w:fill="ffffff"/>
        </w:rPr>
        <w:t xml:space="preserve">（厂名）</w:t>
      </w:r>
      <w:r>
        <w:rPr>
          <w:rFonts w:hint="eastAsia" w:ascii="宋体" w:hAnsi="宋体" w:eastAsia="宋体" w:cs="方正魏碑_GBK"/>
          <w:color w:val="auto"/>
          <w:szCs w:val="24"/>
          <w:highlight w:val="none"/>
          <w:shd w:val="clear" w:color="auto" w:fill="ffffff"/>
        </w:rPr>
        <w:t xml:space="preserve">，厂址为</w:t>
      </w:r>
      <w:r>
        <w:rPr>
          <w:rStyle w:val="894"/>
          <w:rFonts w:hint="eastAsia" w:ascii="宋体" w:hAnsi="宋体" w:eastAsia="宋体" w:cs="方正魏碑_GBK"/>
          <w:i w:val="0"/>
          <w:color w:val="auto"/>
          <w:szCs w:val="24"/>
          <w:highlight w:val="none"/>
          <w:u w:val="single"/>
          <w:shd w:val="clear" w:color="auto" w:fill="ffffff"/>
        </w:rPr>
        <w:t xml:space="preserve">（生产厂址）</w:t>
      </w:r>
      <w:r>
        <w:rPr>
          <w:rFonts w:hint="eastAsia" w:ascii="宋体" w:hAnsi="宋体" w:eastAsia="宋体" w:cs="方正魏碑_GBK"/>
          <w:color w:val="auto"/>
          <w:szCs w:val="24"/>
          <w:highlight w:val="none"/>
          <w:shd w:val="clear" w:color="auto" w:fill="ffffff"/>
        </w:rPr>
        <w:t xml:space="preserve">。</w:t>
      </w:r>
      <w:r>
        <w:rPr>
          <w:rStyle w:val="894"/>
          <w:rFonts w:hint="eastAsia" w:ascii="宋体" w:hAnsi="宋体" w:eastAsia="宋体" w:cs="方正魏碑_GBK"/>
          <w:i w:val="0"/>
          <w:color w:val="auto"/>
          <w:szCs w:val="24"/>
          <w:highlight w:val="none"/>
          <w:u w:val="single"/>
          <w:shd w:val="clear" w:color="auto" w:fill="ffffff"/>
        </w:rPr>
        <w:t xml:space="preserve">（产品名称2）</w:t>
      </w:r>
      <w:r>
        <w:rPr>
          <w:rFonts w:hint="eastAsia" w:ascii="宋体" w:hAnsi="宋体" w:eastAsia="宋体" w:cs="方正魏碑_GBK"/>
          <w:color w:val="auto"/>
          <w:szCs w:val="24"/>
          <w:highlight w:val="none"/>
          <w:shd w:val="clear" w:color="auto" w:fill="ffffff"/>
        </w:rPr>
        <w:t xml:space="preserve">的中国境内生产的组件成本占比≥</w:t>
      </w:r>
      <w:r>
        <w:rPr>
          <w:rStyle w:val="894"/>
          <w:rFonts w:hint="eastAsia" w:ascii="宋体" w:hAnsi="宋体" w:eastAsia="宋体" w:cs="方正魏碑_GBK"/>
          <w:i w:val="0"/>
          <w:color w:val="auto"/>
          <w:szCs w:val="24"/>
          <w:highlight w:val="none"/>
          <w:u w:val="single"/>
          <w:shd w:val="clear" w:color="auto" w:fill="ffffff"/>
        </w:rPr>
        <w:t xml:space="preserve">（规定</w:t>
      </w:r>
      <w:r>
        <w:rPr>
          <w:rStyle w:val="894"/>
          <w:rFonts w:ascii="宋体" w:hAnsi="宋体" w:eastAsia="宋体" w:cs="方正魏碑_GBK"/>
          <w:i w:val="0"/>
          <w:color w:val="auto"/>
          <w:szCs w:val="24"/>
          <w:highlight w:val="none"/>
          <w:u w:val="single"/>
          <w:shd w:val="clear" w:color="auto" w:fill="ffffff"/>
        </w:rPr>
        <w:t xml:space="preserve">比例</w:t>
      </w:r>
      <w:r>
        <w:rPr>
          <w:rStyle w:val="894"/>
          <w:rFonts w:hint="eastAsia" w:ascii="宋体" w:hAnsi="宋体" w:eastAsia="宋体" w:cs="方正魏碑_GBK"/>
          <w:i w:val="0"/>
          <w:color w:val="auto"/>
          <w:szCs w:val="24"/>
          <w:highlight w:val="none"/>
          <w:u w:val="single"/>
          <w:shd w:val="clear" w:color="auto" w:fill="ffffff"/>
        </w:rPr>
        <w:t xml:space="preserve">）</w:t>
      </w:r>
      <w:r>
        <w:rPr>
          <w:rFonts w:hint="eastAsia" w:ascii="宋体" w:hAnsi="宋体" w:eastAsia="宋体" w:cs="方正魏碑_GBK"/>
          <w:color w:val="auto"/>
          <w:szCs w:val="24"/>
          <w:highlight w:val="none"/>
          <w:shd w:val="clear" w:color="auto" w:fill="ffffff"/>
        </w:rPr>
        <w:t xml:space="preserve">。</w:t>
      </w:r>
      <w:r>
        <w:rPr>
          <w:rStyle w:val="894"/>
          <w:rFonts w:hint="eastAsia" w:ascii="宋体" w:hAnsi="宋体" w:eastAsia="宋体" w:cs="方正魏碑_GBK"/>
          <w:i w:val="0"/>
          <w:color w:val="auto"/>
          <w:szCs w:val="24"/>
          <w:highlight w:val="none"/>
          <w:u w:val="single"/>
          <w:shd w:val="clear" w:color="auto" w:fill="ffffff"/>
        </w:rPr>
        <w:t xml:space="preserve">（产品名称2）</w:t>
      </w:r>
      <w:r>
        <w:rPr>
          <w:rFonts w:hint="eastAsia" w:ascii="宋体" w:hAnsi="宋体" w:eastAsia="宋体" w:cs="方正魏碑_GBK"/>
          <w:color w:val="auto"/>
          <w:szCs w:val="24"/>
          <w:highlight w:val="none"/>
          <w:shd w:val="clear" w:color="auto" w:fill="ffffff"/>
        </w:rPr>
        <w:t xml:space="preserve">的</w:t>
      </w:r>
      <w:r>
        <w:rPr>
          <w:rStyle w:val="894"/>
          <w:rFonts w:hint="eastAsia" w:ascii="宋体" w:hAnsi="宋体" w:eastAsia="宋体" w:cs="方正魏碑_GBK"/>
          <w:i w:val="0"/>
          <w:color w:val="auto"/>
          <w:szCs w:val="24"/>
          <w:highlight w:val="none"/>
          <w:u w:val="single"/>
          <w:shd w:val="clear" w:color="auto" w:fill="ffffff"/>
        </w:rPr>
        <w:t xml:space="preserve">（关键</w:t>
      </w:r>
      <w:r>
        <w:rPr>
          <w:rStyle w:val="894"/>
          <w:rFonts w:ascii="宋体" w:hAnsi="宋体" w:eastAsia="宋体" w:cs="方正魏碑_GBK"/>
          <w:i w:val="0"/>
          <w:color w:val="auto"/>
          <w:szCs w:val="24"/>
          <w:highlight w:val="none"/>
          <w:u w:val="single"/>
          <w:shd w:val="clear" w:color="auto" w:fill="ffffff"/>
        </w:rPr>
        <w:t xml:space="preserve">组件</w:t>
      </w:r>
      <w:r>
        <w:rPr>
          <w:rStyle w:val="894"/>
          <w:rFonts w:hint="eastAsia" w:ascii="宋体" w:hAnsi="宋体" w:eastAsia="宋体" w:cs="方正魏碑_GBK"/>
          <w:i w:val="0"/>
          <w:color w:val="auto"/>
          <w:szCs w:val="24"/>
          <w:highlight w:val="none"/>
          <w:u w:val="single"/>
          <w:shd w:val="clear" w:color="auto" w:fill="ffffff"/>
        </w:rPr>
        <w:t xml:space="preserve">）</w:t>
      </w:r>
      <w:r>
        <w:rPr>
          <w:rFonts w:hint="eastAsia" w:ascii="宋体" w:hAnsi="宋体" w:eastAsia="宋体" w:cs="方正魏碑_GBK"/>
          <w:color w:val="auto"/>
          <w:szCs w:val="24"/>
          <w:highlight w:val="none"/>
          <w:shd w:val="clear" w:color="auto" w:fill="ffffff"/>
        </w:rPr>
        <w:t xml:space="preserve">在中国境内生产。</w:t>
      </w:r>
      <w:r>
        <w:rPr>
          <w:rStyle w:val="894"/>
          <w:rFonts w:hint="eastAsia" w:ascii="宋体" w:hAnsi="宋体" w:eastAsia="宋体" w:cs="方正魏碑_GBK"/>
          <w:i w:val="0"/>
          <w:color w:val="auto"/>
          <w:szCs w:val="24"/>
          <w:highlight w:val="none"/>
          <w:u w:val="single"/>
          <w:shd w:val="clear" w:color="auto" w:fill="ffffff"/>
        </w:rPr>
        <w:t xml:space="preserve">（产品名称1）</w:t>
      </w:r>
      <w:r>
        <w:rPr>
          <w:rFonts w:hint="eastAsia" w:ascii="宋体" w:hAnsi="宋体" w:eastAsia="宋体" w:cs="方正魏碑_GBK"/>
          <w:color w:val="auto"/>
          <w:szCs w:val="24"/>
          <w:highlight w:val="none"/>
          <w:shd w:val="clear" w:color="auto" w:fill="ffffff"/>
        </w:rPr>
        <w:t xml:space="preserve">的</w:t>
      </w:r>
      <w:r>
        <w:rPr>
          <w:rStyle w:val="894"/>
          <w:rFonts w:hint="eastAsia" w:ascii="宋体" w:hAnsi="宋体" w:eastAsia="宋体" w:cs="方正魏碑_GBK"/>
          <w:i w:val="0"/>
          <w:color w:val="auto"/>
          <w:szCs w:val="24"/>
          <w:highlight w:val="none"/>
          <w:u w:val="single"/>
          <w:shd w:val="clear" w:color="auto" w:fill="ffffff"/>
        </w:rPr>
        <w:t xml:space="preserve">（关键工序）</w:t>
      </w:r>
      <w:r>
        <w:rPr>
          <w:rFonts w:hint="eastAsia" w:ascii="宋体" w:hAnsi="宋体" w:eastAsia="宋体" w:cs="方正魏碑_GBK"/>
          <w:color w:val="auto"/>
          <w:szCs w:val="24"/>
          <w:highlight w:val="none"/>
          <w:shd w:val="clear" w:color="auto" w:fill="ffffff"/>
        </w:rPr>
        <w:t xml:space="preserve">在中国境内完成。</w:t>
      </w:r>
      <w:r/>
    </w:p>
    <w:p>
      <w:pPr>
        <w:pStyle w:val="889"/>
        <w:ind w:firstLine="420"/>
        <w:spacing w:before="30" w:after="30" w:line="360" w:lineRule="auto"/>
        <w:rPr>
          <w:rFonts w:hint="eastAsia"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 xml:space="preserve">……</w:t>
      </w:r>
      <w:r/>
    </w:p>
    <w:p>
      <w:pPr>
        <w:pStyle w:val="889"/>
        <w:ind w:firstLine="420"/>
        <w:spacing w:before="30" w:after="30" w:line="360" w:lineRule="auto"/>
        <w:rPr>
          <w:rFonts w:hint="eastAsia"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 xml:space="preserve">本公司（单位）对上述声明内容的真实性负责。如有虚假，愿承担相应法律责任。</w:t>
      </w:r>
      <w:r/>
    </w:p>
    <w:p>
      <w:pPr>
        <w:pStyle w:val="889"/>
        <w:spacing w:before="30" w:after="30" w:line="360" w:lineRule="auto"/>
        <w:rPr>
          <w:rFonts w:hint="eastAsia" w:ascii="宋体" w:hAnsi="宋体" w:eastAsia="宋体" w:cs="方正魏碑_GBK"/>
          <w:color w:val="auto"/>
          <w:szCs w:val="24"/>
          <w:highlight w:val="none"/>
        </w:rPr>
      </w:pPr>
      <w:r>
        <w:rPr>
          <w:rFonts w:hint="eastAsia" w:ascii="宋体" w:hAnsi="宋体" w:eastAsia="宋体" w:cs="方正魏碑_GBK"/>
          <w:color w:val="auto"/>
          <w:szCs w:val="24"/>
          <w:highlight w:val="none"/>
        </w:rPr>
      </w:r>
      <w:r/>
    </w:p>
    <w:p>
      <w:pPr>
        <w:pStyle w:val="889"/>
        <w:ind w:right="480" w:firstLine="3720"/>
        <w:spacing w:before="30" w:after="30" w:line="360" w:lineRule="auto"/>
        <w:rPr>
          <w:rFonts w:hint="eastAsia"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 xml:space="preserve">公司（单位）名称（盖章）：　        </w:t>
      </w:r>
      <w:r/>
    </w:p>
    <w:p>
      <w:pPr>
        <w:pStyle w:val="889"/>
        <w:jc w:val="center"/>
        <w:spacing w:before="30" w:after="30" w:line="360" w:lineRule="auto"/>
        <w:rPr>
          <w:rFonts w:hint="eastAsia"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 xml:space="preserve">                    </w:t>
      </w:r>
      <w:r>
        <w:rPr>
          <w:rFonts w:ascii="宋体" w:hAnsi="宋体" w:eastAsia="宋体" w:cs="方正魏碑_GBK"/>
          <w:color w:val="auto"/>
          <w:szCs w:val="24"/>
          <w:highlight w:val="none"/>
          <w:shd w:val="clear" w:color="auto" w:fill="ffffff"/>
        </w:rPr>
        <w:t xml:space="preserve">            </w:t>
      </w:r>
      <w:r>
        <w:rPr>
          <w:rFonts w:hint="eastAsia" w:ascii="宋体" w:hAnsi="宋体" w:eastAsia="宋体" w:cs="方正魏碑_GBK"/>
          <w:color w:val="auto"/>
          <w:szCs w:val="24"/>
          <w:highlight w:val="none"/>
          <w:shd w:val="clear" w:color="auto" w:fill="ffffff"/>
        </w:rPr>
        <w:t xml:space="preserve">日期：　   </w:t>
      </w:r>
      <w:r>
        <w:rPr>
          <w:rFonts w:hint="eastAsia" w:ascii="宋体" w:hAnsi="宋体" w:eastAsia="宋体" w:cs="宋体"/>
          <w:color w:val="auto"/>
          <w:szCs w:val="24"/>
          <w:highlight w:val="none"/>
          <w:shd w:val="clear" w:color="auto" w:fill="ffffff"/>
        </w:rPr>
        <w:t xml:space="preserve">年　</w:t>
      </w:r>
      <w:r>
        <w:rPr>
          <w:rFonts w:hint="eastAsia" w:ascii="宋体" w:hAnsi="宋体" w:eastAsia="宋体" w:cs="方正魏碑_GBK"/>
          <w:color w:val="auto"/>
          <w:szCs w:val="24"/>
          <w:highlight w:val="none"/>
          <w:shd w:val="clear" w:color="auto" w:fill="ffffff"/>
        </w:rPr>
        <w:t xml:space="preserve">  </w:t>
      </w:r>
      <w:r>
        <w:rPr>
          <w:rFonts w:hint="eastAsia" w:ascii="宋体" w:hAnsi="宋体" w:eastAsia="宋体" w:cs="宋体"/>
          <w:color w:val="auto"/>
          <w:szCs w:val="24"/>
          <w:highlight w:val="none"/>
          <w:shd w:val="clear" w:color="auto" w:fill="ffffff"/>
        </w:rPr>
        <w:t xml:space="preserve">月　</w:t>
      </w:r>
      <w:r>
        <w:rPr>
          <w:rFonts w:hint="eastAsia" w:ascii="宋体" w:hAnsi="宋体" w:eastAsia="宋体" w:cs="方正魏碑_GBK"/>
          <w:color w:val="auto"/>
          <w:szCs w:val="24"/>
          <w:highlight w:val="none"/>
          <w:shd w:val="clear" w:color="auto" w:fill="ffffff"/>
        </w:rPr>
        <w:t xml:space="preserve">  </w:t>
      </w:r>
      <w:r>
        <w:rPr>
          <w:rFonts w:hint="eastAsia" w:ascii="宋体" w:hAnsi="宋体" w:eastAsia="宋体" w:cs="宋体"/>
          <w:color w:val="auto"/>
          <w:szCs w:val="24"/>
          <w:highlight w:val="none"/>
          <w:shd w:val="clear" w:color="auto" w:fill="ffffff"/>
        </w:rPr>
        <w:t xml:space="preserve">日</w:t>
      </w:r>
      <w:r>
        <w:rPr>
          <w:rFonts w:hint="eastAsia" w:ascii="宋体" w:hAnsi="宋体" w:eastAsia="宋体" w:cs="方正魏碑_GBK"/>
          <w:color w:val="auto"/>
          <w:szCs w:val="24"/>
          <w:highlight w:val="none"/>
          <w:shd w:val="clear" w:color="auto" w:fill="ffffff"/>
        </w:rPr>
        <w:t xml:space="preserve">         </w:t>
      </w:r>
      <w:r/>
    </w:p>
    <w:p>
      <w:pPr>
        <w:pStyle w:val="889"/>
        <w:spacing w:before="30" w:after="30" w:line="360" w:lineRule="auto"/>
        <w:rPr>
          <w:rFonts w:hint="eastAsia"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 xml:space="preserve">__________________</w:t>
      </w:r>
      <w:r/>
    </w:p>
    <w:p>
      <w:pPr>
        <w:pStyle w:val="889"/>
        <w:spacing w:before="30" w:after="30" w:line="360" w:lineRule="auto"/>
        <w:rPr>
          <w:rFonts w:hint="eastAsia"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 xml:space="preserve">1.产品如有型号，请在“产品名称”栏一并填写。</w:t>
      </w:r>
      <w:r/>
    </w:p>
    <w:p>
      <w:pPr>
        <w:pStyle w:val="889"/>
        <w:spacing w:before="30" w:after="30" w:line="360" w:lineRule="auto"/>
        <w:rPr>
          <w:rFonts w:hint="eastAsia"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 xml:space="preserve">2.生产厂名与厂址应与生产厂营业执照载明的相关信息保持一致。</w:t>
      </w:r>
      <w:r/>
    </w:p>
    <w:p>
      <w:pPr>
        <w:pStyle w:val="889"/>
        <w:spacing w:before="30" w:after="30" w:line="360" w:lineRule="auto"/>
        <w:rPr>
          <w:rFonts w:hint="eastAsia"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 xml:space="preserve">3.该产品的中国境内生产的组件成本占比相关要求实施前，“规定比例”栏可不填，下同。</w:t>
      </w:r>
      <w:r/>
    </w:p>
    <w:p>
      <w:pPr>
        <w:pStyle w:val="889"/>
        <w:spacing w:before="30" w:after="30" w:line="360" w:lineRule="auto"/>
        <w:rPr>
          <w:rFonts w:hint="eastAsia"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 xml:space="preserve">4.该产品的关键组件要求实施前，“关键组件”栏可不填，下同。</w:t>
      </w:r>
      <w:r/>
    </w:p>
    <w:p>
      <w:pPr>
        <w:pStyle w:val="889"/>
        <w:spacing w:before="30" w:after="30" w:line="360" w:lineRule="auto"/>
        <w:rPr>
          <w:rFonts w:hint="eastAsia" w:ascii="宋体" w:hAnsi="宋体" w:eastAsia="宋体" w:cs="方正魏碑_GBK"/>
          <w:color w:val="auto"/>
          <w:szCs w:val="24"/>
          <w:highlight w:val="none"/>
          <w:shd w:val="clear" w:color="auto" w:fill="ffffff"/>
        </w:rPr>
      </w:pPr>
      <w:r>
        <w:rPr>
          <w:rFonts w:hint="eastAsia" w:ascii="宋体" w:hAnsi="宋体" w:eastAsia="宋体" w:cs="方正魏碑_GBK"/>
          <w:color w:val="auto"/>
          <w:szCs w:val="24"/>
          <w:highlight w:val="none"/>
          <w:shd w:val="clear" w:color="auto" w:fill="ffffff"/>
        </w:rPr>
        <w:t xml:space="preserve">5.该产品的关键工序要求实施前，“关键工序”栏可不填，下同。</w:t>
      </w:r>
      <w:r/>
    </w:p>
    <w:p>
      <w:pPr>
        <w:pStyle w:val="889"/>
        <w:spacing w:before="30" w:after="30" w:line="360" w:lineRule="auto"/>
        <w:rPr>
          <w:rFonts w:hint="eastAsia" w:ascii="宋体" w:hAnsi="宋体" w:eastAsia="宋体" w:cs="方正魏碑_GBK"/>
          <w:color w:val="auto"/>
          <w:szCs w:val="24"/>
          <w:highlight w:val="none"/>
          <w:shd w:val="clear" w:color="auto" w:fill="ffffff"/>
        </w:rPr>
      </w:pPr>
      <w:r>
        <w:rPr>
          <w:rFonts w:hint="eastAsia" w:ascii="宋体" w:hAnsi="宋体" w:eastAsia="宋体" w:cs="方正魏碑_GBK"/>
          <w:color w:val="auto"/>
          <w:szCs w:val="24"/>
          <w:highlight w:val="none"/>
          <w:shd w:val="clear" w:color="auto" w:fill="ffffff"/>
        </w:rPr>
        <w:t xml:space="preserve">6.用斜线划除的地方无需填写。</w:t>
      </w:r>
      <w:r/>
    </w:p>
    <w:p>
      <w:pPr>
        <w:rPr>
          <w:color w:val="auto"/>
          <w:highlight w:val="none"/>
        </w:rPr>
      </w:pPr>
      <w:r>
        <w:rPr>
          <w:color w:val="auto"/>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pStyle w:val="898"/>
        <w:rPr>
          <w:rFonts w:hint="eastAsia" w:cs="宋体"/>
          <w:b/>
          <w:color w:val="auto"/>
          <w:spacing w:val="15"/>
          <w:szCs w:val="21"/>
          <w:highlight w:val="none"/>
        </w:rPr>
      </w:pPr>
      <w:r>
        <w:rPr>
          <w:rFonts w:hint="eastAsia"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pStyle w:val="898"/>
        <w:rPr>
          <w:rFonts w:hint="eastAsia" w:cs="宋体"/>
          <w:b/>
          <w:color w:val="auto"/>
          <w:spacing w:val="15"/>
          <w:szCs w:val="21"/>
          <w:highlight w:val="none"/>
        </w:rPr>
      </w:pPr>
      <w:r>
        <w:rPr>
          <w:rFonts w:hint="eastAsia"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pStyle w:val="855"/>
        <w:rPr>
          <w:rFonts w:hint="eastAsia" w:ascii="宋体" w:hAnsi="宋体" w:cs="宋体"/>
          <w:color w:val="auto"/>
          <w:szCs w:val="36"/>
          <w:highlight w:val="none"/>
          <w:lang w:val="zh-CN"/>
        </w:rPr>
      </w:pPr>
      <w:r/>
      <w:bookmarkStart w:id="66" w:name="_Toc31028"/>
      <w:r>
        <w:rPr>
          <w:rFonts w:ascii="宋体" w:hAnsi="宋体" w:cs="宋体"/>
          <w:color w:val="auto"/>
          <w:szCs w:val="36"/>
          <w:highlight w:val="none"/>
          <w:lang w:val="zh-CN"/>
        </w:rPr>
        <w:t xml:space="preserve">第七章 供应商中标后需要提交核验的资料</w:t>
      </w:r>
      <w:bookmarkEnd w:id="66"/>
      <w:r/>
      <w:r/>
    </w:p>
    <w:p>
      <w:pPr>
        <w:pStyle w:val="955"/>
        <w:ind w:left="-178" w:firstLine="0"/>
        <w:spacing w:before="78"/>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一、</w:t>
      </w:r>
      <w:r>
        <w:rPr>
          <w:rFonts w:ascii="宋体" w:hAnsi="宋体" w:eastAsia="宋体"/>
          <w:color w:val="auto"/>
          <w:sz w:val="24"/>
          <w:szCs w:val="24"/>
          <w:highlight w:val="none"/>
        </w:rPr>
        <w:t xml:space="preserve">具有独立承担民事责任的能力（</w:t>
      </w:r>
      <w:r>
        <w:rPr>
          <w:rFonts w:hint="default" w:ascii="宋体" w:hAnsi="宋体" w:eastAsia="宋体"/>
          <w:color w:val="auto"/>
          <w:sz w:val="24"/>
          <w:szCs w:val="24"/>
          <w:highlight w:val="none"/>
        </w:rPr>
        <w:t xml:space="preserve">营业执照副本或事业单位法人登记证书或其他证明材料</w:t>
      </w:r>
      <w:r>
        <w:rPr>
          <w:rFonts w:ascii="宋体" w:hAnsi="宋体" w:eastAsia="宋体"/>
          <w:color w:val="auto"/>
          <w:sz w:val="24"/>
          <w:szCs w:val="24"/>
          <w:highlight w:val="none"/>
        </w:rPr>
        <w:t xml:space="preserve">）；</w:t>
      </w:r>
      <w:r/>
    </w:p>
    <w:p>
      <w:pPr>
        <w:pStyle w:val="955"/>
        <w:ind w:left="-178" w:firstLine="0"/>
        <w:spacing w:before="78"/>
        <w:rPr>
          <w:rFonts w:ascii="宋体" w:hAnsi="宋体" w:eastAsia="宋体"/>
          <w:color w:val="auto"/>
          <w:sz w:val="24"/>
          <w:szCs w:val="24"/>
          <w:highlight w:val="none"/>
        </w:rPr>
      </w:pPr>
      <w:r>
        <w:rPr>
          <w:rFonts w:ascii="宋体" w:hAnsi="宋体" w:eastAsia="宋体"/>
          <w:color w:val="auto"/>
          <w:sz w:val="24"/>
          <w:szCs w:val="24"/>
          <w:highlight w:val="none"/>
        </w:rPr>
        <w:t xml:space="preserve">二、具有良好的商业信誉和健全的财务会计制度（</w:t>
      </w:r>
      <w:r>
        <w:rPr>
          <w:rFonts w:hint="default" w:ascii="宋体" w:hAnsi="宋体" w:eastAsia="宋体"/>
          <w:color w:val="auto"/>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ascii="宋体" w:hAnsi="宋体" w:eastAsia="宋体"/>
          <w:color w:val="auto"/>
          <w:sz w:val="24"/>
          <w:szCs w:val="24"/>
          <w:highlight w:val="none"/>
        </w:rPr>
        <w:t xml:space="preserve">）；</w:t>
      </w:r>
      <w:r>
        <w:rPr>
          <w:rFonts w:ascii="宋体" w:hAnsi="宋体" w:eastAsia="宋体"/>
          <w:color w:val="auto"/>
          <w:sz w:val="24"/>
          <w:szCs w:val="24"/>
          <w:highlight w:val="none"/>
        </w:rPr>
        <w:br/>
      </w:r>
      <w:r>
        <w:rPr>
          <w:rFonts w:ascii="宋体" w:hAnsi="宋体" w:eastAsia="宋体"/>
          <w:color w:val="auto"/>
          <w:sz w:val="24"/>
          <w:szCs w:val="24"/>
          <w:highlight w:val="none"/>
        </w:rPr>
        <w:t xml:space="preserve">三、具有履行合同所必需的设备和专业技术能力（供应商根据履行采购项目合同需要，提供履行合同所必需的设备和专业技术能力的证明材料）；</w:t>
      </w:r>
      <w:r>
        <w:rPr>
          <w:rFonts w:ascii="宋体" w:hAnsi="宋体" w:eastAsia="宋体"/>
          <w:color w:val="auto"/>
          <w:sz w:val="24"/>
          <w:szCs w:val="24"/>
          <w:highlight w:val="none"/>
        </w:rPr>
        <w:br/>
      </w:r>
      <w:r>
        <w:rPr>
          <w:rFonts w:ascii="宋体" w:hAnsi="宋体" w:eastAsia="宋体"/>
          <w:color w:val="auto"/>
          <w:sz w:val="24"/>
          <w:szCs w:val="24"/>
          <w:highlight w:val="none"/>
        </w:rPr>
        <w:t xml:space="preserve">四、有依法缴纳税收和社会保障资金的良好记录（提供参加本次政府采购活动前半年内至少一个月缴纳增值税，或营业税，或企业所得税的凭据；并提供缴纳社会保险的凭据（专用收据或社会保险缴纳清单））；</w:t>
      </w:r>
      <w:r>
        <w:rPr>
          <w:rFonts w:ascii="宋体" w:hAnsi="宋体" w:eastAsia="宋体"/>
          <w:color w:val="auto"/>
          <w:sz w:val="24"/>
          <w:szCs w:val="24"/>
          <w:highlight w:val="none"/>
        </w:rPr>
        <w:br/>
      </w:r>
      <w:r>
        <w:rPr>
          <w:rFonts w:ascii="宋体" w:hAnsi="宋体" w:eastAsia="宋体"/>
          <w:color w:val="auto"/>
          <w:sz w:val="24"/>
          <w:szCs w:val="24"/>
          <w:highlight w:val="none"/>
        </w:rPr>
        <w:t xml:space="preserve">五、参加政府采购活动前三年内，在经营活动中没有重大违法记录（提供书面声明或承诺书）；</w:t>
      </w:r>
      <w:r>
        <w:rPr>
          <w:rFonts w:ascii="宋体" w:hAnsi="宋体" w:eastAsia="宋体"/>
          <w:color w:val="auto"/>
          <w:sz w:val="24"/>
          <w:szCs w:val="24"/>
          <w:highlight w:val="none"/>
        </w:rPr>
        <w:br/>
      </w:r>
      <w:r/>
    </w:p>
    <w:p>
      <w:pPr>
        <w:pStyle w:val="955"/>
        <w:ind w:left="-178" w:firstLine="0"/>
        <w:spacing w:before="78"/>
        <w:rPr>
          <w:rFonts w:ascii="宋体" w:hAnsi="宋体" w:eastAsia="宋体"/>
          <w:color w:val="auto"/>
          <w:sz w:val="24"/>
          <w:szCs w:val="24"/>
          <w:highlight w:val="none"/>
        </w:rPr>
      </w:pPr>
      <w:r>
        <w:rPr>
          <w:rFonts w:ascii="宋体" w:hAnsi="宋体" w:eastAsia="宋体"/>
          <w:color w:val="auto"/>
          <w:sz w:val="24"/>
          <w:szCs w:val="24"/>
          <w:highlight w:val="none"/>
        </w:rPr>
        <w:t xml:space="preserve">注：</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.以上资料如</w:t>
      </w:r>
      <w:r>
        <w:rPr>
          <w:rFonts w:hint="eastAsia" w:ascii="宋体" w:hAnsi="宋体" w:eastAsia="宋体"/>
          <w:color w:val="auto"/>
          <w:sz w:val="24"/>
          <w:szCs w:val="24"/>
          <w:highlight w:val="none"/>
        </w:rPr>
        <w:t xml:space="preserve">电子投标</w:t>
      </w:r>
      <w:r>
        <w:rPr>
          <w:rFonts w:ascii="宋体" w:hAnsi="宋体" w:eastAsia="宋体"/>
          <w:color w:val="auto"/>
          <w:sz w:val="24"/>
          <w:szCs w:val="24"/>
          <w:highlight w:val="none"/>
        </w:rPr>
        <w:t xml:space="preserve">文件中已提供的无需再提供</w:t>
      </w:r>
      <w:r>
        <w:rPr>
          <w:rFonts w:hint="eastAsia" w:ascii="宋体" w:hAnsi="宋体" w:eastAsia="宋体"/>
          <w:color w:val="auto"/>
          <w:sz w:val="24"/>
          <w:szCs w:val="24"/>
          <w:highlight w:val="none"/>
        </w:rPr>
        <w:t xml:space="preserve">。</w:t>
      </w:r>
      <w:r/>
    </w:p>
    <w:p>
      <w:pPr>
        <w:pStyle w:val="955"/>
        <w:ind w:left="-178" w:firstLine="0"/>
        <w:spacing w:before="78"/>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文件（纸质份数）：中标人须在领取中标通知书前提供肆份通过专用投标工具软件打印的纸质投标文件并逐页加盖单位公章。</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footnotePr/>
      <w:endnotePr/>
      <w:type w:val="nextPage"/>
      <w:pgSz w:w="11906" w:h="16838" w:orient="portrait"/>
      <w:pgMar w:top="1417" w:right="1134" w:bottom="1247" w:left="130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ˎ̥">
    <w:panose1 w:val="020B0503020202020204"/>
  </w:font>
  <w:font w:name="Tahoma">
    <w:panose1 w:val="020B0604030504040204"/>
  </w:font>
  <w:font w:name="方正小标宋简体">
    <w:panose1 w:val="020B0503020202020204"/>
  </w:font>
  <w:font w:name="Trebuchet MS">
    <w:panose1 w:val="020B0603020202020204"/>
  </w:font>
  <w:font w:name="Wingdings">
    <w:panose1 w:val="05000000000000000000"/>
  </w:font>
  <w:font w:name="Cambria">
    <w:panose1 w:val="02040503050406030204"/>
  </w:font>
  <w:font w:name="Courier New">
    <w:panose1 w:val="02070309020205020404"/>
  </w:font>
  <w:font w:name="方正魏碑_GBK">
    <w:panose1 w:val="020B0503020202020204"/>
  </w:font>
  <w:font w:name="Plotter">
    <w:panose1 w:val="020B0503020202020204"/>
  </w:font>
  <w:font w:name="等线">
    <w:panose1 w:val="02010600030101010101"/>
  </w:font>
  <w:font w:name="等线 Light">
    <w:panose1 w:val="02010600030101010101"/>
  </w:font>
  <w:font w:name="仿宋">
    <w:panose1 w:val="02010609060101010101"/>
  </w:font>
  <w:font w:name="仿宋_GB2312">
    <w:panose1 w:val="02010609060101010101"/>
  </w:font>
  <w:font w:name="幼圆">
    <w:panose1 w:val="02010509060101010101"/>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tabs>
        <w:tab w:val="center" w:pos="4153" w:leader="none"/>
        <w:tab w:val="clear" w:pos="7143" w:leader="none"/>
        <w:tab w:val="right" w:pos="8306" w:leader="none"/>
        <w:tab w:val="clear" w:pos="14287" w:leader="none"/>
      </w:tabs>
    </w:pPr>
    <w:r>
      <w:rPr>
        <w:rFonts w:ascii="Calibri" w:hAnsi="Calibri" w:eastAsia="宋体" w:cs="Times New Roman"/>
        <w:sz w:val="18"/>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87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pPr>
    <w:r>
      <w:rPr>
        <w:rFonts w:ascii="Calibri" w:hAnsi="Calibri"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9860" cy="139700"/>
              <wp:effectExtent l="0" t="0" r="0" b="0"/>
              <wp:wrapNone/>
              <wp:docPr id="2" name="文本框 1"/>
              <wp:cNvGraphicFramePr/>
              <a:graphic xmlns:a="http://schemas.openxmlformats.org/drawingml/2006/main">
                <a:graphicData uri="http://schemas.microsoft.com/office/word/2010/wordprocessingShape">
                  <wps:wsp>
                    <wps:cNvPr id="0" name=""/>
                    <wps:cNvSpPr/>
                    <wps:spPr bwMode="auto">
                      <a:xfrm>
                        <a:off x="0" y="0"/>
                        <a:ext cx="149860" cy="139700"/>
                      </a:xfrm>
                      <a:prstGeom prst="rect">
                        <a:avLst/>
                      </a:prstGeom>
                      <a:noFill/>
                      <a:ln>
                        <a:noFill/>
                      </a:ln>
                    </wps:spPr>
                    <wps:txbx>
                      <w:txbxContent>
                        <w:p>
                          <w:pPr>
                            <w:pStyle w:val="920"/>
                          </w:pPr>
                          <w:r>
                            <w:fldChar w:fldCharType="begin"/>
                          </w:r>
                          <w:r>
                            <w:instrText xml:space="preserve"> PAGE  \* MERGEFORMAT </w:instrText>
                          </w:r>
                          <w:r>
                            <w:fldChar w:fldCharType="separate"/>
                          </w:r>
                          <w:r>
                            <w:t xml:space="preserve">16</w:t>
                          </w:r>
                          <w:r>
                            <w:fldChar w:fldCharType="end"/>
                          </w:r>
                          <w:r/>
                        </w:p>
                        <w:p>
                          <w:r/>
                          <w:r/>
                        </w:p>
                      </w:txbxContent>
                    </wps:txbx>
                    <wps:bodyPr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1.8pt;height:11.0pt;mso-wrap-distance-left:9.0pt;mso-wrap-distance-top:0.0pt;mso-wrap-distance-right:9.0pt;mso-wrap-distance-bottom:0.0pt;visibility:visible;" filled="f" stroked="f">
              <v:textbox inset="0,0,0,0">
                <w:txbxContent>
                  <w:p>
                    <w:pPr>
                      <w:pStyle w:val="920"/>
                    </w:pPr>
                    <w:r>
                      <w:fldChar w:fldCharType="begin"/>
                    </w:r>
                    <w:r>
                      <w:instrText xml:space="preserve"> PAGE  \* MERGEFORMAT </w:instrText>
                    </w:r>
                    <w:r>
                      <w:fldChar w:fldCharType="separate"/>
                    </w:r>
                    <w:r>
                      <w:t xml:space="preserve">16</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5"/>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0">
    <w:name w:val="Heading 1 Char"/>
    <w:basedOn w:val="864"/>
    <w:link w:val="855"/>
    <w:uiPriority w:val="9"/>
    <w:rPr>
      <w:rFonts w:ascii="Arial" w:hAnsi="Arial" w:eastAsia="Arial" w:cs="Arial"/>
      <w:sz w:val="40"/>
      <w:szCs w:val="40"/>
    </w:rPr>
  </w:style>
  <w:style w:type="character" w:styleId="711">
    <w:name w:val="Heading 2 Char"/>
    <w:basedOn w:val="864"/>
    <w:link w:val="856"/>
    <w:uiPriority w:val="9"/>
    <w:rPr>
      <w:rFonts w:ascii="Arial" w:hAnsi="Arial" w:eastAsia="Arial" w:cs="Arial"/>
      <w:sz w:val="34"/>
    </w:rPr>
  </w:style>
  <w:style w:type="character" w:styleId="712">
    <w:name w:val="Heading 3 Char"/>
    <w:basedOn w:val="864"/>
    <w:link w:val="857"/>
    <w:uiPriority w:val="9"/>
    <w:rPr>
      <w:rFonts w:ascii="Arial" w:hAnsi="Arial" w:eastAsia="Arial" w:cs="Arial"/>
      <w:sz w:val="30"/>
      <w:szCs w:val="30"/>
    </w:rPr>
  </w:style>
  <w:style w:type="character" w:styleId="713">
    <w:name w:val="Heading 4 Char"/>
    <w:basedOn w:val="864"/>
    <w:link w:val="858"/>
    <w:uiPriority w:val="9"/>
    <w:rPr>
      <w:rFonts w:ascii="Arial" w:hAnsi="Arial" w:eastAsia="Arial" w:cs="Arial"/>
      <w:b/>
      <w:bCs/>
      <w:sz w:val="26"/>
      <w:szCs w:val="26"/>
    </w:rPr>
  </w:style>
  <w:style w:type="character" w:styleId="714">
    <w:name w:val="Heading 5 Char"/>
    <w:basedOn w:val="864"/>
    <w:link w:val="859"/>
    <w:uiPriority w:val="9"/>
    <w:rPr>
      <w:rFonts w:ascii="Arial" w:hAnsi="Arial" w:eastAsia="Arial" w:cs="Arial"/>
      <w:b/>
      <w:bCs/>
      <w:sz w:val="24"/>
      <w:szCs w:val="24"/>
    </w:rPr>
  </w:style>
  <w:style w:type="character" w:styleId="715">
    <w:name w:val="Heading 6 Char"/>
    <w:basedOn w:val="864"/>
    <w:link w:val="860"/>
    <w:uiPriority w:val="9"/>
    <w:rPr>
      <w:rFonts w:ascii="Arial" w:hAnsi="Arial" w:eastAsia="Arial" w:cs="Arial"/>
      <w:b/>
      <w:bCs/>
      <w:sz w:val="22"/>
      <w:szCs w:val="22"/>
    </w:rPr>
  </w:style>
  <w:style w:type="character" w:styleId="716">
    <w:name w:val="Heading 7 Char"/>
    <w:basedOn w:val="864"/>
    <w:link w:val="861"/>
    <w:uiPriority w:val="9"/>
    <w:rPr>
      <w:rFonts w:ascii="Arial" w:hAnsi="Arial" w:eastAsia="Arial" w:cs="Arial"/>
      <w:b/>
      <w:bCs/>
      <w:i/>
      <w:iCs/>
      <w:sz w:val="22"/>
      <w:szCs w:val="22"/>
    </w:rPr>
  </w:style>
  <w:style w:type="character" w:styleId="717">
    <w:name w:val="Heading 8 Char"/>
    <w:basedOn w:val="864"/>
    <w:link w:val="862"/>
    <w:uiPriority w:val="9"/>
    <w:rPr>
      <w:rFonts w:ascii="Arial" w:hAnsi="Arial" w:eastAsia="Arial" w:cs="Arial"/>
      <w:i/>
      <w:iCs/>
      <w:sz w:val="22"/>
      <w:szCs w:val="22"/>
    </w:rPr>
  </w:style>
  <w:style w:type="character" w:styleId="718">
    <w:name w:val="Heading 9 Char"/>
    <w:basedOn w:val="864"/>
    <w:link w:val="863"/>
    <w:uiPriority w:val="9"/>
    <w:rPr>
      <w:rFonts w:ascii="Arial" w:hAnsi="Arial" w:eastAsia="Arial" w:cs="Arial"/>
      <w:i/>
      <w:iCs/>
      <w:sz w:val="21"/>
      <w:szCs w:val="21"/>
    </w:rPr>
  </w:style>
  <w:style w:type="character" w:styleId="719">
    <w:name w:val="Title Char"/>
    <w:basedOn w:val="864"/>
    <w:link w:val="890"/>
    <w:uiPriority w:val="10"/>
    <w:rPr>
      <w:sz w:val="48"/>
      <w:szCs w:val="48"/>
    </w:rPr>
  </w:style>
  <w:style w:type="character" w:styleId="720">
    <w:name w:val="Subtitle Char"/>
    <w:basedOn w:val="864"/>
    <w:link w:val="883"/>
    <w:uiPriority w:val="11"/>
    <w:rPr>
      <w:sz w:val="24"/>
      <w:szCs w:val="24"/>
    </w:rPr>
  </w:style>
  <w:style w:type="character" w:styleId="721">
    <w:name w:val="Quote Char"/>
    <w:link w:val="905"/>
    <w:uiPriority w:val="29"/>
    <w:rPr>
      <w:i/>
    </w:rPr>
  </w:style>
  <w:style w:type="character" w:styleId="722">
    <w:name w:val="Intense Quote Char"/>
    <w:link w:val="906"/>
    <w:uiPriority w:val="30"/>
    <w:rPr>
      <w:i/>
    </w:rPr>
  </w:style>
  <w:style w:type="character" w:styleId="723">
    <w:name w:val="Header Char"/>
    <w:basedOn w:val="864"/>
    <w:link w:val="880"/>
    <w:uiPriority w:val="99"/>
  </w:style>
  <w:style w:type="character" w:styleId="724">
    <w:name w:val="Caption Char"/>
    <w:basedOn w:val="870"/>
    <w:link w:val="879"/>
    <w:uiPriority w:val="99"/>
  </w:style>
  <w:style w:type="table" w:styleId="725">
    <w:name w:val="Table Grid"/>
    <w:basedOn w:val="86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Footnote Text Char"/>
    <w:link w:val="884"/>
    <w:uiPriority w:val="99"/>
    <w:rPr>
      <w:sz w:val="18"/>
    </w:rPr>
  </w:style>
  <w:style w:type="character" w:styleId="852">
    <w:name w:val="Endnote Text Char"/>
    <w:link w:val="878"/>
    <w:uiPriority w:val="99"/>
    <w:rPr>
      <w:sz w:val="20"/>
    </w:rPr>
  </w:style>
  <w:style w:type="paragraph" w:styleId="853">
    <w:name w:val="TOC Heading"/>
    <w:uiPriority w:val="39"/>
    <w:unhideWhenUsed/>
  </w:style>
  <w:style w:type="paragraph" w:styleId="854" w:default="1">
    <w:name w:val="Normal"/>
    <w:next w:val="866"/>
    <w:uiPriority w:val="0"/>
    <w:qFormat/>
    <w:pPr>
      <w:jc w:val="both"/>
      <w:widowControl w:val="off"/>
    </w:pPr>
    <w:rPr>
      <w:rFonts w:ascii="Calibri" w:hAnsi="Calibri" w:eastAsia="宋体" w:cs="Times New Roman"/>
      <w:sz w:val="21"/>
      <w:szCs w:val="22"/>
      <w:lang w:val="en-US" w:eastAsia="zh-CN" w:bidi="ar-SA"/>
    </w:rPr>
  </w:style>
  <w:style w:type="paragraph" w:styleId="855">
    <w:name w:val="Heading 1"/>
    <w:basedOn w:val="854"/>
    <w:next w:val="854"/>
    <w:link w:val="962"/>
    <w:uiPriority w:val="9"/>
    <w:qFormat/>
    <w:pPr>
      <w:jc w:val="center"/>
      <w:keepLines/>
      <w:keepNext/>
      <w:spacing w:before="480" w:after="200"/>
      <w:outlineLvl w:val="0"/>
    </w:pPr>
    <w:rPr>
      <w:rFonts w:ascii="Arial" w:hAnsi="Arial" w:cs="Arial"/>
      <w:b/>
      <w:sz w:val="36"/>
      <w:szCs w:val="40"/>
    </w:rPr>
  </w:style>
  <w:style w:type="paragraph" w:styleId="856">
    <w:name w:val="Heading 2"/>
    <w:basedOn w:val="854"/>
    <w:next w:val="854"/>
    <w:link w:val="963"/>
    <w:uiPriority w:val="9"/>
    <w:unhideWhenUsed/>
    <w:qFormat/>
    <w:pPr>
      <w:jc w:val="left"/>
      <w:keepLines/>
      <w:keepNext/>
      <w:spacing w:before="360" w:after="200"/>
      <w:outlineLvl w:val="1"/>
    </w:pPr>
    <w:rPr>
      <w:rFonts w:ascii="Arial" w:hAnsi="Arial" w:cs="Arial"/>
      <w:b/>
      <w:sz w:val="28"/>
    </w:rPr>
  </w:style>
  <w:style w:type="paragraph" w:styleId="857">
    <w:name w:val="Heading 3"/>
    <w:basedOn w:val="854"/>
    <w:next w:val="854"/>
    <w:link w:val="964"/>
    <w:uiPriority w:val="9"/>
    <w:unhideWhenUsed/>
    <w:qFormat/>
    <w:pPr>
      <w:keepLines/>
      <w:keepNext/>
      <w:spacing w:before="320" w:after="200"/>
      <w:outlineLvl w:val="2"/>
    </w:pPr>
    <w:rPr>
      <w:rFonts w:ascii="Arial" w:hAnsi="Arial" w:cs="Arial"/>
      <w:b/>
      <w:sz w:val="24"/>
      <w:szCs w:val="30"/>
    </w:rPr>
  </w:style>
  <w:style w:type="paragraph" w:styleId="858">
    <w:name w:val="Heading 4"/>
    <w:basedOn w:val="854"/>
    <w:next w:val="854"/>
    <w:link w:val="965"/>
    <w:uiPriority w:val="9"/>
    <w:unhideWhenUsed/>
    <w:qFormat/>
    <w:pPr>
      <w:keepLines/>
      <w:keepNext/>
      <w:spacing w:before="320" w:after="200"/>
      <w:outlineLvl w:val="3"/>
    </w:pPr>
    <w:rPr>
      <w:rFonts w:ascii="Arial" w:hAnsi="Arial" w:eastAsia="Arial" w:cs="Arial"/>
      <w:b/>
      <w:bCs/>
      <w:sz w:val="26"/>
      <w:szCs w:val="26"/>
    </w:rPr>
  </w:style>
  <w:style w:type="paragraph" w:styleId="859">
    <w:name w:val="Heading 5"/>
    <w:basedOn w:val="854"/>
    <w:next w:val="854"/>
    <w:link w:val="966"/>
    <w:uiPriority w:val="9"/>
    <w:unhideWhenUsed/>
    <w:qFormat/>
    <w:pPr>
      <w:keepLines/>
      <w:keepNext/>
      <w:spacing w:before="320" w:after="200"/>
      <w:outlineLvl w:val="4"/>
    </w:pPr>
    <w:rPr>
      <w:rFonts w:ascii="Arial" w:hAnsi="Arial" w:eastAsia="Arial" w:cs="Arial"/>
      <w:b/>
      <w:bCs/>
      <w:sz w:val="24"/>
      <w:szCs w:val="24"/>
    </w:rPr>
  </w:style>
  <w:style w:type="paragraph" w:styleId="860">
    <w:name w:val="Heading 6"/>
    <w:basedOn w:val="854"/>
    <w:next w:val="854"/>
    <w:link w:val="967"/>
    <w:uiPriority w:val="9"/>
    <w:unhideWhenUsed/>
    <w:qFormat/>
    <w:pPr>
      <w:keepLines/>
      <w:keepNext/>
      <w:spacing w:before="320" w:after="200"/>
      <w:outlineLvl w:val="5"/>
    </w:pPr>
    <w:rPr>
      <w:rFonts w:ascii="Arial" w:hAnsi="Arial" w:eastAsia="Arial" w:cs="Arial"/>
      <w:b/>
      <w:bCs/>
      <w:sz w:val="22"/>
    </w:rPr>
  </w:style>
  <w:style w:type="paragraph" w:styleId="861">
    <w:name w:val="Heading 7"/>
    <w:basedOn w:val="854"/>
    <w:next w:val="854"/>
    <w:link w:val="968"/>
    <w:uiPriority w:val="9"/>
    <w:unhideWhenUsed/>
    <w:qFormat/>
    <w:pPr>
      <w:keepLines/>
      <w:keepNext/>
      <w:spacing w:before="320" w:after="200"/>
      <w:outlineLvl w:val="6"/>
    </w:pPr>
    <w:rPr>
      <w:rFonts w:ascii="Arial" w:hAnsi="Arial" w:eastAsia="Arial" w:cs="Arial"/>
      <w:b/>
      <w:bCs/>
      <w:i/>
      <w:iCs/>
      <w:sz w:val="22"/>
    </w:rPr>
  </w:style>
  <w:style w:type="paragraph" w:styleId="862">
    <w:name w:val="Heading 8"/>
    <w:basedOn w:val="854"/>
    <w:next w:val="854"/>
    <w:link w:val="969"/>
    <w:uiPriority w:val="9"/>
    <w:unhideWhenUsed/>
    <w:qFormat/>
    <w:pPr>
      <w:keepLines/>
      <w:keepNext/>
      <w:spacing w:before="320" w:after="200"/>
      <w:outlineLvl w:val="7"/>
    </w:pPr>
    <w:rPr>
      <w:rFonts w:ascii="Arial" w:hAnsi="Arial" w:eastAsia="Arial" w:cs="Arial"/>
      <w:i/>
      <w:iCs/>
      <w:sz w:val="22"/>
    </w:rPr>
  </w:style>
  <w:style w:type="paragraph" w:styleId="863">
    <w:name w:val="Heading 9"/>
    <w:basedOn w:val="854"/>
    <w:next w:val="854"/>
    <w:link w:val="970"/>
    <w:uiPriority w:val="9"/>
    <w:unhideWhenUsed/>
    <w:qFormat/>
    <w:pPr>
      <w:keepLines/>
      <w:keepNext/>
      <w:spacing w:before="320" w:after="200"/>
      <w:outlineLvl w:val="8"/>
    </w:pPr>
    <w:rPr>
      <w:rFonts w:ascii="Arial" w:hAnsi="Arial" w:eastAsia="Arial" w:cs="Arial"/>
      <w:i/>
      <w:iCs/>
      <w:szCs w:val="21"/>
    </w:rPr>
  </w:style>
  <w:style w:type="character" w:styleId="864" w:default="1">
    <w:name w:val="Default Paragraph Font"/>
    <w:uiPriority w:val="1"/>
    <w:semiHidden/>
    <w:unhideWhenUsed/>
    <w:qFormat/>
  </w:style>
  <w:style w:type="table" w:styleId="865" w:default="1">
    <w:name w:val="Normal Table"/>
    <w:uiPriority w:val="99"/>
    <w:semiHidden/>
    <w:unhideWhenUsed/>
    <w:qFormat/>
    <w:tblPr>
      <w:tblCellMar>
        <w:left w:w="108" w:type="dxa"/>
        <w:top w:w="0" w:type="dxa"/>
        <w:right w:w="108" w:type="dxa"/>
        <w:bottom w:w="0" w:type="dxa"/>
      </w:tblCellMar>
    </w:tblPr>
  </w:style>
  <w:style w:type="paragraph" w:styleId="866">
    <w:name w:val="Body Text First Indent 2"/>
    <w:basedOn w:val="867"/>
    <w:next w:val="854"/>
    <w:uiPriority w:val="0"/>
    <w:qFormat/>
    <w:pPr>
      <w:ind w:firstLine="200"/>
    </w:pPr>
    <w:rPr>
      <w:rFonts w:hAnsi="宋体"/>
    </w:rPr>
  </w:style>
  <w:style w:type="paragraph" w:styleId="867">
    <w:name w:val="Body Text Indent"/>
    <w:basedOn w:val="854"/>
    <w:next w:val="868"/>
    <w:uiPriority w:val="0"/>
    <w:unhideWhenUsed/>
    <w:qFormat/>
    <w:pPr>
      <w:ind w:firstLine="420"/>
      <w:spacing w:line="360" w:lineRule="auto"/>
    </w:pPr>
    <w:rPr>
      <w:rFonts w:ascii="宋体" w:hAnsi="Times New Roman"/>
      <w:sz w:val="24"/>
      <w:szCs w:val="20"/>
    </w:rPr>
  </w:style>
  <w:style w:type="paragraph" w:styleId="868">
    <w:name w:val="envelope return"/>
    <w:basedOn w:val="854"/>
    <w:uiPriority w:val="0"/>
    <w:qFormat/>
    <w:rPr>
      <w:rFonts w:ascii="Arial" w:hAnsi="Arial" w:cs="宋体"/>
    </w:rPr>
  </w:style>
  <w:style w:type="paragraph" w:styleId="869">
    <w:name w:val="toc 7"/>
    <w:basedOn w:val="854"/>
    <w:next w:val="854"/>
    <w:uiPriority w:val="39"/>
    <w:unhideWhenUsed/>
    <w:qFormat/>
    <w:pPr>
      <w:ind w:left="1701"/>
      <w:spacing w:after="57"/>
    </w:pPr>
  </w:style>
  <w:style w:type="paragraph" w:styleId="870">
    <w:name w:val="Caption"/>
    <w:basedOn w:val="854"/>
    <w:next w:val="854"/>
    <w:uiPriority w:val="35"/>
    <w:semiHidden/>
    <w:unhideWhenUsed/>
    <w:qFormat/>
    <w:pPr>
      <w:spacing w:line="276" w:lineRule="auto"/>
    </w:pPr>
    <w:rPr>
      <w:b/>
      <w:bCs/>
      <w:color w:val="4f81bd"/>
      <w:sz w:val="18"/>
      <w:szCs w:val="18"/>
    </w:rPr>
  </w:style>
  <w:style w:type="paragraph" w:styleId="871">
    <w:name w:val="annotation text"/>
    <w:basedOn w:val="854"/>
    <w:link w:val="1027"/>
    <w:uiPriority w:val="99"/>
    <w:semiHidden/>
    <w:unhideWhenUsed/>
    <w:qFormat/>
    <w:pPr>
      <w:jc w:val="left"/>
    </w:pPr>
  </w:style>
  <w:style w:type="paragraph" w:styleId="872">
    <w:name w:val="Body Text"/>
    <w:basedOn w:val="854"/>
    <w:uiPriority w:val="99"/>
    <w:unhideWhenUsed/>
    <w:qFormat/>
    <w:pPr>
      <w:jc w:val="center"/>
    </w:pPr>
    <w:rPr>
      <w:rFonts w:eastAsia="幼圆"/>
      <w:b/>
      <w:bCs/>
      <w:sz w:val="44"/>
    </w:rPr>
  </w:style>
  <w:style w:type="paragraph" w:styleId="873">
    <w:name w:val="index 4"/>
    <w:basedOn w:val="854"/>
    <w:next w:val="854"/>
    <w:uiPriority w:val="0"/>
    <w:semiHidden/>
    <w:qFormat/>
    <w:pPr>
      <w:ind w:left="1260"/>
    </w:pPr>
  </w:style>
  <w:style w:type="paragraph" w:styleId="874">
    <w:name w:val="toc 5"/>
    <w:basedOn w:val="854"/>
    <w:next w:val="854"/>
    <w:uiPriority w:val="39"/>
    <w:unhideWhenUsed/>
    <w:qFormat/>
    <w:pPr>
      <w:ind w:left="1134"/>
      <w:spacing w:after="57"/>
    </w:pPr>
  </w:style>
  <w:style w:type="paragraph" w:styleId="875">
    <w:name w:val="toc 3"/>
    <w:basedOn w:val="854"/>
    <w:next w:val="854"/>
    <w:uiPriority w:val="39"/>
    <w:unhideWhenUsed/>
    <w:qFormat/>
    <w:pPr>
      <w:ind w:left="420"/>
      <w:jc w:val="left"/>
    </w:pPr>
    <w:rPr>
      <w:rFonts w:ascii="等线" w:hAnsi="Plotter" w:eastAsia="等线"/>
      <w:i/>
      <w:iCs/>
      <w:sz w:val="20"/>
      <w:szCs w:val="20"/>
    </w:rPr>
  </w:style>
  <w:style w:type="paragraph" w:styleId="876">
    <w:name w:val="Plain Text"/>
    <w:basedOn w:val="854"/>
    <w:uiPriority w:val="0"/>
    <w:qFormat/>
    <w:rPr>
      <w:rFonts w:ascii="宋体" w:hAnsi="Courier New"/>
    </w:rPr>
  </w:style>
  <w:style w:type="paragraph" w:styleId="877">
    <w:name w:val="toc 8"/>
    <w:basedOn w:val="854"/>
    <w:next w:val="854"/>
    <w:uiPriority w:val="39"/>
    <w:unhideWhenUsed/>
    <w:qFormat/>
    <w:pPr>
      <w:ind w:left="1984"/>
      <w:spacing w:after="57"/>
    </w:pPr>
  </w:style>
  <w:style w:type="paragraph" w:styleId="878">
    <w:name w:val="endnote text"/>
    <w:basedOn w:val="854"/>
    <w:link w:val="979"/>
    <w:uiPriority w:val="99"/>
    <w:semiHidden/>
    <w:unhideWhenUsed/>
    <w:qFormat/>
    <w:rPr>
      <w:sz w:val="20"/>
    </w:rPr>
  </w:style>
  <w:style w:type="paragraph" w:styleId="879">
    <w:name w:val="Footer"/>
    <w:basedOn w:val="854"/>
    <w:link w:val="977"/>
    <w:uiPriority w:val="99"/>
    <w:unhideWhenUsed/>
    <w:qFormat/>
    <w:pPr>
      <w:tabs>
        <w:tab w:val="center" w:pos="7143" w:leader="none"/>
        <w:tab w:val="right" w:pos="14287" w:leader="none"/>
      </w:tabs>
    </w:pPr>
  </w:style>
  <w:style w:type="paragraph" w:styleId="880">
    <w:name w:val="Header"/>
    <w:basedOn w:val="854"/>
    <w:link w:val="975"/>
    <w:uiPriority w:val="99"/>
    <w:unhideWhenUsed/>
    <w:qFormat/>
    <w:pPr>
      <w:tabs>
        <w:tab w:val="center" w:pos="7143" w:leader="none"/>
        <w:tab w:val="right" w:pos="14287" w:leader="none"/>
      </w:tabs>
    </w:pPr>
  </w:style>
  <w:style w:type="paragraph" w:styleId="881">
    <w:name w:val="toc 1"/>
    <w:basedOn w:val="854"/>
    <w:next w:val="854"/>
    <w:uiPriority w:val="39"/>
    <w:qFormat/>
    <w:pPr>
      <w:tabs>
        <w:tab w:val="right" w:pos="8456" w:leader="dot"/>
      </w:tabs>
    </w:pPr>
    <w:rPr>
      <w:rFonts w:ascii="宋体" w:hAnsi="宋体"/>
    </w:rPr>
  </w:style>
  <w:style w:type="paragraph" w:styleId="882">
    <w:name w:val="toc 4"/>
    <w:basedOn w:val="854"/>
    <w:next w:val="854"/>
    <w:uiPriority w:val="39"/>
    <w:unhideWhenUsed/>
    <w:qFormat/>
    <w:pPr>
      <w:ind w:left="850"/>
      <w:spacing w:after="57"/>
    </w:pPr>
  </w:style>
  <w:style w:type="paragraph" w:styleId="883">
    <w:name w:val="Subtitle"/>
    <w:basedOn w:val="854"/>
    <w:next w:val="854"/>
    <w:link w:val="972"/>
    <w:uiPriority w:val="11"/>
    <w:qFormat/>
    <w:pPr>
      <w:spacing w:before="200" w:after="200"/>
    </w:pPr>
    <w:rPr>
      <w:sz w:val="24"/>
      <w:szCs w:val="24"/>
    </w:rPr>
  </w:style>
  <w:style w:type="paragraph" w:styleId="884">
    <w:name w:val="footnote text"/>
    <w:basedOn w:val="854"/>
    <w:link w:val="978"/>
    <w:uiPriority w:val="99"/>
    <w:semiHidden/>
    <w:unhideWhenUsed/>
    <w:qFormat/>
    <w:pPr>
      <w:spacing w:after="40"/>
    </w:pPr>
    <w:rPr>
      <w:sz w:val="18"/>
    </w:rPr>
  </w:style>
  <w:style w:type="paragraph" w:styleId="885">
    <w:name w:val="toc 6"/>
    <w:basedOn w:val="854"/>
    <w:next w:val="854"/>
    <w:uiPriority w:val="39"/>
    <w:unhideWhenUsed/>
    <w:qFormat/>
    <w:pPr>
      <w:ind w:left="1417"/>
      <w:spacing w:after="57"/>
    </w:pPr>
  </w:style>
  <w:style w:type="paragraph" w:styleId="886">
    <w:name w:val="table of figures"/>
    <w:basedOn w:val="854"/>
    <w:next w:val="854"/>
    <w:uiPriority w:val="99"/>
    <w:unhideWhenUsed/>
    <w:qFormat/>
  </w:style>
  <w:style w:type="paragraph" w:styleId="887">
    <w:name w:val="toc 2"/>
    <w:basedOn w:val="854"/>
    <w:next w:val="854"/>
    <w:uiPriority w:val="39"/>
    <w:qFormat/>
    <w:pPr>
      <w:ind w:left="420"/>
    </w:pPr>
    <w:rPr>
      <w:rFonts w:ascii="Plotter" w:hAnsi="Plotter" w:eastAsia="微软雅黑"/>
    </w:rPr>
  </w:style>
  <w:style w:type="paragraph" w:styleId="888">
    <w:name w:val="toc 9"/>
    <w:basedOn w:val="854"/>
    <w:next w:val="854"/>
    <w:uiPriority w:val="39"/>
    <w:unhideWhenUsed/>
    <w:qFormat/>
    <w:pPr>
      <w:ind w:left="2268"/>
      <w:spacing w:after="57"/>
    </w:pPr>
  </w:style>
  <w:style w:type="paragraph" w:styleId="889">
    <w:name w:val="Normal (Web)"/>
    <w:basedOn w:val="854"/>
    <w:uiPriority w:val="99"/>
    <w:qFormat/>
    <w:pPr>
      <w:jc w:val="left"/>
    </w:pPr>
    <w:rPr>
      <w:rFonts w:ascii="Plotter" w:hAnsi="Plotter" w:eastAsia="微软雅黑"/>
      <w:sz w:val="24"/>
    </w:rPr>
  </w:style>
  <w:style w:type="paragraph" w:styleId="890">
    <w:name w:val="Title"/>
    <w:basedOn w:val="854"/>
    <w:next w:val="854"/>
    <w:link w:val="971"/>
    <w:uiPriority w:val="10"/>
    <w:qFormat/>
    <w:pPr>
      <w:contextualSpacing/>
      <w:spacing w:before="300" w:after="200"/>
    </w:pPr>
    <w:rPr>
      <w:sz w:val="48"/>
      <w:szCs w:val="48"/>
    </w:rPr>
  </w:style>
  <w:style w:type="paragraph" w:styleId="891">
    <w:name w:val="annotation subject"/>
    <w:basedOn w:val="871"/>
    <w:next w:val="871"/>
    <w:link w:val="1028"/>
    <w:uiPriority w:val="99"/>
    <w:semiHidden/>
    <w:unhideWhenUsed/>
    <w:qFormat/>
    <w:rPr>
      <w:b/>
      <w:bCs/>
    </w:rPr>
  </w:style>
  <w:style w:type="character" w:styleId="892">
    <w:name w:val="Strong"/>
    <w:basedOn w:val="864"/>
    <w:uiPriority w:val="22"/>
    <w:qFormat/>
    <w:rPr>
      <w:b/>
    </w:rPr>
  </w:style>
  <w:style w:type="character" w:styleId="893">
    <w:name w:val="endnote reference"/>
    <w:uiPriority w:val="99"/>
    <w:semiHidden/>
    <w:unhideWhenUsed/>
    <w:qFormat/>
    <w:rPr>
      <w:vertAlign w:val="superscript"/>
    </w:rPr>
  </w:style>
  <w:style w:type="character" w:styleId="894">
    <w:name w:val="Emphasis"/>
    <w:uiPriority w:val="20"/>
    <w:qFormat/>
    <w:rPr>
      <w:i/>
      <w:iCs/>
    </w:rPr>
  </w:style>
  <w:style w:type="character" w:styleId="895">
    <w:name w:val="Hyperlink"/>
    <w:uiPriority w:val="99"/>
    <w:unhideWhenUsed/>
    <w:qFormat/>
    <w:rPr>
      <w:color w:val="0000ff"/>
      <w:u w:val="single"/>
    </w:rPr>
  </w:style>
  <w:style w:type="character" w:styleId="896">
    <w:name w:val="annotation reference"/>
    <w:basedOn w:val="864"/>
    <w:uiPriority w:val="99"/>
    <w:semiHidden/>
    <w:unhideWhenUsed/>
    <w:qFormat/>
    <w:rPr>
      <w:sz w:val="21"/>
      <w:szCs w:val="21"/>
    </w:rPr>
  </w:style>
  <w:style w:type="character" w:styleId="897">
    <w:name w:val="footnote reference"/>
    <w:uiPriority w:val="99"/>
    <w:unhideWhenUsed/>
    <w:qFormat/>
    <w:rPr>
      <w:vertAlign w:val="superscript"/>
    </w:rPr>
  </w:style>
  <w:style w:type="paragraph" w:styleId="898" w:customStyle="1">
    <w:name w:val="正文首行缩进 21"/>
    <w:basedOn w:val="899"/>
    <w:next w:val="854"/>
    <w:uiPriority w:val="0"/>
    <w:qFormat/>
    <w:pPr>
      <w:ind w:left="0" w:firstLine="420"/>
      <w:spacing w:after="0" w:line="360" w:lineRule="auto"/>
    </w:pPr>
    <w:rPr>
      <w:rFonts w:ascii="宋体" w:hAnsi="宋体"/>
      <w:szCs w:val="20"/>
    </w:rPr>
  </w:style>
  <w:style w:type="paragraph" w:styleId="899" w:customStyle="1">
    <w:name w:val="正文文本缩进11"/>
    <w:basedOn w:val="854"/>
    <w:next w:val="900"/>
    <w:uiPriority w:val="0"/>
    <w:unhideWhenUsed/>
    <w:qFormat/>
    <w:pPr>
      <w:ind w:left="420"/>
      <w:spacing w:after="120"/>
    </w:pPr>
  </w:style>
  <w:style w:type="paragraph" w:styleId="900" w:customStyle="1">
    <w:name w:val="寄信人地址1"/>
    <w:basedOn w:val="854"/>
    <w:uiPriority w:val="0"/>
    <w:qFormat/>
    <w:rPr>
      <w:rFonts w:ascii="Arial" w:hAnsi="Arial" w:cs="宋体"/>
    </w:rPr>
  </w:style>
  <w:style w:type="paragraph" w:styleId="901" w:customStyle="1">
    <w:name w:val="首行缩进"/>
    <w:basedOn w:val="854"/>
    <w:uiPriority w:val="0"/>
    <w:qFormat/>
    <w:pPr>
      <w:ind w:firstLine="480"/>
    </w:pPr>
    <w:rPr>
      <w:lang w:val="zh-CN"/>
    </w:rPr>
  </w:style>
  <w:style w:type="paragraph" w:styleId="902" w:customStyle="1">
    <w:name w:val="标题 21"/>
    <w:basedOn w:val="854"/>
    <w:next w:val="854"/>
    <w:link w:val="982"/>
    <w:uiPriority w:val="0"/>
    <w:qFormat/>
    <w:pPr>
      <w:keepLines/>
      <w:keepNext/>
      <w:spacing w:before="260" w:after="260" w:line="416" w:lineRule="auto"/>
      <w:outlineLvl w:val="1"/>
    </w:pPr>
    <w:rPr>
      <w:rFonts w:ascii="等线 Light" w:hAnsi="等线 Light" w:eastAsia="等线 Light"/>
      <w:b/>
      <w:bCs/>
      <w:sz w:val="32"/>
      <w:szCs w:val="32"/>
    </w:rPr>
  </w:style>
  <w:style w:type="paragraph" w:styleId="903" w:customStyle="1">
    <w:name w:val="List Paragraph"/>
    <w:basedOn w:val="854"/>
    <w:uiPriority w:val="34"/>
    <w:qFormat/>
    <w:pPr>
      <w:contextualSpacing/>
      <w:ind w:left="720"/>
    </w:pPr>
  </w:style>
  <w:style w:type="paragraph" w:styleId="904" w:customStyle="1">
    <w:name w:val="No Spacing"/>
    <w:uiPriority w:val="1"/>
    <w:qFormat/>
    <w:rPr>
      <w:rFonts w:ascii="Times New Roman" w:hAnsi="Times New Roman" w:eastAsia="宋体" w:cs="Times New Roman"/>
      <w:lang w:val="en-US" w:eastAsia="zh-CN" w:bidi="ar-SA"/>
    </w:rPr>
  </w:style>
  <w:style w:type="paragraph" w:styleId="905" w:customStyle="1">
    <w:name w:val="Quote"/>
    <w:basedOn w:val="854"/>
    <w:next w:val="854"/>
    <w:link w:val="973"/>
    <w:uiPriority w:val="29"/>
    <w:qFormat/>
    <w:pPr>
      <w:ind w:left="720" w:right="720"/>
    </w:pPr>
    <w:rPr>
      <w:i/>
    </w:rPr>
  </w:style>
  <w:style w:type="paragraph" w:styleId="906" w:customStyle="1">
    <w:name w:val="Intense Quote"/>
    <w:basedOn w:val="854"/>
    <w:next w:val="854"/>
    <w:link w:val="9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07" w:customStyle="1">
    <w:name w:val="TOC 标题1"/>
    <w:uiPriority w:val="39"/>
    <w:unhideWhenUsed/>
    <w:qFormat/>
    <w:rPr>
      <w:rFonts w:ascii="Times New Roman" w:hAnsi="Times New Roman" w:eastAsia="宋体" w:cs="Times New Roman"/>
      <w:lang w:val="en-US" w:eastAsia="zh-CN" w:bidi="ar-SA"/>
    </w:rPr>
  </w:style>
  <w:style w:type="paragraph" w:styleId="908" w:customStyle="1">
    <w:name w:val="标题 11"/>
    <w:basedOn w:val="854"/>
    <w:next w:val="854"/>
    <w:link w:val="981"/>
    <w:uiPriority w:val="0"/>
    <w:qFormat/>
    <w:pPr>
      <w:jc w:val="center"/>
      <w:keepLines/>
      <w:keepNext/>
      <w:spacing w:before="340" w:after="330" w:line="578" w:lineRule="auto"/>
      <w:outlineLvl w:val="0"/>
    </w:pPr>
    <w:rPr>
      <w:b/>
      <w:bCs/>
      <w:sz w:val="44"/>
      <w:szCs w:val="44"/>
    </w:rPr>
  </w:style>
  <w:style w:type="paragraph" w:styleId="909" w:customStyle="1">
    <w:name w:val="标题 31"/>
    <w:basedOn w:val="908"/>
    <w:next w:val="910"/>
    <w:link w:val="983"/>
    <w:uiPriority w:val="0"/>
    <w:qFormat/>
    <w:pPr>
      <w:ind w:left="720" w:hanging="720"/>
      <w:spacing w:before="240" w:after="240" w:line="360" w:lineRule="auto"/>
      <w:outlineLvl w:val="2"/>
    </w:pPr>
    <w:rPr>
      <w:rFonts w:eastAsia="仿宋"/>
      <w:sz w:val="24"/>
    </w:rPr>
  </w:style>
  <w:style w:type="paragraph" w:styleId="910" w:customStyle="1">
    <w:name w:val="正文缩进1"/>
    <w:basedOn w:val="854"/>
    <w:link w:val="984"/>
    <w:uiPriority w:val="0"/>
    <w:qFormat/>
    <w:pPr>
      <w:ind w:firstLine="420"/>
    </w:pPr>
    <w:rPr>
      <w:szCs w:val="20"/>
    </w:rPr>
  </w:style>
  <w:style w:type="paragraph" w:styleId="911" w:customStyle="1">
    <w:name w:val="标题 41"/>
    <w:basedOn w:val="854"/>
    <w:next w:val="854"/>
    <w:uiPriority w:val="0"/>
    <w:qFormat/>
    <w:pPr>
      <w:keepLines/>
      <w:keepNext/>
      <w:spacing w:before="120" w:after="120"/>
      <w:outlineLvl w:val="3"/>
    </w:pPr>
    <w:rPr>
      <w:rFonts w:ascii="Arial" w:hAnsi="Arial" w:eastAsia="黑体"/>
      <w:b/>
      <w:sz w:val="20"/>
      <w:szCs w:val="20"/>
    </w:rPr>
  </w:style>
  <w:style w:type="paragraph" w:styleId="912" w:customStyle="1">
    <w:name w:val="引文目录标题1"/>
    <w:basedOn w:val="854"/>
    <w:next w:val="854"/>
    <w:uiPriority w:val="99"/>
    <w:unhideWhenUsed/>
    <w:qFormat/>
    <w:pPr>
      <w:spacing w:before="120"/>
    </w:pPr>
    <w:rPr>
      <w:rFonts w:ascii="Cambria" w:hAnsi="Cambria"/>
      <w:sz w:val="24"/>
      <w:szCs w:val="24"/>
    </w:rPr>
  </w:style>
  <w:style w:type="paragraph" w:styleId="913" w:customStyle="1">
    <w:name w:val="批注文字1"/>
    <w:basedOn w:val="854"/>
    <w:link w:val="985"/>
    <w:uiPriority w:val="0"/>
    <w:qFormat/>
    <w:pPr>
      <w:jc w:val="left"/>
    </w:pPr>
    <w:rPr>
      <w:szCs w:val="20"/>
    </w:rPr>
  </w:style>
  <w:style w:type="paragraph" w:styleId="914" w:customStyle="1">
    <w:name w:val="正文文本1"/>
    <w:basedOn w:val="854"/>
    <w:next w:val="911"/>
    <w:link w:val="986"/>
    <w:uiPriority w:val="0"/>
    <w:qFormat/>
    <w:pPr>
      <w:spacing w:after="120"/>
    </w:pPr>
  </w:style>
  <w:style w:type="paragraph" w:styleId="915" w:customStyle="1">
    <w:name w:val="正文文本缩进1"/>
    <w:basedOn w:val="854"/>
    <w:link w:val="987"/>
    <w:uiPriority w:val="0"/>
    <w:unhideWhenUsed/>
    <w:qFormat/>
    <w:pPr>
      <w:ind w:firstLine="420"/>
      <w:spacing w:line="360" w:lineRule="auto"/>
    </w:pPr>
    <w:rPr>
      <w:rFonts w:ascii="宋体" w:hAnsi="Times New Roman"/>
      <w:sz w:val="24"/>
      <w:szCs w:val="20"/>
    </w:rPr>
  </w:style>
  <w:style w:type="paragraph" w:styleId="916" w:customStyle="1">
    <w:name w:val="纯文本11"/>
    <w:basedOn w:val="854"/>
    <w:link w:val="988"/>
    <w:uiPriority w:val="0"/>
    <w:qFormat/>
    <w:rPr>
      <w:rFonts w:ascii="宋体" w:hAnsi="Courier New"/>
    </w:rPr>
  </w:style>
  <w:style w:type="paragraph" w:styleId="917" w:customStyle="1">
    <w:name w:val="日期1"/>
    <w:basedOn w:val="854"/>
    <w:next w:val="854"/>
    <w:link w:val="989"/>
    <w:uiPriority w:val="0"/>
    <w:qFormat/>
    <w:rPr>
      <w:rFonts w:ascii="宋体" w:hAnsi="Times New Roman"/>
      <w:sz w:val="28"/>
      <w:szCs w:val="20"/>
    </w:rPr>
  </w:style>
  <w:style w:type="paragraph" w:styleId="918" w:customStyle="1">
    <w:name w:val="正文文本缩进 21"/>
    <w:basedOn w:val="854"/>
    <w:next w:val="854"/>
    <w:uiPriority w:val="0"/>
    <w:qFormat/>
    <w:pPr>
      <w:ind w:left="630" w:firstLine="645"/>
    </w:pPr>
    <w:rPr>
      <w:rFonts w:ascii="Arial" w:hAnsi="Arial" w:eastAsia="仿宋_GB2312"/>
      <w:sz w:val="32"/>
      <w:szCs w:val="20"/>
    </w:rPr>
  </w:style>
  <w:style w:type="paragraph" w:styleId="919" w:customStyle="1">
    <w:name w:val="批注框文本1"/>
    <w:basedOn w:val="854"/>
    <w:link w:val="990"/>
    <w:uiPriority w:val="0"/>
    <w:qFormat/>
    <w:rPr>
      <w:sz w:val="16"/>
      <w:szCs w:val="16"/>
    </w:rPr>
  </w:style>
  <w:style w:type="paragraph" w:styleId="920" w:customStyle="1">
    <w:name w:val="页脚1"/>
    <w:basedOn w:val="854"/>
    <w:link w:val="991"/>
    <w:uiPriority w:val="0"/>
    <w:qFormat/>
    <w:pPr>
      <w:jc w:val="left"/>
      <w:tabs>
        <w:tab w:val="center" w:pos="4153" w:leader="none"/>
        <w:tab w:val="right" w:pos="8306" w:leader="none"/>
      </w:tabs>
    </w:pPr>
    <w:rPr>
      <w:sz w:val="18"/>
      <w:szCs w:val="18"/>
    </w:rPr>
  </w:style>
  <w:style w:type="paragraph" w:styleId="921" w:customStyle="1">
    <w:name w:val="页眉1"/>
    <w:basedOn w:val="854"/>
    <w:link w:val="992"/>
    <w:uiPriority w:val="0"/>
    <w:qFormat/>
    <w:pPr>
      <w:jc w:val="center"/>
      <w:tabs>
        <w:tab w:val="center" w:pos="4153" w:leader="none"/>
        <w:tab w:val="right" w:pos="8306" w:leader="none"/>
      </w:tabs>
      <w:pBdr>
        <w:bottom w:val="single" w:color="000000" w:sz="6" w:space="1"/>
      </w:pBdr>
    </w:pPr>
    <w:rPr>
      <w:sz w:val="18"/>
      <w:szCs w:val="18"/>
    </w:rPr>
  </w:style>
  <w:style w:type="paragraph" w:styleId="922" w:customStyle="1">
    <w:name w:val="索引标题1"/>
    <w:basedOn w:val="854"/>
    <w:next w:val="923"/>
    <w:uiPriority w:val="0"/>
    <w:qFormat/>
    <w:rPr>
      <w:szCs w:val="20"/>
    </w:rPr>
  </w:style>
  <w:style w:type="paragraph" w:styleId="923" w:customStyle="1">
    <w:name w:val="索引 11"/>
    <w:basedOn w:val="854"/>
    <w:next w:val="854"/>
    <w:uiPriority w:val="0"/>
    <w:qFormat/>
    <w:pPr>
      <w:jc w:val="center"/>
    </w:pPr>
    <w:rPr>
      <w:bCs/>
      <w:szCs w:val="20"/>
    </w:rPr>
  </w:style>
  <w:style w:type="paragraph" w:styleId="924" w:customStyle="1">
    <w:name w:val="副标题1"/>
    <w:basedOn w:val="854"/>
    <w:next w:val="854"/>
    <w:link w:val="993"/>
    <w:uiPriority w:val="0"/>
    <w:qFormat/>
    <w:pPr>
      <w:jc w:val="left"/>
      <w:spacing w:line="360" w:lineRule="auto"/>
      <w:outlineLvl w:val="1"/>
    </w:pPr>
    <w:rPr>
      <w:rFonts w:ascii="等线 Light" w:hAnsi="等线 Light" w:eastAsia="仿宋"/>
      <w:b/>
      <w:bCs/>
      <w:sz w:val="28"/>
      <w:szCs w:val="32"/>
    </w:rPr>
  </w:style>
  <w:style w:type="paragraph" w:styleId="925" w:customStyle="1">
    <w:name w:val="正文文本缩进 31"/>
    <w:basedOn w:val="854"/>
    <w:link w:val="994"/>
    <w:uiPriority w:val="0"/>
    <w:qFormat/>
    <w:pPr>
      <w:ind w:left="420"/>
      <w:spacing w:after="120"/>
    </w:pPr>
    <w:rPr>
      <w:rFonts w:ascii="Plotter" w:hAnsi="Plotter"/>
      <w:sz w:val="16"/>
      <w:szCs w:val="16"/>
    </w:rPr>
  </w:style>
  <w:style w:type="paragraph" w:styleId="926" w:customStyle="1">
    <w:name w:val="普通(网站)1"/>
    <w:basedOn w:val="854"/>
    <w:uiPriority w:val="99"/>
    <w:qFormat/>
    <w:pPr>
      <w:jc w:val="left"/>
    </w:pPr>
    <w:rPr>
      <w:rFonts w:ascii="Plotter" w:hAnsi="Plotter" w:eastAsia="微软雅黑"/>
      <w:sz w:val="24"/>
    </w:rPr>
  </w:style>
  <w:style w:type="paragraph" w:styleId="927" w:customStyle="1">
    <w:name w:val="标题1"/>
    <w:basedOn w:val="854"/>
    <w:next w:val="854"/>
    <w:link w:val="995"/>
    <w:uiPriority w:val="0"/>
    <w:qFormat/>
    <w:pPr>
      <w:jc w:val="center"/>
      <w:spacing w:before="240" w:after="60"/>
      <w:outlineLvl w:val="0"/>
    </w:pPr>
    <w:rPr>
      <w:rFonts w:ascii="等线 Light" w:hAnsi="等线 Light"/>
      <w:b/>
      <w:bCs/>
      <w:sz w:val="32"/>
      <w:szCs w:val="32"/>
    </w:rPr>
  </w:style>
  <w:style w:type="paragraph" w:styleId="928" w:customStyle="1">
    <w:name w:val="批注主题1"/>
    <w:basedOn w:val="913"/>
    <w:next w:val="913"/>
    <w:link w:val="996"/>
    <w:uiPriority w:val="0"/>
    <w:qFormat/>
    <w:rPr>
      <w:rFonts w:ascii="Plotter" w:hAnsi="Plotter"/>
      <w:b/>
      <w:bCs/>
      <w:szCs w:val="22"/>
    </w:rPr>
  </w:style>
  <w:style w:type="paragraph" w:styleId="929" w:customStyle="1">
    <w:name w:val="正文文本首行缩进1"/>
    <w:basedOn w:val="914"/>
    <w:link w:val="997"/>
    <w:uiPriority w:val="0"/>
    <w:qFormat/>
    <w:pPr>
      <w:ind w:firstLine="420"/>
    </w:pPr>
    <w:rPr>
      <w:rFonts w:ascii="Times New Roman" w:hAnsi="Times New Roman" w:eastAsia="微软雅黑"/>
      <w:sz w:val="30"/>
    </w:rPr>
  </w:style>
  <w:style w:type="paragraph" w:styleId="930" w:customStyle="1">
    <w:name w:val="样式 标题 3标题 3 Char + 黑体 小四 非加粗"/>
    <w:basedOn w:val="911"/>
    <w:link w:val="1005"/>
    <w:uiPriority w:val="0"/>
    <w:qFormat/>
    <w:pPr>
      <w:ind w:left="360"/>
      <w:spacing w:before="280" w:after="290" w:line="376" w:lineRule="auto"/>
    </w:pPr>
    <w:rPr>
      <w:rFonts w:ascii="黑体" w:hAnsi="黑体"/>
      <w:sz w:val="24"/>
    </w:rPr>
  </w:style>
  <w:style w:type="paragraph" w:styleId="931" w:customStyle="1">
    <w:name w:val="正文文本 (2)"/>
    <w:basedOn w:val="854"/>
    <w:link w:val="1015"/>
    <w:uiPriority w:val="99"/>
    <w:qFormat/>
    <w:pPr>
      <w:ind w:left="900" w:hanging="420"/>
      <w:spacing w:line="480" w:lineRule="exact"/>
      <w:outlineLvl w:val="1"/>
    </w:pPr>
    <w:rPr>
      <w:rFonts w:ascii="Wingdings" w:hAnsi="Wingdings"/>
      <w:sz w:val="18"/>
      <w:lang w:val="zh-TW"/>
    </w:rPr>
  </w:style>
  <w:style w:type="paragraph" w:styleId="932" w:customStyle="1">
    <w:name w:val="列出段落11"/>
    <w:basedOn w:val="854"/>
    <w:uiPriority w:val="0"/>
    <w:qFormat/>
    <w:pPr>
      <w:ind w:firstLine="420"/>
      <w:jc w:val="left"/>
    </w:pPr>
    <w:rPr>
      <w:rFonts w:cs="宋体"/>
      <w:sz w:val="22"/>
      <w:lang w:val="zh-CN" w:bidi="zh-CN"/>
    </w:rPr>
  </w:style>
  <w:style w:type="paragraph" w:styleId="933" w:customStyle="1">
    <w:name w:val="列表段落1"/>
    <w:basedOn w:val="854"/>
    <w:uiPriority w:val="1"/>
    <w:qFormat/>
    <w:pPr>
      <w:ind w:firstLine="420"/>
    </w:pPr>
  </w:style>
  <w:style w:type="paragraph" w:styleId="934" w:customStyle="1">
    <w:name w:val="样式 样式 样式 左侧:  2 字符1 + 首行缩进:  2 字符1 + 首行缩进:  2 字符"/>
    <w:basedOn w:val="854"/>
    <w:uiPriority w:val="0"/>
    <w:qFormat/>
    <w:pPr>
      <w:ind w:firstLine="480"/>
      <w:spacing w:before="60" w:after="120" w:line="440" w:lineRule="atLeast"/>
      <w:widowControl/>
    </w:pPr>
    <w:rPr>
      <w:rFonts w:ascii="Times New Roman" w:hAnsi="Times New Roman" w:eastAsia="微软雅黑"/>
      <w:sz w:val="24"/>
    </w:rPr>
  </w:style>
  <w:style w:type="paragraph" w:styleId="935" w:customStyle="1">
    <w:name w:val="浅色网格 - 强调文字颜色 31"/>
    <w:basedOn w:val="854"/>
    <w:uiPriority w:val="34"/>
    <w:qFormat/>
    <w:pPr>
      <w:ind w:firstLine="420"/>
      <w:jc w:val="left"/>
      <w:widowControl/>
    </w:pPr>
    <w:rPr>
      <w:sz w:val="22"/>
      <w:lang w:eastAsia="en-US" w:bidi="en-US"/>
    </w:rPr>
  </w:style>
  <w:style w:type="paragraph" w:styleId="936" w:customStyle="1">
    <w:name w:val="GEDI正文样式"/>
    <w:basedOn w:val="854"/>
    <w:uiPriority w:val="0"/>
    <w:qFormat/>
    <w:pPr>
      <w:ind w:firstLine="480"/>
      <w:spacing w:line="480" w:lineRule="atLeast"/>
    </w:pPr>
    <w:rPr>
      <w:rFonts w:eastAsia="微软雅黑"/>
      <w:szCs w:val="24"/>
    </w:rPr>
  </w:style>
  <w:style w:type="paragraph" w:styleId="937" w:customStyle="1">
    <w:name w:val="正文1"/>
    <w:basedOn w:val="854"/>
    <w:next w:val="854"/>
    <w:uiPriority w:val="0"/>
    <w:qFormat/>
    <w:pPr>
      <w:ind w:firstLine="510"/>
      <w:spacing w:before="156" w:line="360" w:lineRule="auto"/>
    </w:pPr>
    <w:rPr>
      <w:rFonts w:ascii="Times New Roman" w:hAnsi="Times New Roman"/>
      <w:sz w:val="24"/>
      <w:szCs w:val="20"/>
    </w:rPr>
  </w:style>
  <w:style w:type="paragraph" w:styleId="938" w:customStyle="1">
    <w:name w:val="[基本段落]"/>
    <w:basedOn w:val="854"/>
    <w:uiPriority w:val="99"/>
    <w:qFormat/>
    <w:pPr>
      <w:spacing w:line="288" w:lineRule="auto"/>
    </w:pPr>
    <w:rPr>
      <w:rFonts w:ascii="宋体" w:hAnsi="Times New Roman" w:cs="宋体"/>
      <w:color w:val="000000"/>
      <w:sz w:val="24"/>
      <w:szCs w:val="24"/>
      <w:lang w:val="zh-CN"/>
    </w:rPr>
  </w:style>
  <w:style w:type="paragraph" w:styleId="939" w:customStyle="1">
    <w:name w:val="_Style 1"/>
    <w:basedOn w:val="854"/>
    <w:uiPriority w:val="99"/>
    <w:unhideWhenUsed/>
    <w:qFormat/>
    <w:pPr>
      <w:ind w:firstLine="420"/>
    </w:pPr>
  </w:style>
  <w:style w:type="paragraph" w:styleId="940" w:customStyle="1">
    <w:name w:val="Table Paragraph"/>
    <w:basedOn w:val="854"/>
    <w:uiPriority w:val="1"/>
    <w:qFormat/>
    <w:pPr>
      <w:jc w:val="left"/>
    </w:pPr>
    <w:rPr>
      <w:rFonts w:ascii="仿宋" w:eastAsia="仿宋" w:cs="黑体"/>
      <w:sz w:val="24"/>
      <w:lang w:eastAsia="en-US"/>
    </w:rPr>
  </w:style>
  <w:style w:type="paragraph" w:styleId="941" w:customStyle="1">
    <w:name w:val="纯文本1"/>
    <w:basedOn w:val="854"/>
    <w:uiPriority w:val="0"/>
    <w:qFormat/>
    <w:rPr>
      <w:rFonts w:ascii="宋体" w:hAnsi="Courier New" w:eastAsia="微软雅黑"/>
    </w:rPr>
  </w:style>
  <w:style w:type="paragraph" w:styleId="942" w:customStyle="1">
    <w:name w:val="列出段落3"/>
    <w:basedOn w:val="854"/>
    <w:uiPriority w:val="34"/>
    <w:qFormat/>
    <w:pPr>
      <w:ind w:firstLine="420"/>
    </w:pPr>
    <w:rPr>
      <w:rFonts w:ascii="Plotter" w:hAnsi="Plotter" w:eastAsia="微软雅黑"/>
    </w:rPr>
  </w:style>
  <w:style w:type="paragraph" w:styleId="943" w:customStyle="1">
    <w:name w:val="样式1"/>
    <w:basedOn w:val="854"/>
    <w:uiPriority w:val="0"/>
    <w:qFormat/>
    <w:pPr>
      <w:jc w:val="left"/>
      <w:widowControl/>
    </w:pPr>
    <w:rPr>
      <w:rFonts w:ascii="Times New Roman" w:hAnsi="Times New Roman"/>
      <w:sz w:val="20"/>
      <w:szCs w:val="20"/>
    </w:rPr>
  </w:style>
  <w:style w:type="paragraph" w:styleId="944" w:customStyle="1">
    <w:name w:val="正文 A"/>
    <w:uiPriority w:val="0"/>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945" w:customStyle="1">
    <w:name w:val="p15"/>
    <w:basedOn w:val="854"/>
    <w:uiPriority w:val="0"/>
    <w:qFormat/>
    <w:pPr>
      <w:ind w:firstLine="420"/>
    </w:pPr>
    <w:rPr>
      <w:rFonts w:eastAsia="微软雅黑" w:cs="Calibri"/>
    </w:rPr>
  </w:style>
  <w:style w:type="paragraph" w:styleId="946" w:customStyle="1">
    <w:name w:val="列出段落2"/>
    <w:basedOn w:val="854"/>
    <w:uiPriority w:val="99"/>
    <w:qFormat/>
    <w:pPr>
      <w:ind w:firstLine="420"/>
      <w:jc w:val="left"/>
      <w:widowControl/>
    </w:pPr>
    <w:rPr>
      <w:rFonts w:ascii="宋体" w:hAnsi="宋体" w:eastAsia="仿宋" w:cs="宋体"/>
      <w:sz w:val="28"/>
      <w:szCs w:val="24"/>
    </w:rPr>
  </w:style>
  <w:style w:type="paragraph" w:styleId="947" w:customStyle="1">
    <w:name w:val="正文段落"/>
    <w:basedOn w:val="854"/>
    <w:uiPriority w:val="0"/>
    <w:qFormat/>
    <w:pPr>
      <w:ind w:firstLine="200"/>
      <w:spacing w:before="100" w:beforeAutospacing="1" w:after="100" w:afterAutospacing="1"/>
    </w:pPr>
  </w:style>
  <w:style w:type="paragraph" w:styleId="948" w:customStyle="1">
    <w:name w:val="列出段落1"/>
    <w:basedOn w:val="854"/>
    <w:uiPriority w:val="0"/>
    <w:qFormat/>
    <w:pPr>
      <w:ind w:firstLine="420"/>
    </w:pPr>
    <w:rPr>
      <w:rFonts w:ascii="Times New Roman" w:hAnsi="Times New Roman"/>
      <w:szCs w:val="21"/>
    </w:rPr>
  </w:style>
  <w:style w:type="paragraph" w:styleId="949" w:customStyle="1">
    <w:name w:val="TOC 标题2"/>
    <w:basedOn w:val="908"/>
    <w:next w:val="854"/>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50" w:customStyle="1">
    <w:name w:val="四级目录"/>
    <w:basedOn w:val="854"/>
    <w:next w:val="854"/>
    <w:uiPriority w:val="99"/>
    <w:qFormat/>
    <w:pPr>
      <w:jc w:val="left"/>
      <w:keepLines/>
      <w:keepNext/>
      <w:widowControl/>
      <w:tabs>
        <w:tab w:val="left" w:pos="525" w:leader="none"/>
      </w:tabs>
      <w:outlineLvl w:val="3"/>
    </w:pPr>
    <w:rPr>
      <w:rFonts w:ascii="微软雅黑" w:hAnsi="微软雅黑" w:eastAsia="微软雅黑"/>
      <w:b/>
      <w:bCs/>
      <w:szCs w:val="24"/>
    </w:rPr>
  </w:style>
  <w:style w:type="paragraph" w:styleId="951"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952" w:customStyle="1">
    <w:name w:val="彩色列表 - 强调文字颜色 11"/>
    <w:basedOn w:val="854"/>
    <w:uiPriority w:val="99"/>
    <w:qFormat/>
    <w:pPr>
      <w:ind w:firstLine="420"/>
    </w:pPr>
  </w:style>
  <w:style w:type="paragraph" w:styleId="953" w:customStyle="1">
    <w:name w:val="索引 411"/>
    <w:basedOn w:val="854"/>
    <w:next w:val="854"/>
    <w:uiPriority w:val="99"/>
    <w:unhideWhenUsed/>
    <w:qFormat/>
    <w:pPr>
      <w:ind w:left="600"/>
    </w:pPr>
  </w:style>
  <w:style w:type="paragraph" w:styleId="954" w:customStyle="1">
    <w:name w:val="索引 41"/>
    <w:basedOn w:val="854"/>
    <w:next w:val="854"/>
    <w:uiPriority w:val="0"/>
    <w:semiHidden/>
    <w:qFormat/>
    <w:pPr>
      <w:ind w:left="1260"/>
    </w:pPr>
    <w:rPr>
      <w:rFonts w:eastAsia="Calibri" w:cs="宋体"/>
      <w:sz w:val="20"/>
      <w:lang w:val="zh-CN"/>
    </w:rPr>
  </w:style>
  <w:style w:type="paragraph" w:styleId="955" w:customStyle="1">
    <w:name w:val="正文格式"/>
    <w:basedOn w:val="854"/>
    <w:uiPriority w:val="0"/>
    <w:qFormat/>
    <w:pPr>
      <w:ind w:left="178" w:right="44" w:hanging="178"/>
      <w:jc w:val="left"/>
      <w:spacing w:line="360" w:lineRule="auto"/>
      <w:widowControl/>
    </w:pPr>
    <w:rPr>
      <w:rFonts w:ascii="Trebuchet MS" w:hAnsi="Trebuchet MS" w:eastAsia="等线" w:cs="Tahoma"/>
      <w:bCs/>
      <w:szCs w:val="21"/>
    </w:rPr>
  </w:style>
  <w:style w:type="paragraph" w:styleId="956" w:customStyle="1">
    <w:name w:val="标题1，章节第一层"/>
    <w:basedOn w:val="955"/>
    <w:next w:val="955"/>
    <w:uiPriority w:val="0"/>
    <w:qFormat/>
    <w:pPr>
      <w:ind w:left="272" w:hanging="272"/>
      <w:jc w:val="center"/>
      <w:tabs>
        <w:tab w:val="left" w:pos="693" w:leader="none"/>
      </w:tabs>
      <w:outlineLvl w:val="0"/>
    </w:pPr>
    <w:rPr>
      <w:rFonts w:eastAsia="ˎ̥"/>
      <w:color w:val="000000"/>
      <w:sz w:val="32"/>
      <w:szCs w:val="24"/>
      <w:lang w:val="zh-CN"/>
    </w:rPr>
  </w:style>
  <w:style w:type="paragraph" w:styleId="957" w:customStyle="1">
    <w:name w:val="default-defaultmode"/>
    <w:basedOn w:val="854"/>
    <w:uiPriority w:val="0"/>
    <w:qFormat/>
    <w:pPr>
      <w:jc w:val="left"/>
      <w:spacing w:before="100" w:beforeAutospacing="1" w:after="100" w:afterAutospacing="1"/>
      <w:widowControl/>
    </w:pPr>
    <w:rPr>
      <w:rFonts w:ascii="宋体" w:hAnsi="宋体" w:cs="宋体"/>
      <w:sz w:val="24"/>
      <w:szCs w:val="24"/>
    </w:rPr>
  </w:style>
  <w:style w:type="paragraph" w:styleId="958" w:customStyle="1">
    <w:name w:val="段"/>
    <w:next w:val="854"/>
    <w:uiPriority w:val="0"/>
    <w:qFormat/>
    <w:pPr>
      <w:ind w:firstLine="200"/>
      <w:jc w:val="both"/>
    </w:pPr>
    <w:rPr>
      <w:rFonts w:ascii="宋体" w:hAnsi="Times New Roman" w:eastAsia="宋体" w:cs="Times New Roman"/>
      <w:sz w:val="21"/>
      <w:lang w:val="en-US" w:eastAsia="zh-CN" w:bidi="ar-SA"/>
    </w:rPr>
  </w:style>
  <w:style w:type="paragraph" w:styleId="959" w:customStyle="1">
    <w:name w:val="无间隔1"/>
    <w:uiPriority w:val="99"/>
    <w:qFormat/>
    <w:pPr>
      <w:jc w:val="both"/>
      <w:widowControl w:val="off"/>
    </w:pPr>
    <w:rPr>
      <w:rFonts w:ascii="Calibri" w:hAnsi="Calibri" w:eastAsia="宋体" w:cs="Times New Roman"/>
      <w:sz w:val="21"/>
      <w:szCs w:val="22"/>
      <w:lang w:val="en-US" w:eastAsia="zh-CN" w:bidi="ar-SA"/>
    </w:rPr>
  </w:style>
  <w:style w:type="paragraph" w:styleId="960" w:customStyle="1">
    <w:name w:val="@@正文"/>
    <w:uiPriority w:val="0"/>
    <w:qFormat/>
    <w:pPr>
      <w:ind w:firstLine="200"/>
    </w:pPr>
    <w:rPr>
      <w:rFonts w:ascii="Times New Roman" w:hAnsi="Times New Roman" w:eastAsia="宋体" w:cs="Times New Roman"/>
      <w:sz w:val="28"/>
      <w:szCs w:val="22"/>
      <w:lang w:val="en-US" w:eastAsia="zh-CN" w:bidi="ar-SA"/>
    </w:rPr>
  </w:style>
  <w:style w:type="paragraph" w:styleId="961" w:customStyle="1">
    <w:name w:val="样式 标题 3 + (中文) 黑体 小四 非加粗 段前: 7.8 磅 段后: 0 磅 行距: 固定值 20 磅_0"/>
    <w:basedOn w:val="854"/>
    <w:uiPriority w:val="0"/>
    <w:qFormat/>
    <w:pPr>
      <w:keepLines/>
      <w:keepNext/>
      <w:spacing w:line="400" w:lineRule="exact"/>
      <w:outlineLvl w:val="2"/>
    </w:pPr>
    <w:rPr>
      <w:rFonts w:eastAsia="黑体" w:cs="宋体"/>
      <w:szCs w:val="21"/>
    </w:rPr>
  </w:style>
  <w:style w:type="character" w:styleId="962" w:customStyle="1">
    <w:name w:val="标题 1 字符1"/>
    <w:link w:val="855"/>
    <w:uiPriority w:val="9"/>
    <w:qFormat/>
    <w:rPr>
      <w:rFonts w:ascii="Arial" w:hAnsi="Arial" w:eastAsia="宋体" w:cs="Arial"/>
      <w:b/>
      <w:sz w:val="36"/>
      <w:szCs w:val="40"/>
    </w:rPr>
  </w:style>
  <w:style w:type="character" w:styleId="963" w:customStyle="1">
    <w:name w:val="标题 2 字符1"/>
    <w:link w:val="856"/>
    <w:uiPriority w:val="9"/>
    <w:qFormat/>
    <w:rPr>
      <w:rFonts w:ascii="Arial" w:hAnsi="Arial" w:eastAsia="宋体" w:cs="Arial"/>
      <w:b/>
      <w:sz w:val="28"/>
    </w:rPr>
  </w:style>
  <w:style w:type="character" w:styleId="964" w:customStyle="1">
    <w:name w:val="标题 3 字符1"/>
    <w:link w:val="857"/>
    <w:uiPriority w:val="9"/>
    <w:qFormat/>
    <w:rPr>
      <w:rFonts w:ascii="Arial" w:hAnsi="Arial" w:eastAsia="宋体" w:cs="Arial"/>
      <w:b/>
      <w:sz w:val="24"/>
      <w:szCs w:val="30"/>
    </w:rPr>
  </w:style>
  <w:style w:type="character" w:styleId="965" w:customStyle="1">
    <w:name w:val="标题 4 字符"/>
    <w:link w:val="858"/>
    <w:uiPriority w:val="9"/>
    <w:qFormat/>
    <w:rPr>
      <w:rFonts w:ascii="Arial" w:hAnsi="Arial" w:eastAsia="Arial" w:cs="Arial"/>
      <w:b/>
      <w:bCs/>
      <w:sz w:val="26"/>
      <w:szCs w:val="26"/>
    </w:rPr>
  </w:style>
  <w:style w:type="character" w:styleId="966" w:customStyle="1">
    <w:name w:val="标题 5 字符"/>
    <w:link w:val="859"/>
    <w:uiPriority w:val="9"/>
    <w:qFormat/>
    <w:rPr>
      <w:rFonts w:ascii="Arial" w:hAnsi="Arial" w:eastAsia="Arial" w:cs="Arial"/>
      <w:b/>
      <w:bCs/>
      <w:sz w:val="24"/>
      <w:szCs w:val="24"/>
    </w:rPr>
  </w:style>
  <w:style w:type="character" w:styleId="967" w:customStyle="1">
    <w:name w:val="标题 6 字符"/>
    <w:link w:val="860"/>
    <w:uiPriority w:val="9"/>
    <w:qFormat/>
    <w:rPr>
      <w:rFonts w:ascii="Arial" w:hAnsi="Arial" w:eastAsia="Arial" w:cs="Arial"/>
      <w:b/>
      <w:bCs/>
      <w:sz w:val="22"/>
      <w:szCs w:val="22"/>
    </w:rPr>
  </w:style>
  <w:style w:type="character" w:styleId="968" w:customStyle="1">
    <w:name w:val="标题 7 字符"/>
    <w:link w:val="861"/>
    <w:uiPriority w:val="9"/>
    <w:qFormat/>
    <w:rPr>
      <w:rFonts w:ascii="Arial" w:hAnsi="Arial" w:eastAsia="Arial" w:cs="Arial"/>
      <w:b/>
      <w:bCs/>
      <w:i/>
      <w:iCs/>
      <w:sz w:val="22"/>
      <w:szCs w:val="22"/>
    </w:rPr>
  </w:style>
  <w:style w:type="character" w:styleId="969" w:customStyle="1">
    <w:name w:val="标题 8 字符"/>
    <w:link w:val="862"/>
    <w:uiPriority w:val="9"/>
    <w:qFormat/>
    <w:rPr>
      <w:rFonts w:ascii="Arial" w:hAnsi="Arial" w:eastAsia="Arial" w:cs="Arial"/>
      <w:i/>
      <w:iCs/>
      <w:sz w:val="22"/>
      <w:szCs w:val="22"/>
    </w:rPr>
  </w:style>
  <w:style w:type="character" w:styleId="970" w:customStyle="1">
    <w:name w:val="标题 9 字符"/>
    <w:link w:val="863"/>
    <w:uiPriority w:val="9"/>
    <w:qFormat/>
    <w:rPr>
      <w:rFonts w:ascii="Arial" w:hAnsi="Arial" w:eastAsia="Arial" w:cs="Arial"/>
      <w:i/>
      <w:iCs/>
      <w:sz w:val="21"/>
      <w:szCs w:val="21"/>
    </w:rPr>
  </w:style>
  <w:style w:type="character" w:styleId="971" w:customStyle="1">
    <w:name w:val="标题 字符1"/>
    <w:link w:val="890"/>
    <w:uiPriority w:val="10"/>
    <w:qFormat/>
    <w:rPr>
      <w:sz w:val="48"/>
      <w:szCs w:val="48"/>
    </w:rPr>
  </w:style>
  <w:style w:type="character" w:styleId="972" w:customStyle="1">
    <w:name w:val="副标题 字符1"/>
    <w:link w:val="883"/>
    <w:uiPriority w:val="11"/>
    <w:qFormat/>
    <w:rPr>
      <w:sz w:val="24"/>
      <w:szCs w:val="24"/>
    </w:rPr>
  </w:style>
  <w:style w:type="character" w:styleId="973" w:customStyle="1">
    <w:name w:val="引用 字符"/>
    <w:link w:val="905"/>
    <w:uiPriority w:val="29"/>
    <w:qFormat/>
    <w:rPr>
      <w:i/>
    </w:rPr>
  </w:style>
  <w:style w:type="character" w:styleId="974" w:customStyle="1">
    <w:name w:val="明显引用 字符"/>
    <w:link w:val="906"/>
    <w:uiPriority w:val="30"/>
    <w:qFormat/>
    <w:rPr>
      <w:i/>
    </w:rPr>
  </w:style>
  <w:style w:type="character" w:styleId="975" w:customStyle="1">
    <w:name w:val="页眉 字符1"/>
    <w:link w:val="880"/>
    <w:uiPriority w:val="99"/>
    <w:qFormat/>
  </w:style>
  <w:style w:type="character" w:styleId="976" w:customStyle="1">
    <w:name w:val="Footer Char"/>
    <w:uiPriority w:val="99"/>
    <w:qFormat/>
  </w:style>
  <w:style w:type="character" w:styleId="977" w:customStyle="1">
    <w:name w:val="页脚 字符1"/>
    <w:link w:val="879"/>
    <w:uiPriority w:val="99"/>
    <w:qFormat/>
  </w:style>
  <w:style w:type="character" w:styleId="978" w:customStyle="1">
    <w:name w:val="脚注文本 字符"/>
    <w:link w:val="884"/>
    <w:uiPriority w:val="99"/>
    <w:qFormat/>
    <w:rPr>
      <w:sz w:val="18"/>
    </w:rPr>
  </w:style>
  <w:style w:type="character" w:styleId="979" w:customStyle="1">
    <w:name w:val="尾注文本 字符"/>
    <w:link w:val="878"/>
    <w:uiPriority w:val="99"/>
    <w:qFormat/>
    <w:rPr>
      <w:sz w:val="20"/>
    </w:rPr>
  </w:style>
  <w:style w:type="character" w:styleId="980" w:customStyle="1">
    <w:name w:val="默认段落字体1"/>
    <w:uiPriority w:val="1"/>
    <w:unhideWhenUsed/>
    <w:qFormat/>
  </w:style>
  <w:style w:type="character" w:styleId="981" w:customStyle="1">
    <w:name w:val="标题 1 字符"/>
    <w:link w:val="908"/>
    <w:uiPriority w:val="0"/>
    <w:qFormat/>
    <w:rPr>
      <w:rFonts w:ascii="Calibri" w:hAnsi="Calibri" w:eastAsia="宋体"/>
      <w:b/>
      <w:bCs/>
      <w:sz w:val="44"/>
      <w:szCs w:val="44"/>
    </w:rPr>
  </w:style>
  <w:style w:type="character" w:styleId="982" w:customStyle="1">
    <w:name w:val="标题 2 字符"/>
    <w:link w:val="902"/>
    <w:uiPriority w:val="0"/>
    <w:qFormat/>
    <w:rPr>
      <w:rFonts w:ascii="等线 Light" w:hAnsi="等线 Light" w:eastAsia="等线 Light"/>
      <w:b/>
      <w:bCs/>
      <w:sz w:val="32"/>
      <w:szCs w:val="32"/>
    </w:rPr>
  </w:style>
  <w:style w:type="character" w:styleId="983" w:customStyle="1">
    <w:name w:val="标题 3 字符"/>
    <w:link w:val="909"/>
    <w:uiPriority w:val="0"/>
    <w:qFormat/>
    <w:rPr>
      <w:rFonts w:ascii="Calibri" w:hAnsi="Calibri" w:eastAsia="仿宋"/>
      <w:b/>
      <w:bCs/>
      <w:sz w:val="24"/>
      <w:szCs w:val="44"/>
    </w:rPr>
  </w:style>
  <w:style w:type="character" w:styleId="984" w:customStyle="1">
    <w:name w:val="正文缩进 字符"/>
    <w:link w:val="910"/>
    <w:uiPriority w:val="0"/>
    <w:qFormat/>
    <w:rPr>
      <w:rFonts w:ascii="Calibri" w:hAnsi="Calibri"/>
      <w:sz w:val="21"/>
    </w:rPr>
  </w:style>
  <w:style w:type="character" w:styleId="985" w:customStyle="1">
    <w:name w:val="批注文字 字符"/>
    <w:link w:val="913"/>
    <w:uiPriority w:val="0"/>
    <w:qFormat/>
    <w:rPr>
      <w:rFonts w:ascii="Calibri" w:hAnsi="Calibri"/>
      <w:sz w:val="21"/>
    </w:rPr>
  </w:style>
  <w:style w:type="character" w:styleId="986" w:customStyle="1">
    <w:name w:val="正文文本 字符"/>
    <w:link w:val="914"/>
    <w:uiPriority w:val="0"/>
    <w:qFormat/>
    <w:rPr>
      <w:rFonts w:ascii="Calibri" w:hAnsi="Calibri"/>
      <w:sz w:val="21"/>
      <w:szCs w:val="22"/>
    </w:rPr>
  </w:style>
  <w:style w:type="character" w:styleId="987" w:customStyle="1">
    <w:name w:val="正文文本缩进 字符"/>
    <w:link w:val="915"/>
    <w:uiPriority w:val="0"/>
    <w:qFormat/>
    <w:rPr>
      <w:rFonts w:ascii="宋体"/>
      <w:sz w:val="24"/>
    </w:rPr>
  </w:style>
  <w:style w:type="character" w:styleId="988" w:customStyle="1">
    <w:name w:val="纯文本 字符"/>
    <w:link w:val="916"/>
    <w:uiPriority w:val="0"/>
    <w:qFormat/>
    <w:rPr>
      <w:rFonts w:ascii="宋体" w:hAnsi="Courier New"/>
      <w:sz w:val="21"/>
      <w:szCs w:val="22"/>
    </w:rPr>
  </w:style>
  <w:style w:type="character" w:styleId="989" w:customStyle="1">
    <w:name w:val="日期 字符1"/>
    <w:link w:val="917"/>
    <w:uiPriority w:val="0"/>
    <w:qFormat/>
    <w:rPr>
      <w:rFonts w:ascii="宋体"/>
      <w:sz w:val="28"/>
    </w:rPr>
  </w:style>
  <w:style w:type="character" w:styleId="990" w:customStyle="1">
    <w:name w:val="批注框文本 字符1"/>
    <w:link w:val="919"/>
    <w:uiPriority w:val="0"/>
    <w:qFormat/>
    <w:rPr>
      <w:rFonts w:ascii="Calibri" w:hAnsi="Calibri" w:eastAsia="宋体" w:cs="Times New Roman"/>
      <w:sz w:val="16"/>
      <w:szCs w:val="16"/>
    </w:rPr>
  </w:style>
  <w:style w:type="character" w:styleId="991" w:customStyle="1">
    <w:name w:val="页脚 字符"/>
    <w:link w:val="920"/>
    <w:uiPriority w:val="0"/>
    <w:qFormat/>
    <w:rPr>
      <w:rFonts w:ascii="Calibri" w:hAnsi="Calibri"/>
      <w:sz w:val="18"/>
      <w:szCs w:val="18"/>
    </w:rPr>
  </w:style>
  <w:style w:type="character" w:styleId="992" w:customStyle="1">
    <w:name w:val="页眉 字符"/>
    <w:link w:val="921"/>
    <w:uiPriority w:val="0"/>
    <w:qFormat/>
    <w:rPr>
      <w:rFonts w:ascii="Calibri" w:hAnsi="Calibri"/>
      <w:sz w:val="18"/>
      <w:szCs w:val="18"/>
    </w:rPr>
  </w:style>
  <w:style w:type="character" w:styleId="993" w:customStyle="1">
    <w:name w:val="副标题 字符"/>
    <w:link w:val="924"/>
    <w:uiPriority w:val="0"/>
    <w:qFormat/>
    <w:rPr>
      <w:rFonts w:ascii="等线 Light" w:hAnsi="等线 Light" w:eastAsia="仿宋"/>
      <w:b/>
      <w:bCs/>
      <w:sz w:val="28"/>
      <w:szCs w:val="32"/>
    </w:rPr>
  </w:style>
  <w:style w:type="character" w:styleId="994" w:customStyle="1">
    <w:name w:val="正文文本缩进 3 字符"/>
    <w:link w:val="925"/>
    <w:uiPriority w:val="0"/>
    <w:qFormat/>
    <w:rPr>
      <w:rFonts w:ascii="Plotter" w:hAnsi="Plotter"/>
      <w:sz w:val="16"/>
      <w:szCs w:val="16"/>
    </w:rPr>
  </w:style>
  <w:style w:type="character" w:styleId="995" w:customStyle="1">
    <w:name w:val="标题 字符"/>
    <w:link w:val="927"/>
    <w:uiPriority w:val="0"/>
    <w:qFormat/>
    <w:rPr>
      <w:rFonts w:ascii="等线 Light" w:hAnsi="等线 Light"/>
      <w:b/>
      <w:bCs/>
      <w:sz w:val="32"/>
      <w:szCs w:val="32"/>
    </w:rPr>
  </w:style>
  <w:style w:type="character" w:styleId="996" w:customStyle="1">
    <w:name w:val="批注主题 字符"/>
    <w:link w:val="928"/>
    <w:uiPriority w:val="0"/>
    <w:qFormat/>
    <w:rPr>
      <w:rFonts w:ascii="Plotter" w:hAnsi="Plotter"/>
      <w:b/>
      <w:bCs/>
      <w:sz w:val="21"/>
      <w:szCs w:val="22"/>
    </w:rPr>
  </w:style>
  <w:style w:type="character" w:styleId="997" w:customStyle="1">
    <w:name w:val="正文文本首行缩进 字符"/>
    <w:link w:val="929"/>
    <w:uiPriority w:val="0"/>
    <w:qFormat/>
  </w:style>
  <w:style w:type="character" w:styleId="998" w:customStyle="1">
    <w:name w:val="要点1"/>
    <w:uiPriority w:val="0"/>
    <w:qFormat/>
    <w:rPr>
      <w:b/>
      <w:bCs/>
      <w:sz w:val="24"/>
      <w:szCs w:val="24"/>
    </w:rPr>
  </w:style>
  <w:style w:type="character" w:styleId="999" w:customStyle="1">
    <w:name w:val="页码11"/>
    <w:uiPriority w:val="0"/>
    <w:qFormat/>
  </w:style>
  <w:style w:type="character" w:styleId="1000" w:customStyle="1">
    <w:name w:val="访问过的超链接1"/>
    <w:uiPriority w:val="0"/>
    <w:qFormat/>
    <w:rPr>
      <w:color w:val="000000"/>
      <w:u w:val="none"/>
    </w:rPr>
  </w:style>
  <w:style w:type="character" w:styleId="1001" w:customStyle="1">
    <w:name w:val="强调1"/>
    <w:uiPriority w:val="20"/>
    <w:qFormat/>
    <w:rPr>
      <w:i/>
      <w:iCs/>
    </w:rPr>
  </w:style>
  <w:style w:type="character" w:styleId="1002" w:customStyle="1">
    <w:name w:val="超链接1"/>
    <w:uiPriority w:val="99"/>
    <w:unhideWhenUsed/>
    <w:qFormat/>
    <w:rPr>
      <w:color w:val="0563c1"/>
      <w:u w:val="single"/>
    </w:rPr>
  </w:style>
  <w:style w:type="character" w:styleId="1003" w:customStyle="1">
    <w:name w:val="HTML 代码1"/>
    <w:uiPriority w:val="0"/>
    <w:qFormat/>
    <w:rPr>
      <w:rFonts w:ascii="Courier New" w:hAnsi="Courier New"/>
      <w:sz w:val="20"/>
    </w:rPr>
  </w:style>
  <w:style w:type="character" w:styleId="1004" w:customStyle="1">
    <w:name w:val="批注引用1"/>
    <w:uiPriority w:val="0"/>
    <w:qFormat/>
    <w:rPr>
      <w:sz w:val="21"/>
      <w:szCs w:val="21"/>
    </w:rPr>
  </w:style>
  <w:style w:type="character" w:styleId="1005" w:customStyle="1">
    <w:name w:val="样式 标题 3标题 3 Char + 黑体 小四 非加粗 Char"/>
    <w:link w:val="930"/>
    <w:uiPriority w:val="0"/>
    <w:qFormat/>
    <w:rPr>
      <w:rFonts w:ascii="黑体" w:hAnsi="黑体" w:eastAsia="黑体"/>
      <w:b/>
      <w:sz w:val="24"/>
    </w:rPr>
  </w:style>
  <w:style w:type="character" w:styleId="1006" w:customStyle="1">
    <w:name w:val="font01"/>
    <w:uiPriority w:val="0"/>
    <w:qFormat/>
    <w:rPr>
      <w:rFonts w:ascii="Times New Roman" w:hAnsi="Times New Roman" w:cs="Times New Roman"/>
      <w:color w:val="000000"/>
      <w:sz w:val="24"/>
      <w:szCs w:val="24"/>
      <w:u w:val="none"/>
    </w:rPr>
  </w:style>
  <w:style w:type="character" w:styleId="1007" w:customStyle="1">
    <w:name w:val="正文文本缩进 3 Char1"/>
    <w:uiPriority w:val="0"/>
    <w:qFormat/>
    <w:rPr>
      <w:rFonts w:ascii="Calibri" w:hAnsi="Calibri"/>
      <w:sz w:val="16"/>
      <w:szCs w:val="16"/>
    </w:rPr>
  </w:style>
  <w:style w:type="character" w:styleId="1008" w:customStyle="1">
    <w:name w:val="font51"/>
    <w:uiPriority w:val="0"/>
    <w:qFormat/>
    <w:rPr>
      <w:rFonts w:hint="eastAsia" w:ascii="宋体" w:hAnsi="宋体" w:eastAsia="宋体" w:cs="宋体"/>
      <w:b/>
      <w:color w:val="000000"/>
      <w:sz w:val="24"/>
      <w:szCs w:val="24"/>
      <w:u w:val="none"/>
    </w:rPr>
  </w:style>
  <w:style w:type="character" w:styleId="1009" w:customStyle="1">
    <w:name w:val="日期 Char1"/>
    <w:uiPriority w:val="0"/>
    <w:qFormat/>
    <w:rPr>
      <w:rFonts w:ascii="Calibri" w:hAnsi="Calibri"/>
      <w:sz w:val="21"/>
      <w:szCs w:val="22"/>
    </w:rPr>
  </w:style>
  <w:style w:type="character" w:styleId="1010" w:customStyle="1">
    <w:name w:val="grame"/>
    <w:uiPriority w:val="0"/>
    <w:qFormat/>
  </w:style>
  <w:style w:type="character" w:styleId="1011" w:customStyle="1">
    <w:name w:val="批注文字 Char2"/>
    <w:uiPriority w:val="0"/>
    <w:qFormat/>
    <w:rPr>
      <w:rFonts w:ascii="Symbol" w:hAnsi="Symbol" w:eastAsia="宋体" w:cs="Symbol"/>
      <w:sz w:val="21"/>
      <w:szCs w:val="24"/>
      <w:lang w:val="en-US" w:eastAsia="zh-CN" w:bidi="ar-SA"/>
    </w:rPr>
  </w:style>
  <w:style w:type="character" w:styleId="1012" w:customStyle="1">
    <w:name w:val="标题 Char1"/>
    <w:uiPriority w:val="0"/>
    <w:qFormat/>
    <w:rPr>
      <w:rFonts w:ascii="Cambria" w:hAnsi="Cambria" w:cs="Times New Roman"/>
      <w:b/>
      <w:bCs/>
      <w:sz w:val="32"/>
      <w:szCs w:val="32"/>
    </w:rPr>
  </w:style>
  <w:style w:type="character" w:styleId="1013" w:customStyle="1">
    <w:name w:val="font11"/>
    <w:basedOn w:val="864"/>
    <w:uiPriority w:val="0"/>
    <w:qFormat/>
    <w:rPr>
      <w:rFonts w:hint="eastAsia" w:ascii="宋体" w:hAnsi="宋体" w:eastAsia="宋体" w:cs="宋体"/>
      <w:color w:val="ff0000"/>
      <w:sz w:val="24"/>
      <w:szCs w:val="24"/>
      <w:u w:val="none"/>
    </w:rPr>
  </w:style>
  <w:style w:type="character" w:styleId="1014" w:customStyle="1">
    <w:name w:val="font31"/>
    <w:uiPriority w:val="0"/>
    <w:qFormat/>
    <w:rPr>
      <w:rFonts w:hint="eastAsia" w:ascii="宋体" w:hAnsi="宋体" w:eastAsia="宋体" w:cs="宋体"/>
      <w:b/>
      <w:color w:val="000000"/>
      <w:sz w:val="18"/>
      <w:szCs w:val="18"/>
      <w:u w:val="none"/>
    </w:rPr>
  </w:style>
  <w:style w:type="character" w:styleId="1015" w:customStyle="1">
    <w:name w:val="正文文本 (2)_"/>
    <w:link w:val="931"/>
    <w:uiPriority w:val="99"/>
    <w:qFormat/>
    <w:rPr>
      <w:rFonts w:ascii="Wingdings" w:hAnsi="Wingdings"/>
      <w:sz w:val="18"/>
      <w:szCs w:val="22"/>
      <w:lang w:val="zh-TW"/>
    </w:rPr>
  </w:style>
  <w:style w:type="character" w:styleId="1016" w:customStyle="1">
    <w:name w:val="批注文字 Char"/>
    <w:uiPriority w:val="0"/>
    <w:qFormat/>
    <w:rPr>
      <w:rFonts w:ascii="Plotter" w:hAnsi="Plotter"/>
      <w:sz w:val="21"/>
      <w:szCs w:val="22"/>
    </w:rPr>
  </w:style>
  <w:style w:type="character" w:styleId="1017" w:customStyle="1">
    <w:name w:val="time"/>
    <w:uiPriority w:val="0"/>
    <w:qFormat/>
    <w:rPr>
      <w:color w:val="939393"/>
      <w:sz w:val="18"/>
      <w:szCs w:val="18"/>
    </w:rPr>
  </w:style>
  <w:style w:type="character" w:styleId="1018" w:customStyle="1">
    <w:name w:val="font21"/>
    <w:uiPriority w:val="0"/>
    <w:qFormat/>
    <w:rPr>
      <w:rFonts w:hint="eastAsia" w:ascii="宋体" w:hAnsi="宋体" w:eastAsia="宋体" w:cs="宋体"/>
      <w:color w:val="000000"/>
      <w:sz w:val="24"/>
      <w:szCs w:val="24"/>
      <w:u w:val="none"/>
    </w:rPr>
  </w:style>
  <w:style w:type="character" w:styleId="1019" w:customStyle="1">
    <w:name w:val="channel"/>
    <w:uiPriority w:val="0"/>
    <w:qFormat/>
    <w:rPr>
      <w:color w:val="666666"/>
      <w:sz w:val="18"/>
      <w:szCs w:val="18"/>
    </w:rPr>
  </w:style>
  <w:style w:type="character" w:styleId="1020" w:customStyle="1">
    <w:name w:val="日期 字符"/>
    <w:uiPriority w:val="0"/>
    <w:qFormat/>
    <w:rPr>
      <w:rFonts w:ascii="Plotter" w:hAnsi="Plotter"/>
      <w:sz w:val="21"/>
      <w:szCs w:val="22"/>
    </w:rPr>
  </w:style>
  <w:style w:type="character" w:styleId="1021" w:customStyle="1">
    <w:name w:val="批注主题 Char1"/>
    <w:uiPriority w:val="0"/>
    <w:qFormat/>
  </w:style>
  <w:style w:type="character" w:styleId="1022" w:customStyle="1">
    <w:name w:val="副标题 Char1"/>
    <w:uiPriority w:val="0"/>
    <w:qFormat/>
    <w:rPr>
      <w:rFonts w:ascii="Cambria" w:hAnsi="Cambria" w:cs="Times New Roman"/>
      <w:b/>
      <w:bCs/>
      <w:sz w:val="32"/>
      <w:szCs w:val="32"/>
    </w:rPr>
  </w:style>
  <w:style w:type="character" w:styleId="1023" w:customStyle="1">
    <w:name w:val="批注框文本 字符"/>
    <w:uiPriority w:val="99"/>
    <w:qFormat/>
    <w:rPr>
      <w:sz w:val="18"/>
      <w:szCs w:val="18"/>
    </w:rPr>
  </w:style>
  <w:style w:type="character" w:styleId="1024" w:customStyle="1">
    <w:name w:val="页码1"/>
    <w:uiPriority w:val="0"/>
    <w:qFormat/>
  </w:style>
  <w:style w:type="character" w:styleId="1025" w:customStyle="1">
    <w:name w:val="NormalCharacter1"/>
    <w:uiPriority w:val="0"/>
    <w:qFormat/>
  </w:style>
  <w:style w:type="character" w:styleId="1026" w:customStyle="1">
    <w:name w:val="default-defaultmode1"/>
    <w:basedOn w:val="980"/>
    <w:uiPriority w:val="0"/>
    <w:qFormat/>
  </w:style>
  <w:style w:type="character" w:styleId="1027" w:customStyle="1">
    <w:name w:val="批注文字 字符1"/>
    <w:basedOn w:val="864"/>
    <w:link w:val="871"/>
    <w:uiPriority w:val="99"/>
    <w:semiHidden/>
    <w:qFormat/>
    <w:rPr>
      <w:rFonts w:ascii="Calibri" w:hAnsi="Calibri"/>
      <w:sz w:val="21"/>
      <w:szCs w:val="22"/>
    </w:rPr>
  </w:style>
  <w:style w:type="character" w:styleId="1028" w:customStyle="1">
    <w:name w:val="批注主题 字符1"/>
    <w:basedOn w:val="1027"/>
    <w:link w:val="891"/>
    <w:uiPriority w:val="99"/>
    <w:semiHidden/>
    <w:qFormat/>
    <w:rPr>
      <w:rFonts w:ascii="Calibri" w:hAnsi="Calibri"/>
      <w:b/>
      <w:bCs/>
      <w:sz w:val="21"/>
      <w:szCs w:val="22"/>
    </w:rPr>
  </w:style>
  <w:style w:type="character" w:styleId="1029" w:customStyle="1">
    <w:name w:val="font41"/>
    <w:basedOn w:val="864"/>
    <w:uiPriority w:val="0"/>
    <w:qFormat/>
    <w:rPr>
      <w:rFonts w:hint="eastAsia" w:ascii="宋体" w:hAnsi="宋体" w:eastAsia="宋体" w:cs="宋体"/>
      <w:color w:val="000000"/>
      <w:sz w:val="22"/>
      <w:szCs w:val="22"/>
      <w:u w:val="none"/>
    </w:rPr>
  </w:style>
  <w:style w:type="paragraph" w:styleId="1030" w:customStyle="1">
    <w:name w:val="正文文本 211"/>
    <w:basedOn w:val="854"/>
    <w:uiPriority w:val="99"/>
    <w:qFormat/>
    <w:pPr>
      <w:jc w:val="center"/>
    </w:pPr>
    <w:rPr>
      <w:b/>
      <w:bCs/>
      <w:sz w:val="20"/>
      <w:szCs w:val="20"/>
    </w:rPr>
  </w:style>
  <w:style w:type="numbering" w:styleId="10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admin</dc:creator>
  <cp:lastModifiedBy>甘雯</cp:lastModifiedBy>
  <cp:revision>2</cp:revision>
  <dcterms:created xsi:type="dcterms:W3CDTF">2024-08-06T09:43:00Z</dcterms:created>
  <dcterms:modified xsi:type="dcterms:W3CDTF">2026-08-24T05:47:44Z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5BD27D16AD614DCC8640890030DF67D3_13</vt:lpwstr>
  </property>
  <property fmtid="{D5CDD505-2E9C-101B-9397-08002B2CF9AE}" pid="4" name="KSOTemplateDocerSaveRecord">
    <vt:lpwstr>eyJoZGlkIjoiOGZkMjJmZDk4YjU3YzhjNjk0OGU2ZGMxODZmMmFmNGYiLCJ1c2VySWQiOiIxNjI2Mjc3Nzk5In0=</vt:lpwstr>
  </property>
</Properties>
</file>